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F064E" w14:textId="77777777" w:rsidR="005613CD" w:rsidRPr="00DC73DC" w:rsidRDefault="005613CD" w:rsidP="00AB0258">
      <w:pPr>
        <w:pStyle w:val="Obsah1"/>
      </w:pPr>
      <w:bookmarkStart w:id="0" w:name="_Toc364534190"/>
    </w:p>
    <w:p w14:paraId="2DB1DDCB" w14:textId="77777777" w:rsidR="005613CD" w:rsidRPr="00DC73DC" w:rsidRDefault="005613CD" w:rsidP="00AB0258">
      <w:pPr>
        <w:pStyle w:val="Obsah1"/>
      </w:pPr>
    </w:p>
    <w:p w14:paraId="1B967E1A" w14:textId="77777777" w:rsidR="005613CD" w:rsidRPr="00DC73DC" w:rsidRDefault="005613CD" w:rsidP="00AB0258">
      <w:pPr>
        <w:pStyle w:val="Obsah1"/>
      </w:pPr>
    </w:p>
    <w:p w14:paraId="77707E9D" w14:textId="77777777" w:rsidR="005613CD" w:rsidRPr="0028110B" w:rsidRDefault="005613CD" w:rsidP="00AB0258">
      <w:pPr>
        <w:pStyle w:val="Obsah1"/>
      </w:pPr>
      <w:r w:rsidRPr="0028110B">
        <w:t>Univerzita Palackého v Olomouci</w:t>
      </w:r>
    </w:p>
    <w:p w14:paraId="31B63EB4" w14:textId="77777777" w:rsidR="005613CD" w:rsidRPr="0028110B" w:rsidRDefault="005613CD" w:rsidP="00DC73DC">
      <w:pPr>
        <w:spacing w:line="360" w:lineRule="auto"/>
        <w:jc w:val="center"/>
        <w:rPr>
          <w:b/>
          <w:sz w:val="32"/>
          <w:szCs w:val="32"/>
        </w:rPr>
      </w:pPr>
      <w:r w:rsidRPr="0028110B">
        <w:rPr>
          <w:b/>
          <w:sz w:val="32"/>
          <w:szCs w:val="32"/>
        </w:rPr>
        <w:t>Právnická fakulta</w:t>
      </w:r>
    </w:p>
    <w:p w14:paraId="379047FF" w14:textId="77777777" w:rsidR="005613CD" w:rsidRPr="0028110B" w:rsidRDefault="005613CD" w:rsidP="00F76295">
      <w:pPr>
        <w:spacing w:line="360" w:lineRule="auto"/>
        <w:jc w:val="both"/>
        <w:rPr>
          <w:b/>
          <w:sz w:val="32"/>
          <w:szCs w:val="32"/>
        </w:rPr>
      </w:pPr>
    </w:p>
    <w:p w14:paraId="3526DBDA" w14:textId="77777777" w:rsidR="005613CD" w:rsidRPr="0028110B" w:rsidRDefault="005613CD" w:rsidP="00F76295">
      <w:pPr>
        <w:spacing w:line="360" w:lineRule="auto"/>
        <w:jc w:val="both"/>
        <w:rPr>
          <w:b/>
          <w:sz w:val="32"/>
          <w:szCs w:val="32"/>
        </w:rPr>
      </w:pPr>
    </w:p>
    <w:p w14:paraId="2ECD0859" w14:textId="77777777" w:rsidR="005613CD" w:rsidRPr="0028110B" w:rsidRDefault="005613CD" w:rsidP="00F76295">
      <w:pPr>
        <w:spacing w:line="360" w:lineRule="auto"/>
        <w:jc w:val="both"/>
        <w:rPr>
          <w:b/>
          <w:sz w:val="32"/>
          <w:szCs w:val="32"/>
        </w:rPr>
      </w:pPr>
    </w:p>
    <w:p w14:paraId="0AC6031F" w14:textId="77777777" w:rsidR="005613CD" w:rsidRPr="0028110B" w:rsidRDefault="005613CD" w:rsidP="00F76295">
      <w:pPr>
        <w:spacing w:line="360" w:lineRule="auto"/>
        <w:jc w:val="both"/>
        <w:rPr>
          <w:b/>
          <w:sz w:val="32"/>
          <w:szCs w:val="32"/>
        </w:rPr>
      </w:pPr>
    </w:p>
    <w:p w14:paraId="697265FF" w14:textId="77777777" w:rsidR="005613CD" w:rsidRPr="0028110B" w:rsidRDefault="005613CD" w:rsidP="00DC73DC">
      <w:pPr>
        <w:spacing w:line="360" w:lineRule="auto"/>
        <w:jc w:val="center"/>
        <w:rPr>
          <w:b/>
          <w:sz w:val="32"/>
          <w:szCs w:val="32"/>
        </w:rPr>
      </w:pPr>
      <w:r w:rsidRPr="0028110B">
        <w:rPr>
          <w:b/>
          <w:sz w:val="32"/>
          <w:szCs w:val="32"/>
        </w:rPr>
        <w:t xml:space="preserve">Brigita </w:t>
      </w:r>
      <w:proofErr w:type="spellStart"/>
      <w:r w:rsidRPr="0028110B">
        <w:rPr>
          <w:b/>
          <w:sz w:val="32"/>
          <w:szCs w:val="32"/>
        </w:rPr>
        <w:t>Sílešová</w:t>
      </w:r>
      <w:proofErr w:type="spellEnd"/>
    </w:p>
    <w:p w14:paraId="64BFC824" w14:textId="77777777" w:rsidR="005613CD" w:rsidRPr="0028110B" w:rsidRDefault="005613CD" w:rsidP="00F76295">
      <w:pPr>
        <w:spacing w:line="360" w:lineRule="auto"/>
        <w:jc w:val="both"/>
        <w:rPr>
          <w:b/>
          <w:sz w:val="32"/>
          <w:szCs w:val="32"/>
        </w:rPr>
      </w:pPr>
    </w:p>
    <w:p w14:paraId="2C6E0B7C" w14:textId="6894A759" w:rsidR="005613CD" w:rsidRPr="0028110B" w:rsidRDefault="005613CD" w:rsidP="00DC73DC">
      <w:pPr>
        <w:spacing w:line="360" w:lineRule="auto"/>
        <w:jc w:val="center"/>
        <w:rPr>
          <w:b/>
          <w:sz w:val="32"/>
          <w:szCs w:val="32"/>
        </w:rPr>
      </w:pPr>
      <w:r w:rsidRPr="0028110B">
        <w:rPr>
          <w:b/>
          <w:sz w:val="32"/>
          <w:szCs w:val="32"/>
        </w:rPr>
        <w:t>Výklad pojmu obvyklého bydliště dítěte v případě mezinárodních únosů ve světle aktuální judikatury</w:t>
      </w:r>
    </w:p>
    <w:p w14:paraId="14BB57EF" w14:textId="77777777" w:rsidR="005613CD" w:rsidRPr="0028110B" w:rsidRDefault="005613CD" w:rsidP="00F76295">
      <w:pPr>
        <w:spacing w:line="360" w:lineRule="auto"/>
        <w:jc w:val="both"/>
        <w:rPr>
          <w:b/>
          <w:sz w:val="32"/>
          <w:szCs w:val="32"/>
        </w:rPr>
      </w:pPr>
    </w:p>
    <w:p w14:paraId="72293507" w14:textId="77777777" w:rsidR="005613CD" w:rsidRPr="0028110B" w:rsidRDefault="005613CD" w:rsidP="00DC73DC">
      <w:pPr>
        <w:spacing w:line="360" w:lineRule="auto"/>
        <w:jc w:val="center"/>
        <w:rPr>
          <w:b/>
          <w:sz w:val="32"/>
          <w:szCs w:val="32"/>
        </w:rPr>
      </w:pPr>
      <w:r w:rsidRPr="0028110B">
        <w:rPr>
          <w:b/>
          <w:sz w:val="32"/>
          <w:szCs w:val="32"/>
        </w:rPr>
        <w:t>Diplomová práce</w:t>
      </w:r>
    </w:p>
    <w:p w14:paraId="31E43924" w14:textId="77777777" w:rsidR="005613CD" w:rsidRPr="0028110B" w:rsidRDefault="005613CD" w:rsidP="00F76295">
      <w:pPr>
        <w:spacing w:line="360" w:lineRule="auto"/>
        <w:jc w:val="both"/>
        <w:rPr>
          <w:b/>
          <w:sz w:val="32"/>
          <w:szCs w:val="32"/>
        </w:rPr>
      </w:pPr>
    </w:p>
    <w:p w14:paraId="1B70EDA0" w14:textId="77777777" w:rsidR="005613CD" w:rsidRPr="0028110B" w:rsidRDefault="005613CD" w:rsidP="00F76295">
      <w:pPr>
        <w:spacing w:line="360" w:lineRule="auto"/>
        <w:jc w:val="both"/>
        <w:rPr>
          <w:b/>
          <w:sz w:val="32"/>
          <w:szCs w:val="32"/>
        </w:rPr>
      </w:pPr>
    </w:p>
    <w:p w14:paraId="5658DAE8" w14:textId="77777777" w:rsidR="005613CD" w:rsidRPr="0028110B" w:rsidRDefault="005613CD" w:rsidP="00F76295">
      <w:pPr>
        <w:spacing w:line="360" w:lineRule="auto"/>
        <w:jc w:val="both"/>
        <w:rPr>
          <w:b/>
          <w:sz w:val="32"/>
          <w:szCs w:val="32"/>
        </w:rPr>
      </w:pPr>
    </w:p>
    <w:p w14:paraId="29D2D092" w14:textId="77777777" w:rsidR="005613CD" w:rsidRPr="0028110B" w:rsidRDefault="005613CD" w:rsidP="00F76295">
      <w:pPr>
        <w:spacing w:line="360" w:lineRule="auto"/>
        <w:jc w:val="both"/>
        <w:rPr>
          <w:b/>
          <w:sz w:val="32"/>
          <w:szCs w:val="32"/>
        </w:rPr>
      </w:pPr>
    </w:p>
    <w:p w14:paraId="17984629" w14:textId="77777777" w:rsidR="005613CD" w:rsidRPr="0028110B" w:rsidRDefault="005613CD" w:rsidP="00F76295">
      <w:pPr>
        <w:spacing w:line="360" w:lineRule="auto"/>
        <w:jc w:val="both"/>
        <w:rPr>
          <w:b/>
          <w:sz w:val="32"/>
          <w:szCs w:val="32"/>
        </w:rPr>
      </w:pPr>
    </w:p>
    <w:p w14:paraId="47C8538F" w14:textId="77777777" w:rsidR="005613CD" w:rsidRPr="0028110B" w:rsidRDefault="005613CD" w:rsidP="00F76295">
      <w:pPr>
        <w:spacing w:line="360" w:lineRule="auto"/>
        <w:jc w:val="both"/>
        <w:rPr>
          <w:b/>
          <w:sz w:val="32"/>
          <w:szCs w:val="32"/>
        </w:rPr>
      </w:pPr>
    </w:p>
    <w:p w14:paraId="6B3A656B" w14:textId="77777777" w:rsidR="005613CD" w:rsidRPr="0028110B" w:rsidRDefault="005613CD" w:rsidP="00F76295">
      <w:pPr>
        <w:spacing w:line="360" w:lineRule="auto"/>
        <w:jc w:val="both"/>
        <w:rPr>
          <w:b/>
          <w:sz w:val="32"/>
          <w:szCs w:val="32"/>
        </w:rPr>
      </w:pPr>
    </w:p>
    <w:p w14:paraId="3A51BD39" w14:textId="77777777" w:rsidR="005613CD" w:rsidRPr="0028110B" w:rsidRDefault="005613CD" w:rsidP="00F76295">
      <w:pPr>
        <w:spacing w:line="360" w:lineRule="auto"/>
        <w:jc w:val="both"/>
        <w:rPr>
          <w:b/>
          <w:sz w:val="32"/>
          <w:szCs w:val="32"/>
        </w:rPr>
      </w:pPr>
    </w:p>
    <w:p w14:paraId="6CD4F737" w14:textId="77777777" w:rsidR="005613CD" w:rsidRPr="0028110B" w:rsidRDefault="005613CD" w:rsidP="00F76295">
      <w:pPr>
        <w:spacing w:line="360" w:lineRule="auto"/>
        <w:jc w:val="both"/>
        <w:rPr>
          <w:b/>
          <w:sz w:val="32"/>
          <w:szCs w:val="32"/>
        </w:rPr>
      </w:pPr>
    </w:p>
    <w:p w14:paraId="411CEC12" w14:textId="77777777" w:rsidR="005613CD" w:rsidRPr="0028110B" w:rsidRDefault="005613CD" w:rsidP="00F76295">
      <w:pPr>
        <w:spacing w:line="360" w:lineRule="auto"/>
        <w:jc w:val="both"/>
        <w:rPr>
          <w:b/>
          <w:sz w:val="32"/>
          <w:szCs w:val="32"/>
        </w:rPr>
      </w:pPr>
    </w:p>
    <w:p w14:paraId="12FCFE09" w14:textId="77777777" w:rsidR="005613CD" w:rsidRPr="0028110B" w:rsidRDefault="005613CD" w:rsidP="00DC73DC">
      <w:pPr>
        <w:spacing w:line="360" w:lineRule="auto"/>
        <w:ind w:firstLine="0"/>
        <w:jc w:val="center"/>
        <w:rPr>
          <w:b/>
          <w:sz w:val="32"/>
          <w:szCs w:val="32"/>
        </w:rPr>
      </w:pPr>
      <w:r w:rsidRPr="0028110B">
        <w:rPr>
          <w:b/>
          <w:sz w:val="32"/>
          <w:szCs w:val="32"/>
        </w:rPr>
        <w:t>Olomouc 2017</w:t>
      </w:r>
    </w:p>
    <w:p w14:paraId="0EAA6D7F" w14:textId="77777777" w:rsidR="005613CD" w:rsidRPr="00DC73DC" w:rsidRDefault="005613CD" w:rsidP="00AB0258">
      <w:pPr>
        <w:pStyle w:val="Obsah1"/>
      </w:pPr>
    </w:p>
    <w:p w14:paraId="3B376CE4" w14:textId="77777777" w:rsidR="005613CD" w:rsidRPr="00DC73DC" w:rsidRDefault="005613CD" w:rsidP="00AB0258">
      <w:pPr>
        <w:pStyle w:val="Obsah1"/>
      </w:pPr>
    </w:p>
    <w:p w14:paraId="585932CE" w14:textId="77777777" w:rsidR="005613CD" w:rsidRPr="00DC73DC" w:rsidRDefault="005613CD" w:rsidP="00AB0258">
      <w:pPr>
        <w:pStyle w:val="Obsah1"/>
      </w:pPr>
    </w:p>
    <w:p w14:paraId="70FEE9B7" w14:textId="77777777" w:rsidR="005613CD" w:rsidRPr="00DC73DC" w:rsidRDefault="005613CD" w:rsidP="00AB0258">
      <w:pPr>
        <w:pStyle w:val="Obsah1"/>
      </w:pPr>
    </w:p>
    <w:p w14:paraId="7E590C5C" w14:textId="77777777" w:rsidR="005613CD" w:rsidRPr="00DC73DC" w:rsidRDefault="005613CD" w:rsidP="00AB0258">
      <w:pPr>
        <w:pStyle w:val="Obsah1"/>
      </w:pPr>
    </w:p>
    <w:p w14:paraId="393C216E" w14:textId="77777777" w:rsidR="005613CD" w:rsidRPr="00DC73DC" w:rsidRDefault="005613CD" w:rsidP="00AB0258">
      <w:pPr>
        <w:pStyle w:val="Obsah1"/>
      </w:pPr>
    </w:p>
    <w:p w14:paraId="52DB441D" w14:textId="77777777" w:rsidR="005613CD" w:rsidRPr="00DC73DC" w:rsidRDefault="005613CD" w:rsidP="00AB0258">
      <w:pPr>
        <w:pStyle w:val="Obsah1"/>
      </w:pPr>
    </w:p>
    <w:p w14:paraId="40D0ED7E" w14:textId="77777777" w:rsidR="005613CD" w:rsidRPr="00DC73DC" w:rsidRDefault="005613CD" w:rsidP="00AB0258">
      <w:pPr>
        <w:pStyle w:val="Obsah1"/>
      </w:pPr>
    </w:p>
    <w:p w14:paraId="2A33D643" w14:textId="77777777" w:rsidR="005613CD" w:rsidRPr="00DC73DC" w:rsidRDefault="005613CD" w:rsidP="00AB0258">
      <w:pPr>
        <w:pStyle w:val="Obsah1"/>
      </w:pPr>
    </w:p>
    <w:p w14:paraId="21AF99DD" w14:textId="77777777" w:rsidR="005613CD" w:rsidRPr="00DC73DC" w:rsidRDefault="005613CD" w:rsidP="00AB0258">
      <w:pPr>
        <w:pStyle w:val="Obsah1"/>
      </w:pPr>
    </w:p>
    <w:p w14:paraId="68AE7EBC" w14:textId="77777777" w:rsidR="005613CD" w:rsidRPr="00DC73DC" w:rsidRDefault="005613CD" w:rsidP="00AB0258">
      <w:pPr>
        <w:pStyle w:val="Obsah1"/>
      </w:pPr>
    </w:p>
    <w:p w14:paraId="0940EF22" w14:textId="77777777" w:rsidR="005613CD" w:rsidRPr="00DC73DC" w:rsidRDefault="005613CD" w:rsidP="00AB0258">
      <w:pPr>
        <w:pStyle w:val="Obsah1"/>
      </w:pPr>
    </w:p>
    <w:p w14:paraId="1B228FFE" w14:textId="77777777" w:rsidR="005613CD" w:rsidRPr="00DC73DC" w:rsidRDefault="005613CD" w:rsidP="00AB0258">
      <w:pPr>
        <w:pStyle w:val="Obsah1"/>
      </w:pPr>
    </w:p>
    <w:p w14:paraId="17FAD64C" w14:textId="77777777" w:rsidR="005613CD" w:rsidRPr="00DC73DC" w:rsidRDefault="005613CD" w:rsidP="00AB0258">
      <w:pPr>
        <w:pStyle w:val="Obsah1"/>
      </w:pPr>
    </w:p>
    <w:p w14:paraId="0CFBDEFB" w14:textId="77777777" w:rsidR="005613CD" w:rsidRPr="00DC73DC" w:rsidRDefault="005613CD" w:rsidP="00AB0258">
      <w:pPr>
        <w:pStyle w:val="Obsah1"/>
      </w:pPr>
    </w:p>
    <w:p w14:paraId="35A5ED98" w14:textId="77777777" w:rsidR="005613CD" w:rsidRPr="00DC73DC" w:rsidRDefault="005613CD" w:rsidP="00AB0258">
      <w:pPr>
        <w:pStyle w:val="Obsah1"/>
      </w:pPr>
    </w:p>
    <w:p w14:paraId="3998B2B7" w14:textId="77777777" w:rsidR="005613CD" w:rsidRPr="00DC73DC" w:rsidRDefault="005613CD" w:rsidP="00AB0258">
      <w:pPr>
        <w:pStyle w:val="Obsah1"/>
      </w:pPr>
    </w:p>
    <w:p w14:paraId="320CEFCC" w14:textId="77777777" w:rsidR="005613CD" w:rsidRPr="00DC73DC" w:rsidRDefault="005613CD" w:rsidP="00AB0258">
      <w:pPr>
        <w:pStyle w:val="Obsah1"/>
      </w:pPr>
    </w:p>
    <w:p w14:paraId="35582C5E" w14:textId="77777777" w:rsidR="005613CD" w:rsidRPr="00DC73DC" w:rsidRDefault="005613CD" w:rsidP="00AB0258">
      <w:pPr>
        <w:pStyle w:val="Obsah1"/>
      </w:pPr>
    </w:p>
    <w:p w14:paraId="12AAE206" w14:textId="77777777" w:rsidR="005613CD" w:rsidRPr="00DC73DC" w:rsidRDefault="005613CD" w:rsidP="00AB0258">
      <w:pPr>
        <w:pStyle w:val="Obsah1"/>
      </w:pPr>
    </w:p>
    <w:p w14:paraId="06A66172" w14:textId="77777777" w:rsidR="005613CD" w:rsidRPr="00DC73DC" w:rsidRDefault="005613CD" w:rsidP="00C05EEC">
      <w:pPr>
        <w:spacing w:line="360" w:lineRule="auto"/>
        <w:ind w:firstLine="0"/>
        <w:jc w:val="center"/>
      </w:pPr>
    </w:p>
    <w:p w14:paraId="1A089597" w14:textId="77777777" w:rsidR="00DC73DC" w:rsidRPr="00DC73DC" w:rsidRDefault="00DC73DC" w:rsidP="00C05EEC">
      <w:pPr>
        <w:spacing w:line="360" w:lineRule="auto"/>
        <w:ind w:firstLine="0"/>
        <w:jc w:val="center"/>
      </w:pPr>
    </w:p>
    <w:p w14:paraId="37F501C5" w14:textId="77777777" w:rsidR="005613CD" w:rsidRPr="00DC73DC" w:rsidRDefault="005613CD" w:rsidP="00C05EEC">
      <w:pPr>
        <w:spacing w:line="360" w:lineRule="auto"/>
        <w:jc w:val="center"/>
      </w:pPr>
    </w:p>
    <w:p w14:paraId="4D51B49D" w14:textId="77777777" w:rsidR="005613CD" w:rsidRPr="00DC73DC" w:rsidRDefault="005613CD" w:rsidP="00C05EEC">
      <w:pPr>
        <w:spacing w:line="360" w:lineRule="auto"/>
        <w:jc w:val="center"/>
      </w:pPr>
    </w:p>
    <w:p w14:paraId="528AC0E7" w14:textId="77777777" w:rsidR="005613CD" w:rsidRPr="00DC73DC" w:rsidRDefault="005613CD" w:rsidP="00C05EEC">
      <w:pPr>
        <w:spacing w:line="360" w:lineRule="auto"/>
        <w:jc w:val="center"/>
      </w:pPr>
    </w:p>
    <w:p w14:paraId="30173DE7" w14:textId="77777777" w:rsidR="005613CD" w:rsidRPr="00DC73DC" w:rsidRDefault="005613CD" w:rsidP="00F76295">
      <w:pPr>
        <w:spacing w:line="360" w:lineRule="auto"/>
        <w:jc w:val="both"/>
      </w:pPr>
    </w:p>
    <w:p w14:paraId="06AE948C" w14:textId="77777777" w:rsidR="005613CD" w:rsidRPr="00BE1155" w:rsidRDefault="005613CD" w:rsidP="00B173F3">
      <w:pPr>
        <w:autoSpaceDE w:val="0"/>
        <w:autoSpaceDN w:val="0"/>
        <w:adjustRightInd w:val="0"/>
        <w:spacing w:line="360" w:lineRule="auto"/>
        <w:ind w:firstLine="0"/>
        <w:rPr>
          <w:b/>
        </w:rPr>
      </w:pPr>
      <w:r w:rsidRPr="00BE1155">
        <w:rPr>
          <w:b/>
        </w:rPr>
        <w:t>Prohlášení</w:t>
      </w:r>
    </w:p>
    <w:p w14:paraId="7285793A" w14:textId="6232C44B" w:rsidR="005613CD" w:rsidRPr="00BE1155" w:rsidRDefault="005613CD" w:rsidP="00F76295">
      <w:pPr>
        <w:autoSpaceDE w:val="0"/>
        <w:autoSpaceDN w:val="0"/>
        <w:adjustRightInd w:val="0"/>
        <w:spacing w:line="360" w:lineRule="auto"/>
        <w:jc w:val="both"/>
      </w:pPr>
      <w:r w:rsidRPr="00BE1155">
        <w:t xml:space="preserve">„Prohlašuji, že jsem diplomovou práci na téma </w:t>
      </w:r>
      <w:r w:rsidR="00DB1AC9" w:rsidRPr="00BE1155">
        <w:t xml:space="preserve">Výklad pojmu obvyklého bydliště dítěte v případě mezinárodních únosů ve světle aktuální judikatury </w:t>
      </w:r>
      <w:r w:rsidR="00D34BB6" w:rsidRPr="00BE1155">
        <w:t>vypracovala samostatně a </w:t>
      </w:r>
      <w:r w:rsidRPr="00BE1155">
        <w:t>citovala jsem všechny použité zdroje.“</w:t>
      </w:r>
    </w:p>
    <w:p w14:paraId="05889305" w14:textId="77777777" w:rsidR="005613CD" w:rsidRPr="00BE1155" w:rsidRDefault="005613CD" w:rsidP="00F76295">
      <w:pPr>
        <w:autoSpaceDE w:val="0"/>
        <w:autoSpaceDN w:val="0"/>
        <w:adjustRightInd w:val="0"/>
        <w:spacing w:line="360" w:lineRule="auto"/>
        <w:jc w:val="both"/>
      </w:pPr>
    </w:p>
    <w:p w14:paraId="637CDE7C" w14:textId="77777777" w:rsidR="005613CD" w:rsidRPr="00BE1155" w:rsidRDefault="005613CD" w:rsidP="00F76295">
      <w:pPr>
        <w:spacing w:line="360" w:lineRule="auto"/>
        <w:jc w:val="both"/>
      </w:pPr>
      <w:r w:rsidRPr="00BE1155">
        <w:t xml:space="preserve">V Olomouci dne </w:t>
      </w:r>
      <w:r w:rsidR="00DB1AC9" w:rsidRPr="00BE1155">
        <w:t>21. 8. 2017</w:t>
      </w:r>
    </w:p>
    <w:p w14:paraId="487039AD" w14:textId="77777777" w:rsidR="00DB1AC9" w:rsidRPr="00BE1155" w:rsidRDefault="00DB1AC9" w:rsidP="00DC73DC">
      <w:pPr>
        <w:spacing w:line="360" w:lineRule="auto"/>
        <w:jc w:val="right"/>
      </w:pPr>
      <w:r w:rsidRPr="00BE1155">
        <w:t>…………………………………</w:t>
      </w:r>
    </w:p>
    <w:p w14:paraId="14617AA4" w14:textId="1DEC09E9" w:rsidR="00DB1AC9" w:rsidRPr="00BE1155" w:rsidRDefault="0029143F" w:rsidP="00881E41">
      <w:pPr>
        <w:spacing w:line="360" w:lineRule="auto"/>
        <w:ind w:left="5760" w:firstLine="0"/>
        <w:jc w:val="center"/>
      </w:pPr>
      <w:r w:rsidRPr="00BE1155">
        <w:t xml:space="preserve">  </w:t>
      </w:r>
      <w:r w:rsidR="00DB1AC9" w:rsidRPr="00BE1155">
        <w:t xml:space="preserve">Brigita </w:t>
      </w:r>
      <w:proofErr w:type="spellStart"/>
      <w:r w:rsidR="00DB1AC9" w:rsidRPr="00BE1155">
        <w:t>Sílešová</w:t>
      </w:r>
      <w:proofErr w:type="spellEnd"/>
    </w:p>
    <w:p w14:paraId="7AAAA26B" w14:textId="77777777" w:rsidR="00DB1AC9" w:rsidRPr="00DC73DC" w:rsidRDefault="00DB1AC9" w:rsidP="00F76295">
      <w:pPr>
        <w:spacing w:line="360" w:lineRule="auto"/>
        <w:jc w:val="both"/>
      </w:pPr>
    </w:p>
    <w:p w14:paraId="7F25CF97" w14:textId="77777777" w:rsidR="00DB1AC9" w:rsidRPr="00DC73DC" w:rsidRDefault="00DB1AC9" w:rsidP="00F76295">
      <w:pPr>
        <w:spacing w:line="360" w:lineRule="auto"/>
        <w:jc w:val="both"/>
      </w:pPr>
    </w:p>
    <w:p w14:paraId="6899C346" w14:textId="77777777" w:rsidR="00DB1AC9" w:rsidRPr="00DC73DC" w:rsidRDefault="00DB1AC9" w:rsidP="00F76295">
      <w:pPr>
        <w:spacing w:line="360" w:lineRule="auto"/>
        <w:jc w:val="both"/>
      </w:pPr>
    </w:p>
    <w:p w14:paraId="6DE5322A" w14:textId="77777777" w:rsidR="00DB1AC9" w:rsidRPr="00DC73DC" w:rsidRDefault="00DB1AC9" w:rsidP="00F76295">
      <w:pPr>
        <w:spacing w:line="360" w:lineRule="auto"/>
        <w:jc w:val="both"/>
      </w:pPr>
    </w:p>
    <w:p w14:paraId="0CC25804" w14:textId="77777777" w:rsidR="00DB1AC9" w:rsidRPr="00DC73DC" w:rsidRDefault="00DB1AC9" w:rsidP="00F76295">
      <w:pPr>
        <w:spacing w:line="360" w:lineRule="auto"/>
        <w:jc w:val="both"/>
      </w:pPr>
    </w:p>
    <w:p w14:paraId="16B75484" w14:textId="77777777" w:rsidR="00DB1AC9" w:rsidRPr="00DC73DC" w:rsidRDefault="00DB1AC9" w:rsidP="00F76295">
      <w:pPr>
        <w:spacing w:line="360" w:lineRule="auto"/>
        <w:jc w:val="both"/>
      </w:pPr>
    </w:p>
    <w:p w14:paraId="1232153C" w14:textId="77777777" w:rsidR="00DB1AC9" w:rsidRPr="00DC73DC" w:rsidRDefault="00DB1AC9" w:rsidP="00F76295">
      <w:pPr>
        <w:spacing w:line="360" w:lineRule="auto"/>
        <w:jc w:val="both"/>
      </w:pPr>
    </w:p>
    <w:p w14:paraId="26656B00" w14:textId="77777777" w:rsidR="00DB1AC9" w:rsidRPr="00DC73DC" w:rsidRDefault="00DB1AC9" w:rsidP="00F76295">
      <w:pPr>
        <w:spacing w:line="360" w:lineRule="auto"/>
        <w:jc w:val="both"/>
      </w:pPr>
    </w:p>
    <w:p w14:paraId="1BC6AE6D" w14:textId="77777777" w:rsidR="00DB1AC9" w:rsidRPr="00DC73DC" w:rsidRDefault="00DB1AC9" w:rsidP="00F76295">
      <w:pPr>
        <w:spacing w:line="360" w:lineRule="auto"/>
        <w:jc w:val="both"/>
      </w:pPr>
    </w:p>
    <w:p w14:paraId="301E53C1" w14:textId="77777777" w:rsidR="00DB1AC9" w:rsidRPr="00DC73DC" w:rsidRDefault="00DB1AC9" w:rsidP="00F76295">
      <w:pPr>
        <w:spacing w:line="360" w:lineRule="auto"/>
        <w:jc w:val="both"/>
      </w:pPr>
    </w:p>
    <w:p w14:paraId="167FE9E2" w14:textId="77777777" w:rsidR="00DB1AC9" w:rsidRPr="00DC73DC" w:rsidRDefault="00DB1AC9" w:rsidP="00F76295">
      <w:pPr>
        <w:spacing w:line="360" w:lineRule="auto"/>
        <w:jc w:val="both"/>
      </w:pPr>
    </w:p>
    <w:p w14:paraId="443C439D" w14:textId="77777777" w:rsidR="00DB1AC9" w:rsidRPr="00DC73DC" w:rsidRDefault="00DB1AC9" w:rsidP="00F76295">
      <w:pPr>
        <w:spacing w:line="360" w:lineRule="auto"/>
        <w:jc w:val="both"/>
      </w:pPr>
    </w:p>
    <w:p w14:paraId="56FAC6EF" w14:textId="77777777" w:rsidR="00DB1AC9" w:rsidRPr="00DC73DC" w:rsidRDefault="00DB1AC9" w:rsidP="00F76295">
      <w:pPr>
        <w:spacing w:line="360" w:lineRule="auto"/>
        <w:jc w:val="both"/>
      </w:pPr>
    </w:p>
    <w:p w14:paraId="6DAEA40D" w14:textId="77777777" w:rsidR="00DB1AC9" w:rsidRPr="00DC73DC" w:rsidRDefault="00DB1AC9" w:rsidP="00F76295">
      <w:pPr>
        <w:spacing w:line="360" w:lineRule="auto"/>
        <w:jc w:val="both"/>
      </w:pPr>
    </w:p>
    <w:p w14:paraId="5FD86FC5" w14:textId="77777777" w:rsidR="00DB1AC9" w:rsidRPr="00DC73DC" w:rsidRDefault="00DB1AC9" w:rsidP="00F76295">
      <w:pPr>
        <w:spacing w:line="360" w:lineRule="auto"/>
        <w:jc w:val="both"/>
      </w:pPr>
    </w:p>
    <w:p w14:paraId="0D44CBE2" w14:textId="77777777" w:rsidR="00DB1AC9" w:rsidRPr="00DC73DC" w:rsidRDefault="00DB1AC9" w:rsidP="00F76295">
      <w:pPr>
        <w:spacing w:line="360" w:lineRule="auto"/>
        <w:jc w:val="both"/>
      </w:pPr>
    </w:p>
    <w:p w14:paraId="234E657C" w14:textId="77777777" w:rsidR="00DB1AC9" w:rsidRPr="00DC73DC" w:rsidRDefault="00DB1AC9" w:rsidP="00F76295">
      <w:pPr>
        <w:spacing w:line="360" w:lineRule="auto"/>
        <w:jc w:val="both"/>
      </w:pPr>
    </w:p>
    <w:p w14:paraId="11980B5C" w14:textId="77777777" w:rsidR="00DB1AC9" w:rsidRPr="00DC73DC" w:rsidRDefault="00DB1AC9" w:rsidP="00F76295">
      <w:pPr>
        <w:spacing w:line="360" w:lineRule="auto"/>
        <w:jc w:val="both"/>
      </w:pPr>
    </w:p>
    <w:p w14:paraId="10F87C93" w14:textId="77777777" w:rsidR="00DB1AC9" w:rsidRPr="00DC73DC" w:rsidRDefault="00DB1AC9" w:rsidP="00F76295">
      <w:pPr>
        <w:spacing w:line="360" w:lineRule="auto"/>
        <w:jc w:val="both"/>
      </w:pPr>
    </w:p>
    <w:p w14:paraId="27CFD710" w14:textId="77777777" w:rsidR="00DB1AC9" w:rsidRPr="00DC73DC" w:rsidRDefault="00DB1AC9" w:rsidP="00F76295">
      <w:pPr>
        <w:spacing w:line="360" w:lineRule="auto"/>
        <w:jc w:val="both"/>
      </w:pPr>
    </w:p>
    <w:p w14:paraId="6B7A5B79" w14:textId="77777777" w:rsidR="00DB1AC9" w:rsidRPr="00DC73DC" w:rsidRDefault="00DB1AC9" w:rsidP="00F76295">
      <w:pPr>
        <w:spacing w:line="360" w:lineRule="auto"/>
        <w:jc w:val="both"/>
      </w:pPr>
    </w:p>
    <w:p w14:paraId="501428EB" w14:textId="77777777" w:rsidR="00DB1AC9" w:rsidRPr="00DC73DC" w:rsidRDefault="00DB1AC9" w:rsidP="00F76295">
      <w:pPr>
        <w:spacing w:line="360" w:lineRule="auto"/>
        <w:jc w:val="both"/>
      </w:pPr>
    </w:p>
    <w:p w14:paraId="307291DE" w14:textId="77777777" w:rsidR="00DB1AC9" w:rsidRPr="00DC73DC" w:rsidRDefault="00DB1AC9" w:rsidP="00F76295">
      <w:pPr>
        <w:spacing w:line="360" w:lineRule="auto"/>
        <w:jc w:val="both"/>
      </w:pPr>
    </w:p>
    <w:p w14:paraId="3652CAF7" w14:textId="77777777" w:rsidR="00DB1AC9" w:rsidRPr="00DC73DC" w:rsidRDefault="00DB1AC9" w:rsidP="00F76295">
      <w:pPr>
        <w:spacing w:line="360" w:lineRule="auto"/>
        <w:jc w:val="both"/>
      </w:pPr>
    </w:p>
    <w:p w14:paraId="21412CFD" w14:textId="77777777" w:rsidR="00DB1AC9" w:rsidRPr="00DC73DC" w:rsidRDefault="00DB1AC9" w:rsidP="00F76295">
      <w:pPr>
        <w:spacing w:line="360" w:lineRule="auto"/>
        <w:jc w:val="both"/>
      </w:pPr>
    </w:p>
    <w:p w14:paraId="5C67B5C8" w14:textId="77777777" w:rsidR="00DB1AC9" w:rsidRPr="00DC73DC" w:rsidRDefault="00DB1AC9" w:rsidP="00F76295">
      <w:pPr>
        <w:spacing w:line="360" w:lineRule="auto"/>
        <w:jc w:val="both"/>
      </w:pPr>
    </w:p>
    <w:p w14:paraId="11B5ABA0" w14:textId="77777777" w:rsidR="00DB1AC9" w:rsidRPr="00DC73DC" w:rsidRDefault="00DB1AC9" w:rsidP="00F76295">
      <w:pPr>
        <w:spacing w:line="360" w:lineRule="auto"/>
        <w:jc w:val="both"/>
      </w:pPr>
    </w:p>
    <w:p w14:paraId="29559655" w14:textId="77777777" w:rsidR="00DC73DC" w:rsidRPr="00DC73DC" w:rsidRDefault="00DC73DC" w:rsidP="00F76295">
      <w:pPr>
        <w:pStyle w:val="Bezmezer"/>
        <w:rPr>
          <w:rFonts w:ascii="Times New Roman" w:hAnsi="Times New Roman"/>
          <w:b w:val="0"/>
          <w:szCs w:val="24"/>
        </w:rPr>
      </w:pPr>
      <w:bookmarkStart w:id="1" w:name="_Toc390814663"/>
      <w:bookmarkStart w:id="2" w:name="_Toc390815493"/>
    </w:p>
    <w:p w14:paraId="5375164A" w14:textId="77777777" w:rsidR="00DC73DC" w:rsidRPr="00DC73DC" w:rsidRDefault="00DC73DC" w:rsidP="00F76295">
      <w:pPr>
        <w:pStyle w:val="Bezmezer"/>
        <w:rPr>
          <w:rFonts w:ascii="Times New Roman" w:hAnsi="Times New Roman"/>
          <w:b w:val="0"/>
          <w:szCs w:val="24"/>
        </w:rPr>
      </w:pPr>
    </w:p>
    <w:p w14:paraId="210DB109" w14:textId="77777777" w:rsidR="00DC73DC" w:rsidRDefault="00DC73DC" w:rsidP="00F76295">
      <w:pPr>
        <w:pStyle w:val="Bezmezer"/>
        <w:rPr>
          <w:rFonts w:ascii="Times New Roman" w:hAnsi="Times New Roman"/>
          <w:b w:val="0"/>
          <w:szCs w:val="24"/>
        </w:rPr>
      </w:pPr>
    </w:p>
    <w:p w14:paraId="254D57CD" w14:textId="77777777" w:rsidR="00DC73DC" w:rsidRPr="00DC73DC" w:rsidRDefault="00DC73DC" w:rsidP="00F76295">
      <w:pPr>
        <w:pStyle w:val="Bezmezer"/>
        <w:rPr>
          <w:rFonts w:ascii="Times New Roman" w:hAnsi="Times New Roman"/>
          <w:b w:val="0"/>
          <w:szCs w:val="24"/>
        </w:rPr>
      </w:pPr>
    </w:p>
    <w:p w14:paraId="069C4F63" w14:textId="77777777" w:rsidR="00DB1AC9" w:rsidRPr="0028110B" w:rsidRDefault="00DB1AC9" w:rsidP="00F76295">
      <w:pPr>
        <w:pStyle w:val="Bezmezer"/>
        <w:rPr>
          <w:rFonts w:ascii="Times New Roman" w:hAnsi="Times New Roman"/>
          <w:szCs w:val="24"/>
        </w:rPr>
      </w:pPr>
      <w:r w:rsidRPr="0028110B">
        <w:rPr>
          <w:rFonts w:ascii="Times New Roman" w:hAnsi="Times New Roman"/>
          <w:szCs w:val="24"/>
        </w:rPr>
        <w:t>Poděkování</w:t>
      </w:r>
      <w:bookmarkEnd w:id="1"/>
      <w:bookmarkEnd w:id="2"/>
    </w:p>
    <w:p w14:paraId="1198C2B3" w14:textId="064D1B94" w:rsidR="00DB1AC9" w:rsidRPr="0028110B" w:rsidRDefault="00DB1AC9" w:rsidP="00DC73DC">
      <w:pPr>
        <w:pStyle w:val="Bezmezer"/>
        <w:rPr>
          <w:rFonts w:ascii="Times New Roman" w:hAnsi="Times New Roman"/>
          <w:b w:val="0"/>
          <w:noProof/>
        </w:rPr>
      </w:pPr>
      <w:r w:rsidRPr="0028110B">
        <w:rPr>
          <w:rFonts w:ascii="Times New Roman" w:hAnsi="Times New Roman"/>
          <w:b w:val="0"/>
        </w:rPr>
        <w:t xml:space="preserve">Tímto bych velmi ráda poděkovala JUDr. Ondřeji Šmídovi Ph.D. za cenné rady </w:t>
      </w:r>
      <w:r w:rsidRPr="0028110B">
        <w:rPr>
          <w:rFonts w:ascii="Times New Roman" w:hAnsi="Times New Roman"/>
          <w:b w:val="0"/>
        </w:rPr>
        <w:br/>
        <w:t>a odborné vedení při zpracování mé diplomové práce.</w:t>
      </w:r>
    </w:p>
    <w:p w14:paraId="232E096C" w14:textId="77777777" w:rsidR="00DC73DC" w:rsidRDefault="00DC73DC" w:rsidP="00DC73DC">
      <w:pPr>
        <w:spacing w:line="360" w:lineRule="auto"/>
        <w:ind w:firstLine="0"/>
        <w:jc w:val="both"/>
      </w:pPr>
    </w:p>
    <w:p w14:paraId="589B4F69" w14:textId="77777777" w:rsidR="00C05EEC" w:rsidRDefault="00C05EEC">
      <w:pPr>
        <w:ind w:firstLine="0"/>
      </w:pPr>
      <w:r>
        <w:br w:type="page"/>
      </w:r>
    </w:p>
    <w:sdt>
      <w:sdtPr>
        <w:rPr>
          <w:rFonts w:ascii="Times New Roman" w:eastAsia="Times New Roman" w:hAnsi="Times New Roman" w:cs="Times New Roman"/>
          <w:color w:val="auto"/>
          <w:sz w:val="24"/>
          <w:szCs w:val="24"/>
        </w:rPr>
        <w:id w:val="-46987056"/>
        <w:docPartObj>
          <w:docPartGallery w:val="Table of Contents"/>
          <w:docPartUnique/>
        </w:docPartObj>
      </w:sdtPr>
      <w:sdtEndPr>
        <w:rPr>
          <w:b/>
          <w:bCs w:val="0"/>
        </w:rPr>
      </w:sdtEndPr>
      <w:sdtContent>
        <w:p w14:paraId="69BCD709" w14:textId="613663AA" w:rsidR="007A32EA" w:rsidRPr="00B173F3" w:rsidRDefault="007A32EA" w:rsidP="009E2F35">
          <w:pPr>
            <w:pStyle w:val="Nadpisobsahu"/>
            <w:rPr>
              <w:rStyle w:val="Nadpis1Char"/>
              <w:rFonts w:ascii="Times New Roman" w:eastAsiaTheme="majorEastAsia" w:hAnsi="Times New Roman" w:cs="Times New Roman"/>
              <w:b w:val="0"/>
              <w:color w:val="auto"/>
            </w:rPr>
          </w:pPr>
          <w:r w:rsidRPr="00B173F3">
            <w:rPr>
              <w:rStyle w:val="Nadpis1Char"/>
              <w:rFonts w:ascii="Times New Roman" w:eastAsiaTheme="majorEastAsia" w:hAnsi="Times New Roman" w:cs="Times New Roman"/>
              <w:b w:val="0"/>
              <w:color w:val="auto"/>
            </w:rPr>
            <w:t>Obsah</w:t>
          </w:r>
        </w:p>
        <w:p w14:paraId="24C8C22B" w14:textId="0B45274C" w:rsidR="00B173F3" w:rsidRPr="00B173F3" w:rsidRDefault="007A32EA" w:rsidP="00AB0258">
          <w:pPr>
            <w:pStyle w:val="Obsah1"/>
            <w:rPr>
              <w:rFonts w:eastAsiaTheme="minorEastAsia"/>
              <w:b w:val="0"/>
              <w:noProof/>
              <w:sz w:val="22"/>
              <w:szCs w:val="22"/>
            </w:rPr>
          </w:pPr>
          <w:r w:rsidRPr="00B173F3">
            <w:fldChar w:fldCharType="begin"/>
          </w:r>
          <w:r w:rsidRPr="00B173F3">
            <w:instrText xml:space="preserve"> TOC \o "1-3" \h \z \u </w:instrText>
          </w:r>
          <w:r w:rsidRPr="00B173F3">
            <w:fldChar w:fldCharType="separate"/>
          </w:r>
          <w:hyperlink w:anchor="_Toc491117210" w:history="1">
            <w:r w:rsidR="00B173F3" w:rsidRPr="00B173F3">
              <w:rPr>
                <w:rStyle w:val="Hypertextovodkaz"/>
                <w:noProof/>
              </w:rPr>
              <w:t>Seznam použitých zkratek</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_Toc491117210 \h </w:instrText>
            </w:r>
            <w:r w:rsidR="00B173F3" w:rsidRPr="00B173F3">
              <w:rPr>
                <w:noProof/>
                <w:webHidden/>
              </w:rPr>
            </w:r>
            <w:r w:rsidR="00B173F3" w:rsidRPr="00B173F3">
              <w:rPr>
                <w:noProof/>
                <w:webHidden/>
              </w:rPr>
              <w:fldChar w:fldCharType="separate"/>
            </w:r>
            <w:r w:rsidR="00B173F3" w:rsidRPr="00B173F3">
              <w:rPr>
                <w:noProof/>
                <w:webHidden/>
              </w:rPr>
              <w:t>5</w:t>
            </w:r>
            <w:r w:rsidR="00B173F3" w:rsidRPr="00B173F3">
              <w:rPr>
                <w:noProof/>
                <w:webHidden/>
              </w:rPr>
              <w:fldChar w:fldCharType="end"/>
            </w:r>
          </w:hyperlink>
        </w:p>
        <w:p w14:paraId="44CDB01B" w14:textId="66EDED30" w:rsidR="00B173F3" w:rsidRPr="00B173F3" w:rsidRDefault="00693AD1" w:rsidP="00AB0258">
          <w:pPr>
            <w:pStyle w:val="Obsah1"/>
            <w:rPr>
              <w:rFonts w:eastAsiaTheme="minorEastAsia"/>
              <w:b w:val="0"/>
              <w:noProof/>
              <w:sz w:val="22"/>
              <w:szCs w:val="22"/>
            </w:rPr>
          </w:pPr>
          <w:hyperlink w:anchor="_Toc491117211" w:history="1">
            <w:r w:rsidR="00B173F3" w:rsidRPr="00B173F3">
              <w:rPr>
                <w:rStyle w:val="Hypertextovodkaz"/>
                <w:noProof/>
              </w:rPr>
              <w:t>Úvod</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_Toc491117211 \h </w:instrText>
            </w:r>
            <w:r w:rsidR="00B173F3" w:rsidRPr="00B173F3">
              <w:rPr>
                <w:noProof/>
                <w:webHidden/>
              </w:rPr>
            </w:r>
            <w:r w:rsidR="00B173F3" w:rsidRPr="00B173F3">
              <w:rPr>
                <w:noProof/>
                <w:webHidden/>
              </w:rPr>
              <w:fldChar w:fldCharType="separate"/>
            </w:r>
            <w:r w:rsidR="00B173F3" w:rsidRPr="00B173F3">
              <w:rPr>
                <w:noProof/>
                <w:webHidden/>
              </w:rPr>
              <w:t>6</w:t>
            </w:r>
            <w:r w:rsidR="00B173F3" w:rsidRPr="00B173F3">
              <w:rPr>
                <w:noProof/>
                <w:webHidden/>
              </w:rPr>
              <w:fldChar w:fldCharType="end"/>
            </w:r>
          </w:hyperlink>
        </w:p>
        <w:p w14:paraId="21E9D666" w14:textId="29640CD5" w:rsidR="00B173F3" w:rsidRPr="00B173F3" w:rsidRDefault="00693AD1" w:rsidP="00AB0258">
          <w:pPr>
            <w:pStyle w:val="Obsah1"/>
            <w:rPr>
              <w:rFonts w:eastAsiaTheme="minorEastAsia"/>
              <w:b w:val="0"/>
              <w:noProof/>
              <w:sz w:val="22"/>
              <w:szCs w:val="22"/>
            </w:rPr>
          </w:pPr>
          <w:hyperlink w:anchor="_Toc491117212" w:history="1">
            <w:r w:rsidR="00B173F3" w:rsidRPr="00B173F3">
              <w:rPr>
                <w:rStyle w:val="Hypertextovodkaz"/>
                <w:noProof/>
              </w:rPr>
              <w:t>1</w:t>
            </w:r>
            <w:r w:rsidR="00B173F3">
              <w:rPr>
                <w:rFonts w:eastAsiaTheme="minorEastAsia"/>
                <w:b w:val="0"/>
                <w:noProof/>
                <w:sz w:val="22"/>
                <w:szCs w:val="22"/>
              </w:rPr>
              <w:t xml:space="preserve"> </w:t>
            </w:r>
            <w:r w:rsidR="00B173F3" w:rsidRPr="00B173F3">
              <w:rPr>
                <w:rStyle w:val="Hypertextovodkaz"/>
                <w:noProof/>
              </w:rPr>
              <w:t>Právní rámec</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_Toc491117212 \h </w:instrText>
            </w:r>
            <w:r w:rsidR="00B173F3" w:rsidRPr="00B173F3">
              <w:rPr>
                <w:noProof/>
                <w:webHidden/>
              </w:rPr>
            </w:r>
            <w:r w:rsidR="00B173F3" w:rsidRPr="00B173F3">
              <w:rPr>
                <w:noProof/>
                <w:webHidden/>
              </w:rPr>
              <w:fldChar w:fldCharType="separate"/>
            </w:r>
            <w:r w:rsidR="00B173F3" w:rsidRPr="00B173F3">
              <w:rPr>
                <w:noProof/>
                <w:webHidden/>
              </w:rPr>
              <w:t>8</w:t>
            </w:r>
            <w:r w:rsidR="00B173F3" w:rsidRPr="00B173F3">
              <w:rPr>
                <w:noProof/>
                <w:webHidden/>
              </w:rPr>
              <w:fldChar w:fldCharType="end"/>
            </w:r>
          </w:hyperlink>
        </w:p>
        <w:p w14:paraId="22D2D1AF" w14:textId="356F6404" w:rsidR="00B173F3" w:rsidRPr="00B173F3" w:rsidRDefault="00693AD1">
          <w:pPr>
            <w:pStyle w:val="Obsah2"/>
            <w:tabs>
              <w:tab w:val="left" w:pos="1440"/>
              <w:tab w:val="right" w:leader="dot" w:pos="9055"/>
            </w:tabs>
            <w:rPr>
              <w:rFonts w:eastAsiaTheme="minorEastAsia"/>
              <w:noProof/>
              <w:sz w:val="22"/>
              <w:szCs w:val="22"/>
            </w:rPr>
          </w:pPr>
          <w:hyperlink w:anchor="_Toc491117213" w:history="1">
            <w:r w:rsidR="00B173F3" w:rsidRPr="00B173F3">
              <w:rPr>
                <w:rStyle w:val="Hypertextovodkaz"/>
                <w:noProof/>
              </w:rPr>
              <w:t>1.1</w:t>
            </w:r>
            <w:r w:rsidR="00B173F3" w:rsidRPr="00B173F3">
              <w:rPr>
                <w:rFonts w:eastAsiaTheme="minorEastAsia"/>
                <w:noProof/>
                <w:sz w:val="22"/>
                <w:szCs w:val="22"/>
              </w:rPr>
              <w:tab/>
            </w:r>
            <w:r w:rsidR="00B173F3" w:rsidRPr="00B173F3">
              <w:rPr>
                <w:rStyle w:val="Hypertextovodkaz"/>
                <w:noProof/>
              </w:rPr>
              <w:t>Mezinárodní úprava</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_Toc491117213 \h </w:instrText>
            </w:r>
            <w:r w:rsidR="00B173F3" w:rsidRPr="00B173F3">
              <w:rPr>
                <w:noProof/>
                <w:webHidden/>
              </w:rPr>
            </w:r>
            <w:r w:rsidR="00B173F3" w:rsidRPr="00B173F3">
              <w:rPr>
                <w:noProof/>
                <w:webHidden/>
              </w:rPr>
              <w:fldChar w:fldCharType="separate"/>
            </w:r>
            <w:r w:rsidR="00B173F3" w:rsidRPr="00B173F3">
              <w:rPr>
                <w:noProof/>
                <w:webHidden/>
              </w:rPr>
              <w:t>8</w:t>
            </w:r>
            <w:r w:rsidR="00B173F3" w:rsidRPr="00B173F3">
              <w:rPr>
                <w:noProof/>
                <w:webHidden/>
              </w:rPr>
              <w:fldChar w:fldCharType="end"/>
            </w:r>
          </w:hyperlink>
        </w:p>
        <w:p w14:paraId="0CC2FD1F" w14:textId="6541489A" w:rsidR="00B173F3" w:rsidRPr="00B173F3" w:rsidRDefault="00693AD1">
          <w:pPr>
            <w:pStyle w:val="Obsah2"/>
            <w:tabs>
              <w:tab w:val="left" w:pos="1440"/>
              <w:tab w:val="right" w:leader="dot" w:pos="9055"/>
            </w:tabs>
            <w:rPr>
              <w:rFonts w:eastAsiaTheme="minorEastAsia"/>
              <w:noProof/>
              <w:sz w:val="22"/>
              <w:szCs w:val="22"/>
            </w:rPr>
          </w:pPr>
          <w:hyperlink w:anchor="_Toc491117214" w:history="1">
            <w:r w:rsidR="00B173F3" w:rsidRPr="00B173F3">
              <w:rPr>
                <w:rStyle w:val="Hypertextovodkaz"/>
                <w:noProof/>
              </w:rPr>
              <w:t>1.2</w:t>
            </w:r>
            <w:r w:rsidR="00B173F3" w:rsidRPr="00B173F3">
              <w:rPr>
                <w:rFonts w:eastAsiaTheme="minorEastAsia"/>
                <w:noProof/>
                <w:sz w:val="22"/>
                <w:szCs w:val="22"/>
              </w:rPr>
              <w:tab/>
            </w:r>
            <w:r w:rsidR="00B173F3" w:rsidRPr="00B173F3">
              <w:rPr>
                <w:rStyle w:val="Hypertextovodkaz"/>
                <w:noProof/>
              </w:rPr>
              <w:t>Unijní právní úprava</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_Toc491117214 \h </w:instrText>
            </w:r>
            <w:r w:rsidR="00B173F3" w:rsidRPr="00B173F3">
              <w:rPr>
                <w:noProof/>
                <w:webHidden/>
              </w:rPr>
            </w:r>
            <w:r w:rsidR="00B173F3" w:rsidRPr="00B173F3">
              <w:rPr>
                <w:noProof/>
                <w:webHidden/>
              </w:rPr>
              <w:fldChar w:fldCharType="separate"/>
            </w:r>
            <w:r w:rsidR="00B173F3" w:rsidRPr="00B173F3">
              <w:rPr>
                <w:noProof/>
                <w:webHidden/>
              </w:rPr>
              <w:t>9</w:t>
            </w:r>
            <w:r w:rsidR="00B173F3" w:rsidRPr="00B173F3">
              <w:rPr>
                <w:noProof/>
                <w:webHidden/>
              </w:rPr>
              <w:fldChar w:fldCharType="end"/>
            </w:r>
          </w:hyperlink>
        </w:p>
        <w:p w14:paraId="2F7539DF" w14:textId="079E13F5" w:rsidR="00B173F3" w:rsidRPr="00B173F3" w:rsidRDefault="00693AD1">
          <w:pPr>
            <w:pStyle w:val="Obsah3"/>
            <w:tabs>
              <w:tab w:val="left" w:pos="1920"/>
              <w:tab w:val="right" w:leader="dot" w:pos="9055"/>
            </w:tabs>
            <w:rPr>
              <w:rFonts w:eastAsiaTheme="minorEastAsia"/>
              <w:noProof/>
              <w:sz w:val="22"/>
              <w:szCs w:val="22"/>
            </w:rPr>
          </w:pPr>
          <w:hyperlink w:anchor="_Toc491117215" w:history="1">
            <w:r w:rsidR="00B173F3" w:rsidRPr="00B173F3">
              <w:rPr>
                <w:rStyle w:val="Hypertextovodkaz"/>
                <w:noProof/>
              </w:rPr>
              <w:t>1.2.1</w:t>
            </w:r>
            <w:r w:rsidR="00B173F3" w:rsidRPr="00B173F3">
              <w:rPr>
                <w:rFonts w:eastAsiaTheme="minorEastAsia"/>
                <w:noProof/>
                <w:sz w:val="22"/>
                <w:szCs w:val="22"/>
              </w:rPr>
              <w:tab/>
            </w:r>
            <w:r w:rsidR="00B173F3" w:rsidRPr="00B173F3">
              <w:rPr>
                <w:rStyle w:val="Hypertextovodkaz"/>
                <w:noProof/>
              </w:rPr>
              <w:t>Hlavní principy a pojmy podle Unijní právní úpravy</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_Toc491117215 \h </w:instrText>
            </w:r>
            <w:r w:rsidR="00B173F3" w:rsidRPr="00B173F3">
              <w:rPr>
                <w:noProof/>
                <w:webHidden/>
              </w:rPr>
            </w:r>
            <w:r w:rsidR="00B173F3" w:rsidRPr="00B173F3">
              <w:rPr>
                <w:noProof/>
                <w:webHidden/>
              </w:rPr>
              <w:fldChar w:fldCharType="separate"/>
            </w:r>
            <w:r w:rsidR="00B173F3" w:rsidRPr="00B173F3">
              <w:rPr>
                <w:noProof/>
                <w:webHidden/>
              </w:rPr>
              <w:t>10</w:t>
            </w:r>
            <w:r w:rsidR="00B173F3" w:rsidRPr="00B173F3">
              <w:rPr>
                <w:noProof/>
                <w:webHidden/>
              </w:rPr>
              <w:fldChar w:fldCharType="end"/>
            </w:r>
          </w:hyperlink>
        </w:p>
        <w:p w14:paraId="3F39EEE9" w14:textId="509DAE58" w:rsidR="00B173F3" w:rsidRPr="00B173F3" w:rsidRDefault="00693AD1">
          <w:pPr>
            <w:pStyle w:val="Obsah2"/>
            <w:tabs>
              <w:tab w:val="left" w:pos="1440"/>
              <w:tab w:val="right" w:leader="dot" w:pos="9055"/>
            </w:tabs>
            <w:rPr>
              <w:rFonts w:eastAsiaTheme="minorEastAsia"/>
              <w:noProof/>
              <w:sz w:val="22"/>
              <w:szCs w:val="22"/>
            </w:rPr>
          </w:pPr>
          <w:hyperlink w:anchor="_Toc491117216" w:history="1">
            <w:r w:rsidR="00B173F3" w:rsidRPr="00B173F3">
              <w:rPr>
                <w:rStyle w:val="Hypertextovodkaz"/>
                <w:noProof/>
              </w:rPr>
              <w:t>1.3</w:t>
            </w:r>
            <w:r w:rsidR="00B173F3" w:rsidRPr="00B173F3">
              <w:rPr>
                <w:rFonts w:eastAsiaTheme="minorEastAsia"/>
                <w:noProof/>
                <w:sz w:val="22"/>
                <w:szCs w:val="22"/>
              </w:rPr>
              <w:tab/>
            </w:r>
            <w:r w:rsidR="00B173F3" w:rsidRPr="00B173F3">
              <w:rPr>
                <w:rStyle w:val="Hypertextovodkaz"/>
                <w:noProof/>
              </w:rPr>
              <w:t>Česká právní úprava</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_Toc491117216 \h </w:instrText>
            </w:r>
            <w:r w:rsidR="00B173F3" w:rsidRPr="00B173F3">
              <w:rPr>
                <w:noProof/>
                <w:webHidden/>
              </w:rPr>
            </w:r>
            <w:r w:rsidR="00B173F3" w:rsidRPr="00B173F3">
              <w:rPr>
                <w:noProof/>
                <w:webHidden/>
              </w:rPr>
              <w:fldChar w:fldCharType="separate"/>
            </w:r>
            <w:r w:rsidR="00B173F3" w:rsidRPr="00B173F3">
              <w:rPr>
                <w:noProof/>
                <w:webHidden/>
              </w:rPr>
              <w:t>12</w:t>
            </w:r>
            <w:r w:rsidR="00B173F3" w:rsidRPr="00B173F3">
              <w:rPr>
                <w:noProof/>
                <w:webHidden/>
              </w:rPr>
              <w:fldChar w:fldCharType="end"/>
            </w:r>
          </w:hyperlink>
        </w:p>
        <w:p w14:paraId="2C8F44C0" w14:textId="171C4A43" w:rsidR="00B173F3" w:rsidRPr="00B173F3" w:rsidRDefault="00693AD1">
          <w:pPr>
            <w:pStyle w:val="Obsah3"/>
            <w:tabs>
              <w:tab w:val="left" w:pos="1920"/>
              <w:tab w:val="right" w:leader="dot" w:pos="9055"/>
            </w:tabs>
            <w:rPr>
              <w:rFonts w:eastAsiaTheme="minorEastAsia"/>
              <w:noProof/>
              <w:sz w:val="22"/>
              <w:szCs w:val="22"/>
            </w:rPr>
          </w:pPr>
          <w:hyperlink w:anchor="_Toc491117217" w:history="1">
            <w:r w:rsidR="00B173F3" w:rsidRPr="00B173F3">
              <w:rPr>
                <w:rStyle w:val="Hypertextovodkaz"/>
                <w:noProof/>
              </w:rPr>
              <w:t>1.3.1.</w:t>
            </w:r>
            <w:r w:rsidR="00B173F3" w:rsidRPr="00B173F3">
              <w:rPr>
                <w:rFonts w:eastAsiaTheme="minorEastAsia"/>
                <w:noProof/>
                <w:sz w:val="22"/>
                <w:szCs w:val="22"/>
              </w:rPr>
              <w:tab/>
            </w:r>
            <w:r w:rsidR="00B173F3" w:rsidRPr="00B173F3">
              <w:rPr>
                <w:rStyle w:val="Hypertextovodkaz"/>
                <w:noProof/>
              </w:rPr>
              <w:t xml:space="preserve">Procesní řízení podle </w:t>
            </w:r>
            <w:r w:rsidR="00887CCB">
              <w:rPr>
                <w:rStyle w:val="Hypertextovodkaz"/>
                <w:noProof/>
              </w:rPr>
              <w:t>ZŘS</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_Toc491117217 \h </w:instrText>
            </w:r>
            <w:r w:rsidR="00B173F3" w:rsidRPr="00B173F3">
              <w:rPr>
                <w:noProof/>
                <w:webHidden/>
              </w:rPr>
            </w:r>
            <w:r w:rsidR="00B173F3" w:rsidRPr="00B173F3">
              <w:rPr>
                <w:noProof/>
                <w:webHidden/>
              </w:rPr>
              <w:fldChar w:fldCharType="separate"/>
            </w:r>
            <w:r w:rsidR="00B173F3" w:rsidRPr="00B173F3">
              <w:rPr>
                <w:noProof/>
                <w:webHidden/>
              </w:rPr>
              <w:t>12</w:t>
            </w:r>
            <w:r w:rsidR="00B173F3" w:rsidRPr="00B173F3">
              <w:rPr>
                <w:noProof/>
                <w:webHidden/>
              </w:rPr>
              <w:fldChar w:fldCharType="end"/>
            </w:r>
          </w:hyperlink>
        </w:p>
        <w:p w14:paraId="0F4D4701" w14:textId="167DAB04" w:rsidR="00B173F3" w:rsidRPr="00B173F3" w:rsidRDefault="00693AD1">
          <w:pPr>
            <w:pStyle w:val="Obsah3"/>
            <w:tabs>
              <w:tab w:val="left" w:pos="1920"/>
              <w:tab w:val="right" w:leader="dot" w:pos="9055"/>
            </w:tabs>
            <w:rPr>
              <w:rFonts w:eastAsiaTheme="minorEastAsia"/>
              <w:noProof/>
              <w:sz w:val="22"/>
              <w:szCs w:val="22"/>
            </w:rPr>
          </w:pPr>
          <w:hyperlink w:anchor="_Toc491117218" w:history="1">
            <w:r w:rsidR="00B173F3" w:rsidRPr="00B173F3">
              <w:rPr>
                <w:rStyle w:val="Hypertextovodkaz"/>
                <w:noProof/>
              </w:rPr>
              <w:t>1.3.2.</w:t>
            </w:r>
            <w:r w:rsidR="00B173F3" w:rsidRPr="00B173F3">
              <w:rPr>
                <w:rFonts w:eastAsiaTheme="minorEastAsia"/>
                <w:noProof/>
                <w:sz w:val="22"/>
                <w:szCs w:val="22"/>
              </w:rPr>
              <w:tab/>
            </w:r>
            <w:r w:rsidR="00B173F3" w:rsidRPr="00B173F3">
              <w:rPr>
                <w:rStyle w:val="Hypertextovodkaz"/>
                <w:noProof/>
                <w:shd w:val="clear" w:color="auto" w:fill="FFFFFF"/>
              </w:rPr>
              <w:t xml:space="preserve">Ustanovení </w:t>
            </w:r>
            <w:r w:rsidR="00887CCB">
              <w:rPr>
                <w:rStyle w:val="Hypertextovodkaz"/>
                <w:noProof/>
                <w:shd w:val="clear" w:color="auto" w:fill="FFFFFF"/>
              </w:rPr>
              <w:t>ZŘS</w:t>
            </w:r>
            <w:r w:rsidR="00B173F3" w:rsidRPr="00B173F3">
              <w:rPr>
                <w:rStyle w:val="Hypertextovodkaz"/>
                <w:noProof/>
                <w:shd w:val="clear" w:color="auto" w:fill="FFFFFF"/>
              </w:rPr>
              <w:t xml:space="preserve"> ve světle judikatury</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_Toc491117218 \h </w:instrText>
            </w:r>
            <w:r w:rsidR="00B173F3" w:rsidRPr="00B173F3">
              <w:rPr>
                <w:noProof/>
                <w:webHidden/>
              </w:rPr>
            </w:r>
            <w:r w:rsidR="00B173F3" w:rsidRPr="00B173F3">
              <w:rPr>
                <w:noProof/>
                <w:webHidden/>
              </w:rPr>
              <w:fldChar w:fldCharType="separate"/>
            </w:r>
            <w:r w:rsidR="00B173F3" w:rsidRPr="00B173F3">
              <w:rPr>
                <w:noProof/>
                <w:webHidden/>
              </w:rPr>
              <w:t>17</w:t>
            </w:r>
            <w:r w:rsidR="00B173F3" w:rsidRPr="00B173F3">
              <w:rPr>
                <w:noProof/>
                <w:webHidden/>
              </w:rPr>
              <w:fldChar w:fldCharType="end"/>
            </w:r>
          </w:hyperlink>
        </w:p>
        <w:p w14:paraId="22A9AF42" w14:textId="017FFED0" w:rsidR="00B173F3" w:rsidRPr="00B173F3" w:rsidRDefault="00693AD1" w:rsidP="00AB0258">
          <w:pPr>
            <w:pStyle w:val="Obsah1"/>
            <w:rPr>
              <w:rFonts w:eastAsiaTheme="minorEastAsia"/>
              <w:b w:val="0"/>
              <w:noProof/>
              <w:sz w:val="22"/>
              <w:szCs w:val="22"/>
            </w:rPr>
          </w:pPr>
          <w:hyperlink w:anchor="_Toc491117219" w:history="1">
            <w:r w:rsidR="00B173F3" w:rsidRPr="00B173F3">
              <w:rPr>
                <w:rStyle w:val="Hypertextovodkaz"/>
                <w:noProof/>
              </w:rPr>
              <w:t>2</w:t>
            </w:r>
            <w:r w:rsidR="00B173F3">
              <w:rPr>
                <w:rFonts w:eastAsiaTheme="minorEastAsia"/>
                <w:b w:val="0"/>
                <w:noProof/>
                <w:sz w:val="22"/>
                <w:szCs w:val="22"/>
              </w:rPr>
              <w:t xml:space="preserve"> </w:t>
            </w:r>
            <w:r w:rsidR="00B173F3" w:rsidRPr="00B173F3">
              <w:rPr>
                <w:rStyle w:val="Hypertextovodkaz"/>
                <w:noProof/>
              </w:rPr>
              <w:t>Pojem obvyklého bydliště dítěte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_Toc491117219 \h </w:instrText>
            </w:r>
            <w:r w:rsidR="00B173F3" w:rsidRPr="00B173F3">
              <w:rPr>
                <w:noProof/>
                <w:webHidden/>
              </w:rPr>
            </w:r>
            <w:r w:rsidR="00B173F3" w:rsidRPr="00B173F3">
              <w:rPr>
                <w:noProof/>
                <w:webHidden/>
              </w:rPr>
              <w:fldChar w:fldCharType="separate"/>
            </w:r>
            <w:r w:rsidR="00B173F3" w:rsidRPr="00B173F3">
              <w:rPr>
                <w:noProof/>
                <w:webHidden/>
              </w:rPr>
              <w:t>20</w:t>
            </w:r>
            <w:r w:rsidR="00B173F3" w:rsidRPr="00B173F3">
              <w:rPr>
                <w:noProof/>
                <w:webHidden/>
              </w:rPr>
              <w:fldChar w:fldCharType="end"/>
            </w:r>
          </w:hyperlink>
        </w:p>
        <w:p w14:paraId="62B52BCD" w14:textId="319EF0DD" w:rsidR="00B173F3" w:rsidRPr="00B173F3" w:rsidRDefault="00693AD1">
          <w:pPr>
            <w:pStyle w:val="Obsah2"/>
            <w:tabs>
              <w:tab w:val="left" w:pos="1440"/>
              <w:tab w:val="right" w:leader="dot" w:pos="9055"/>
            </w:tabs>
            <w:rPr>
              <w:rFonts w:eastAsiaTheme="minorEastAsia"/>
              <w:noProof/>
              <w:sz w:val="22"/>
              <w:szCs w:val="22"/>
            </w:rPr>
          </w:pPr>
          <w:hyperlink w:anchor="_Toc491117220" w:history="1">
            <w:r w:rsidR="00B173F3" w:rsidRPr="00B173F3">
              <w:rPr>
                <w:rStyle w:val="Hypertextovodkaz"/>
                <w:noProof/>
              </w:rPr>
              <w:t>2.1.</w:t>
            </w:r>
            <w:r w:rsidR="00B173F3" w:rsidRPr="00B173F3">
              <w:rPr>
                <w:rFonts w:eastAsiaTheme="minorEastAsia"/>
                <w:noProof/>
                <w:sz w:val="22"/>
                <w:szCs w:val="22"/>
              </w:rPr>
              <w:tab/>
            </w:r>
            <w:r w:rsidR="00B173F3" w:rsidRPr="00B173F3">
              <w:rPr>
                <w:rStyle w:val="Hypertextovodkaz"/>
                <w:noProof/>
              </w:rPr>
              <w:t>Pojmy související s určením obvyklého bydliště dítěte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_Toc491117220 \h </w:instrText>
            </w:r>
            <w:r w:rsidR="00B173F3" w:rsidRPr="00B173F3">
              <w:rPr>
                <w:noProof/>
                <w:webHidden/>
              </w:rPr>
            </w:r>
            <w:r w:rsidR="00B173F3" w:rsidRPr="00B173F3">
              <w:rPr>
                <w:noProof/>
                <w:webHidden/>
              </w:rPr>
              <w:fldChar w:fldCharType="separate"/>
            </w:r>
            <w:r w:rsidR="00B173F3" w:rsidRPr="00B173F3">
              <w:rPr>
                <w:noProof/>
                <w:webHidden/>
              </w:rPr>
              <w:t>20</w:t>
            </w:r>
            <w:r w:rsidR="00B173F3" w:rsidRPr="00B173F3">
              <w:rPr>
                <w:noProof/>
                <w:webHidden/>
              </w:rPr>
              <w:fldChar w:fldCharType="end"/>
            </w:r>
          </w:hyperlink>
        </w:p>
        <w:p w14:paraId="5B5E337C" w14:textId="7BEBDFA1" w:rsidR="00B173F3" w:rsidRPr="00B173F3" w:rsidRDefault="00693AD1">
          <w:pPr>
            <w:pStyle w:val="Obsah3"/>
            <w:tabs>
              <w:tab w:val="left" w:pos="1920"/>
              <w:tab w:val="right" w:leader="dot" w:pos="9055"/>
            </w:tabs>
            <w:rPr>
              <w:rFonts w:eastAsiaTheme="minorEastAsia"/>
              <w:noProof/>
              <w:sz w:val="22"/>
              <w:szCs w:val="22"/>
            </w:rPr>
          </w:pPr>
          <w:hyperlink w:anchor="_Toc491117221" w:history="1">
            <w:r w:rsidR="00B173F3" w:rsidRPr="00B173F3">
              <w:rPr>
                <w:rStyle w:val="Hypertextovodkaz"/>
                <w:noProof/>
              </w:rPr>
              <w:t>2.1.1.</w:t>
            </w:r>
            <w:r w:rsidR="00B173F3" w:rsidRPr="00B173F3">
              <w:rPr>
                <w:rFonts w:eastAsiaTheme="minorEastAsia"/>
                <w:noProof/>
                <w:sz w:val="22"/>
                <w:szCs w:val="22"/>
              </w:rPr>
              <w:tab/>
            </w:r>
            <w:r w:rsidR="00B173F3" w:rsidRPr="00B173F3">
              <w:rPr>
                <w:rStyle w:val="Hypertextovodkaz"/>
                <w:noProof/>
              </w:rPr>
              <w:t>Rodičovská odpovědnost</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_Toc491117221 \h </w:instrText>
            </w:r>
            <w:r w:rsidR="00B173F3" w:rsidRPr="00B173F3">
              <w:rPr>
                <w:noProof/>
                <w:webHidden/>
              </w:rPr>
            </w:r>
            <w:r w:rsidR="00B173F3" w:rsidRPr="00B173F3">
              <w:rPr>
                <w:noProof/>
                <w:webHidden/>
              </w:rPr>
              <w:fldChar w:fldCharType="separate"/>
            </w:r>
            <w:r w:rsidR="00B173F3" w:rsidRPr="00B173F3">
              <w:rPr>
                <w:noProof/>
                <w:webHidden/>
              </w:rPr>
              <w:t>21</w:t>
            </w:r>
            <w:r w:rsidR="00B173F3" w:rsidRPr="00B173F3">
              <w:rPr>
                <w:noProof/>
                <w:webHidden/>
              </w:rPr>
              <w:fldChar w:fldCharType="end"/>
            </w:r>
          </w:hyperlink>
        </w:p>
        <w:p w14:paraId="47E9F7FC" w14:textId="615C56E1" w:rsidR="00B173F3" w:rsidRPr="00B173F3" w:rsidRDefault="00693AD1">
          <w:pPr>
            <w:pStyle w:val="Obsah3"/>
            <w:tabs>
              <w:tab w:val="left" w:pos="1987"/>
              <w:tab w:val="right" w:leader="dot" w:pos="9055"/>
            </w:tabs>
            <w:rPr>
              <w:rFonts w:eastAsiaTheme="minorEastAsia"/>
              <w:noProof/>
              <w:sz w:val="22"/>
              <w:szCs w:val="22"/>
            </w:rPr>
          </w:pPr>
          <w:hyperlink w:anchor="_Toc491117222" w:history="1">
            <w:r w:rsidR="00B173F3" w:rsidRPr="00B173F3">
              <w:rPr>
                <w:rStyle w:val="Hypertextovodkaz"/>
                <w:noProof/>
              </w:rPr>
              <w:t>2.1.1.1.</w:t>
            </w:r>
            <w:r w:rsidR="00B173F3" w:rsidRPr="00B173F3">
              <w:rPr>
                <w:rFonts w:eastAsiaTheme="minorEastAsia"/>
                <w:noProof/>
                <w:sz w:val="22"/>
                <w:szCs w:val="22"/>
              </w:rPr>
              <w:tab/>
            </w:r>
            <w:r w:rsidR="00B173F3" w:rsidRPr="00B173F3">
              <w:rPr>
                <w:rStyle w:val="Hypertextovodkaz"/>
                <w:noProof/>
              </w:rPr>
              <w:t>Rodičovská odpovědnost ve světle judikatury Ústavního soudu</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_Toc491117222 \h </w:instrText>
            </w:r>
            <w:r w:rsidR="00B173F3" w:rsidRPr="00B173F3">
              <w:rPr>
                <w:noProof/>
                <w:webHidden/>
              </w:rPr>
            </w:r>
            <w:r w:rsidR="00B173F3" w:rsidRPr="00B173F3">
              <w:rPr>
                <w:noProof/>
                <w:webHidden/>
              </w:rPr>
              <w:fldChar w:fldCharType="separate"/>
            </w:r>
            <w:r w:rsidR="00B173F3" w:rsidRPr="00B173F3">
              <w:rPr>
                <w:noProof/>
                <w:webHidden/>
              </w:rPr>
              <w:t>21</w:t>
            </w:r>
            <w:r w:rsidR="00B173F3" w:rsidRPr="00B173F3">
              <w:rPr>
                <w:noProof/>
                <w:webHidden/>
              </w:rPr>
              <w:fldChar w:fldCharType="end"/>
            </w:r>
          </w:hyperlink>
        </w:p>
        <w:p w14:paraId="75DB5383" w14:textId="183AF1CE" w:rsidR="00B173F3" w:rsidRPr="00B173F3" w:rsidRDefault="00693AD1">
          <w:pPr>
            <w:pStyle w:val="Obsah3"/>
            <w:tabs>
              <w:tab w:val="left" w:pos="1920"/>
              <w:tab w:val="right" w:leader="dot" w:pos="9055"/>
            </w:tabs>
            <w:rPr>
              <w:rFonts w:eastAsiaTheme="minorEastAsia"/>
              <w:noProof/>
              <w:sz w:val="22"/>
              <w:szCs w:val="22"/>
            </w:rPr>
          </w:pPr>
          <w:hyperlink w:anchor="_Toc491117223" w:history="1">
            <w:r w:rsidR="00B173F3" w:rsidRPr="00B173F3">
              <w:rPr>
                <w:rStyle w:val="Hypertextovodkaz"/>
                <w:noProof/>
              </w:rPr>
              <w:t>2.2.1.</w:t>
            </w:r>
            <w:r w:rsidR="00B173F3" w:rsidRPr="00B173F3">
              <w:rPr>
                <w:rFonts w:eastAsiaTheme="minorEastAsia"/>
                <w:noProof/>
                <w:sz w:val="22"/>
                <w:szCs w:val="22"/>
              </w:rPr>
              <w:tab/>
            </w:r>
            <w:r w:rsidR="00B173F3" w:rsidRPr="00B173F3">
              <w:rPr>
                <w:rStyle w:val="Hypertextovodkaz"/>
                <w:noProof/>
              </w:rPr>
              <w:t>Právo péče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_Toc491117223 \h </w:instrText>
            </w:r>
            <w:r w:rsidR="00B173F3" w:rsidRPr="00B173F3">
              <w:rPr>
                <w:noProof/>
                <w:webHidden/>
              </w:rPr>
            </w:r>
            <w:r w:rsidR="00B173F3" w:rsidRPr="00B173F3">
              <w:rPr>
                <w:noProof/>
                <w:webHidden/>
              </w:rPr>
              <w:fldChar w:fldCharType="separate"/>
            </w:r>
            <w:r w:rsidR="00B173F3" w:rsidRPr="00B173F3">
              <w:rPr>
                <w:noProof/>
                <w:webHidden/>
              </w:rPr>
              <w:t>22</w:t>
            </w:r>
            <w:r w:rsidR="00B173F3" w:rsidRPr="00B173F3">
              <w:rPr>
                <w:noProof/>
                <w:webHidden/>
              </w:rPr>
              <w:fldChar w:fldCharType="end"/>
            </w:r>
          </w:hyperlink>
        </w:p>
        <w:p w14:paraId="7A1FC80A" w14:textId="364F80ED" w:rsidR="00B173F3" w:rsidRPr="00B173F3" w:rsidRDefault="00693AD1">
          <w:pPr>
            <w:pStyle w:val="Obsah3"/>
            <w:tabs>
              <w:tab w:val="left" w:pos="1920"/>
              <w:tab w:val="right" w:leader="dot" w:pos="9055"/>
            </w:tabs>
            <w:rPr>
              <w:rFonts w:eastAsiaTheme="minorEastAsia"/>
              <w:noProof/>
              <w:sz w:val="22"/>
              <w:szCs w:val="22"/>
            </w:rPr>
          </w:pPr>
          <w:hyperlink w:anchor="_Toc491117224" w:history="1">
            <w:r w:rsidR="00B173F3" w:rsidRPr="00B173F3">
              <w:rPr>
                <w:rStyle w:val="Hypertextovodkaz"/>
                <w:noProof/>
              </w:rPr>
              <w:t>2.3.1.</w:t>
            </w:r>
            <w:r w:rsidR="00B173F3" w:rsidRPr="00B173F3">
              <w:rPr>
                <w:rFonts w:eastAsiaTheme="minorEastAsia"/>
                <w:noProof/>
                <w:sz w:val="22"/>
                <w:szCs w:val="22"/>
              </w:rPr>
              <w:tab/>
            </w:r>
            <w:r w:rsidR="00B173F3" w:rsidRPr="00B173F3">
              <w:rPr>
                <w:rStyle w:val="Hypertextovodkaz"/>
                <w:noProof/>
              </w:rPr>
              <w:t>Právo na styk s dítětem</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_Toc491117224 \h </w:instrText>
            </w:r>
            <w:r w:rsidR="00B173F3" w:rsidRPr="00B173F3">
              <w:rPr>
                <w:noProof/>
                <w:webHidden/>
              </w:rPr>
            </w:r>
            <w:r w:rsidR="00B173F3" w:rsidRPr="00B173F3">
              <w:rPr>
                <w:noProof/>
                <w:webHidden/>
              </w:rPr>
              <w:fldChar w:fldCharType="separate"/>
            </w:r>
            <w:r w:rsidR="00B173F3" w:rsidRPr="00B173F3">
              <w:rPr>
                <w:noProof/>
                <w:webHidden/>
              </w:rPr>
              <w:t>23</w:t>
            </w:r>
            <w:r w:rsidR="00B173F3" w:rsidRPr="00B173F3">
              <w:rPr>
                <w:noProof/>
                <w:webHidden/>
              </w:rPr>
              <w:fldChar w:fldCharType="end"/>
            </w:r>
          </w:hyperlink>
        </w:p>
        <w:p w14:paraId="304A26CA" w14:textId="08B3F341" w:rsidR="00B173F3" w:rsidRPr="00B173F3" w:rsidRDefault="00693AD1">
          <w:pPr>
            <w:pStyle w:val="Obsah3"/>
            <w:tabs>
              <w:tab w:val="left" w:pos="1920"/>
              <w:tab w:val="right" w:leader="dot" w:pos="9055"/>
            </w:tabs>
            <w:rPr>
              <w:rFonts w:eastAsiaTheme="minorEastAsia"/>
              <w:noProof/>
              <w:sz w:val="22"/>
              <w:szCs w:val="22"/>
            </w:rPr>
          </w:pPr>
          <w:hyperlink w:anchor="_Toc491117225" w:history="1">
            <w:r w:rsidR="00B173F3" w:rsidRPr="00B173F3">
              <w:rPr>
                <w:rStyle w:val="Hypertextovodkaz"/>
                <w:noProof/>
              </w:rPr>
              <w:t>2.4.1.</w:t>
            </w:r>
            <w:r w:rsidR="00B173F3" w:rsidRPr="00B173F3">
              <w:rPr>
                <w:rFonts w:eastAsiaTheme="minorEastAsia"/>
                <w:noProof/>
                <w:sz w:val="22"/>
                <w:szCs w:val="22"/>
              </w:rPr>
              <w:tab/>
            </w:r>
            <w:r w:rsidR="00B173F3" w:rsidRPr="00B173F3">
              <w:rPr>
                <w:rStyle w:val="Hypertextovodkaz"/>
                <w:noProof/>
              </w:rPr>
              <w:t>Zájem dítěte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_Toc491117225 \h </w:instrText>
            </w:r>
            <w:r w:rsidR="00B173F3" w:rsidRPr="00B173F3">
              <w:rPr>
                <w:noProof/>
                <w:webHidden/>
              </w:rPr>
            </w:r>
            <w:r w:rsidR="00B173F3" w:rsidRPr="00B173F3">
              <w:rPr>
                <w:noProof/>
                <w:webHidden/>
              </w:rPr>
              <w:fldChar w:fldCharType="separate"/>
            </w:r>
            <w:r w:rsidR="00B173F3" w:rsidRPr="00B173F3">
              <w:rPr>
                <w:noProof/>
                <w:webHidden/>
              </w:rPr>
              <w:t>24</w:t>
            </w:r>
            <w:r w:rsidR="00B173F3" w:rsidRPr="00B173F3">
              <w:rPr>
                <w:noProof/>
                <w:webHidden/>
              </w:rPr>
              <w:fldChar w:fldCharType="end"/>
            </w:r>
          </w:hyperlink>
        </w:p>
        <w:p w14:paraId="27BED04D" w14:textId="36C42435" w:rsidR="00B173F3" w:rsidRPr="00B173F3" w:rsidRDefault="00693AD1">
          <w:pPr>
            <w:pStyle w:val="Obsah2"/>
            <w:tabs>
              <w:tab w:val="left" w:pos="1440"/>
              <w:tab w:val="right" w:leader="dot" w:pos="9055"/>
            </w:tabs>
            <w:rPr>
              <w:rFonts w:eastAsiaTheme="minorEastAsia"/>
              <w:noProof/>
              <w:sz w:val="22"/>
              <w:szCs w:val="22"/>
            </w:rPr>
          </w:pPr>
          <w:hyperlink w:anchor="_Toc491117226" w:history="1">
            <w:r w:rsidR="00B173F3" w:rsidRPr="00B173F3">
              <w:rPr>
                <w:rStyle w:val="Hypertextovodkaz"/>
                <w:noProof/>
              </w:rPr>
              <w:t>2.2.</w:t>
            </w:r>
            <w:r w:rsidR="00B173F3" w:rsidRPr="00B173F3">
              <w:rPr>
                <w:rFonts w:eastAsiaTheme="minorEastAsia"/>
                <w:noProof/>
                <w:sz w:val="22"/>
                <w:szCs w:val="22"/>
              </w:rPr>
              <w:tab/>
            </w:r>
            <w:r w:rsidR="00B173F3" w:rsidRPr="00B173F3">
              <w:rPr>
                <w:rStyle w:val="Hypertextovodkaz"/>
                <w:noProof/>
              </w:rPr>
              <w:t>Pojem obvyklého bydliště dítěte podle judikatury českých soudů</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_Toc491117226 \h </w:instrText>
            </w:r>
            <w:r w:rsidR="00B173F3" w:rsidRPr="00B173F3">
              <w:rPr>
                <w:noProof/>
                <w:webHidden/>
              </w:rPr>
            </w:r>
            <w:r w:rsidR="00B173F3" w:rsidRPr="00B173F3">
              <w:rPr>
                <w:noProof/>
                <w:webHidden/>
              </w:rPr>
              <w:fldChar w:fldCharType="separate"/>
            </w:r>
            <w:r w:rsidR="00B173F3" w:rsidRPr="00B173F3">
              <w:rPr>
                <w:noProof/>
                <w:webHidden/>
              </w:rPr>
              <w:t>25</w:t>
            </w:r>
            <w:r w:rsidR="00B173F3" w:rsidRPr="00B173F3">
              <w:rPr>
                <w:noProof/>
                <w:webHidden/>
              </w:rPr>
              <w:fldChar w:fldCharType="end"/>
            </w:r>
          </w:hyperlink>
        </w:p>
        <w:p w14:paraId="5E49E74C" w14:textId="5F08BF9C" w:rsidR="00B173F3" w:rsidRPr="00B173F3" w:rsidRDefault="00693AD1" w:rsidP="00AB0258">
          <w:pPr>
            <w:pStyle w:val="Obsah1"/>
            <w:rPr>
              <w:rFonts w:eastAsiaTheme="minorEastAsia"/>
              <w:b w:val="0"/>
              <w:noProof/>
              <w:sz w:val="22"/>
              <w:szCs w:val="22"/>
            </w:rPr>
          </w:pPr>
          <w:hyperlink w:anchor="_Toc491117227" w:history="1">
            <w:r w:rsidR="00B173F3" w:rsidRPr="00B173F3">
              <w:rPr>
                <w:rStyle w:val="Hypertextovodkaz"/>
                <w:noProof/>
              </w:rPr>
              <w:t>3</w:t>
            </w:r>
            <w:r w:rsidR="00B173F3">
              <w:rPr>
                <w:rFonts w:eastAsiaTheme="minorEastAsia"/>
                <w:b w:val="0"/>
                <w:noProof/>
                <w:sz w:val="22"/>
                <w:szCs w:val="22"/>
              </w:rPr>
              <w:t xml:space="preserve"> </w:t>
            </w:r>
            <w:r w:rsidR="00B173F3" w:rsidRPr="00B173F3">
              <w:rPr>
                <w:rStyle w:val="Hypertextovodkaz"/>
                <w:noProof/>
              </w:rPr>
              <w:t>Výklad obvyklého bydliště dítěte ve smyslu stanoviska Soudního dvora</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_Toc491117227 \h </w:instrText>
            </w:r>
            <w:r w:rsidR="00B173F3" w:rsidRPr="00B173F3">
              <w:rPr>
                <w:noProof/>
                <w:webHidden/>
              </w:rPr>
            </w:r>
            <w:r w:rsidR="00B173F3" w:rsidRPr="00B173F3">
              <w:rPr>
                <w:noProof/>
                <w:webHidden/>
              </w:rPr>
              <w:fldChar w:fldCharType="separate"/>
            </w:r>
            <w:r w:rsidR="00B173F3" w:rsidRPr="00B173F3">
              <w:rPr>
                <w:noProof/>
                <w:webHidden/>
              </w:rPr>
              <w:t>27</w:t>
            </w:r>
            <w:r w:rsidR="00B173F3" w:rsidRPr="00B173F3">
              <w:rPr>
                <w:noProof/>
                <w:webHidden/>
              </w:rPr>
              <w:fldChar w:fldCharType="end"/>
            </w:r>
          </w:hyperlink>
        </w:p>
        <w:p w14:paraId="543B39D5" w14:textId="1AFABA0B" w:rsidR="00B173F3" w:rsidRPr="00B173F3" w:rsidRDefault="00693AD1" w:rsidP="00AB0258">
          <w:pPr>
            <w:pStyle w:val="Obsah2"/>
            <w:tabs>
              <w:tab w:val="left" w:pos="1440"/>
              <w:tab w:val="right" w:leader="dot" w:pos="9055"/>
            </w:tabs>
            <w:ind w:left="1560" w:hanging="753"/>
            <w:rPr>
              <w:rFonts w:eastAsiaTheme="minorEastAsia"/>
              <w:noProof/>
              <w:sz w:val="22"/>
              <w:szCs w:val="22"/>
            </w:rPr>
          </w:pPr>
          <w:hyperlink w:anchor="_Toc491117228" w:history="1">
            <w:r w:rsidR="00B173F3" w:rsidRPr="00B173F3">
              <w:rPr>
                <w:rStyle w:val="Hypertextovodkaz"/>
                <w:noProof/>
              </w:rPr>
              <w:t>3.1</w:t>
            </w:r>
            <w:r w:rsidR="00B173F3" w:rsidRPr="00B173F3">
              <w:rPr>
                <w:rFonts w:eastAsiaTheme="minorEastAsia"/>
                <w:noProof/>
                <w:sz w:val="22"/>
                <w:szCs w:val="22"/>
              </w:rPr>
              <w:tab/>
            </w:r>
            <w:r w:rsidR="00B173F3" w:rsidRPr="00B173F3">
              <w:rPr>
                <w:rStyle w:val="Hypertextovodkaz"/>
                <w:noProof/>
              </w:rPr>
              <w:t>Určení obvyklého bydliště kojence ve smyslu článku 11 nařízení Brusel IIa ve smyslu splnění podmínky fyzické přítomnosti dítěte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_Toc491117228 \h </w:instrText>
            </w:r>
            <w:r w:rsidR="00B173F3" w:rsidRPr="00B173F3">
              <w:rPr>
                <w:noProof/>
                <w:webHidden/>
              </w:rPr>
            </w:r>
            <w:r w:rsidR="00B173F3" w:rsidRPr="00B173F3">
              <w:rPr>
                <w:noProof/>
                <w:webHidden/>
              </w:rPr>
              <w:fldChar w:fldCharType="separate"/>
            </w:r>
            <w:r w:rsidR="00B173F3" w:rsidRPr="00B173F3">
              <w:rPr>
                <w:noProof/>
                <w:webHidden/>
              </w:rPr>
              <w:t>29</w:t>
            </w:r>
            <w:r w:rsidR="00B173F3" w:rsidRPr="00B173F3">
              <w:rPr>
                <w:noProof/>
                <w:webHidden/>
              </w:rPr>
              <w:fldChar w:fldCharType="end"/>
            </w:r>
          </w:hyperlink>
        </w:p>
        <w:p w14:paraId="7F267771" w14:textId="25941E47" w:rsidR="00B173F3" w:rsidRPr="00B173F3" w:rsidRDefault="00693AD1" w:rsidP="00AB0258">
          <w:pPr>
            <w:pStyle w:val="Obsah1"/>
            <w:rPr>
              <w:rFonts w:eastAsiaTheme="minorEastAsia"/>
              <w:b w:val="0"/>
              <w:noProof/>
              <w:sz w:val="22"/>
              <w:szCs w:val="22"/>
            </w:rPr>
          </w:pPr>
          <w:hyperlink w:anchor="_Toc491117229" w:history="1">
            <w:r w:rsidR="00B173F3" w:rsidRPr="00B173F3">
              <w:rPr>
                <w:rStyle w:val="Hypertextovodkaz"/>
                <w:noProof/>
              </w:rPr>
              <w:t>4</w:t>
            </w:r>
            <w:r w:rsidR="00B173F3">
              <w:rPr>
                <w:rFonts w:eastAsiaTheme="minorEastAsia"/>
                <w:b w:val="0"/>
                <w:noProof/>
                <w:sz w:val="22"/>
                <w:szCs w:val="22"/>
              </w:rPr>
              <w:t xml:space="preserve"> </w:t>
            </w:r>
            <w:r w:rsidR="00B173F3" w:rsidRPr="00B173F3">
              <w:rPr>
                <w:rStyle w:val="Hypertextovodkaz"/>
                <w:noProof/>
              </w:rPr>
              <w:t>Návratové řízení a postup v případě změny bydliště</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_Toc491117229 \h </w:instrText>
            </w:r>
            <w:r w:rsidR="00B173F3" w:rsidRPr="00B173F3">
              <w:rPr>
                <w:noProof/>
                <w:webHidden/>
              </w:rPr>
            </w:r>
            <w:r w:rsidR="00B173F3" w:rsidRPr="00B173F3">
              <w:rPr>
                <w:noProof/>
                <w:webHidden/>
              </w:rPr>
              <w:fldChar w:fldCharType="separate"/>
            </w:r>
            <w:r w:rsidR="00B173F3" w:rsidRPr="00B173F3">
              <w:rPr>
                <w:noProof/>
                <w:webHidden/>
              </w:rPr>
              <w:t>32</w:t>
            </w:r>
            <w:r w:rsidR="00B173F3" w:rsidRPr="00B173F3">
              <w:rPr>
                <w:noProof/>
                <w:webHidden/>
              </w:rPr>
              <w:fldChar w:fldCharType="end"/>
            </w:r>
          </w:hyperlink>
        </w:p>
        <w:p w14:paraId="01C12CCE" w14:textId="6D516A2D" w:rsidR="00B173F3" w:rsidRPr="00B173F3" w:rsidRDefault="00693AD1">
          <w:pPr>
            <w:pStyle w:val="Obsah2"/>
            <w:tabs>
              <w:tab w:val="left" w:pos="1440"/>
              <w:tab w:val="right" w:leader="dot" w:pos="9055"/>
            </w:tabs>
            <w:rPr>
              <w:rFonts w:eastAsiaTheme="minorEastAsia"/>
              <w:noProof/>
              <w:sz w:val="22"/>
              <w:szCs w:val="22"/>
            </w:rPr>
          </w:pPr>
          <w:hyperlink w:anchor="_Toc491117230" w:history="1">
            <w:r w:rsidR="00B173F3" w:rsidRPr="00B173F3">
              <w:rPr>
                <w:rStyle w:val="Hypertextovodkaz"/>
                <w:noProof/>
              </w:rPr>
              <w:t>4.1</w:t>
            </w:r>
            <w:r w:rsidR="00B173F3" w:rsidRPr="00B173F3">
              <w:rPr>
                <w:rFonts w:eastAsiaTheme="minorEastAsia"/>
                <w:noProof/>
                <w:sz w:val="22"/>
                <w:szCs w:val="22"/>
              </w:rPr>
              <w:tab/>
            </w:r>
            <w:r w:rsidR="00B173F3" w:rsidRPr="00B173F3">
              <w:rPr>
                <w:rStyle w:val="Hypertextovodkaz"/>
                <w:noProof/>
              </w:rPr>
              <w:t>Změna bydliště</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_Toc491117230 \h </w:instrText>
            </w:r>
            <w:r w:rsidR="00B173F3" w:rsidRPr="00B173F3">
              <w:rPr>
                <w:noProof/>
                <w:webHidden/>
              </w:rPr>
            </w:r>
            <w:r w:rsidR="00B173F3" w:rsidRPr="00B173F3">
              <w:rPr>
                <w:noProof/>
                <w:webHidden/>
              </w:rPr>
              <w:fldChar w:fldCharType="separate"/>
            </w:r>
            <w:r w:rsidR="00B173F3" w:rsidRPr="00B173F3">
              <w:rPr>
                <w:noProof/>
                <w:webHidden/>
              </w:rPr>
              <w:t>32</w:t>
            </w:r>
            <w:r w:rsidR="00B173F3" w:rsidRPr="00B173F3">
              <w:rPr>
                <w:noProof/>
                <w:webHidden/>
              </w:rPr>
              <w:fldChar w:fldCharType="end"/>
            </w:r>
          </w:hyperlink>
        </w:p>
        <w:p w14:paraId="6AE08CF6" w14:textId="39CE7C64" w:rsidR="00B173F3" w:rsidRPr="00B173F3" w:rsidRDefault="00693AD1">
          <w:pPr>
            <w:pStyle w:val="Obsah2"/>
            <w:tabs>
              <w:tab w:val="left" w:pos="1440"/>
              <w:tab w:val="right" w:leader="dot" w:pos="9055"/>
            </w:tabs>
            <w:rPr>
              <w:rFonts w:eastAsiaTheme="minorEastAsia"/>
              <w:noProof/>
              <w:sz w:val="22"/>
              <w:szCs w:val="22"/>
            </w:rPr>
          </w:pPr>
          <w:hyperlink w:anchor="_Toc491117231" w:history="1">
            <w:r w:rsidR="00B173F3" w:rsidRPr="00B173F3">
              <w:rPr>
                <w:rStyle w:val="Hypertextovodkaz"/>
                <w:noProof/>
              </w:rPr>
              <w:t>4.2</w:t>
            </w:r>
            <w:r w:rsidR="00B173F3" w:rsidRPr="00B173F3">
              <w:rPr>
                <w:rFonts w:eastAsiaTheme="minorEastAsia"/>
                <w:noProof/>
                <w:sz w:val="22"/>
                <w:szCs w:val="22"/>
              </w:rPr>
              <w:tab/>
            </w:r>
            <w:r w:rsidR="00B173F3" w:rsidRPr="00B173F3">
              <w:rPr>
                <w:rStyle w:val="Hypertextovodkaz"/>
                <w:noProof/>
              </w:rPr>
              <w:t>Návratové řízení</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_Toc491117231 \h </w:instrText>
            </w:r>
            <w:r w:rsidR="00B173F3" w:rsidRPr="00B173F3">
              <w:rPr>
                <w:noProof/>
                <w:webHidden/>
              </w:rPr>
            </w:r>
            <w:r w:rsidR="00B173F3" w:rsidRPr="00B173F3">
              <w:rPr>
                <w:noProof/>
                <w:webHidden/>
              </w:rPr>
              <w:fldChar w:fldCharType="separate"/>
            </w:r>
            <w:r w:rsidR="00B173F3" w:rsidRPr="00B173F3">
              <w:rPr>
                <w:noProof/>
                <w:webHidden/>
              </w:rPr>
              <w:t>33</w:t>
            </w:r>
            <w:r w:rsidR="00B173F3" w:rsidRPr="00B173F3">
              <w:rPr>
                <w:noProof/>
                <w:webHidden/>
              </w:rPr>
              <w:fldChar w:fldCharType="end"/>
            </w:r>
          </w:hyperlink>
        </w:p>
        <w:p w14:paraId="438CA711" w14:textId="19ACDEE1" w:rsidR="00B173F3" w:rsidRPr="00B173F3" w:rsidRDefault="00693AD1">
          <w:pPr>
            <w:pStyle w:val="Obsah2"/>
            <w:tabs>
              <w:tab w:val="left" w:pos="1440"/>
              <w:tab w:val="right" w:leader="dot" w:pos="9055"/>
            </w:tabs>
            <w:rPr>
              <w:rFonts w:eastAsiaTheme="minorEastAsia"/>
              <w:noProof/>
              <w:sz w:val="22"/>
              <w:szCs w:val="22"/>
            </w:rPr>
          </w:pPr>
          <w:hyperlink w:anchor="_Toc491117232" w:history="1">
            <w:r w:rsidR="00B173F3" w:rsidRPr="00B173F3">
              <w:rPr>
                <w:rStyle w:val="Hypertextovodkaz"/>
                <w:noProof/>
              </w:rPr>
              <w:t>4.3</w:t>
            </w:r>
            <w:r w:rsidR="00B173F3" w:rsidRPr="00B173F3">
              <w:rPr>
                <w:rFonts w:eastAsiaTheme="minorEastAsia"/>
                <w:noProof/>
                <w:sz w:val="22"/>
                <w:szCs w:val="22"/>
              </w:rPr>
              <w:tab/>
            </w:r>
            <w:r w:rsidR="00B173F3" w:rsidRPr="00B173F3">
              <w:rPr>
                <w:rStyle w:val="Hypertextovodkaz"/>
                <w:noProof/>
              </w:rPr>
              <w:t>Odmítnutí navrácení dítěte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_Toc491117232 \h </w:instrText>
            </w:r>
            <w:r w:rsidR="00B173F3" w:rsidRPr="00B173F3">
              <w:rPr>
                <w:noProof/>
                <w:webHidden/>
              </w:rPr>
            </w:r>
            <w:r w:rsidR="00B173F3" w:rsidRPr="00B173F3">
              <w:rPr>
                <w:noProof/>
                <w:webHidden/>
              </w:rPr>
              <w:fldChar w:fldCharType="separate"/>
            </w:r>
            <w:r w:rsidR="00B173F3" w:rsidRPr="00B173F3">
              <w:rPr>
                <w:noProof/>
                <w:webHidden/>
              </w:rPr>
              <w:t>35</w:t>
            </w:r>
            <w:r w:rsidR="00B173F3" w:rsidRPr="00B173F3">
              <w:rPr>
                <w:noProof/>
                <w:webHidden/>
              </w:rPr>
              <w:fldChar w:fldCharType="end"/>
            </w:r>
          </w:hyperlink>
        </w:p>
        <w:p w14:paraId="05F1FEBC" w14:textId="25BA4CBF" w:rsidR="00B173F3" w:rsidRPr="00B173F3" w:rsidRDefault="00693AD1" w:rsidP="00AB0258">
          <w:pPr>
            <w:pStyle w:val="Obsah1"/>
            <w:rPr>
              <w:rFonts w:eastAsiaTheme="minorEastAsia"/>
              <w:b w:val="0"/>
              <w:noProof/>
              <w:sz w:val="22"/>
              <w:szCs w:val="22"/>
            </w:rPr>
          </w:pPr>
          <w:hyperlink w:anchor="_Toc491117233" w:history="1">
            <w:r w:rsidR="00B173F3" w:rsidRPr="00B173F3">
              <w:rPr>
                <w:rStyle w:val="Hypertextovodkaz"/>
                <w:noProof/>
              </w:rPr>
              <w:t>Závěr</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_Toc491117233 \h </w:instrText>
            </w:r>
            <w:r w:rsidR="00B173F3" w:rsidRPr="00B173F3">
              <w:rPr>
                <w:noProof/>
                <w:webHidden/>
              </w:rPr>
            </w:r>
            <w:r w:rsidR="00B173F3" w:rsidRPr="00B173F3">
              <w:rPr>
                <w:noProof/>
                <w:webHidden/>
              </w:rPr>
              <w:fldChar w:fldCharType="separate"/>
            </w:r>
            <w:r w:rsidR="00B173F3" w:rsidRPr="00B173F3">
              <w:rPr>
                <w:noProof/>
                <w:webHidden/>
              </w:rPr>
              <w:t>38</w:t>
            </w:r>
            <w:r w:rsidR="00B173F3" w:rsidRPr="00B173F3">
              <w:rPr>
                <w:noProof/>
                <w:webHidden/>
              </w:rPr>
              <w:fldChar w:fldCharType="end"/>
            </w:r>
          </w:hyperlink>
        </w:p>
        <w:p w14:paraId="2FC637AF" w14:textId="475D82F5" w:rsidR="00B173F3" w:rsidRPr="00B173F3" w:rsidRDefault="00693AD1" w:rsidP="00AB0258">
          <w:pPr>
            <w:pStyle w:val="Obsah1"/>
            <w:rPr>
              <w:rFonts w:eastAsiaTheme="minorEastAsia"/>
              <w:b w:val="0"/>
              <w:noProof/>
              <w:sz w:val="22"/>
              <w:szCs w:val="22"/>
            </w:rPr>
          </w:pPr>
          <w:hyperlink w:anchor="_Toc491117234" w:history="1">
            <w:r w:rsidR="00B173F3" w:rsidRPr="00B173F3">
              <w:rPr>
                <w:rStyle w:val="Hypertextovodkaz"/>
                <w:noProof/>
              </w:rPr>
              <w:t>Abstrakt</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_Toc491117234 \h </w:instrText>
            </w:r>
            <w:r w:rsidR="00B173F3" w:rsidRPr="00B173F3">
              <w:rPr>
                <w:noProof/>
                <w:webHidden/>
              </w:rPr>
            </w:r>
            <w:r w:rsidR="00B173F3" w:rsidRPr="00B173F3">
              <w:rPr>
                <w:noProof/>
                <w:webHidden/>
              </w:rPr>
              <w:fldChar w:fldCharType="separate"/>
            </w:r>
            <w:r w:rsidR="00B173F3" w:rsidRPr="00B173F3">
              <w:rPr>
                <w:noProof/>
                <w:webHidden/>
              </w:rPr>
              <w:t>40</w:t>
            </w:r>
            <w:r w:rsidR="00B173F3" w:rsidRPr="00B173F3">
              <w:rPr>
                <w:noProof/>
                <w:webHidden/>
              </w:rPr>
              <w:fldChar w:fldCharType="end"/>
            </w:r>
          </w:hyperlink>
        </w:p>
        <w:p w14:paraId="6252EFB1" w14:textId="478CBB8A" w:rsidR="00B173F3" w:rsidRPr="00B173F3" w:rsidRDefault="00693AD1" w:rsidP="00AB0258">
          <w:pPr>
            <w:pStyle w:val="Obsah1"/>
            <w:rPr>
              <w:rFonts w:eastAsiaTheme="minorEastAsia"/>
              <w:b w:val="0"/>
              <w:noProof/>
              <w:sz w:val="22"/>
              <w:szCs w:val="22"/>
            </w:rPr>
          </w:pPr>
          <w:hyperlink w:anchor="_Toc491117235" w:history="1">
            <w:r w:rsidR="00B173F3" w:rsidRPr="00B173F3">
              <w:rPr>
                <w:rStyle w:val="Hypertextovodkaz"/>
                <w:noProof/>
              </w:rPr>
              <w:t>Zdroje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_Toc491117235 \h </w:instrText>
            </w:r>
            <w:r w:rsidR="00B173F3" w:rsidRPr="00B173F3">
              <w:rPr>
                <w:noProof/>
                <w:webHidden/>
              </w:rPr>
            </w:r>
            <w:r w:rsidR="00B173F3" w:rsidRPr="00B173F3">
              <w:rPr>
                <w:noProof/>
                <w:webHidden/>
              </w:rPr>
              <w:fldChar w:fldCharType="separate"/>
            </w:r>
            <w:r w:rsidR="00B173F3" w:rsidRPr="00B173F3">
              <w:rPr>
                <w:noProof/>
                <w:webHidden/>
              </w:rPr>
              <w:t>42</w:t>
            </w:r>
            <w:r w:rsidR="00B173F3" w:rsidRPr="00B173F3">
              <w:rPr>
                <w:noProof/>
                <w:webHidden/>
              </w:rPr>
              <w:fldChar w:fldCharType="end"/>
            </w:r>
          </w:hyperlink>
        </w:p>
        <w:p w14:paraId="22C23F35" w14:textId="6D3AD3C2" w:rsidR="00B173F3" w:rsidRPr="00B173F3" w:rsidRDefault="00693AD1">
          <w:pPr>
            <w:pStyle w:val="Obsah2"/>
            <w:tabs>
              <w:tab w:val="left" w:pos="1440"/>
              <w:tab w:val="right" w:leader="dot" w:pos="9055"/>
            </w:tabs>
            <w:rPr>
              <w:rFonts w:eastAsiaTheme="minorEastAsia"/>
              <w:noProof/>
              <w:sz w:val="22"/>
              <w:szCs w:val="22"/>
            </w:rPr>
          </w:pPr>
          <w:hyperlink w:anchor="_Toc491117236" w:history="1">
            <w:r w:rsidR="00B173F3" w:rsidRPr="00B173F3">
              <w:rPr>
                <w:rStyle w:val="Hypertextovodkaz"/>
                <w:noProof/>
              </w:rPr>
              <w:t>Monografie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_Toc491117236 \h </w:instrText>
            </w:r>
            <w:r w:rsidR="00B173F3" w:rsidRPr="00B173F3">
              <w:rPr>
                <w:noProof/>
                <w:webHidden/>
              </w:rPr>
            </w:r>
            <w:r w:rsidR="00B173F3" w:rsidRPr="00B173F3">
              <w:rPr>
                <w:noProof/>
                <w:webHidden/>
              </w:rPr>
              <w:fldChar w:fldCharType="separate"/>
            </w:r>
            <w:r w:rsidR="00B173F3" w:rsidRPr="00B173F3">
              <w:rPr>
                <w:noProof/>
                <w:webHidden/>
              </w:rPr>
              <w:t>42</w:t>
            </w:r>
            <w:r w:rsidR="00B173F3" w:rsidRPr="00B173F3">
              <w:rPr>
                <w:noProof/>
                <w:webHidden/>
              </w:rPr>
              <w:fldChar w:fldCharType="end"/>
            </w:r>
          </w:hyperlink>
        </w:p>
        <w:p w14:paraId="10FF88EF" w14:textId="410959C7" w:rsidR="00B173F3" w:rsidRPr="00B173F3" w:rsidRDefault="00693AD1">
          <w:pPr>
            <w:pStyle w:val="Obsah2"/>
            <w:tabs>
              <w:tab w:val="left" w:pos="1440"/>
              <w:tab w:val="right" w:leader="dot" w:pos="9055"/>
            </w:tabs>
            <w:rPr>
              <w:rFonts w:eastAsiaTheme="minorEastAsia"/>
              <w:noProof/>
              <w:sz w:val="22"/>
              <w:szCs w:val="22"/>
            </w:rPr>
          </w:pPr>
          <w:hyperlink w:anchor="_Toc491117237" w:history="1">
            <w:r w:rsidR="00B173F3" w:rsidRPr="00B173F3">
              <w:rPr>
                <w:rStyle w:val="Hypertextovodkaz"/>
                <w:noProof/>
              </w:rPr>
              <w:t>Právní předpisy</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_Toc491117237 \h </w:instrText>
            </w:r>
            <w:r w:rsidR="00B173F3" w:rsidRPr="00B173F3">
              <w:rPr>
                <w:noProof/>
                <w:webHidden/>
              </w:rPr>
            </w:r>
            <w:r w:rsidR="00B173F3" w:rsidRPr="00B173F3">
              <w:rPr>
                <w:noProof/>
                <w:webHidden/>
              </w:rPr>
              <w:fldChar w:fldCharType="separate"/>
            </w:r>
            <w:r w:rsidR="00B173F3" w:rsidRPr="00B173F3">
              <w:rPr>
                <w:noProof/>
                <w:webHidden/>
              </w:rPr>
              <w:t>42</w:t>
            </w:r>
            <w:r w:rsidR="00B173F3" w:rsidRPr="00B173F3">
              <w:rPr>
                <w:noProof/>
                <w:webHidden/>
              </w:rPr>
              <w:fldChar w:fldCharType="end"/>
            </w:r>
          </w:hyperlink>
        </w:p>
        <w:p w14:paraId="3634E08A" w14:textId="66085E07" w:rsidR="00B173F3" w:rsidRPr="00B173F3" w:rsidRDefault="00693AD1">
          <w:pPr>
            <w:pStyle w:val="Obsah2"/>
            <w:tabs>
              <w:tab w:val="left" w:pos="1440"/>
              <w:tab w:val="right" w:leader="dot" w:pos="9055"/>
            </w:tabs>
            <w:rPr>
              <w:rFonts w:eastAsiaTheme="minorEastAsia"/>
              <w:noProof/>
              <w:sz w:val="22"/>
              <w:szCs w:val="22"/>
            </w:rPr>
          </w:pPr>
          <w:hyperlink w:anchor="_Toc491117238" w:history="1">
            <w:r w:rsidR="00B173F3" w:rsidRPr="00B173F3">
              <w:rPr>
                <w:rStyle w:val="Hypertextovodkaz"/>
                <w:noProof/>
              </w:rPr>
              <w:t>Judikatura</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_Toc491117238 \h </w:instrText>
            </w:r>
            <w:r w:rsidR="00B173F3" w:rsidRPr="00B173F3">
              <w:rPr>
                <w:noProof/>
                <w:webHidden/>
              </w:rPr>
            </w:r>
            <w:r w:rsidR="00B173F3" w:rsidRPr="00B173F3">
              <w:rPr>
                <w:noProof/>
                <w:webHidden/>
              </w:rPr>
              <w:fldChar w:fldCharType="separate"/>
            </w:r>
            <w:r w:rsidR="00B173F3" w:rsidRPr="00B173F3">
              <w:rPr>
                <w:noProof/>
                <w:webHidden/>
              </w:rPr>
              <w:t>43</w:t>
            </w:r>
            <w:r w:rsidR="00B173F3" w:rsidRPr="00B173F3">
              <w:rPr>
                <w:noProof/>
                <w:webHidden/>
              </w:rPr>
              <w:fldChar w:fldCharType="end"/>
            </w:r>
          </w:hyperlink>
        </w:p>
        <w:p w14:paraId="2596CBF3" w14:textId="230EBBBC" w:rsidR="00B173F3" w:rsidRPr="00B173F3" w:rsidRDefault="00693AD1">
          <w:pPr>
            <w:pStyle w:val="Obsah2"/>
            <w:tabs>
              <w:tab w:val="left" w:pos="1440"/>
              <w:tab w:val="right" w:leader="dot" w:pos="9055"/>
            </w:tabs>
            <w:rPr>
              <w:rFonts w:eastAsiaTheme="minorEastAsia"/>
              <w:noProof/>
              <w:sz w:val="22"/>
              <w:szCs w:val="22"/>
            </w:rPr>
          </w:pPr>
          <w:hyperlink w:anchor="_Toc491117239" w:history="1">
            <w:r w:rsidR="00B173F3" w:rsidRPr="00B173F3">
              <w:rPr>
                <w:rStyle w:val="Hypertextovodkaz"/>
                <w:noProof/>
              </w:rPr>
              <w:t>Jiné zdroje</w:t>
            </w:r>
            <w:r w:rsidR="00B173F3" w:rsidRPr="00B173F3">
              <w:rPr>
                <w:noProof/>
                <w:webHidden/>
              </w:rPr>
              <w:tab/>
            </w:r>
            <w:r w:rsidR="00B173F3" w:rsidRPr="00B173F3">
              <w:rPr>
                <w:noProof/>
                <w:webHidden/>
              </w:rPr>
              <w:fldChar w:fldCharType="begin"/>
            </w:r>
            <w:r w:rsidR="00B173F3" w:rsidRPr="00B173F3">
              <w:rPr>
                <w:noProof/>
                <w:webHidden/>
              </w:rPr>
              <w:instrText xml:space="preserve"> PAGEREF _Toc491117239 \h </w:instrText>
            </w:r>
            <w:r w:rsidR="00B173F3" w:rsidRPr="00B173F3">
              <w:rPr>
                <w:noProof/>
                <w:webHidden/>
              </w:rPr>
            </w:r>
            <w:r w:rsidR="00B173F3" w:rsidRPr="00B173F3">
              <w:rPr>
                <w:noProof/>
                <w:webHidden/>
              </w:rPr>
              <w:fldChar w:fldCharType="separate"/>
            </w:r>
            <w:r w:rsidR="00B173F3" w:rsidRPr="00B173F3">
              <w:rPr>
                <w:noProof/>
                <w:webHidden/>
              </w:rPr>
              <w:t>46</w:t>
            </w:r>
            <w:r w:rsidR="00B173F3" w:rsidRPr="00B173F3">
              <w:rPr>
                <w:noProof/>
                <w:webHidden/>
              </w:rPr>
              <w:fldChar w:fldCharType="end"/>
            </w:r>
          </w:hyperlink>
        </w:p>
        <w:p w14:paraId="0C925B00" w14:textId="4274CA20" w:rsidR="007A32EA" w:rsidRDefault="007A32EA">
          <w:r w:rsidRPr="00B173F3">
            <w:rPr>
              <w:b/>
              <w:bCs w:val="0"/>
            </w:rPr>
            <w:fldChar w:fldCharType="end"/>
          </w:r>
        </w:p>
      </w:sdtContent>
    </w:sdt>
    <w:p w14:paraId="302740DB" w14:textId="77777777" w:rsidR="005613CD" w:rsidRPr="00DC73DC" w:rsidRDefault="005613CD" w:rsidP="00AB0258">
      <w:pPr>
        <w:pStyle w:val="Obsah1"/>
      </w:pPr>
    </w:p>
    <w:p w14:paraId="26DA419F" w14:textId="77777777" w:rsidR="007A32EA" w:rsidRDefault="007A32EA">
      <w:pPr>
        <w:ind w:firstLine="0"/>
        <w:rPr>
          <w:b/>
          <w:bCs w:val="0"/>
          <w:kern w:val="36"/>
          <w:sz w:val="32"/>
          <w:szCs w:val="32"/>
          <w:lang w:eastAsia="en-US"/>
        </w:rPr>
      </w:pPr>
      <w:bookmarkStart w:id="3" w:name="_Toc364927614"/>
      <w:r>
        <w:br w:type="page"/>
      </w:r>
    </w:p>
    <w:p w14:paraId="52CAA88F" w14:textId="2741EAD2" w:rsidR="00DB1AC9" w:rsidRPr="00DC73DC" w:rsidRDefault="00DB1AC9" w:rsidP="009E2F35">
      <w:pPr>
        <w:pStyle w:val="Nadpis1"/>
        <w:numPr>
          <w:ilvl w:val="0"/>
          <w:numId w:val="0"/>
        </w:numPr>
        <w:ind w:left="432" w:hanging="432"/>
      </w:pPr>
      <w:bookmarkStart w:id="4" w:name="_Toc491117210"/>
      <w:r w:rsidRPr="00DC73DC">
        <w:lastRenderedPageBreak/>
        <w:t>Seznam použitých zkratek</w:t>
      </w:r>
      <w:bookmarkEnd w:id="3"/>
      <w:bookmarkEnd w:id="4"/>
      <w:r w:rsidRPr="00DC73DC">
        <w:t xml:space="preserve"> </w:t>
      </w:r>
    </w:p>
    <w:p w14:paraId="187624C8" w14:textId="1FF7DFBE" w:rsidR="004B5859" w:rsidRPr="00DC73DC" w:rsidRDefault="00F87F7A" w:rsidP="00F76295">
      <w:pPr>
        <w:spacing w:line="360" w:lineRule="auto"/>
        <w:ind w:left="567" w:firstLine="0"/>
        <w:jc w:val="both"/>
      </w:pPr>
      <w:r w:rsidRPr="00DC73DC">
        <w:rPr>
          <w:b/>
        </w:rPr>
        <w:t xml:space="preserve">Haagská úmluva – </w:t>
      </w:r>
      <w:r w:rsidRPr="00DC73DC">
        <w:t>Úmluva o občanskoprávních aspe</w:t>
      </w:r>
      <w:r w:rsidR="004B5859" w:rsidRPr="00DC73DC">
        <w:t>ktech mezinárodních únosů dětí</w:t>
      </w:r>
    </w:p>
    <w:p w14:paraId="19D7F9DC" w14:textId="4E72F610" w:rsidR="004B5859" w:rsidRPr="00DC73DC" w:rsidRDefault="004B5859" w:rsidP="00F76295">
      <w:pPr>
        <w:spacing w:line="360" w:lineRule="auto"/>
        <w:ind w:left="567" w:firstLine="0"/>
        <w:jc w:val="both"/>
      </w:pPr>
      <w:r w:rsidRPr="00DC73DC">
        <w:rPr>
          <w:b/>
        </w:rPr>
        <w:t xml:space="preserve">Úmluva – </w:t>
      </w:r>
      <w:r w:rsidRPr="00DC73DC">
        <w:t>Úmluva o právech dítěte ze dne 20. 11. 1989</w:t>
      </w:r>
    </w:p>
    <w:p w14:paraId="28ABCBCA" w14:textId="076DC980" w:rsidR="004B5859" w:rsidRPr="00DC73DC" w:rsidRDefault="004B5859" w:rsidP="00F76295">
      <w:pPr>
        <w:spacing w:line="360" w:lineRule="auto"/>
        <w:ind w:left="567" w:firstLine="0"/>
        <w:jc w:val="both"/>
      </w:pPr>
      <w:r w:rsidRPr="00DC73DC">
        <w:rPr>
          <w:b/>
        </w:rPr>
        <w:t xml:space="preserve">Nařízení Brusel </w:t>
      </w:r>
      <w:proofErr w:type="spellStart"/>
      <w:r w:rsidRPr="00DC73DC">
        <w:rPr>
          <w:b/>
        </w:rPr>
        <w:t>IIbis</w:t>
      </w:r>
      <w:proofErr w:type="spellEnd"/>
      <w:r w:rsidRPr="00DC73DC">
        <w:rPr>
          <w:b/>
        </w:rPr>
        <w:t xml:space="preserve"> – </w:t>
      </w:r>
      <w:r w:rsidRPr="00DC73DC">
        <w:t>nařízení Rady (ES) č. 2201/2003 ze dne 27. listopadu o příslušnosti a uznávání a výkonu rozhodnutí ve věcech manželských a ve věcech rodičovské zodpovědnosti a o zrušení nařízení (ES) č. 1347/2000</w:t>
      </w:r>
    </w:p>
    <w:p w14:paraId="7A73B9D0" w14:textId="04F33EA4" w:rsidR="00F87F7A" w:rsidRPr="00DC73DC" w:rsidRDefault="00F87F7A" w:rsidP="00F76295">
      <w:pPr>
        <w:spacing w:line="360" w:lineRule="auto"/>
        <w:ind w:left="567" w:firstLine="0"/>
        <w:jc w:val="both"/>
      </w:pPr>
      <w:r w:rsidRPr="00DC73DC">
        <w:t>uzavřená</w:t>
      </w:r>
      <w:r w:rsidR="00833818" w:rsidRPr="00DC73DC">
        <w:t xml:space="preserve"> dne 25. Října 1980</w:t>
      </w:r>
    </w:p>
    <w:p w14:paraId="1D3C3C16" w14:textId="77777777" w:rsidR="004B5859" w:rsidRPr="00DC73DC" w:rsidRDefault="004B5859" w:rsidP="00F76295">
      <w:pPr>
        <w:spacing w:line="360" w:lineRule="auto"/>
        <w:ind w:left="567" w:firstLine="0"/>
        <w:jc w:val="both"/>
      </w:pPr>
      <w:r w:rsidRPr="00DC73DC">
        <w:rPr>
          <w:b/>
        </w:rPr>
        <w:t xml:space="preserve">LZPS – </w:t>
      </w:r>
      <w:r w:rsidRPr="00DC73DC">
        <w:t>usnesení předsednictva ČNR č. 2/1993 Sb., o vyhlášení Listiny základních práv a svobod jako součásti ústavního pořádku ČR</w:t>
      </w:r>
    </w:p>
    <w:p w14:paraId="4A9A1753" w14:textId="7F4FA635" w:rsidR="004B5859" w:rsidRPr="00DC73DC" w:rsidRDefault="004B5859" w:rsidP="00F76295">
      <w:pPr>
        <w:spacing w:line="360" w:lineRule="auto"/>
        <w:jc w:val="both"/>
      </w:pPr>
      <w:r w:rsidRPr="00DC73DC">
        <w:rPr>
          <w:b/>
        </w:rPr>
        <w:t xml:space="preserve">OZ – </w:t>
      </w:r>
      <w:r w:rsidRPr="00DC73DC">
        <w:t>zákon č. 89/2012 Sb., občanský zákoník</w:t>
      </w:r>
    </w:p>
    <w:p w14:paraId="106A5729" w14:textId="77777777" w:rsidR="004B5859" w:rsidRPr="00DC73DC" w:rsidRDefault="004B5859" w:rsidP="00F76295">
      <w:pPr>
        <w:spacing w:line="360" w:lineRule="auto"/>
        <w:ind w:left="567" w:firstLine="0"/>
        <w:jc w:val="both"/>
        <w:rPr>
          <w:b/>
        </w:rPr>
      </w:pPr>
      <w:r w:rsidRPr="00DC73DC">
        <w:rPr>
          <w:b/>
        </w:rPr>
        <w:t xml:space="preserve">OSŘ </w:t>
      </w:r>
      <w:r w:rsidRPr="00DC73DC">
        <w:t>–</w:t>
      </w:r>
      <w:r w:rsidRPr="00DC73DC">
        <w:rPr>
          <w:b/>
        </w:rPr>
        <w:t xml:space="preserve"> </w:t>
      </w:r>
      <w:r w:rsidRPr="00DC73DC">
        <w:t>zákon č. 99/1963 Sb., občanského soudního řádu</w:t>
      </w:r>
      <w:r w:rsidRPr="00DC73DC">
        <w:rPr>
          <w:b/>
        </w:rPr>
        <w:t xml:space="preserve"> </w:t>
      </w:r>
    </w:p>
    <w:p w14:paraId="0DA3F3A6" w14:textId="699F3957" w:rsidR="00833818" w:rsidRPr="00DC73DC" w:rsidRDefault="00114AE6" w:rsidP="00F76295">
      <w:pPr>
        <w:spacing w:line="360" w:lineRule="auto"/>
        <w:ind w:left="567" w:firstLine="0"/>
        <w:jc w:val="both"/>
      </w:pPr>
      <w:r>
        <w:rPr>
          <w:b/>
        </w:rPr>
        <w:t>Z</w:t>
      </w:r>
      <w:r w:rsidR="004B5859" w:rsidRPr="00DC73DC">
        <w:rPr>
          <w:b/>
        </w:rPr>
        <w:t>Ř</w:t>
      </w:r>
      <w:r>
        <w:rPr>
          <w:b/>
        </w:rPr>
        <w:t>S</w:t>
      </w:r>
      <w:r w:rsidR="004B5859" w:rsidRPr="00DC73DC">
        <w:rPr>
          <w:b/>
        </w:rPr>
        <w:t xml:space="preserve"> </w:t>
      </w:r>
      <w:r w:rsidR="004B5859" w:rsidRPr="00DC73DC">
        <w:t>– zákon č. 292/2013 Sb., o zvláštních řízeních soudních</w:t>
      </w:r>
    </w:p>
    <w:p w14:paraId="7D6B7BB5" w14:textId="1F77967A" w:rsidR="00833818" w:rsidRPr="00DC73DC" w:rsidRDefault="00833818" w:rsidP="00F76295">
      <w:pPr>
        <w:spacing w:line="360" w:lineRule="auto"/>
        <w:ind w:left="567" w:firstLine="0"/>
        <w:jc w:val="both"/>
      </w:pPr>
      <w:r w:rsidRPr="00DC73DC">
        <w:rPr>
          <w:b/>
        </w:rPr>
        <w:t>ZSPO</w:t>
      </w:r>
      <w:r w:rsidRPr="00DC73DC">
        <w:t xml:space="preserve"> –</w:t>
      </w:r>
      <w:r w:rsidR="0029143F">
        <w:t xml:space="preserve"> </w:t>
      </w:r>
      <w:r w:rsidRPr="00DC73DC">
        <w:t>zákon č. 359/1999 Sb., o sociálněprávní ochraně dětí</w:t>
      </w:r>
    </w:p>
    <w:p w14:paraId="3F656003" w14:textId="77777777" w:rsidR="004B5859" w:rsidRPr="00DC73DC" w:rsidRDefault="004B5859" w:rsidP="00F76295">
      <w:pPr>
        <w:spacing w:line="360" w:lineRule="auto"/>
        <w:jc w:val="both"/>
      </w:pPr>
      <w:r w:rsidRPr="00DC73DC">
        <w:rPr>
          <w:b/>
        </w:rPr>
        <w:t xml:space="preserve">TZ </w:t>
      </w:r>
      <w:r w:rsidRPr="00DC73DC">
        <w:t xml:space="preserve">– zákon č. 40/2009 Sb., trestní zákoník </w:t>
      </w:r>
    </w:p>
    <w:p w14:paraId="33649E7A" w14:textId="77069C24" w:rsidR="004B5859" w:rsidRPr="00DC73DC" w:rsidRDefault="004B5859" w:rsidP="00F76295">
      <w:pPr>
        <w:spacing w:line="360" w:lineRule="auto"/>
        <w:jc w:val="both"/>
        <w:rPr>
          <w:b/>
        </w:rPr>
      </w:pPr>
      <w:r w:rsidRPr="00DC73DC">
        <w:rPr>
          <w:b/>
        </w:rPr>
        <w:t>Soudní dvůr –</w:t>
      </w:r>
      <w:r w:rsidR="0029143F">
        <w:rPr>
          <w:b/>
        </w:rPr>
        <w:t xml:space="preserve"> </w:t>
      </w:r>
      <w:r w:rsidRPr="00DC73DC">
        <w:t>Soudní dvůr Evropské Unie</w:t>
      </w:r>
      <w:r w:rsidRPr="00DC73DC">
        <w:rPr>
          <w:b/>
        </w:rPr>
        <w:t xml:space="preserve"> </w:t>
      </w:r>
    </w:p>
    <w:p w14:paraId="768A7642" w14:textId="690E252F" w:rsidR="003E609B" w:rsidRPr="00DC73DC" w:rsidRDefault="003E609B" w:rsidP="00F76295">
      <w:pPr>
        <w:spacing w:line="360" w:lineRule="auto"/>
        <w:jc w:val="both"/>
        <w:rPr>
          <w:b/>
        </w:rPr>
      </w:pPr>
      <w:r w:rsidRPr="00DC73DC">
        <w:rPr>
          <w:b/>
        </w:rPr>
        <w:t>ESLP</w:t>
      </w:r>
      <w:r w:rsidR="0029143F">
        <w:rPr>
          <w:b/>
        </w:rPr>
        <w:t xml:space="preserve"> </w:t>
      </w:r>
      <w:r w:rsidRPr="00DC73DC">
        <w:rPr>
          <w:b/>
        </w:rPr>
        <w:t>–</w:t>
      </w:r>
      <w:r w:rsidR="0029143F">
        <w:rPr>
          <w:b/>
        </w:rPr>
        <w:t xml:space="preserve"> </w:t>
      </w:r>
      <w:r w:rsidRPr="00DC73DC">
        <w:t>Evropský soud pro lidská práva</w:t>
      </w:r>
    </w:p>
    <w:p w14:paraId="6083FB1D" w14:textId="4F7946B8" w:rsidR="00833818" w:rsidRDefault="00833818" w:rsidP="00F76295">
      <w:pPr>
        <w:spacing w:line="360" w:lineRule="auto"/>
        <w:ind w:left="567" w:firstLine="0"/>
        <w:jc w:val="both"/>
        <w:rPr>
          <w:b/>
        </w:rPr>
      </w:pPr>
    </w:p>
    <w:p w14:paraId="382C45AF" w14:textId="77777777" w:rsidR="00DC73DC" w:rsidRDefault="00DC73DC" w:rsidP="00F76295">
      <w:pPr>
        <w:spacing w:line="360" w:lineRule="auto"/>
        <w:ind w:left="567" w:firstLine="0"/>
        <w:jc w:val="both"/>
        <w:rPr>
          <w:b/>
        </w:rPr>
      </w:pPr>
    </w:p>
    <w:p w14:paraId="157A0F10" w14:textId="77777777" w:rsidR="00DC73DC" w:rsidRDefault="00DC73DC" w:rsidP="00F76295">
      <w:pPr>
        <w:spacing w:line="360" w:lineRule="auto"/>
        <w:ind w:left="567" w:firstLine="0"/>
        <w:jc w:val="both"/>
        <w:rPr>
          <w:b/>
        </w:rPr>
      </w:pPr>
    </w:p>
    <w:p w14:paraId="06A08D0B" w14:textId="77777777" w:rsidR="00DC73DC" w:rsidRDefault="00DC73DC" w:rsidP="00F76295">
      <w:pPr>
        <w:spacing w:line="360" w:lineRule="auto"/>
        <w:ind w:left="567" w:firstLine="0"/>
        <w:jc w:val="both"/>
        <w:rPr>
          <w:b/>
        </w:rPr>
      </w:pPr>
    </w:p>
    <w:p w14:paraId="584F8343" w14:textId="77777777" w:rsidR="00DC73DC" w:rsidRDefault="00DC73DC" w:rsidP="00F76295">
      <w:pPr>
        <w:spacing w:line="360" w:lineRule="auto"/>
        <w:ind w:left="567" w:firstLine="0"/>
        <w:jc w:val="both"/>
        <w:rPr>
          <w:b/>
        </w:rPr>
      </w:pPr>
    </w:p>
    <w:p w14:paraId="7D6B77E1" w14:textId="77777777" w:rsidR="00DC73DC" w:rsidRDefault="00DC73DC" w:rsidP="00F76295">
      <w:pPr>
        <w:spacing w:line="360" w:lineRule="auto"/>
        <w:ind w:left="567" w:firstLine="0"/>
        <w:jc w:val="both"/>
        <w:rPr>
          <w:b/>
        </w:rPr>
      </w:pPr>
    </w:p>
    <w:p w14:paraId="1EE2EB13" w14:textId="77777777" w:rsidR="00DC73DC" w:rsidRDefault="00DC73DC" w:rsidP="00F76295">
      <w:pPr>
        <w:spacing w:line="360" w:lineRule="auto"/>
        <w:ind w:left="567" w:firstLine="0"/>
        <w:jc w:val="both"/>
        <w:rPr>
          <w:b/>
        </w:rPr>
      </w:pPr>
    </w:p>
    <w:p w14:paraId="026106F5" w14:textId="77777777" w:rsidR="00DC73DC" w:rsidRDefault="00DC73DC" w:rsidP="00F76295">
      <w:pPr>
        <w:spacing w:line="360" w:lineRule="auto"/>
        <w:ind w:left="567" w:firstLine="0"/>
        <w:jc w:val="both"/>
        <w:rPr>
          <w:b/>
        </w:rPr>
      </w:pPr>
    </w:p>
    <w:p w14:paraId="5F548A51" w14:textId="77777777" w:rsidR="00DC73DC" w:rsidRDefault="00DC73DC" w:rsidP="00F76295">
      <w:pPr>
        <w:spacing w:line="360" w:lineRule="auto"/>
        <w:ind w:left="567" w:firstLine="0"/>
        <w:jc w:val="both"/>
        <w:rPr>
          <w:b/>
        </w:rPr>
      </w:pPr>
    </w:p>
    <w:p w14:paraId="494B30CD" w14:textId="77777777" w:rsidR="00DC73DC" w:rsidRPr="00DC73DC" w:rsidRDefault="00DC73DC" w:rsidP="00F76295">
      <w:pPr>
        <w:spacing w:line="360" w:lineRule="auto"/>
        <w:ind w:left="567" w:firstLine="0"/>
        <w:jc w:val="both"/>
        <w:rPr>
          <w:b/>
        </w:rPr>
      </w:pPr>
    </w:p>
    <w:p w14:paraId="63EADA60" w14:textId="77777777" w:rsidR="00833818" w:rsidRPr="00DC73DC" w:rsidRDefault="00833818" w:rsidP="00F76295">
      <w:pPr>
        <w:spacing w:line="360" w:lineRule="auto"/>
        <w:ind w:left="567" w:firstLine="0"/>
        <w:jc w:val="both"/>
      </w:pPr>
    </w:p>
    <w:p w14:paraId="0B69F1E1" w14:textId="77777777" w:rsidR="00B87D40" w:rsidRPr="00DC73DC" w:rsidRDefault="00B87D40" w:rsidP="00F76295">
      <w:pPr>
        <w:spacing w:line="360" w:lineRule="auto"/>
        <w:jc w:val="both"/>
      </w:pPr>
    </w:p>
    <w:p w14:paraId="258CCAAD" w14:textId="77777777" w:rsidR="007A32EA" w:rsidRDefault="007A32EA">
      <w:pPr>
        <w:ind w:firstLine="0"/>
        <w:rPr>
          <w:b/>
          <w:bCs w:val="0"/>
          <w:kern w:val="36"/>
          <w:sz w:val="32"/>
          <w:szCs w:val="32"/>
          <w:lang w:eastAsia="en-US"/>
        </w:rPr>
      </w:pPr>
      <w:bookmarkStart w:id="5" w:name="_Toc364927615"/>
      <w:r>
        <w:br w:type="page"/>
      </w:r>
    </w:p>
    <w:p w14:paraId="081A5E59" w14:textId="395FA6BF" w:rsidR="003E0B4D" w:rsidRPr="00DC73DC" w:rsidRDefault="003E0B4D" w:rsidP="009E2F35">
      <w:pPr>
        <w:pStyle w:val="Nadpis1"/>
        <w:numPr>
          <w:ilvl w:val="0"/>
          <w:numId w:val="0"/>
        </w:numPr>
        <w:ind w:left="432" w:hanging="432"/>
      </w:pPr>
      <w:bookmarkStart w:id="6" w:name="_Toc491117211"/>
      <w:r w:rsidRPr="00DC73DC">
        <w:lastRenderedPageBreak/>
        <w:t>Úvod</w:t>
      </w:r>
      <w:bookmarkEnd w:id="0"/>
      <w:bookmarkEnd w:id="5"/>
      <w:bookmarkEnd w:id="6"/>
    </w:p>
    <w:p w14:paraId="76A22384" w14:textId="4EA28ACE" w:rsidR="003E0B4D" w:rsidRPr="00DC73DC" w:rsidRDefault="00AB1D1F" w:rsidP="00F76295">
      <w:pPr>
        <w:tabs>
          <w:tab w:val="left" w:pos="567"/>
        </w:tabs>
        <w:autoSpaceDE w:val="0"/>
        <w:autoSpaceDN w:val="0"/>
        <w:adjustRightInd w:val="0"/>
        <w:spacing w:line="360" w:lineRule="auto"/>
        <w:jc w:val="both"/>
      </w:pPr>
      <w:r>
        <w:tab/>
      </w:r>
      <w:r w:rsidR="003E0B4D" w:rsidRPr="00DC73DC">
        <w:t>Mezinárodní únosy dětí jsou v dnešní moderní společnosti stále více probíraným tématem. Svět se lidem otevírá díky rostoucím studijním i pracovním příležitostem a stále více lidí těchto možností využívá. Dochází tak ke zvyšujícímu se počtu vzniku rodin, ve kterých rodiče pochází z rozdílných států, popř. se oba nacházejí na území státu, jehož nejsou občany. Při nastupujících neshodách mezi rodiči pak může vznikat řada otázek ve vztahu k dětem, zejména v situaci, kdy se jeden z rodičů rozhodne odjet ze země</w:t>
      </w:r>
      <w:r w:rsidR="00DC73DC">
        <w:t xml:space="preserve"> s dítětem</w:t>
      </w:r>
      <w:r w:rsidR="003E0B4D" w:rsidRPr="00DC73DC">
        <w:t xml:space="preserve">, ve kterém má dítě obvyklé bydliště, aniž by respektoval podmínky, které jsou upraveny v jednotlivých právních úpravách. V takovém případě pak hovoříme o mezinárodním únosu dítěte, kterému bych se chtěla věnovat ve své diplomové práci. Konkrétním zaměřením bude pojem obvyklého bydliště dítěte vykládaný </w:t>
      </w:r>
      <w:r w:rsidR="001B47E3">
        <w:t>podle</w:t>
      </w:r>
      <w:r w:rsidR="003806A8">
        <w:t xml:space="preserve"> </w:t>
      </w:r>
      <w:r w:rsidR="003E0B4D" w:rsidRPr="00DC73DC">
        <w:t>ak</w:t>
      </w:r>
      <w:r w:rsidR="00DC73DC">
        <w:t>tuální judikatury</w:t>
      </w:r>
      <w:r w:rsidR="00B4345D">
        <w:t>, zejména</w:t>
      </w:r>
      <w:r w:rsidR="00DC73DC">
        <w:t xml:space="preserve"> </w:t>
      </w:r>
      <w:r w:rsidR="001B47E3">
        <w:t>podle</w:t>
      </w:r>
      <w:r w:rsidR="00DC73DC">
        <w:t xml:space="preserve"> stanoviska</w:t>
      </w:r>
      <w:r w:rsidR="003E0B4D" w:rsidRPr="00DC73DC">
        <w:t xml:space="preserve"> </w:t>
      </w:r>
      <w:r w:rsidR="00DC73DC">
        <w:t xml:space="preserve">Soudního dvora </w:t>
      </w:r>
      <w:r w:rsidR="003E0B4D" w:rsidRPr="00DC73DC">
        <w:t>vydané</w:t>
      </w:r>
      <w:r w:rsidR="0020610E">
        <w:t>ho</w:t>
      </w:r>
      <w:r w:rsidR="003E0B4D" w:rsidRPr="00DC73DC">
        <w:t xml:space="preserve"> v květnu tohoto roku. V již zmíněném rozhodnutí se soud zabýval podmínkou fyzické přítomnosti dítěte při určování obvyklého bydliště dítěte. </w:t>
      </w:r>
    </w:p>
    <w:p w14:paraId="45397F15" w14:textId="25BE05DF" w:rsidR="003E0B4D" w:rsidRPr="00DC73DC" w:rsidRDefault="00AB1D1F" w:rsidP="00F76295">
      <w:pPr>
        <w:tabs>
          <w:tab w:val="left" w:pos="567"/>
        </w:tabs>
        <w:autoSpaceDE w:val="0"/>
        <w:autoSpaceDN w:val="0"/>
        <w:adjustRightInd w:val="0"/>
        <w:spacing w:line="360" w:lineRule="auto"/>
        <w:jc w:val="both"/>
      </w:pPr>
      <w:r>
        <w:tab/>
      </w:r>
      <w:r w:rsidR="003E0B4D" w:rsidRPr="00DC73DC">
        <w:t>Ve své diplomové práci se tak budu věnovat následujícím vědeckým otázkám:</w:t>
      </w:r>
    </w:p>
    <w:p w14:paraId="49CD137B" w14:textId="3945C962" w:rsidR="003E0B4D" w:rsidRPr="00DC73DC" w:rsidRDefault="003E0B4D" w:rsidP="00F76295">
      <w:pPr>
        <w:pStyle w:val="Odstavecseseznamem"/>
        <w:numPr>
          <w:ilvl w:val="0"/>
          <w:numId w:val="1"/>
        </w:numPr>
        <w:autoSpaceDE w:val="0"/>
        <w:autoSpaceDN w:val="0"/>
        <w:adjustRightInd w:val="0"/>
        <w:spacing w:after="240" w:line="360" w:lineRule="auto"/>
        <w:jc w:val="both"/>
      </w:pPr>
      <w:r w:rsidRPr="00DC73DC">
        <w:t xml:space="preserve"> Shoduje se současný koncept definice obvyklého bydliště dítěte s aktuální judikaturou</w:t>
      </w:r>
      <w:r w:rsidR="009D6D09">
        <w:t xml:space="preserve"> ESD</w:t>
      </w:r>
      <w:r w:rsidRPr="00DC73DC">
        <w:t>?</w:t>
      </w:r>
    </w:p>
    <w:p w14:paraId="00AB001C" w14:textId="77777777" w:rsidR="00C33FAA" w:rsidRDefault="003E0B4D" w:rsidP="00F76295">
      <w:pPr>
        <w:pStyle w:val="Odstavecseseznamem"/>
        <w:numPr>
          <w:ilvl w:val="0"/>
          <w:numId w:val="1"/>
        </w:numPr>
        <w:autoSpaceDE w:val="0"/>
        <w:autoSpaceDN w:val="0"/>
        <w:adjustRightInd w:val="0"/>
        <w:spacing w:after="240" w:line="360" w:lineRule="auto"/>
        <w:jc w:val="both"/>
      </w:pPr>
      <w:r w:rsidRPr="00DC73DC">
        <w:t>Jakou roli hraje fyzická přítomnost dítěte</w:t>
      </w:r>
      <w:r w:rsidR="00E13541">
        <w:t xml:space="preserve"> </w:t>
      </w:r>
      <w:r w:rsidR="00C33FAA">
        <w:t>u příslušného soudu</w:t>
      </w:r>
      <w:r w:rsidRPr="00DC73DC">
        <w:t xml:space="preserve"> při urč</w:t>
      </w:r>
      <w:r w:rsidR="000864BB">
        <w:t>ování jeho obvyklého bydliště</w:t>
      </w:r>
      <w:r w:rsidR="00C33FAA">
        <w:t>?</w:t>
      </w:r>
    </w:p>
    <w:p w14:paraId="66BA8491" w14:textId="77777777" w:rsidR="00C65081" w:rsidRDefault="00C65081" w:rsidP="00F76295">
      <w:pPr>
        <w:pStyle w:val="Odstavecseseznamem"/>
        <w:numPr>
          <w:ilvl w:val="0"/>
          <w:numId w:val="1"/>
        </w:numPr>
        <w:autoSpaceDE w:val="0"/>
        <w:autoSpaceDN w:val="0"/>
        <w:adjustRightInd w:val="0"/>
        <w:spacing w:after="240" w:line="360" w:lineRule="auto"/>
        <w:jc w:val="both"/>
      </w:pPr>
      <w:r>
        <w:t>Jaký má vliv věk dítěte při určování jeho obvyklého bydliště?</w:t>
      </w:r>
    </w:p>
    <w:p w14:paraId="147C4EB6" w14:textId="78C03F39" w:rsidR="007B11EF" w:rsidRPr="00DC73DC" w:rsidRDefault="0031307D" w:rsidP="00C65081">
      <w:pPr>
        <w:pStyle w:val="Odstavecseseznamem"/>
        <w:numPr>
          <w:ilvl w:val="0"/>
          <w:numId w:val="1"/>
        </w:numPr>
        <w:autoSpaceDE w:val="0"/>
        <w:autoSpaceDN w:val="0"/>
        <w:adjustRightInd w:val="0"/>
        <w:spacing w:after="240" w:line="360" w:lineRule="auto"/>
        <w:jc w:val="both"/>
      </w:pPr>
      <w:r>
        <w:t>Jak se určuje obvyklé bydliště v případě ještě nenarozených dětí (</w:t>
      </w:r>
      <w:proofErr w:type="spellStart"/>
      <w:r>
        <w:t>nasciturů</w:t>
      </w:r>
      <w:proofErr w:type="spellEnd"/>
      <w:r>
        <w:t>)?</w:t>
      </w:r>
    </w:p>
    <w:p w14:paraId="22DC7AF6" w14:textId="77777777" w:rsidR="003E0B4D" w:rsidRPr="00DC73DC" w:rsidRDefault="003E0B4D" w:rsidP="00F76295">
      <w:pPr>
        <w:spacing w:line="360" w:lineRule="auto"/>
        <w:ind w:firstLine="0"/>
        <w:jc w:val="both"/>
        <w:rPr>
          <w:b/>
          <w:sz w:val="28"/>
          <w:szCs w:val="28"/>
        </w:rPr>
      </w:pPr>
      <w:r w:rsidRPr="00DC73DC">
        <w:rPr>
          <w:b/>
          <w:sz w:val="28"/>
          <w:szCs w:val="28"/>
        </w:rPr>
        <w:t>Struktura diplomové práce</w:t>
      </w:r>
    </w:p>
    <w:p w14:paraId="7F65FF63" w14:textId="26EF0C21" w:rsidR="003E0B4D" w:rsidRPr="00DC73DC" w:rsidRDefault="00AB1D1F" w:rsidP="00F76295">
      <w:pPr>
        <w:tabs>
          <w:tab w:val="left" w:pos="567"/>
        </w:tabs>
        <w:autoSpaceDE w:val="0"/>
        <w:autoSpaceDN w:val="0"/>
        <w:adjustRightInd w:val="0"/>
        <w:spacing w:line="360" w:lineRule="auto"/>
        <w:jc w:val="both"/>
      </w:pPr>
      <w:r>
        <w:tab/>
      </w:r>
      <w:r w:rsidR="003E0B4D" w:rsidRPr="00DC73DC">
        <w:t>V první kapitole se b</w:t>
      </w:r>
      <w:r w:rsidR="00787DD1">
        <w:t>udu věnovat pramenům</w:t>
      </w:r>
      <w:r w:rsidR="003E0B4D" w:rsidRPr="00DC73DC">
        <w:t xml:space="preserve"> upravující</w:t>
      </w:r>
      <w:r w:rsidR="00787DD1">
        <w:t>m</w:t>
      </w:r>
      <w:r w:rsidR="003E0B4D" w:rsidRPr="00DC73DC">
        <w:t xml:space="preserve"> problematiku mezinárodních únosů. Prameny budu uvádět na úrovni mezinárodní, unijní a v neposlední řadě</w:t>
      </w:r>
      <w:r w:rsidR="00BA12F3">
        <w:t xml:space="preserve"> také</w:t>
      </w:r>
      <w:r w:rsidR="003E0B4D" w:rsidRPr="00DC73DC">
        <w:t xml:space="preserve"> úpravu v českém právním řádu. Současně budu uvádět jednotlivé pojmy a principy, které tyto prameny zakotvují.</w:t>
      </w:r>
      <w:r w:rsidR="0029143F">
        <w:t xml:space="preserve"> </w:t>
      </w:r>
    </w:p>
    <w:p w14:paraId="070378DF" w14:textId="79E81351" w:rsidR="003E0B4D" w:rsidRPr="00DC73DC" w:rsidRDefault="003E0B4D" w:rsidP="00AB1D1F">
      <w:pPr>
        <w:autoSpaceDE w:val="0"/>
        <w:autoSpaceDN w:val="0"/>
        <w:adjustRightInd w:val="0"/>
        <w:spacing w:line="360" w:lineRule="auto"/>
        <w:ind w:firstLine="720"/>
        <w:jc w:val="both"/>
      </w:pPr>
      <w:r w:rsidRPr="00DC73DC">
        <w:t>Ve druhé kapitole se budu zabývat vymezením pojmu obvyklého bydliště dítěte</w:t>
      </w:r>
      <w:r w:rsidR="00DC73DC">
        <w:t xml:space="preserve"> a jím souvisejícím institutům</w:t>
      </w:r>
      <w:r w:rsidRPr="00DC73DC">
        <w:t>. Teoretické vymezení budu čerpat z právních úprav uveden</w:t>
      </w:r>
      <w:r w:rsidR="00B846EB">
        <w:t>ých</w:t>
      </w:r>
      <w:r w:rsidRPr="00DC73DC">
        <w:t xml:space="preserve"> v první kapitole, odborné literatury a zejména relevantní judikatury</w:t>
      </w:r>
      <w:r w:rsidR="00271E7C">
        <w:t xml:space="preserve">, která je </w:t>
      </w:r>
      <w:r w:rsidR="00846C4A" w:rsidRPr="00DC73DC">
        <w:t>hlavním nástrojem pro výklad a interpretaci mezinárodních dokumentů</w:t>
      </w:r>
      <w:r w:rsidR="0029143F">
        <w:t>.</w:t>
      </w:r>
    </w:p>
    <w:p w14:paraId="79B558D0" w14:textId="6B08B571" w:rsidR="00DC73DC" w:rsidRDefault="003E0B4D" w:rsidP="00AB1D1F">
      <w:pPr>
        <w:autoSpaceDE w:val="0"/>
        <w:autoSpaceDN w:val="0"/>
        <w:adjustRightInd w:val="0"/>
        <w:spacing w:line="360" w:lineRule="auto"/>
        <w:ind w:firstLine="720"/>
        <w:jc w:val="both"/>
      </w:pPr>
      <w:r w:rsidRPr="00DC73DC">
        <w:t>Ve třetí kapitole budu srovnávat současné definování pojmu obvyklého bydliště dítěte ve vztahu k existující judikatuře, a to konkrétně ve smyslu stanoviska Soudního dvora ze dne 16. května 2017, ve kterém soud zjišťoval důležitost fyzick</w:t>
      </w:r>
      <w:r w:rsidR="007B4CA8">
        <w:t>é</w:t>
      </w:r>
      <w:r w:rsidR="00327ACA">
        <w:t xml:space="preserve"> přítomnosti dítěte jako jeden</w:t>
      </w:r>
      <w:r w:rsidRPr="00DC73DC">
        <w:t xml:space="preserve"> z předpokladů při určování obvyklého bydliště dítěte. Soud se také v tomto stanovisku </w:t>
      </w:r>
      <w:r w:rsidRPr="00DC73DC">
        <w:lastRenderedPageBreak/>
        <w:t>vyjadřoval k situaci kojenců a nenarozených dětí</w:t>
      </w:r>
      <w:r w:rsidR="00AB1D1F">
        <w:t>,</w:t>
      </w:r>
      <w:r w:rsidRPr="00DC73DC">
        <w:t xml:space="preserve"> a principů, kterých se užije při rozhodování o jejich navrácení či odmítnutí navrácení do daného státu</w:t>
      </w:r>
      <w:r w:rsidR="00DC73DC">
        <w:t xml:space="preserve">. </w:t>
      </w:r>
    </w:p>
    <w:p w14:paraId="2B40B8E3" w14:textId="665C23D1" w:rsidR="003E0B4D" w:rsidRPr="00DC73DC" w:rsidRDefault="00DC73DC" w:rsidP="00AB1D1F">
      <w:pPr>
        <w:autoSpaceDE w:val="0"/>
        <w:autoSpaceDN w:val="0"/>
        <w:adjustRightInd w:val="0"/>
        <w:spacing w:line="360" w:lineRule="auto"/>
        <w:ind w:firstLine="720"/>
        <w:jc w:val="both"/>
      </w:pPr>
      <w:r>
        <w:t>Ve čtvrté kapitole uvedu postup soudů v případě změny bydliště a návratové řízení.</w:t>
      </w:r>
      <w:r w:rsidR="003E0B4D" w:rsidRPr="00DC73DC">
        <w:t xml:space="preserve"> </w:t>
      </w:r>
    </w:p>
    <w:p w14:paraId="6D01A6F1" w14:textId="0B299EE4" w:rsidR="003E0B4D" w:rsidRPr="00DC73DC" w:rsidRDefault="003E0B4D" w:rsidP="00AB1D1F">
      <w:pPr>
        <w:autoSpaceDE w:val="0"/>
        <w:autoSpaceDN w:val="0"/>
        <w:adjustRightInd w:val="0"/>
        <w:spacing w:line="360" w:lineRule="auto"/>
        <w:ind w:firstLine="720"/>
        <w:jc w:val="both"/>
      </w:pPr>
      <w:r w:rsidRPr="00DC73DC">
        <w:t xml:space="preserve">Závěrem tak bude kvalitativní vyhodnocení zjištěných informací a nastínění </w:t>
      </w:r>
      <w:r w:rsidR="00AB1D1F">
        <w:t xml:space="preserve">možných řešení de lege </w:t>
      </w:r>
      <w:proofErr w:type="spellStart"/>
      <w:r w:rsidR="00AB1D1F">
        <w:t>ferenda</w:t>
      </w:r>
      <w:proofErr w:type="spellEnd"/>
      <w:r w:rsidR="00AB1D1F">
        <w:t>.</w:t>
      </w:r>
    </w:p>
    <w:p w14:paraId="736E5A84" w14:textId="77777777" w:rsidR="003E0B4D" w:rsidRPr="00DC73DC" w:rsidRDefault="003E0B4D" w:rsidP="00F76295">
      <w:pPr>
        <w:autoSpaceDE w:val="0"/>
        <w:autoSpaceDN w:val="0"/>
        <w:adjustRightInd w:val="0"/>
        <w:spacing w:line="360" w:lineRule="auto"/>
        <w:jc w:val="both"/>
      </w:pPr>
    </w:p>
    <w:p w14:paraId="6B937A9A" w14:textId="77777777" w:rsidR="003E0B4D" w:rsidRPr="006A4A98" w:rsidRDefault="003E0B4D" w:rsidP="00F76295">
      <w:pPr>
        <w:pStyle w:val="Bezmezer"/>
        <w:spacing w:after="240"/>
        <w:rPr>
          <w:rFonts w:ascii="Times New Roman" w:hAnsi="Times New Roman"/>
          <w:sz w:val="28"/>
          <w:szCs w:val="28"/>
        </w:rPr>
      </w:pPr>
      <w:r w:rsidRPr="006A4A98">
        <w:rPr>
          <w:rFonts w:ascii="Times New Roman" w:hAnsi="Times New Roman"/>
          <w:sz w:val="28"/>
          <w:szCs w:val="28"/>
        </w:rPr>
        <w:t>Metody zpracování diplomové práce</w:t>
      </w:r>
    </w:p>
    <w:p w14:paraId="13D36181" w14:textId="1FA4D4E7" w:rsidR="003E0B4D" w:rsidRPr="006A4A98" w:rsidRDefault="003E0B4D" w:rsidP="007D008B">
      <w:pPr>
        <w:pStyle w:val="Bezmezer"/>
        <w:ind w:firstLine="720"/>
        <w:rPr>
          <w:rFonts w:ascii="Times New Roman" w:hAnsi="Times New Roman"/>
          <w:b w:val="0"/>
        </w:rPr>
      </w:pPr>
      <w:r w:rsidRPr="006A4A98">
        <w:rPr>
          <w:rFonts w:ascii="Times New Roman" w:hAnsi="Times New Roman"/>
          <w:b w:val="0"/>
        </w:rPr>
        <w:t xml:space="preserve">Při vyhledávání relevantních informací a podkladů pro svou diplomovou práci jsem využívala zejména internetové zdroje, odbornou literaturu a osobní konzultace na Úřadu pro mezinárodněprávní ochranu dětí v Brně. </w:t>
      </w:r>
      <w:r w:rsidR="00FD0345" w:rsidRPr="006A4A98">
        <w:rPr>
          <w:rFonts w:ascii="Times New Roman" w:hAnsi="Times New Roman"/>
          <w:b w:val="0"/>
        </w:rPr>
        <w:t>Hlavními zdroji mé práce b</w:t>
      </w:r>
      <w:r w:rsidRPr="006A4A98">
        <w:rPr>
          <w:rFonts w:ascii="Times New Roman" w:hAnsi="Times New Roman"/>
          <w:b w:val="0"/>
        </w:rPr>
        <w:t xml:space="preserve">yly zdroje cizojazyčné, zejména judikatura Soudního dvora a case </w:t>
      </w:r>
      <w:proofErr w:type="spellStart"/>
      <w:r w:rsidRPr="006A4A98">
        <w:rPr>
          <w:rFonts w:ascii="Times New Roman" w:hAnsi="Times New Roman"/>
          <w:b w:val="0"/>
        </w:rPr>
        <w:t>law</w:t>
      </w:r>
      <w:proofErr w:type="spellEnd"/>
      <w:r w:rsidRPr="006A4A98">
        <w:rPr>
          <w:rFonts w:ascii="Times New Roman" w:hAnsi="Times New Roman"/>
          <w:b w:val="0"/>
        </w:rPr>
        <w:t>, které jsem hledala na různých internetových stránkách</w:t>
      </w:r>
      <w:r w:rsidR="00952433" w:rsidRPr="006A4A98">
        <w:rPr>
          <w:rFonts w:ascii="Times New Roman" w:hAnsi="Times New Roman"/>
          <w:b w:val="0"/>
        </w:rPr>
        <w:t>, zejména se jedná o internetovou databázi (INCADAT), která shromažďuje řadu stěžejních rozhodnutí soudů ve věcech mezinárodních únosů. Jelikož je má práce založena zejména na soudních rozhodnutích, tak budu zejména vycházet z této databáze. S</w:t>
      </w:r>
      <w:r w:rsidRPr="006A4A98">
        <w:rPr>
          <w:rFonts w:ascii="Times New Roman" w:hAnsi="Times New Roman"/>
          <w:b w:val="0"/>
        </w:rPr>
        <w:t xml:space="preserve">tejně tak </w:t>
      </w:r>
      <w:r w:rsidR="00952433" w:rsidRPr="006A4A98">
        <w:rPr>
          <w:rFonts w:ascii="Times New Roman" w:hAnsi="Times New Roman"/>
          <w:b w:val="0"/>
        </w:rPr>
        <w:t>jsem však použila materiály</w:t>
      </w:r>
      <w:r w:rsidRPr="006A4A98">
        <w:rPr>
          <w:rFonts w:ascii="Times New Roman" w:hAnsi="Times New Roman"/>
          <w:b w:val="0"/>
        </w:rPr>
        <w:t xml:space="preserve"> v</w:t>
      </w:r>
      <w:r w:rsidR="00775EEF" w:rsidRPr="006A4A98">
        <w:rPr>
          <w:rFonts w:ascii="Times New Roman" w:hAnsi="Times New Roman"/>
          <w:b w:val="0"/>
        </w:rPr>
        <w:t> jazyce českém, jako například z</w:t>
      </w:r>
      <w:r w:rsidRPr="006A4A98">
        <w:rPr>
          <w:rFonts w:ascii="Times New Roman" w:hAnsi="Times New Roman"/>
          <w:b w:val="0"/>
        </w:rPr>
        <w:t>droj</w:t>
      </w:r>
      <w:r w:rsidR="00775EEF" w:rsidRPr="006A4A98">
        <w:rPr>
          <w:rFonts w:ascii="Times New Roman" w:hAnsi="Times New Roman"/>
          <w:b w:val="0"/>
        </w:rPr>
        <w:t>e</w:t>
      </w:r>
      <w:r w:rsidRPr="006A4A98">
        <w:rPr>
          <w:rFonts w:ascii="Times New Roman" w:hAnsi="Times New Roman"/>
          <w:b w:val="0"/>
        </w:rPr>
        <w:t xml:space="preserve"> Ministerstva</w:t>
      </w:r>
      <w:r w:rsidR="004E7AB0">
        <w:rPr>
          <w:rFonts w:ascii="Times New Roman" w:hAnsi="Times New Roman"/>
          <w:b w:val="0"/>
        </w:rPr>
        <w:t xml:space="preserve"> práce a </w:t>
      </w:r>
      <w:r w:rsidRPr="006A4A98">
        <w:rPr>
          <w:rFonts w:ascii="Times New Roman" w:hAnsi="Times New Roman"/>
          <w:b w:val="0"/>
        </w:rPr>
        <w:t>sociálních věcí ČR</w:t>
      </w:r>
      <w:r w:rsidR="00952433" w:rsidRPr="006A4A98">
        <w:rPr>
          <w:rFonts w:ascii="Times New Roman" w:hAnsi="Times New Roman"/>
          <w:b w:val="0"/>
        </w:rPr>
        <w:t xml:space="preserve"> či Ministerstva spravedlnosti po konzultaci na Úřadě pro mezinárodněprávní ochranu dětí v Brně</w:t>
      </w:r>
      <w:r w:rsidRPr="006A4A98">
        <w:rPr>
          <w:rFonts w:ascii="Times New Roman" w:hAnsi="Times New Roman"/>
          <w:b w:val="0"/>
        </w:rPr>
        <w:t>.</w:t>
      </w:r>
    </w:p>
    <w:p w14:paraId="2F505992" w14:textId="1F02F526" w:rsidR="003E0B4D" w:rsidRPr="006A4A98" w:rsidRDefault="003E0B4D" w:rsidP="007D008B">
      <w:pPr>
        <w:pStyle w:val="Bezmezer"/>
        <w:ind w:firstLine="720"/>
        <w:rPr>
          <w:rFonts w:ascii="Times New Roman" w:hAnsi="Times New Roman"/>
          <w:b w:val="0"/>
        </w:rPr>
      </w:pPr>
      <w:r w:rsidRPr="006A4A98">
        <w:rPr>
          <w:rFonts w:ascii="Times New Roman" w:hAnsi="Times New Roman"/>
          <w:b w:val="0"/>
        </w:rPr>
        <w:t>Při psaní své diplomové práce jsem pak využila určité vědecké metody</w:t>
      </w:r>
      <w:r w:rsidR="006A4A98">
        <w:rPr>
          <w:rFonts w:ascii="Times New Roman" w:hAnsi="Times New Roman"/>
          <w:b w:val="0"/>
        </w:rPr>
        <w:t>,</w:t>
      </w:r>
      <w:r w:rsidRPr="006A4A98">
        <w:rPr>
          <w:rFonts w:ascii="Times New Roman" w:hAnsi="Times New Roman"/>
          <w:b w:val="0"/>
        </w:rPr>
        <w:t xml:space="preserve"> a to zejména metodu syntetickou, analytickou, logickou a gramatickou. Syntetickou metodu jsem užívala zejména při shromažďování informací, zkoumáním jednotlivých pojmů a jejich charakterizováním. Analytickou metodu jsem pak využívala při vyhodnocení svých poznatků, zejména jsem se snažila o kvalitativní zhodnocení získaných poznatků. </w:t>
      </w:r>
    </w:p>
    <w:p w14:paraId="3889095C" w14:textId="2A351186" w:rsidR="003E0B4D" w:rsidRPr="00DC73DC" w:rsidRDefault="003E0B4D" w:rsidP="00DC73DC">
      <w:pPr>
        <w:pStyle w:val="Bezmezer"/>
        <w:rPr>
          <w:rFonts w:ascii="Times New Roman" w:hAnsi="Times New Roman"/>
        </w:rPr>
      </w:pPr>
      <w:r w:rsidRPr="006A4A98">
        <w:rPr>
          <w:rFonts w:ascii="Times New Roman" w:hAnsi="Times New Roman"/>
          <w:b w:val="0"/>
        </w:rPr>
        <w:t>Má diplomová práce je zpracována </w:t>
      </w:r>
      <w:r w:rsidR="001B47E3" w:rsidRPr="006A4A98">
        <w:rPr>
          <w:rFonts w:ascii="Times New Roman" w:hAnsi="Times New Roman"/>
          <w:b w:val="0"/>
        </w:rPr>
        <w:t>podle</w:t>
      </w:r>
      <w:r w:rsidR="0029143F" w:rsidRPr="006A4A98">
        <w:rPr>
          <w:rFonts w:ascii="Times New Roman" w:hAnsi="Times New Roman"/>
          <w:b w:val="0"/>
        </w:rPr>
        <w:t xml:space="preserve"> </w:t>
      </w:r>
      <w:r w:rsidRPr="006A4A98">
        <w:rPr>
          <w:rFonts w:ascii="Times New Roman" w:hAnsi="Times New Roman"/>
          <w:b w:val="0"/>
        </w:rPr>
        <w:t>právního stavu ke dni</w:t>
      </w:r>
      <w:r w:rsidRPr="00DC73DC">
        <w:rPr>
          <w:rFonts w:ascii="Times New Roman" w:hAnsi="Times New Roman"/>
        </w:rPr>
        <w:t> </w:t>
      </w:r>
      <w:r w:rsidR="00F87F7A" w:rsidRPr="006A4A98">
        <w:rPr>
          <w:rFonts w:ascii="Times New Roman" w:hAnsi="Times New Roman"/>
        </w:rPr>
        <w:t>21. 8. 2017</w:t>
      </w:r>
      <w:r w:rsidR="00F87F7A" w:rsidRPr="00DC73DC">
        <w:rPr>
          <w:rFonts w:ascii="Times New Roman" w:hAnsi="Times New Roman"/>
          <w:b w:val="0"/>
        </w:rPr>
        <w:t>.</w:t>
      </w:r>
    </w:p>
    <w:p w14:paraId="0918E800" w14:textId="77777777" w:rsidR="00DC73DC" w:rsidRDefault="00DC73DC" w:rsidP="00DC73DC">
      <w:pPr>
        <w:spacing w:line="360" w:lineRule="auto"/>
        <w:ind w:firstLine="0"/>
        <w:jc w:val="both"/>
        <w:sectPr w:rsidR="00DC73DC" w:rsidSect="00DC73DC">
          <w:footerReference w:type="even" r:id="rId8"/>
          <w:footerReference w:type="default" r:id="rId9"/>
          <w:pgSz w:w="11900" w:h="16840"/>
          <w:pgMar w:top="1418" w:right="1134" w:bottom="1418" w:left="1701" w:header="709" w:footer="709" w:gutter="0"/>
          <w:cols w:space="708"/>
          <w:titlePg/>
          <w:docGrid w:linePitch="360"/>
        </w:sectPr>
      </w:pPr>
    </w:p>
    <w:p w14:paraId="2E1C250C" w14:textId="4C92EF30" w:rsidR="003E0B4D" w:rsidRPr="00DC73DC" w:rsidRDefault="003E0B4D" w:rsidP="009E2F35">
      <w:pPr>
        <w:pStyle w:val="Nadpis1"/>
      </w:pPr>
      <w:bookmarkStart w:id="7" w:name="_Toc364534191"/>
      <w:bookmarkStart w:id="8" w:name="_Toc364927616"/>
      <w:bookmarkStart w:id="9" w:name="_Toc491117212"/>
      <w:r w:rsidRPr="00DC73DC">
        <w:lastRenderedPageBreak/>
        <w:t>Právní rámec</w:t>
      </w:r>
      <w:bookmarkEnd w:id="7"/>
      <w:bookmarkEnd w:id="8"/>
      <w:bookmarkEnd w:id="9"/>
      <w:r w:rsidRPr="00DC73DC">
        <w:t xml:space="preserve"> </w:t>
      </w:r>
    </w:p>
    <w:p w14:paraId="08C61182" w14:textId="35FCDD6A" w:rsidR="00BA293A" w:rsidRPr="00DC73DC" w:rsidRDefault="003049FB" w:rsidP="007D008B">
      <w:pPr>
        <w:spacing w:line="360" w:lineRule="auto"/>
        <w:ind w:firstLine="709"/>
        <w:jc w:val="both"/>
      </w:pPr>
      <w:r w:rsidRPr="00DC73DC">
        <w:t xml:space="preserve">V rámci této kapitoly uvedu </w:t>
      </w:r>
      <w:r w:rsidR="00DC73DC">
        <w:t>prameny</w:t>
      </w:r>
      <w:r w:rsidRPr="00DC73DC">
        <w:t xml:space="preserve"> mezinárodních únosů</w:t>
      </w:r>
      <w:r w:rsidR="00331170">
        <w:t>,</w:t>
      </w:r>
      <w:r w:rsidRPr="00DC73DC">
        <w:t xml:space="preserve"> a to z pohledu mezinárodní úpravy, unijní </w:t>
      </w:r>
      <w:r w:rsidR="00A92476">
        <w:t xml:space="preserve">úpravy </w:t>
      </w:r>
      <w:r w:rsidRPr="00DC73DC">
        <w:t>i v rámci českého právního řádu. Tyto jednotlivé úpravy obsahují řadu principů a základních pojmů důl</w:t>
      </w:r>
      <w:r w:rsidR="00075E27" w:rsidRPr="00DC73DC">
        <w:t>ežitých pro tuto problematiku. P</w:t>
      </w:r>
      <w:r w:rsidRPr="00DC73DC">
        <w:t>ojmům souvisejícím s výkladem pojmu „obvyklého bydliště“ se pak budu věnovat konkrétněji v kapitole 2 této práce.</w:t>
      </w:r>
    </w:p>
    <w:p w14:paraId="319A5B07" w14:textId="77777777" w:rsidR="003E0B4D" w:rsidRPr="00DC73DC" w:rsidRDefault="003E0B4D" w:rsidP="00C578B0">
      <w:pPr>
        <w:pStyle w:val="Nadpis2"/>
        <w:numPr>
          <w:ilvl w:val="1"/>
          <w:numId w:val="2"/>
        </w:numPr>
        <w:tabs>
          <w:tab w:val="left" w:pos="1418"/>
        </w:tabs>
        <w:spacing w:after="240" w:line="360" w:lineRule="auto"/>
        <w:jc w:val="both"/>
        <w:rPr>
          <w:rFonts w:cs="Times New Roman"/>
          <w:szCs w:val="28"/>
        </w:rPr>
      </w:pPr>
      <w:bookmarkStart w:id="10" w:name="_Toc364534192"/>
      <w:bookmarkStart w:id="11" w:name="_Toc364927617"/>
      <w:bookmarkStart w:id="12" w:name="_Toc491117213"/>
      <w:r w:rsidRPr="00DC73DC">
        <w:rPr>
          <w:rFonts w:cs="Times New Roman"/>
          <w:szCs w:val="28"/>
        </w:rPr>
        <w:t>Mezinárodní úprava</w:t>
      </w:r>
      <w:bookmarkEnd w:id="10"/>
      <w:bookmarkEnd w:id="11"/>
      <w:bookmarkEnd w:id="12"/>
    </w:p>
    <w:p w14:paraId="09A2FB3B" w14:textId="06238B14" w:rsidR="003E0B4D" w:rsidRPr="00DC73DC" w:rsidRDefault="003E0B4D" w:rsidP="007D008B">
      <w:pPr>
        <w:spacing w:line="360" w:lineRule="auto"/>
        <w:ind w:firstLine="709"/>
        <w:jc w:val="both"/>
      </w:pPr>
      <w:r w:rsidRPr="00DC73DC">
        <w:t>Z pohledu mezinárodního práva je obecná úprava mezinárodních únosů obsažena v Úmluvě o právech dítěte ze dne 20. 11. 1989</w:t>
      </w:r>
      <w:r w:rsidR="00DC73DC">
        <w:t xml:space="preserve"> (dále jen „Úmluva“)</w:t>
      </w:r>
      <w:r w:rsidRPr="00DC73DC">
        <w:t>. Speciální ustanovení můžeme najít v Úmluvě o občanskoprávních aspektech mezinárodních únosů dětí, která byla uzavřená v Haagu dne 25.</w:t>
      </w:r>
      <w:r w:rsidR="00642C6B" w:rsidRPr="00DC73DC">
        <w:t xml:space="preserve"> </w:t>
      </w:r>
      <w:r w:rsidRPr="00DC73DC">
        <w:t xml:space="preserve">října 1980 a jež vstoupila pro </w:t>
      </w:r>
      <w:r w:rsidR="00642C6B" w:rsidRPr="00DC73DC">
        <w:t>Českou republiku v platnost 1. b</w:t>
      </w:r>
      <w:r w:rsidRPr="00DC73DC">
        <w:t>řezna 1998</w:t>
      </w:r>
      <w:r w:rsidR="00A35AFB">
        <w:t xml:space="preserve"> </w:t>
      </w:r>
      <w:r w:rsidR="00642C6B" w:rsidRPr="00DC73DC">
        <w:t>(dále jen „Haagská úmluva“)</w:t>
      </w:r>
      <w:r w:rsidRPr="00DC73DC">
        <w:t xml:space="preserve">. Jak již vychází z její preambule, má za cíl chránit děti před škodlivými účinky jejich protiprávního přemístění nebo zadržování a </w:t>
      </w:r>
      <w:r w:rsidR="00642C6B" w:rsidRPr="00DC73DC">
        <w:t xml:space="preserve">současně </w:t>
      </w:r>
      <w:r w:rsidRPr="00DC73DC">
        <w:t>stanovit postupy k zajištění jejich bezodkladného návratu do s</w:t>
      </w:r>
      <w:r w:rsidR="00642C6B" w:rsidRPr="00DC73DC">
        <w:t>tátu jej</w:t>
      </w:r>
      <w:r w:rsidR="00371D93">
        <w:t>ich obvyklého bydliště, jakož i </w:t>
      </w:r>
      <w:r w:rsidR="00642C6B" w:rsidRPr="00DC73DC">
        <w:t>zajistit ochranu práva styku s nimi a odradit tak od šíření mezinárodních únosů dětí, které jsou pak oběťmi traumat způsobených protiprávním přemístěním nebo zadržováním.</w:t>
      </w:r>
      <w:r w:rsidR="00642C6B" w:rsidRPr="00DC73DC">
        <w:rPr>
          <w:rStyle w:val="Znakapoznpodarou"/>
        </w:rPr>
        <w:footnoteReference w:id="1"/>
      </w:r>
    </w:p>
    <w:p w14:paraId="4C8CB82F" w14:textId="39E51D04" w:rsidR="005A188E" w:rsidRPr="00DC73DC" w:rsidRDefault="003E0B4D" w:rsidP="00A35AFB">
      <w:pPr>
        <w:spacing w:line="360" w:lineRule="auto"/>
        <w:jc w:val="both"/>
      </w:pPr>
      <w:r w:rsidRPr="00DC73DC">
        <w:t xml:space="preserve">Mezinárodní únos je upraven v článku 3 této Úmluvy a stanoví: </w:t>
      </w:r>
      <w:r w:rsidRPr="00DC73DC">
        <w:rPr>
          <w:i/>
        </w:rPr>
        <w:t>„Přemístění nebo zadržení dítěte se považuje za protiprávní, jestliže: a) bylo porušeno právo péče o dítě, které má osoba, instituce nebo kterýkoliv jiný orgán buď spole</w:t>
      </w:r>
      <w:r w:rsidR="001B47E3">
        <w:rPr>
          <w:i/>
        </w:rPr>
        <w:t>čně, nebo samostatně, podle</w:t>
      </w:r>
      <w:r w:rsidRPr="00DC73DC">
        <w:rPr>
          <w:i/>
        </w:rPr>
        <w:t xml:space="preserve"> právního řádu státu, v němž dítě mělo své obvyklé bydliště bezprostředně před přemístěním nebo zadržením; b) v době přemístění nebo zadržení bylo toto právo skutečně vykonáváno, společně nebo samostatně, nebo by bylo takto vykonáváno, kdyby bylo nedošlo k přemístění či zadržení. Právo péče uvedené v písmenu a) může vyplývat zejména ze zákonů nebo ze soudního nebo správního ro</w:t>
      </w:r>
      <w:r w:rsidR="001B47E3">
        <w:rPr>
          <w:i/>
        </w:rPr>
        <w:t>zhodnutí nebo z dohody platné podle</w:t>
      </w:r>
      <w:r w:rsidRPr="00DC73DC">
        <w:rPr>
          <w:i/>
        </w:rPr>
        <w:t xml:space="preserve"> právního řádu daného státu</w:t>
      </w:r>
      <w:r w:rsidR="00A35AFB">
        <w:rPr>
          <w:i/>
        </w:rPr>
        <w:t>.</w:t>
      </w:r>
      <w:r w:rsidRPr="00DC73DC">
        <w:rPr>
          <w:i/>
        </w:rPr>
        <w:t>“</w:t>
      </w:r>
      <w:r w:rsidR="005A188E" w:rsidRPr="00DC73DC">
        <w:rPr>
          <w:rStyle w:val="Znakapoznpodarou"/>
        </w:rPr>
        <w:footnoteReference w:id="2"/>
      </w:r>
    </w:p>
    <w:p w14:paraId="4D82D44A" w14:textId="389D4614" w:rsidR="006F472A" w:rsidRPr="00DC73DC" w:rsidRDefault="006F472A" w:rsidP="00A35AFB">
      <w:pPr>
        <w:spacing w:line="360" w:lineRule="auto"/>
        <w:jc w:val="both"/>
      </w:pPr>
      <w:r w:rsidRPr="00DC73DC">
        <w:t>Pojem mezinárodního únosu je potřeba chápat zejména v kontextu uvedených pramenů, nikoliv z pohledu pouze vnitrostátních předpisů, např. trestního práva, jež upravuje mezinárodní únos v § 200 TZ.</w:t>
      </w:r>
      <w:r w:rsidRPr="00DC73DC">
        <w:rPr>
          <w:rStyle w:val="Znakapoznpodarou"/>
        </w:rPr>
        <w:footnoteReference w:id="3"/>
      </w:r>
    </w:p>
    <w:p w14:paraId="2F170655" w14:textId="683416D6" w:rsidR="003E0B4D" w:rsidRPr="00DC73DC" w:rsidRDefault="003E0B4D" w:rsidP="00EF6DCC">
      <w:pPr>
        <w:spacing w:line="360" w:lineRule="auto"/>
        <w:ind w:firstLine="720"/>
        <w:jc w:val="both"/>
      </w:pPr>
      <w:r w:rsidRPr="00DC73DC">
        <w:t>V článku 5 písm. a) této úmluvy se poté konkretizuje „</w:t>
      </w:r>
      <w:r w:rsidRPr="007235EC">
        <w:rPr>
          <w:i/>
        </w:rPr>
        <w:t>právo péče o dítě</w:t>
      </w:r>
      <w:r w:rsidR="00A35AFB">
        <w:rPr>
          <w:i/>
        </w:rPr>
        <w:t>,</w:t>
      </w:r>
      <w:r w:rsidR="00A35AFB">
        <w:t>“</w:t>
      </w:r>
      <w:r w:rsidRPr="00DC73DC">
        <w:t xml:space="preserve"> což zahrnuje práva vztahující se k péči o osobu dítěte a také právo určit místo pobytu dítěte.</w:t>
      </w:r>
      <w:r w:rsidRPr="00DC73DC">
        <w:rPr>
          <w:rStyle w:val="Znakapoznpodarou"/>
        </w:rPr>
        <w:footnoteReference w:id="4"/>
      </w:r>
      <w:r w:rsidRPr="00DC73DC">
        <w:t xml:space="preserve"> </w:t>
      </w:r>
    </w:p>
    <w:p w14:paraId="215AB07D" w14:textId="2F52AB51" w:rsidR="00770C73" w:rsidRPr="00DC73DC" w:rsidRDefault="00770C73" w:rsidP="00EF6DCC">
      <w:pPr>
        <w:spacing w:line="360" w:lineRule="auto"/>
        <w:ind w:firstLine="720"/>
        <w:jc w:val="both"/>
      </w:pPr>
      <w:r w:rsidRPr="00DC73DC">
        <w:lastRenderedPageBreak/>
        <w:t>Současně z judikatury signatářských států Haagské úmluvy vychází, že v převažující většině členské státy akceptují, že právo veta použitelné v rámci přemístění dítěte z jurisd</w:t>
      </w:r>
      <w:r w:rsidR="007235EC">
        <w:t>ikce, ve spojení s právem styku</w:t>
      </w:r>
      <w:r w:rsidRPr="00DC73DC">
        <w:t>,</w:t>
      </w:r>
      <w:r w:rsidR="007235EC">
        <w:t xml:space="preserve"> </w:t>
      </w:r>
      <w:r w:rsidRPr="00DC73DC">
        <w:t>je třeba řadit do práva péče o dítě pro účely Haagské úmluv.</w:t>
      </w:r>
      <w:r w:rsidRPr="00DC73DC">
        <w:rPr>
          <w:rStyle w:val="Znakapoznpodarou"/>
        </w:rPr>
        <w:footnoteReference w:id="5"/>
      </w:r>
    </w:p>
    <w:p w14:paraId="2F317B6F" w14:textId="514C35A7" w:rsidR="006573AE" w:rsidRPr="00DC73DC" w:rsidRDefault="006573AE" w:rsidP="00EF6DCC">
      <w:pPr>
        <w:pStyle w:val="detail-odstavec"/>
        <w:shd w:val="clear" w:color="auto" w:fill="FFFFFF"/>
        <w:spacing w:before="0" w:beforeAutospacing="0" w:after="0" w:afterAutospacing="0" w:line="360" w:lineRule="auto"/>
        <w:ind w:firstLine="720"/>
        <w:jc w:val="both"/>
      </w:pPr>
      <w:r w:rsidRPr="00DC73DC">
        <w:t>Úmluva je záměrně vzhledem ke svému dopadu a počtu signatářských států založena na obecném konceptu, s vymezením hlavních principů. Případy se od sebe liší a spočívají vždy na posouzení vnitrostátním soudem daného státu a jedním z hodnotících kritérií je stanovení místa obvyklého bydliště dítěte. V návratovém řízení se rodič dožaduje navrácení dítěte do jeho obvyklého bydliště z důvodu, že bylo porušeno</w:t>
      </w:r>
      <w:r w:rsidR="00EF6DCC">
        <w:t xml:space="preserve"> jeho právo péče, právo styku a </w:t>
      </w:r>
      <w:r w:rsidRPr="00DC73DC">
        <w:t>je na soudu rozhodnout, jaké jurisdikci podléhá.</w:t>
      </w:r>
      <w:r w:rsidRPr="00DC73DC">
        <w:rPr>
          <w:rStyle w:val="Znakapoznpodarou"/>
        </w:rPr>
        <w:footnoteReference w:id="6"/>
      </w:r>
    </w:p>
    <w:p w14:paraId="18592ADE" w14:textId="77777777" w:rsidR="003017E1" w:rsidRPr="00DC73DC" w:rsidRDefault="003017E1" w:rsidP="00EF6DCC">
      <w:pPr>
        <w:pStyle w:val="detail-odstavec"/>
        <w:shd w:val="clear" w:color="auto" w:fill="FFFFFF"/>
        <w:spacing w:before="0" w:beforeAutospacing="0" w:after="0" w:afterAutospacing="0" w:line="360" w:lineRule="auto"/>
        <w:ind w:firstLine="709"/>
        <w:jc w:val="both"/>
        <w:rPr>
          <w:rFonts w:eastAsiaTheme="minorHAnsi"/>
          <w:lang w:eastAsia="en-US"/>
        </w:rPr>
      </w:pPr>
      <w:r w:rsidRPr="00DC73DC">
        <w:rPr>
          <w:rFonts w:eastAsiaTheme="minorHAnsi"/>
          <w:lang w:eastAsia="en-US"/>
        </w:rPr>
        <w:t>Při provádění Úmluvy jsou důležité ústřední orgány. Česká republika tímto orgánem určila Úřad pro mezinárodněprávní ochranu dětí, avšak pro usnadnění přímé soudní komunikace slouží zejména styční soudci.</w:t>
      </w:r>
      <w:r w:rsidRPr="00DC73DC">
        <w:rPr>
          <w:rStyle w:val="Znakapoznpodarou"/>
          <w:rFonts w:eastAsiaTheme="minorHAnsi"/>
          <w:lang w:eastAsia="en-US"/>
        </w:rPr>
        <w:footnoteReference w:id="7"/>
      </w:r>
    </w:p>
    <w:p w14:paraId="2FCE3C73" w14:textId="77777777" w:rsidR="003E0B4D" w:rsidRPr="00DC73DC" w:rsidRDefault="003E0B4D" w:rsidP="00C578B0">
      <w:pPr>
        <w:pStyle w:val="Nadpis2"/>
        <w:numPr>
          <w:ilvl w:val="1"/>
          <w:numId w:val="2"/>
        </w:numPr>
        <w:spacing w:line="360" w:lineRule="auto"/>
        <w:jc w:val="both"/>
        <w:rPr>
          <w:rFonts w:cs="Times New Roman"/>
          <w:szCs w:val="28"/>
        </w:rPr>
      </w:pPr>
      <w:bookmarkStart w:id="13" w:name="_Toc364534193"/>
      <w:bookmarkStart w:id="14" w:name="_Toc364927618"/>
      <w:bookmarkStart w:id="15" w:name="_Toc491117214"/>
      <w:r w:rsidRPr="00DC73DC">
        <w:rPr>
          <w:rFonts w:cs="Times New Roman"/>
          <w:szCs w:val="28"/>
        </w:rPr>
        <w:t>Unijní právní úprava</w:t>
      </w:r>
      <w:bookmarkEnd w:id="13"/>
      <w:bookmarkEnd w:id="14"/>
      <w:bookmarkEnd w:id="15"/>
    </w:p>
    <w:p w14:paraId="15F1CB4A" w14:textId="719CAACC" w:rsidR="003E0B4D" w:rsidRPr="00DC73DC" w:rsidRDefault="002812F4" w:rsidP="004472AE">
      <w:pPr>
        <w:pStyle w:val="Normlnweb"/>
        <w:shd w:val="clear" w:color="auto" w:fill="FFFFFF"/>
        <w:spacing w:before="0" w:beforeAutospacing="0" w:after="0" w:afterAutospacing="0" w:line="360" w:lineRule="auto"/>
        <w:ind w:firstLine="709"/>
        <w:jc w:val="both"/>
        <w:textAlignment w:val="center"/>
      </w:pPr>
      <w:r>
        <w:t>P</w:t>
      </w:r>
      <w:r w:rsidR="001B47E3">
        <w:t>odle</w:t>
      </w:r>
      <w:r w:rsidR="003E0B4D" w:rsidRPr="00DC73DC">
        <w:t xml:space="preserve"> Haagské úmluvy nalezneme úpravu v rámci Evropské Unie, kterou je nařízení Rad</w:t>
      </w:r>
      <w:r>
        <w:t>y (ES) č. 2201/2003 ze dne 27. l</w:t>
      </w:r>
      <w:r w:rsidR="003E0B4D" w:rsidRPr="00DC73DC">
        <w:t xml:space="preserve">istopadu 2003 o příslušnosti a uznávání a výkonu rozhodnutí ve věcech manželských a ve věcech rodičovské zodpovědnosti a o zrušení nařízení (ES) č. 1347/2000, nazývané též nařízení Brusel II bis či nařízení Brusel </w:t>
      </w:r>
      <w:proofErr w:type="spellStart"/>
      <w:r w:rsidR="003E0B4D" w:rsidRPr="00DC73DC">
        <w:t>IIa</w:t>
      </w:r>
      <w:proofErr w:type="spellEnd"/>
      <w:r w:rsidR="007235EC">
        <w:t xml:space="preserve"> (dále jen „Nařízení Brusel </w:t>
      </w:r>
      <w:proofErr w:type="spellStart"/>
      <w:r w:rsidR="007235EC">
        <w:t>IIa</w:t>
      </w:r>
      <w:proofErr w:type="spellEnd"/>
      <w:r w:rsidR="007235EC">
        <w:t>“)</w:t>
      </w:r>
      <w:r w:rsidR="003E0B4D" w:rsidRPr="00DC73DC">
        <w:t xml:space="preserve">. Nařízení </w:t>
      </w:r>
      <w:r w:rsidR="007235EC">
        <w:t xml:space="preserve">Brusel </w:t>
      </w:r>
      <w:proofErr w:type="spellStart"/>
      <w:r w:rsidR="007235EC">
        <w:t>IIa</w:t>
      </w:r>
      <w:proofErr w:type="spellEnd"/>
      <w:r w:rsidR="007235EC">
        <w:t xml:space="preserve"> </w:t>
      </w:r>
      <w:r w:rsidR="003E0B4D" w:rsidRPr="00DC73DC">
        <w:t>se však použije pouze pro otázky v něm upravené a nebude aplikování ve vztazích s Dánskem. Mezi další platné mezinárodní úpravy patří Evropská úmluva o styku s dětmi a Evropská úmluva o výkonu práv dětí. Ty však nebývají často využívány.</w:t>
      </w:r>
      <w:r w:rsidR="003E0B4D" w:rsidRPr="00DC73DC">
        <w:rPr>
          <w:rStyle w:val="Znakapoznpodarou"/>
        </w:rPr>
        <w:footnoteReference w:id="8"/>
      </w:r>
      <w:r w:rsidR="003E0B4D" w:rsidRPr="00DC73DC">
        <w:t xml:space="preserve"> </w:t>
      </w:r>
    </w:p>
    <w:p w14:paraId="7810A29B" w14:textId="3BF86FB0" w:rsidR="009B406C" w:rsidRPr="00DC73DC" w:rsidRDefault="007235EC" w:rsidP="00176811">
      <w:pPr>
        <w:spacing w:line="360" w:lineRule="auto"/>
        <w:ind w:firstLine="709"/>
        <w:jc w:val="both"/>
      </w:pPr>
      <w:r>
        <w:t>Není-li aplikováno N</w:t>
      </w:r>
      <w:r w:rsidR="003049FB" w:rsidRPr="00DC73DC">
        <w:t>ařízení</w:t>
      </w:r>
      <w:r>
        <w:t xml:space="preserve"> Brusel </w:t>
      </w:r>
      <w:proofErr w:type="spellStart"/>
      <w:r>
        <w:t>IIa</w:t>
      </w:r>
      <w:proofErr w:type="spellEnd"/>
      <w:r w:rsidR="003049FB" w:rsidRPr="00DC73DC">
        <w:t>, rozhodnutí soudu vydané ve státě jeho původu týkající se věci rodičovské odpovědnosti, které bylo vydané před únosem</w:t>
      </w:r>
      <w:r w:rsidR="00237FA8">
        <w:t xml:space="preserve"> dítěte, je uznáno a </w:t>
      </w:r>
      <w:r w:rsidR="001B47E3">
        <w:t>vykonáno podle</w:t>
      </w:r>
      <w:r w:rsidR="003049FB" w:rsidRPr="00DC73DC">
        <w:t xml:space="preserve"> Evropské Úmluvy o uznání a výkonu rozhodnutí o výchově dětí a obnovení výchovy dětí, vyhlášené pod č. 66/2000 Sb. m. s. a účinné od 1. 7. 2000. Tato úmluva byla ratifikována všemi členskými státy. </w:t>
      </w:r>
    </w:p>
    <w:p w14:paraId="313B1483" w14:textId="04089FB3" w:rsidR="003049FB" w:rsidRPr="00DC73DC" w:rsidRDefault="003049FB" w:rsidP="00176811">
      <w:pPr>
        <w:spacing w:line="360" w:lineRule="auto"/>
        <w:ind w:firstLine="709"/>
        <w:jc w:val="both"/>
      </w:pPr>
      <w:r w:rsidRPr="00DC73DC">
        <w:t xml:space="preserve">Dalšími možnými postupy jsou </w:t>
      </w:r>
      <w:r w:rsidR="001B47E3">
        <w:t>podle</w:t>
      </w:r>
      <w:r w:rsidRPr="00DC73DC">
        <w:t xml:space="preserve"> Úmluvy o pravomoci orgánů, použitelném právu, uznávání, výkonu a spolupráci ve věcech rodičovské zodpovědnosti a opatření dětí, </w:t>
      </w:r>
      <w:r w:rsidRPr="00DC73DC">
        <w:lastRenderedPageBreak/>
        <w:t xml:space="preserve">vyhlášené pod č. 141/2991 Sb. m. s. a účinné od 1. 1. 2002. </w:t>
      </w:r>
      <w:r w:rsidR="008F58E9" w:rsidRPr="00DC73DC">
        <w:t>Seznam smluvních stránkách je dostupný na oficiálních stránkách Haagské konference pod č. 34.</w:t>
      </w:r>
      <w:r w:rsidR="008F58E9" w:rsidRPr="00DC73DC">
        <w:rPr>
          <w:rStyle w:val="Znakapoznpodarou"/>
        </w:rPr>
        <w:footnoteReference w:id="9"/>
      </w:r>
    </w:p>
    <w:p w14:paraId="428EB756" w14:textId="77777777" w:rsidR="003049FB" w:rsidRPr="00DC73DC" w:rsidRDefault="003049FB" w:rsidP="00F76295">
      <w:pPr>
        <w:pStyle w:val="Normlnweb"/>
        <w:shd w:val="clear" w:color="auto" w:fill="FFFFFF"/>
        <w:spacing w:before="0" w:beforeAutospacing="0" w:after="0" w:afterAutospacing="0" w:line="360" w:lineRule="auto"/>
        <w:ind w:firstLine="567"/>
        <w:jc w:val="both"/>
        <w:textAlignment w:val="center"/>
      </w:pPr>
    </w:p>
    <w:p w14:paraId="781C3E99" w14:textId="7D31C66E" w:rsidR="003E0B4D" w:rsidRPr="00DC73DC" w:rsidRDefault="003E0B4D" w:rsidP="00C578B0">
      <w:pPr>
        <w:pStyle w:val="Nadpis3"/>
        <w:numPr>
          <w:ilvl w:val="2"/>
          <w:numId w:val="2"/>
        </w:numPr>
        <w:spacing w:after="240" w:line="360" w:lineRule="auto"/>
        <w:jc w:val="both"/>
        <w:rPr>
          <w:rFonts w:cs="Times New Roman"/>
        </w:rPr>
      </w:pPr>
      <w:bookmarkStart w:id="16" w:name="_Toc364534194"/>
      <w:bookmarkStart w:id="17" w:name="_Toc364927619"/>
      <w:bookmarkStart w:id="18" w:name="_Toc491117215"/>
      <w:r w:rsidRPr="00DC73DC">
        <w:rPr>
          <w:rFonts w:cs="Times New Roman"/>
        </w:rPr>
        <w:t xml:space="preserve">Hlavní principy a pojmy </w:t>
      </w:r>
      <w:r w:rsidR="001B47E3">
        <w:rPr>
          <w:rFonts w:cs="Times New Roman"/>
        </w:rPr>
        <w:t>podle</w:t>
      </w:r>
      <w:r w:rsidRPr="00DC73DC">
        <w:rPr>
          <w:rFonts w:cs="Times New Roman"/>
        </w:rPr>
        <w:t xml:space="preserve"> Unijní právní úpravy</w:t>
      </w:r>
      <w:bookmarkEnd w:id="16"/>
      <w:bookmarkEnd w:id="17"/>
      <w:bookmarkEnd w:id="18"/>
    </w:p>
    <w:p w14:paraId="6E9A640C" w14:textId="1878433E" w:rsidR="003E0B4D" w:rsidRPr="00DC73DC" w:rsidRDefault="003E0B4D" w:rsidP="00F56F76">
      <w:pPr>
        <w:pStyle w:val="Normlnweb"/>
        <w:shd w:val="clear" w:color="auto" w:fill="FFFFFF"/>
        <w:spacing w:before="0" w:beforeAutospacing="0" w:after="0" w:afterAutospacing="0" w:line="360" w:lineRule="auto"/>
        <w:ind w:firstLine="720"/>
        <w:jc w:val="both"/>
        <w:textAlignment w:val="center"/>
      </w:pPr>
      <w:r w:rsidRPr="00DC73DC">
        <w:t>Body nař</w:t>
      </w:r>
      <w:r w:rsidR="007235EC">
        <w:t xml:space="preserve">ízení Brusel </w:t>
      </w:r>
      <w:proofErr w:type="spellStart"/>
      <w:r w:rsidR="007235EC">
        <w:t>IIa</w:t>
      </w:r>
      <w:proofErr w:type="spellEnd"/>
      <w:r w:rsidRPr="00DC73DC">
        <w:t xml:space="preserve"> obsahující základní principy a pojmy</w:t>
      </w:r>
      <w:r w:rsidR="00E43880">
        <w:t>,</w:t>
      </w:r>
      <w:r w:rsidRPr="00DC73DC">
        <w:t xml:space="preserve"> zejména bod 12, který obsahuje odůvodnění, že pravidly pro určení pří</w:t>
      </w:r>
      <w:r w:rsidR="00FA3CEB" w:rsidRPr="00DC73DC">
        <w:t xml:space="preserve">slušnosti ve věcech rodičovské </w:t>
      </w:r>
      <w:r w:rsidRPr="00DC73DC">
        <w:t>odpovědnosti stanovené tímto nařízením jsou formulovány s ohledem na nejlepší zájmy dítěte</w:t>
      </w:r>
      <w:r w:rsidR="002B4419">
        <w:t>,</w:t>
      </w:r>
      <w:r w:rsidRPr="00DC73DC">
        <w:t xml:space="preserve"> a to zejména na blízkost. Příslušným by měl být především soud členského soudu, ve kterém má dítě své obvyklé bydliště, s výjimkou určitých případů změny bydliště, nebo v případě, kdy je soud urče</w:t>
      </w:r>
      <w:r w:rsidR="00FA3CEB" w:rsidRPr="00DC73DC">
        <w:t xml:space="preserve">ný dohodou nositelů rodičovské </w:t>
      </w:r>
      <w:r w:rsidRPr="00DC73DC">
        <w:t>odpovědnosti. Bod 17 odůvodnění obsahuje povinnost nepro</w:t>
      </w:r>
      <w:r w:rsidR="001B47E3">
        <w:t>dle</w:t>
      </w:r>
      <w:r w:rsidRPr="00DC73DC">
        <w:t>ného zajištění navrácení dítěte v případech neoprávněného odebrání (protiprávního přemístění) nebo zadrž</w:t>
      </w:r>
      <w:r w:rsidR="00075E27" w:rsidRPr="00DC73DC">
        <w:t>ení</w:t>
      </w:r>
      <w:r w:rsidRPr="00DC73DC">
        <w:t xml:space="preserve"> dítěte při použití Haagské úmluvy, doplněná ustanovení tohoto nařízení, zejména článkem 11.</w:t>
      </w:r>
      <w:r w:rsidRPr="00DC73DC">
        <w:rPr>
          <w:rStyle w:val="Znakapoznpodarou"/>
        </w:rPr>
        <w:footnoteReference w:id="10"/>
      </w:r>
    </w:p>
    <w:p w14:paraId="33FD12ED" w14:textId="5FB544C7" w:rsidR="003E0B4D" w:rsidRPr="00DC73DC" w:rsidRDefault="003E0B4D" w:rsidP="00F56F76">
      <w:pPr>
        <w:pStyle w:val="Normlnweb"/>
        <w:shd w:val="clear" w:color="auto" w:fill="FFFFFF"/>
        <w:spacing w:before="0" w:beforeAutospacing="0" w:after="0" w:afterAutospacing="0" w:line="360" w:lineRule="auto"/>
        <w:ind w:firstLine="720"/>
        <w:jc w:val="both"/>
        <w:textAlignment w:val="center"/>
      </w:pPr>
      <w:r w:rsidRPr="00DC73DC">
        <w:t>V článku 1 tohoto nařízení je upravena působnost, která stanoví, že toto nařízení se bez ohledu na druh soudu vztahuje na občanskoprávní věci týkající se přiznání, výkonu, předvedení a úplného neb</w:t>
      </w:r>
      <w:r w:rsidR="00FA3CEB" w:rsidRPr="00DC73DC">
        <w:t xml:space="preserve">o částečného odnětí rodičovské </w:t>
      </w:r>
      <w:r w:rsidRPr="00DC73DC">
        <w:t>odpovědnosti.</w:t>
      </w:r>
      <w:r w:rsidRPr="00DC73DC">
        <w:rPr>
          <w:rStyle w:val="Znakapoznpodarou"/>
        </w:rPr>
        <w:footnoteReference w:id="11"/>
      </w:r>
    </w:p>
    <w:p w14:paraId="0ECBDD9A" w14:textId="33F9F595" w:rsidR="003E0B4D" w:rsidRPr="00DC73DC" w:rsidRDefault="003E0B4D" w:rsidP="00F56F76">
      <w:pPr>
        <w:pStyle w:val="Normlnweb"/>
        <w:shd w:val="clear" w:color="auto" w:fill="FFFFFF"/>
        <w:spacing w:before="0" w:beforeAutospacing="0" w:after="0" w:afterAutospacing="0" w:line="360" w:lineRule="auto"/>
        <w:ind w:firstLine="720"/>
        <w:jc w:val="both"/>
        <w:textAlignment w:val="center"/>
      </w:pPr>
      <w:r w:rsidRPr="00DC73DC">
        <w:t>Článek 2 pak obsahuje související definic</w:t>
      </w:r>
      <w:r w:rsidR="00FA3CEB" w:rsidRPr="00DC73DC">
        <w:t xml:space="preserve">e, zejména definici rodičovské </w:t>
      </w:r>
      <w:r w:rsidR="00710040">
        <w:t>odpovědnosti, jíž</w:t>
      </w:r>
      <w:r w:rsidR="002B4419">
        <w:t xml:space="preserve"> se</w:t>
      </w:r>
      <w:r w:rsidRPr="00DC73DC">
        <w:t xml:space="preserve"> rozumějí veškerá práva a povinnosti fyzické či právnické osoby týkající se dítěte nebo jmění dítěte, která jsou jí svěřena soudním rozhodnutím, právními předpisy či právně závaznou dohodou. Tento pojem v sobě zahrnuje především právo péče o dítě a práva na styk s</w:t>
      </w:r>
      <w:r w:rsidR="00FA3CEB" w:rsidRPr="00DC73DC">
        <w:t xml:space="preserve"> dítětem. Nositelem rodičovské </w:t>
      </w:r>
      <w:r w:rsidRPr="00DC73DC">
        <w:t>odpovědnosti se tak rozumí zejmé</w:t>
      </w:r>
      <w:r w:rsidR="00FA3CEB" w:rsidRPr="00DC73DC">
        <w:t xml:space="preserve">na osoba, která má rodičovskou </w:t>
      </w:r>
      <w:r w:rsidRPr="00DC73DC">
        <w:t>odpovědnost k dítěti. Právem péče o dítě se pak rozumějí práva a povinnosti týkající se péče osoby o dítě a zejména právo určit místo bydliště. Ve smyslu tohoto nařízení se rozumí neoprávněným odebráním (protiprávním přemístěním) nebo zadržením odebrání (přemístění) nebo zadržení dítěte, kterým je porušováno právo péče o dítě vyplývající ze soudního rozhodnutí, ze zákona</w:t>
      </w:r>
      <w:r w:rsidR="001B47E3">
        <w:t xml:space="preserve"> nebo z právně závazné dohody podle</w:t>
      </w:r>
      <w:r w:rsidRPr="00DC73DC">
        <w:t xml:space="preserve"> právních předpisů členského státu, ve kterém mělo dítě své obvyklé bydliště bezprostředně před odebráním (přemístěním) nebo zadržením a za předpokladu, že v době odebrání (přemístění) nebo zadržení bylo skutečně </w:t>
      </w:r>
      <w:r w:rsidRPr="005955C3">
        <w:t>vykonáváno právo péče o dítě, ať společně nebo samostatně, nebo by toto právo bylo vykonáváno, kdyby k odebrání (přemístění) nebo zadržení nedošlo.</w:t>
      </w:r>
      <w:r w:rsidRPr="00DC73DC">
        <w:t xml:space="preserve"> Péče o </w:t>
      </w:r>
      <w:r w:rsidRPr="00DC73DC">
        <w:lastRenderedPageBreak/>
        <w:t>dítě se považuje za vykoná</w:t>
      </w:r>
      <w:r w:rsidR="001B47E3">
        <w:t>vanou společně v případě, kdy podle</w:t>
      </w:r>
      <w:r w:rsidRPr="00DC73DC">
        <w:t xml:space="preserve"> rozhodnutí nebo ze záko</w:t>
      </w:r>
      <w:r w:rsidR="00FA3CEB" w:rsidRPr="00DC73DC">
        <w:t xml:space="preserve">na jeden z nositelů rodičovské </w:t>
      </w:r>
      <w:r w:rsidRPr="00DC73DC">
        <w:t>odpovědnosti nemůže rozhodnout o místě bydliště dítěte bez souhl</w:t>
      </w:r>
      <w:r w:rsidR="00FA3CEB" w:rsidRPr="00DC73DC">
        <w:t xml:space="preserve">asu jiného nositele rodičovské </w:t>
      </w:r>
      <w:r w:rsidRPr="00DC73DC">
        <w:t>odpovědnosti.</w:t>
      </w:r>
      <w:r w:rsidRPr="00DC73DC">
        <w:rPr>
          <w:rStyle w:val="Znakapoznpodarou"/>
        </w:rPr>
        <w:footnoteReference w:id="12"/>
      </w:r>
    </w:p>
    <w:p w14:paraId="3E0105B5" w14:textId="29EFB4E4" w:rsidR="003E0B4D" w:rsidRPr="00DC73DC" w:rsidRDefault="003E0B4D" w:rsidP="00F76295">
      <w:pPr>
        <w:pStyle w:val="Normlnweb"/>
        <w:shd w:val="clear" w:color="auto" w:fill="FFFFFF"/>
        <w:spacing w:before="0" w:beforeAutospacing="0" w:after="0" w:afterAutospacing="0" w:line="360" w:lineRule="auto"/>
        <w:ind w:firstLine="567"/>
        <w:jc w:val="both"/>
        <w:textAlignment w:val="center"/>
      </w:pPr>
      <w:r w:rsidRPr="00DC73DC">
        <w:t>Pojem obecné příslušnosti uvedený v článku 8 tohoto ustanovení pak stanoví, který soud členského státu je příslušn</w:t>
      </w:r>
      <w:r w:rsidR="00FA3CEB" w:rsidRPr="00DC73DC">
        <w:t xml:space="preserve">ý k projednání věci rodičovské </w:t>
      </w:r>
      <w:r w:rsidRPr="00DC73DC">
        <w:t>odpovědnosti k</w:t>
      </w:r>
      <w:r w:rsidR="00156414">
        <w:t> </w:t>
      </w:r>
      <w:r w:rsidRPr="00DC73DC">
        <w:t>dítěti</w:t>
      </w:r>
      <w:r w:rsidR="00156414">
        <w:t>,</w:t>
      </w:r>
      <w:r w:rsidRPr="00DC73DC">
        <w:t xml:space="preserve"> a to členského státu, na jehož území má v době podání žaloby dítě obvyklé bydliště. Článek 10 se věnuje příslušnosti v případech únosu dítěte a stanoví, že v případech neoprávněného odebrání (popř. protiprávního přemístění) nebo zadržení dítěte jsou soudy členského státu, ve kterém mělo dítě obvyklé bydliště bezprostředně před svým neoprávněným odebráním (popř. protiprávním přemístěním) či zadržením, příslušné do té doby, kdy získá dítě obvyklé bydliště v jiném členském státě a každá osoba, orgán nebo jiný subjekt mající právo péče o dítě dá souhlas k odebrání (přemístění) či zadržení nebo pokud dítě mělo bydliště v jiném členském státě po dobu nejméně jednoho roku poté, co se osoba, orgán nebo další jiný subjekt mající takové právo dozvěděla, popř. se dozvědět měla o místě, kde se dítě nachází, dítě si však v takovém novém prostředí zvyklo a byla splněna nejméně jedna z následujících podmínek: </w:t>
      </w:r>
      <w:r w:rsidRPr="00DC73DC">
        <w:rPr>
          <w:i/>
        </w:rPr>
        <w:t xml:space="preserve">„i) do jednoho roku po té, kdy se nositel práva péče o dítě dozvěděl nebo se měl dozvědět místo pobytu dítěte, nebyla podána žádost o navrácení dítěte u příslušných orgánů členského státu, kam bylo dítě odebráno (přemístěno) nebo kde je zadržováno; </w:t>
      </w:r>
      <w:proofErr w:type="spellStart"/>
      <w:r w:rsidRPr="00DC73DC">
        <w:rPr>
          <w:i/>
        </w:rPr>
        <w:t>ii</w:t>
      </w:r>
      <w:proofErr w:type="spellEnd"/>
      <w:r w:rsidRPr="00DC73DC">
        <w:rPr>
          <w:i/>
        </w:rPr>
        <w:t xml:space="preserve">) žádost o navrácení dítěte podaná nositelem práva péče o dítě byla vzata zpět a ve lhůtě stanovené v bodě i) nebyla podána nová žádost; </w:t>
      </w:r>
      <w:proofErr w:type="spellStart"/>
      <w:r w:rsidRPr="00DC73DC">
        <w:rPr>
          <w:i/>
        </w:rPr>
        <w:t>iii</w:t>
      </w:r>
      <w:proofErr w:type="spellEnd"/>
      <w:r w:rsidRPr="00DC73DC">
        <w:rPr>
          <w:i/>
        </w:rPr>
        <w:t xml:space="preserve">) věc projednává u soudu v členském státě, ve kterém mělo dítě obvyklé bydliště bezprostředně před svým neoprávněným odebráním (protiprávním přemístěním) nebo zadržením, byla uzavřena </w:t>
      </w:r>
      <w:r w:rsidR="001B47E3">
        <w:rPr>
          <w:i/>
        </w:rPr>
        <w:t xml:space="preserve">podle </w:t>
      </w:r>
      <w:r w:rsidRPr="00DC73DC">
        <w:rPr>
          <w:i/>
        </w:rPr>
        <w:t xml:space="preserve">čl. 11 odst. 7; </w:t>
      </w:r>
      <w:proofErr w:type="spellStart"/>
      <w:r w:rsidRPr="00DC73DC">
        <w:rPr>
          <w:i/>
        </w:rPr>
        <w:t>iv</w:t>
      </w:r>
      <w:proofErr w:type="spellEnd"/>
      <w:r w:rsidRPr="00DC73DC">
        <w:rPr>
          <w:i/>
        </w:rPr>
        <w:t>) soudy členského státu, ve kterém mělo dítě obvyklé bydliště bezprostředně před neoprávněným odebráním (protiprávním přemístěním) nebo zadržením, vydaly rozhodnutí o právu péče o dítě, které neobsahuje navrácení dítěte</w:t>
      </w:r>
      <w:r w:rsidR="00A35AFB">
        <w:rPr>
          <w:i/>
        </w:rPr>
        <w:t>.</w:t>
      </w:r>
      <w:r w:rsidRPr="00DC73DC">
        <w:rPr>
          <w:i/>
        </w:rPr>
        <w:t>“</w:t>
      </w:r>
      <w:r w:rsidRPr="00DC73DC">
        <w:rPr>
          <w:rStyle w:val="Znakapoznpodarou"/>
          <w:i/>
        </w:rPr>
        <w:footnoteReference w:id="13"/>
      </w:r>
      <w:r w:rsidRPr="00DC73DC">
        <w:t xml:space="preserve"> </w:t>
      </w:r>
    </w:p>
    <w:p w14:paraId="4844C366" w14:textId="27FF61D0" w:rsidR="003E0B4D" w:rsidRPr="00DC73DC" w:rsidRDefault="003E0B4D" w:rsidP="00F76295">
      <w:pPr>
        <w:pStyle w:val="Normlnweb"/>
        <w:shd w:val="clear" w:color="auto" w:fill="FFFFFF"/>
        <w:spacing w:before="0" w:beforeAutospacing="0" w:after="0" w:afterAutospacing="0" w:line="360" w:lineRule="auto"/>
        <w:ind w:firstLine="567"/>
        <w:jc w:val="both"/>
        <w:textAlignment w:val="center"/>
      </w:pPr>
      <w:r w:rsidRPr="00DC73DC">
        <w:t>Navrácení dítěte je pak upraveno v článku 11 tohoto naří</w:t>
      </w:r>
      <w:r w:rsidR="00836BB8">
        <w:t>zení a stanoví, že v případě, kdy</w:t>
      </w:r>
      <w:r w:rsidRPr="00DC73DC">
        <w:t xml:space="preserve"> osoba, orgán nebo určitý jiný subjekt mající takové právo péče o dítě požádá příslušné orgány v členském státě o vydání rozhodnutí na základě Haagské úmluvy, aby dosáhl navrácení dítěte, které bylo neoprávněně odebráno (protiprávně přemístěno do jiného členského státu) nebo zadrženo v jiném členském státě než ve státě, ve kterém mělo dítě obvyklé bydliště bezprostředně před neoprávněným odebráním (protiprávním přemístěním) nebo zadržením, použijí se odstavce </w:t>
      </w:r>
      <w:r w:rsidR="00524BC0">
        <w:t>2</w:t>
      </w:r>
      <w:r w:rsidRPr="00DC73DC">
        <w:t xml:space="preserve"> až 8. V případě, že nelze zjistit obvyklé bydliště dítěte </w:t>
      </w:r>
      <w:r w:rsidRPr="00DC73DC">
        <w:lastRenderedPageBreak/>
        <w:t xml:space="preserve">a nelze určit soudní příslušnost </w:t>
      </w:r>
      <w:r w:rsidR="001B47E3">
        <w:t xml:space="preserve">podle </w:t>
      </w:r>
      <w:r w:rsidRPr="00DC73DC">
        <w:t>článku 12, jsou příslušné soudy členského státu, ve kterém je dítě přítomno. Tedy příslušnost založená na přítomnosti dítěte je upravena v článku 13 tohoto nařízení.</w:t>
      </w:r>
      <w:r w:rsidRPr="00DC73DC">
        <w:rPr>
          <w:rStyle w:val="Znakapoznpodarou"/>
        </w:rPr>
        <w:footnoteReference w:id="14"/>
      </w:r>
    </w:p>
    <w:p w14:paraId="1109074F" w14:textId="66B506D8" w:rsidR="00966E3F" w:rsidRPr="00DC73DC" w:rsidRDefault="001B47E3" w:rsidP="00F56F76">
      <w:pPr>
        <w:spacing w:line="360" w:lineRule="auto"/>
        <w:ind w:firstLine="720"/>
        <w:jc w:val="both"/>
      </w:pPr>
      <w:r>
        <w:t>Podle</w:t>
      </w:r>
      <w:r w:rsidR="00966E3F" w:rsidRPr="00DC73DC">
        <w:t xml:space="preserve"> čl. 23 písm. a) </w:t>
      </w:r>
      <w:r w:rsidR="005955C3">
        <w:t xml:space="preserve">Nařízení Brusel </w:t>
      </w:r>
      <w:proofErr w:type="spellStart"/>
      <w:r w:rsidR="005955C3">
        <w:t>IIa</w:t>
      </w:r>
      <w:proofErr w:type="spellEnd"/>
      <w:r w:rsidR="005955C3">
        <w:t>.,</w:t>
      </w:r>
      <w:r w:rsidR="00966E3F" w:rsidRPr="00DC73DC">
        <w:t xml:space="preserve"> je důvodem pro neuznání rozhodnutí ve věci rodičovské odpovědnosti, „je-li takové uznání zjevně v rozporu s veřejným pořádkem členského státu, v němž se o uznání žádá, přičemž jsou vzaty v úvahu zájmy dítěte.</w:t>
      </w:r>
      <w:r w:rsidR="00966E3F" w:rsidRPr="00DC73DC">
        <w:rPr>
          <w:rStyle w:val="Znakapoznpodarou"/>
        </w:rPr>
        <w:footnoteReference w:id="15"/>
      </w:r>
      <w:r w:rsidR="00966E3F" w:rsidRPr="00DC73DC">
        <w:t xml:space="preserve"> </w:t>
      </w:r>
    </w:p>
    <w:p w14:paraId="5C75DD1A" w14:textId="77777777" w:rsidR="003049FB" w:rsidRPr="00DC73DC" w:rsidRDefault="002E1469" w:rsidP="00F56F76">
      <w:pPr>
        <w:pStyle w:val="Normlnweb"/>
        <w:shd w:val="clear" w:color="auto" w:fill="FFFFFF"/>
        <w:spacing w:before="0" w:beforeAutospacing="0" w:after="0" w:afterAutospacing="0" w:line="360" w:lineRule="auto"/>
        <w:ind w:firstLine="709"/>
        <w:jc w:val="both"/>
        <w:textAlignment w:val="center"/>
      </w:pPr>
      <w:r w:rsidRPr="00DC73DC">
        <w:t>Z těchto výkladů nám tedy vyplývá řada pojmů, kterým se budu věnovat podrobně v kapitole 2.</w:t>
      </w:r>
    </w:p>
    <w:p w14:paraId="30B0195F" w14:textId="77777777" w:rsidR="006573AE" w:rsidRPr="00DC73DC" w:rsidRDefault="003E0B4D" w:rsidP="00C578B0">
      <w:pPr>
        <w:pStyle w:val="Nadpis2"/>
        <w:numPr>
          <w:ilvl w:val="1"/>
          <w:numId w:val="2"/>
        </w:numPr>
        <w:spacing w:line="360" w:lineRule="auto"/>
        <w:jc w:val="both"/>
        <w:rPr>
          <w:rFonts w:cs="Times New Roman"/>
          <w:szCs w:val="28"/>
        </w:rPr>
      </w:pPr>
      <w:bookmarkStart w:id="19" w:name="_Toc364534195"/>
      <w:bookmarkStart w:id="20" w:name="_Toc364927620"/>
      <w:bookmarkStart w:id="21" w:name="_Toc491117216"/>
      <w:r w:rsidRPr="00DC73DC">
        <w:rPr>
          <w:rFonts w:cs="Times New Roman"/>
          <w:szCs w:val="28"/>
        </w:rPr>
        <w:t>Česká právní úprava</w:t>
      </w:r>
      <w:bookmarkEnd w:id="19"/>
      <w:bookmarkEnd w:id="20"/>
      <w:bookmarkEnd w:id="21"/>
      <w:r w:rsidR="006573AE" w:rsidRPr="00DC73DC">
        <w:rPr>
          <w:rFonts w:cs="Times New Roman"/>
          <w:szCs w:val="28"/>
        </w:rPr>
        <w:t xml:space="preserve"> </w:t>
      </w:r>
    </w:p>
    <w:p w14:paraId="6ECA0CB4" w14:textId="04C3CE72" w:rsidR="003E0B4D" w:rsidRPr="00DC73DC" w:rsidRDefault="006573AE" w:rsidP="00C578B0">
      <w:pPr>
        <w:pStyle w:val="Nadpis3"/>
        <w:numPr>
          <w:ilvl w:val="2"/>
          <w:numId w:val="5"/>
        </w:numPr>
        <w:spacing w:line="360" w:lineRule="auto"/>
        <w:jc w:val="both"/>
        <w:rPr>
          <w:rFonts w:cs="Times New Roman"/>
        </w:rPr>
      </w:pPr>
      <w:bookmarkStart w:id="22" w:name="_Toc364927621"/>
      <w:bookmarkStart w:id="23" w:name="_Toc491117217"/>
      <w:r w:rsidRPr="00DC73DC">
        <w:rPr>
          <w:rFonts w:cs="Times New Roman"/>
        </w:rPr>
        <w:t>P</w:t>
      </w:r>
      <w:r w:rsidR="00F0253A" w:rsidRPr="00DC73DC">
        <w:rPr>
          <w:rFonts w:cs="Times New Roman"/>
        </w:rPr>
        <w:t>rocesní řízení</w:t>
      </w:r>
      <w:r w:rsidR="00381721" w:rsidRPr="00DC73DC">
        <w:rPr>
          <w:rFonts w:cs="Times New Roman"/>
        </w:rPr>
        <w:t xml:space="preserve"> </w:t>
      </w:r>
      <w:r w:rsidR="001B47E3">
        <w:rPr>
          <w:rFonts w:cs="Times New Roman"/>
        </w:rPr>
        <w:t>podle</w:t>
      </w:r>
      <w:r w:rsidR="00381721" w:rsidRPr="00DC73DC">
        <w:rPr>
          <w:rFonts w:cs="Times New Roman"/>
        </w:rPr>
        <w:t xml:space="preserve"> </w:t>
      </w:r>
      <w:bookmarkEnd w:id="22"/>
      <w:r w:rsidR="00887CCB">
        <w:rPr>
          <w:rFonts w:cs="Times New Roman"/>
        </w:rPr>
        <w:t>ZŘS</w:t>
      </w:r>
      <w:bookmarkEnd w:id="23"/>
    </w:p>
    <w:p w14:paraId="0038DB56" w14:textId="48BC3F04" w:rsidR="00303B28" w:rsidRPr="00DC73DC" w:rsidRDefault="00303B28" w:rsidP="00775027">
      <w:pPr>
        <w:pStyle w:val="Normlnweb"/>
        <w:shd w:val="clear" w:color="auto" w:fill="FFFFFF"/>
        <w:spacing w:before="0" w:beforeAutospacing="0" w:after="60" w:afterAutospacing="0" w:line="360" w:lineRule="auto"/>
        <w:ind w:firstLine="720"/>
        <w:jc w:val="both"/>
        <w:textAlignment w:val="center"/>
      </w:pPr>
      <w:r w:rsidRPr="00DC73DC">
        <w:t>Zákon č. 292/2013 Sb. O zvláštních řízeních soudních</w:t>
      </w:r>
      <w:r w:rsidR="005955C3">
        <w:t xml:space="preserve"> (dále „</w:t>
      </w:r>
      <w:r w:rsidR="00887CCB">
        <w:t>ZŘS</w:t>
      </w:r>
      <w:r w:rsidR="005955C3">
        <w:t>“)</w:t>
      </w:r>
      <w:r w:rsidRPr="00DC73DC">
        <w:t xml:space="preserve">, </w:t>
      </w:r>
      <w:r w:rsidR="00DB29F0">
        <w:t xml:space="preserve">ve znění pozdějších předpisů, </w:t>
      </w:r>
      <w:r w:rsidR="00F43810">
        <w:t xml:space="preserve">stanovuje </w:t>
      </w:r>
      <w:r w:rsidRPr="00DC73DC">
        <w:t xml:space="preserve">konkrétně </w:t>
      </w:r>
      <w:r w:rsidR="00F43810">
        <w:t>v</w:t>
      </w:r>
      <w:r w:rsidR="0084298D">
        <w:t xml:space="preserve"> ustanoveních § 478–</w:t>
      </w:r>
      <w:r w:rsidRPr="00DC73DC">
        <w:t>491 zvláštní procesní pravidla pro postup při vnitrostátním zajišťování této spolupráce správních a soudních orgánů.</w:t>
      </w:r>
      <w:r w:rsidRPr="00DC73DC">
        <w:rPr>
          <w:rStyle w:val="Znakapoznpodarou"/>
        </w:rPr>
        <w:footnoteReference w:id="16"/>
      </w:r>
    </w:p>
    <w:p w14:paraId="2043214D" w14:textId="2B881EF3" w:rsidR="002A037F" w:rsidRPr="00DC73DC" w:rsidRDefault="00CC4E3F" w:rsidP="00775027">
      <w:pPr>
        <w:pStyle w:val="Normlnweb"/>
        <w:shd w:val="clear" w:color="auto" w:fill="FFFFFF"/>
        <w:spacing w:before="0" w:beforeAutospacing="0" w:after="60" w:afterAutospacing="0" w:line="360" w:lineRule="auto"/>
        <w:ind w:firstLine="720"/>
        <w:jc w:val="both"/>
        <w:textAlignment w:val="center"/>
      </w:pPr>
      <w:r w:rsidRPr="00DC73DC">
        <w:t>Pro řízení je příslušný soud, v jehož obvodu má sídlo Úřad pro mezinárodněprávní ochranu dětí</w:t>
      </w:r>
      <w:r w:rsidR="002A037F" w:rsidRPr="00DC73DC">
        <w:t>.</w:t>
      </w:r>
      <w:r w:rsidR="002A037F" w:rsidRPr="00DC73DC">
        <w:rPr>
          <w:rStyle w:val="Znakapoznpodarou"/>
        </w:rPr>
        <w:footnoteReference w:id="17"/>
      </w:r>
      <w:r w:rsidR="002A037F" w:rsidRPr="00DC73DC">
        <w:t xml:space="preserve"> Jedná se o specializovanou problematiku, kter</w:t>
      </w:r>
      <w:r w:rsidR="00711706">
        <w:t>á</w:t>
      </w:r>
      <w:r w:rsidR="002A037F" w:rsidRPr="00DC73DC">
        <w:t xml:space="preserve"> se vyznačuj</w:t>
      </w:r>
      <w:r w:rsidR="00711706">
        <w:t>e</w:t>
      </w:r>
      <w:r w:rsidR="002A037F" w:rsidRPr="00DC73DC">
        <w:t xml:space="preserve"> oproti běžnému řízení mnoha zvláštnostmi</w:t>
      </w:r>
      <w:r w:rsidR="00711706">
        <w:t>,</w:t>
      </w:r>
      <w:r w:rsidR="002A037F" w:rsidRPr="00DC73DC">
        <w:t xml:space="preserve"> a to včetně požadavku, aby jednání a rozhodnutí bylo operativní a</w:t>
      </w:r>
      <w:r w:rsidR="007B3569">
        <w:t> </w:t>
      </w:r>
      <w:r w:rsidR="002A037F" w:rsidRPr="00DC73DC">
        <w:t>rychlé. Za dosažením tohoto účelu byla místní příslušnost konc</w:t>
      </w:r>
      <w:r w:rsidR="00711706">
        <w:t>entrována u jednoho soudu, což</w:t>
      </w:r>
      <w:r w:rsidR="002A037F" w:rsidRPr="00DC73DC">
        <w:t xml:space="preserve"> je mimo jiné obvykl</w:t>
      </w:r>
      <w:r w:rsidR="00711706">
        <w:t>é</w:t>
      </w:r>
      <w:r w:rsidR="002A037F" w:rsidRPr="00DC73DC">
        <w:t xml:space="preserve"> v mnoha smluvních státech.</w:t>
      </w:r>
      <w:r w:rsidR="002A037F" w:rsidRPr="00DC73DC">
        <w:rPr>
          <w:rStyle w:val="Znakapoznpodarou"/>
        </w:rPr>
        <w:footnoteReference w:id="18"/>
      </w:r>
    </w:p>
    <w:p w14:paraId="4A613D26" w14:textId="6C0948F7" w:rsidR="002A037F" w:rsidRPr="00DC73DC" w:rsidRDefault="002A037F" w:rsidP="00775027">
      <w:pPr>
        <w:pStyle w:val="Normlnweb"/>
        <w:shd w:val="clear" w:color="auto" w:fill="FFFFFF"/>
        <w:spacing w:before="0" w:beforeAutospacing="0" w:after="60" w:afterAutospacing="0" w:line="360" w:lineRule="auto"/>
        <w:ind w:firstLine="720"/>
        <w:jc w:val="both"/>
        <w:textAlignment w:val="center"/>
      </w:pPr>
      <w:r w:rsidRPr="00DC73DC">
        <w:t>Místně příslušným soudem je Městský soud v Brně. V jeho obvodu má sídlo Úřad pro mezinárodněprávní ochranu dětí a je tak ústředním orgánem určeným k výkonu povinnosti uložených v otázkách mezinárodních únosů</w:t>
      </w:r>
      <w:r w:rsidR="007C345F">
        <w:t>.</w:t>
      </w:r>
      <w:r w:rsidRPr="00DC73DC">
        <w:rPr>
          <w:rStyle w:val="Znakapoznpodarou"/>
        </w:rPr>
        <w:footnoteReference w:id="19"/>
      </w:r>
      <w:r w:rsidRPr="00DC73DC">
        <w:t xml:space="preserve"> Jedná se </w:t>
      </w:r>
      <w:r w:rsidR="003652C2">
        <w:t>o výlučnou místní příslušnost a </w:t>
      </w:r>
      <w:r w:rsidRPr="00DC73DC">
        <w:t>uplatní se zde pravidlo o delegaci nutné, jak stanoví § 12 odst. 1 zákon</w:t>
      </w:r>
      <w:r w:rsidR="00CD1293">
        <w:t>a</w:t>
      </w:r>
      <w:r w:rsidRPr="00DC73DC">
        <w:t xml:space="preserve"> č. 99/1963 Sb. Občanského soudního řádu (dále jen „OSŘ“). Vzhledem na specifické požadavky byla tedy vyloučena delegace vhodná.</w:t>
      </w:r>
      <w:r w:rsidRPr="00DC73DC">
        <w:rPr>
          <w:rStyle w:val="Znakapoznpodarou"/>
        </w:rPr>
        <w:footnoteReference w:id="20"/>
      </w:r>
      <w:r w:rsidRPr="00DC73DC">
        <w:t xml:space="preserve"> Dojde-li k vydání rozhodnutí o navrácení dítěte, je příslušným i k výkonu tohoto rozhodnutí, jak stanoví § 500 odst. 2 </w:t>
      </w:r>
      <w:r w:rsidR="00887CCB">
        <w:t>ZŘS</w:t>
      </w:r>
      <w:r w:rsidRPr="00DC73DC">
        <w:t>. K odvolání, jak v nalézacím, tak ve vykonávacím řízení je funkčně příslušný Krajský soud v Brně.</w:t>
      </w:r>
      <w:r w:rsidRPr="00DC73DC">
        <w:rPr>
          <w:rStyle w:val="Znakapoznpodarou"/>
        </w:rPr>
        <w:footnoteReference w:id="21"/>
      </w:r>
      <w:r w:rsidR="00075E27" w:rsidRPr="00DC73DC">
        <w:t xml:space="preserve"> </w:t>
      </w:r>
    </w:p>
    <w:p w14:paraId="0F73A92F" w14:textId="2EA540E3" w:rsidR="002A037F" w:rsidRPr="00DC73DC" w:rsidRDefault="00C11856" w:rsidP="009D01C7">
      <w:pPr>
        <w:pStyle w:val="Normlnweb"/>
        <w:shd w:val="clear" w:color="auto" w:fill="FFFFFF"/>
        <w:spacing w:before="0" w:beforeAutospacing="0" w:after="60" w:afterAutospacing="0" w:line="360" w:lineRule="auto"/>
        <w:ind w:firstLine="720"/>
        <w:jc w:val="both"/>
        <w:textAlignment w:val="center"/>
      </w:pPr>
      <w:r w:rsidRPr="00DC73DC">
        <w:lastRenderedPageBreak/>
        <w:t>Řízení lze zahájit jen na návrh a tedy nestačí, aby byl orgánem sociálně-právní ochrany dětí podán podnět s tím, že by řízení mělo být zahájeno soudem</w:t>
      </w:r>
      <w:r w:rsidR="009B7B25">
        <w:t xml:space="preserve"> ex officio, tedy</w:t>
      </w:r>
      <w:r w:rsidRPr="00DC73DC">
        <w:t xml:space="preserve"> z úřední povinnosti.</w:t>
      </w:r>
      <w:r w:rsidRPr="00DC73DC">
        <w:rPr>
          <w:rStyle w:val="Znakapoznpodarou"/>
        </w:rPr>
        <w:footnoteReference w:id="22"/>
      </w:r>
      <w:r w:rsidRPr="00DC73DC">
        <w:t xml:space="preserve"> Návrh se podává u Městského soudu v Brně, pokud má navrhovatel za to, že dítě bylo přemístěno do České republiky. Ústně učin</w:t>
      </w:r>
      <w:r w:rsidR="00932E5E">
        <w:t xml:space="preserve">ěný návrh do protokolu </w:t>
      </w:r>
      <w:r w:rsidRPr="00DC73DC">
        <w:t>nepřipadá v úvahu. V případě telefaxu či elektronické podobě bez uznávaného elektronického podpisu, musí být doplněn originálem do 3 dnů, popřípadě lze doplnit listinným podáním shodného znění. Tato povinnost neplatí, je-li návrh podán elektronickým návrhem podepsaným uznávaným elektronickým podpisem nebo učiněným prostřednictvím systému datových schránek.</w:t>
      </w:r>
      <w:r w:rsidRPr="00DC73DC">
        <w:rPr>
          <w:rStyle w:val="Znakapoznpodarou"/>
        </w:rPr>
        <w:footnoteReference w:id="23"/>
      </w:r>
    </w:p>
    <w:p w14:paraId="632E2366" w14:textId="4A319055" w:rsidR="00BC6733" w:rsidRPr="00DC73DC" w:rsidRDefault="00BC6733" w:rsidP="009D01C7">
      <w:pPr>
        <w:pStyle w:val="Normlnweb"/>
        <w:shd w:val="clear" w:color="auto" w:fill="FFFFFF"/>
        <w:spacing w:before="0" w:beforeAutospacing="0" w:after="60" w:afterAutospacing="0" w:line="360" w:lineRule="auto"/>
        <w:ind w:firstLine="720"/>
        <w:jc w:val="both"/>
        <w:textAlignment w:val="center"/>
      </w:pPr>
      <w:r w:rsidRPr="00DC73DC">
        <w:t xml:space="preserve">Současně se v souvislosti s § 481 </w:t>
      </w:r>
      <w:r w:rsidR="00887CCB">
        <w:t>ZŘS</w:t>
      </w:r>
      <w:r w:rsidR="00932E5E">
        <w:t xml:space="preserve"> </w:t>
      </w:r>
      <w:r w:rsidRPr="00DC73DC">
        <w:t xml:space="preserve">dovozuje, že navrhovatelem může </w:t>
      </w:r>
      <w:r w:rsidR="003754A4">
        <w:t>být</w:t>
      </w:r>
      <w:r w:rsidRPr="00DC73DC">
        <w:t xml:space="preserve"> pouze ten, kdo tvrdí, že</w:t>
      </w:r>
      <w:r w:rsidR="003754A4">
        <w:t xml:space="preserve"> bylo únosem zasaženo</w:t>
      </w:r>
      <w:r w:rsidRPr="00DC73DC">
        <w:t xml:space="preserve"> do jeho práv na péči o dítě. Návrh podává buď přímo sám u příslušného soudu státu, do něhož bylo dítě uneseno, a nebo tak činí s pomocí svého nebo dožádaného ús</w:t>
      </w:r>
      <w:r w:rsidR="00932E5E">
        <w:t>tředního orgánu, jak vyplývá z Haagské ú</w:t>
      </w:r>
      <w:r w:rsidRPr="00DC73DC">
        <w:t>mluvy čl. 8.</w:t>
      </w:r>
      <w:r w:rsidRPr="00DC73DC">
        <w:rPr>
          <w:rStyle w:val="Znakapoznpodarou"/>
        </w:rPr>
        <w:footnoteReference w:id="24"/>
      </w:r>
      <w:r w:rsidRPr="00DC73DC">
        <w:t xml:space="preserve"> </w:t>
      </w:r>
    </w:p>
    <w:p w14:paraId="7C10EA26" w14:textId="2AD31E95" w:rsidR="00BC6733" w:rsidRPr="00DC73DC" w:rsidRDefault="00BC6733" w:rsidP="009D01C7">
      <w:pPr>
        <w:pStyle w:val="Normlnweb"/>
        <w:shd w:val="clear" w:color="auto" w:fill="FFFFFF"/>
        <w:spacing w:before="0" w:beforeAutospacing="0" w:after="60" w:afterAutospacing="0" w:line="360" w:lineRule="auto"/>
        <w:ind w:firstLine="720"/>
        <w:jc w:val="both"/>
        <w:textAlignment w:val="center"/>
      </w:pPr>
      <w:r w:rsidRPr="00DC73DC">
        <w:t>Je právem navrhovatele podat návrh na zahájení řízení ve svém rodném jazy</w:t>
      </w:r>
      <w:r w:rsidR="00DC7C6B">
        <w:t>ce</w:t>
      </w:r>
      <w:r w:rsidRPr="00DC73DC">
        <w:t>. Toto právo vyplývá z § 18 odst. 1 OSŘ.</w:t>
      </w:r>
      <w:r w:rsidRPr="00DC73DC">
        <w:rPr>
          <w:rStyle w:val="Znakapoznpodarou"/>
        </w:rPr>
        <w:footnoteReference w:id="25"/>
      </w:r>
      <w:r w:rsidRPr="00DC73DC">
        <w:t xml:space="preserve"> Právo jednat před soudem ve své mateřštině se nevztahuje pouze na přednesy při jednání</w:t>
      </w:r>
      <w:r w:rsidR="00966558">
        <w:t xml:space="preserve"> u</w:t>
      </w:r>
      <w:r w:rsidRPr="00DC73DC">
        <w:t xml:space="preserve"> soudu, ale s</w:t>
      </w:r>
      <w:r w:rsidR="00DB4614">
        <w:t>oučasně i na podání účastníka a </w:t>
      </w:r>
      <w:r w:rsidRPr="00DC73DC">
        <w:t>listiny, kterému jsou soudu doručovan</w:t>
      </w:r>
      <w:r w:rsidR="00F15F45">
        <w:t>é.</w:t>
      </w:r>
      <w:r w:rsidRPr="00DC73DC">
        <w:rPr>
          <w:rStyle w:val="Znakapoznpodarou"/>
        </w:rPr>
        <w:footnoteReference w:id="26"/>
      </w:r>
      <w:r w:rsidRPr="00DC73DC">
        <w:t xml:space="preserve"> Jakmile se navrhovatel obrátí na ústřední orgán dožadovaného státu s žádostí o pomoc (státu, do něhož bylo dítě přemístěno nebo v něm bylo zadrženo), musí být jeho žádost učiněná jak v původním jazyce, přeložena do úředního jazyka dožádaného státu.</w:t>
      </w:r>
      <w:r w:rsidRPr="00DC73DC">
        <w:rPr>
          <w:rStyle w:val="Znakapoznpodarou"/>
        </w:rPr>
        <w:footnoteReference w:id="27"/>
      </w:r>
    </w:p>
    <w:p w14:paraId="2FF3BBCD" w14:textId="66F90EF4" w:rsidR="00F0253A" w:rsidRPr="00DC73DC" w:rsidRDefault="00F0253A" w:rsidP="009D01C7">
      <w:pPr>
        <w:pStyle w:val="Normlnweb"/>
        <w:shd w:val="clear" w:color="auto" w:fill="FFFFFF"/>
        <w:spacing w:before="0" w:beforeAutospacing="0" w:after="60" w:afterAutospacing="0" w:line="360" w:lineRule="auto"/>
        <w:ind w:firstLine="720"/>
        <w:jc w:val="both"/>
        <w:textAlignment w:val="center"/>
      </w:pPr>
      <w:r w:rsidRPr="00DC73DC">
        <w:t>Celé řízení je osvobozeno od soudního poplatku, což vycház</w:t>
      </w:r>
      <w:r w:rsidR="00AF727D">
        <w:t>í z § 11 odst. 1 písm. a) zákona</w:t>
      </w:r>
      <w:r w:rsidRPr="00DC73DC">
        <w:t xml:space="preserve"> č. 549/1991 Sb. o soudních poplatcích.</w:t>
      </w:r>
      <w:r w:rsidRPr="00DC73DC">
        <w:rPr>
          <w:rStyle w:val="Znakapoznpodarou"/>
        </w:rPr>
        <w:footnoteReference w:id="28"/>
      </w:r>
      <w:r w:rsidRPr="00DC73DC">
        <w:t xml:space="preserve"> Splnění podmínek pro osvobození od soudních poplatků </w:t>
      </w:r>
      <w:r w:rsidR="001B47E3">
        <w:t>podle</w:t>
      </w:r>
      <w:r w:rsidRPr="00DC73DC">
        <w:t xml:space="preserve"> § 138 odst. 1 OSŘ může být významné i pro žádost o ustanovení zástupce </w:t>
      </w:r>
      <w:r w:rsidR="001B47E3">
        <w:t>podle</w:t>
      </w:r>
      <w:r w:rsidRPr="00DC73DC">
        <w:t xml:space="preserve"> § 30 OSŘ.</w:t>
      </w:r>
      <w:r w:rsidRPr="00DC73DC">
        <w:rPr>
          <w:rStyle w:val="Znakapoznpodarou"/>
        </w:rPr>
        <w:footnoteReference w:id="29"/>
      </w:r>
    </w:p>
    <w:p w14:paraId="0C2E40F3" w14:textId="08B289DB" w:rsidR="00CC4E3F" w:rsidRPr="00DC73DC" w:rsidRDefault="00CC4E3F" w:rsidP="009D01C7">
      <w:pPr>
        <w:pStyle w:val="Normlnweb"/>
        <w:shd w:val="clear" w:color="auto" w:fill="FFFFFF"/>
        <w:spacing w:before="0" w:beforeAutospacing="0" w:after="60" w:afterAutospacing="0" w:line="360" w:lineRule="auto"/>
        <w:ind w:firstLine="720"/>
        <w:jc w:val="both"/>
        <w:textAlignment w:val="center"/>
      </w:pPr>
      <w:r w:rsidRPr="00DC73DC">
        <w:t xml:space="preserve">Účastenství je vymezeno ve smyslu § 6 odst. 2 </w:t>
      </w:r>
      <w:r w:rsidR="00887CCB">
        <w:t>ZŘS</w:t>
      </w:r>
      <w:r w:rsidR="00932E5E">
        <w:t xml:space="preserve"> </w:t>
      </w:r>
      <w:r w:rsidRPr="00DC73DC">
        <w:t>tak, že „</w:t>
      </w:r>
      <w:r w:rsidRPr="00932E5E">
        <w:rPr>
          <w:i/>
        </w:rPr>
        <w:t>účastníkem je navrhovatel a další osoby označované zákonem, tedy odpůrce a dítě</w:t>
      </w:r>
      <w:r w:rsidR="00A35AFB">
        <w:rPr>
          <w:i/>
        </w:rPr>
        <w:t>.</w:t>
      </w:r>
      <w:r w:rsidR="00932E5E">
        <w:t>“</w:t>
      </w:r>
      <w:r w:rsidRPr="00DC73DC">
        <w:t xml:space="preserve"> Protože se nejedná o </w:t>
      </w:r>
      <w:r w:rsidRPr="00DC73DC">
        <w:lastRenderedPageBreak/>
        <w:t>řízení, jež by mohlo být zahájeno i bez návrhu</w:t>
      </w:r>
      <w:r w:rsidR="00546028">
        <w:t>,</w:t>
      </w:r>
      <w:r w:rsidRPr="00DC73DC">
        <w:t xml:space="preserve"> nepřipadá</w:t>
      </w:r>
      <w:r w:rsidR="00546028">
        <w:t xml:space="preserve"> tedy</w:t>
      </w:r>
      <w:r w:rsidRPr="00DC73DC">
        <w:t xml:space="preserve"> v úvahu, aby byl účastníkem řízení někdo jiný. Státní zastupitelství nemůže do řízení ani vstoupit, ani je</w:t>
      </w:r>
      <w:r w:rsidR="003E2838">
        <w:t>j</w:t>
      </w:r>
      <w:r w:rsidRPr="00DC73DC">
        <w:t xml:space="preserve"> zahájit (§ 8).</w:t>
      </w:r>
      <w:r w:rsidRPr="00DC73DC">
        <w:rPr>
          <w:rStyle w:val="Znakapoznpodarou"/>
        </w:rPr>
        <w:footnoteReference w:id="30"/>
      </w:r>
      <w:r w:rsidRPr="00DC73DC">
        <w:t xml:space="preserve"> </w:t>
      </w:r>
    </w:p>
    <w:p w14:paraId="657E4E9E" w14:textId="5DA6D04F" w:rsidR="00F0253A" w:rsidRPr="00DC73DC" w:rsidRDefault="00F0253A" w:rsidP="00874016">
      <w:pPr>
        <w:pStyle w:val="Normlnweb"/>
        <w:shd w:val="clear" w:color="auto" w:fill="FFFFFF"/>
        <w:spacing w:before="0" w:beforeAutospacing="0" w:after="60" w:afterAutospacing="0" w:line="360" w:lineRule="auto"/>
        <w:ind w:firstLine="720"/>
        <w:jc w:val="both"/>
        <w:textAlignment w:val="center"/>
      </w:pPr>
      <w:r w:rsidRPr="00DC73DC">
        <w:t>Navrhova</w:t>
      </w:r>
      <w:r w:rsidR="00932E5E">
        <w:t xml:space="preserve">telem může být ve smyslu čl. 3 Haagské </w:t>
      </w:r>
      <w:r w:rsidR="004D6CD7">
        <w:t>mluvy nejen člověk, ale také i </w:t>
      </w:r>
      <w:r w:rsidRPr="00DC73DC">
        <w:t xml:space="preserve">instituce, tj. </w:t>
      </w:r>
      <w:r w:rsidR="00A26D35" w:rsidRPr="00DC73DC">
        <w:t>z</w:t>
      </w:r>
      <w:r w:rsidRPr="00DC73DC">
        <w:t>ařízení nebo orgán, pokud mají pr</w:t>
      </w:r>
      <w:r w:rsidR="00E252C8">
        <w:t xml:space="preserve">ávo péče o dítě. V první řadě </w:t>
      </w:r>
      <w:r w:rsidR="00EB3EA2">
        <w:t xml:space="preserve">to </w:t>
      </w:r>
      <w:r w:rsidRPr="00DC73DC">
        <w:t xml:space="preserve">bude rodič, dále jím může být ten, kdo má obdobnou pozici jako má </w:t>
      </w:r>
      <w:r w:rsidR="001B47E3">
        <w:t>podle</w:t>
      </w:r>
      <w:r w:rsidRPr="00DC73DC">
        <w:t xml:space="preserve"> českého práva pěstoun</w:t>
      </w:r>
      <w:r w:rsidR="00A26D35" w:rsidRPr="00DC73DC">
        <w:t xml:space="preserve">, </w:t>
      </w:r>
      <w:r w:rsidR="00EB3EA2">
        <w:t xml:space="preserve">dále </w:t>
      </w:r>
      <w:r w:rsidR="00A26D35" w:rsidRPr="00DC73DC">
        <w:t>osoba, jíž bylo dítě svěřeno do péče, osobně pečující poručník, ústav nebo zařízení pro děti, které vyžadují okamžitou pomoc. Navrhovatel musí uvést tvrzení o tom, že jeho právo na péči o dítě bylo přemístěním nebo zadržením dítěte porušeno. Současně pokud by bylo už ze samostatných tvrzení navrhovatele zřejmé</w:t>
      </w:r>
      <w:r w:rsidR="00876520">
        <w:t>, ž</w:t>
      </w:r>
      <w:r w:rsidR="00A26D35" w:rsidRPr="00DC73DC">
        <w:t>e mělo být porušeno právo někoho jiného, byl by dán důvod pro zastavení řízení</w:t>
      </w:r>
      <w:r w:rsidR="00E70A6F">
        <w:t>,</w:t>
      </w:r>
      <w:r w:rsidR="00A26D35" w:rsidRPr="00DC73DC">
        <w:t xml:space="preserve"> a to pro nedostatek podmínky řízení.</w:t>
      </w:r>
      <w:r w:rsidR="00A26D35" w:rsidRPr="00DC73DC">
        <w:rPr>
          <w:rStyle w:val="Znakapoznpodarou"/>
        </w:rPr>
        <w:footnoteReference w:id="31"/>
      </w:r>
    </w:p>
    <w:p w14:paraId="399AE0E9" w14:textId="157C68ED" w:rsidR="00381721" w:rsidRPr="00DC73DC" w:rsidRDefault="00381721" w:rsidP="00F15F45">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Návrh na zahájení řízení musí obsahovat označení navrhovatele, odpůrce a dítěte.</w:t>
      </w:r>
      <w:r w:rsidRPr="00DC73DC">
        <w:rPr>
          <w:rStyle w:val="Znakapoznpodarou"/>
          <w:shd w:val="clear" w:color="auto" w:fill="FFFFFF"/>
        </w:rPr>
        <w:footnoteReference w:id="32"/>
      </w:r>
      <w:r w:rsidRPr="00DC73DC">
        <w:rPr>
          <w:shd w:val="clear" w:color="auto" w:fill="FFFFFF"/>
        </w:rPr>
        <w:t xml:space="preserve"> Dále musí obsahovat dala jejich narození a jsou-</w:t>
      </w:r>
      <w:r w:rsidR="00822271">
        <w:rPr>
          <w:shd w:val="clear" w:color="auto" w:fill="FFFFFF"/>
        </w:rPr>
        <w:t>l</w:t>
      </w:r>
      <w:r w:rsidRPr="00DC73DC">
        <w:rPr>
          <w:shd w:val="clear" w:color="auto" w:fill="FFFFFF"/>
        </w:rPr>
        <w:t>i dostupné, tak i údaje o jejich pobytu. Musí být zdůvodněno právo péče o dítě, popsány skutečnosti o jeho obvyklém bydlišti bezprostředně před porušením tohoto práva a vylíčeno jednání, kterým bylo toto právo poru</w:t>
      </w:r>
      <w:r w:rsidR="003F0537">
        <w:rPr>
          <w:shd w:val="clear" w:color="auto" w:fill="FFFFFF"/>
        </w:rPr>
        <w:t>šeno. Pokud bylo o pé</w:t>
      </w:r>
      <w:r w:rsidRPr="00DC73DC">
        <w:rPr>
          <w:shd w:val="clear" w:color="auto" w:fill="FFFFFF"/>
        </w:rPr>
        <w:t>či dítěte rozhodováno příslušným orgánem, tak je třeba přiložit takové rozhodnutí ve stejnopise nebo jeho ověřenou kopii. Vyplývá-li však toto právo ze zákona daného smluvního státu, je nutné předložit také potvrzení ústředního orgánu nebo jiného příslušného orgánu o právních předpisech použitelných v té dané věci.</w:t>
      </w:r>
      <w:r w:rsidRPr="00DC73DC">
        <w:rPr>
          <w:rStyle w:val="Znakapoznpodarou"/>
          <w:shd w:val="clear" w:color="auto" w:fill="FFFFFF"/>
        </w:rPr>
        <w:footnoteReference w:id="33"/>
      </w:r>
      <w:r w:rsidRPr="00DC73DC">
        <w:rPr>
          <w:shd w:val="clear" w:color="auto" w:fill="FFFFFF"/>
        </w:rPr>
        <w:t xml:space="preserve"> </w:t>
      </w:r>
    </w:p>
    <w:p w14:paraId="05B31880" w14:textId="1456ECE6" w:rsidR="00A26D35" w:rsidRPr="00DC73DC" w:rsidRDefault="00A26D35" w:rsidP="00874016">
      <w:pPr>
        <w:pStyle w:val="Normlnweb"/>
        <w:shd w:val="clear" w:color="auto" w:fill="FFFFFF"/>
        <w:spacing w:before="0" w:beforeAutospacing="0" w:after="60" w:afterAutospacing="0" w:line="360" w:lineRule="auto"/>
        <w:ind w:firstLine="720"/>
        <w:jc w:val="both"/>
        <w:textAlignment w:val="center"/>
      </w:pPr>
      <w:r w:rsidRPr="00DC73DC">
        <w:t xml:space="preserve">Navrhovatel musí také uvést tvrzení o tom, že právě zmíněný odpůrce porušuje jeho právo na péči o dítě. Ve většině případů se jedná o řešení konfliktů mezi rodiči, avšak není vyloučeno, aby návrh </w:t>
      </w:r>
      <w:r w:rsidR="004D6508">
        <w:t>směřoval vůči někomu jinému než</w:t>
      </w:r>
      <w:r w:rsidRPr="00DC73DC">
        <w:t xml:space="preserve"> vůči druhému rodiči.</w:t>
      </w:r>
      <w:r w:rsidRPr="00DC73DC">
        <w:rPr>
          <w:rStyle w:val="Znakapoznpodarou"/>
        </w:rPr>
        <w:footnoteReference w:id="34"/>
      </w:r>
      <w:r w:rsidRPr="00DC73DC">
        <w:t xml:space="preserve"> </w:t>
      </w:r>
    </w:p>
    <w:p w14:paraId="42BF8F69" w14:textId="4BE2831D" w:rsidR="00A26D35" w:rsidRPr="00DC73DC" w:rsidRDefault="00A26D35" w:rsidP="00874016">
      <w:pPr>
        <w:pStyle w:val="Normlnweb"/>
        <w:shd w:val="clear" w:color="auto" w:fill="FFFFFF"/>
        <w:spacing w:before="0" w:beforeAutospacing="0" w:after="60" w:afterAutospacing="0" w:line="360" w:lineRule="auto"/>
        <w:ind w:firstLine="720"/>
        <w:jc w:val="both"/>
        <w:textAlignment w:val="center"/>
      </w:pPr>
      <w:r w:rsidRPr="00DC73DC">
        <w:t xml:space="preserve">Tomu tak může být například v situaci, kdy </w:t>
      </w:r>
      <w:r w:rsidR="009C70B5">
        <w:t xml:space="preserve">návrh </w:t>
      </w:r>
      <w:r w:rsidRPr="00DC73DC">
        <w:t xml:space="preserve">podává otec dítěte proti prarodičům dítěte, kteří dítě zadržují, jak jsem se dozvěděla v průběhu konzultace na Úřadě pro mezinárodněprávní </w:t>
      </w:r>
      <w:r w:rsidR="00E77CA8">
        <w:t>ochranu dětí v Brně. V daném</w:t>
      </w:r>
      <w:r w:rsidRPr="00DC73DC">
        <w:t xml:space="preserve"> spise se jednalo o situaci, kdy matka trpěla duševní poruchou, pro kterou nemohla vykonávat právo péče o dítě, a proto se dítě nacházelo u prarodičů, tedy rodičů matky. Otec, který žil v zahraničí se poté domáhal navrácení dcery po těchto prarodičích.</w:t>
      </w:r>
      <w:r w:rsidRPr="00DC73DC">
        <w:rPr>
          <w:rStyle w:val="Znakapoznpodarou"/>
        </w:rPr>
        <w:footnoteReference w:id="35"/>
      </w:r>
      <w:r w:rsidRPr="00DC73DC">
        <w:t xml:space="preserve"> </w:t>
      </w:r>
    </w:p>
    <w:p w14:paraId="49ED8FBA" w14:textId="2EE38A93" w:rsidR="00A26D35" w:rsidRPr="00DC73DC" w:rsidRDefault="00A26D35" w:rsidP="00874016">
      <w:pPr>
        <w:pStyle w:val="Normlnweb"/>
        <w:shd w:val="clear" w:color="auto" w:fill="FFFFFF"/>
        <w:spacing w:before="0" w:beforeAutospacing="0" w:after="60" w:afterAutospacing="0" w:line="360" w:lineRule="auto"/>
        <w:ind w:firstLine="720"/>
        <w:jc w:val="both"/>
        <w:textAlignment w:val="center"/>
      </w:pPr>
      <w:r w:rsidRPr="00DC73DC">
        <w:t xml:space="preserve">Účastníkem řízení je pochopitelně také dítě a jelikož se jedná o </w:t>
      </w:r>
      <w:r w:rsidR="007A6F80" w:rsidRPr="00DC73DC">
        <w:t xml:space="preserve">řízení přímo použitelné </w:t>
      </w:r>
      <w:r w:rsidR="001B47E3">
        <w:t>podle</w:t>
      </w:r>
      <w:r w:rsidR="007A6F80" w:rsidRPr="00DC73DC">
        <w:t xml:space="preserve"> Úmluvy, je nutné</w:t>
      </w:r>
      <w:r w:rsidR="00217274">
        <w:t xml:space="preserve"> </w:t>
      </w:r>
      <w:r w:rsidR="007C2C05">
        <w:t xml:space="preserve">vykládat pojem v jejím </w:t>
      </w:r>
      <w:r w:rsidR="00217274">
        <w:t>souladu</w:t>
      </w:r>
      <w:r w:rsidR="007A6F80" w:rsidRPr="00DC73DC">
        <w:t>.</w:t>
      </w:r>
      <w:r w:rsidRPr="00DC73DC">
        <w:t xml:space="preserve"> </w:t>
      </w:r>
      <w:r w:rsidR="00932E5E">
        <w:t xml:space="preserve">Haagská úmluva, </w:t>
      </w:r>
      <w:r w:rsidR="00691FE8">
        <w:t xml:space="preserve">se </w:t>
      </w:r>
      <w:r w:rsidR="00932E5E">
        <w:lastRenderedPageBreak/>
        <w:t>současně</w:t>
      </w:r>
      <w:r w:rsidR="00691FE8">
        <w:t>,</w:t>
      </w:r>
      <w:r w:rsidR="00932E5E">
        <w:t xml:space="preserve"> ani s N</w:t>
      </w:r>
      <w:r w:rsidR="007A6F80" w:rsidRPr="00DC73DC">
        <w:t>ařízením</w:t>
      </w:r>
      <w:r w:rsidR="00932E5E">
        <w:t xml:space="preserve"> Brusel </w:t>
      </w:r>
      <w:proofErr w:type="spellStart"/>
      <w:r w:rsidR="00932E5E">
        <w:t>IIa</w:t>
      </w:r>
      <w:proofErr w:type="spellEnd"/>
      <w:r w:rsidR="00932E5E">
        <w:t>.</w:t>
      </w:r>
      <w:r w:rsidR="007A6F80" w:rsidRPr="00DC73DC">
        <w:t xml:space="preserve">, které na ni </w:t>
      </w:r>
      <w:r w:rsidR="001B47E3">
        <w:t>podle</w:t>
      </w:r>
      <w:r w:rsidR="007A6F80" w:rsidRPr="00DC73DC">
        <w:t xml:space="preserve"> svého </w:t>
      </w:r>
      <w:r w:rsidR="00691FE8">
        <w:t>čl. 11 odkazuje,</w:t>
      </w:r>
      <w:r w:rsidR="007A6F80" w:rsidRPr="00DC73DC">
        <w:t xml:space="preserve"> nepoužije v případě, kdy dítě dosáhlo věku šestnácti let. U dítěte starší nebo u dítěte, které by šestnácti let dosáhlo v průběhu řízení o navrácení, by muselo být řízení zastaveno pro nedostatek podmínky řízení, jelikož osoba starší šestnácti let již nemá způsobilost být účastníkem řízení jako dítě. Není však vyloučeno, aby řízení o navrácení nezletilého dítěte starší šestnácti let probíhalo ve státě původu za stejných podmínek jako běžné řízení týkající se péče soudu o nezletilé. Tak stanoví § 466.</w:t>
      </w:r>
      <w:r w:rsidR="007A6F80" w:rsidRPr="00DC73DC">
        <w:rPr>
          <w:rStyle w:val="Znakapoznpodarou"/>
        </w:rPr>
        <w:footnoteReference w:id="36"/>
      </w:r>
    </w:p>
    <w:p w14:paraId="5C6403E0" w14:textId="0FC63823" w:rsidR="00952433" w:rsidRPr="00DC73DC" w:rsidRDefault="00952433" w:rsidP="00874016">
      <w:pPr>
        <w:pStyle w:val="Normlnweb"/>
        <w:shd w:val="clear" w:color="auto" w:fill="FFFFFF"/>
        <w:spacing w:before="0" w:beforeAutospacing="0" w:after="60" w:afterAutospacing="0" w:line="360" w:lineRule="auto"/>
        <w:ind w:firstLine="720"/>
        <w:jc w:val="both"/>
        <w:textAlignment w:val="center"/>
      </w:pPr>
      <w:r w:rsidRPr="00DC73DC">
        <w:t>S tím souvisí zejména skutečnost, že dítě starší 16 let již dokáže z velké části jednat za sebe a tedy určit, u kterého rodiče chce nadále by</w:t>
      </w:r>
      <w:r w:rsidR="001B47E3">
        <w:t>dle</w:t>
      </w:r>
      <w:r w:rsidRPr="00DC73DC">
        <w:t>t.</w:t>
      </w:r>
      <w:r w:rsidRPr="00DC73DC">
        <w:rPr>
          <w:rStyle w:val="Znakapoznpodarou"/>
        </w:rPr>
        <w:footnoteReference w:id="37"/>
      </w:r>
    </w:p>
    <w:p w14:paraId="39AFB195" w14:textId="2BEB3EC5" w:rsidR="007A6F80" w:rsidRPr="00DC73DC" w:rsidRDefault="007A6F80" w:rsidP="00874016">
      <w:pPr>
        <w:pStyle w:val="Normlnweb"/>
        <w:shd w:val="clear" w:color="auto" w:fill="FFFFFF"/>
        <w:spacing w:before="0" w:beforeAutospacing="0" w:after="60" w:afterAutospacing="0" w:line="360" w:lineRule="auto"/>
        <w:ind w:firstLine="720"/>
        <w:jc w:val="both"/>
        <w:textAlignment w:val="center"/>
      </w:pPr>
      <w:r w:rsidRPr="00DC73DC">
        <w:t>Postavení orgán</w:t>
      </w:r>
      <w:r w:rsidR="00991909">
        <w:t>ů</w:t>
      </w:r>
      <w:r w:rsidRPr="00DC73DC">
        <w:t xml:space="preserve"> sociálně-právní ochrany dětí</w:t>
      </w:r>
      <w:r w:rsidR="00307174">
        <w:t>, mezi něž spadá</w:t>
      </w:r>
      <w:r w:rsidRPr="00DC73DC">
        <w:t xml:space="preserve"> </w:t>
      </w:r>
      <w:r w:rsidR="00307174" w:rsidRPr="00DC73DC">
        <w:t>Úřad pro mezinárodněprávní ochranu dětí se sí</w:t>
      </w:r>
      <w:r w:rsidR="00307174">
        <w:t>dle</w:t>
      </w:r>
      <w:r w:rsidR="00307174" w:rsidRPr="00DC73DC">
        <w:t>m v</w:t>
      </w:r>
      <w:r w:rsidR="00307174">
        <w:t> </w:t>
      </w:r>
      <w:r w:rsidR="00307174" w:rsidRPr="00DC73DC">
        <w:t>Brně</w:t>
      </w:r>
      <w:r w:rsidR="00307174">
        <w:t>,</w:t>
      </w:r>
      <w:r w:rsidR="00307174" w:rsidRPr="00DC73DC">
        <w:t xml:space="preserve"> </w:t>
      </w:r>
      <w:r w:rsidRPr="00DC73DC">
        <w:t>upravuje zákon o sociálně-právní ochraně dětí.</w:t>
      </w:r>
      <w:r w:rsidRPr="00DC73DC">
        <w:rPr>
          <w:rStyle w:val="Znakapoznpodarou"/>
        </w:rPr>
        <w:footnoteReference w:id="38"/>
      </w:r>
      <w:r w:rsidRPr="00DC73DC">
        <w:t xml:space="preserve"> V případě těchto řízení o navrácení dítěte při mezinárodních únosech se jedná o řízení s cizím prvkem, a proto bude opatrovníkem jmenován vždy Úřad v Brně, ledaže by byla dána kolize zájmů. To by bylo v případě, kdy by zastupoval už jiného účastníka. Může jím pak být i jiný orgán sociálně-právní ochrany dětí, který by měl pro výkon takové funkce lepší předpoklady, jak vychází z judikatury Krajského soudu v Hradci Králové, </w:t>
      </w:r>
      <w:r w:rsidR="00EC1E3A" w:rsidRPr="00DC73DC">
        <w:t>21 Co 163/2004, RC 85/2007.</w:t>
      </w:r>
      <w:r w:rsidR="00EC1E3A" w:rsidRPr="00DC73DC">
        <w:rPr>
          <w:rStyle w:val="Znakapoznpodarou"/>
        </w:rPr>
        <w:footnoteReference w:id="39"/>
      </w:r>
    </w:p>
    <w:p w14:paraId="243C60E5" w14:textId="006B94F4" w:rsidR="00EC1E3A" w:rsidRPr="00DC73DC" w:rsidRDefault="00EC1E3A" w:rsidP="00874016">
      <w:pPr>
        <w:pStyle w:val="Normlnweb"/>
        <w:shd w:val="clear" w:color="auto" w:fill="FFFFFF"/>
        <w:spacing w:before="0" w:beforeAutospacing="0" w:after="60" w:afterAutospacing="0" w:line="360" w:lineRule="auto"/>
        <w:ind w:firstLine="720"/>
        <w:jc w:val="both"/>
        <w:textAlignment w:val="center"/>
      </w:pPr>
      <w:r w:rsidRPr="00DC73DC">
        <w:t>Ve věci samé se rozhoduje rozsudkem a tím, bylo-li návrhu vyhověno je předběžně vykonatelný.</w:t>
      </w:r>
      <w:r w:rsidRPr="00DC73DC">
        <w:rPr>
          <w:rStyle w:val="Znakapoznpodarou"/>
        </w:rPr>
        <w:footnoteReference w:id="40"/>
      </w:r>
    </w:p>
    <w:p w14:paraId="3B5DFAC6" w14:textId="3C59945D" w:rsidR="00EC1E3A" w:rsidRPr="00DC73DC" w:rsidRDefault="001B47E3" w:rsidP="00874016">
      <w:pPr>
        <w:pStyle w:val="Normlnweb"/>
        <w:shd w:val="clear" w:color="auto" w:fill="FFFFFF"/>
        <w:spacing w:before="0" w:beforeAutospacing="0" w:after="60" w:afterAutospacing="0" w:line="360" w:lineRule="auto"/>
        <w:ind w:firstLine="720"/>
        <w:jc w:val="both"/>
        <w:textAlignment w:val="center"/>
      </w:pPr>
      <w:r>
        <w:t>Podle</w:t>
      </w:r>
      <w:r w:rsidR="00EC1E3A" w:rsidRPr="00DC73DC">
        <w:t xml:space="preserve"> § 485 odst. 1 „</w:t>
      </w:r>
      <w:r w:rsidR="00EC1E3A" w:rsidRPr="00932E5E">
        <w:rPr>
          <w:i/>
        </w:rPr>
        <w:t>Řízení nelze přerušit, ledaže soud rozhodl, že požádá soudní orgán Evropské Unie o rozhodnutí o předběžné otázce.“</w:t>
      </w:r>
      <w:r w:rsidR="00EC1E3A" w:rsidRPr="00932E5E">
        <w:rPr>
          <w:rStyle w:val="Znakapoznpodarou"/>
          <w:i/>
        </w:rPr>
        <w:footnoteReference w:id="41"/>
      </w:r>
      <w:r w:rsidR="00EC1E3A" w:rsidRPr="00DC73DC">
        <w:t xml:space="preserve"> Takovouto předběžnou otázkou se soudy obrací na </w:t>
      </w:r>
      <w:r w:rsidR="008774BA">
        <w:t>ESD</w:t>
      </w:r>
      <w:r w:rsidR="00EC1E3A" w:rsidRPr="00DC73DC">
        <w:t xml:space="preserve"> v případě výkladu nebo platnosti prá</w:t>
      </w:r>
      <w:r w:rsidR="008774BA">
        <w:t>va Unie. Může se týkat výkladu N</w:t>
      </w:r>
      <w:r w:rsidR="00EC1E3A" w:rsidRPr="00DC73DC">
        <w:t xml:space="preserve">ařízení </w:t>
      </w:r>
      <w:r w:rsidR="008774BA">
        <w:t xml:space="preserve">Brusel </w:t>
      </w:r>
      <w:proofErr w:type="spellStart"/>
      <w:r w:rsidR="008774BA">
        <w:t>IIa</w:t>
      </w:r>
      <w:proofErr w:type="spellEnd"/>
      <w:r w:rsidR="008774BA">
        <w:t>.</w:t>
      </w:r>
      <w:r w:rsidR="00EC1E3A" w:rsidRPr="00DC73DC">
        <w:t xml:space="preserve"> a v těchto věcech může </w:t>
      </w:r>
      <w:r w:rsidR="008774BA">
        <w:t>ESD</w:t>
      </w:r>
      <w:r w:rsidR="00EC1E3A" w:rsidRPr="00DC73DC">
        <w:t xml:space="preserve"> jednat na návrh předkládajícího soudu ve zrychleném řízení.</w:t>
      </w:r>
      <w:r w:rsidR="00EC1E3A" w:rsidRPr="00DC73DC">
        <w:rPr>
          <w:rStyle w:val="Znakapoznpodarou"/>
        </w:rPr>
        <w:footnoteReference w:id="42"/>
      </w:r>
      <w:r w:rsidR="00EC1E3A" w:rsidRPr="00DC73DC">
        <w:t xml:space="preserve"> K vydání rozsudku o předběžné otázce může dojít i ve lhůtě sedmi dnů od jejího předložení.</w:t>
      </w:r>
      <w:r w:rsidR="00EC1E3A" w:rsidRPr="00DC73DC">
        <w:rPr>
          <w:rStyle w:val="Znakapoznpodarou"/>
        </w:rPr>
        <w:footnoteReference w:id="43"/>
      </w:r>
    </w:p>
    <w:p w14:paraId="1F6A3FA5" w14:textId="49FBF5A8" w:rsidR="00EC1E3A" w:rsidRPr="00DC73DC" w:rsidRDefault="00EC1E3A" w:rsidP="00874016">
      <w:pPr>
        <w:pStyle w:val="Normlnweb"/>
        <w:shd w:val="clear" w:color="auto" w:fill="FFFFFF"/>
        <w:spacing w:before="0" w:beforeAutospacing="0" w:after="60" w:afterAutospacing="0" w:line="360" w:lineRule="auto"/>
        <w:ind w:firstLine="720"/>
        <w:jc w:val="both"/>
        <w:textAlignment w:val="center"/>
      </w:pPr>
      <w:r w:rsidRPr="00DC73DC">
        <w:t xml:space="preserve">Každý soud může užít možnosti předložit takovouto předběžnou otázku. Povinnost ji předložit však má ten soud, jehož rozhodnutí </w:t>
      </w:r>
      <w:r w:rsidR="0034087C">
        <w:t xml:space="preserve">již </w:t>
      </w:r>
      <w:r w:rsidRPr="00DC73DC">
        <w:t xml:space="preserve">není </w:t>
      </w:r>
      <w:r w:rsidR="0034087C">
        <w:t xml:space="preserve">napadnutelné </w:t>
      </w:r>
      <w:r w:rsidRPr="00DC73DC">
        <w:t>řádný</w:t>
      </w:r>
      <w:r w:rsidR="00E175C4">
        <w:t>m</w:t>
      </w:r>
      <w:r w:rsidRPr="00DC73DC">
        <w:t xml:space="preserve"> opravný</w:t>
      </w:r>
      <w:r w:rsidR="00ED356A">
        <w:t>m</w:t>
      </w:r>
      <w:r w:rsidR="005F5BA4">
        <w:t xml:space="preserve"> </w:t>
      </w:r>
      <w:r w:rsidR="005F5BA4">
        <w:lastRenderedPageBreak/>
        <w:t>prostřed</w:t>
      </w:r>
      <w:r w:rsidRPr="00DC73DC">
        <w:t>k</w:t>
      </w:r>
      <w:r w:rsidR="005F5BA4">
        <w:t>em</w:t>
      </w:r>
      <w:r w:rsidRPr="00DC73DC">
        <w:t xml:space="preserve">. </w:t>
      </w:r>
      <w:r w:rsidR="00381721" w:rsidRPr="00DC73DC">
        <w:t>Navrhnout předložení předb</w:t>
      </w:r>
      <w:r w:rsidR="00FD64FB">
        <w:t>ěžné otázky mohou i účastníci, avšak o</w:t>
      </w:r>
      <w:r w:rsidR="00381721" w:rsidRPr="00DC73DC">
        <w:t xml:space="preserve"> provedení</w:t>
      </w:r>
      <w:r w:rsidR="00FD64FB">
        <w:t xml:space="preserve"> těchto otázek</w:t>
      </w:r>
      <w:r w:rsidR="00381721" w:rsidRPr="00DC73DC">
        <w:t xml:space="preserve"> rozhoduje soud.</w:t>
      </w:r>
      <w:r w:rsidR="00381721" w:rsidRPr="00DC73DC">
        <w:rPr>
          <w:rStyle w:val="Znakapoznpodarou"/>
        </w:rPr>
        <w:footnoteReference w:id="44"/>
      </w:r>
    </w:p>
    <w:p w14:paraId="4A185BE2" w14:textId="106C7AB1" w:rsidR="00381721" w:rsidRPr="00040F9B" w:rsidRDefault="001B47E3" w:rsidP="00874016">
      <w:pPr>
        <w:pStyle w:val="Normlnweb"/>
        <w:shd w:val="clear" w:color="auto" w:fill="FFFFFF"/>
        <w:spacing w:before="0" w:beforeAutospacing="0" w:after="60" w:afterAutospacing="0" w:line="360" w:lineRule="auto"/>
        <w:ind w:firstLine="720"/>
        <w:jc w:val="both"/>
        <w:textAlignment w:val="center"/>
      </w:pPr>
      <w:r>
        <w:t>Podle</w:t>
      </w:r>
      <w:r w:rsidR="00CC0570" w:rsidRPr="00DC73DC">
        <w:t xml:space="preserve"> § 487 </w:t>
      </w:r>
      <w:r w:rsidR="00887CCB">
        <w:t>ZŘS</w:t>
      </w:r>
      <w:r w:rsidR="008774BA">
        <w:t xml:space="preserve"> </w:t>
      </w:r>
      <w:r w:rsidR="00CC0570" w:rsidRPr="00DC73DC">
        <w:t>se musí jednání konat do 3 týdnů od podání návrhu. Při jednání vyslechne</w:t>
      </w:r>
      <w:r w:rsidR="009207F5">
        <w:t xml:space="preserve"> soud</w:t>
      </w:r>
      <w:r w:rsidR="00CC0570" w:rsidRPr="00DC73DC">
        <w:t xml:space="preserve"> navrhovatele a odpůrce a zjistí názor dítěte. Dojde-li v průběhu jednání k dohodě mezi navrhovatelem a odpůrcem ohledn</w:t>
      </w:r>
      <w:r w:rsidR="00040F9B">
        <w:t xml:space="preserve">ě péče o dítě a styk s ním, </w:t>
      </w:r>
      <w:r w:rsidR="00CC0570" w:rsidRPr="00DC73DC">
        <w:t>může soud uložit odpůrci povinnost pro něj z takovéto dohody vyplývající</w:t>
      </w:r>
      <w:r w:rsidR="00E31595">
        <w:t>,</w:t>
      </w:r>
      <w:r w:rsidR="00CC0570" w:rsidRPr="00DC73DC">
        <w:t xml:space="preserve"> a to prostřednictvím předběžného opatření.</w:t>
      </w:r>
      <w:r w:rsidR="00CC0570" w:rsidRPr="00DC73DC">
        <w:rPr>
          <w:rStyle w:val="Znakapoznpodarou"/>
        </w:rPr>
        <w:footnoteReference w:id="45"/>
      </w:r>
    </w:p>
    <w:p w14:paraId="2389B6C2" w14:textId="5FA837EF" w:rsidR="00F0253A" w:rsidRPr="00040F9B" w:rsidRDefault="00CC0570" w:rsidP="00874016">
      <w:pPr>
        <w:pStyle w:val="detail-odstavec"/>
        <w:shd w:val="clear" w:color="auto" w:fill="FFFFFF"/>
        <w:spacing w:before="0" w:beforeAutospacing="0" w:after="0" w:afterAutospacing="0" w:line="360" w:lineRule="auto"/>
        <w:ind w:firstLine="720"/>
        <w:jc w:val="both"/>
        <w:rPr>
          <w:shd w:val="clear" w:color="auto" w:fill="FFFFFF"/>
        </w:rPr>
      </w:pPr>
      <w:r w:rsidRPr="00040F9B">
        <w:rPr>
          <w:shd w:val="clear" w:color="auto" w:fill="FFFFFF"/>
        </w:rPr>
        <w:t xml:space="preserve">Pro nařízené jednání platí obecná pravidla, která </w:t>
      </w:r>
      <w:r w:rsidR="008774BA" w:rsidRPr="00040F9B">
        <w:rPr>
          <w:shd w:val="clear" w:color="auto" w:fill="FFFFFF"/>
        </w:rPr>
        <w:t>jsou uvedena v § 115 a násl. OSŘ</w:t>
      </w:r>
      <w:r w:rsidR="005E083F" w:rsidRPr="00040F9B">
        <w:rPr>
          <w:shd w:val="clear" w:color="auto" w:fill="FFFFFF"/>
        </w:rPr>
        <w:t xml:space="preserve"> a § </w:t>
      </w:r>
      <w:r w:rsidRPr="00040F9B">
        <w:rPr>
          <w:shd w:val="clear" w:color="auto" w:fill="FFFFFF"/>
        </w:rPr>
        <w:t>19 ZŘS. Současně však platí i pravidla zvláštní, která by měla usnadňovat př</w:t>
      </w:r>
      <w:r w:rsidR="00040F9B">
        <w:rPr>
          <w:shd w:val="clear" w:color="auto" w:fill="FFFFFF"/>
        </w:rPr>
        <w:t>ijetí rychlého rozhodnutí, která</w:t>
      </w:r>
      <w:r w:rsidRPr="00040F9B">
        <w:rPr>
          <w:shd w:val="clear" w:color="auto" w:fill="FFFFFF"/>
        </w:rPr>
        <w:t xml:space="preserve"> jsou v nejlepším zájmu dítěte.</w:t>
      </w:r>
      <w:r w:rsidRPr="00040F9B">
        <w:rPr>
          <w:rStyle w:val="Znakapoznpodarou"/>
          <w:shd w:val="clear" w:color="auto" w:fill="FFFFFF"/>
        </w:rPr>
        <w:footnoteReference w:id="46"/>
      </w:r>
    </w:p>
    <w:p w14:paraId="7534F927" w14:textId="5D349B05" w:rsidR="00CC0570" w:rsidRPr="00DC73DC" w:rsidRDefault="00CC0570" w:rsidP="00874016">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 xml:space="preserve">V průběhu jednání soud posuzuje otázku, zda skutečně došlo k neoprávněnému odebrání nebo zadržení dítěte (§478). </w:t>
      </w:r>
      <w:r w:rsidR="00F156F4" w:rsidRPr="00DC73DC">
        <w:rPr>
          <w:shd w:val="clear" w:color="auto" w:fill="FFFFFF"/>
        </w:rPr>
        <w:t>Soud se tedy zabývá odpůrcem tvrzenými a prokazovanými důvody, na které</w:t>
      </w:r>
      <w:r w:rsidR="0029143F">
        <w:rPr>
          <w:shd w:val="clear" w:color="auto" w:fill="FFFFFF"/>
        </w:rPr>
        <w:t xml:space="preserve"> </w:t>
      </w:r>
      <w:r w:rsidR="00F156F4" w:rsidRPr="00DC73DC">
        <w:rPr>
          <w:shd w:val="clear" w:color="auto" w:fill="FFFFFF"/>
        </w:rPr>
        <w:t>se však nevztahuje zásada vyšetřo</w:t>
      </w:r>
      <w:r w:rsidR="008774BA">
        <w:rPr>
          <w:shd w:val="clear" w:color="auto" w:fill="FFFFFF"/>
        </w:rPr>
        <w:t>vací. To vyplývá nejen z textu Haagské ú</w:t>
      </w:r>
      <w:r w:rsidR="00F156F4" w:rsidRPr="00DC73DC">
        <w:rPr>
          <w:shd w:val="clear" w:color="auto" w:fill="FFFFFF"/>
        </w:rPr>
        <w:t>mluvy, ale také z</w:t>
      </w:r>
      <w:r w:rsidR="008A3B4C" w:rsidRPr="00DC73DC">
        <w:rPr>
          <w:shd w:val="clear" w:color="auto" w:fill="FFFFFF"/>
        </w:rPr>
        <w:t> </w:t>
      </w:r>
      <w:r w:rsidR="00F156F4" w:rsidRPr="00DC73DC">
        <w:rPr>
          <w:shd w:val="clear" w:color="auto" w:fill="FFFFFF"/>
        </w:rPr>
        <w:t>judikatury.</w:t>
      </w:r>
      <w:r w:rsidR="008A3B4C" w:rsidRPr="00DC73DC">
        <w:rPr>
          <w:shd w:val="clear" w:color="auto" w:fill="FFFFFF"/>
        </w:rPr>
        <w:t xml:space="preserve"> Důvody musí spočívat v nevykonané péči navrhovatelem, souhlasem navrhovatele s přemístěním či zadržením a vážným nebezpečím, že by návratem bylo dítě vystaveno fyzické nebo duševní újmě, popř. se jiným způsobem dostalo do nesnesitelné</w:t>
      </w:r>
      <w:r w:rsidR="008774BA">
        <w:rPr>
          <w:shd w:val="clear" w:color="auto" w:fill="FFFFFF"/>
        </w:rPr>
        <w:t xml:space="preserve"> situace, jak hovoří čl.</w:t>
      </w:r>
      <w:r w:rsidR="00760AFC">
        <w:rPr>
          <w:shd w:val="clear" w:color="auto" w:fill="FFFFFF"/>
        </w:rPr>
        <w:t xml:space="preserve"> </w:t>
      </w:r>
      <w:r w:rsidR="008774BA">
        <w:rPr>
          <w:shd w:val="clear" w:color="auto" w:fill="FFFFFF"/>
        </w:rPr>
        <w:t xml:space="preserve">13 Haagské </w:t>
      </w:r>
      <w:r w:rsidR="008A3B4C" w:rsidRPr="00DC73DC">
        <w:rPr>
          <w:shd w:val="clear" w:color="auto" w:fill="FFFFFF"/>
        </w:rPr>
        <w:t>mluvy.</w:t>
      </w:r>
      <w:r w:rsidR="00F156F4" w:rsidRPr="00DC73DC">
        <w:rPr>
          <w:rStyle w:val="Znakapoznpodarou"/>
          <w:shd w:val="clear" w:color="auto" w:fill="FFFFFF"/>
        </w:rPr>
        <w:footnoteReference w:id="47"/>
      </w:r>
      <w:r w:rsidR="00F156F4" w:rsidRPr="00DC73DC">
        <w:rPr>
          <w:shd w:val="clear" w:color="auto" w:fill="FFFFFF"/>
        </w:rPr>
        <w:t xml:space="preserve"> </w:t>
      </w:r>
    </w:p>
    <w:p w14:paraId="0C4754B7" w14:textId="36A5AE99" w:rsidR="00DE2885" w:rsidRPr="00DC73DC" w:rsidRDefault="00DE2885" w:rsidP="00874016">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V případě výslechu navrhovatele je nutné zajistit</w:t>
      </w:r>
      <w:r w:rsidR="00CA1AE2">
        <w:rPr>
          <w:shd w:val="clear" w:color="auto" w:fill="FFFFFF"/>
        </w:rPr>
        <w:t xml:space="preserve"> jeho</w:t>
      </w:r>
      <w:r w:rsidRPr="00DC73DC">
        <w:rPr>
          <w:shd w:val="clear" w:color="auto" w:fill="FFFFFF"/>
        </w:rPr>
        <w:t xml:space="preserve"> výslech postupem </w:t>
      </w:r>
      <w:r w:rsidR="001B47E3">
        <w:rPr>
          <w:shd w:val="clear" w:color="auto" w:fill="FFFFFF"/>
        </w:rPr>
        <w:t>podle</w:t>
      </w:r>
      <w:r w:rsidRPr="00DC73DC">
        <w:rPr>
          <w:shd w:val="clear" w:color="auto" w:fill="FFFFFF"/>
        </w:rPr>
        <w:t xml:space="preserve"> nařízení Rady (ES) č. 1206/2001 o spolupráci soudů členských států při dokazování v občanských nebo obchodních věcech, nachází-li se navrhovatel v jiném členském státě.</w:t>
      </w:r>
      <w:r w:rsidRPr="00DC73DC">
        <w:rPr>
          <w:rStyle w:val="Znakapoznpodarou"/>
          <w:shd w:val="clear" w:color="auto" w:fill="FFFFFF"/>
        </w:rPr>
        <w:footnoteReference w:id="48"/>
      </w:r>
      <w:r w:rsidRPr="00DC73DC">
        <w:rPr>
          <w:shd w:val="clear" w:color="auto" w:fill="FFFFFF"/>
        </w:rPr>
        <w:t xml:space="preserve"> </w:t>
      </w:r>
    </w:p>
    <w:p w14:paraId="2789BA96" w14:textId="0A5755DB" w:rsidR="00DE2885" w:rsidRPr="00DC73DC" w:rsidRDefault="00DE2885" w:rsidP="00874016">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Ve věci samé, ať již soud nařizuje navrácení dítěte nebo zamítá navrácení</w:t>
      </w:r>
      <w:r w:rsidR="008774BA">
        <w:rPr>
          <w:shd w:val="clear" w:color="auto" w:fill="FFFFFF"/>
        </w:rPr>
        <w:t xml:space="preserve">, rozhoduje soud rozsudkem </w:t>
      </w:r>
      <w:r w:rsidR="001B47E3">
        <w:rPr>
          <w:shd w:val="clear" w:color="auto" w:fill="FFFFFF"/>
        </w:rPr>
        <w:t>podle</w:t>
      </w:r>
      <w:r w:rsidR="008774BA">
        <w:rPr>
          <w:shd w:val="clear" w:color="auto" w:fill="FFFFFF"/>
        </w:rPr>
        <w:t xml:space="preserve"> §</w:t>
      </w:r>
      <w:r w:rsidRPr="00DC73DC">
        <w:rPr>
          <w:shd w:val="clear" w:color="auto" w:fill="FFFFFF"/>
        </w:rPr>
        <w:t xml:space="preserve"> 483. Pro rozhodnutí rozsudkem se použije obecné úpravy, kterou najdeme v § 152 a násl. OSŘ.</w:t>
      </w:r>
      <w:r w:rsidRPr="00DC73DC">
        <w:rPr>
          <w:rStyle w:val="Znakapoznpodarou"/>
          <w:shd w:val="clear" w:color="auto" w:fill="FFFFFF"/>
        </w:rPr>
        <w:footnoteReference w:id="49"/>
      </w:r>
    </w:p>
    <w:p w14:paraId="69C7D89E" w14:textId="2F7B01C5" w:rsidR="00DE2885" w:rsidRPr="00DC73DC" w:rsidRDefault="00DE2885" w:rsidP="00874016">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Požadavek na rychlé rozhodn</w:t>
      </w:r>
      <w:r w:rsidR="008774BA">
        <w:rPr>
          <w:shd w:val="clear" w:color="auto" w:fill="FFFFFF"/>
        </w:rPr>
        <w:t>utí ve věci samé vyplývá jak z Haagské ú</w:t>
      </w:r>
      <w:r w:rsidRPr="00DC73DC">
        <w:rPr>
          <w:shd w:val="clear" w:color="auto" w:fill="FFFFFF"/>
        </w:rPr>
        <w:t xml:space="preserve">mluvy (čl. </w:t>
      </w:r>
      <w:r w:rsidR="00A101CB" w:rsidRPr="00DC73DC">
        <w:rPr>
          <w:shd w:val="clear" w:color="auto" w:fill="FFFFFF"/>
        </w:rPr>
        <w:t>11</w:t>
      </w:r>
      <w:r w:rsidR="008774BA">
        <w:rPr>
          <w:shd w:val="clear" w:color="auto" w:fill="FFFFFF"/>
        </w:rPr>
        <w:t>), tak z N</w:t>
      </w:r>
      <w:r w:rsidRPr="00DC73DC">
        <w:rPr>
          <w:shd w:val="clear" w:color="auto" w:fill="FFFFFF"/>
        </w:rPr>
        <w:t>ařízení</w:t>
      </w:r>
      <w:r w:rsidR="008774BA">
        <w:rPr>
          <w:shd w:val="clear" w:color="auto" w:fill="FFFFFF"/>
        </w:rPr>
        <w:t xml:space="preserve"> Brusel </w:t>
      </w:r>
      <w:proofErr w:type="spellStart"/>
      <w:r w:rsidR="008774BA">
        <w:rPr>
          <w:shd w:val="clear" w:color="auto" w:fill="FFFFFF"/>
        </w:rPr>
        <w:t>IIa</w:t>
      </w:r>
      <w:proofErr w:type="spellEnd"/>
      <w:r w:rsidRPr="00DC73DC">
        <w:rPr>
          <w:shd w:val="clear" w:color="auto" w:fill="FFFFFF"/>
        </w:rPr>
        <w:t xml:space="preserve"> (čl. 11/3). Souvisí se zájmy dítěte, jelikož časové pro</w:t>
      </w:r>
      <w:r w:rsidR="001B47E3">
        <w:rPr>
          <w:shd w:val="clear" w:color="auto" w:fill="FFFFFF"/>
        </w:rPr>
        <w:t>dle</w:t>
      </w:r>
      <w:r w:rsidRPr="00DC73DC">
        <w:rPr>
          <w:shd w:val="clear" w:color="auto" w:fill="FFFFFF"/>
        </w:rPr>
        <w:t xml:space="preserve">vy </w:t>
      </w:r>
      <w:r w:rsidR="00CA1AE2">
        <w:rPr>
          <w:shd w:val="clear" w:color="auto" w:fill="FFFFFF"/>
        </w:rPr>
        <w:t>ovlivňují</w:t>
      </w:r>
      <w:r w:rsidRPr="00DC73DC">
        <w:rPr>
          <w:shd w:val="clear" w:color="auto" w:fill="FFFFFF"/>
        </w:rPr>
        <w:t xml:space="preserve"> vývoj vztahu dítěte a navrhovatele. Zdržením se v praxi rozumí nejčastěji v případě, kdy je potřeba řádně prošetřit tvrzené skutečnosti rozhodné pro nenavrácení d</w:t>
      </w:r>
      <w:r w:rsidR="00A101CB" w:rsidRPr="00DC73DC">
        <w:rPr>
          <w:shd w:val="clear" w:color="auto" w:fill="FFFFFF"/>
        </w:rPr>
        <w:t>ítěte.</w:t>
      </w:r>
      <w:r w:rsidR="00A101CB" w:rsidRPr="00DC73DC">
        <w:rPr>
          <w:rStyle w:val="Znakapoznpodarou"/>
          <w:shd w:val="clear" w:color="auto" w:fill="FFFFFF"/>
        </w:rPr>
        <w:footnoteReference w:id="50"/>
      </w:r>
      <w:r w:rsidR="00E01BE4" w:rsidRPr="00DC73DC">
        <w:rPr>
          <w:shd w:val="clear" w:color="auto" w:fill="FFFFFF"/>
        </w:rPr>
        <w:t xml:space="preserve"> </w:t>
      </w:r>
    </w:p>
    <w:p w14:paraId="32CE1438" w14:textId="77777777" w:rsidR="003E0B4D" w:rsidRPr="00DC73DC" w:rsidRDefault="003E0B4D" w:rsidP="00874016">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 xml:space="preserve">V daném řízení se však soud nezabývá otázkou péče a styku s dítětem, řeší pouze otázku protiprávnosti přemístění nebo zadržení dítěte a možnost navrácení do země </w:t>
      </w:r>
      <w:r w:rsidRPr="00DC73DC">
        <w:rPr>
          <w:shd w:val="clear" w:color="auto" w:fill="FFFFFF"/>
        </w:rPr>
        <w:lastRenderedPageBreak/>
        <w:t>obvyklého bydliště. To však může být podmíněno splněním nějaké podmínky a rozsah těchto podmínek lze vyčíst z dostupné české i zahraniční judikatury.</w:t>
      </w:r>
      <w:r w:rsidRPr="00DC73DC">
        <w:rPr>
          <w:rStyle w:val="Znakapoznpodarou"/>
          <w:shd w:val="clear" w:color="auto" w:fill="FFFFFF"/>
        </w:rPr>
        <w:footnoteReference w:id="51"/>
      </w:r>
    </w:p>
    <w:p w14:paraId="26EA749F" w14:textId="2E663015" w:rsidR="00645595" w:rsidRPr="00DC73DC" w:rsidRDefault="006573AE" w:rsidP="00C578B0">
      <w:pPr>
        <w:pStyle w:val="Nadpis3"/>
        <w:numPr>
          <w:ilvl w:val="2"/>
          <w:numId w:val="5"/>
        </w:numPr>
        <w:spacing w:line="360" w:lineRule="auto"/>
        <w:jc w:val="both"/>
        <w:rPr>
          <w:rFonts w:cs="Times New Roman"/>
          <w:shd w:val="clear" w:color="auto" w:fill="FFFFFF"/>
        </w:rPr>
      </w:pPr>
      <w:bookmarkStart w:id="24" w:name="_Toc364927622"/>
      <w:bookmarkStart w:id="25" w:name="_Toc491117218"/>
      <w:r w:rsidRPr="00DC73DC">
        <w:rPr>
          <w:rFonts w:cs="Times New Roman"/>
          <w:shd w:val="clear" w:color="auto" w:fill="FFFFFF"/>
        </w:rPr>
        <w:t xml:space="preserve">Ustanovení </w:t>
      </w:r>
      <w:r w:rsidR="00887CCB">
        <w:rPr>
          <w:rFonts w:cs="Times New Roman"/>
          <w:shd w:val="clear" w:color="auto" w:fill="FFFFFF"/>
        </w:rPr>
        <w:t>ZŘS</w:t>
      </w:r>
      <w:r w:rsidR="0029143F">
        <w:rPr>
          <w:rFonts w:cs="Times New Roman"/>
          <w:shd w:val="clear" w:color="auto" w:fill="FFFFFF"/>
        </w:rPr>
        <w:t xml:space="preserve"> </w:t>
      </w:r>
      <w:r w:rsidRPr="00DC73DC">
        <w:rPr>
          <w:rFonts w:cs="Times New Roman"/>
          <w:shd w:val="clear" w:color="auto" w:fill="FFFFFF"/>
        </w:rPr>
        <w:t>ve světle judikatury</w:t>
      </w:r>
      <w:bookmarkEnd w:id="24"/>
      <w:bookmarkEnd w:id="25"/>
    </w:p>
    <w:p w14:paraId="0B88CE28" w14:textId="140355AF" w:rsidR="00642C6B" w:rsidRPr="00DC73DC" w:rsidRDefault="00DF4247" w:rsidP="0067576D">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 xml:space="preserve">K shora zmíněnému ustanovení § 478 a násl. </w:t>
      </w:r>
      <w:r w:rsidR="00887CCB">
        <w:rPr>
          <w:shd w:val="clear" w:color="auto" w:fill="FFFFFF"/>
        </w:rPr>
        <w:t>ZŘS</w:t>
      </w:r>
      <w:r w:rsidRPr="00DC73DC">
        <w:rPr>
          <w:shd w:val="clear" w:color="auto" w:fill="FFFFFF"/>
        </w:rPr>
        <w:t xml:space="preserve">. se vyjádřil i Krajský </w:t>
      </w:r>
      <w:r w:rsidR="00EF1B3D">
        <w:rPr>
          <w:shd w:val="clear" w:color="auto" w:fill="FFFFFF"/>
        </w:rPr>
        <w:t>soud v Brně ve svém rozhodnutí v květnu</w:t>
      </w:r>
      <w:r w:rsidRPr="00DC73DC">
        <w:rPr>
          <w:shd w:val="clear" w:color="auto" w:fill="FFFFFF"/>
        </w:rPr>
        <w:t xml:space="preserve"> tohoto roku. Stanovil, že účelem tohoto ustanovení je vytvoření procesních předpokladů k zabránění únosů dětí a současně by mělo sloužit k umožnění navrácení dítěte do místa jeho obvyklého bydliště tak, jak to vyžaduje</w:t>
      </w:r>
      <w:r w:rsidR="008774BA">
        <w:rPr>
          <w:shd w:val="clear" w:color="auto" w:fill="FFFFFF"/>
        </w:rPr>
        <w:t xml:space="preserve"> </w:t>
      </w:r>
      <w:r w:rsidRPr="00DC73DC">
        <w:rPr>
          <w:shd w:val="clear" w:color="auto" w:fill="FFFFFF"/>
        </w:rPr>
        <w:t>Haagská úmlu</w:t>
      </w:r>
      <w:r w:rsidR="008774BA">
        <w:rPr>
          <w:shd w:val="clear" w:color="auto" w:fill="FFFFFF"/>
        </w:rPr>
        <w:t>va</w:t>
      </w:r>
      <w:r w:rsidRPr="00DC73DC">
        <w:rPr>
          <w:shd w:val="clear" w:color="auto" w:fill="FFFFFF"/>
        </w:rPr>
        <w:t xml:space="preserve">, resp. Nařízení Brusel </w:t>
      </w:r>
      <w:proofErr w:type="spellStart"/>
      <w:r w:rsidRPr="00DC73DC">
        <w:rPr>
          <w:shd w:val="clear" w:color="auto" w:fill="FFFFFF"/>
        </w:rPr>
        <w:t>II</w:t>
      </w:r>
      <w:r w:rsidR="005E083F">
        <w:rPr>
          <w:shd w:val="clear" w:color="auto" w:fill="FFFFFF"/>
        </w:rPr>
        <w:t>a</w:t>
      </w:r>
      <w:proofErr w:type="spellEnd"/>
      <w:r w:rsidRPr="00DC73DC">
        <w:rPr>
          <w:shd w:val="clear" w:color="auto" w:fill="FFFFFF"/>
        </w:rPr>
        <w:t>.</w:t>
      </w:r>
      <w:r w:rsidR="0029143F">
        <w:rPr>
          <w:shd w:val="clear" w:color="auto" w:fill="FFFFFF"/>
        </w:rPr>
        <w:t xml:space="preserve"> </w:t>
      </w:r>
      <w:r w:rsidR="00642C6B" w:rsidRPr="00DC73DC">
        <w:rPr>
          <w:shd w:val="clear" w:color="auto" w:fill="FFFFFF"/>
        </w:rPr>
        <w:t>V</w:t>
      </w:r>
      <w:r w:rsidR="004A5AB1">
        <w:rPr>
          <w:shd w:val="clear" w:color="auto" w:fill="FFFFFF"/>
        </w:rPr>
        <w:t xml:space="preserve"> tomto</w:t>
      </w:r>
      <w:r w:rsidR="00642C6B" w:rsidRPr="00DC73DC">
        <w:rPr>
          <w:shd w:val="clear" w:color="auto" w:fill="FFFFFF"/>
        </w:rPr>
        <w:t> řízení</w:t>
      </w:r>
      <w:r w:rsidR="004A5AB1">
        <w:rPr>
          <w:shd w:val="clear" w:color="auto" w:fill="FFFFFF"/>
        </w:rPr>
        <w:t xml:space="preserve"> </w:t>
      </w:r>
      <w:r w:rsidR="00DA4F18">
        <w:rPr>
          <w:shd w:val="clear" w:color="auto" w:fill="FFFFFF"/>
        </w:rPr>
        <w:t>m</w:t>
      </w:r>
      <w:r w:rsidR="00642C6B" w:rsidRPr="00DC73DC">
        <w:rPr>
          <w:shd w:val="clear" w:color="auto" w:fill="FFFFFF"/>
        </w:rPr>
        <w:t xml:space="preserve">usí být </w:t>
      </w:r>
      <w:r w:rsidR="002E1469" w:rsidRPr="00DC73DC">
        <w:rPr>
          <w:shd w:val="clear" w:color="auto" w:fill="FFFFFF"/>
        </w:rPr>
        <w:t>primárním hlediskem nejlepší zájem dítěte, se kterým je neodmyslitelně spjato právo dítěte nebýt přemístěno od jednoho rodiče a nebýt zadržováno rodičem druhým.</w:t>
      </w:r>
      <w:r w:rsidR="00E32349" w:rsidRPr="00DC73DC">
        <w:rPr>
          <w:rStyle w:val="Znakapoznpodarou"/>
          <w:shd w:val="clear" w:color="auto" w:fill="FFFFFF"/>
        </w:rPr>
        <w:footnoteReference w:id="52"/>
      </w:r>
    </w:p>
    <w:p w14:paraId="1A599892" w14:textId="76F63FC0" w:rsidR="00E54D72" w:rsidRPr="00DC73DC" w:rsidRDefault="00E32349" w:rsidP="0067576D">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Specifickým je § 489, konkrétně odst. 2</w:t>
      </w:r>
      <w:r w:rsidR="008774BA">
        <w:rPr>
          <w:shd w:val="clear" w:color="auto" w:fill="FFFFFF"/>
        </w:rPr>
        <w:t xml:space="preserve"> </w:t>
      </w:r>
      <w:r w:rsidR="00887CCB">
        <w:rPr>
          <w:shd w:val="clear" w:color="auto" w:fill="FFFFFF"/>
        </w:rPr>
        <w:t>ZŘS</w:t>
      </w:r>
      <w:r w:rsidRPr="00DC73DC">
        <w:rPr>
          <w:shd w:val="clear" w:color="auto" w:fill="FFFFFF"/>
        </w:rPr>
        <w:t xml:space="preserve">, k jehož výkladu se vyjádřil i Ústavní soud České republiky. § 489 </w:t>
      </w:r>
      <w:r w:rsidR="00887CCB">
        <w:rPr>
          <w:shd w:val="clear" w:color="auto" w:fill="FFFFFF"/>
        </w:rPr>
        <w:t>ZŘS</w:t>
      </w:r>
      <w:r w:rsidR="008774BA">
        <w:rPr>
          <w:shd w:val="clear" w:color="auto" w:fill="FFFFFF"/>
        </w:rPr>
        <w:t xml:space="preserve"> </w:t>
      </w:r>
      <w:r w:rsidRPr="00DC73DC">
        <w:rPr>
          <w:shd w:val="clear" w:color="auto" w:fill="FFFFFF"/>
        </w:rPr>
        <w:t>stanoví, že:</w:t>
      </w:r>
    </w:p>
    <w:p w14:paraId="7A3EC9D0" w14:textId="77777777" w:rsidR="00E32349" w:rsidRPr="00DC73DC" w:rsidRDefault="00E32349" w:rsidP="00F76295">
      <w:pPr>
        <w:pStyle w:val="detail-odstavec"/>
        <w:shd w:val="clear" w:color="auto" w:fill="FFFFFF"/>
        <w:spacing w:before="0" w:beforeAutospacing="0" w:after="0" w:afterAutospacing="0" w:line="360" w:lineRule="auto"/>
        <w:jc w:val="both"/>
        <w:rPr>
          <w:i/>
          <w:shd w:val="clear" w:color="auto" w:fill="FFFFFF"/>
        </w:rPr>
      </w:pPr>
      <w:r w:rsidRPr="00DC73DC">
        <w:rPr>
          <w:i/>
          <w:shd w:val="clear" w:color="auto" w:fill="FFFFFF"/>
        </w:rPr>
        <w:t>„(1) Nejsou-li dány důvody zvláštního zřetele hodné, vydá soud rozhodnutí ve věci samé zpravidla do 6 týdnů od zahájení řízení; vydá-li soud rozhodnutí po uplynutí této lhůty, uvede v odůvodnění rozhodnutí skutečnosti, pro které nebylo možné tuto lhůtu dodržet.</w:t>
      </w:r>
    </w:p>
    <w:p w14:paraId="55D13A48" w14:textId="77777777" w:rsidR="00E32349" w:rsidRPr="00DC73DC" w:rsidRDefault="00E32349" w:rsidP="00F76295">
      <w:pPr>
        <w:pStyle w:val="detail-odstavec"/>
        <w:shd w:val="clear" w:color="auto" w:fill="FFFFFF"/>
        <w:spacing w:before="0" w:beforeAutospacing="0" w:after="0" w:afterAutospacing="0" w:line="360" w:lineRule="auto"/>
        <w:jc w:val="both"/>
        <w:rPr>
          <w:i/>
          <w:shd w:val="clear" w:color="auto" w:fill="FFFFFF"/>
        </w:rPr>
      </w:pPr>
      <w:r w:rsidRPr="00DC73DC">
        <w:rPr>
          <w:i/>
          <w:shd w:val="clear" w:color="auto" w:fill="FFFFFF"/>
        </w:rPr>
        <w:t>(2) Soud může v rozhodnutí podmínit nebo podmíněně odložit navrácení dítěte a to splněním přiměřených záruk navrhovatelem nebo vydáním rozhodnutí anebo učiněním jiných opatření orgány státu, do něhož má být dítě navráceno.“</w:t>
      </w:r>
    </w:p>
    <w:p w14:paraId="56B5B099" w14:textId="13AD172F" w:rsidR="00E54D72" w:rsidRPr="00DC73DC" w:rsidRDefault="001B47E3" w:rsidP="00F76295">
      <w:pPr>
        <w:pStyle w:val="detail-odstavec"/>
        <w:shd w:val="clear" w:color="auto" w:fill="FFFFFF"/>
        <w:spacing w:before="0" w:beforeAutospacing="0" w:after="0" w:afterAutospacing="0" w:line="360" w:lineRule="auto"/>
        <w:ind w:firstLine="709"/>
        <w:jc w:val="both"/>
        <w:rPr>
          <w:b/>
          <w:shd w:val="clear" w:color="auto" w:fill="FFFFFF"/>
        </w:rPr>
      </w:pPr>
      <w:r>
        <w:rPr>
          <w:shd w:val="clear" w:color="auto" w:fill="FFFFFF"/>
        </w:rPr>
        <w:t>Podle</w:t>
      </w:r>
      <w:r w:rsidR="00E54D72" w:rsidRPr="00DC73DC">
        <w:rPr>
          <w:shd w:val="clear" w:color="auto" w:fill="FFFFFF"/>
        </w:rPr>
        <w:t xml:space="preserve"> Ústavního soudu nemůže být návrat přemístěného dítěte do místa jeho obvyklého bydliště nařízen automaticky a mechanicky, tedy bez ohledu na zájmy dotčeného nezletilého dítěte a přikazuje respektovat nejlepší zájem dítěte, jakožto rozhodující prvek při rozhodování o samotném přemístění dítěte. Současně stanovil požadavek, aby byl stanoven takový postup a opatření, které vyloučí, anebo přinejmenším zmírní negativní dopady na psychický vývoj nezletilého dítěte spojené s destabilizací jeho výchovného prostředí v důsledku tohoto opětovného přemístění z aktuálního bydliště zpět do místa svého obvyklého bydliště. Právě za tímto</w:t>
      </w:r>
      <w:r w:rsidR="00380357">
        <w:rPr>
          <w:shd w:val="clear" w:color="auto" w:fill="FFFFFF"/>
        </w:rPr>
        <w:t xml:space="preserve"> účelem by měla sloužit úprava v</w:t>
      </w:r>
      <w:r w:rsidR="00E54D72" w:rsidRPr="00DC73DC">
        <w:rPr>
          <w:shd w:val="clear" w:color="auto" w:fill="FFFFFF"/>
        </w:rPr>
        <w:t xml:space="preserve"> </w:t>
      </w:r>
      <w:r w:rsidR="00380357">
        <w:rPr>
          <w:shd w:val="clear" w:color="auto" w:fill="FFFFFF"/>
        </w:rPr>
        <w:t>odst. 2 zmíněného paragrafu, který</w:t>
      </w:r>
      <w:r w:rsidR="00E54D72" w:rsidRPr="00DC73DC">
        <w:rPr>
          <w:shd w:val="clear" w:color="auto" w:fill="FFFFFF"/>
        </w:rPr>
        <w:t xml:space="preserve"> zakotvuje nástroj v podobě záruk, jejichž stanovením a splněním lze podmínit navrácení nezletilého dítěte do místa jeho obvyklého bydliště. </w:t>
      </w:r>
      <w:r>
        <w:rPr>
          <w:shd w:val="clear" w:color="auto" w:fill="FFFFFF"/>
        </w:rPr>
        <w:t>Podle</w:t>
      </w:r>
      <w:r w:rsidR="00E54D72" w:rsidRPr="00DC73DC">
        <w:rPr>
          <w:shd w:val="clear" w:color="auto" w:fill="FFFFFF"/>
        </w:rPr>
        <w:t xml:space="preserve"> soudu dané záruky neslouží k eliminování újmě hrozící dítěti, neboť </w:t>
      </w:r>
      <w:r w:rsidR="00E54D72" w:rsidRPr="008774BA">
        <w:rPr>
          <w:shd w:val="clear" w:color="auto" w:fill="FFFFFF"/>
        </w:rPr>
        <w:t>k takovému účelu slouží výjimky předvídané v Haagské úmluvě.</w:t>
      </w:r>
      <w:r w:rsidR="00E54D72" w:rsidRPr="008774BA">
        <w:rPr>
          <w:rStyle w:val="Znakapoznpodarou"/>
          <w:shd w:val="clear" w:color="auto" w:fill="FFFFFF"/>
        </w:rPr>
        <w:footnoteReference w:id="53"/>
      </w:r>
    </w:p>
    <w:p w14:paraId="1344D2A0" w14:textId="3E5D0D3D" w:rsidR="00CC3EB6" w:rsidRPr="00DC73DC" w:rsidRDefault="00CC3EB6" w:rsidP="00F76295">
      <w:pPr>
        <w:pStyle w:val="detail-odstavec"/>
        <w:shd w:val="clear" w:color="auto" w:fill="FFFFFF"/>
        <w:spacing w:before="0" w:beforeAutospacing="0" w:after="0" w:afterAutospacing="0" w:line="360" w:lineRule="auto"/>
        <w:ind w:firstLine="709"/>
        <w:jc w:val="both"/>
        <w:rPr>
          <w:shd w:val="clear" w:color="auto" w:fill="FFFFFF"/>
        </w:rPr>
      </w:pPr>
      <w:r w:rsidRPr="00DC73DC">
        <w:rPr>
          <w:shd w:val="clear" w:color="auto" w:fill="FFFFFF"/>
        </w:rPr>
        <w:lastRenderedPageBreak/>
        <w:t xml:space="preserve">Tyto výjimky můžeme najít v čl. 12 Haagské úmluvy, </w:t>
      </w:r>
      <w:r w:rsidR="00105071">
        <w:rPr>
          <w:shd w:val="clear" w:color="auto" w:fill="FFFFFF"/>
        </w:rPr>
        <w:t xml:space="preserve">podle </w:t>
      </w:r>
      <w:r w:rsidR="003765F0">
        <w:rPr>
          <w:shd w:val="clear" w:color="auto" w:fill="FFFFFF"/>
        </w:rPr>
        <w:t>něhož</w:t>
      </w:r>
      <w:r w:rsidRPr="00DC73DC">
        <w:rPr>
          <w:shd w:val="clear" w:color="auto" w:fill="FFFFFF"/>
        </w:rPr>
        <w:t xml:space="preserve"> navrácení dítěte neplatí, </w:t>
      </w:r>
      <w:r w:rsidR="003765F0">
        <w:rPr>
          <w:shd w:val="clear" w:color="auto" w:fill="FFFFFF"/>
        </w:rPr>
        <w:t>pokud</w:t>
      </w:r>
      <w:r w:rsidRPr="00DC73DC">
        <w:rPr>
          <w:shd w:val="clear" w:color="auto" w:fill="FFFFFF"/>
        </w:rPr>
        <w:t xml:space="preserve"> osoba, která se domáhala návratu, ve skuteč</w:t>
      </w:r>
      <w:r w:rsidR="006D5F52">
        <w:rPr>
          <w:shd w:val="clear" w:color="auto" w:fill="FFFFFF"/>
        </w:rPr>
        <w:t>nosti nevykonávala právo péče o </w:t>
      </w:r>
      <w:r w:rsidRPr="00DC73DC">
        <w:rPr>
          <w:shd w:val="clear" w:color="auto" w:fill="FFFFFF"/>
        </w:rPr>
        <w:t>dítě v době jeho přemístění nebo zadržení, s přemístěním nebo</w:t>
      </w:r>
      <w:r w:rsidR="003765F0">
        <w:rPr>
          <w:shd w:val="clear" w:color="auto" w:fill="FFFFFF"/>
        </w:rPr>
        <w:t xml:space="preserve"> se</w:t>
      </w:r>
      <w:r w:rsidRPr="00DC73DC">
        <w:rPr>
          <w:shd w:val="clear" w:color="auto" w:fill="FFFFFF"/>
        </w:rPr>
        <w:t xml:space="preserve"> zadržením souhlasila, či se s ním později smířila, nebo je vážné nebezpečí, že návrat by dítě vystavil fyzické nebo duševní újmě nebo se jinak dostal do nesnesitelné situace. Při hodnocení těchto okolností musí soudní a správní orgány přihlédnout k informacím o sociálním postavení dítěte, které byly poskytnuty ústředním orgánem, popř. jiným příslušným orgánem obvyklého bydliště dítěte. Návrat může být také odmítnut pro rozpor se základn</w:t>
      </w:r>
      <w:r w:rsidR="00817B30">
        <w:rPr>
          <w:shd w:val="clear" w:color="auto" w:fill="FFFFFF"/>
        </w:rPr>
        <w:t>ími zásadami dožádaného státu o </w:t>
      </w:r>
      <w:r w:rsidRPr="00DC73DC">
        <w:rPr>
          <w:shd w:val="clear" w:color="auto" w:fill="FFFFFF"/>
        </w:rPr>
        <w:t>ochraně lidských práv a základních svobod, jak stanoví článek 20.</w:t>
      </w:r>
      <w:r w:rsidRPr="00DC73DC">
        <w:rPr>
          <w:rStyle w:val="Znakapoznpodarou"/>
          <w:shd w:val="clear" w:color="auto" w:fill="FFFFFF"/>
        </w:rPr>
        <w:footnoteReference w:id="54"/>
      </w:r>
    </w:p>
    <w:p w14:paraId="5250ECF6" w14:textId="69685489" w:rsidR="00E32349" w:rsidRPr="00DC73DC" w:rsidRDefault="0030452F" w:rsidP="00F76295">
      <w:pPr>
        <w:pStyle w:val="detail-odstavec"/>
        <w:shd w:val="clear" w:color="auto" w:fill="FFFFFF"/>
        <w:spacing w:before="0" w:beforeAutospacing="0" w:after="0" w:afterAutospacing="0" w:line="360" w:lineRule="auto"/>
        <w:jc w:val="both"/>
        <w:rPr>
          <w:shd w:val="clear" w:color="auto" w:fill="FFFFFF"/>
        </w:rPr>
      </w:pPr>
      <w:r w:rsidRPr="00DC73DC">
        <w:rPr>
          <w:shd w:val="clear" w:color="auto" w:fill="FFFFFF"/>
        </w:rPr>
        <w:tab/>
        <w:t xml:space="preserve">V konkrétním případě se stěžovatel obracel na Ústavní soud, jelikož byl návrat dítěte podmíněn zárukami v podobě finančního zajištění dítěte i matky, dokud by nebyly rozhodnuty právní poměry k dítěti. Stěžovatel se proti tomu bránil s argumentem, že stanovením záruk došlo k porušení jeho základních práv a </w:t>
      </w:r>
      <w:r w:rsidR="001B47E3">
        <w:rPr>
          <w:shd w:val="clear" w:color="auto" w:fill="FFFFFF"/>
        </w:rPr>
        <w:t>podle</w:t>
      </w:r>
      <w:r w:rsidRPr="00DC73DC">
        <w:rPr>
          <w:shd w:val="clear" w:color="auto" w:fill="FFFFFF"/>
        </w:rPr>
        <w:t xml:space="preserve"> jeho slov záruky nesledovaly legitimní cíl či neexistoval vztah přiměřenosti. </w:t>
      </w:r>
      <w:r w:rsidR="008D2EF8" w:rsidRPr="00DC73DC">
        <w:rPr>
          <w:shd w:val="clear" w:color="auto" w:fill="FFFFFF"/>
        </w:rPr>
        <w:t xml:space="preserve">To však </w:t>
      </w:r>
      <w:r w:rsidR="001B47E3">
        <w:rPr>
          <w:shd w:val="clear" w:color="auto" w:fill="FFFFFF"/>
        </w:rPr>
        <w:t>podle</w:t>
      </w:r>
      <w:r w:rsidR="008D2EF8" w:rsidRPr="00DC73DC">
        <w:rPr>
          <w:shd w:val="clear" w:color="auto" w:fill="FFFFFF"/>
        </w:rPr>
        <w:t xml:space="preserve"> Ústavního soudu spadá pod činnost obecných soudů, nicméně kladl důraz na splnění základního postulátu řízení o úpravě poměrů</w:t>
      </w:r>
      <w:r w:rsidR="0029143F">
        <w:rPr>
          <w:shd w:val="clear" w:color="auto" w:fill="FFFFFF"/>
        </w:rPr>
        <w:t xml:space="preserve"> </w:t>
      </w:r>
      <w:r w:rsidR="008D2EF8" w:rsidRPr="00DC73DC">
        <w:rPr>
          <w:shd w:val="clear" w:color="auto" w:fill="FFFFFF"/>
        </w:rPr>
        <w:t>dětem, aby přijatá opatření byla vždy v nejlepším zájmu dítěte a záruk obsažené ve shora uvedeném ustanovení, které jsou konformní a slouží ke zmírnění negativních dopadů na psychický vývoj dítěte.</w:t>
      </w:r>
      <w:r w:rsidR="008D2EF8" w:rsidRPr="00DC73DC">
        <w:rPr>
          <w:rStyle w:val="Znakapoznpodarou"/>
          <w:shd w:val="clear" w:color="auto" w:fill="FFFFFF"/>
        </w:rPr>
        <w:footnoteReference w:id="55"/>
      </w:r>
    </w:p>
    <w:p w14:paraId="059F72FC" w14:textId="66D663FB" w:rsidR="00A101CB" w:rsidRPr="00DC73DC" w:rsidRDefault="00A101CB" w:rsidP="00F76295">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 xml:space="preserve">Záruky se liší případ od případu, může se také např. jednat o opatření chránící před domácím násilím, bylo-li vysloveno podezření či se může jednat o zabezpečení životních potřeb. Tato záruka může být nabídnuta i samotným navrhovatelem a může spočívat </w:t>
      </w:r>
      <w:r w:rsidR="009747B7">
        <w:rPr>
          <w:shd w:val="clear" w:color="auto" w:fill="FFFFFF"/>
        </w:rPr>
        <w:t>příkladně</w:t>
      </w:r>
      <w:r w:rsidRPr="00DC73DC">
        <w:rPr>
          <w:shd w:val="clear" w:color="auto" w:fill="FFFFFF"/>
        </w:rPr>
        <w:t xml:space="preserve"> v tom, že se navrhovatel zaváže neiniciovat trestní stíhání druhého rodiče, nevynucovat po návratu dítěte dřívější rozhodnutí o péči o dítě apod.</w:t>
      </w:r>
      <w:r w:rsidRPr="00DC73DC">
        <w:rPr>
          <w:rStyle w:val="Znakapoznpodarou"/>
          <w:shd w:val="clear" w:color="auto" w:fill="FFFFFF"/>
        </w:rPr>
        <w:footnoteReference w:id="56"/>
      </w:r>
      <w:r w:rsidRPr="00DC73DC">
        <w:rPr>
          <w:shd w:val="clear" w:color="auto" w:fill="FFFFFF"/>
        </w:rPr>
        <w:t xml:space="preserve"> Záruky však musí být reálné a pouhý slib navrhovatele není dostačující.</w:t>
      </w:r>
      <w:r w:rsidRPr="00DC73DC">
        <w:rPr>
          <w:rStyle w:val="Znakapoznpodarou"/>
          <w:shd w:val="clear" w:color="auto" w:fill="FFFFFF"/>
        </w:rPr>
        <w:footnoteReference w:id="57"/>
      </w:r>
    </w:p>
    <w:p w14:paraId="65BE95CD" w14:textId="732DF15D" w:rsidR="00BF7785" w:rsidRPr="00DC73DC" w:rsidRDefault="00BF7785" w:rsidP="00F76295">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K fungování těchto podmínek a záruk slouží institut styčného soudce, jež jsem zmínila již výše.</w:t>
      </w:r>
      <w:r w:rsidRPr="00DC73DC">
        <w:rPr>
          <w:rStyle w:val="Znakapoznpodarou"/>
          <w:shd w:val="clear" w:color="auto" w:fill="FFFFFF"/>
        </w:rPr>
        <w:footnoteReference w:id="58"/>
      </w:r>
      <w:r w:rsidR="00E01BE4" w:rsidRPr="00DC73DC">
        <w:rPr>
          <w:shd w:val="clear" w:color="auto" w:fill="FFFFFF"/>
        </w:rPr>
        <w:t xml:space="preserve"> </w:t>
      </w:r>
    </w:p>
    <w:p w14:paraId="3CCF2E3F" w14:textId="2DD592A2" w:rsidR="00E01BE4" w:rsidRPr="00DC73DC" w:rsidRDefault="00E01BE4" w:rsidP="00F76295">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Návrh na</w:t>
      </w:r>
      <w:r w:rsidR="00BE5FF8">
        <w:rPr>
          <w:shd w:val="clear" w:color="auto" w:fill="FFFFFF"/>
        </w:rPr>
        <w:t xml:space="preserve"> zřízení styčných soudců byl po</w:t>
      </w:r>
      <w:r w:rsidRPr="00DC73DC">
        <w:rPr>
          <w:shd w:val="clear" w:color="auto" w:fill="FFFFFF"/>
        </w:rPr>
        <w:t>p</w:t>
      </w:r>
      <w:r w:rsidR="00BE5FF8">
        <w:rPr>
          <w:shd w:val="clear" w:color="auto" w:fill="FFFFFF"/>
        </w:rPr>
        <w:t>r</w:t>
      </w:r>
      <w:r w:rsidRPr="00DC73DC">
        <w:rPr>
          <w:shd w:val="clear" w:color="auto" w:fill="FFFFFF"/>
        </w:rPr>
        <w:t xml:space="preserve">vé navržen LJ </w:t>
      </w:r>
      <w:proofErr w:type="spellStart"/>
      <w:r w:rsidRPr="00DC73DC">
        <w:rPr>
          <w:shd w:val="clear" w:color="auto" w:fill="FFFFFF"/>
        </w:rPr>
        <w:t>Mathew</w:t>
      </w:r>
      <w:proofErr w:type="spellEnd"/>
      <w:r w:rsidRPr="00DC73DC">
        <w:rPr>
          <w:shd w:val="clear" w:color="auto" w:fill="FFFFFF"/>
        </w:rPr>
        <w:t xml:space="preserve"> </w:t>
      </w:r>
      <w:proofErr w:type="spellStart"/>
      <w:r w:rsidRPr="00DC73DC">
        <w:rPr>
          <w:shd w:val="clear" w:color="auto" w:fill="FFFFFF"/>
        </w:rPr>
        <w:t>Thorpem</w:t>
      </w:r>
      <w:proofErr w:type="spellEnd"/>
      <w:r w:rsidRPr="00DC73DC">
        <w:rPr>
          <w:shd w:val="clear" w:color="auto" w:fill="FFFFFF"/>
        </w:rPr>
        <w:t>, což byl soudce Vrchního soudu v Londýně, v roce 1998 na semináři pořádaném pro soudce zabývajícími se mezinárodní právní ochranou dětí. Styčný soudce měl zejména komunikovat a usna</w:t>
      </w:r>
      <w:r w:rsidR="00BE5FF8">
        <w:rPr>
          <w:shd w:val="clear" w:color="auto" w:fill="FFFFFF"/>
        </w:rPr>
        <w:t>dňovat styk s národními orgány Haagské ú</w:t>
      </w:r>
      <w:r w:rsidRPr="00DC73DC">
        <w:rPr>
          <w:shd w:val="clear" w:color="auto" w:fill="FFFFFF"/>
        </w:rPr>
        <w:t>mluvy, s národními soudc</w:t>
      </w:r>
      <w:r w:rsidR="00BE5FF8">
        <w:rPr>
          <w:shd w:val="clear" w:color="auto" w:fill="FFFFFF"/>
        </w:rPr>
        <w:t xml:space="preserve">i a soudci ze </w:t>
      </w:r>
      <w:r w:rsidR="00BE5FF8">
        <w:rPr>
          <w:shd w:val="clear" w:color="auto" w:fill="FFFFFF"/>
        </w:rPr>
        <w:lastRenderedPageBreak/>
        <w:t xml:space="preserve">smluvních strach Haagské úmluvy v otázkách, které </w:t>
      </w:r>
      <w:r w:rsidRPr="00DC73DC">
        <w:rPr>
          <w:shd w:val="clear" w:color="auto" w:fill="FFFFFF"/>
        </w:rPr>
        <w:t>pokrývá. V říjnu roku 2006 zahrnovala 20 soudců z 18 jurisdikcí. Na základě zkušeností z jednotlivých států, ve kterých byl tento institut zaveden, se ukázalo, že přímá mezinárodní spolupráce mezi soudci je užitečná při řešení některých praktických otázek provázející navrácení dítěte. Dále mohou napomáhat ke smírnému ukončení řízení před soudem dožádaného státu, kdy prostřednictvím styčného soudce mohou soudy odstraňovat praktické překážky bránící navrácení dítěte, mohou pomoci zajistit, že urychlené navrácení proběhne v bezpečných podmínkách pro dítě i doprovázejícího rodiče</w:t>
      </w:r>
      <w:r w:rsidR="003C76B2" w:rsidRPr="00DC73DC">
        <w:rPr>
          <w:shd w:val="clear" w:color="auto" w:fill="FFFFFF"/>
        </w:rPr>
        <w:t xml:space="preserve"> a také mohou připravovat cestu pro řízení o výchově dítěte v zemi, kam je vráceno. Zejména se jedná o pomoc v řízení </w:t>
      </w:r>
      <w:r w:rsidR="001B47E3">
        <w:rPr>
          <w:shd w:val="clear" w:color="auto" w:fill="FFFFFF"/>
        </w:rPr>
        <w:t>podle</w:t>
      </w:r>
      <w:r w:rsidR="0079425F">
        <w:rPr>
          <w:shd w:val="clear" w:color="auto" w:fill="FFFFFF"/>
        </w:rPr>
        <w:t xml:space="preserve"> </w:t>
      </w:r>
      <w:r w:rsidR="003C76B2" w:rsidRPr="00DC73DC">
        <w:rPr>
          <w:shd w:val="clear" w:color="auto" w:fill="FFFFFF"/>
        </w:rPr>
        <w:t xml:space="preserve">čl. 13 písm. b) Haagské úmluvy, respektive čl. </w:t>
      </w:r>
      <w:r w:rsidR="00BE5FF8">
        <w:rPr>
          <w:shd w:val="clear" w:color="auto" w:fill="FFFFFF"/>
        </w:rPr>
        <w:t xml:space="preserve">11 odst. 4 Nařízení Brusel </w:t>
      </w:r>
      <w:proofErr w:type="spellStart"/>
      <w:r w:rsidR="00BE5FF8">
        <w:rPr>
          <w:shd w:val="clear" w:color="auto" w:fill="FFFFFF"/>
        </w:rPr>
        <w:t>IIa</w:t>
      </w:r>
      <w:proofErr w:type="spellEnd"/>
      <w:r w:rsidR="003C76B2" w:rsidRPr="00DC73DC">
        <w:rPr>
          <w:shd w:val="clear" w:color="auto" w:fill="FFFFFF"/>
        </w:rPr>
        <w:t>. Vhodná opatření mohou mít podobu různých záruk, jak jsem zmínila v předchozím odstavci.</w:t>
      </w:r>
      <w:r w:rsidR="003C76B2" w:rsidRPr="00DC73DC">
        <w:rPr>
          <w:rStyle w:val="Znakapoznpodarou"/>
          <w:shd w:val="clear" w:color="auto" w:fill="FFFFFF"/>
        </w:rPr>
        <w:footnoteReference w:id="59"/>
      </w:r>
      <w:r w:rsidR="003C76B2" w:rsidRPr="00DC73DC">
        <w:rPr>
          <w:shd w:val="clear" w:color="auto" w:fill="FFFFFF"/>
        </w:rPr>
        <w:t xml:space="preserve"> </w:t>
      </w:r>
    </w:p>
    <w:p w14:paraId="247BF7D7" w14:textId="08386C4D" w:rsidR="0079425F" w:rsidRPr="009E2F35" w:rsidRDefault="003C76B2" w:rsidP="009E2F35">
      <w:pPr>
        <w:pStyle w:val="detail-odstavec"/>
        <w:shd w:val="clear" w:color="auto" w:fill="FFFFFF"/>
        <w:spacing w:before="0" w:beforeAutospacing="0" w:after="0" w:afterAutospacing="0" w:line="360" w:lineRule="auto"/>
        <w:ind w:firstLine="720"/>
        <w:jc w:val="both"/>
        <w:rPr>
          <w:shd w:val="clear" w:color="auto" w:fill="FFFFFF"/>
        </w:rPr>
      </w:pPr>
      <w:r w:rsidRPr="00DC73DC">
        <w:rPr>
          <w:shd w:val="clear" w:color="auto" w:fill="FFFFFF"/>
        </w:rPr>
        <w:t xml:space="preserve">Činnost styčného soudce není pozitivně definována na mezinárodní ani na vnitrostátní úrovni a v podstatě záleží na jurisdikci každého státu. Činnosti, které bývají v jurisdikcích shodné jsou zejména napomáhání kolegům v aplikaci Haagské úmluvy v obecných i praktických otázkách, odpovídat na dožádání zahraničních soudců a ústředních orgánů týkajících se obecných otázek legislativy a kompetencí ve věcech mezinárodních únosů dětí, účastnit se a zastupovat soudní moc na konferencích mezinárodního rodinného práva v co nejširší míře, přijímat a postupovat příchozí mezinárodní soudní komunikaci a iniciovat či usnadňovat odchozí soudní komunikaci a podporovat mezinárodní spolupráci v rodinném právu obecně. Styční soudci také shromažďují informace a nové poznatky o fungování Haagské úmluvy, zajištění, že důležitá rozhodnutí budou zaslána do databáze INCADAT, zasílat příspěvky do časopisu </w:t>
      </w:r>
      <w:proofErr w:type="spellStart"/>
      <w:r w:rsidRPr="00DC73DC">
        <w:rPr>
          <w:shd w:val="clear" w:color="auto" w:fill="FFFFFF"/>
        </w:rPr>
        <w:t>Judges</w:t>
      </w:r>
      <w:proofErr w:type="spellEnd"/>
      <w:r w:rsidRPr="00DC73DC">
        <w:rPr>
          <w:shd w:val="clear" w:color="auto" w:fill="FFFFFF"/>
        </w:rPr>
        <w:t xml:space="preserve"> Newsletter. Tedy nepřebírá funkce ústředního orgánu </w:t>
      </w:r>
      <w:r w:rsidR="001B47E3">
        <w:rPr>
          <w:shd w:val="clear" w:color="auto" w:fill="FFFFFF"/>
        </w:rPr>
        <w:t>podle</w:t>
      </w:r>
      <w:r w:rsidRPr="00DC73DC">
        <w:rPr>
          <w:shd w:val="clear" w:color="auto" w:fill="FFFFFF"/>
        </w:rPr>
        <w:t xml:space="preserve"> čl. 7 Haagské úmluvy, ale spolupůsobí s ústředním orgánem na zrychlení řízení </w:t>
      </w:r>
      <w:r w:rsidR="001B47E3">
        <w:rPr>
          <w:shd w:val="clear" w:color="auto" w:fill="FFFFFF"/>
        </w:rPr>
        <w:t>podle</w:t>
      </w:r>
      <w:r w:rsidR="00A35AFB">
        <w:rPr>
          <w:shd w:val="clear" w:color="auto" w:fill="FFFFFF"/>
        </w:rPr>
        <w:t xml:space="preserve"> </w:t>
      </w:r>
      <w:r w:rsidRPr="00DC73DC">
        <w:rPr>
          <w:shd w:val="clear" w:color="auto" w:fill="FFFFFF"/>
        </w:rPr>
        <w:t>Haagské úmluvy. Například byl styčným soudcem jmenován dne 8. 12. 2006 JUDr. Lubomír Ptáček, Ph.D., soudce Krajského soudu v Ústí nad Labem</w:t>
      </w:r>
      <w:r w:rsidR="0067576D">
        <w:rPr>
          <w:shd w:val="clear" w:color="auto" w:fill="FFFFFF"/>
        </w:rPr>
        <w:t xml:space="preserve"> </w:t>
      </w:r>
      <w:r w:rsidRPr="00DC73DC">
        <w:rPr>
          <w:shd w:val="clear" w:color="auto" w:fill="FFFFFF"/>
        </w:rPr>
        <w:t>- pobočka v Liberci.</w:t>
      </w:r>
      <w:r w:rsidRPr="00DC73DC">
        <w:rPr>
          <w:rStyle w:val="Znakapoznpodarou"/>
          <w:shd w:val="clear" w:color="auto" w:fill="FFFFFF"/>
        </w:rPr>
        <w:footnoteReference w:id="60"/>
      </w:r>
      <w:bookmarkStart w:id="26" w:name="_Toc364534197"/>
      <w:bookmarkStart w:id="27" w:name="_Toc364927623"/>
    </w:p>
    <w:p w14:paraId="2F51BB78" w14:textId="77777777" w:rsidR="0079425F" w:rsidRDefault="0079425F">
      <w:pPr>
        <w:ind w:firstLine="0"/>
        <w:rPr>
          <w:b/>
          <w:bCs w:val="0"/>
          <w:kern w:val="36"/>
          <w:sz w:val="32"/>
          <w:szCs w:val="32"/>
          <w:lang w:eastAsia="en-US"/>
        </w:rPr>
      </w:pPr>
      <w:r>
        <w:br w:type="page"/>
      </w:r>
    </w:p>
    <w:p w14:paraId="6B4B17F5" w14:textId="497A38F8" w:rsidR="003E0B4D" w:rsidRPr="00DC73DC" w:rsidRDefault="003E0B4D" w:rsidP="009E2F35">
      <w:pPr>
        <w:pStyle w:val="Nadpis1"/>
      </w:pPr>
      <w:bookmarkStart w:id="28" w:name="_Toc491117219"/>
      <w:r w:rsidRPr="00DC73DC">
        <w:lastRenderedPageBreak/>
        <w:t>Pojem obvyklého bydliště dítěte</w:t>
      </w:r>
      <w:bookmarkEnd w:id="26"/>
      <w:bookmarkEnd w:id="27"/>
      <w:bookmarkEnd w:id="28"/>
    </w:p>
    <w:p w14:paraId="424C8137" w14:textId="72F40C75" w:rsidR="00952433" w:rsidRPr="00DC73DC" w:rsidRDefault="00952433" w:rsidP="00F76295">
      <w:pPr>
        <w:spacing w:line="360" w:lineRule="auto"/>
        <w:jc w:val="both"/>
      </w:pPr>
      <w:r w:rsidRPr="00DC73DC">
        <w:t xml:space="preserve">Tímto pojmem </w:t>
      </w:r>
      <w:r w:rsidR="00CA4E34">
        <w:t>je myšleno</w:t>
      </w:r>
      <w:r w:rsidRPr="00DC73DC">
        <w:t xml:space="preserve"> zejména místo, ve kterém dítě pobývalo těsně před</w:t>
      </w:r>
      <w:r w:rsidR="00CA4E34">
        <w:t xml:space="preserve"> </w:t>
      </w:r>
      <w:r w:rsidRPr="00DC73DC">
        <w:t>tím, než došlo k jeho protiprávnímu přemístění nebo zadržení. Na tento pojem bychom měli nahlížet jako na stálé a obvyklé středisko zájmů dítěte, jemuž je propůjčen trvalý charakter.</w:t>
      </w:r>
      <w:r w:rsidRPr="00DC73DC">
        <w:rPr>
          <w:rStyle w:val="Znakapoznpodarou"/>
        </w:rPr>
        <w:footnoteReference w:id="61"/>
      </w:r>
    </w:p>
    <w:p w14:paraId="3AE2F4FC" w14:textId="13E97D0C" w:rsidR="003E0B4D" w:rsidRPr="00DC73DC" w:rsidRDefault="003E0B4D" w:rsidP="00F76295">
      <w:pPr>
        <w:spacing w:line="360" w:lineRule="auto"/>
        <w:jc w:val="both"/>
      </w:pPr>
      <w:r w:rsidRPr="00DC73DC">
        <w:t xml:space="preserve">Z judikatury vyplývá dvojí úloha pojmu obvyklého bydliště dítěte (viz v kapitole 3). Jednou z těchto úloh je právě stanovení postupu pro navrácení dítěte do členského státu. Obvyklé bydliště hraje roli i v případě řízení o rodičovskou odpovědnost (ať už jde o péči o dítě, právo na styk s dítětem či dokonce jeho únos). </w:t>
      </w:r>
      <w:r w:rsidR="001B47E3">
        <w:t>Podle</w:t>
      </w:r>
      <w:r w:rsidR="00C769F4">
        <w:t xml:space="preserve"> </w:t>
      </w:r>
      <w:r w:rsidRPr="00DC73DC">
        <w:t>něj se vybírá soud, který bude o celé věci rozhodovat. Pokud jde o únos jedním z rodičů, přísluší rozhodnutí soudu té země, do níž bylo dítě neoprávněně přemístěno. V případě obvyklého bydliště se musí zjišťovat, zda by dítě neutrpělo návratem nevratnou újmu a také, zda rodič, který se návratu domáhá, před únosem skutečně vykonával právo péče o dítě. Výklad pojmu obvyklého bydliště dítěte není uzákoněn a je dotvářen de</w:t>
      </w:r>
      <w:r w:rsidR="00590336">
        <w:t xml:space="preserve"> facto soudní praxí.</w:t>
      </w:r>
      <w:r w:rsidR="00780E13">
        <w:t xml:space="preserve"> </w:t>
      </w:r>
      <w:r w:rsidR="00590336">
        <w:t>J</w:t>
      </w:r>
      <w:r w:rsidR="00780E13">
        <w:t>de o místo</w:t>
      </w:r>
      <w:r w:rsidRPr="00DC73DC">
        <w:t>, k němu</w:t>
      </w:r>
      <w:r w:rsidR="00CF3604">
        <w:t>ž má dítě silné sociální vazby.</w:t>
      </w:r>
    </w:p>
    <w:p w14:paraId="2FDD3F70" w14:textId="77984B0F" w:rsidR="0074321F" w:rsidRPr="00DC73DC" w:rsidRDefault="003E0B4D" w:rsidP="00F76295">
      <w:pPr>
        <w:spacing w:line="360" w:lineRule="auto"/>
        <w:jc w:val="both"/>
      </w:pPr>
      <w:r w:rsidRPr="00DC73DC">
        <w:t xml:space="preserve">Než se dostaneme k výkladu </w:t>
      </w:r>
      <w:r w:rsidR="001B47E3">
        <w:t>podle</w:t>
      </w:r>
      <w:r w:rsidRPr="00DC73DC">
        <w:t xml:space="preserve"> judikatury českých soudů a výkladu Soudního dvora, budu se v této kapitole zabývat pojmy rodičovské odpovědnosti, péče o dítě a právo na styk, jelikož na jejich definování závisí ur</w:t>
      </w:r>
      <w:r w:rsidR="00897085">
        <w:t>čení obvyklého bydliště dítěte.</w:t>
      </w:r>
    </w:p>
    <w:p w14:paraId="55D78800" w14:textId="1F69C0C1" w:rsidR="00645595" w:rsidRPr="00DC73DC" w:rsidRDefault="0016786F" w:rsidP="00C578B0">
      <w:pPr>
        <w:pStyle w:val="Nadpis2"/>
        <w:numPr>
          <w:ilvl w:val="1"/>
          <w:numId w:val="11"/>
        </w:numPr>
        <w:spacing w:line="360" w:lineRule="auto"/>
        <w:jc w:val="both"/>
        <w:rPr>
          <w:rFonts w:cs="Times New Roman"/>
          <w:szCs w:val="28"/>
        </w:rPr>
      </w:pPr>
      <w:bookmarkStart w:id="29" w:name="_Toc364927624"/>
      <w:bookmarkStart w:id="30" w:name="_Toc491117220"/>
      <w:r w:rsidRPr="00DC73DC">
        <w:rPr>
          <w:rFonts w:cs="Times New Roman"/>
          <w:szCs w:val="28"/>
        </w:rPr>
        <w:t>Pojmy související s určením obvyklého bydliště dítěte</w:t>
      </w:r>
      <w:bookmarkEnd w:id="29"/>
      <w:bookmarkEnd w:id="30"/>
    </w:p>
    <w:p w14:paraId="48893972" w14:textId="0663C539" w:rsidR="00C91359" w:rsidRPr="00DC73DC" w:rsidRDefault="00BE5FF8" w:rsidP="00BE5FF8">
      <w:pPr>
        <w:pStyle w:val="detail-odstavec"/>
        <w:shd w:val="clear" w:color="auto" w:fill="FFFFFF"/>
        <w:spacing w:before="0" w:beforeAutospacing="0" w:after="0" w:afterAutospacing="0" w:line="360" w:lineRule="auto"/>
        <w:ind w:firstLine="709"/>
        <w:jc w:val="both"/>
      </w:pPr>
      <w:r>
        <w:t>Právo péče je v Haagské ú</w:t>
      </w:r>
      <w:r w:rsidR="00645595" w:rsidRPr="00DC73DC">
        <w:t xml:space="preserve">mluvě vymezeno velmi široce a </w:t>
      </w:r>
      <w:r w:rsidR="001B47E3">
        <w:t>podle</w:t>
      </w:r>
      <w:r w:rsidR="00887CCB">
        <w:t xml:space="preserve"> zákona č. 89/2012 Sb. o</w:t>
      </w:r>
      <w:r w:rsidR="00645595" w:rsidRPr="00DC73DC">
        <w:t>bčanského zákoníku</w:t>
      </w:r>
      <w:r>
        <w:t xml:space="preserve"> (dále jen „</w:t>
      </w:r>
      <w:r w:rsidR="00887CCB">
        <w:t>OZ</w:t>
      </w:r>
      <w:r>
        <w:t>“)</w:t>
      </w:r>
      <w:r w:rsidR="00645595" w:rsidRPr="00DC73DC">
        <w:t>, části rodinného práva</w:t>
      </w:r>
      <w:r w:rsidR="00D15318">
        <w:t>,</w:t>
      </w:r>
      <w:r w:rsidR="00645595" w:rsidRPr="00DC73DC">
        <w:t xml:space="preserve"> tomuto pojetí odpovídá institut rodičovské </w:t>
      </w:r>
      <w:r>
        <w:t xml:space="preserve">odpovědnosti. Právo péče </w:t>
      </w:r>
      <w:r w:rsidR="001B47E3">
        <w:t>podle</w:t>
      </w:r>
      <w:r w:rsidR="0079425F">
        <w:t xml:space="preserve"> </w:t>
      </w:r>
      <w:r>
        <w:t>Haagské ú</w:t>
      </w:r>
      <w:r w:rsidR="00645595" w:rsidRPr="00DC73DC">
        <w:t>mluvy zahrnuje práva vztahující se k péči o osobu dítěte a zejména právo určit místo pobytu dítěte. Právo styku je pak vymezeno jako právo odvézt dítě na dobu omezenou do místa jiného, než je právě místo obvyklého bydliště. Jak již bylo zmíněno výše, v daném návratovém řízení se pak soud nezabývá výchovnými předpoklady rodičů, ale věnuje se otázce, zda</w:t>
      </w:r>
      <w:r w:rsidR="000A2934">
        <w:t>-</w:t>
      </w:r>
      <w:proofErr w:type="spellStart"/>
      <w:r w:rsidR="00645595" w:rsidRPr="00DC73DC">
        <w:t>li</w:t>
      </w:r>
      <w:proofErr w:type="spellEnd"/>
      <w:r w:rsidR="00645595" w:rsidRPr="00DC73DC">
        <w:t xml:space="preserve"> bude dítě navráceno do místa obvyklého bydliště či nikoli (je tedy určována jurisdikcí soudu).</w:t>
      </w:r>
      <w:r w:rsidR="00645595" w:rsidRPr="00DC73DC">
        <w:rPr>
          <w:rStyle w:val="Znakapoznpodarou"/>
        </w:rPr>
        <w:footnoteReference w:id="62"/>
      </w:r>
    </w:p>
    <w:p w14:paraId="536DB543" w14:textId="16130781" w:rsidR="00645595" w:rsidRPr="00DC73DC" w:rsidRDefault="00C91359" w:rsidP="00BE5FF8">
      <w:pPr>
        <w:pStyle w:val="detail-odstavec"/>
        <w:shd w:val="clear" w:color="auto" w:fill="FFFFFF"/>
        <w:spacing w:before="0" w:beforeAutospacing="0" w:after="0" w:afterAutospacing="0" w:line="360" w:lineRule="auto"/>
        <w:ind w:firstLine="720"/>
        <w:jc w:val="both"/>
        <w:rPr>
          <w:rFonts w:eastAsiaTheme="minorHAnsi"/>
          <w:lang w:eastAsia="en-US"/>
        </w:rPr>
      </w:pPr>
      <w:r w:rsidRPr="00DC73DC">
        <w:rPr>
          <w:rFonts w:eastAsiaTheme="minorHAnsi"/>
          <w:lang w:eastAsia="en-US"/>
        </w:rPr>
        <w:t>Těmito výc</w:t>
      </w:r>
      <w:r w:rsidR="006941E5">
        <w:rPr>
          <w:rFonts w:eastAsiaTheme="minorHAnsi"/>
          <w:lang w:eastAsia="en-US"/>
        </w:rPr>
        <w:t>hovnými předpoklady by se měl</w:t>
      </w:r>
      <w:r w:rsidRPr="00DC73DC">
        <w:rPr>
          <w:rFonts w:eastAsiaTheme="minorHAnsi"/>
          <w:lang w:eastAsia="en-US"/>
        </w:rPr>
        <w:t xml:space="preserve"> zabývat</w:t>
      </w:r>
      <w:r w:rsidR="006941E5">
        <w:rPr>
          <w:rFonts w:eastAsiaTheme="minorHAnsi"/>
          <w:lang w:eastAsia="en-US"/>
        </w:rPr>
        <w:t xml:space="preserve"> až</w:t>
      </w:r>
      <w:r w:rsidRPr="00DC73DC">
        <w:rPr>
          <w:rFonts w:eastAsiaTheme="minorHAnsi"/>
          <w:lang w:eastAsia="en-US"/>
        </w:rPr>
        <w:t xml:space="preserve"> soud, který je</w:t>
      </w:r>
      <w:r w:rsidR="00842896">
        <w:rPr>
          <w:rFonts w:eastAsiaTheme="minorHAnsi"/>
          <w:lang w:eastAsia="en-US"/>
        </w:rPr>
        <w:t xml:space="preserve"> zřízen</w:t>
      </w:r>
      <w:r w:rsidRPr="00DC73DC">
        <w:rPr>
          <w:rFonts w:eastAsiaTheme="minorHAnsi"/>
          <w:lang w:eastAsia="en-US"/>
        </w:rPr>
        <w:t xml:space="preserve"> v</w:t>
      </w:r>
      <w:r w:rsidR="00842896">
        <w:rPr>
          <w:rFonts w:eastAsiaTheme="minorHAnsi"/>
          <w:lang w:eastAsia="en-US"/>
        </w:rPr>
        <w:t xml:space="preserve"> místě</w:t>
      </w:r>
      <w:r w:rsidRPr="00DC73DC">
        <w:rPr>
          <w:rFonts w:eastAsiaTheme="minorHAnsi"/>
          <w:lang w:eastAsia="en-US"/>
        </w:rPr>
        <w:t> obvyklé</w:t>
      </w:r>
      <w:r w:rsidR="00842896">
        <w:rPr>
          <w:rFonts w:eastAsiaTheme="minorHAnsi"/>
          <w:lang w:eastAsia="en-US"/>
        </w:rPr>
        <w:t>ho bydliště</w:t>
      </w:r>
      <w:r w:rsidRPr="00DC73DC">
        <w:rPr>
          <w:rFonts w:eastAsiaTheme="minorHAnsi"/>
          <w:lang w:eastAsia="en-US"/>
        </w:rPr>
        <w:t xml:space="preserve"> dítěte, a tak je s poměry dítěte a jeho situací nejlépe obeznámen.</w:t>
      </w:r>
      <w:r w:rsidRPr="00DC73DC">
        <w:rPr>
          <w:rStyle w:val="Znakapoznpodarou"/>
          <w:rFonts w:eastAsiaTheme="minorHAnsi"/>
          <w:lang w:eastAsia="en-US"/>
        </w:rPr>
        <w:footnoteReference w:id="63"/>
      </w:r>
    </w:p>
    <w:p w14:paraId="32CFA5EE" w14:textId="5D90EF48" w:rsidR="0016786F" w:rsidRPr="00DC73DC" w:rsidRDefault="00143717" w:rsidP="00C578B0">
      <w:pPr>
        <w:pStyle w:val="Nadpis3"/>
        <w:numPr>
          <w:ilvl w:val="2"/>
          <w:numId w:val="11"/>
        </w:numPr>
        <w:spacing w:line="360" w:lineRule="auto"/>
        <w:ind w:left="851" w:firstLine="0"/>
        <w:jc w:val="both"/>
        <w:rPr>
          <w:rFonts w:cs="Times New Roman"/>
        </w:rPr>
      </w:pPr>
      <w:bookmarkStart w:id="31" w:name="_Toc364927625"/>
      <w:bookmarkStart w:id="32" w:name="_Toc491117221"/>
      <w:r w:rsidRPr="00DC73DC">
        <w:rPr>
          <w:rFonts w:cs="Times New Roman"/>
        </w:rPr>
        <w:lastRenderedPageBreak/>
        <w:t>Rodičovská odpovědnost</w:t>
      </w:r>
      <w:bookmarkEnd w:id="31"/>
      <w:bookmarkEnd w:id="32"/>
      <w:r w:rsidRPr="00DC73DC">
        <w:rPr>
          <w:rFonts w:cs="Times New Roman"/>
        </w:rPr>
        <w:t xml:space="preserve"> </w:t>
      </w:r>
    </w:p>
    <w:p w14:paraId="631D6616" w14:textId="6C4AB60E" w:rsidR="00371403" w:rsidRPr="00DC73DC" w:rsidRDefault="002F623D" w:rsidP="009B7B25">
      <w:pPr>
        <w:spacing w:line="360" w:lineRule="auto"/>
        <w:ind w:firstLine="720"/>
        <w:jc w:val="both"/>
      </w:pPr>
      <w:r>
        <w:t>V předchozí právní úpravě, jíž</w:t>
      </w:r>
      <w:r w:rsidR="00ED73B2">
        <w:t xml:space="preserve"> </w:t>
      </w:r>
      <w:r>
        <w:t>představoval</w:t>
      </w:r>
      <w:r w:rsidR="00ED73B2">
        <w:t xml:space="preserve"> zákon</w:t>
      </w:r>
      <w:r w:rsidR="00D967EA" w:rsidRPr="00DC73DC">
        <w:t xml:space="preserve"> č. 94/1963 Sb.</w:t>
      </w:r>
      <w:r w:rsidR="0027011F">
        <w:t>,</w:t>
      </w:r>
      <w:r w:rsidR="00D967EA" w:rsidRPr="00DC73DC">
        <w:t xml:space="preserve"> Zákon o rodině (dále jen „ZOR“)</w:t>
      </w:r>
      <w:r w:rsidR="0027011F">
        <w:t>,</w:t>
      </w:r>
      <w:r w:rsidR="00D967EA" w:rsidRPr="00DC73DC">
        <w:t xml:space="preserve"> se rodičovská odpovědnost označovala pod pojmem „rodičovská zodpovědnost</w:t>
      </w:r>
      <w:r w:rsidR="00A35AFB">
        <w:t>.</w:t>
      </w:r>
      <w:r w:rsidR="00D967EA" w:rsidRPr="00DC73DC">
        <w:t xml:space="preserve"> Proto se tento výraz objevuje v řadě judikaturních rozhodnutích v této práci, tedy rozhodnutími vydanými před</w:t>
      </w:r>
      <w:r w:rsidR="00E57045">
        <w:t xml:space="preserve"> novou kodifikací občanského (potažmo rodinného) práva</w:t>
      </w:r>
      <w:r w:rsidR="00FA7502">
        <w:t xml:space="preserve"> č. </w:t>
      </w:r>
      <w:r w:rsidR="00D967EA" w:rsidRPr="00DC73DC">
        <w:t xml:space="preserve">89/2012 Sb. </w:t>
      </w:r>
    </w:p>
    <w:p w14:paraId="79E256E5" w14:textId="77777777" w:rsidR="00D967EA" w:rsidRPr="00DC73DC" w:rsidRDefault="00D967EA" w:rsidP="00C578B0">
      <w:pPr>
        <w:spacing w:line="360" w:lineRule="auto"/>
        <w:ind w:firstLine="720"/>
        <w:jc w:val="both"/>
      </w:pPr>
      <w:r w:rsidRPr="00DC73DC">
        <w:t>Tento zákon již používá jednotný termín, kterým je „odpovědnost“ a dostál tento institut pouze doplnění do zákonného textu toho, co dříve bylo dovozeno odbornou literaturou a judikaturou.</w:t>
      </w:r>
      <w:r w:rsidR="00371403" w:rsidRPr="00DC73DC">
        <w:rPr>
          <w:rStyle w:val="Znakapoznpodarou"/>
        </w:rPr>
        <w:footnoteReference w:id="64"/>
      </w:r>
      <w:r w:rsidRPr="00DC73DC">
        <w:t xml:space="preserve"> </w:t>
      </w:r>
    </w:p>
    <w:p w14:paraId="7B2C8786" w14:textId="417287FD" w:rsidR="0074321F" w:rsidRPr="00DC73DC" w:rsidRDefault="0074321F" w:rsidP="00C578B0">
      <w:pPr>
        <w:spacing w:line="360" w:lineRule="auto"/>
        <w:ind w:firstLine="0"/>
        <w:jc w:val="both"/>
        <w:rPr>
          <w:i/>
        </w:rPr>
      </w:pPr>
      <w:r w:rsidRPr="00DC73DC">
        <w:tab/>
        <w:t xml:space="preserve">Rodičovská odpovědnost zahrnuje </w:t>
      </w:r>
      <w:r w:rsidR="001B47E3">
        <w:t>podle</w:t>
      </w:r>
      <w:r w:rsidR="00D967EA" w:rsidRPr="00DC73DC">
        <w:t xml:space="preserve"> § 858 </w:t>
      </w:r>
      <w:r w:rsidR="00887CCB">
        <w:t>OZ</w:t>
      </w:r>
      <w:r w:rsidRPr="00DC73DC">
        <w:t xml:space="preserve">, </w:t>
      </w:r>
      <w:r w:rsidRPr="00DC73DC">
        <w:rPr>
          <w:i/>
        </w:rPr>
        <w:t>„povinnosti a práva rodičů, která spočívají v péči o dítě, zahrnující zejména péči o jeho zdraví, jeho tělesný, citový, rozumový a mravní vývoj, v ochraně dítěte, v udržování osobního styku s dítětem, v zajišťování jeho výchovy a vzdělání, v určení místa jeho</w:t>
      </w:r>
      <w:r w:rsidR="0099490D">
        <w:rPr>
          <w:i/>
        </w:rPr>
        <w:t xml:space="preserve"> bydliště, v jeho zastupování a </w:t>
      </w:r>
      <w:r w:rsidR="0079425F">
        <w:rPr>
          <w:i/>
        </w:rPr>
        <w:t xml:space="preserve">spravování jeho jmění; </w:t>
      </w:r>
      <w:r w:rsidRPr="00DC73DC">
        <w:rPr>
          <w:i/>
        </w:rPr>
        <w:t>vzniká narozením dítěte a zaniká, jakmile dítě nabude plné svéprávnosti. Trvání a rozsah rodičovské odpovědnosti může změnit jen soud.“</w:t>
      </w:r>
      <w:r w:rsidRPr="00DC73DC">
        <w:rPr>
          <w:rStyle w:val="Znakapoznpodarou"/>
          <w:i/>
        </w:rPr>
        <w:footnoteReference w:id="65"/>
      </w:r>
    </w:p>
    <w:p w14:paraId="76581517" w14:textId="2C82CBB0" w:rsidR="008313BC" w:rsidRPr="00DC73DC" w:rsidRDefault="008313BC" w:rsidP="00C578B0">
      <w:pPr>
        <w:spacing w:line="360" w:lineRule="auto"/>
        <w:ind w:firstLine="0"/>
        <w:jc w:val="both"/>
        <w:rPr>
          <w:i/>
        </w:rPr>
      </w:pPr>
      <w:r w:rsidRPr="00DC73DC">
        <w:rPr>
          <w:i/>
        </w:rPr>
        <w:tab/>
      </w:r>
      <w:r w:rsidR="001B47E3">
        <w:rPr>
          <w:i/>
        </w:rPr>
        <w:t>Podle</w:t>
      </w:r>
      <w:r w:rsidRPr="00DC73DC">
        <w:rPr>
          <w:i/>
        </w:rPr>
        <w:t xml:space="preserve"> </w:t>
      </w:r>
      <w:r w:rsidRPr="00DC73DC">
        <w:t>§</w:t>
      </w:r>
      <w:r w:rsidR="00D03BD6">
        <w:t xml:space="preserve"> </w:t>
      </w:r>
      <w:r w:rsidRPr="00DC73DC">
        <w:t>865</w:t>
      </w:r>
      <w:r w:rsidR="00D967EA" w:rsidRPr="00DC73DC">
        <w:t xml:space="preserve"> </w:t>
      </w:r>
      <w:r w:rsidR="00887CCB">
        <w:t>OZ</w:t>
      </w:r>
      <w:r w:rsidRPr="00DC73DC">
        <w:rPr>
          <w:i/>
        </w:rPr>
        <w:t xml:space="preserve"> „Rodičovská odpovědnost náleží stejně oběma rodičům. Má ji každý rodič, ledaže jí byl zbaven.“ </w:t>
      </w:r>
      <w:r w:rsidRPr="00DC73DC">
        <w:rPr>
          <w:rStyle w:val="Znakapoznpodarou"/>
          <w:i/>
        </w:rPr>
        <w:footnoteReference w:id="66"/>
      </w:r>
    </w:p>
    <w:p w14:paraId="2C2E0579" w14:textId="3D68F5E7" w:rsidR="008313BC" w:rsidRPr="00DC73DC" w:rsidRDefault="008313BC" w:rsidP="00C578B0">
      <w:pPr>
        <w:spacing w:line="360" w:lineRule="auto"/>
        <w:ind w:firstLine="0"/>
        <w:jc w:val="both"/>
        <w:rPr>
          <w:i/>
        </w:rPr>
      </w:pPr>
      <w:r w:rsidRPr="00DC73DC">
        <w:rPr>
          <w:i/>
        </w:rPr>
        <w:tab/>
      </w:r>
      <w:r w:rsidRPr="00DC73DC">
        <w:t xml:space="preserve">§ 866 </w:t>
      </w:r>
      <w:r w:rsidR="00887CCB">
        <w:t>OZ</w:t>
      </w:r>
      <w:r w:rsidR="00D967EA" w:rsidRPr="00DC73DC">
        <w:t xml:space="preserve"> </w:t>
      </w:r>
      <w:r w:rsidRPr="00DC73DC">
        <w:t>„</w:t>
      </w:r>
      <w:r w:rsidRPr="00DC73DC">
        <w:rPr>
          <w:i/>
        </w:rPr>
        <w:t>Před rozhodnutím, které se dotýká rozsahu rodičovské odpovědnosti nebo způsobu či rozsahu, v jakém ji rodiče mají vykonávat, jsou určující zájmy dítěte.“</w:t>
      </w:r>
      <w:r w:rsidRPr="00DC73DC">
        <w:rPr>
          <w:rStyle w:val="Znakapoznpodarou"/>
          <w:i/>
        </w:rPr>
        <w:footnoteReference w:id="67"/>
      </w:r>
    </w:p>
    <w:p w14:paraId="7C94BF02" w14:textId="5BA5CE97" w:rsidR="00962DF9" w:rsidRPr="00DC73DC" w:rsidRDefault="00371403" w:rsidP="00C578B0">
      <w:pPr>
        <w:spacing w:line="360" w:lineRule="auto"/>
        <w:ind w:firstLine="0"/>
        <w:jc w:val="both"/>
      </w:pPr>
      <w:r w:rsidRPr="00DC73DC">
        <w:rPr>
          <w:i/>
        </w:rPr>
        <w:tab/>
      </w:r>
      <w:r w:rsidRPr="00DC73DC">
        <w:t>Úpravu bychom nalezli samozřejmě i na úrovni ústavněprávní, konkrétně v čl. 32 Listiny základních práv a svobod (dále jen „LZPS), který ve svém odstavci 4 stanoví, že péče o děti a jejich výchova je právem rodičů, a že děti mají právo na rodičovskou výchovu a péči. Způsob, jakým pak bude tato péče vykonáváno je na rodičích samotných. Zákaz neoprávněného zasahování do soukromého života, stejně tak jako do života rodinného</w:t>
      </w:r>
      <w:r w:rsidR="00F35976">
        <w:t>,</w:t>
      </w:r>
      <w:r w:rsidRPr="00DC73DC">
        <w:t xml:space="preserve"> je garantováno čl</w:t>
      </w:r>
      <w:r w:rsidR="00962DF9" w:rsidRPr="00DC73DC">
        <w:t>.</w:t>
      </w:r>
      <w:r w:rsidRPr="00DC73DC">
        <w:t xml:space="preserve"> 10 odst</w:t>
      </w:r>
      <w:r w:rsidR="00962DF9" w:rsidRPr="00DC73DC">
        <w:t>.</w:t>
      </w:r>
      <w:r w:rsidRPr="00DC73DC">
        <w:t xml:space="preserve"> 2 LZPS.</w:t>
      </w:r>
      <w:r w:rsidRPr="00DC73DC">
        <w:rPr>
          <w:rStyle w:val="Znakapoznpodarou"/>
        </w:rPr>
        <w:footnoteReference w:id="68"/>
      </w:r>
      <w:r w:rsidRPr="00DC73DC">
        <w:t xml:space="preserve"> </w:t>
      </w:r>
    </w:p>
    <w:p w14:paraId="0773D951" w14:textId="344EF998" w:rsidR="0016786F" w:rsidRPr="00C578B0" w:rsidRDefault="00962DF9" w:rsidP="00C578B0">
      <w:pPr>
        <w:pStyle w:val="Nadpis3"/>
        <w:numPr>
          <w:ilvl w:val="3"/>
          <w:numId w:val="11"/>
        </w:numPr>
        <w:spacing w:line="360" w:lineRule="auto"/>
        <w:ind w:left="1418" w:hanging="709"/>
        <w:jc w:val="both"/>
        <w:rPr>
          <w:rFonts w:cs="Times New Roman"/>
        </w:rPr>
      </w:pPr>
      <w:bookmarkStart w:id="33" w:name="_Toc364927626"/>
      <w:bookmarkStart w:id="34" w:name="_Toc491117222"/>
      <w:r w:rsidRPr="00DC73DC">
        <w:rPr>
          <w:rFonts w:cs="Times New Roman"/>
        </w:rPr>
        <w:t>Rodičovská odpovědnost ve světle judikatury Ústavního soudu</w:t>
      </w:r>
      <w:bookmarkEnd w:id="33"/>
      <w:bookmarkEnd w:id="34"/>
      <w:r w:rsidRPr="00DC73DC">
        <w:rPr>
          <w:rFonts w:cs="Times New Roman"/>
        </w:rPr>
        <w:t xml:space="preserve"> </w:t>
      </w:r>
    </w:p>
    <w:p w14:paraId="0264B619" w14:textId="4B62A4C4" w:rsidR="00962DF9" w:rsidRPr="00C578B0" w:rsidRDefault="00962DF9" w:rsidP="00C578B0">
      <w:pPr>
        <w:spacing w:line="360" w:lineRule="auto"/>
        <w:ind w:firstLine="0"/>
        <w:jc w:val="both"/>
      </w:pPr>
      <w:r w:rsidRPr="00DC73DC">
        <w:tab/>
        <w:t xml:space="preserve">Ústavní soud ve svém rozhodnutí zdůraznil zejména autonomii výkonu rodičovské odpovědnosti a také svobodu dítěte. Dohled nad dítětem nemůže být </w:t>
      </w:r>
      <w:r w:rsidR="001B47E3">
        <w:t>podle</w:t>
      </w:r>
      <w:r w:rsidR="0079425F">
        <w:t xml:space="preserve"> </w:t>
      </w:r>
      <w:r w:rsidRPr="00DC73DC">
        <w:t xml:space="preserve">Ústavního soudu absolutní a rodiče mají v rámci své rodičovské odpovědnosti právo zvolit si, jak budou své </w:t>
      </w:r>
      <w:r w:rsidRPr="00DC73DC">
        <w:lastRenderedPageBreak/>
        <w:t xml:space="preserve">dítě vychovávat a jakou míru samostatnosti svým dětem </w:t>
      </w:r>
      <w:r w:rsidR="00F522B7">
        <w:t>povolí. V této míře autonomie i </w:t>
      </w:r>
      <w:r w:rsidRPr="00DC73DC">
        <w:t>Ústavní soud shledává správnou cestu, jak naučit děti samostatnosti a lépe je připravit na odpovědný život po dosažení jejich svéprávnosti, to vš</w:t>
      </w:r>
      <w:r w:rsidR="00F522B7">
        <w:t>e s ohledem na věk, charakter a </w:t>
      </w:r>
      <w:r w:rsidRPr="00DC73DC">
        <w:t>povah</w:t>
      </w:r>
      <w:r w:rsidRPr="00C578B0">
        <w:t>ové vlastnosti dítěte.</w:t>
      </w:r>
      <w:r w:rsidRPr="00C578B0">
        <w:rPr>
          <w:rStyle w:val="Znakapoznpodarou"/>
        </w:rPr>
        <w:footnoteReference w:id="69"/>
      </w:r>
    </w:p>
    <w:p w14:paraId="638A5160" w14:textId="46C959F7" w:rsidR="006573AE" w:rsidRPr="00C578B0" w:rsidRDefault="00143717" w:rsidP="00C578B0">
      <w:pPr>
        <w:pStyle w:val="Nadpis3"/>
        <w:numPr>
          <w:ilvl w:val="2"/>
          <w:numId w:val="15"/>
        </w:numPr>
        <w:spacing w:line="360" w:lineRule="auto"/>
        <w:rPr>
          <w:rFonts w:cs="Times New Roman"/>
        </w:rPr>
      </w:pPr>
      <w:bookmarkStart w:id="35" w:name="_Toc364927627"/>
      <w:bookmarkStart w:id="36" w:name="_Toc491117223"/>
      <w:r w:rsidRPr="00C578B0">
        <w:rPr>
          <w:rFonts w:cs="Times New Roman"/>
        </w:rPr>
        <w:t>Právo péče</w:t>
      </w:r>
      <w:bookmarkEnd w:id="35"/>
      <w:bookmarkEnd w:id="36"/>
    </w:p>
    <w:p w14:paraId="4C60C1B1" w14:textId="588C5715" w:rsidR="005A188E" w:rsidRPr="00DC73DC" w:rsidRDefault="0051697C" w:rsidP="006C718F">
      <w:pPr>
        <w:spacing w:line="360" w:lineRule="auto"/>
        <w:ind w:firstLine="720"/>
        <w:jc w:val="both"/>
      </w:pPr>
      <w:r w:rsidRPr="00DC73DC">
        <w:t>Jak již bylo zmíně</w:t>
      </w:r>
      <w:r w:rsidR="00645595" w:rsidRPr="00DC73DC">
        <w:t>no výše</w:t>
      </w:r>
      <w:r w:rsidR="006556CB">
        <w:t>,</w:t>
      </w:r>
      <w:r w:rsidRPr="00DC73DC">
        <w:t xml:space="preserve"> p</w:t>
      </w:r>
      <w:r w:rsidR="005A188E" w:rsidRPr="00DC73DC">
        <w:t xml:space="preserve">rávo péče o dítě </w:t>
      </w:r>
      <w:r w:rsidR="00C578B0">
        <w:t>je upraveno Haagskou ú</w:t>
      </w:r>
      <w:r w:rsidR="006F472A" w:rsidRPr="00DC73DC">
        <w:t>mluvou v článku 5 a vykládá se autonomně.</w:t>
      </w:r>
      <w:r w:rsidR="006F472A" w:rsidRPr="00DC73DC">
        <w:rPr>
          <w:rStyle w:val="Znakapoznpodarou"/>
        </w:rPr>
        <w:footnoteReference w:id="70"/>
      </w:r>
      <w:r w:rsidR="006F472A" w:rsidRPr="00DC73DC">
        <w:t xml:space="preserve"> </w:t>
      </w:r>
      <w:r w:rsidR="001B47E3">
        <w:t>Podle</w:t>
      </w:r>
      <w:r w:rsidR="005A188E" w:rsidRPr="00DC73DC">
        <w:t xml:space="preserve"> čl. 3</w:t>
      </w:r>
      <w:r w:rsidR="00BA293A" w:rsidRPr="00DC73DC">
        <w:t xml:space="preserve"> písm. a)</w:t>
      </w:r>
      <w:r w:rsidR="005A188E" w:rsidRPr="00DC73DC">
        <w:t xml:space="preserve"> Haagské úmluvy může vyplývat zejména ze zákonů nebo ze soudního nebo správního rozhodnutí nebo z dohody platné </w:t>
      </w:r>
      <w:r w:rsidR="001B47E3">
        <w:t>podle</w:t>
      </w:r>
      <w:r w:rsidR="00C4089F">
        <w:t xml:space="preserve"> </w:t>
      </w:r>
      <w:r w:rsidR="005A188E" w:rsidRPr="00DC73DC">
        <w:t>právního řádu daného státu.</w:t>
      </w:r>
      <w:r w:rsidR="005A188E" w:rsidRPr="00DC73DC">
        <w:rPr>
          <w:rStyle w:val="Znakapoznpodarou"/>
        </w:rPr>
        <w:footnoteReference w:id="71"/>
      </w:r>
    </w:p>
    <w:p w14:paraId="164DD87B" w14:textId="6C5F312F" w:rsidR="0016049C" w:rsidRPr="00DC73DC" w:rsidRDefault="001B47E3" w:rsidP="006C718F">
      <w:pPr>
        <w:spacing w:line="360" w:lineRule="auto"/>
        <w:ind w:firstLine="720"/>
        <w:jc w:val="both"/>
      </w:pPr>
      <w:r>
        <w:t>Podle</w:t>
      </w:r>
      <w:r w:rsidR="00C578B0">
        <w:t xml:space="preserve"> Haagské ú</w:t>
      </w:r>
      <w:r w:rsidR="0016049C" w:rsidRPr="00DC73DC">
        <w:t>mluvy tak může náležet rodiči, ale také poručníkovi, pěstounovi, osvojiteli</w:t>
      </w:r>
      <w:r w:rsidR="00C4089F">
        <w:t>,</w:t>
      </w:r>
      <w:r w:rsidR="0016049C" w:rsidRPr="00DC73DC">
        <w:t xml:space="preserve"> a dokonce také osobám, které mají dítě svěřeno do předpěstounské nebo </w:t>
      </w:r>
      <w:proofErr w:type="spellStart"/>
      <w:r w:rsidR="0016049C" w:rsidRPr="00DC73DC">
        <w:t>předadopční</w:t>
      </w:r>
      <w:proofErr w:type="spellEnd"/>
      <w:r w:rsidR="0016049C" w:rsidRPr="00DC73DC">
        <w:t xml:space="preserve"> péče. Může se jednat také o právo péče o dítě kojeneckého ústavu, dětského domova nebo zařízení pro děti vyžadující okamžitou pomoc.</w:t>
      </w:r>
      <w:r w:rsidR="0016049C" w:rsidRPr="00DC73DC">
        <w:rPr>
          <w:rStyle w:val="Znakapoznpodarou"/>
        </w:rPr>
        <w:footnoteReference w:id="72"/>
      </w:r>
    </w:p>
    <w:p w14:paraId="36F379C5" w14:textId="070234A7" w:rsidR="00590A85" w:rsidRPr="00DC73DC" w:rsidRDefault="00590A85" w:rsidP="006C718F">
      <w:pPr>
        <w:spacing w:line="360" w:lineRule="auto"/>
        <w:ind w:firstLine="720"/>
        <w:jc w:val="both"/>
      </w:pPr>
      <w:r w:rsidRPr="00DC73DC">
        <w:t xml:space="preserve">V českém právním řádu bychom nalezli úpravu v §§ 880 až 891 </w:t>
      </w:r>
      <w:r w:rsidR="00887CCB">
        <w:t>OZ</w:t>
      </w:r>
      <w:r w:rsidRPr="00DC73DC">
        <w:t xml:space="preserve">. </w:t>
      </w:r>
    </w:p>
    <w:p w14:paraId="35934592" w14:textId="251E4939" w:rsidR="00B63B5F" w:rsidRPr="00DC73DC" w:rsidRDefault="001B47E3" w:rsidP="006C718F">
      <w:pPr>
        <w:spacing w:line="360" w:lineRule="auto"/>
        <w:ind w:firstLine="720"/>
        <w:jc w:val="both"/>
      </w:pPr>
      <w:r>
        <w:t>Podle</w:t>
      </w:r>
      <w:r w:rsidR="00B63B5F" w:rsidRPr="00DC73DC">
        <w:t xml:space="preserve"> § 880 odst. 1 „Rodičovskou odpovědnost týkající se osoby dítěte vykonávají rodiče způsobem a v míře odpovídající stupni vývoje dítěte</w:t>
      </w:r>
      <w:r w:rsidR="00A35AFB">
        <w:t>.</w:t>
      </w:r>
      <w:r w:rsidR="00B63B5F" w:rsidRPr="00DC73DC">
        <w:t>“</w:t>
      </w:r>
      <w:r w:rsidR="00B63B5F" w:rsidRPr="00DC73DC">
        <w:rPr>
          <w:rStyle w:val="Znakapoznpodarou"/>
        </w:rPr>
        <w:footnoteReference w:id="73"/>
      </w:r>
      <w:r w:rsidR="00B63B5F" w:rsidRPr="00DC73DC">
        <w:t xml:space="preserve"> </w:t>
      </w:r>
      <w:r>
        <w:t>Podle</w:t>
      </w:r>
      <w:r w:rsidR="00B63B5F" w:rsidRPr="00DC73DC">
        <w:t xml:space="preserve"> § 882 odst. 1 „Zadržuje-li jiná osoba dítě protiprávně, mají rodiče právo žádat, aby jim dítě předala; to platí o mezi rodiči navzájem. Toto právo má i ten, kdo o dítě oprávněně pečuje.“</w:t>
      </w:r>
      <w:r w:rsidR="00B63B5F" w:rsidRPr="00DC73DC">
        <w:rPr>
          <w:rStyle w:val="Znakapoznpodarou"/>
        </w:rPr>
        <w:footnoteReference w:id="74"/>
      </w:r>
      <w:r w:rsidR="00B63B5F" w:rsidRPr="00DC73DC">
        <w:t xml:space="preserve"> </w:t>
      </w:r>
      <w:r>
        <w:t>Podle</w:t>
      </w:r>
      <w:r w:rsidR="00B63B5F" w:rsidRPr="00DC73DC">
        <w:t xml:space="preserve"> odst. 2 „Osoba, která dítě protiprávně zadržuje, má povinnost jej řádně předat tomu, kdo má dítě po právu v péči.“</w:t>
      </w:r>
      <w:r w:rsidR="00B63B5F" w:rsidRPr="00DC73DC">
        <w:rPr>
          <w:rStyle w:val="Znakapoznpodarou"/>
        </w:rPr>
        <w:footnoteReference w:id="75"/>
      </w:r>
    </w:p>
    <w:p w14:paraId="6DE0C50F" w14:textId="206A8E2A" w:rsidR="00D7456F" w:rsidRPr="00DC73DC" w:rsidRDefault="00D7456F" w:rsidP="006C718F">
      <w:pPr>
        <w:spacing w:line="360" w:lineRule="auto"/>
        <w:ind w:firstLine="720"/>
        <w:jc w:val="both"/>
      </w:pPr>
      <w:r w:rsidRPr="00DC73DC">
        <w:t>K právu péče o dítě se taktéž vyjádřil Soudní dvůr</w:t>
      </w:r>
      <w:r w:rsidR="00674202">
        <w:t xml:space="preserve"> ve smyslu nesezdaných rodičů a </w:t>
      </w:r>
      <w:r w:rsidRPr="00DC73DC">
        <w:t>práva otce na péči o dítě. Soudní dvůr se přiklonil k argumentu, že „nařízení Rady musí být vykládáno v tom smyslu, že nebrání tomu, aby právo členského státu podřídilo přiznání práva péče o dítě otci dítěte nesezdanému s matkou dítěte tomu, aby otec získal rozhodnutí příslušného vnitrostátního soudu o přiznání takového práva péče, na základě čehož může být přemístění nebo zadržení dítěte jeho matkou považováno za protiprávní ve smyslu čl. 2 odst. 11 uvedeného nařízení.</w:t>
      </w:r>
      <w:r w:rsidRPr="00DC73DC">
        <w:rPr>
          <w:rStyle w:val="Znakapoznpodarou"/>
        </w:rPr>
        <w:footnoteReference w:id="76"/>
      </w:r>
    </w:p>
    <w:p w14:paraId="62F4B42D" w14:textId="3576CD09" w:rsidR="0016786F" w:rsidRPr="00DC73DC" w:rsidRDefault="00143717" w:rsidP="00C578B0">
      <w:pPr>
        <w:pStyle w:val="Nadpis3"/>
        <w:numPr>
          <w:ilvl w:val="2"/>
          <w:numId w:val="16"/>
        </w:numPr>
        <w:spacing w:line="360" w:lineRule="auto"/>
        <w:jc w:val="both"/>
        <w:rPr>
          <w:rFonts w:cs="Times New Roman"/>
        </w:rPr>
      </w:pPr>
      <w:bookmarkStart w:id="37" w:name="_Toc364927628"/>
      <w:bookmarkStart w:id="38" w:name="_Toc491117224"/>
      <w:r w:rsidRPr="00DC73DC">
        <w:rPr>
          <w:rFonts w:cs="Times New Roman"/>
        </w:rPr>
        <w:lastRenderedPageBreak/>
        <w:t>Právo na styk s</w:t>
      </w:r>
      <w:r w:rsidR="0016786F" w:rsidRPr="00DC73DC">
        <w:rPr>
          <w:rFonts w:cs="Times New Roman"/>
        </w:rPr>
        <w:t> </w:t>
      </w:r>
      <w:r w:rsidRPr="00DC73DC">
        <w:rPr>
          <w:rFonts w:cs="Times New Roman"/>
        </w:rPr>
        <w:t>dítětem</w:t>
      </w:r>
      <w:bookmarkEnd w:id="37"/>
      <w:bookmarkEnd w:id="38"/>
    </w:p>
    <w:p w14:paraId="60B1198F" w14:textId="3602D6C8" w:rsidR="00117535" w:rsidRPr="00DC73DC" w:rsidRDefault="002E7A46" w:rsidP="007D50C5">
      <w:pPr>
        <w:spacing w:line="360" w:lineRule="auto"/>
        <w:ind w:firstLine="720"/>
        <w:jc w:val="both"/>
      </w:pPr>
      <w:r w:rsidRPr="00DC73DC">
        <w:t>Právem dítěte je možnost znát oba rodiče a být s nimi i v kontaktu. V případě rodičů je jejich právem a současně i povinností osobní styk udržovat a podniknout právní kroky v případě, kdy jeden z rodičů brání</w:t>
      </w:r>
      <w:r w:rsidR="00204322">
        <w:t xml:space="preserve"> takový kontakt</w:t>
      </w:r>
      <w:r w:rsidRPr="00DC73DC">
        <w:t xml:space="preserve"> tomu druhému. V případě zajištění kontaktu s dítětem, který žije s rodičem v druhém státě, se nejčastěji řeší výkonem rozhodnutí, nebo prostřednictví právních nástrojů, které umožňuje mezinárodní právo. Právem styku se rozumí právo rodiče být v kontaktu s dítětem a to prostřednictvím návštěv, pobytu dítěte u rodiče nebo prostřednictvím moderních komunikačních prostředků (těmi se rozumí email, telefon, popř. Skype). Současně</w:t>
      </w:r>
      <w:r w:rsidR="00DE6DCF">
        <w:t xml:space="preserve"> je</w:t>
      </w:r>
      <w:r w:rsidRPr="00DC73DC">
        <w:t xml:space="preserve"> povinností rodiče, u kterého je dítě v péči, druhému rodiči styk s dítětem umožnit, spolupracovat a dítě na tento styk připravit.</w:t>
      </w:r>
      <w:r w:rsidR="000A379E" w:rsidRPr="00DC73DC">
        <w:rPr>
          <w:rStyle w:val="Znakapoznpodarou"/>
        </w:rPr>
        <w:footnoteReference w:id="77"/>
      </w:r>
    </w:p>
    <w:p w14:paraId="052E5C6B" w14:textId="3DDF8CFC" w:rsidR="00371403" w:rsidRPr="00DC73DC" w:rsidRDefault="00371403" w:rsidP="00AD1885">
      <w:pPr>
        <w:spacing w:line="360" w:lineRule="auto"/>
        <w:ind w:firstLine="720"/>
        <w:jc w:val="both"/>
      </w:pPr>
      <w:r w:rsidRPr="00DC73DC">
        <w:t xml:space="preserve">Na úrovni mezinárodní, jak jsem již zmínila </w:t>
      </w:r>
      <w:r w:rsidR="00415A73">
        <w:t>výše, je možné nalézt úpravu v Úmluvy, konkrétně v čl.</w:t>
      </w:r>
      <w:r w:rsidRPr="00DC73DC">
        <w:t xml:space="preserve"> 7, která dětem garantuje právo na péči jejich rodičů.</w:t>
      </w:r>
      <w:r w:rsidRPr="00DC73DC">
        <w:rPr>
          <w:rStyle w:val="Znakapoznpodarou"/>
        </w:rPr>
        <w:footnoteReference w:id="78"/>
      </w:r>
    </w:p>
    <w:p w14:paraId="5E9C23B3" w14:textId="7D1D5325" w:rsidR="00514924" w:rsidRPr="00DC73DC" w:rsidRDefault="000A379E" w:rsidP="00F76295">
      <w:pPr>
        <w:spacing w:line="360" w:lineRule="auto"/>
        <w:ind w:firstLine="0"/>
        <w:jc w:val="both"/>
      </w:pPr>
      <w:r w:rsidRPr="00DC73DC">
        <w:tab/>
        <w:t>V českém právním řádu je pr</w:t>
      </w:r>
      <w:r w:rsidR="00415A73">
        <w:t>ávo na osobní styk upraveno v §</w:t>
      </w:r>
      <w:r w:rsidR="00514924" w:rsidRPr="00DC73DC">
        <w:t xml:space="preserve"> </w:t>
      </w:r>
      <w:r w:rsidRPr="00DC73DC">
        <w:t>887 až 891</w:t>
      </w:r>
      <w:r w:rsidR="00D967EA" w:rsidRPr="00DC73DC">
        <w:t xml:space="preserve"> </w:t>
      </w:r>
      <w:r w:rsidR="00887CCB">
        <w:t>OZ</w:t>
      </w:r>
      <w:r w:rsidRPr="00DC73DC">
        <w:t xml:space="preserve">. </w:t>
      </w:r>
      <w:r w:rsidR="00514924" w:rsidRPr="00DC73DC">
        <w:t xml:space="preserve">V rámci výkladu české úpravy se zahraniční uvedu relevantní paragrafy. </w:t>
      </w:r>
    </w:p>
    <w:p w14:paraId="27127806" w14:textId="029D2100" w:rsidR="000A379E" w:rsidRPr="00DC73DC" w:rsidRDefault="000A379E" w:rsidP="00F76295">
      <w:pPr>
        <w:spacing w:line="360" w:lineRule="auto"/>
        <w:ind w:firstLine="720"/>
        <w:jc w:val="both"/>
        <w:rPr>
          <w:i/>
        </w:rPr>
      </w:pPr>
      <w:r w:rsidRPr="00DC73DC">
        <w:t xml:space="preserve">V §888 </w:t>
      </w:r>
      <w:r w:rsidR="00887CCB">
        <w:t>OZ</w:t>
      </w:r>
      <w:r w:rsidR="00D967EA" w:rsidRPr="00DC73DC">
        <w:t xml:space="preserve"> </w:t>
      </w:r>
      <w:r w:rsidRPr="00DC73DC">
        <w:t>je stanoveno, že „</w:t>
      </w:r>
      <w:r w:rsidRPr="00DC73DC">
        <w:rPr>
          <w:i/>
        </w:rPr>
        <w:t xml:space="preserve">Dítě, které je v péči jen jednoho rodiče, má právo stýkat se s druhým rodičem v rozsahu, který je v zájmu dítěte, stejně jako tento rodič má právo stýkat se s dítětem, ledaže soud takový styk omezí nebo zakáže; soud může také určit podmínky styku, zejména místo, kde k němu má dojít, jakož i určit osoby, které se smějí, popřípadě nesmějí styku </w:t>
      </w:r>
      <w:r w:rsidR="00514924" w:rsidRPr="00DC73DC">
        <w:rPr>
          <w:i/>
        </w:rPr>
        <w:t>účastnit. Rodič, který má dítě v péči, je povinen dítě na styk s druhým rodičem řádně připravit, styk dítěte s druhým rodičem řádně umožnit a při výkonu práva osobního styku s dítětem v potřebném rozsahu s druhým rodičem spolupracovat.“</w:t>
      </w:r>
      <w:r w:rsidR="00514924" w:rsidRPr="00DC73DC">
        <w:rPr>
          <w:rStyle w:val="Znakapoznpodarou"/>
          <w:i/>
        </w:rPr>
        <w:footnoteReference w:id="79"/>
      </w:r>
    </w:p>
    <w:p w14:paraId="0A934A89" w14:textId="7EF02B28" w:rsidR="00514924" w:rsidRPr="00DC73DC" w:rsidRDefault="00514924" w:rsidP="00F76295">
      <w:pPr>
        <w:spacing w:line="360" w:lineRule="auto"/>
        <w:ind w:firstLine="0"/>
        <w:jc w:val="both"/>
        <w:rPr>
          <w:i/>
        </w:rPr>
      </w:pPr>
      <w:r w:rsidRPr="00DC73DC">
        <w:rPr>
          <w:i/>
        </w:rPr>
        <w:tab/>
      </w:r>
      <w:r w:rsidRPr="00DC73DC">
        <w:t xml:space="preserve">§ 898 </w:t>
      </w:r>
      <w:r w:rsidR="00887CCB">
        <w:t>OZ</w:t>
      </w:r>
      <w:r w:rsidR="00D967EA" w:rsidRPr="00DC73DC">
        <w:t xml:space="preserve"> </w:t>
      </w:r>
      <w:r w:rsidRPr="00DC73DC">
        <w:t xml:space="preserve">stanoví, že </w:t>
      </w:r>
      <w:r w:rsidR="00544CD0" w:rsidRPr="00DC73DC">
        <w:rPr>
          <w:i/>
        </w:rPr>
        <w:t>„R</w:t>
      </w:r>
      <w:r w:rsidRPr="00DC73DC">
        <w:rPr>
          <w:i/>
        </w:rPr>
        <w:t>odič, který má dítě v péči, a druhý rodič se musejí zdržet všeho, co narušuje vztah dítěte k obě rodičům nebo co výchovu dítěte ztěžuje. Brání-li rodič, který má dítě v péči, bezdůvodně trvale či opakovaně druhému rodiči ve styku s dítětem, je takové chování důvodem pro nové rozhodnutí soudu o tom, který z rodičů má mít dítě ve své péči.“</w:t>
      </w:r>
      <w:r w:rsidRPr="00DC73DC">
        <w:rPr>
          <w:rStyle w:val="Znakapoznpodarou"/>
          <w:i/>
        </w:rPr>
        <w:footnoteReference w:id="80"/>
      </w:r>
    </w:p>
    <w:p w14:paraId="4F9F20C4" w14:textId="3460867C" w:rsidR="00CB4081" w:rsidRPr="00DC73DC" w:rsidRDefault="00CB4081" w:rsidP="00F76295">
      <w:pPr>
        <w:spacing w:line="360" w:lineRule="auto"/>
        <w:ind w:firstLine="0"/>
        <w:jc w:val="both"/>
        <w:rPr>
          <w:i/>
        </w:rPr>
      </w:pPr>
      <w:r w:rsidRPr="00DC73DC">
        <w:rPr>
          <w:i/>
        </w:rPr>
        <w:tab/>
      </w:r>
      <w:r w:rsidR="001B47E3">
        <w:rPr>
          <w:i/>
        </w:rPr>
        <w:t>Podle</w:t>
      </w:r>
      <w:r w:rsidRPr="00DC73DC">
        <w:rPr>
          <w:i/>
        </w:rPr>
        <w:t xml:space="preserve"> </w:t>
      </w:r>
      <w:r w:rsidRPr="00DC73DC">
        <w:t>§ 890 jsou rodiče povinni si o dítěti oznamovat i podstatné informace, čímž se rozumí právo na informace o dítěti</w:t>
      </w:r>
      <w:r w:rsidR="007D5F48">
        <w:t>,</w:t>
      </w:r>
      <w:r w:rsidRPr="00DC73DC">
        <w:t xml:space="preserve"> a to konkrétně informace o jeho zdravotním či psychickém stavu, školních výsledcích dítěte, zájmech a podobně. Tyto informace by mě</w:t>
      </w:r>
      <w:r w:rsidR="00F73A11">
        <w:t>l</w:t>
      </w:r>
      <w:r w:rsidRPr="00DC73DC">
        <w:t xml:space="preserve"> druhý rodič poskytovat pravidelně.</w:t>
      </w:r>
      <w:r w:rsidRPr="00DC73DC">
        <w:rPr>
          <w:rStyle w:val="Znakapoznpodarou"/>
        </w:rPr>
        <w:footnoteReference w:id="81"/>
      </w:r>
    </w:p>
    <w:p w14:paraId="26B8E57B" w14:textId="246BA7F5" w:rsidR="00544CD0" w:rsidRPr="00DC73DC" w:rsidRDefault="00544CD0" w:rsidP="00F76295">
      <w:pPr>
        <w:spacing w:line="360" w:lineRule="auto"/>
        <w:ind w:firstLine="0"/>
        <w:jc w:val="both"/>
        <w:rPr>
          <w:i/>
        </w:rPr>
      </w:pPr>
      <w:r w:rsidRPr="00DC73DC">
        <w:rPr>
          <w:i/>
        </w:rPr>
        <w:lastRenderedPageBreak/>
        <w:tab/>
      </w:r>
      <w:r w:rsidR="00774000">
        <w:t>§ 891 odst. 1 uvádí, že „</w:t>
      </w:r>
      <w:r w:rsidRPr="00DC73DC">
        <w:rPr>
          <w:i/>
        </w:rPr>
        <w:t>Rodič, který má dítě v péči, a druhý rodič se spolu dohodnou, jak se rodič, který dítě v péči nemá, bude s dítětem stýkat. Nedohodnou-li se rodiče, nebo vyžaduje-li to zájem na výchově dítěte a poměry v rodině, soud styk rodiče s dítětem upraví. V odůvodněných případech může soud určit místo styku rodiče s dítětem.</w:t>
      </w:r>
      <w:r w:rsidRPr="00DC73DC">
        <w:t xml:space="preserve">“ </w:t>
      </w:r>
      <w:r w:rsidR="001B47E3">
        <w:t>Podle</w:t>
      </w:r>
      <w:r w:rsidRPr="00DC73DC">
        <w:t xml:space="preserve"> odstavce 2 </w:t>
      </w:r>
      <w:r w:rsidRPr="00DC73DC">
        <w:rPr>
          <w:i/>
        </w:rPr>
        <w:t>„Je-li to nutné v zájmu dítěte, soud omezí právo rodiče osobně se stýkat s dítětem, anebo styk i zakáže.“</w:t>
      </w:r>
      <w:r w:rsidRPr="00DC73DC">
        <w:rPr>
          <w:rStyle w:val="Znakapoznpodarou"/>
          <w:i/>
        </w:rPr>
        <w:footnoteReference w:id="82"/>
      </w:r>
    </w:p>
    <w:p w14:paraId="1E487734" w14:textId="4F84A488" w:rsidR="00AC6525" w:rsidRPr="00DC73DC" w:rsidRDefault="00CB4081" w:rsidP="00F76295">
      <w:pPr>
        <w:spacing w:line="360" w:lineRule="auto"/>
        <w:ind w:firstLine="0"/>
        <w:jc w:val="both"/>
      </w:pPr>
      <w:r w:rsidRPr="00DC73DC">
        <w:rPr>
          <w:i/>
        </w:rPr>
        <w:tab/>
      </w:r>
      <w:r w:rsidRPr="00DC73DC">
        <w:t>V České republice nemusí být právo styku upraveno soudně, postačuje dohoda mezi rodiči. V opačném případě tedy může rozhodnout soud</w:t>
      </w:r>
      <w:r w:rsidR="006F472A" w:rsidRPr="00DC73DC">
        <w:t xml:space="preserve"> (§ 877 </w:t>
      </w:r>
      <w:r w:rsidR="00887CCB">
        <w:t>OZ</w:t>
      </w:r>
      <w:r w:rsidR="006F472A" w:rsidRPr="00DC73DC">
        <w:t>)</w:t>
      </w:r>
      <w:r w:rsidRPr="00DC73DC">
        <w:t xml:space="preserve">. Nachází-li se dítě v České republice, lze zahájit řízení v místě bydliště dítěte, řízení je osvobozeno od soudních poplatků a není potřeba zastoupení advokátem. V případě potřeby pomoci se sepsáním návrhu, je možné se obrátit bezplatně na orgán sociálně-právní ochrany dětí, kterým je příslušný obecní či městský úřad, opatrnická oddělení soudů nebo právní poradny. </w:t>
      </w:r>
      <w:r w:rsidR="0074321F" w:rsidRPr="00DC73DC">
        <w:t>V momentě, kdy dítě žije v zahraničí, je příslušným soud v místě obvyklého bydliště dítěte.</w:t>
      </w:r>
      <w:r w:rsidR="0074321F" w:rsidRPr="00DC73DC">
        <w:rPr>
          <w:rStyle w:val="Znakapoznpodarou"/>
        </w:rPr>
        <w:footnoteReference w:id="83"/>
      </w:r>
    </w:p>
    <w:p w14:paraId="5D11BF5C" w14:textId="777DAE40" w:rsidR="0016786F" w:rsidRPr="00DC73DC" w:rsidRDefault="0016786F" w:rsidP="00C578B0">
      <w:pPr>
        <w:pStyle w:val="Nadpis3"/>
        <w:numPr>
          <w:ilvl w:val="2"/>
          <w:numId w:val="17"/>
        </w:numPr>
        <w:spacing w:line="360" w:lineRule="auto"/>
        <w:jc w:val="both"/>
        <w:rPr>
          <w:rFonts w:cs="Times New Roman"/>
        </w:rPr>
      </w:pPr>
      <w:bookmarkStart w:id="39" w:name="_Toc364927629"/>
      <w:bookmarkStart w:id="40" w:name="_Toc491117225"/>
      <w:r w:rsidRPr="00DC73DC">
        <w:rPr>
          <w:rFonts w:cs="Times New Roman"/>
        </w:rPr>
        <w:t>Zájem dítěte</w:t>
      </w:r>
      <w:bookmarkEnd w:id="39"/>
      <w:bookmarkEnd w:id="40"/>
    </w:p>
    <w:p w14:paraId="0CE7127A" w14:textId="5CE96371" w:rsidR="004C0C8A" w:rsidRPr="00DC73DC" w:rsidRDefault="00AC6525" w:rsidP="00F76295">
      <w:pPr>
        <w:spacing w:line="360" w:lineRule="auto"/>
        <w:jc w:val="both"/>
      </w:pPr>
      <w:r w:rsidRPr="00DC73DC">
        <w:t>V neposlední řadě pojem zájmu dítěte, který je utvářen dvěma aspekty. Těmito aspekty jsou nejen zájem na tom udržet si rodinné vazby, popř. zachovat osobní vazby, není-li rodinné prostředí vhodné, ale také možnost vyvíjení se ve zdravém prostředí.</w:t>
      </w:r>
      <w:r w:rsidRPr="00DC73DC">
        <w:rPr>
          <w:rStyle w:val="Znakapoznpodarou"/>
        </w:rPr>
        <w:footnoteReference w:id="84"/>
      </w:r>
      <w:r w:rsidRPr="00DC73DC">
        <w:t xml:space="preserve"> </w:t>
      </w:r>
    </w:p>
    <w:p w14:paraId="17BC94EF" w14:textId="5F3EE4F0" w:rsidR="00AC6525" w:rsidRPr="00DC73DC" w:rsidRDefault="001B47E3" w:rsidP="00F76295">
      <w:pPr>
        <w:spacing w:line="360" w:lineRule="auto"/>
        <w:jc w:val="both"/>
      </w:pPr>
      <w:r>
        <w:t>Podle</w:t>
      </w:r>
      <w:r w:rsidR="00DF0ED0">
        <w:t xml:space="preserve"> </w:t>
      </w:r>
      <w:r w:rsidR="005A188E" w:rsidRPr="00DC73DC">
        <w:t>své povahy a závažnosti má zájem dítěte převážit nad zájmy rodiče, přestože zájmy rodičů</w:t>
      </w:r>
      <w:r w:rsidR="007D5F48">
        <w:t>,</w:t>
      </w:r>
      <w:r w:rsidR="005A188E" w:rsidRPr="00DC73DC">
        <w:t xml:space="preserve"> a to zejména právo na pravidelný kontakt s dítětem, zůstávají relevantním hlediskem při vyvažování dotčených zájmů.</w:t>
      </w:r>
      <w:r w:rsidR="005A188E" w:rsidRPr="00DC73DC">
        <w:rPr>
          <w:rStyle w:val="Znakapoznpodarou"/>
        </w:rPr>
        <w:footnoteReference w:id="85"/>
      </w:r>
    </w:p>
    <w:p w14:paraId="7A64C3F5" w14:textId="532E1CAF" w:rsidR="00AC6525" w:rsidRPr="00DC73DC" w:rsidRDefault="00A32882" w:rsidP="00F76295">
      <w:pPr>
        <w:spacing w:line="360" w:lineRule="auto"/>
        <w:jc w:val="both"/>
      </w:pPr>
      <w:r w:rsidRPr="00DC73DC">
        <w:t xml:space="preserve">S výše zmíněným veřejným zájmem souvisí čl. 23 písm. a) </w:t>
      </w:r>
      <w:r w:rsidR="00415A73">
        <w:t xml:space="preserve">Nařízení Brusel </w:t>
      </w:r>
      <w:proofErr w:type="spellStart"/>
      <w:r w:rsidR="00415A73">
        <w:t>IIa</w:t>
      </w:r>
      <w:proofErr w:type="spellEnd"/>
      <w:r w:rsidR="00415A73">
        <w:t xml:space="preserve">., </w:t>
      </w:r>
      <w:r w:rsidRPr="00DC73DC">
        <w:t>který stanoví důvody pro neuznání rozhodnutí ve věci rodičovské odpovědnosti a to „je-li takové uznání zjevně v rozporu s veřejným pořádkem členského státu, v němž se o uznání žádá, přičemž jsou vzaty v úvahu [nejlepší] zájmy dítěte.</w:t>
      </w:r>
      <w:r w:rsidR="00B101B5">
        <w:t>“</w:t>
      </w:r>
      <w:r w:rsidRPr="00DC73DC">
        <w:rPr>
          <w:rStyle w:val="Znakapoznpodarou"/>
        </w:rPr>
        <w:footnoteReference w:id="86"/>
      </w:r>
    </w:p>
    <w:p w14:paraId="06BE818C" w14:textId="3CDD7C6D" w:rsidR="009F5E40" w:rsidRPr="00DC73DC" w:rsidRDefault="009F5E40" w:rsidP="00F76295">
      <w:pPr>
        <w:spacing w:line="360" w:lineRule="auto"/>
        <w:jc w:val="both"/>
      </w:pPr>
      <w:r w:rsidRPr="00DC73DC">
        <w:t>D</w:t>
      </w:r>
      <w:r w:rsidR="00235DF2" w:rsidRPr="00DC73DC">
        <w:t xml:space="preserve">ůvodová zpráva k Haagské úmluvě k zájmu dítěte uvádí, že </w:t>
      </w:r>
      <w:r w:rsidR="00235DF2" w:rsidRPr="00415A73">
        <w:rPr>
          <w:i/>
        </w:rPr>
        <w:t>„právo nebýt přemístěné nebo zadržované</w:t>
      </w:r>
      <w:r w:rsidR="002B5931">
        <w:rPr>
          <w:i/>
        </w:rPr>
        <w:t>,</w:t>
      </w:r>
      <w:r w:rsidR="00415A73" w:rsidRPr="00415A73">
        <w:rPr>
          <w:i/>
        </w:rPr>
        <w:t>“</w:t>
      </w:r>
      <w:r w:rsidR="00235DF2" w:rsidRPr="00415A73">
        <w:rPr>
          <w:i/>
        </w:rPr>
        <w:t xml:space="preserve"> </w:t>
      </w:r>
      <w:r w:rsidR="00235DF2" w:rsidRPr="00DC73DC">
        <w:t>ve jménu více či méně diskutabilních práv vztahujících se k jeho osobě</w:t>
      </w:r>
      <w:r w:rsidR="002B5931">
        <w:t>,</w:t>
      </w:r>
      <w:r w:rsidR="00235DF2" w:rsidRPr="00DC73DC">
        <w:t xml:space="preserve"> je jedním z nejobjektivnějších příkladů toho, co je podstatou zájmu dítěte. V tomto ohledu by bylo možné se též odvolat na Doporučení 874)1979) Parlamentního shromáždění Rady </w:t>
      </w:r>
      <w:r w:rsidR="00235DF2" w:rsidRPr="00DC73DC">
        <w:lastRenderedPageBreak/>
        <w:t>Evropy, jehož první všeobecná zásada uvádí, že děti se již nesmí považovat za vlastnictví rodičů, ale musí se uznávat jako jedinci se svými vlastními právy a potřebami.</w:t>
      </w:r>
      <w:r w:rsidR="00235DF2" w:rsidRPr="00DC73DC">
        <w:rPr>
          <w:rStyle w:val="Znakapoznpodarou"/>
        </w:rPr>
        <w:footnoteReference w:id="87"/>
      </w:r>
    </w:p>
    <w:p w14:paraId="557C8EEE" w14:textId="5926059A" w:rsidR="003E0B4D" w:rsidRPr="00DC73DC" w:rsidRDefault="003E0B4D" w:rsidP="00415A73">
      <w:pPr>
        <w:pStyle w:val="Nadpis2"/>
        <w:numPr>
          <w:ilvl w:val="1"/>
          <w:numId w:val="11"/>
        </w:numPr>
        <w:spacing w:line="360" w:lineRule="auto"/>
        <w:jc w:val="both"/>
        <w:rPr>
          <w:rFonts w:cs="Times New Roman"/>
        </w:rPr>
      </w:pPr>
      <w:bookmarkStart w:id="41" w:name="_Toc364534198"/>
      <w:bookmarkStart w:id="42" w:name="_Toc364927630"/>
      <w:bookmarkStart w:id="43" w:name="_Toc491117226"/>
      <w:r w:rsidRPr="00DC73DC">
        <w:rPr>
          <w:rFonts w:cs="Times New Roman"/>
        </w:rPr>
        <w:t xml:space="preserve">Pojem obvyklého bydliště dítěte </w:t>
      </w:r>
      <w:r w:rsidR="001B47E3">
        <w:rPr>
          <w:rFonts w:cs="Times New Roman"/>
        </w:rPr>
        <w:t>podle</w:t>
      </w:r>
      <w:r w:rsidRPr="00DC73DC">
        <w:rPr>
          <w:rFonts w:cs="Times New Roman"/>
        </w:rPr>
        <w:t xml:space="preserve"> judikatury českých soudů</w:t>
      </w:r>
      <w:bookmarkEnd w:id="41"/>
      <w:bookmarkEnd w:id="42"/>
      <w:bookmarkEnd w:id="43"/>
      <w:r w:rsidRPr="00DC73DC">
        <w:rPr>
          <w:rFonts w:cs="Times New Roman"/>
        </w:rPr>
        <w:t xml:space="preserve"> </w:t>
      </w:r>
    </w:p>
    <w:p w14:paraId="26842DB5" w14:textId="7AD12C55" w:rsidR="003E0B4D" w:rsidRPr="00DC73DC" w:rsidRDefault="003E0B4D" w:rsidP="002B5931">
      <w:pPr>
        <w:spacing w:line="360" w:lineRule="auto"/>
        <w:ind w:firstLine="709"/>
        <w:jc w:val="both"/>
      </w:pPr>
      <w:r w:rsidRPr="00DC73DC">
        <w:t xml:space="preserve">Výše zmíněné mezinárodní dokumenty, tedy Haagská úmluva a Brusel </w:t>
      </w:r>
      <w:proofErr w:type="spellStart"/>
      <w:r w:rsidRPr="00DC73DC">
        <w:t>IIa</w:t>
      </w:r>
      <w:proofErr w:type="spellEnd"/>
      <w:r w:rsidRPr="00DC73DC">
        <w:t xml:space="preserve"> pojem </w:t>
      </w:r>
      <w:r w:rsidR="0083257F">
        <w:t xml:space="preserve">obvyklého bydliště </w:t>
      </w:r>
      <w:r w:rsidRPr="00DC73DC">
        <w:t xml:space="preserve">používají, avšak jako samotný jej nedefinují. Je proto potřeba nahlédnout do judikatury českých soudů, stejně tak jako pro srovnání do judikatury soudů zahraničních. </w:t>
      </w:r>
    </w:p>
    <w:p w14:paraId="37DA4C26" w14:textId="1CD7E08F" w:rsidR="003E0B4D" w:rsidRPr="00DC73DC" w:rsidRDefault="003E0B4D" w:rsidP="002B5931">
      <w:pPr>
        <w:spacing w:line="360" w:lineRule="auto"/>
        <w:ind w:firstLine="709"/>
        <w:jc w:val="both"/>
      </w:pPr>
      <w:r w:rsidRPr="00DC73DC">
        <w:t>Českými soudy byl pojem obvyklého bydlišt</w:t>
      </w:r>
      <w:r w:rsidR="006B644B">
        <w:t>ě dítěte založen na konceptu, podle něhož by</w:t>
      </w:r>
      <w:r w:rsidRPr="00DC73DC">
        <w:t xml:space="preserve"> měl být</w:t>
      </w:r>
      <w:r w:rsidR="006B644B">
        <w:t xml:space="preserve"> tento pojem</w:t>
      </w:r>
      <w:r w:rsidRPr="00DC73DC">
        <w:t xml:space="preserve"> vykládán vždy ve vztahu k reálné situaci dítěte a k okolnostem života toho</w:t>
      </w:r>
      <w:r w:rsidR="001D39BC">
        <w:t xml:space="preserve"> daného</w:t>
      </w:r>
      <w:r w:rsidRPr="00DC73DC">
        <w:t xml:space="preserve"> konkrétního dítěte. Formalismus daný například trvalým bydlištěm, místem narození či délkou pobytu, které mohou být vytržené z celého kontextu dosavadního života dítěte, by měl být opomenut.</w:t>
      </w:r>
      <w:r w:rsidRPr="00DC73DC">
        <w:rPr>
          <w:rStyle w:val="Znakapoznpodarou"/>
        </w:rPr>
        <w:footnoteReference w:id="88"/>
      </w:r>
    </w:p>
    <w:p w14:paraId="4CA82E03" w14:textId="3AC9047D" w:rsidR="003E0B4D" w:rsidRPr="00DC73DC" w:rsidRDefault="003E0B4D" w:rsidP="002B5931">
      <w:pPr>
        <w:spacing w:line="360" w:lineRule="auto"/>
        <w:ind w:firstLine="709"/>
        <w:jc w:val="both"/>
      </w:pPr>
      <w:r w:rsidRPr="00DC73DC">
        <w:t xml:space="preserve">Nejvyšší soud </w:t>
      </w:r>
      <w:r w:rsidR="00A61EE0">
        <w:t xml:space="preserve">ČR </w:t>
      </w:r>
      <w:r w:rsidRPr="00DC73DC">
        <w:t>ve svém rozhodnutí z roku 2011 kladl důraz na to, aby obecné soudy při hodnocení obvyklého bydliště dítěte posuzovali fakticitu</w:t>
      </w:r>
      <w:r w:rsidR="002B5931">
        <w:t>,</w:t>
      </w:r>
      <w:r w:rsidRPr="00DC73DC">
        <w:t xml:space="preserve"> a nikoliv stav právní. Stanovil, že „vnitrostátnímu soudu přísluší určit místo obvyklého bydliště dítěte s přihlédnutím ke všem konkrétním skutkovým okolnostem v každém jednotlivém případě. Kromě fyzické přítomnosti dítěte v členském státě je třeba zohlednit další skutečnosti, které mohou nasvědčovat tomu, že tato přítomnost nemá pouze dočasnou či příležitostnou povahu a že pobyt dítěte vykazuje jistou integraci v rámci sociálního a rodinného prostředí.“</w:t>
      </w:r>
      <w:r w:rsidRPr="00DC73DC">
        <w:rPr>
          <w:rStyle w:val="Znakapoznpodarou"/>
        </w:rPr>
        <w:footnoteReference w:id="89"/>
      </w:r>
    </w:p>
    <w:p w14:paraId="6AFA0B9E" w14:textId="2F7A04BC" w:rsidR="007B52BC" w:rsidRPr="00DC73DC" w:rsidRDefault="007B52BC" w:rsidP="002B5931">
      <w:pPr>
        <w:spacing w:line="360" w:lineRule="auto"/>
        <w:ind w:firstLine="709"/>
        <w:jc w:val="both"/>
      </w:pPr>
      <w:r w:rsidRPr="00DC73DC">
        <w:t>V tomto rozhodnutí Nejvyšší</w:t>
      </w:r>
      <w:r w:rsidR="00433179" w:rsidRPr="00DC73DC">
        <w:t xml:space="preserve"> soud kladl důraz na rozlišením mezi obvyklým bydlištěm a pouhou dočasnou přítomností, kdy </w:t>
      </w:r>
      <w:r w:rsidR="001B47E3">
        <w:t>podle</w:t>
      </w:r>
      <w:r w:rsidR="00433179" w:rsidRPr="00DC73DC">
        <w:t xml:space="preserve"> něj v případě obvyklého bydliště musí pobyt určitou dobu trvat, vyznačovat se dostatečnou mírou stálosti. Dítě by mělo mít k takovému místu vytvořen vztah domova, který je </w:t>
      </w:r>
      <w:r w:rsidR="001B47E3">
        <w:t>podle</w:t>
      </w:r>
      <w:r w:rsidR="00433179" w:rsidRPr="00DC73DC">
        <w:t xml:space="preserve"> něj vyznačován zejména skutečností, že má v takovém místě dítě svého doktora, chodí tam do školy či šk</w:t>
      </w:r>
      <w:r w:rsidR="00EB522B" w:rsidRPr="00DC73DC">
        <w:t xml:space="preserve">olky, má zázemí svých kamarádů či příbuzných a ztráta takového místa by pro něj představovalo určité trauma. Rodinné prostředí tvořené blízkými osobami může být těžké nalézt zejména v případě, kdy rodiče často cestují za prací. V tomto případě užil Nejvyšší soud k výkladu judikaturu </w:t>
      </w:r>
      <w:r w:rsidR="00415A73">
        <w:t>ESD</w:t>
      </w:r>
      <w:r w:rsidR="00EB522B" w:rsidRPr="00DC73DC">
        <w:t xml:space="preserve"> ve věci </w:t>
      </w:r>
      <w:proofErr w:type="spellStart"/>
      <w:r w:rsidR="00EB522B" w:rsidRPr="00DC73DC">
        <w:t>Cameron</w:t>
      </w:r>
      <w:proofErr w:type="spellEnd"/>
      <w:r w:rsidR="00EB522B" w:rsidRPr="00DC73DC">
        <w:t xml:space="preserve"> v. </w:t>
      </w:r>
      <w:proofErr w:type="spellStart"/>
      <w:r w:rsidR="00EB522B" w:rsidRPr="00DC73DC">
        <w:t>Cameron</w:t>
      </w:r>
      <w:proofErr w:type="spellEnd"/>
      <w:r w:rsidR="00EB522B" w:rsidRPr="00DC73DC">
        <w:t>, kdy soud konstatoval, že neexistuje minimální doba, po kterou je nutno v daném novém státě žít, aby bylo možné požadovat změnu obvyklého bydliště.</w:t>
      </w:r>
      <w:r w:rsidR="00EB522B" w:rsidRPr="00DC73DC">
        <w:rPr>
          <w:rStyle w:val="Znakapoznpodarou"/>
        </w:rPr>
        <w:footnoteReference w:id="90"/>
      </w:r>
    </w:p>
    <w:p w14:paraId="159CA722" w14:textId="3A1D4AA2" w:rsidR="008A3B4C" w:rsidRPr="00DC73DC" w:rsidRDefault="008A3B4C" w:rsidP="002B5931">
      <w:pPr>
        <w:spacing w:line="360" w:lineRule="auto"/>
        <w:ind w:firstLine="709"/>
        <w:jc w:val="both"/>
      </w:pPr>
      <w:r w:rsidRPr="00DC73DC">
        <w:lastRenderedPageBreak/>
        <w:t>Sociální postavení dítěte se rozumí zejména to, které osoby, popř. orgány a jakým způsobem zajišťují péči o dítě, jeho východu a výživu. Také jsou důležité k posouzení vzájemné citové vazby a vazby těchto osob a dítěte, případně širší rodiny.</w:t>
      </w:r>
      <w:r w:rsidRPr="00DC73DC">
        <w:rPr>
          <w:rStyle w:val="Znakapoznpodarou"/>
        </w:rPr>
        <w:footnoteReference w:id="91"/>
      </w:r>
    </w:p>
    <w:p w14:paraId="35C48B35" w14:textId="46D6E8B1" w:rsidR="003E0B4D" w:rsidRPr="00DC73DC" w:rsidRDefault="003E0B4D" w:rsidP="002B5931">
      <w:pPr>
        <w:spacing w:line="360" w:lineRule="auto"/>
        <w:ind w:firstLine="709"/>
        <w:jc w:val="both"/>
      </w:pPr>
      <w:r w:rsidRPr="00DC73DC">
        <w:t>Stejný názor bychom pak nalezli v rozhodnutí Krajského soudu v Brně, který stanovil, že „místo obvyklého bydliště dítěte je třeba vždy určit na základě fakticity pobytu dítě</w:t>
      </w:r>
      <w:r w:rsidR="00415A73">
        <w:t>te v konkrétním členském státě Haagské ú</w:t>
      </w:r>
      <w:r w:rsidRPr="00DC73DC">
        <w:t xml:space="preserve">mluvy. </w:t>
      </w:r>
      <w:r w:rsidRPr="00415A73">
        <w:t>Místo obvyklého bydliště dítěte je založeno nejen na přítomnosti dítěte v tomto členském státě</w:t>
      </w:r>
      <w:r w:rsidRPr="00DC73DC">
        <w:t xml:space="preserve">, ale také na určitém stupni integrace dítěte do společenského a rodinného prostředí, tzv. </w:t>
      </w:r>
      <w:r w:rsidR="009F27BF">
        <w:t>„</w:t>
      </w:r>
      <w:r w:rsidRPr="00DC73DC">
        <w:t>aktuální centru zájmů</w:t>
      </w:r>
      <w:r w:rsidR="009F27BF">
        <w:t>“</w:t>
      </w:r>
      <w:r w:rsidRPr="00DC73DC">
        <w:t xml:space="preserve"> dítěte v tomto státě. K relevantním faktorům patří délka pobytu, pravidelnost pobytu, záměry a důvody pro předchozí stěhování a následný </w:t>
      </w:r>
      <w:r w:rsidR="008B1BDA">
        <w:t>p</w:t>
      </w:r>
      <w:r w:rsidRPr="00DC73DC">
        <w:t>obyt dítěte v daném členském státě, národnost dítěte, místo a</w:t>
      </w:r>
      <w:r w:rsidR="00D22988">
        <w:t> </w:t>
      </w:r>
      <w:r w:rsidRPr="00DC73DC">
        <w:t xml:space="preserve">podmínky návštěvy školy, jazykové znalosti, rodinné, </w:t>
      </w:r>
      <w:r w:rsidR="007D3557">
        <w:t>společenské a kulturní vztahy a a</w:t>
      </w:r>
      <w:r w:rsidRPr="00DC73DC">
        <w:t>ktivity dítěte, úmysl rodičů usadit se v členském státě, sídlo ošet</w:t>
      </w:r>
      <w:r w:rsidR="007D3557">
        <w:t>řujícího lékaře dítěte a </w:t>
      </w:r>
      <w:r w:rsidRPr="00DC73DC">
        <w:t>v neposlední řadě i nákup, prodej či pronájem nemovitosti rodiči dítěte v daném členském státě nebo jejich další významnější majetkové dispozice.“</w:t>
      </w:r>
      <w:r w:rsidRPr="00DC73DC">
        <w:rPr>
          <w:rStyle w:val="Znakapoznpodarou"/>
        </w:rPr>
        <w:footnoteReference w:id="92"/>
      </w:r>
    </w:p>
    <w:p w14:paraId="501D5183" w14:textId="7D3DBF50" w:rsidR="003E0B4D" w:rsidRPr="00DC73DC" w:rsidRDefault="003E0B4D" w:rsidP="002B5931">
      <w:pPr>
        <w:spacing w:line="360" w:lineRule="auto"/>
        <w:ind w:firstLine="709"/>
        <w:jc w:val="both"/>
      </w:pPr>
      <w:r w:rsidRPr="00DC73DC">
        <w:t>Korekci výkladu pojmu obvyklého bydliště dítěte ve vztahu k nejlepším zájmům dítěte pak můžeme najít v rozhodnutí Nejvyššího soudu</w:t>
      </w:r>
      <w:r w:rsidR="007D3557">
        <w:t xml:space="preserve"> ČR</w:t>
      </w:r>
      <w:r w:rsidRPr="00DC73DC">
        <w:t xml:space="preserve"> z roku 2008</w:t>
      </w:r>
      <w:r w:rsidR="00415A73">
        <w:t>, který stanovil, že „oba cíle Haagské ú</w:t>
      </w:r>
      <w:r w:rsidRPr="00DC73DC">
        <w:t xml:space="preserve">mluvy – jeden preventivní, a druhý určený k zabezpečení okamžité reintegrace dítěte do jeho </w:t>
      </w:r>
      <w:r w:rsidRPr="00415A73">
        <w:t>obvyklého prostředí – korespondují se specifickou ideou nejlepších zájmů dítěte. Nicméně je třeba připustit, že přemístění dítěte může někdy být odůvodněno objekt</w:t>
      </w:r>
      <w:r w:rsidR="00D76576">
        <w:t>ivními důvody, které mají co do</w:t>
      </w:r>
      <w:r w:rsidRPr="00415A73">
        <w:t>činění</w:t>
      </w:r>
      <w:r w:rsidRPr="00DC73DC">
        <w:t xml:space="preserve"> jak s dítětem samotným, tak s prostředím, s nimž je dítě nejtěsněji spojeno. Proto Úmluva uznává potřebu jistých výjimek z obecných závazků států při zajišťování návratu dětí, které byly protiprávně přemístěny nebo zadrženy</w:t>
      </w:r>
      <w:r w:rsidR="00A35AFB">
        <w:t>.</w:t>
      </w:r>
      <w:r w:rsidRPr="00DC73DC">
        <w:t xml:space="preserve">“ </w:t>
      </w:r>
      <w:r w:rsidRPr="00DC73DC">
        <w:rPr>
          <w:rStyle w:val="Znakapoznpodarou"/>
        </w:rPr>
        <w:footnoteReference w:id="93"/>
      </w:r>
    </w:p>
    <w:p w14:paraId="0FCCDF97" w14:textId="4C073967" w:rsidR="00A001BC" w:rsidRPr="00DC73DC" w:rsidRDefault="003E0B4D" w:rsidP="002B5931">
      <w:pPr>
        <w:spacing w:line="360" w:lineRule="auto"/>
        <w:ind w:firstLine="709"/>
        <w:jc w:val="both"/>
      </w:pPr>
      <w:r w:rsidRPr="00DC73DC">
        <w:t>V</w:t>
      </w:r>
      <w:r w:rsidR="0029143F">
        <w:t xml:space="preserve"> </w:t>
      </w:r>
      <w:r w:rsidRPr="00DC73DC">
        <w:t>rozhodnutí Nejvyššího soudu z roku 2015 nalezneme</w:t>
      </w:r>
      <w:r w:rsidR="00652487">
        <w:t xml:space="preserve"> výklad obvyklého bydliště dítěte,</w:t>
      </w:r>
      <w:r w:rsidRPr="00DC73DC">
        <w:t xml:space="preserve"> a to také ve smys</w:t>
      </w:r>
      <w:r w:rsidR="00415A73">
        <w:t xml:space="preserve">lu čl. 8 odst. 1 Nařízení Brusel </w:t>
      </w:r>
      <w:proofErr w:type="spellStart"/>
      <w:r w:rsidR="00415A73">
        <w:t>IIa</w:t>
      </w:r>
      <w:proofErr w:type="spellEnd"/>
      <w:r w:rsidR="00415A73">
        <w:t>.</w:t>
      </w:r>
      <w:r w:rsidR="00777B1B">
        <w:t>, kterým má být: „</w:t>
      </w:r>
      <w:r w:rsidRPr="00DC73DC">
        <w:t>místo, v němž má osoba těžiště svého života. Přichází-li v úvahu určení obvyklého pobytu (by</w:t>
      </w:r>
      <w:r w:rsidR="00C26D1E">
        <w:t>dliště) na území více států EU, j</w:t>
      </w:r>
      <w:r w:rsidRPr="00415A73">
        <w:t>e úkolem soudu, s přihlédnutím ke všem okolnostem případu, určit poměr rodinného a společenského začlenění dítěte v jedn</w:t>
      </w:r>
      <w:r w:rsidR="00830339">
        <w:t>om členském státu k rodinnému a </w:t>
      </w:r>
      <w:r w:rsidRPr="00415A73">
        <w:t>společenskému začlenění dítěte k jiném členském státě.“</w:t>
      </w:r>
      <w:r w:rsidRPr="00415A73">
        <w:rPr>
          <w:rStyle w:val="Znakapoznpodarou"/>
        </w:rPr>
        <w:footnoteReference w:id="94"/>
      </w:r>
    </w:p>
    <w:p w14:paraId="41AA64E5" w14:textId="77777777" w:rsidR="003E0B4D" w:rsidRPr="00DC73DC" w:rsidRDefault="00AB2B04" w:rsidP="00F76295">
      <w:pPr>
        <w:spacing w:line="360" w:lineRule="auto"/>
        <w:ind w:firstLine="0"/>
        <w:jc w:val="both"/>
      </w:pPr>
      <w:r w:rsidRPr="00DC73DC">
        <w:tab/>
      </w:r>
    </w:p>
    <w:p w14:paraId="40ED7225" w14:textId="77777777" w:rsidR="003E0B4D" w:rsidRPr="00DC73DC" w:rsidRDefault="003E0B4D" w:rsidP="009E2F35">
      <w:pPr>
        <w:pStyle w:val="Nadpis1"/>
      </w:pPr>
      <w:bookmarkStart w:id="44" w:name="_Toc364534199"/>
      <w:bookmarkStart w:id="45" w:name="_Toc364927631"/>
      <w:bookmarkStart w:id="46" w:name="_Toc491117227"/>
      <w:r w:rsidRPr="00DC73DC">
        <w:lastRenderedPageBreak/>
        <w:t>Výklad obvyklého bydliště dítěte ve smyslu stanoviska Soudního dvora</w:t>
      </w:r>
      <w:bookmarkEnd w:id="44"/>
      <w:bookmarkEnd w:id="45"/>
      <w:bookmarkEnd w:id="46"/>
      <w:r w:rsidRPr="00DC73DC">
        <w:t xml:space="preserve"> </w:t>
      </w:r>
    </w:p>
    <w:p w14:paraId="7040BDD2" w14:textId="1E761061" w:rsidR="003E0B4D" w:rsidRPr="00DC73DC" w:rsidRDefault="003E0B4D" w:rsidP="00007D83">
      <w:pPr>
        <w:spacing w:line="360" w:lineRule="auto"/>
        <w:ind w:firstLine="720"/>
        <w:jc w:val="both"/>
      </w:pPr>
      <w:r w:rsidRPr="00DC73DC">
        <w:t>Pro zpracování své diplomové práce a zejména výkladu pojmu obvyklého bydliště dítěte jsem užila stanovisko</w:t>
      </w:r>
      <w:r w:rsidR="00113B14">
        <w:t xml:space="preserve"> Soudního dvora přednesené 16. k</w:t>
      </w:r>
      <w:r w:rsidRPr="00DC73DC">
        <w:t xml:space="preserve">větna 2017; Věc C-111/17 PPU, OL proti PQ. V daném případě byl Soudní dvůr požádán o vyřešení předběžné otázky, která se vztahovala na situaci, kdy bylo dítě narozené v jiném členském státě, než ve kterém měli jeho rodiče společné bydliště, a které následně zůstalo s matkou v členském státě, v němž se narodilo. Řešil se tak zejména výklad ve vztahu ke kojenci a fyzické přítomnosti dítěte ve vztahu k určení obvyklého bydliště dítěte. </w:t>
      </w:r>
    </w:p>
    <w:p w14:paraId="7EBF0CF5" w14:textId="73930EA6" w:rsidR="003E0B4D" w:rsidRPr="00DC73DC" w:rsidRDefault="003E0B4D" w:rsidP="00007D83">
      <w:pPr>
        <w:spacing w:line="360" w:lineRule="auto"/>
        <w:ind w:firstLine="720"/>
        <w:jc w:val="both"/>
      </w:pPr>
      <w:r w:rsidRPr="00DC73DC">
        <w:t>Manželé v daném případě žili v Itálii, kde měli i společné obvyklé bydliště. V osmém měsíci těhotenství se manželé vydali do Řecka, aby zde manželka porodila a od porodu v Řecku také zůstala. Před italskými soudy se manžel domá</w:t>
      </w:r>
      <w:r w:rsidR="00D776E5">
        <w:t>hal jednak rozvodu manželství a </w:t>
      </w:r>
      <w:r w:rsidRPr="00DC73DC">
        <w:t>současně svěření dcery do své výhradní péče</w:t>
      </w:r>
      <w:r w:rsidR="00A93026">
        <w:t>,</w:t>
      </w:r>
      <w:r w:rsidRPr="00DC73DC">
        <w:t xml:space="preserve"> a to do Itálie. Žena se však rozhodla zůstat v Řecku, kde dítě mělo od porodu až do současnosti obvyklé bydliště. Itals</w:t>
      </w:r>
      <w:r w:rsidR="00A93026">
        <w:t>ké soudy se v pochybách obrátily</w:t>
      </w:r>
      <w:r w:rsidRPr="00DC73DC">
        <w:t xml:space="preserve"> na Soudní dvůr s žádostí o zodpovězení otázky, jak je třeba vykládat pojem „</w:t>
      </w:r>
      <w:r w:rsidRPr="00943F0A">
        <w:rPr>
          <w:i/>
        </w:rPr>
        <w:t>obvyklého bydliště</w:t>
      </w:r>
      <w:r w:rsidRPr="00DC73DC">
        <w:t xml:space="preserve">“ ve smyslu čl. 11 odst. 1 nařízení Brusel </w:t>
      </w:r>
      <w:proofErr w:type="spellStart"/>
      <w:r w:rsidRPr="00DC73DC">
        <w:t>IIa</w:t>
      </w:r>
      <w:proofErr w:type="spellEnd"/>
      <w:r w:rsidR="00F16F43">
        <w:t>, a to v případě kojence narozeného</w:t>
      </w:r>
      <w:r w:rsidRPr="00DC73DC">
        <w:t xml:space="preserve"> v</w:t>
      </w:r>
      <w:r w:rsidR="00F16F43">
        <w:t> </w:t>
      </w:r>
      <w:r w:rsidRPr="00DC73DC">
        <w:t>jiném</w:t>
      </w:r>
      <w:r w:rsidR="00F16F43">
        <w:t xml:space="preserve"> místě</w:t>
      </w:r>
      <w:r w:rsidRPr="00DC73DC">
        <w:t>, než které jeho rodič</w:t>
      </w:r>
      <w:r w:rsidR="00172684" w:rsidRPr="00DC73DC">
        <w:t xml:space="preserve">e, </w:t>
      </w:r>
      <w:r w:rsidR="00676107">
        <w:t>mající k němu</w:t>
      </w:r>
      <w:r w:rsidRPr="00DC73DC">
        <w:t xml:space="preserve"> společně ro</w:t>
      </w:r>
      <w:r w:rsidR="00784FCE">
        <w:t xml:space="preserve">dičovskou </w:t>
      </w:r>
      <w:r w:rsidRPr="00DC73DC">
        <w:t>odpovědnost, zamýšleli jako místo jeho obvyklého bydliště, a který byl od té doby protiprávně zadržován jedním z jeho rodičů ve státě</w:t>
      </w:r>
      <w:r w:rsidR="00693AD1">
        <w:t xml:space="preserve"> jeho narození</w:t>
      </w:r>
      <w:r w:rsidRPr="00DC73DC">
        <w:t>, nebo který byl přemístěn do státu třetího. Konkrétně se Italské soudy zaměřili na otázku, zdali je fyzická přítomnost ve všech případech nezbytná a zjevná podmínka pro určení obvyklého bydliště osoby a zejména novorozence.</w:t>
      </w:r>
      <w:r w:rsidRPr="00DC73DC">
        <w:rPr>
          <w:rStyle w:val="Znakapoznpodarou"/>
        </w:rPr>
        <w:footnoteReference w:id="95"/>
      </w:r>
      <w:r w:rsidRPr="00DC73DC">
        <w:t xml:space="preserve"> </w:t>
      </w:r>
    </w:p>
    <w:p w14:paraId="026113F6" w14:textId="4E48ECA8" w:rsidR="003E0B4D" w:rsidRPr="00DC73DC" w:rsidRDefault="003E0B4D" w:rsidP="00007D83">
      <w:pPr>
        <w:spacing w:line="360" w:lineRule="auto"/>
        <w:ind w:firstLine="720"/>
        <w:jc w:val="both"/>
      </w:pPr>
      <w:r w:rsidRPr="00DC73DC">
        <w:t xml:space="preserve">Tímto se spor odlišoval od ostatních. V případě dítěte nikdy nedošlo ke změně místa. Otec požadoval navrácení do země, ve kterém bylo poslední společné bydliště před narozením a </w:t>
      </w:r>
      <w:r w:rsidR="001B47E3">
        <w:t>podle</w:t>
      </w:r>
      <w:r w:rsidRPr="00DC73DC">
        <w:t xml:space="preserve"> </w:t>
      </w:r>
      <w:r w:rsidR="00172684" w:rsidRPr="00DC73DC">
        <w:t>něj</w:t>
      </w:r>
      <w:r w:rsidRPr="00DC73DC">
        <w:t xml:space="preserve"> nebyla v tomto případě relevantní kritéria pro určování místa obvyklého bydliště dítěte, která byla vyvozená judikaturou Soudního dvora</w:t>
      </w:r>
      <w:r w:rsidR="000F6D78">
        <w:t>,</w:t>
      </w:r>
      <w:r w:rsidRPr="00DC73DC">
        <w:t xml:space="preserve"> a to zejména z důvodu naprosté závislosti novorozence či ko</w:t>
      </w:r>
      <w:r w:rsidR="00172684" w:rsidRPr="00DC73DC">
        <w:t>je</w:t>
      </w:r>
      <w:r w:rsidRPr="00DC73DC">
        <w:t>nce na osobách, které ho mají v péči. Jinými slovy, předkládající soud požádal Soudní dvůr o rozhodnutí, že jde-li o určení obvyklého bydliště kojence v rámci žádosti o navrácení ve smyslu čl</w:t>
      </w:r>
      <w:r w:rsidR="00943F0A">
        <w:t>.</w:t>
      </w:r>
      <w:r w:rsidRPr="00DC73DC">
        <w:t xml:space="preserve"> 11 nařízení Brusel </w:t>
      </w:r>
      <w:proofErr w:type="spellStart"/>
      <w:r w:rsidRPr="00DC73DC">
        <w:t>IIa</w:t>
      </w:r>
      <w:proofErr w:type="spellEnd"/>
      <w:r w:rsidRPr="00DC73DC">
        <w:t xml:space="preserve">, není potřeba splnění podmínky, že dítě, které má být navráceno, bylo fyzicky přítomno v členském státě, do kterého má být navráceno </w:t>
      </w:r>
      <w:r w:rsidR="001B47E3">
        <w:t>podle</w:t>
      </w:r>
      <w:r w:rsidRPr="00DC73DC">
        <w:t xml:space="preserve"> žádosti jednoho z rodičů.</w:t>
      </w:r>
      <w:r w:rsidRPr="00DC73DC">
        <w:rPr>
          <w:rStyle w:val="Znakapoznpodarou"/>
        </w:rPr>
        <w:footnoteReference w:id="96"/>
      </w:r>
    </w:p>
    <w:p w14:paraId="614768B5" w14:textId="7808CD60" w:rsidR="003E0B4D" w:rsidRPr="00DC73DC" w:rsidRDefault="003E0B4D" w:rsidP="00007D83">
      <w:pPr>
        <w:spacing w:line="360" w:lineRule="auto"/>
        <w:ind w:firstLine="720"/>
        <w:jc w:val="both"/>
      </w:pPr>
      <w:r w:rsidRPr="00DC73DC">
        <w:lastRenderedPageBreak/>
        <w:t xml:space="preserve">Jak již upřesnil Soudní dvůr, Brusel </w:t>
      </w:r>
      <w:proofErr w:type="spellStart"/>
      <w:r w:rsidRPr="00DC73DC">
        <w:t>IIa</w:t>
      </w:r>
      <w:proofErr w:type="spellEnd"/>
      <w:r w:rsidRPr="00DC73DC">
        <w:t xml:space="preserve"> tvoří nedělitelný normativní celek, který se použije na řízení o navrácení dětí protiprávně přemístěných</w:t>
      </w:r>
      <w:r w:rsidR="00C47EF2">
        <w:t>,</w:t>
      </w:r>
      <w:r w:rsidRPr="00DC73DC">
        <w:t xml:space="preserve"> a to v rámci Evropské Unie.</w:t>
      </w:r>
      <w:r w:rsidRPr="00DC73DC">
        <w:rPr>
          <w:rStyle w:val="Znakapoznpodarou"/>
        </w:rPr>
        <w:footnoteReference w:id="97"/>
      </w:r>
      <w:r w:rsidRPr="00DC73DC">
        <w:t xml:space="preserve"> Brusel </w:t>
      </w:r>
      <w:proofErr w:type="spellStart"/>
      <w:r w:rsidRPr="00DC73DC">
        <w:t>IIa</w:t>
      </w:r>
      <w:proofErr w:type="spellEnd"/>
      <w:r w:rsidRPr="00DC73DC">
        <w:t xml:space="preserve"> ztělesňuje pojem obvyklého bydliště dítěte jako kritérium obecné příslušnosti. Článek 8, 10 a 11 uvedeného nařízení se vztahuje k příslušnosti soudů k projednání řízení a v uvedených článcích platí pravidlo příslušných soudů členských států, ve kterém mělo dítě obvyklé bydliště bezprostředně před svým protiprávním přemístěním nebo zadržením. Článek 13 odst. 1 nařízení Brusel </w:t>
      </w:r>
      <w:proofErr w:type="spellStart"/>
      <w:r w:rsidRPr="00DC73DC">
        <w:t>IIa</w:t>
      </w:r>
      <w:proofErr w:type="spellEnd"/>
      <w:r w:rsidRPr="00DC73DC">
        <w:t xml:space="preserve"> uvádí podpůrné kritérium, kdy nelze-li zjistit obvyklé bydliště dítěte, jsou příslušné soudy členského státu, ve kterém se dítě nachází.</w:t>
      </w:r>
      <w:r w:rsidRPr="00DC73DC">
        <w:rPr>
          <w:rStyle w:val="Znakapoznpodarou"/>
        </w:rPr>
        <w:footnoteReference w:id="98"/>
      </w:r>
      <w:r w:rsidRPr="00DC73DC">
        <w:t xml:space="preserve"> </w:t>
      </w:r>
    </w:p>
    <w:p w14:paraId="0B88C545" w14:textId="0E28F78E" w:rsidR="003E0B4D" w:rsidRPr="00DC73DC" w:rsidRDefault="003E0B4D" w:rsidP="00007D83">
      <w:pPr>
        <w:spacing w:line="360" w:lineRule="auto"/>
        <w:ind w:firstLine="720"/>
        <w:jc w:val="both"/>
      </w:pPr>
      <w:r w:rsidRPr="00DC73DC">
        <w:t>V tomto rozhodnutí tedy Soudní dvůr poukazuje na dvojí úlohu pojmu obvyklého bydliště</w:t>
      </w:r>
      <w:r w:rsidR="001C4264">
        <w:t>,</w:t>
      </w:r>
      <w:r w:rsidRPr="00DC73DC">
        <w:t xml:space="preserve"> a to v prvním případě, kdy obvyklé bydliště slouží k určení soudu příslušného k rozhodování o otázkách související s rodičovskou zodpovědností k dítěti a v případě protiprávního přemístění nebo zadržení jsou v souladu s článkem 10 nařízení Brusel </w:t>
      </w:r>
      <w:proofErr w:type="spellStart"/>
      <w:r w:rsidRPr="00DC73DC">
        <w:t>IIa</w:t>
      </w:r>
      <w:proofErr w:type="spellEnd"/>
      <w:r w:rsidRPr="00DC73DC">
        <w:t xml:space="preserve"> i nadále příslušné soudy členského státu, ve kterém mělo dítě obvyklé bydliště bezprostředně před svým protiprávním přemístěním či zadržením. A ve smyslu druhém, kdy pojem obvyklého bydliště dítěte je klíčovým pojmem</w:t>
      </w:r>
      <w:r w:rsidR="0029143F">
        <w:t xml:space="preserve"> </w:t>
      </w:r>
      <w:r w:rsidRPr="00DC73DC">
        <w:t>pro určení, zda skutečně došlo k protiprávnímu přemístění nebo zadržení dítěte ve smyslu článku 11 uvedeného nařízení.</w:t>
      </w:r>
      <w:r w:rsidRPr="00DC73DC">
        <w:rPr>
          <w:rStyle w:val="Znakapoznpodarou"/>
        </w:rPr>
        <w:footnoteReference w:id="99"/>
      </w:r>
    </w:p>
    <w:p w14:paraId="1904A68F" w14:textId="6433ECBD" w:rsidR="003E0B4D" w:rsidRPr="00DC73DC" w:rsidRDefault="003E0B4D" w:rsidP="00007D83">
      <w:pPr>
        <w:spacing w:line="360" w:lineRule="auto"/>
        <w:ind w:firstLine="709"/>
        <w:jc w:val="both"/>
      </w:pPr>
      <w:r w:rsidRPr="00DC73DC">
        <w:t>Současně platí, že určování obvyklého bydliště dítěte skutkovým zkoumáním je specifické pro každý posuzovaný případ.</w:t>
      </w:r>
      <w:r w:rsidRPr="00DC73DC">
        <w:rPr>
          <w:rStyle w:val="Znakapoznpodarou"/>
        </w:rPr>
        <w:footnoteReference w:id="100"/>
      </w:r>
      <w:r w:rsidRPr="00DC73DC">
        <w:t xml:space="preserve"> V souladu s ustálenou judikaturou musí být výklad pojmu obvyklého bydliště dítěte brán s ohledem na zájem dítěte a zejména na blízkost. Jedná se zejména o míru integrace dítěte v rámci sociálního a rodinného prostředí a které musí vnitrostátní soud posuzovat individuálně. Fyzická přítomnost má zvláštní význam při určení obvyklého bydliště dítěte.</w:t>
      </w:r>
      <w:r w:rsidRPr="00DC73DC">
        <w:rPr>
          <w:rStyle w:val="Znakapoznpodarou"/>
        </w:rPr>
        <w:footnoteReference w:id="101"/>
      </w:r>
      <w:r w:rsidRPr="00DC73DC">
        <w:t xml:space="preserve"> </w:t>
      </w:r>
      <w:r w:rsidR="001B47E3">
        <w:t>Podle</w:t>
      </w:r>
      <w:r w:rsidRPr="00DC73DC">
        <w:t xml:space="preserve"> Soudního dvora je důležité při určení obvyklého bydliště dítěte splnění podmínky, že dítě se v daném členském státě fyzicky zdržovalo a skutečnost, že má dítě státní příslušnost určitého členského státu nemůže sama o sobě stačit k</w:t>
      </w:r>
      <w:r w:rsidR="00DD15F1" w:rsidRPr="00DC73DC">
        <w:t> </w:t>
      </w:r>
      <w:r w:rsidRPr="00DC73DC">
        <w:t>tomu</w:t>
      </w:r>
      <w:r w:rsidR="00DD15F1" w:rsidRPr="00DC73DC">
        <w:t>, aby bylo možné na dítě pohlížet tak, že má v tomto členském státě obvyklé bydliště</w:t>
      </w:r>
      <w:r w:rsidRPr="00DC73DC">
        <w:rPr>
          <w:rStyle w:val="Znakapoznpodarou"/>
        </w:rPr>
        <w:footnoteReference w:id="102"/>
      </w:r>
      <w:r w:rsidRPr="00DC73DC">
        <w:t xml:space="preserve"> V případě posuzování fyzické přítomnosti je také důležité zjistit, zda tato přítomnost nemá pouze dočasnou či příležitostnou povahu.</w:t>
      </w:r>
      <w:r w:rsidRPr="00DC73DC">
        <w:rPr>
          <w:rStyle w:val="Znakapoznpodarou"/>
        </w:rPr>
        <w:footnoteReference w:id="103"/>
      </w:r>
      <w:r w:rsidRPr="00DC73DC">
        <w:t xml:space="preserve"> V zásadě by tedy mělo určitou dobu trvat, aby se fyzická přítomnost vyznačovala dostatečnou mírou stálosti</w:t>
      </w:r>
      <w:r w:rsidR="00B1452B">
        <w:t>,</w:t>
      </w:r>
      <w:r w:rsidRPr="00DC73DC">
        <w:t xml:space="preserve"> a to hlavně vůlí dotyčného si na </w:t>
      </w:r>
      <w:r w:rsidRPr="00DC73DC">
        <w:lastRenderedPageBreak/>
        <w:t>takovém území zřídit trvalé nebo obvyklé centrum svých zájmů s úmyslem přiznat takovémuto</w:t>
      </w:r>
      <w:r w:rsidR="00285DA4">
        <w:t xml:space="preserve"> místu stálou povahu. Takovými</w:t>
      </w:r>
      <w:r w:rsidRPr="00DC73DC">
        <w:t xml:space="preserve"> indiciemi, které mohou být pro posuzování obvyklého bydliště dítěte </w:t>
      </w:r>
      <w:r w:rsidR="00A306E9">
        <w:t xml:space="preserve">relevantní, je </w:t>
      </w:r>
      <w:r w:rsidRPr="00DC73DC">
        <w:t>zejména zájem nositele rodičovské zodpovědnosti usadit se s dítětem v jiném členském státě</w:t>
      </w:r>
      <w:r w:rsidR="00CC540C">
        <w:t>,</w:t>
      </w:r>
      <w:r w:rsidRPr="00DC73DC">
        <w:t xml:space="preserve"> popřípadě přijetí určitých hmatatelných opatření, což může představovat například koupě či nájem bytu v daném hostitelském státě. A to zejména z toho důvodu, že kojenec je zcela závislý na osobách, které ho obklopují a pro dítě nízkého věku je důležité především rodinné prostředí tvořené osobou či osobami, s nimiž dítě žije, a které o něj pečují.</w:t>
      </w:r>
      <w:r w:rsidRPr="00DC73DC">
        <w:rPr>
          <w:rStyle w:val="Znakapoznpodarou"/>
        </w:rPr>
        <w:footnoteReference w:id="104"/>
      </w:r>
      <w:r w:rsidRPr="00DC73DC">
        <w:t xml:space="preserve"> Shrnutím se dá říci, že podmínkou pro určení obvyklého bydliště dítěte je tedy fyzická přítomnost dítěte. Vzniká tedy otázka, jak by měly soudy postupovat v případě, kdy dítě nebylo fyzicky přemístěno z jednoho členského státu do druhého</w:t>
      </w:r>
      <w:r w:rsidR="00D25C6B">
        <w:t>,</w:t>
      </w:r>
      <w:r w:rsidRPr="00DC73DC">
        <w:t xml:space="preserve"> a zda lze od fyzické přítomnosti dítěte odhlédnout.</w:t>
      </w:r>
      <w:r w:rsidR="0029143F">
        <w:t xml:space="preserve"> </w:t>
      </w:r>
    </w:p>
    <w:p w14:paraId="62768228" w14:textId="77777777" w:rsidR="003E0B4D" w:rsidRPr="00E233C6" w:rsidRDefault="003E0B4D" w:rsidP="006C0FFF">
      <w:pPr>
        <w:pStyle w:val="Nadpis2"/>
        <w:ind w:left="1418" w:hanging="709"/>
        <w:jc w:val="both"/>
      </w:pPr>
      <w:bookmarkStart w:id="47" w:name="_Toc364927632"/>
      <w:bookmarkStart w:id="48" w:name="_Toc491117228"/>
      <w:r w:rsidRPr="00E233C6">
        <w:t xml:space="preserve">Určení obvyklého bydliště kojence ve smyslu článku 11 nařízení Brusel </w:t>
      </w:r>
      <w:proofErr w:type="spellStart"/>
      <w:r w:rsidRPr="00E233C6">
        <w:t>IIa</w:t>
      </w:r>
      <w:proofErr w:type="spellEnd"/>
      <w:r w:rsidRPr="00E233C6">
        <w:t xml:space="preserve"> ve smyslu splnění podmínky fyzické přítomnosti dítěte</w:t>
      </w:r>
      <w:bookmarkEnd w:id="47"/>
      <w:bookmarkEnd w:id="48"/>
    </w:p>
    <w:p w14:paraId="092BEB20" w14:textId="6AD2463A" w:rsidR="003E0B4D" w:rsidRPr="00DC73DC" w:rsidRDefault="003E0B4D" w:rsidP="006668AD">
      <w:pPr>
        <w:spacing w:line="360" w:lineRule="auto"/>
        <w:ind w:firstLine="709"/>
        <w:jc w:val="both"/>
      </w:pPr>
      <w:r w:rsidRPr="00DC73DC">
        <w:t xml:space="preserve">Ve výše zmíněných argumentech </w:t>
      </w:r>
      <w:r w:rsidR="00943F0A">
        <w:t>ESD</w:t>
      </w:r>
      <w:r w:rsidRPr="00DC73DC">
        <w:t xml:space="preserve"> zdůrazňuje, že výklad se týká článků 8 a 10 tohoto nařízení, což by se mohlo zdát, že není rozhodující pro řešení projednávané věci. Důležité je však si uvědomit, že zmíněný výklad článku 11 a pojmu obvyklého bydliště dítěte v něm uvedený nemůže být vykládán jinak než jak je obsažený právě v</w:t>
      </w:r>
      <w:r w:rsidR="00943F0A">
        <w:t> </w:t>
      </w:r>
      <w:r w:rsidRPr="00DC73DC">
        <w:t>čl</w:t>
      </w:r>
      <w:r w:rsidR="00943F0A">
        <w:t>.</w:t>
      </w:r>
      <w:r w:rsidRPr="00DC73DC">
        <w:t xml:space="preserve"> 8 a 10 tohoto ustanovení. </w:t>
      </w:r>
      <w:r w:rsidRPr="00DC73DC">
        <w:rPr>
          <w:rStyle w:val="Znakapoznpodarou"/>
        </w:rPr>
        <w:footnoteReference w:id="105"/>
      </w:r>
      <w:r w:rsidRPr="00DC73DC">
        <w:t xml:space="preserve"> Dále se </w:t>
      </w:r>
      <w:r w:rsidR="00943F0A">
        <w:t>ESD</w:t>
      </w:r>
      <w:r w:rsidRPr="00DC73DC">
        <w:t xml:space="preserve"> vracel k důležitosti fyzické přítomnosti v daném státě. Dítě bylo narozeno v Řecku, kde bylo zvyklé na rodinné prostředí zejména rodičů matky a </w:t>
      </w:r>
      <w:r w:rsidR="001B47E3">
        <w:t>podle</w:t>
      </w:r>
      <w:r w:rsidRPr="00DC73DC">
        <w:t xml:space="preserve"> judikatury zmíněné viz výše je potřeba klást důraz na integraci vznikající v nízkém věku dítěte. Otec dítěte požadoval navrácení do Itálie, kde dítě nikdy fyzicky nebylo a zdálo se být málo pravděpodobné, že by se v této zemi mohlo nacházet centrum jeho zájmů. Z toho Soudní dvůr usoudil, že mohlo být zcela těžko myslitelné, že by takové dítě mohlo mít místo obvyklého bydliště v jiné zemi než v Řecku, kde se narodilo a to vzhledem k tomu, že tak dochází k nenaplnění podmínky fyzické přítomnosti pro určení obvyklého bydliště dítěte, jak je líčí současná judikatura.</w:t>
      </w:r>
      <w:r w:rsidRPr="00DC73DC">
        <w:rPr>
          <w:rStyle w:val="Znakapoznpodarou"/>
        </w:rPr>
        <w:footnoteReference w:id="106"/>
      </w:r>
      <w:r w:rsidRPr="00DC73DC">
        <w:t xml:space="preserve"> </w:t>
      </w:r>
    </w:p>
    <w:p w14:paraId="74E7E37E" w14:textId="6457CCCD" w:rsidR="003E0B4D" w:rsidRPr="00DC73DC" w:rsidRDefault="00943F0A" w:rsidP="006668AD">
      <w:pPr>
        <w:spacing w:line="360" w:lineRule="auto"/>
        <w:ind w:firstLine="709"/>
        <w:jc w:val="both"/>
      </w:pPr>
      <w:r>
        <w:t>ESD</w:t>
      </w:r>
      <w:r w:rsidR="003E0B4D" w:rsidRPr="00DC73DC">
        <w:t xml:space="preserve"> se dále věnoval důležitosti předchozímu společnému by</w:t>
      </w:r>
      <w:r w:rsidR="001B47E3">
        <w:t>dle</w:t>
      </w:r>
      <w:r w:rsidR="003E0B4D" w:rsidRPr="00DC73DC">
        <w:t xml:space="preserve">ní rodičů v Itálii, skutečnosti, že rodiče uvažovali jako o místě obvyklého bydliště dítěte a že matka v této zemi setrvávala až do osmého měsíce těhotenství, tedy věnoval se vůli rodičů, kteří mají dítě v péči </w:t>
      </w:r>
      <w:r w:rsidR="003E0B4D" w:rsidRPr="00DC73DC">
        <w:lastRenderedPageBreak/>
        <w:t>a jejich obvyklé bydliště.</w:t>
      </w:r>
      <w:r w:rsidR="003E0B4D" w:rsidRPr="00DC73DC">
        <w:rPr>
          <w:rStyle w:val="Znakapoznpodarou"/>
        </w:rPr>
        <w:footnoteReference w:id="107"/>
      </w:r>
      <w:r w:rsidR="003E0B4D" w:rsidRPr="00DC73DC">
        <w:t xml:space="preserve"> Závěrem soudu bylo tvrzení, že pro význam určení obvyklého bydliště dítěte nemá tento fakt význam. Tento závěr založil na řadě úvah</w:t>
      </w:r>
      <w:r w:rsidR="00A74C73">
        <w:t>,</w:t>
      </w:r>
      <w:r w:rsidR="003E0B4D" w:rsidRPr="00DC73DC">
        <w:t xml:space="preserve"> a to zejména na tom, že pojem obvyklého bydliště je pojmem autonomním unijního práva, tedy pojmem faktickým</w:t>
      </w:r>
      <w:r w:rsidR="003E0B4D" w:rsidRPr="00DC73DC">
        <w:rPr>
          <w:rStyle w:val="Znakapoznpodarou"/>
        </w:rPr>
        <w:footnoteReference w:id="108"/>
      </w:r>
      <w:r w:rsidR="003E0B4D" w:rsidRPr="00DC73DC">
        <w:t xml:space="preserve"> a i kdyby bylo zjištěno, že v důsledku přemístění do jiného členského státu ztrácí druhý rodič možnost vykonávat právo péče, neměla by mít tato skutečnost vliv na otázku, kde má dítě fakticky obvyklé bydliště.</w:t>
      </w:r>
      <w:r w:rsidR="0029143F">
        <w:t xml:space="preserve"> </w:t>
      </w:r>
      <w:r w:rsidR="003E0B4D" w:rsidRPr="00DC73DC">
        <w:t>Navíc soud klade důraz na obvyklé bydliště osob, které mají dítě v péči či obvyklé bydliště celé rodinné jednotky, fyzická nepřítomnost v tomto není relevantní.</w:t>
      </w:r>
      <w:r w:rsidR="003E0B4D" w:rsidRPr="00DC73DC">
        <w:rPr>
          <w:rStyle w:val="Znakapoznpodarou"/>
        </w:rPr>
        <w:footnoteReference w:id="109"/>
      </w:r>
    </w:p>
    <w:p w14:paraId="7F0F53CD" w14:textId="4691581C" w:rsidR="003E0B4D" w:rsidRPr="00DC73DC" w:rsidRDefault="00943F0A" w:rsidP="00861DA6">
      <w:pPr>
        <w:spacing w:line="360" w:lineRule="auto"/>
        <w:ind w:firstLine="709"/>
        <w:jc w:val="both"/>
      </w:pPr>
      <w:r>
        <w:t>ESD</w:t>
      </w:r>
      <w:r w:rsidR="003E0B4D" w:rsidRPr="00DC73DC">
        <w:t xml:space="preserve"> se tedy dostává k závěru, že opuštěním podmínky fyzické přítomnosti dítěte by mohlo dojít k rozšíření článku 11 daného nařízení a rozšíření výkladu pojmu obvyklého bydliště dítěte. Závěrem tedy soud poukazuje na to, že je potřeba vzít v potaz faktickou povahu obvyklého bydliště dítěte a je potřeba hmatatelné vazby na jinou zemi, ve které se dítě nachází. Taková vazba by musela být založena v zájmu dítěte, vybudována na solidních a reálných indiciích, které by mohly převážit právě fyzickou přítomnost dítěte. Soud také považoval za důležité zdůraznit, že je potřeba mít na paměti skutečnost, že v případě rodičovské zodpovědnosti, celkový systém Brusel </w:t>
      </w:r>
      <w:proofErr w:type="spellStart"/>
      <w:r w:rsidR="003E0B4D" w:rsidRPr="00DC73DC">
        <w:t>IIa</w:t>
      </w:r>
      <w:proofErr w:type="spellEnd"/>
      <w:r w:rsidR="003E0B4D" w:rsidRPr="00DC73DC">
        <w:t xml:space="preserve"> je založen na kritériu blízkosti, které se projevuje právě fyzickou přítomností dítěte. V případě, že nelze zjistit takové obvyklé bydliště dítěte, budou příslušné k projednání věci soudy toho členského státu, ve kterém se dítě nachází.</w:t>
      </w:r>
      <w:r w:rsidR="003E0B4D" w:rsidRPr="00DC73DC">
        <w:rPr>
          <w:rStyle w:val="Znakapoznpodarou"/>
        </w:rPr>
        <w:footnoteReference w:id="110"/>
      </w:r>
    </w:p>
    <w:p w14:paraId="0A0EE992" w14:textId="2E17B6A9" w:rsidR="003E0B4D" w:rsidRPr="00DC73DC" w:rsidRDefault="00943F0A" w:rsidP="00861DA6">
      <w:pPr>
        <w:spacing w:line="360" w:lineRule="auto"/>
        <w:ind w:firstLine="709"/>
        <w:jc w:val="both"/>
      </w:pPr>
      <w:r>
        <w:t xml:space="preserve">ESD </w:t>
      </w:r>
      <w:r w:rsidR="003E0B4D" w:rsidRPr="00DC73DC">
        <w:t xml:space="preserve">se zde věnoval i otázce dítěte nenarozeného, kdy uvedené nařízení v této otázce mlčí. Soud však zastával názor, že není možné použít kritéria, kterým by byl záměr rodičů umístit obvyklé bydliště dítěte do daného členského státu nebo předchozí společné bydliště rodičů v jiném členském státě, přestože tam dítě nikdy fyzicky nebylo přítomno, jelikož by mohlo dojít k ohrožení zájmů dítěte, jelikož by se tak stal příslušným soud členského státu, který však nevykazuje blízkost ve vztahu k dítěti. A to Soudu připadá být v rozporu s cílem již zmiňovaného nařízení Brusel </w:t>
      </w:r>
      <w:proofErr w:type="spellStart"/>
      <w:r w:rsidR="003E0B4D" w:rsidRPr="00DC73DC">
        <w:t>IIa</w:t>
      </w:r>
      <w:proofErr w:type="spellEnd"/>
      <w:r w:rsidR="003E0B4D" w:rsidRPr="00DC73DC">
        <w:t xml:space="preserve"> v případě určení příslušnosti ve věcech rodičovské zodpovědnosti na základě blízkosti.</w:t>
      </w:r>
      <w:r w:rsidR="003E0B4D" w:rsidRPr="00DC73DC">
        <w:rPr>
          <w:rStyle w:val="Znakapoznpodarou"/>
        </w:rPr>
        <w:footnoteReference w:id="111"/>
      </w:r>
    </w:p>
    <w:p w14:paraId="79233085" w14:textId="0F69F034" w:rsidR="003E0B4D" w:rsidRPr="00DC73DC" w:rsidRDefault="003E0B4D" w:rsidP="00861DA6">
      <w:pPr>
        <w:spacing w:line="360" w:lineRule="auto"/>
        <w:ind w:firstLine="709"/>
        <w:jc w:val="both"/>
      </w:pPr>
      <w:r w:rsidRPr="00DC73DC">
        <w:t xml:space="preserve">Soud se tedy domnívá, že obvyklé bydliště dítěte ve smyslu čl. 11 odst. 1 nařízení Brusel </w:t>
      </w:r>
      <w:proofErr w:type="spellStart"/>
      <w:r w:rsidRPr="00DC73DC">
        <w:t>IIa</w:t>
      </w:r>
      <w:proofErr w:type="spellEnd"/>
      <w:r w:rsidRPr="00DC73DC">
        <w:t xml:space="preserve"> předpokládá, že dítě, jehož navrácení je vyžadováno, bylo fyzicky přítomno v členském státě, do kterého má být </w:t>
      </w:r>
      <w:r w:rsidR="001B47E3">
        <w:t>podle</w:t>
      </w:r>
      <w:r w:rsidRPr="00DC73DC">
        <w:t xml:space="preserve"> žádosti navráceno. Shrnul, že jednání matky, kdy </w:t>
      </w:r>
      <w:r w:rsidRPr="00DC73DC">
        <w:lastRenderedPageBreak/>
        <w:t>se přemístila s dítětem do Řecka, kde porodila, nebylo protiprávní přemístění či zadržení ve smyslu tohoto nařízení.</w:t>
      </w:r>
      <w:r w:rsidRPr="00DC73DC">
        <w:rPr>
          <w:rStyle w:val="Znakapoznpodarou"/>
        </w:rPr>
        <w:footnoteReference w:id="112"/>
      </w:r>
    </w:p>
    <w:p w14:paraId="5A742717" w14:textId="4CBB80F6" w:rsidR="004A7E9C" w:rsidRDefault="00C25519" w:rsidP="00861DA6">
      <w:pPr>
        <w:spacing w:line="360" w:lineRule="auto"/>
        <w:ind w:firstLine="709"/>
        <w:jc w:val="both"/>
        <w:sectPr w:rsidR="004A7E9C" w:rsidSect="00DC73DC">
          <w:pgSz w:w="11900" w:h="16840"/>
          <w:pgMar w:top="1418" w:right="1134" w:bottom="1418" w:left="1701" w:header="709" w:footer="709" w:gutter="0"/>
          <w:cols w:space="708"/>
          <w:titlePg/>
          <w:docGrid w:linePitch="360"/>
        </w:sectPr>
      </w:pPr>
      <w:r w:rsidRPr="00DC73DC">
        <w:t>V minulosti byla situace kojenců taktéž rozebírána</w:t>
      </w:r>
      <w:r w:rsidR="001321CD">
        <w:t>,</w:t>
      </w:r>
      <w:r w:rsidRPr="00DC73DC">
        <w:t xml:space="preserve"> a to například v rozhodnutí Soudního dvoru z roku 2010. V tomto případě soud stanovil, že „pokud jde o situaci kojence, který se svou matkou pobývá jen několik dní v jiném členském státě, než je členský stát jeho obvyklého bydliště, do něhož je přemístěn. Za tímto účelem je třeba</w:t>
      </w:r>
      <w:r w:rsidR="00884AA0" w:rsidRPr="00DC73DC">
        <w:t xml:space="preserve"> přihlédnout zejména k trvání, pravidelnosti, podmínkám a důvodům pobytu na území tohoto členského státu a přestěhování se matky do tohoto státu a dále, zejména z důvodu věku dítěte, k zeměpisnému a rodinnému původu matky, jakož i k rodinným a sociálním vazbám, které matka a dítě udržují v tomtéž členském státě. V</w:t>
      </w:r>
      <w:r w:rsidR="00437DC1" w:rsidRPr="00DC73DC">
        <w:t>nitrostátnímu soudu přísluší ur</w:t>
      </w:r>
      <w:r w:rsidR="00884AA0" w:rsidRPr="00DC73DC">
        <w:t>č</w:t>
      </w:r>
      <w:r w:rsidR="00437DC1" w:rsidRPr="00DC73DC">
        <w:t>i</w:t>
      </w:r>
      <w:r w:rsidR="00884AA0" w:rsidRPr="00DC73DC">
        <w:t xml:space="preserve">t obvyklé bydliště dítěte s přihlédnutím ke všem konkrétním skutkovým okolnostem v každém jednotlivém případě. </w:t>
      </w:r>
      <w:r w:rsidR="00DD401B">
        <w:t>Pokud by n</w:t>
      </w:r>
      <w:r w:rsidR="00884AA0" w:rsidRPr="00DC73DC">
        <w:t xml:space="preserve">ebylo možné určit obvyklé bydliště dítěte, pak by náleželo určení </w:t>
      </w:r>
      <w:r w:rsidR="001B47E3">
        <w:t>podle</w:t>
      </w:r>
      <w:r w:rsidR="00884AA0" w:rsidRPr="00DC73DC">
        <w:t xml:space="preserve"> čl. 13</w:t>
      </w:r>
      <w:r w:rsidR="00DD401B">
        <w:t xml:space="preserve"> Nařízení </w:t>
      </w:r>
      <w:proofErr w:type="spellStart"/>
      <w:r w:rsidR="00DD401B">
        <w:t>IIa</w:t>
      </w:r>
      <w:proofErr w:type="spellEnd"/>
      <w:r w:rsidR="00DD401B">
        <w:t>., a to podle kritéria přítomnosti dítěte.“</w:t>
      </w:r>
      <w:r w:rsidR="00884AA0" w:rsidRPr="00DC73DC">
        <w:rPr>
          <w:rStyle w:val="Znakapoznpodarou"/>
        </w:rPr>
        <w:footnoteReference w:id="113"/>
      </w:r>
    </w:p>
    <w:p w14:paraId="406D86C9" w14:textId="02C72AEE" w:rsidR="00BD30D0" w:rsidRPr="00DC73DC" w:rsidRDefault="00BD30D0" w:rsidP="009E2F35">
      <w:pPr>
        <w:pStyle w:val="Nadpis1"/>
      </w:pPr>
      <w:bookmarkStart w:id="49" w:name="_Toc364927633"/>
      <w:bookmarkStart w:id="50" w:name="_Toc491117229"/>
      <w:r w:rsidRPr="00DC73DC">
        <w:lastRenderedPageBreak/>
        <w:t>Návratové řízení a postup v případě změny bydliště</w:t>
      </w:r>
      <w:bookmarkEnd w:id="49"/>
      <w:bookmarkEnd w:id="50"/>
    </w:p>
    <w:p w14:paraId="44D8A296" w14:textId="77777777" w:rsidR="00BD30D0" w:rsidRPr="00DC73DC" w:rsidRDefault="00BD30D0" w:rsidP="00861DA6">
      <w:pPr>
        <w:spacing w:line="360" w:lineRule="auto"/>
        <w:ind w:firstLine="720"/>
        <w:jc w:val="both"/>
      </w:pPr>
      <w:r w:rsidRPr="00DC73DC">
        <w:t>V poslední kapitole své diplomové práce bych se vyjádřila k příslušnosti soudů v případě změny bydliště a k postupu v návratovém řízení.</w:t>
      </w:r>
    </w:p>
    <w:p w14:paraId="45E23EF7" w14:textId="12969398" w:rsidR="00C91359" w:rsidRPr="00DC73DC" w:rsidRDefault="00C91359" w:rsidP="00F76295">
      <w:pPr>
        <w:pStyle w:val="Nadpis2"/>
        <w:spacing w:line="360" w:lineRule="auto"/>
        <w:jc w:val="both"/>
        <w:rPr>
          <w:rFonts w:cs="Times New Roman"/>
          <w:szCs w:val="28"/>
        </w:rPr>
      </w:pPr>
      <w:bookmarkStart w:id="51" w:name="_Toc364927634"/>
      <w:bookmarkStart w:id="52" w:name="_Toc491117230"/>
      <w:r w:rsidRPr="00DC73DC">
        <w:rPr>
          <w:rFonts w:cs="Times New Roman"/>
          <w:szCs w:val="28"/>
        </w:rPr>
        <w:t>Změna bydliště</w:t>
      </w:r>
      <w:bookmarkEnd w:id="51"/>
      <w:bookmarkEnd w:id="52"/>
      <w:r w:rsidRPr="00DC73DC">
        <w:rPr>
          <w:rFonts w:cs="Times New Roman"/>
          <w:szCs w:val="28"/>
        </w:rPr>
        <w:t xml:space="preserve"> </w:t>
      </w:r>
    </w:p>
    <w:p w14:paraId="139667D8" w14:textId="7FF1583D" w:rsidR="00C91359" w:rsidRPr="00DC73DC" w:rsidRDefault="004A7E9C" w:rsidP="00861DA6">
      <w:pPr>
        <w:spacing w:line="360" w:lineRule="auto"/>
        <w:ind w:firstLine="720"/>
        <w:jc w:val="both"/>
      </w:pPr>
      <w:r>
        <w:t>Výklad čl.</w:t>
      </w:r>
      <w:r w:rsidR="00C91359" w:rsidRPr="00DC73DC">
        <w:t xml:space="preserve"> 8 až 15</w:t>
      </w:r>
      <w:r>
        <w:t xml:space="preserve"> Nařízení Brusel </w:t>
      </w:r>
      <w:proofErr w:type="spellStart"/>
      <w:r>
        <w:t>IIa</w:t>
      </w:r>
      <w:proofErr w:type="spellEnd"/>
      <w:r>
        <w:t>.</w:t>
      </w:r>
      <w:r w:rsidR="00C91359" w:rsidRPr="00DC73DC">
        <w:t>, které upravují tuto problematiku si představíme na rozsudku Soudního dvoru v</w:t>
      </w:r>
      <w:r w:rsidR="00913E92">
        <w:t>e věci „W.,V. V X.“ z</w:t>
      </w:r>
      <w:r w:rsidR="004267D0">
        <w:t>e dne 15. ú</w:t>
      </w:r>
      <w:r w:rsidR="00C91359" w:rsidRPr="00DC73DC">
        <w:t xml:space="preserve">nora 2017. </w:t>
      </w:r>
    </w:p>
    <w:p w14:paraId="0C1A8258" w14:textId="5252F25A" w:rsidR="00050DE9" w:rsidRPr="00DC73DC" w:rsidRDefault="00050DE9" w:rsidP="00F76295">
      <w:pPr>
        <w:spacing w:line="360" w:lineRule="auto"/>
        <w:ind w:firstLine="0"/>
        <w:jc w:val="both"/>
      </w:pPr>
      <w:r w:rsidRPr="00DC73DC">
        <w:tab/>
        <w:t>V tomto rozhodnutí se jednalo o litevského státního příslušníka a argentinskou státní příslušnici, kteří uz</w:t>
      </w:r>
      <w:r w:rsidR="000F2114">
        <w:t>avřeli manželství ve Spojených státech a</w:t>
      </w:r>
      <w:r w:rsidRPr="00DC73DC">
        <w:t xml:space="preserve">merických. Manželé žili určitou dobu v Nizozemsku, také v Itálii, čímž dítě získalo litevskou a italskou státní příslušnost. Manželé následně žili v Kanadě, u kterého byl také podán návrh o rozvod. Matka se s dítětem přestěhovali do Nizozemska, kde mají obvyklé bydliště, otec měl obvyklé bydliště v Litvě. </w:t>
      </w:r>
      <w:r w:rsidR="00155EDA" w:rsidRPr="00DC73DC">
        <w:t>V případě nizozemských soudů bylo rozhodnutím z roku 2014 stanovena vyživovací povinnost otce k dítěti</w:t>
      </w:r>
      <w:r w:rsidR="00B73D2D">
        <w:t xml:space="preserve"> a svěřil dítě do výlučné</w:t>
      </w:r>
      <w:r w:rsidR="00155EDA" w:rsidRPr="00DC73DC">
        <w:t xml:space="preserve"> péče matky. </w:t>
      </w:r>
      <w:r w:rsidR="00E35FE9" w:rsidRPr="00DC73DC">
        <w:t>Otec se následně</w:t>
      </w:r>
      <w:r w:rsidR="00957046">
        <w:t xml:space="preserve"> v roce 2014</w:t>
      </w:r>
      <w:r w:rsidR="00E35FE9" w:rsidRPr="00DC73DC">
        <w:t xml:space="preserve"> domáhal pře</w:t>
      </w:r>
      <w:r w:rsidR="00957046">
        <w:t>d litevskými soudy změny bydliště, výše</w:t>
      </w:r>
      <w:r w:rsidR="00E35FE9" w:rsidRPr="00DC73DC">
        <w:t xml:space="preserve"> vyživovací povinností a úpravy styku s dítětem. V rozhodnutí uvedený soud prohlásil, že není příslušný k rozhodování o návrzích, které otec učinil, jelikož pravidlům pro určení příslušnosti uvedeným v nařízení je třeba dát před ustanoveními litevského občanského soudního řádu přednost. Současně měl uvedený soud za to, že s výjimkou určitých případů změny bydliště dítěte nebo dohody nositelů rodičovské odpovědnosti jsou k rozhodování o těchto návrzích příslušné soudy členského státu, ve kterém se nachází obvyklé bydliště dítěte, tedy v projednávané věci tak představovaly soudy Nizozemského království. Uvedený soud informoval otce, že by se měl obracet na příslušný soud v Nizozemsku.</w:t>
      </w:r>
      <w:r w:rsidR="00E35FE9" w:rsidRPr="00DC73DC">
        <w:rPr>
          <w:rStyle w:val="Znakapoznpodarou"/>
        </w:rPr>
        <w:footnoteReference w:id="114"/>
      </w:r>
    </w:p>
    <w:p w14:paraId="70071846" w14:textId="142CDBC8" w:rsidR="00E35FE9" w:rsidRPr="00DC73DC" w:rsidRDefault="00E35FE9" w:rsidP="00861DA6">
      <w:pPr>
        <w:spacing w:line="360" w:lineRule="auto"/>
        <w:ind w:firstLine="720"/>
        <w:jc w:val="both"/>
      </w:pPr>
      <w:r w:rsidRPr="00DC73DC">
        <w:t>Položenou předběžnou otázkou se pak soudy domáhaly výkladu čl</w:t>
      </w:r>
      <w:r w:rsidR="004A7E9C">
        <w:t>.</w:t>
      </w:r>
      <w:r w:rsidRPr="00DC73DC">
        <w:t xml:space="preserve"> 8 až 1</w:t>
      </w:r>
      <w:r w:rsidR="004A7E9C">
        <w:t>4 N</w:t>
      </w:r>
      <w:r w:rsidRPr="00DC73DC">
        <w:t>ařízení</w:t>
      </w:r>
      <w:r w:rsidR="004A7E9C">
        <w:t xml:space="preserve"> Brusel </w:t>
      </w:r>
      <w:proofErr w:type="spellStart"/>
      <w:r w:rsidR="004A7E9C">
        <w:t>IIa</w:t>
      </w:r>
      <w:proofErr w:type="spellEnd"/>
      <w:r w:rsidR="004A7E9C">
        <w:t>.</w:t>
      </w:r>
      <w:r w:rsidRPr="00DC73DC">
        <w:t>, konkrétně který členský stát byl příslušný v případě nezletilého dítěte, které mělo obvyklé bydliště v Nizozemsku, rozhodnout o návrhu na změnu místa jeho obvyklého bydliště</w:t>
      </w:r>
      <w:r w:rsidR="005613CD" w:rsidRPr="00DC73DC">
        <w:t xml:space="preserve">, rozhodnout o výši vyživovací povinnosti k tomuto dítěti a úpravu styku s tímto dítětem. Odpověď </w:t>
      </w:r>
      <w:r w:rsidR="004A7E9C">
        <w:t>ESD</w:t>
      </w:r>
      <w:r w:rsidR="005613CD" w:rsidRPr="00DC73DC">
        <w:t xml:space="preserve"> zněla tak, že „článek 8 nařízení Rady (ES) č. 2201/2003 a článek 3 nařízení č. 4/2009 ze dne 18. </w:t>
      </w:r>
      <w:r w:rsidR="008749AD">
        <w:t>p</w:t>
      </w:r>
      <w:r w:rsidR="005613CD" w:rsidRPr="00DC73DC">
        <w:t xml:space="preserve">rosince 2008 o příslušnosti, rozhodném právu, uznávání a výkonu rozhodnutí a o spolupráci ve věcech vyživovacích povinností, musí být vykládány v tom smyslu, že v takové věci, jako je věc dotčená v původním řízení, soudy členského státu, které přijaly rozhodnutí ve věci rodičovské odpovědnosti a vyživovacích povinností </w:t>
      </w:r>
      <w:r w:rsidR="005613CD" w:rsidRPr="00DC73DC">
        <w:lastRenderedPageBreak/>
        <w:t>k nezletilému dítěti, jež nabylo právní moci, již nejsou příslušné k rozhodování o návrhu na změnu ustanovení tohoto rozhodnutí, pokud má dítě obvyklé bydliště na území jiného členského státu. K rozhodování o tomto návrhu jsou příslušné soudy posledně uvedeného členského státu.</w:t>
      </w:r>
      <w:r w:rsidR="005613CD" w:rsidRPr="00DC73DC">
        <w:rPr>
          <w:rStyle w:val="Znakapoznpodarou"/>
        </w:rPr>
        <w:footnoteReference w:id="115"/>
      </w:r>
    </w:p>
    <w:p w14:paraId="5B3B1902" w14:textId="61393E3F" w:rsidR="009A3FD6" w:rsidRPr="00DC73DC" w:rsidRDefault="005613CD" w:rsidP="00861DA6">
      <w:pPr>
        <w:spacing w:line="360" w:lineRule="auto"/>
        <w:ind w:firstLine="720"/>
        <w:jc w:val="both"/>
      </w:pPr>
      <w:r w:rsidRPr="00DC73DC">
        <w:t xml:space="preserve">V tomto bych zejména shledala opět stejný princip, který najdeme u stanovení práva péče o dítě, tedy že by měl být příslušný soud, který je v místě bydliště dítěte, zná lépe místní poměry a je tak obecně lépe obeznámen se situací dítěte. </w:t>
      </w:r>
    </w:p>
    <w:p w14:paraId="053B4B01" w14:textId="120C1E84" w:rsidR="009A3FD6" w:rsidRPr="00DC73DC" w:rsidRDefault="009A3FD6" w:rsidP="00F76295">
      <w:pPr>
        <w:pStyle w:val="Nadpis2"/>
        <w:spacing w:line="360" w:lineRule="auto"/>
        <w:jc w:val="both"/>
        <w:rPr>
          <w:rFonts w:cs="Times New Roman"/>
          <w:szCs w:val="28"/>
        </w:rPr>
      </w:pPr>
      <w:bookmarkStart w:id="53" w:name="_Toc364927635"/>
      <w:bookmarkStart w:id="54" w:name="_Toc491117231"/>
      <w:r w:rsidRPr="00DC73DC">
        <w:rPr>
          <w:rFonts w:cs="Times New Roman"/>
          <w:szCs w:val="28"/>
        </w:rPr>
        <w:t>Návratové řízení</w:t>
      </w:r>
      <w:bookmarkEnd w:id="53"/>
      <w:bookmarkEnd w:id="54"/>
      <w:r w:rsidRPr="00DC73DC">
        <w:rPr>
          <w:rFonts w:cs="Times New Roman"/>
          <w:szCs w:val="28"/>
        </w:rPr>
        <w:t xml:space="preserve"> </w:t>
      </w:r>
    </w:p>
    <w:p w14:paraId="4EB920B5" w14:textId="77777777" w:rsidR="009A3FD6" w:rsidRPr="00DC73DC" w:rsidRDefault="009A3FD6" w:rsidP="00F76295">
      <w:pPr>
        <w:spacing w:line="360" w:lineRule="auto"/>
        <w:ind w:firstLine="720"/>
        <w:jc w:val="both"/>
      </w:pPr>
      <w:r w:rsidRPr="00DC73DC">
        <w:t>V případě návratového řízení se Úmluva nesnaží vyřešit problém rozhodování o tom, kdo z rodičů či jiných osob, orgánů má mít právo péče o dítě. Úmluva zaujímá v této otázce implicitně stanovisko, že každý spor o věci samé, ve svém meritu, tedy o právu péče o dítě, by se mělo uskutečnit před soudy státu, ve kterém mělo dítě své obvyklé bydliště předtím než bylo přemístěné. Tento výklad platí jak pro přemístění uskutečněné před vydáním rozhodnutí o právu péče, kdy v takovém případě došlo k porušení práva péče vykonané ex lege, tak i pro přemístění, kterým bylo porušeno již existující rozhodnutí o právu péče.</w:t>
      </w:r>
      <w:r w:rsidRPr="00DC73DC">
        <w:rPr>
          <w:rStyle w:val="Znakapoznpodarou"/>
        </w:rPr>
        <w:footnoteReference w:id="116"/>
      </w:r>
    </w:p>
    <w:p w14:paraId="2F289433" w14:textId="77777777" w:rsidR="009A3FD6" w:rsidRPr="00DC73DC" w:rsidRDefault="009A3FD6" w:rsidP="00861DA6">
      <w:pPr>
        <w:spacing w:line="360" w:lineRule="auto"/>
        <w:ind w:firstLine="720"/>
        <w:jc w:val="both"/>
      </w:pPr>
      <w:r w:rsidRPr="00DC73DC">
        <w:t xml:space="preserve">V rámci tohoto rozlišení je na místě uvést čl. 16 a zejména čl. 19 Haagské Úmluvy. </w:t>
      </w:r>
    </w:p>
    <w:p w14:paraId="42CA3734" w14:textId="63D3394C" w:rsidR="009A3FD6" w:rsidRPr="00DC73DC" w:rsidRDefault="001B47E3" w:rsidP="00861DA6">
      <w:pPr>
        <w:spacing w:line="360" w:lineRule="auto"/>
        <w:ind w:firstLine="720"/>
        <w:jc w:val="both"/>
      </w:pPr>
      <w:r>
        <w:t>Podle</w:t>
      </w:r>
      <w:r w:rsidR="00F7439D" w:rsidRPr="00DC73DC">
        <w:t xml:space="preserve"> č</w:t>
      </w:r>
      <w:r w:rsidR="009A3FD6" w:rsidRPr="00DC73DC">
        <w:t>l. 16</w:t>
      </w:r>
      <w:r w:rsidR="00F7439D" w:rsidRPr="00DC73DC">
        <w:t xml:space="preserve"> “</w:t>
      </w:r>
      <w:r w:rsidR="00F7439D" w:rsidRPr="00DC73DC">
        <w:rPr>
          <w:i/>
        </w:rPr>
        <w:t xml:space="preserve">Po obdržení oznámení o protiprávním přemístění nebo zadržení dítěte </w:t>
      </w:r>
      <w:r>
        <w:rPr>
          <w:i/>
        </w:rPr>
        <w:t>podle</w:t>
      </w:r>
      <w:r w:rsidR="00AB5283">
        <w:rPr>
          <w:i/>
        </w:rPr>
        <w:t xml:space="preserve"> </w:t>
      </w:r>
      <w:r w:rsidR="00F7439D" w:rsidRPr="00DC73DC">
        <w:rPr>
          <w:i/>
        </w:rPr>
        <w:t xml:space="preserve">článku 3 soudní nebo správní orgány smluvního státu, do něhož bylo dítě přemístěno nebo v němž bylo zadrženo, nemohou věcně rozhodovat o právu o péče o dítě, dokud nebude rozhodnuto, že dítě nemá být </w:t>
      </w:r>
      <w:r>
        <w:rPr>
          <w:i/>
        </w:rPr>
        <w:t>podle</w:t>
      </w:r>
      <w:r w:rsidR="00AB5283">
        <w:rPr>
          <w:i/>
        </w:rPr>
        <w:t xml:space="preserve"> </w:t>
      </w:r>
      <w:r w:rsidR="00F7439D" w:rsidRPr="00DC73DC">
        <w:rPr>
          <w:i/>
        </w:rPr>
        <w:t xml:space="preserve">této úmluvy vráceno, nebo nebude-li podán návrh </w:t>
      </w:r>
      <w:r>
        <w:rPr>
          <w:i/>
        </w:rPr>
        <w:t>podle</w:t>
      </w:r>
      <w:r w:rsidR="00AB5283">
        <w:rPr>
          <w:i/>
        </w:rPr>
        <w:t xml:space="preserve"> </w:t>
      </w:r>
      <w:r w:rsidR="00F7439D" w:rsidRPr="00DC73DC">
        <w:rPr>
          <w:i/>
        </w:rPr>
        <w:t>této úmluvy v přiměřené lhůtě po obdržení oznámení.</w:t>
      </w:r>
      <w:r w:rsidR="00F7439D" w:rsidRPr="00DC73DC">
        <w:rPr>
          <w:rStyle w:val="Znakapoznpodarou"/>
          <w:i/>
        </w:rPr>
        <w:footnoteReference w:id="117"/>
      </w:r>
    </w:p>
    <w:p w14:paraId="62B49517" w14:textId="7291345D" w:rsidR="00F7439D" w:rsidRPr="00DC73DC" w:rsidRDefault="00F7439D" w:rsidP="00861DA6">
      <w:pPr>
        <w:spacing w:line="360" w:lineRule="auto"/>
        <w:ind w:firstLine="720"/>
        <w:jc w:val="both"/>
      </w:pPr>
      <w:r w:rsidRPr="00DC73DC">
        <w:t>Čl. 19 stanoví, že „</w:t>
      </w:r>
      <w:r w:rsidRPr="004A7E9C">
        <w:rPr>
          <w:i/>
        </w:rPr>
        <w:t xml:space="preserve">Rozhodnutí o návratu dítěte, vydané </w:t>
      </w:r>
      <w:r w:rsidR="001B47E3">
        <w:rPr>
          <w:i/>
        </w:rPr>
        <w:t>podle</w:t>
      </w:r>
      <w:r w:rsidR="00AB5283">
        <w:rPr>
          <w:i/>
        </w:rPr>
        <w:t xml:space="preserve"> </w:t>
      </w:r>
      <w:r w:rsidRPr="004A7E9C">
        <w:rPr>
          <w:i/>
        </w:rPr>
        <w:t>této úmluvy, se nedotýká věcné úpravy péče o dítě</w:t>
      </w:r>
      <w:r w:rsidRPr="00DC73DC">
        <w:t>.“</w:t>
      </w:r>
      <w:r w:rsidRPr="00DC73DC">
        <w:rPr>
          <w:rStyle w:val="Znakapoznpodarou"/>
        </w:rPr>
        <w:footnoteReference w:id="118"/>
      </w:r>
    </w:p>
    <w:p w14:paraId="44C86CF8" w14:textId="3FA28BA1" w:rsidR="00F7439D" w:rsidRPr="00DC73DC" w:rsidRDefault="00F7439D" w:rsidP="00861DA6">
      <w:pPr>
        <w:spacing w:line="360" w:lineRule="auto"/>
        <w:ind w:firstLine="720"/>
        <w:jc w:val="both"/>
      </w:pPr>
      <w:r w:rsidRPr="00DC73DC">
        <w:t>Ze zahraniční judikatury vyplývá, že rozhodnutí nařizující návrat nemá</w:t>
      </w:r>
      <w:r w:rsidR="001F25BA">
        <w:t xml:space="preserve"> za úkol určit, kdo bude mít ve výsledku</w:t>
      </w:r>
      <w:r w:rsidRPr="00DC73DC">
        <w:t xml:space="preserve"> dítě ve své péči, </w:t>
      </w:r>
      <w:r w:rsidR="0068713A">
        <w:t xml:space="preserve">stanoví </w:t>
      </w:r>
      <w:r w:rsidRPr="00DC73DC">
        <w:t>pouze, že dítě se má vrátit zpět do země svého obvyklého pobytu. Otázka, na jakém místě v této zemi a zejména s kým bude dítě žít, stejně jako další otázky péče, náleží k posouzení soudu státu obvyklého bydliště.</w:t>
      </w:r>
      <w:r w:rsidRPr="00DC73DC">
        <w:rPr>
          <w:rStyle w:val="Znakapoznpodarou"/>
        </w:rPr>
        <w:footnoteReference w:id="119"/>
      </w:r>
    </w:p>
    <w:p w14:paraId="58094939" w14:textId="77777777" w:rsidR="00F7439D" w:rsidRPr="00DC73DC" w:rsidRDefault="00F7439D" w:rsidP="00861DA6">
      <w:pPr>
        <w:spacing w:line="360" w:lineRule="auto"/>
        <w:ind w:firstLine="720"/>
        <w:jc w:val="both"/>
      </w:pPr>
      <w:r w:rsidRPr="00DC73DC">
        <w:t xml:space="preserve">Zejména jedná-li se o co nejlepší zájem dítěte, je třeba adresovat dané otázky kompetentním autoritám v zemi, kde dítě mělo obvyklý pobyt před svým přemístěním. Není </w:t>
      </w:r>
      <w:r w:rsidRPr="00DC73DC">
        <w:lastRenderedPageBreak/>
        <w:t>tedy na soudci, který rozhoduje o návratu dítěte, aby podal svůj názor na to, kterému z rodičů bude v budoucnu uděleno právo péče o dítě.</w:t>
      </w:r>
      <w:r w:rsidRPr="00DC73DC">
        <w:rPr>
          <w:rStyle w:val="Znakapoznpodarou"/>
        </w:rPr>
        <w:footnoteReference w:id="120"/>
      </w:r>
    </w:p>
    <w:p w14:paraId="774AF575" w14:textId="4965B649" w:rsidR="009F5E40" w:rsidRPr="00DC73DC" w:rsidRDefault="009F5E40" w:rsidP="00861DA6">
      <w:pPr>
        <w:spacing w:line="360" w:lineRule="auto"/>
        <w:ind w:firstLine="720"/>
        <w:jc w:val="both"/>
      </w:pPr>
      <w:r w:rsidRPr="00DC73DC">
        <w:t>V neposlední řadě úsluha čl. 8 Úmluvy o ochraně lidských</w:t>
      </w:r>
      <w:r w:rsidR="004A7E9C">
        <w:t xml:space="preserve"> práv a svobod</w:t>
      </w:r>
      <w:r w:rsidRPr="00DC73DC">
        <w:t xml:space="preserve">, který musí depozitáři veřejné moci vykládat jako právo dítěte na rodinný život. V případech, kdy v soudy nebyly v ochraně tohoto práva důkladní, následoval vůči takovému státu postih. Z judikatury ESLP vyplývá závěr, že „tam, kde stát nepřijal nezbytná a adekvátní opatření k usnadnění výkonu rozhodnutí, jímž se dítě navrací, byl soudem postižen. Platí přitom, že čím déle se řízení vede, tím horší dopad pro dítě to má. Prodlužuje se doba nejistoty dítěte a v případě jako </w:t>
      </w:r>
      <w:proofErr w:type="spellStart"/>
      <w:r w:rsidRPr="00DC73DC">
        <w:t>Ignaccolo-Zenide</w:t>
      </w:r>
      <w:proofErr w:type="spellEnd"/>
      <w:r w:rsidRPr="00DC73DC">
        <w:t xml:space="preserve"> nakonec prohráli všichni – dětí, které odloučeného rodiče zcela zavrhly, i stát, který tomu nedokázal předejít.“</w:t>
      </w:r>
      <w:r w:rsidRPr="00DC73DC">
        <w:rPr>
          <w:rStyle w:val="Znakapoznpodarou"/>
        </w:rPr>
        <w:footnoteReference w:id="121"/>
      </w:r>
    </w:p>
    <w:p w14:paraId="11B77CF9" w14:textId="44DEFF9C" w:rsidR="00770C73" w:rsidRPr="00DC73DC" w:rsidRDefault="00770C73" w:rsidP="00861DA6">
      <w:pPr>
        <w:spacing w:line="360" w:lineRule="auto"/>
        <w:ind w:firstLine="720"/>
        <w:jc w:val="both"/>
      </w:pPr>
      <w:r w:rsidRPr="00DC73DC">
        <w:t xml:space="preserve">V případě nařízení je pak úprava a judikatura následující. </w:t>
      </w:r>
      <w:r w:rsidR="004A7E9C">
        <w:t>ESD</w:t>
      </w:r>
      <w:r w:rsidRPr="00DC73DC">
        <w:t xml:space="preserve"> stanovil, že „Článek 10 písm. b) bod </w:t>
      </w:r>
      <w:proofErr w:type="spellStart"/>
      <w:r w:rsidRPr="00DC73DC">
        <w:t>iv</w:t>
      </w:r>
      <w:proofErr w:type="spellEnd"/>
      <w:r w:rsidRPr="00DC73DC">
        <w:t xml:space="preserve">) </w:t>
      </w:r>
      <w:r w:rsidR="004A7E9C">
        <w:t xml:space="preserve">Nařízení Brusel </w:t>
      </w:r>
      <w:proofErr w:type="spellStart"/>
      <w:r w:rsidR="004A7E9C">
        <w:t>IIa</w:t>
      </w:r>
      <w:proofErr w:type="spellEnd"/>
      <w:r w:rsidR="004A7E9C">
        <w:t>.,</w:t>
      </w:r>
      <w:r w:rsidRPr="00DC73DC">
        <w:t xml:space="preserve"> musí být vykládán v tom smyslu, že předběžné opatření není rozhodnutím o právu péče o dítě, které neobsahuje navrácení dítěte, ve smyslu tohoto ustanovení a nemůže vést k přechodu příslušnosti na členský stát, do něhož bylo dítě protiprávně přemístěno.“</w:t>
      </w:r>
      <w:r w:rsidRPr="00DC73DC">
        <w:rPr>
          <w:rStyle w:val="Znakapoznpodarou"/>
        </w:rPr>
        <w:footnoteReference w:id="122"/>
      </w:r>
    </w:p>
    <w:p w14:paraId="47420C7C" w14:textId="2DCBAFE6" w:rsidR="00770C73" w:rsidRPr="00DC73DC" w:rsidRDefault="00770C73" w:rsidP="00861DA6">
      <w:pPr>
        <w:spacing w:line="360" w:lineRule="auto"/>
        <w:ind w:firstLine="720"/>
        <w:jc w:val="both"/>
      </w:pPr>
      <w:r w:rsidRPr="00DC73DC">
        <w:t xml:space="preserve">S tímto souvisí i výklad čl. 20 stejného nařízení. Ve svém odstavci 1 stanoví, že </w:t>
      </w:r>
      <w:r w:rsidRPr="004A7E9C">
        <w:rPr>
          <w:i/>
        </w:rPr>
        <w:t xml:space="preserve">„V naléhavých případech nebrání toto nařízení soudů, členského státu, pokud jde o osoby a majetek v tomto státě, přijmout předběžná opatření a zajišťovací opatření přípustná </w:t>
      </w:r>
      <w:r w:rsidR="001B47E3">
        <w:rPr>
          <w:i/>
        </w:rPr>
        <w:t>podle</w:t>
      </w:r>
      <w:r w:rsidR="00276E78">
        <w:rPr>
          <w:i/>
        </w:rPr>
        <w:t xml:space="preserve"> </w:t>
      </w:r>
      <w:r w:rsidRPr="004A7E9C">
        <w:rPr>
          <w:i/>
        </w:rPr>
        <w:t xml:space="preserve">práva tohoto členského státu, a to i když je </w:t>
      </w:r>
      <w:r w:rsidR="001B47E3">
        <w:rPr>
          <w:i/>
        </w:rPr>
        <w:t>podle</w:t>
      </w:r>
      <w:r w:rsidR="00276E78">
        <w:rPr>
          <w:i/>
        </w:rPr>
        <w:t xml:space="preserve"> </w:t>
      </w:r>
      <w:r w:rsidRPr="004A7E9C">
        <w:rPr>
          <w:i/>
        </w:rPr>
        <w:t>tohoto nařízení k rozhodování ve věci samé příslušný soud jiného členského státu</w:t>
      </w:r>
      <w:r w:rsidRPr="004A7E9C">
        <w:t>.“</w:t>
      </w:r>
      <w:r w:rsidRPr="00DC73DC">
        <w:rPr>
          <w:rStyle w:val="Znakapoznpodarou"/>
        </w:rPr>
        <w:footnoteReference w:id="123"/>
      </w:r>
    </w:p>
    <w:p w14:paraId="4BE5DB72" w14:textId="27599EFB" w:rsidR="00770C73" w:rsidRPr="00DC73DC" w:rsidRDefault="001B47E3" w:rsidP="00861DA6">
      <w:pPr>
        <w:spacing w:line="360" w:lineRule="auto"/>
        <w:ind w:firstLine="720"/>
        <w:jc w:val="both"/>
      </w:pPr>
      <w:r>
        <w:t>Podle</w:t>
      </w:r>
      <w:r w:rsidR="00770C73" w:rsidRPr="00DC73DC">
        <w:t xml:space="preserve"> odst. 2 stejného článku </w:t>
      </w:r>
      <w:r w:rsidR="00770C73" w:rsidRPr="004A7E9C">
        <w:rPr>
          <w:i/>
        </w:rPr>
        <w:t xml:space="preserve">„Opatření přijatá pode odstave 1 pozbývají účinnosti v případě, že soud členského státu příslušný ve věci </w:t>
      </w:r>
      <w:r>
        <w:rPr>
          <w:i/>
        </w:rPr>
        <w:t>podle</w:t>
      </w:r>
      <w:r w:rsidR="00276E78">
        <w:rPr>
          <w:i/>
        </w:rPr>
        <w:t xml:space="preserve"> </w:t>
      </w:r>
      <w:r w:rsidR="00770C73" w:rsidRPr="004A7E9C">
        <w:rPr>
          <w:i/>
        </w:rPr>
        <w:t>tohoto nařízení přijal opatření, která považuje za vhodná.“</w:t>
      </w:r>
      <w:r w:rsidR="00770C73" w:rsidRPr="004A7E9C">
        <w:rPr>
          <w:rStyle w:val="Znakapoznpodarou"/>
          <w:i/>
        </w:rPr>
        <w:footnoteReference w:id="124"/>
      </w:r>
    </w:p>
    <w:p w14:paraId="4C207B8E" w14:textId="4E455EFC" w:rsidR="00770C73" w:rsidRPr="00DC73DC" w:rsidRDefault="00770C73" w:rsidP="00861DA6">
      <w:pPr>
        <w:spacing w:line="360" w:lineRule="auto"/>
        <w:ind w:firstLine="720"/>
        <w:jc w:val="both"/>
      </w:pPr>
      <w:r w:rsidRPr="00DC73DC">
        <w:t xml:space="preserve">Konkrétně se k tomuto vyjádřil Soudní dvůr ve věci </w:t>
      </w:r>
      <w:proofErr w:type="spellStart"/>
      <w:r w:rsidRPr="00DC73DC">
        <w:t>Deticek</w:t>
      </w:r>
      <w:proofErr w:type="spellEnd"/>
      <w:r w:rsidRPr="00DC73DC">
        <w:t xml:space="preserve"> v. </w:t>
      </w:r>
      <w:proofErr w:type="spellStart"/>
      <w:r w:rsidRPr="00DC73DC">
        <w:t>Sgueglia</w:t>
      </w:r>
      <w:proofErr w:type="spellEnd"/>
      <w:r w:rsidRPr="00DC73DC">
        <w:t xml:space="preserve">. V předběžné otázce se soud dotázal, zda může vnitrostátní soud vydat na základě vnitrostátního práva předběžné opatření na základě článku 20. Nařízení, kterým změní nebo zruší pravomocné a vykonatelné předběžné opatření vydané soudem jiného členského státu, který je na základě nařízení příslušný rozhodovat ve věci samé. </w:t>
      </w:r>
      <w:r w:rsidR="001B47E3">
        <w:t>Podle</w:t>
      </w:r>
      <w:r w:rsidRPr="00DC73DC">
        <w:t xml:space="preserve"> Soudního dvora musí být článek 20 nařízení vykládal v tom smyslu, že „článek 20 neumožňuje soudu jednoho členského státu vydat předběžné opatření ve věci rodičovské odpovědnosti, který by dítě nacházející se na </w:t>
      </w:r>
      <w:r w:rsidRPr="00DC73DC">
        <w:lastRenderedPageBreak/>
        <w:t>území tohoto členského státu svěřil do péče jednoho z rodičů, jestliže soud jiného členského státu, který je ve sporu o svěření dítěte do péče příslušný na základě uvedeného nařízení k rozhodování ve věci samé, jíž vydal rozhodnutí, kterým dítě předběžně svěřil do péče druhého z rodičů, a toto rozhodnutí bylo na území prvního členského státu prohlášeno za vykonatelé.</w:t>
      </w:r>
      <w:r w:rsidRPr="00DC73DC">
        <w:rPr>
          <w:rStyle w:val="Znakapoznpodarou"/>
        </w:rPr>
        <w:footnoteReference w:id="125"/>
      </w:r>
    </w:p>
    <w:p w14:paraId="50B7042F" w14:textId="0991A067" w:rsidR="0016049C" w:rsidRPr="00913477" w:rsidRDefault="0016049C" w:rsidP="00913477">
      <w:pPr>
        <w:pStyle w:val="Nadpis2"/>
        <w:spacing w:line="360" w:lineRule="auto"/>
        <w:rPr>
          <w:rFonts w:cs="Times New Roman"/>
          <w:szCs w:val="28"/>
        </w:rPr>
      </w:pPr>
      <w:bookmarkStart w:id="55" w:name="_Toc364927636"/>
      <w:bookmarkStart w:id="56" w:name="_Toc491117232"/>
      <w:r w:rsidRPr="00913477">
        <w:rPr>
          <w:rFonts w:cs="Times New Roman"/>
          <w:szCs w:val="28"/>
        </w:rPr>
        <w:t>Odmítnutí navrácení dítěte</w:t>
      </w:r>
      <w:bookmarkEnd w:id="55"/>
      <w:bookmarkEnd w:id="56"/>
    </w:p>
    <w:p w14:paraId="1828722B" w14:textId="7107E585" w:rsidR="0016049C" w:rsidRPr="00DC73DC" w:rsidRDefault="0016049C" w:rsidP="00861DA6">
      <w:pPr>
        <w:spacing w:line="360" w:lineRule="auto"/>
        <w:ind w:firstLine="720"/>
        <w:jc w:val="both"/>
      </w:pPr>
      <w:r w:rsidRPr="00DC73DC">
        <w:t>Soud může odmítnout navrácení dítěte do státu jeho obvyklého bydliště. Tato možnost je v zásadě řešena a zkoumána ve všech řízeních o mezinárodních únosech dětí, jelikož to představuje stěžejní obranu rodiče-únosce, kterou se tak brání před vynucením návratu dítěte. V této oblasti</w:t>
      </w:r>
      <w:r w:rsidR="001056BF" w:rsidRPr="00DC73DC">
        <w:t xml:space="preserve"> tak lze najít řadu judikatury, konkrétně i judikaturu </w:t>
      </w:r>
      <w:r w:rsidR="00913477">
        <w:t>ESLP.</w:t>
      </w:r>
    </w:p>
    <w:p w14:paraId="7C14A187" w14:textId="57A0C55C" w:rsidR="0016049C" w:rsidRPr="00DC73DC" w:rsidRDefault="0016049C" w:rsidP="00861DA6">
      <w:pPr>
        <w:spacing w:line="360" w:lineRule="auto"/>
        <w:ind w:firstLine="720"/>
        <w:jc w:val="both"/>
      </w:pPr>
      <w:r w:rsidRPr="00DC73DC">
        <w:t>Interpretačním prob</w:t>
      </w:r>
      <w:r w:rsidR="00913477">
        <w:t>lémem je tak zejména článek 13 Haagské ú</w:t>
      </w:r>
      <w:r w:rsidRPr="00DC73DC">
        <w:t>mluvy, který dává možnost rozhodnout ve zvláštních případech o nenavrácení dítěte. Ve své podstatě narušuje zásadní a původní ideu celé úmluvy, kterou je nepro</w:t>
      </w:r>
      <w:r w:rsidR="006E171C">
        <w:t>d</w:t>
      </w:r>
      <w:r w:rsidR="001B47E3">
        <w:t>le</w:t>
      </w:r>
      <w:r w:rsidRPr="00DC73DC">
        <w:t>ný návrat dítěte. Bezodkladný návrat má zejména sloužit k zabránění změny příslušnosti soudu v rozhodování ve věcech péče o</w:t>
      </w:r>
      <w:r w:rsidR="008F5ADE">
        <w:t> </w:t>
      </w:r>
      <w:r w:rsidRPr="00DC73DC">
        <w:t>dítě, tedy aby zejména nedocházelo ke zvýhodnění únosce.</w:t>
      </w:r>
      <w:r w:rsidRPr="00DC73DC">
        <w:rPr>
          <w:rStyle w:val="Znakapoznpodarou"/>
        </w:rPr>
        <w:footnoteReference w:id="126"/>
      </w:r>
    </w:p>
    <w:p w14:paraId="6D6A5B1F" w14:textId="32F6FE46" w:rsidR="0016049C" w:rsidRPr="00DC73DC" w:rsidRDefault="0016049C" w:rsidP="00861DA6">
      <w:pPr>
        <w:spacing w:line="360" w:lineRule="auto"/>
        <w:ind w:firstLine="720"/>
        <w:jc w:val="both"/>
      </w:pPr>
      <w:r w:rsidRPr="00DC73DC">
        <w:t>Důvody k odmítnutí navrácení dítěte jsou uvedeny taxativně, avšak v případě interpretace stále vyvolává jisté otázky, zejména, aby výklad daného ustanovení byl v souladu s principy a obecnými zásadami Úmluvy</w:t>
      </w:r>
      <w:r w:rsidR="001056BF" w:rsidRPr="00DC73DC">
        <w:t>. Rozhodnutí a výsledná stanoviska soudů různých států se mnohdy značně liší, jelikož každý stát vykládá a nazírá na danou problem</w:t>
      </w:r>
      <w:r w:rsidR="00BE2C12">
        <w:t>atiku jinak. V případě ESLP, který</w:t>
      </w:r>
      <w:r w:rsidR="001056BF" w:rsidRPr="00DC73DC">
        <w:t xml:space="preserve"> se snaží o zjevnou snahu o striktní vymezení pojmu a o stanovení jasných pravidel, za kterých je možné z tohoto ustanovení vyvodit závěr o nenavrácení dítěte. Odmítnutí státu vrátit dítě do země obvyklého bydliště dítěte je nevratný a nepřirozený zásah do práva péče o dítě druhého rodiče a zároveň samotného práva na rodinný a soukromý život, který jednotlivci zaručuje zejména Úmluva o ochraně lidských práv a svobod. Sám ESLP</w:t>
      </w:r>
      <w:r w:rsidR="0029143F">
        <w:t xml:space="preserve"> </w:t>
      </w:r>
      <w:r w:rsidR="001056BF" w:rsidRPr="00DC73DC">
        <w:t xml:space="preserve">nesprávně interpretoval dotčený článek Úmluvy, a to tím, že ve svém rozhodnutí ospravedlnil stanovisko soudu, který odmítl navrátit unesené dítě z důvodu adaptace na nové prostředí po osmi měsících, které soud podložil nejlepším zájmem dítěte. Takovéto rozhodnutí by v ustálené praxi zavedlo mnohé problémy, neboť by soudy rozhodovaly vždy </w:t>
      </w:r>
      <w:r w:rsidR="001B47E3">
        <w:t>podle</w:t>
      </w:r>
      <w:r w:rsidR="0075020F">
        <w:t xml:space="preserve"> </w:t>
      </w:r>
      <w:r w:rsidR="001056BF" w:rsidRPr="00DC73DC">
        <w:t xml:space="preserve">zájmu dítěte a tím pádem by docházelo k úplnému potlačení smyslu a rozhodování </w:t>
      </w:r>
      <w:r w:rsidR="001B47E3">
        <w:t>podle</w:t>
      </w:r>
      <w:r w:rsidR="0075020F">
        <w:t xml:space="preserve"> </w:t>
      </w:r>
      <w:r w:rsidR="001056BF" w:rsidRPr="00DC73DC">
        <w:t>Úmluvy jako takové.</w:t>
      </w:r>
      <w:r w:rsidR="001056BF" w:rsidRPr="00DC73DC">
        <w:rPr>
          <w:rStyle w:val="Znakapoznpodarou1"/>
        </w:rPr>
        <w:footnoteReference w:id="127"/>
      </w:r>
    </w:p>
    <w:p w14:paraId="7164E00B" w14:textId="1B322BEF" w:rsidR="00BF7785" w:rsidRPr="00DC73DC" w:rsidRDefault="00BF7785" w:rsidP="00861DA6">
      <w:pPr>
        <w:spacing w:line="360" w:lineRule="auto"/>
        <w:ind w:firstLine="720"/>
        <w:jc w:val="both"/>
      </w:pPr>
      <w:r w:rsidRPr="00DC73DC">
        <w:lastRenderedPageBreak/>
        <w:t>V rámci nenavrácení dítěte také Úmluva přikládá značný význam názoru dítěte prostřednictvím jeho výslechu. Pokud je dítě rozumově dostatečně vyspělé, může být takový názor důvodem pro nenavrácení dítěte.</w:t>
      </w:r>
      <w:r w:rsidRPr="00DC73DC">
        <w:rPr>
          <w:rStyle w:val="Znakapoznpodarou"/>
        </w:rPr>
        <w:footnoteReference w:id="128"/>
      </w:r>
      <w:r w:rsidRPr="00DC73DC">
        <w:t xml:space="preserve"> </w:t>
      </w:r>
      <w:r w:rsidR="001B47E3">
        <w:t>Podle</w:t>
      </w:r>
      <w:r w:rsidRPr="00DC73DC">
        <w:t xml:space="preserve"> ESLP je toto právo přirozené, avšak současně nejsou stanovena žádná pravidla či podmínky, které by měly soudy dodržovat při výslechu. Tato oblast je tak ponechána na právní úpravě jednotlivých státu, jak je tomu u nás právě novým občanským zákoníkem.</w:t>
      </w:r>
      <w:r w:rsidRPr="00DC73DC">
        <w:rPr>
          <w:rStyle w:val="Znakapoznpodarou"/>
        </w:rPr>
        <w:footnoteReference w:id="129"/>
      </w:r>
      <w:r w:rsidR="007C53E8">
        <w:t xml:space="preserve"> </w:t>
      </w:r>
      <w:r w:rsidRPr="00DC73DC">
        <w:t xml:space="preserve">Tento důraz je upraven v § 867 </w:t>
      </w:r>
      <w:r w:rsidR="00887CCB">
        <w:t>OZ</w:t>
      </w:r>
      <w:r w:rsidRPr="00DC73DC">
        <w:t>.</w:t>
      </w:r>
      <w:r w:rsidRPr="00DC73DC">
        <w:rPr>
          <w:rStyle w:val="Znakapoznpodarou"/>
        </w:rPr>
        <w:footnoteReference w:id="130"/>
      </w:r>
    </w:p>
    <w:p w14:paraId="73374F74" w14:textId="4C3FF067" w:rsidR="00722192" w:rsidRPr="00DC73DC" w:rsidRDefault="007B2DF6" w:rsidP="00861DA6">
      <w:pPr>
        <w:spacing w:line="360" w:lineRule="auto"/>
        <w:ind w:firstLine="720"/>
        <w:jc w:val="both"/>
      </w:pPr>
      <w:r w:rsidRPr="00DC73DC">
        <w:t>Ústavní soud se k čl.</w:t>
      </w:r>
      <w:r w:rsidR="00D14D85">
        <w:t xml:space="preserve"> </w:t>
      </w:r>
      <w:r w:rsidRPr="00DC73DC">
        <w:t xml:space="preserve">13 </w:t>
      </w:r>
      <w:r w:rsidR="00913477">
        <w:t xml:space="preserve">Haagské úmluvy </w:t>
      </w:r>
      <w:r w:rsidRPr="00DC73DC">
        <w:t xml:space="preserve">vyjádřil ve svém rozhodnutí z května tohoto roku. V daném řízení se nezletilý zdržoval ve Francii se svou matkou a k únosu došlo v situaci, kdy stěžovatel syna odvezl do České republiky s argumenty, že uvedeným rozhodnutím, jež stanovilo povinnost syna vrátit matce do Francie, došlo k porušení základních práv dítěte, jelikož </w:t>
      </w:r>
      <w:r w:rsidR="001B47E3">
        <w:t>podle</w:t>
      </w:r>
      <w:r w:rsidRPr="00DC73DC">
        <w:t xml:space="preserve"> jeho tvrzení obecné české soudy posoudily věc v rozporu s nejlepším zájmem dítěte, neboť nevzaly v potah odborná vyjádření či námitky, že by návrat vystavil nezletilého fyzické a duševní újmě, neboť </w:t>
      </w:r>
      <w:r w:rsidR="008F6912" w:rsidRPr="00DC73DC">
        <w:t>by se dostal do nesnesitelné situace, kterou by představovalo být rukojmím matky, která je pod vlivem ortodoxní židovské skupiny, ve které žije.</w:t>
      </w:r>
      <w:r w:rsidR="00722192" w:rsidRPr="00DC73DC">
        <w:rPr>
          <w:rStyle w:val="Znakapoznpodarou"/>
        </w:rPr>
        <w:footnoteReference w:id="131"/>
      </w:r>
      <w:r w:rsidR="008F6912" w:rsidRPr="00DC73DC">
        <w:t xml:space="preserve"> </w:t>
      </w:r>
    </w:p>
    <w:p w14:paraId="32245313" w14:textId="7EDC64D9" w:rsidR="00722192" w:rsidRPr="00DC73DC" w:rsidRDefault="008F6912" w:rsidP="00F76295">
      <w:pPr>
        <w:spacing w:line="360" w:lineRule="auto"/>
        <w:ind w:firstLine="720"/>
        <w:jc w:val="both"/>
      </w:pPr>
      <w:r w:rsidRPr="00DC73DC">
        <w:t xml:space="preserve">Ústavní soud došel k závěru, že daná ústavní stížnost je důvodná a v kontextu řízení upraveného Haagskou úmluvou je prvořadým hlediskem zájem dítěte, s kterým je neodmyslitelně spjato právo dítěte nebýt přemístěno od jednoho rodiče a nebýt zadržováno rodičem druhým. Přesto, že se Ústavní soud ztotožnil s názorem soudu prvního stupně, že návrh na navrácení dítěte byl podán důvodně, shledal, že byly dány důvody aplikovat čl. 13 Haagské úmluvy. Ústavní soud souhlasil s odvolacím soudem v tom, že důvody ve smyslu Haagské úmluvy nelze spatřovat ve stěžovatelem tvrzené nestabilní bezpečnostní situaci ve Francii, či způsobu života a školního vzdělávání místní židovské komunity. Avšak </w:t>
      </w:r>
      <w:r w:rsidR="001B47E3">
        <w:t>podle</w:t>
      </w:r>
      <w:r w:rsidRPr="00DC73DC">
        <w:t xml:space="preserve"> jeho názoru nelze přehlídnout předložené lékařské zprávy, které se týkaly stavu nezletilého. Odvolací soud se odvolával na rozhodnutí ESLP (</w:t>
      </w:r>
      <w:proofErr w:type="spellStart"/>
      <w:r w:rsidRPr="00DC73DC">
        <w:t>Macredy</w:t>
      </w:r>
      <w:proofErr w:type="spellEnd"/>
      <w:r w:rsidRPr="00DC73DC">
        <w:t xml:space="preserve"> proti České republice, které jsem taktéž zmínila výše) a dovozoval, že by se muselo jednat o závažné psychické onemocnění jako je schizofrenie, maniodepresivní psychóza, bipolární porucha, autismus apod. Takové závěry však z citovaného rozhodnutí </w:t>
      </w:r>
      <w:r w:rsidR="001B47E3">
        <w:t>podle</w:t>
      </w:r>
      <w:r w:rsidRPr="00DC73DC">
        <w:t xml:space="preserve"> odvolacího soudu nevyplývaly. Ústavní soud však byl přesvědčen, že bylo pouze na odvolacím soudu, aby zvážil konkrétní okolnosti věci a na základě předložených lékařských zpráv dovodil, zda v nich popsaný psychický stav </w:t>
      </w:r>
      <w:r w:rsidRPr="00DC73DC">
        <w:lastRenderedPageBreak/>
        <w:t>nezletilého zavdává důvody k apli</w:t>
      </w:r>
      <w:r w:rsidR="0056760D">
        <w:t>kaci předmětného článku, popř. z</w:t>
      </w:r>
      <w:r w:rsidRPr="00DC73DC">
        <w:t>da je</w:t>
      </w:r>
      <w:r w:rsidR="0029143F">
        <w:t xml:space="preserve"> </w:t>
      </w:r>
      <w:r w:rsidRPr="00DC73DC">
        <w:t>vytvoření takového úsudku zapotřebí zadání znaleckého posudku. Lékařské zprávy vyslovily jed</w:t>
      </w:r>
      <w:r w:rsidR="004014D1">
        <w:t>noz</w:t>
      </w:r>
      <w:r w:rsidRPr="00DC73DC">
        <w:t>načné závěry o riziku těžké traumatizaci dítěte a ohrožení jeho duševního vývoje a měl-li soud pochybnosti o jejich vypovídací hodnotě s ohledem na skutečnost, že byly podány otcem, který byl v té době osobou pečující, mohl si vyžádat další odborná vyjádření či zadat vypracování dalšího znaleckého posudku. Skutečnost, že nezletilý nebyl léčen, není ve smyslu čl. 13 písm. b) Haagské úmluvy určující.</w:t>
      </w:r>
      <w:r w:rsidR="00722192" w:rsidRPr="00DC73DC">
        <w:rPr>
          <w:rStyle w:val="Znakapoznpodarou"/>
        </w:rPr>
        <w:footnoteReference w:id="132"/>
      </w:r>
      <w:r w:rsidRPr="00DC73DC">
        <w:t xml:space="preserve"> </w:t>
      </w:r>
    </w:p>
    <w:p w14:paraId="6198887D" w14:textId="3CA7E679" w:rsidR="00722192" w:rsidRPr="00DC73DC" w:rsidRDefault="008F6912" w:rsidP="00F76295">
      <w:pPr>
        <w:spacing w:line="360" w:lineRule="auto"/>
        <w:ind w:firstLine="720"/>
        <w:jc w:val="both"/>
      </w:pPr>
      <w:r w:rsidRPr="00DC73DC">
        <w:t>Ústav</w:t>
      </w:r>
      <w:r w:rsidR="00722192" w:rsidRPr="00DC73DC">
        <w:t>n</w:t>
      </w:r>
      <w:r w:rsidRPr="00DC73DC">
        <w:t>í soud uzavřel, že aplikace daného článku Haagské úmluvy by měla skutečně přicházet v úvahu pouze ve výjimečných případech, nicméně tato skutečnost nezbavuje soudy povinnosti důkladně zkoumat podmínky pro případné naplnění dikce tohoto ustanovení.</w:t>
      </w:r>
      <w:r w:rsidR="00722192" w:rsidRPr="00DC73DC">
        <w:t xml:space="preserve"> </w:t>
      </w:r>
      <w:r w:rsidR="007670FA">
        <w:t>Fyzická či duševní újma, popř. pr</w:t>
      </w:r>
      <w:r w:rsidR="00722192" w:rsidRPr="00DC73DC">
        <w:t>o dítě nesnesitelná situace, může spočívat i v jiných skutečnostech než v pouze závažném onemocnění dítěte.</w:t>
      </w:r>
      <w:r w:rsidR="00722192" w:rsidRPr="00DC73DC">
        <w:rPr>
          <w:rStyle w:val="Znakapoznpodarou"/>
        </w:rPr>
        <w:footnoteReference w:id="133"/>
      </w:r>
    </w:p>
    <w:p w14:paraId="60BAA4FC" w14:textId="26688122" w:rsidR="007B2DF6" w:rsidRPr="00DC73DC" w:rsidRDefault="00722192" w:rsidP="00F76295">
      <w:pPr>
        <w:spacing w:line="360" w:lineRule="auto"/>
        <w:ind w:firstLine="720"/>
        <w:jc w:val="both"/>
      </w:pPr>
      <w:r w:rsidRPr="00DC73DC">
        <w:t xml:space="preserve">Současně v tomto rozhodnutí můžeme vidět upřednostněný zájem dítěte před zásahem do práva matky, z hlediska dopadu do práv nezletilého hrozila </w:t>
      </w:r>
      <w:r w:rsidR="001B47E3">
        <w:t>podle</w:t>
      </w:r>
      <w:r w:rsidRPr="00DC73DC">
        <w:t xml:space="preserve"> Ústavního soudu nepoměrně větší újma právě dítěti.</w:t>
      </w:r>
      <w:r w:rsidRPr="00DC73DC">
        <w:rPr>
          <w:rStyle w:val="Znakapoznpodarou"/>
        </w:rPr>
        <w:footnoteReference w:id="134"/>
      </w:r>
    </w:p>
    <w:p w14:paraId="1F54D1AE" w14:textId="77777777" w:rsidR="00B9535A" w:rsidRDefault="00B9535A">
      <w:pPr>
        <w:ind w:firstLine="0"/>
        <w:rPr>
          <w:b/>
          <w:bCs w:val="0"/>
          <w:kern w:val="36"/>
          <w:sz w:val="32"/>
          <w:szCs w:val="32"/>
          <w:lang w:eastAsia="en-US"/>
        </w:rPr>
      </w:pPr>
      <w:bookmarkStart w:id="57" w:name="_Toc364927637"/>
      <w:r>
        <w:br w:type="page"/>
      </w:r>
    </w:p>
    <w:p w14:paraId="1530D9F2" w14:textId="160D8284" w:rsidR="00EA2F0F" w:rsidRPr="00DC73DC" w:rsidRDefault="00EA2F0F" w:rsidP="00B9535A">
      <w:pPr>
        <w:pStyle w:val="Nadpis1"/>
        <w:numPr>
          <w:ilvl w:val="0"/>
          <w:numId w:val="0"/>
        </w:numPr>
        <w:ind w:left="432" w:hanging="432"/>
      </w:pPr>
      <w:bookmarkStart w:id="58" w:name="_Toc491117233"/>
      <w:r w:rsidRPr="00DC73DC">
        <w:lastRenderedPageBreak/>
        <w:t>Závěr</w:t>
      </w:r>
      <w:bookmarkEnd w:id="57"/>
      <w:bookmarkEnd w:id="58"/>
      <w:r w:rsidRPr="00DC73DC">
        <w:t xml:space="preserve"> </w:t>
      </w:r>
    </w:p>
    <w:p w14:paraId="0E25C6D9" w14:textId="5329ED09" w:rsidR="00E61C4A" w:rsidRPr="00DC73DC" w:rsidRDefault="00E61C4A" w:rsidP="00F76295">
      <w:pPr>
        <w:spacing w:line="360" w:lineRule="auto"/>
        <w:ind w:firstLine="0"/>
        <w:jc w:val="both"/>
      </w:pPr>
      <w:r w:rsidRPr="00DC73DC">
        <w:tab/>
        <w:t>Z</w:t>
      </w:r>
      <w:r w:rsidR="00F3461A" w:rsidRPr="00DC73DC">
        <w:t xml:space="preserve">ávěrem bych se </w:t>
      </w:r>
      <w:r w:rsidRPr="00DC73DC">
        <w:t xml:space="preserve">ve své diplomové práci </w:t>
      </w:r>
      <w:r w:rsidR="00F3461A" w:rsidRPr="00DC73DC">
        <w:t>ráda vyjádřila k výše zmíněným vědeckým otázkám</w:t>
      </w:r>
      <w:r w:rsidRPr="00DC73DC">
        <w:t>, tedy zda se shoduje současný koncept definice obvyklého bydliště dítěte s aktuální judikaturou</w:t>
      </w:r>
      <w:r w:rsidR="005618A2">
        <w:t xml:space="preserve"> ESD,</w:t>
      </w:r>
      <w:r w:rsidRPr="00DC73DC">
        <w:t xml:space="preserve"> jakou roli hraje fyzická přítomnost dítěte</w:t>
      </w:r>
      <w:r w:rsidR="005618A2">
        <w:t xml:space="preserve"> u příslušného soudu</w:t>
      </w:r>
      <w:r w:rsidRPr="00DC73DC">
        <w:t xml:space="preserve"> při určování jeho obvyklého bydliště, </w:t>
      </w:r>
      <w:r w:rsidR="001931B8">
        <w:t>dále otázkou</w:t>
      </w:r>
      <w:r w:rsidR="001931B8">
        <w:t xml:space="preserve"> vliv</w:t>
      </w:r>
      <w:r w:rsidR="001931B8">
        <w:t>u</w:t>
      </w:r>
      <w:r w:rsidR="001931B8">
        <w:t xml:space="preserve"> věk</w:t>
      </w:r>
      <w:r w:rsidR="001931B8">
        <w:t>u</w:t>
      </w:r>
      <w:r w:rsidR="001931B8">
        <w:t xml:space="preserve"> dítěte při určování jeho obvyklého bydliště</w:t>
      </w:r>
      <w:r w:rsidR="00874901">
        <w:t xml:space="preserve"> a </w:t>
      </w:r>
      <w:r w:rsidRPr="00DC73DC">
        <w:t xml:space="preserve">specifikem pak byl postup </w:t>
      </w:r>
      <w:r w:rsidR="001931B8">
        <w:t>v případě</w:t>
      </w:r>
      <w:r w:rsidRPr="00DC73DC">
        <w:t xml:space="preserve"> nenarozených dětí</w:t>
      </w:r>
      <w:r w:rsidR="00874901">
        <w:t>.</w:t>
      </w:r>
    </w:p>
    <w:p w14:paraId="5A4A3392" w14:textId="62FE9836" w:rsidR="00241BFB" w:rsidRPr="00DC73DC" w:rsidRDefault="00241BFB" w:rsidP="00F76295">
      <w:pPr>
        <w:spacing w:line="360" w:lineRule="auto"/>
        <w:ind w:firstLine="0"/>
        <w:jc w:val="both"/>
      </w:pPr>
      <w:r w:rsidRPr="00DC73DC">
        <w:tab/>
        <w:t>Rozborem soudních rozhodnutí</w:t>
      </w:r>
      <w:r w:rsidR="004B4E08">
        <w:t xml:space="preserve"> ESD</w:t>
      </w:r>
      <w:r w:rsidRPr="00DC73DC">
        <w:t xml:space="preserve"> jsem dospěla k závěru, že mezi stěžejní podmínkou pro určení obvyklého bydliště dítěte je fyzická přítomnost v tomto státě. Zejména ve smyslu k rodinnému a společenskému začlenění dí</w:t>
      </w:r>
      <w:r w:rsidR="004B4E08">
        <w:t xml:space="preserve">těte k jistému členskému státu, což potvrzují i mnohá rozhodnutí </w:t>
      </w:r>
      <w:r w:rsidR="004B4E08" w:rsidRPr="00DC73DC">
        <w:t>soudů České republiky</w:t>
      </w:r>
      <w:r w:rsidR="004B4E08">
        <w:t>. Lze tedy</w:t>
      </w:r>
      <w:r w:rsidR="006B56FD">
        <w:t xml:space="preserve"> obecně</w:t>
      </w:r>
      <w:r w:rsidR="004B4E08">
        <w:t xml:space="preserve"> říci, že soudy České republiky při své rozhodovací činnosti </w:t>
      </w:r>
      <w:r w:rsidR="003D40A3">
        <w:t xml:space="preserve">vykládají pojem obvyklého bydliště dítěte </w:t>
      </w:r>
      <w:proofErr w:type="spellStart"/>
      <w:r w:rsidR="003D40A3">
        <w:t>eurokonformně</w:t>
      </w:r>
      <w:proofErr w:type="spellEnd"/>
      <w:r w:rsidR="003D40A3">
        <w:t xml:space="preserve"> v souladu s rozhodovací praxí soudů evropských.</w:t>
      </w:r>
    </w:p>
    <w:p w14:paraId="6BA93F7A" w14:textId="5BAF8AEA" w:rsidR="00241BFB" w:rsidRPr="00DC73DC" w:rsidRDefault="00755581" w:rsidP="00F76295">
      <w:pPr>
        <w:spacing w:line="360" w:lineRule="auto"/>
        <w:ind w:firstLine="720"/>
        <w:jc w:val="both"/>
      </w:pPr>
      <w:r w:rsidRPr="00DC73DC">
        <w:t xml:space="preserve">Soudní dvůr ve svém rozhodnutí ve věci </w:t>
      </w:r>
      <w:r w:rsidR="00E61C4A" w:rsidRPr="00DC73DC">
        <w:t xml:space="preserve">C-111/17 PPU </w:t>
      </w:r>
      <w:r w:rsidRPr="00DC73DC">
        <w:t xml:space="preserve">stanovil, že každý případ je potřeba zkoumat specificky, výklad pojmu obvyklého bydliště dítěte musí být vykládán s ohledem na nejlepší zájem dítěte a zejména musí soudy vzít v potaz prvek blízkosti. </w:t>
      </w:r>
      <w:r w:rsidR="00B073FD" w:rsidRPr="00DC73DC">
        <w:t xml:space="preserve">V daném případě byla situace ojedinělá v tom smyslu, že nikdy nedošlo k fyzickému přemístění dítěte a ve státě, do </w:t>
      </w:r>
      <w:r w:rsidR="00241BFB" w:rsidRPr="00DC73DC">
        <w:t>kterého</w:t>
      </w:r>
      <w:r w:rsidR="00B073FD" w:rsidRPr="00DC73DC">
        <w:t xml:space="preserve"> požadoval </w:t>
      </w:r>
      <w:r w:rsidR="00241BFB" w:rsidRPr="00DC73DC">
        <w:t xml:space="preserve">jeho </w:t>
      </w:r>
      <w:r w:rsidR="00B073FD" w:rsidRPr="00DC73DC">
        <w:t>otec navrácení, nikdy fyzicky nebylo</w:t>
      </w:r>
      <w:r w:rsidR="00241BFB" w:rsidRPr="00DC73DC">
        <w:t xml:space="preserve"> nepřítomno</w:t>
      </w:r>
      <w:r w:rsidR="00B073FD" w:rsidRPr="00DC73DC">
        <w:t xml:space="preserve">. Nebyla tedy založena podmínka fyzické přítomnosti a Soudní dvůr rozhodl, že se od této podmínky není možné odchýlit a </w:t>
      </w:r>
      <w:r w:rsidR="00241BFB" w:rsidRPr="00DC73DC">
        <w:t>bude i nadále vyžadována. Koncept definice obvyklého bydliště dítěte ve světle současné judikatury, konkrétně v</w:t>
      </w:r>
      <w:r w:rsidR="00B1328C" w:rsidRPr="00DC73DC">
        <w:t>e vztahu k</w:t>
      </w:r>
      <w:r w:rsidR="00241BFB" w:rsidRPr="00DC73DC">
        <w:t> otázce fyzické přítomnosti dítěte a odloučením se od této podmínky, tedy zůstává zachován.</w:t>
      </w:r>
      <w:r w:rsidR="0029143F">
        <w:t xml:space="preserve"> </w:t>
      </w:r>
    </w:p>
    <w:p w14:paraId="297C4C4F" w14:textId="27B6627D" w:rsidR="00B7478B" w:rsidRDefault="005F6FE8" w:rsidP="00F76295">
      <w:pPr>
        <w:spacing w:line="360" w:lineRule="auto"/>
        <w:ind w:firstLine="720"/>
        <w:jc w:val="both"/>
      </w:pPr>
      <w:r>
        <w:t xml:space="preserve">Jelikož se v daném případě jednalo o kojence, je tedy na místě velmi zdůraznit souvislost věku dítěte s rozhodováním soudů o obvyklém bydlišti. </w:t>
      </w:r>
      <w:r w:rsidR="00B20ACA" w:rsidRPr="00DC73DC">
        <w:t xml:space="preserve">Soudní dvůr </w:t>
      </w:r>
      <w:r>
        <w:t xml:space="preserve">přistupoval k této otázce poněkud obezřetně, neboť je kojenec </w:t>
      </w:r>
      <w:r w:rsidR="00B20ACA" w:rsidRPr="00DC73DC">
        <w:t xml:space="preserve">mnohem více závislý na osobách, které jej obklopují a o to </w:t>
      </w:r>
      <w:r w:rsidR="00B1328C" w:rsidRPr="00DC73DC">
        <w:t>opatrněji</w:t>
      </w:r>
      <w:r w:rsidR="00B20ACA" w:rsidRPr="00DC73DC">
        <w:t xml:space="preserve"> by se mělo při určování obvyklého bydliště dbát jednotlivých výkladů a posuzování okolností. </w:t>
      </w:r>
    </w:p>
    <w:p w14:paraId="56F52A8C" w14:textId="6553F49E" w:rsidR="00F3461A" w:rsidRPr="00DC73DC" w:rsidRDefault="00B20ACA" w:rsidP="00F76295">
      <w:pPr>
        <w:spacing w:line="360" w:lineRule="auto"/>
        <w:ind w:firstLine="720"/>
        <w:jc w:val="both"/>
      </w:pPr>
      <w:r w:rsidRPr="00DC73DC">
        <w:t xml:space="preserve">V případě nenarozených dětí </w:t>
      </w:r>
      <w:r w:rsidR="00803C99">
        <w:t xml:space="preserve">přiznává </w:t>
      </w:r>
      <w:r w:rsidRPr="00DC73DC">
        <w:t xml:space="preserve">Soudní dvůr, že nařízení mlčí, avšak zastává názor, že pokud by se nařízení vztahovalo i na těhotenství, tak by bylo možné zařadit do působnosti nařízení Brusel </w:t>
      </w:r>
      <w:proofErr w:type="spellStart"/>
      <w:r w:rsidRPr="00DC73DC">
        <w:t>IIa</w:t>
      </w:r>
      <w:proofErr w:type="spellEnd"/>
      <w:r w:rsidRPr="00DC73DC">
        <w:t xml:space="preserve"> i nenarozené děti, s čímž nesouhlasí.</w:t>
      </w:r>
      <w:r w:rsidR="0029143F">
        <w:t xml:space="preserve"> </w:t>
      </w:r>
    </w:p>
    <w:p w14:paraId="166E272F" w14:textId="4E9325CC" w:rsidR="00B20ACA" w:rsidRPr="00DC73DC" w:rsidRDefault="00B1328C" w:rsidP="00F76295">
      <w:pPr>
        <w:spacing w:line="360" w:lineRule="auto"/>
        <w:ind w:firstLine="720"/>
        <w:jc w:val="both"/>
      </w:pPr>
      <w:r w:rsidRPr="00DC73DC">
        <w:t>S názorem Soudního dvora</w:t>
      </w:r>
      <w:r w:rsidR="00B20ACA" w:rsidRPr="00DC73DC">
        <w:t xml:space="preserve"> se ztotožňuji. V případě nenarozených dětí by nemělo docházet k určování </w:t>
      </w:r>
      <w:r w:rsidR="00F63D7E">
        <w:t xml:space="preserve">jejich </w:t>
      </w:r>
      <w:r w:rsidR="00B20ACA" w:rsidRPr="00DC73DC">
        <w:t xml:space="preserve">obvyklého bydliště, dokud nejsou narozeny, tedy dokud </w:t>
      </w:r>
      <w:r w:rsidRPr="00DC73DC">
        <w:t xml:space="preserve">nedochází k posuzování konkrétních okolností ve vztahu ke konkrétnímu dítěti. V dnešní společnosti </w:t>
      </w:r>
      <w:r w:rsidR="00B11742">
        <w:lastRenderedPageBreak/>
        <w:t xml:space="preserve">často </w:t>
      </w:r>
      <w:r w:rsidRPr="00DC73DC">
        <w:t>dochází k závažným rozhodnutím</w:t>
      </w:r>
      <w:r w:rsidR="000C0BC7">
        <w:t xml:space="preserve"> rodičů</w:t>
      </w:r>
      <w:r w:rsidRPr="00DC73DC">
        <w:t xml:space="preserve"> v průběhu krátkých časových intervalů, kterými </w:t>
      </w:r>
      <w:r w:rsidR="002D10D8">
        <w:t>jsou</w:t>
      </w:r>
      <w:r w:rsidRPr="00DC73DC">
        <w:t xml:space="preserve"> ovlivněny zejména zájmy takového dítěte. </w:t>
      </w:r>
    </w:p>
    <w:p w14:paraId="1AE20640" w14:textId="5C5E8CA0" w:rsidR="00B1328C" w:rsidRPr="00DC73DC" w:rsidRDefault="00B1328C" w:rsidP="00F76295">
      <w:pPr>
        <w:spacing w:line="360" w:lineRule="auto"/>
        <w:ind w:firstLine="720"/>
        <w:jc w:val="both"/>
      </w:pPr>
      <w:r w:rsidRPr="00DC73DC">
        <w:t>Jak i konstatoval ve svém rozhodnutí Nejvyšší soud</w:t>
      </w:r>
      <w:r w:rsidR="002210DA">
        <w:t xml:space="preserve"> ČR</w:t>
      </w:r>
      <w:r w:rsidRPr="00DC73DC">
        <w:t xml:space="preserve"> „Skutečnou obětí únosů je dítě samotné, které trpí náhlým narušením své stability, traumatickou ztrátou rodiče, který zajišťoval jeho výchovu, nejistotou a frustrací spojenou s nutností přizpůsobit se cizímu jazyku, neznámým kulturním podmínkám, učitelům, příbuzným.“</w:t>
      </w:r>
      <w:r w:rsidRPr="00DC73DC">
        <w:rPr>
          <w:rStyle w:val="Znakapoznpodarou"/>
        </w:rPr>
        <w:footnoteReference w:id="135"/>
      </w:r>
      <w:r w:rsidRPr="00DC73DC">
        <w:t xml:space="preserve"> </w:t>
      </w:r>
    </w:p>
    <w:p w14:paraId="6C16865C" w14:textId="5B3D8698" w:rsidR="00B1328C" w:rsidRPr="00DC73DC" w:rsidRDefault="00B1328C" w:rsidP="00F76295">
      <w:pPr>
        <w:spacing w:line="360" w:lineRule="auto"/>
        <w:ind w:firstLine="720"/>
        <w:jc w:val="both"/>
      </w:pPr>
      <w:r w:rsidRPr="00DC73DC">
        <w:t xml:space="preserve">„Nenavrácení dítěte proto musí spočívat v existenci takového rizika, které není jen vážné, ale musí se jednat o podstatnou, nikoliv jen triviální újmu, přičemž tyto důvody, eliminující návrat dítěte do místa jeho obvyklého </w:t>
      </w:r>
      <w:r w:rsidR="008235FE">
        <w:t>bydliště</w:t>
      </w:r>
      <w:r w:rsidRPr="00DC73DC">
        <w:t>, musí být zjištěny a objasněny natolik dostatečně, aby hrozba vážného nebezpečí</w:t>
      </w:r>
      <w:r w:rsidR="00BB6B9F" w:rsidRPr="00DC73DC">
        <w:t xml:space="preserve"> fyzické nebo duševní újmy, příp. nesnesitelná situace z přikázaného návratu byly s co nejvyšší mírou pravděpodobnosti vyloučeny.“</w:t>
      </w:r>
      <w:r w:rsidR="00BB6B9F" w:rsidRPr="00DC73DC">
        <w:rPr>
          <w:rStyle w:val="Znakapoznpodarou"/>
        </w:rPr>
        <w:footnoteReference w:id="136"/>
      </w:r>
    </w:p>
    <w:p w14:paraId="4E0FA546" w14:textId="77777777" w:rsidR="005637D0" w:rsidRPr="00DC73DC" w:rsidRDefault="005637D0" w:rsidP="00F76295">
      <w:pPr>
        <w:spacing w:line="360" w:lineRule="auto"/>
        <w:ind w:firstLine="720"/>
        <w:jc w:val="both"/>
      </w:pPr>
    </w:p>
    <w:p w14:paraId="2196613F" w14:textId="77777777" w:rsidR="005637D0" w:rsidRPr="00DC73DC" w:rsidRDefault="005637D0" w:rsidP="00F76295">
      <w:pPr>
        <w:spacing w:line="360" w:lineRule="auto"/>
        <w:ind w:firstLine="720"/>
        <w:jc w:val="both"/>
        <w:sectPr w:rsidR="005637D0" w:rsidRPr="00DC73DC" w:rsidSect="00DC73DC">
          <w:pgSz w:w="11900" w:h="16840"/>
          <w:pgMar w:top="1418" w:right="1134" w:bottom="1418" w:left="1701" w:header="709" w:footer="709" w:gutter="0"/>
          <w:cols w:space="708"/>
          <w:titlePg/>
          <w:docGrid w:linePitch="360"/>
        </w:sectPr>
      </w:pPr>
    </w:p>
    <w:p w14:paraId="49445528" w14:textId="211D6FD3" w:rsidR="005637D0" w:rsidRPr="00DC73DC" w:rsidRDefault="005637D0" w:rsidP="007C15E6">
      <w:pPr>
        <w:pStyle w:val="Nadpis1"/>
        <w:numPr>
          <w:ilvl w:val="0"/>
          <w:numId w:val="0"/>
        </w:numPr>
        <w:ind w:left="432" w:hanging="432"/>
      </w:pPr>
      <w:bookmarkStart w:id="59" w:name="_Toc364927638"/>
      <w:bookmarkStart w:id="60" w:name="_Toc491117234"/>
      <w:r w:rsidRPr="00DC73DC">
        <w:lastRenderedPageBreak/>
        <w:t>Abstrakt</w:t>
      </w:r>
      <w:bookmarkEnd w:id="59"/>
      <w:bookmarkEnd w:id="60"/>
    </w:p>
    <w:p w14:paraId="0157C580" w14:textId="2C79EE3B" w:rsidR="005637D0" w:rsidRPr="00DC73DC" w:rsidRDefault="005637D0" w:rsidP="00F76295">
      <w:pPr>
        <w:spacing w:line="360" w:lineRule="auto"/>
        <w:jc w:val="both"/>
      </w:pPr>
      <w:r w:rsidRPr="00DC73DC">
        <w:t>Diplomová práce se zabývá výkladem pojmu obvyklého bydliště dítěte v případech mezinárodních únosů, a to konkrétně výkladem tohoto pojmu ve světle aktuální judikatury. V první kapitole se věnuji pramenům právní úpravy obvyklého bydliště dítěte, nejprve na úrovni mezinárodní, pak na úrovni unijní právní úpravy a v neposlední řadě také začlenění pojmu v právním řádu České republiky. Současně také vymezuji základní pojmy a principy, které uvádí jednotlivé prameny ve svých výkladech. V druhé kapitole se věnuji rozsáhlejšímu výkladu pojmu obvyklého bydliště, zejména, jak jej upravuje česká právní úprava, uvádím instituty, které s tímto pojmem souvisí</w:t>
      </w:r>
      <w:r w:rsidR="009E2AFA">
        <w:t>,</w:t>
      </w:r>
      <w:bookmarkStart w:id="61" w:name="_GoBack"/>
      <w:bookmarkEnd w:id="61"/>
      <w:r w:rsidRPr="00DC73DC">
        <w:t xml:space="preserve"> a to dokládám judikaturou nejen českých soudů, ale také judikaturou zahraniční. Ve třetí kapitole se pak věnuji výkladu pojmu obvyklého bydliště dítěte Soudním dvorem Evropské Unie, který se věnuje podmínce fyzické přítomnosti dítěte v členském státě jako kritérium pro určení jeho obvyklého bydliště. Soud se v tomto rozhodnutí také věnuje otázce kojenců a nenarozených dětí, kterým jsem věnovala zvláštní podkapitolu. V poslední kapitole se věnuji návratovému řízení a výkladům relevantních článků při určování příslušnosti soudu při změně místa obvyklého bydliště dítěte. Závěrem se vyjadřuji ke výše zmíněným názorům Soudního dvora. </w:t>
      </w:r>
    </w:p>
    <w:p w14:paraId="29BAE84B" w14:textId="7B4EDACE" w:rsidR="005637D0" w:rsidRPr="00DC73DC" w:rsidRDefault="005637D0" w:rsidP="00F76295">
      <w:pPr>
        <w:spacing w:line="360" w:lineRule="auto"/>
        <w:jc w:val="both"/>
      </w:pPr>
      <w:r w:rsidRPr="00DC73DC">
        <w:t>Klíčová slova: mezinárodní právo, občanské právo, obvyklé bydliště dítěte, právo péče, právo styku, rodičovská odpovědnost, navrácení dítěte, přemístění a zadržení, mezinárodní únos</w:t>
      </w:r>
    </w:p>
    <w:p w14:paraId="5AFB71F0" w14:textId="77777777" w:rsidR="005637D0" w:rsidRPr="00DC73DC" w:rsidRDefault="005637D0" w:rsidP="00F76295">
      <w:pPr>
        <w:spacing w:line="360" w:lineRule="auto"/>
        <w:jc w:val="both"/>
      </w:pPr>
    </w:p>
    <w:p w14:paraId="1B2D00C8" w14:textId="60974D31" w:rsidR="005637D0" w:rsidRPr="007C15E6" w:rsidRDefault="005637D0" w:rsidP="007C15E6">
      <w:pPr>
        <w:spacing w:line="360" w:lineRule="auto"/>
        <w:ind w:firstLine="0"/>
        <w:jc w:val="both"/>
        <w:rPr>
          <w:b/>
          <w:sz w:val="32"/>
          <w:szCs w:val="32"/>
          <w:lang w:val="en-GB"/>
        </w:rPr>
      </w:pPr>
      <w:r w:rsidRPr="007C15E6">
        <w:rPr>
          <w:b/>
          <w:sz w:val="32"/>
          <w:szCs w:val="32"/>
          <w:lang w:val="en-GB"/>
        </w:rPr>
        <w:t>Abstract</w:t>
      </w:r>
    </w:p>
    <w:p w14:paraId="2B5558C4" w14:textId="2B5B5124" w:rsidR="00370078" w:rsidRPr="00DC73DC" w:rsidRDefault="005637D0" w:rsidP="00F76295">
      <w:pPr>
        <w:spacing w:line="360" w:lineRule="auto"/>
        <w:jc w:val="both"/>
        <w:rPr>
          <w:lang w:val="en-GB"/>
        </w:rPr>
      </w:pPr>
      <w:r w:rsidRPr="00DC73DC">
        <w:rPr>
          <w:lang w:val="en-GB"/>
        </w:rPr>
        <w:t xml:space="preserve">This thesis deals with the explication of the </w:t>
      </w:r>
      <w:r w:rsidR="00F67F78" w:rsidRPr="00DC73DC">
        <w:rPr>
          <w:lang w:val="en-GB"/>
        </w:rPr>
        <w:t xml:space="preserve">term „child </w:t>
      </w:r>
      <w:r w:rsidR="00D9505D" w:rsidRPr="00DC73DC">
        <w:rPr>
          <w:lang w:val="en-GB"/>
        </w:rPr>
        <w:t xml:space="preserve">habitual residence“ within the </w:t>
      </w:r>
      <w:r w:rsidR="00F67F78" w:rsidRPr="00DC73DC">
        <w:rPr>
          <w:lang w:val="en-GB"/>
        </w:rPr>
        <w:t xml:space="preserve">cases of international child abduction. In this thesis the habitual residence is being explained in terms of recent judicial decisions of the Court of Justice of the European Union. In the first chapter of this thesis I will introduce the individual legal </w:t>
      </w:r>
      <w:r w:rsidR="00D9505D" w:rsidRPr="00DC73DC">
        <w:rPr>
          <w:lang w:val="en-GB"/>
        </w:rPr>
        <w:t>systems, which</w:t>
      </w:r>
      <w:r w:rsidR="00F67F78" w:rsidRPr="00DC73DC">
        <w:rPr>
          <w:lang w:val="en-GB"/>
        </w:rPr>
        <w:t xml:space="preserve"> are related to this matter. First I will mention this term on the international level,</w:t>
      </w:r>
      <w:r w:rsidR="00370078" w:rsidRPr="00DC73DC">
        <w:rPr>
          <w:lang w:val="en-GB"/>
        </w:rPr>
        <w:t xml:space="preserve"> then I will focus on the</w:t>
      </w:r>
      <w:r w:rsidR="00F67F78" w:rsidRPr="00DC73DC">
        <w:rPr>
          <w:lang w:val="en-GB"/>
        </w:rPr>
        <w:t xml:space="preserve"> legal system of the European Union and </w:t>
      </w:r>
      <w:r w:rsidR="00370078" w:rsidRPr="00DC73DC">
        <w:rPr>
          <w:lang w:val="en-GB"/>
        </w:rPr>
        <w:t xml:space="preserve">lastly </w:t>
      </w:r>
      <w:r w:rsidR="00F67F78" w:rsidRPr="00DC73DC">
        <w:rPr>
          <w:lang w:val="en-GB"/>
        </w:rPr>
        <w:t xml:space="preserve">its position in the </w:t>
      </w:r>
      <w:r w:rsidR="00D9505D" w:rsidRPr="00DC73DC">
        <w:rPr>
          <w:lang w:val="en-GB"/>
        </w:rPr>
        <w:t>Czech</w:t>
      </w:r>
      <w:r w:rsidR="00F67F78" w:rsidRPr="00DC73DC">
        <w:rPr>
          <w:lang w:val="en-GB"/>
        </w:rPr>
        <w:t xml:space="preserve"> legal system. As well as introducing these legal systems, I will briefly comment on </w:t>
      </w:r>
      <w:r w:rsidR="00D9505D" w:rsidRPr="00DC73DC">
        <w:rPr>
          <w:lang w:val="en-GB"/>
        </w:rPr>
        <w:t>principles, which</w:t>
      </w:r>
      <w:r w:rsidR="00F67F78" w:rsidRPr="00DC73DC">
        <w:rPr>
          <w:lang w:val="en-GB"/>
        </w:rPr>
        <w:t xml:space="preserve"> are resulting from the</w:t>
      </w:r>
      <w:r w:rsidR="00370078" w:rsidRPr="00DC73DC">
        <w:rPr>
          <w:lang w:val="en-GB"/>
        </w:rPr>
        <w:t>m</w:t>
      </w:r>
      <w:r w:rsidR="00F67F78" w:rsidRPr="00DC73DC">
        <w:rPr>
          <w:lang w:val="en-GB"/>
        </w:rPr>
        <w:t xml:space="preserve">. In the second chapter I would like to get closer to the explanation of child habitual residence, mainly in the </w:t>
      </w:r>
      <w:r w:rsidR="00D9505D" w:rsidRPr="00DC73DC">
        <w:rPr>
          <w:lang w:val="en-GB"/>
        </w:rPr>
        <w:t>Czech</w:t>
      </w:r>
      <w:r w:rsidR="00F67F78" w:rsidRPr="00DC73DC">
        <w:rPr>
          <w:lang w:val="en-GB"/>
        </w:rPr>
        <w:t xml:space="preserve"> legal system and I would like to introduce principles and </w:t>
      </w:r>
      <w:r w:rsidR="00370078" w:rsidRPr="00DC73DC">
        <w:rPr>
          <w:lang w:val="en-GB"/>
        </w:rPr>
        <w:t>other legal terms which are closely related to the habitual residence. This will be supported by the judicial d</w:t>
      </w:r>
      <w:r w:rsidR="0099601B">
        <w:rPr>
          <w:lang w:val="en-GB"/>
        </w:rPr>
        <w:t>ecisions not only of the Czech R</w:t>
      </w:r>
      <w:r w:rsidR="00370078" w:rsidRPr="00DC73DC">
        <w:rPr>
          <w:lang w:val="en-GB"/>
        </w:rPr>
        <w:t xml:space="preserve">epublic but as well decision delivered by the foreign courts. In the third chapter I will deal with the concept of a </w:t>
      </w:r>
      <w:r w:rsidR="00D9505D" w:rsidRPr="00DC73DC">
        <w:rPr>
          <w:lang w:val="en-GB"/>
        </w:rPr>
        <w:t>physical presence</w:t>
      </w:r>
      <w:r w:rsidR="00370078" w:rsidRPr="00DC73DC">
        <w:rPr>
          <w:lang w:val="en-GB"/>
        </w:rPr>
        <w:t xml:space="preserve"> of a child in a </w:t>
      </w:r>
      <w:r w:rsidR="00370078" w:rsidRPr="00DC73DC">
        <w:rPr>
          <w:lang w:val="en-GB"/>
        </w:rPr>
        <w:lastRenderedPageBreak/>
        <w:t xml:space="preserve">state as a condition when deciding on the place of child’s habitual residence. This was crucial for a decision of the Court of Justice of the European </w:t>
      </w:r>
      <w:r w:rsidR="00D9505D" w:rsidRPr="00DC73DC">
        <w:rPr>
          <w:lang w:val="en-GB"/>
        </w:rPr>
        <w:t>Union, which</w:t>
      </w:r>
      <w:r w:rsidR="00370078" w:rsidRPr="00DC73DC">
        <w:rPr>
          <w:lang w:val="en-GB"/>
        </w:rPr>
        <w:t xml:space="preserve"> will be used by the </w:t>
      </w:r>
      <w:r w:rsidR="00D9505D" w:rsidRPr="00DC73DC">
        <w:rPr>
          <w:lang w:val="en-GB"/>
        </w:rPr>
        <w:t>Czech</w:t>
      </w:r>
      <w:r w:rsidR="00370078" w:rsidRPr="00DC73DC">
        <w:rPr>
          <w:lang w:val="en-GB"/>
        </w:rPr>
        <w:t xml:space="preserve"> courts in the future. The court was also dealing with the situation of infants and </w:t>
      </w:r>
      <w:proofErr w:type="spellStart"/>
      <w:r w:rsidR="00370078" w:rsidRPr="00DC73DC">
        <w:rPr>
          <w:lang w:val="en-GB"/>
        </w:rPr>
        <w:t>nasciturus</w:t>
      </w:r>
      <w:proofErr w:type="spellEnd"/>
      <w:r w:rsidR="00370078" w:rsidRPr="00DC73DC">
        <w:rPr>
          <w:lang w:val="en-GB"/>
        </w:rPr>
        <w:t>.</w:t>
      </w:r>
      <w:r w:rsidR="00D9505D" w:rsidRPr="00DC73DC">
        <w:rPr>
          <w:lang w:val="en-GB"/>
        </w:rPr>
        <w:t xml:space="preserve"> </w:t>
      </w:r>
      <w:r w:rsidR="00370078" w:rsidRPr="00DC73DC">
        <w:rPr>
          <w:lang w:val="en-GB"/>
        </w:rPr>
        <w:t xml:space="preserve">In the last chapter I would like to talk about the procedure when the habitual residence of a child is being changed and the procedure of returning a child. In the conclusion I would like to take the chance to express my opinion to this matter. </w:t>
      </w:r>
    </w:p>
    <w:p w14:paraId="2883BA85" w14:textId="252159AA" w:rsidR="005637D0" w:rsidRPr="00DC73DC" w:rsidRDefault="00370078" w:rsidP="00F76295">
      <w:pPr>
        <w:spacing w:line="360" w:lineRule="auto"/>
        <w:jc w:val="both"/>
        <w:rPr>
          <w:lang w:val="en-GB"/>
        </w:rPr>
      </w:pPr>
      <w:r w:rsidRPr="00DC73DC">
        <w:rPr>
          <w:lang w:val="en-GB"/>
        </w:rPr>
        <w:t xml:space="preserve">Key words: international law – civil law - habitual residence - wrongful removal or retention – </w:t>
      </w:r>
      <w:r w:rsidR="00D9505D" w:rsidRPr="00DC73DC">
        <w:rPr>
          <w:lang w:val="en-GB"/>
        </w:rPr>
        <w:t>right of custody – right of access- parental responsibility-return of a child – wrongful removal or retention – international child abduction</w:t>
      </w:r>
    </w:p>
    <w:p w14:paraId="372D71B5" w14:textId="77777777" w:rsidR="00F3461A" w:rsidRPr="00DC73DC" w:rsidRDefault="00F3461A" w:rsidP="00F76295">
      <w:pPr>
        <w:spacing w:line="360" w:lineRule="auto"/>
        <w:ind w:firstLine="0"/>
        <w:jc w:val="both"/>
      </w:pPr>
    </w:p>
    <w:p w14:paraId="2FC54E6A" w14:textId="77777777" w:rsidR="00D9505D" w:rsidRPr="00DC73DC" w:rsidRDefault="00D9505D" w:rsidP="00F76295">
      <w:pPr>
        <w:spacing w:line="360" w:lineRule="auto"/>
        <w:ind w:firstLine="0"/>
        <w:jc w:val="both"/>
        <w:sectPr w:rsidR="00D9505D" w:rsidRPr="00DC73DC" w:rsidSect="005613CD">
          <w:pgSz w:w="11900" w:h="16840"/>
          <w:pgMar w:top="1418" w:right="1134" w:bottom="1418" w:left="1701" w:header="709" w:footer="709" w:gutter="0"/>
          <w:cols w:space="708"/>
          <w:docGrid w:linePitch="360"/>
        </w:sectPr>
      </w:pPr>
    </w:p>
    <w:p w14:paraId="656FF103" w14:textId="3F5E1771" w:rsidR="00EA2F0F" w:rsidRPr="00DC73DC" w:rsidRDefault="00D9505D" w:rsidP="005D6BA9">
      <w:pPr>
        <w:pStyle w:val="Nadpis1"/>
        <w:numPr>
          <w:ilvl w:val="0"/>
          <w:numId w:val="0"/>
        </w:numPr>
        <w:ind w:left="432" w:hanging="432"/>
      </w:pPr>
      <w:bookmarkStart w:id="62" w:name="_Toc364927639"/>
      <w:bookmarkStart w:id="63" w:name="_Toc491117235"/>
      <w:r w:rsidRPr="00DC73DC">
        <w:lastRenderedPageBreak/>
        <w:t>Zdroje</w:t>
      </w:r>
      <w:bookmarkEnd w:id="62"/>
      <w:bookmarkEnd w:id="63"/>
    </w:p>
    <w:p w14:paraId="33119A1B" w14:textId="77777777" w:rsidR="00E60731" w:rsidRPr="00DC73DC" w:rsidRDefault="00952433" w:rsidP="005D6BA9">
      <w:pPr>
        <w:pStyle w:val="Nadpis2"/>
        <w:numPr>
          <w:ilvl w:val="0"/>
          <w:numId w:val="0"/>
        </w:numPr>
        <w:spacing w:line="360" w:lineRule="auto"/>
        <w:ind w:left="576" w:hanging="576"/>
        <w:rPr>
          <w:rFonts w:cs="Times New Roman"/>
          <w:szCs w:val="28"/>
        </w:rPr>
      </w:pPr>
      <w:bookmarkStart w:id="64" w:name="_Toc364927640"/>
      <w:bookmarkStart w:id="65" w:name="_Toc491117236"/>
      <w:r w:rsidRPr="00DC73DC">
        <w:rPr>
          <w:rFonts w:cs="Times New Roman"/>
          <w:szCs w:val="28"/>
        </w:rPr>
        <w:t>Monografie</w:t>
      </w:r>
      <w:bookmarkEnd w:id="64"/>
      <w:bookmarkEnd w:id="65"/>
      <w:r w:rsidRPr="00DC73DC">
        <w:rPr>
          <w:rFonts w:cs="Times New Roman"/>
          <w:szCs w:val="28"/>
        </w:rPr>
        <w:t xml:space="preserve"> </w:t>
      </w:r>
    </w:p>
    <w:p w14:paraId="6DBF9C1B" w14:textId="77777777" w:rsidR="00C05AF4" w:rsidRPr="00DC73DC" w:rsidRDefault="00462BC7" w:rsidP="00C578B0">
      <w:pPr>
        <w:pStyle w:val="Odstavecseseznamem"/>
        <w:numPr>
          <w:ilvl w:val="0"/>
          <w:numId w:val="6"/>
        </w:numPr>
        <w:spacing w:line="360" w:lineRule="auto"/>
        <w:ind w:left="709" w:hanging="283"/>
        <w:jc w:val="both"/>
      </w:pPr>
      <w:r w:rsidRPr="00DC73DC">
        <w:t xml:space="preserve">PERÉZ-VERA, Eliza. </w:t>
      </w:r>
      <w:r w:rsidRPr="00913477">
        <w:rPr>
          <w:i/>
          <w:lang w:val="en-GB"/>
        </w:rPr>
        <w:t>Explanatory Report on the 1980 Hague Child Abduction Convention</w:t>
      </w:r>
      <w:r w:rsidRPr="00913477">
        <w:rPr>
          <w:lang w:val="en-GB"/>
        </w:rPr>
        <w:t xml:space="preserve">. </w:t>
      </w:r>
      <w:r w:rsidRPr="00DC73DC">
        <w:t xml:space="preserve">Dostupný z: </w:t>
      </w:r>
      <w:r w:rsidRPr="00DC73DC">
        <w:sym w:font="Symbol" w:char="F03C"/>
      </w:r>
      <w:hyperlink r:id="rId10" w:history="1">
        <w:r w:rsidRPr="00DC73DC">
          <w:rPr>
            <w:rStyle w:val="Hypertextovodkaz"/>
            <w:color w:val="auto"/>
          </w:rPr>
          <w:t>http://hcch.e-vision.nl</w:t>
        </w:r>
      </w:hyperlink>
      <w:r w:rsidRPr="00DC73DC">
        <w:sym w:font="Symbol" w:char="F03E"/>
      </w:r>
    </w:p>
    <w:p w14:paraId="45FBB275" w14:textId="13FFABD5" w:rsidR="00C05AF4" w:rsidRPr="00DC73DC" w:rsidRDefault="00C05AF4" w:rsidP="00C578B0">
      <w:pPr>
        <w:pStyle w:val="Odstavecseseznamem"/>
        <w:numPr>
          <w:ilvl w:val="0"/>
          <w:numId w:val="6"/>
        </w:numPr>
        <w:spacing w:line="360" w:lineRule="auto"/>
        <w:ind w:left="709" w:hanging="283"/>
        <w:jc w:val="both"/>
      </w:pPr>
      <w:r w:rsidRPr="00913477">
        <w:rPr>
          <w:lang w:eastAsia="en-US"/>
        </w:rPr>
        <w:t>Zákon o zvláštních řízeních soudních: komentář. Vyd. 1. V Praze: C.</w:t>
      </w:r>
      <w:r w:rsidR="00913477">
        <w:rPr>
          <w:lang w:eastAsia="en-US"/>
        </w:rPr>
        <w:t xml:space="preserve"> </w:t>
      </w:r>
      <w:r w:rsidRPr="00913477">
        <w:rPr>
          <w:lang w:eastAsia="en-US"/>
        </w:rPr>
        <w:t>H.</w:t>
      </w:r>
      <w:r w:rsidR="00913477">
        <w:rPr>
          <w:lang w:eastAsia="en-US"/>
        </w:rPr>
        <w:t xml:space="preserve"> </w:t>
      </w:r>
      <w:r w:rsidRPr="00913477">
        <w:rPr>
          <w:lang w:eastAsia="en-US"/>
        </w:rPr>
        <w:t>Beck, 2015. Beckova edice komentované zákona.</w:t>
      </w:r>
      <w:r w:rsidRPr="00DC73DC">
        <w:rPr>
          <w:lang w:val="en-US" w:eastAsia="en-US"/>
        </w:rPr>
        <w:t xml:space="preserve"> ISBN 978-80-7400-297-7. </w:t>
      </w:r>
    </w:p>
    <w:p w14:paraId="7C1D81D9" w14:textId="77777777" w:rsidR="00C05AF4" w:rsidRPr="00DC73DC" w:rsidRDefault="00385A77" w:rsidP="00C578B0">
      <w:pPr>
        <w:pStyle w:val="Odstavecseseznamem"/>
        <w:numPr>
          <w:ilvl w:val="0"/>
          <w:numId w:val="6"/>
        </w:numPr>
        <w:spacing w:line="360" w:lineRule="auto"/>
        <w:ind w:left="709" w:hanging="283"/>
        <w:jc w:val="both"/>
      </w:pPr>
      <w:r w:rsidRPr="00DC73DC">
        <w:t xml:space="preserve">PTÁČEK, Lubomír. </w:t>
      </w:r>
      <w:r w:rsidRPr="00DC73DC">
        <w:rPr>
          <w:i/>
          <w:iCs/>
        </w:rPr>
        <w:t>Styčný soudce ve věcech rodinného práva</w:t>
      </w:r>
      <w:r w:rsidRPr="00DC73DC">
        <w:t>. Právo a rodina, 2008, č. 9.</w:t>
      </w:r>
    </w:p>
    <w:p w14:paraId="1BEE23C4" w14:textId="77777777" w:rsidR="00C05AF4" w:rsidRPr="00DC73DC" w:rsidRDefault="00385A77" w:rsidP="00C578B0">
      <w:pPr>
        <w:pStyle w:val="Odstavecseseznamem"/>
        <w:numPr>
          <w:ilvl w:val="0"/>
          <w:numId w:val="6"/>
        </w:numPr>
        <w:spacing w:line="360" w:lineRule="auto"/>
        <w:ind w:left="709" w:hanging="283"/>
        <w:jc w:val="both"/>
      </w:pPr>
      <w:r w:rsidRPr="00DC73DC">
        <w:rPr>
          <w:caps/>
        </w:rPr>
        <w:t>Pauknerová</w:t>
      </w:r>
      <w:r w:rsidRPr="00DC73DC">
        <w:t xml:space="preserve">, Monika. </w:t>
      </w:r>
      <w:r w:rsidRPr="00DC73DC">
        <w:rPr>
          <w:i/>
        </w:rPr>
        <w:t>Evropské mezinárodní právo soukromé</w:t>
      </w:r>
      <w:r w:rsidRPr="00DC73DC">
        <w:t>. Praha: C. H. Beck, 2008, s. 186.</w:t>
      </w:r>
    </w:p>
    <w:p w14:paraId="2D7740FC" w14:textId="19DEC8DB" w:rsidR="00385A77" w:rsidRPr="00DC73DC" w:rsidRDefault="00385A77" w:rsidP="00C578B0">
      <w:pPr>
        <w:pStyle w:val="Odstavecseseznamem"/>
        <w:numPr>
          <w:ilvl w:val="0"/>
          <w:numId w:val="6"/>
        </w:numPr>
        <w:spacing w:line="360" w:lineRule="auto"/>
        <w:ind w:left="709" w:hanging="283"/>
        <w:jc w:val="both"/>
      </w:pPr>
      <w:r w:rsidRPr="00DC73DC">
        <w:t xml:space="preserve">SCHULZ, A. </w:t>
      </w:r>
      <w:r w:rsidRPr="00913477">
        <w:rPr>
          <w:i/>
          <w:lang w:val="en-GB"/>
        </w:rPr>
        <w:t>The Hague Child Abduction Convention and the European Convention on Human Rights</w:t>
      </w:r>
      <w:r w:rsidRPr="00913477">
        <w:rPr>
          <w:lang w:val="en-GB"/>
        </w:rPr>
        <w:t>.</w:t>
      </w:r>
    </w:p>
    <w:p w14:paraId="7B8C68DA" w14:textId="77777777" w:rsidR="002F32E7" w:rsidRPr="00DC73DC" w:rsidRDefault="00385A77" w:rsidP="00F76295">
      <w:pPr>
        <w:pStyle w:val="Textpoznpodarou"/>
        <w:spacing w:line="360" w:lineRule="auto"/>
        <w:ind w:left="709" w:firstLine="0"/>
        <w:jc w:val="both"/>
        <w:rPr>
          <w:sz w:val="24"/>
          <w:szCs w:val="24"/>
        </w:rPr>
      </w:pPr>
      <w:r w:rsidRPr="00DC73DC">
        <w:rPr>
          <w:sz w:val="24"/>
          <w:szCs w:val="24"/>
        </w:rPr>
        <w:t>In LODRUP. P., MODVAR, E.</w:t>
      </w:r>
      <w:r w:rsidRPr="00913477">
        <w:rPr>
          <w:sz w:val="24"/>
          <w:szCs w:val="24"/>
          <w:lang w:val="en-GB"/>
        </w:rPr>
        <w:t xml:space="preserve"> ed. </w:t>
      </w:r>
      <w:r w:rsidRPr="00913477">
        <w:rPr>
          <w:i/>
          <w:iCs/>
          <w:sz w:val="24"/>
          <w:szCs w:val="24"/>
          <w:lang w:val="en-GB"/>
        </w:rPr>
        <w:t>Family Life and Human Rights</w:t>
      </w:r>
      <w:r w:rsidRPr="00913477">
        <w:rPr>
          <w:sz w:val="24"/>
          <w:szCs w:val="24"/>
          <w:lang w:val="en-GB"/>
        </w:rPr>
        <w:t>. Oslo: Gyldendal, 2004, s. 701</w:t>
      </w:r>
    </w:p>
    <w:p w14:paraId="6AA19F3E" w14:textId="0CDF388D" w:rsidR="00385A77" w:rsidRPr="00DC73DC" w:rsidRDefault="00385A77" w:rsidP="00C578B0">
      <w:pPr>
        <w:pStyle w:val="Textpoznpodarou"/>
        <w:numPr>
          <w:ilvl w:val="0"/>
          <w:numId w:val="6"/>
        </w:numPr>
        <w:spacing w:line="360" w:lineRule="auto"/>
        <w:ind w:left="709" w:hanging="283"/>
        <w:jc w:val="both"/>
        <w:rPr>
          <w:sz w:val="24"/>
          <w:szCs w:val="24"/>
        </w:rPr>
      </w:pPr>
      <w:r w:rsidRPr="00DC73DC">
        <w:rPr>
          <w:sz w:val="24"/>
          <w:szCs w:val="24"/>
        </w:rPr>
        <w:t xml:space="preserve">NOVOTNÁ, Věra. </w:t>
      </w:r>
      <w:r w:rsidRPr="00DC73DC">
        <w:rPr>
          <w:i/>
          <w:sz w:val="24"/>
          <w:szCs w:val="24"/>
        </w:rPr>
        <w:t>Jak správně aplikovat Úmluvu o občanskoprávních aspektech mezinárodních únosů dětí? Právo a rodina</w:t>
      </w:r>
      <w:r w:rsidRPr="00DC73DC">
        <w:rPr>
          <w:sz w:val="24"/>
          <w:szCs w:val="24"/>
        </w:rPr>
        <w:t>. 2007, č. 9.</w:t>
      </w:r>
    </w:p>
    <w:p w14:paraId="41F51864" w14:textId="77777777" w:rsidR="002F32E7" w:rsidRPr="00DC73DC" w:rsidRDefault="00385A77" w:rsidP="00C578B0">
      <w:pPr>
        <w:pStyle w:val="Textpoznpodarou"/>
        <w:numPr>
          <w:ilvl w:val="0"/>
          <w:numId w:val="6"/>
        </w:numPr>
        <w:spacing w:line="360" w:lineRule="auto"/>
        <w:ind w:left="709" w:hanging="283"/>
        <w:jc w:val="both"/>
        <w:rPr>
          <w:sz w:val="24"/>
          <w:szCs w:val="24"/>
        </w:rPr>
      </w:pPr>
      <w:r w:rsidRPr="00DC73DC">
        <w:rPr>
          <w:sz w:val="24"/>
          <w:szCs w:val="24"/>
        </w:rPr>
        <w:t xml:space="preserve">HRUBÁ, Michaela. </w:t>
      </w:r>
      <w:r w:rsidRPr="00DC73DC">
        <w:rPr>
          <w:i/>
          <w:sz w:val="24"/>
          <w:szCs w:val="24"/>
        </w:rPr>
        <w:t>Mezinárodní únosy dětí – několik poznámek k související novele občanského soudního řádu</w:t>
      </w:r>
      <w:r w:rsidRPr="00DC73DC">
        <w:rPr>
          <w:sz w:val="24"/>
          <w:szCs w:val="24"/>
        </w:rPr>
        <w:t>. Právo a rodina. 2009, č. 4.</w:t>
      </w:r>
    </w:p>
    <w:p w14:paraId="180006CF" w14:textId="234392B3" w:rsidR="00385A77" w:rsidRPr="00913477" w:rsidRDefault="00385A77" w:rsidP="00C578B0">
      <w:pPr>
        <w:pStyle w:val="Textpoznpodarou"/>
        <w:numPr>
          <w:ilvl w:val="0"/>
          <w:numId w:val="6"/>
        </w:numPr>
        <w:spacing w:line="360" w:lineRule="auto"/>
        <w:ind w:left="709" w:hanging="283"/>
        <w:jc w:val="both"/>
        <w:rPr>
          <w:sz w:val="24"/>
          <w:szCs w:val="24"/>
          <w:lang w:val="en-GB"/>
        </w:rPr>
      </w:pPr>
      <w:r w:rsidRPr="00DC73DC">
        <w:rPr>
          <w:sz w:val="24"/>
          <w:szCs w:val="24"/>
        </w:rPr>
        <w:t xml:space="preserve">BEAUMONT, P.R., </w:t>
      </w:r>
      <w:proofErr w:type="spellStart"/>
      <w:r w:rsidRPr="00DC73DC">
        <w:rPr>
          <w:sz w:val="24"/>
          <w:szCs w:val="24"/>
        </w:rPr>
        <w:t>McCLEAVY</w:t>
      </w:r>
      <w:proofErr w:type="spellEnd"/>
      <w:r w:rsidRPr="00DC73DC">
        <w:rPr>
          <w:sz w:val="24"/>
          <w:szCs w:val="24"/>
        </w:rPr>
        <w:t xml:space="preserve">, P.E. </w:t>
      </w:r>
      <w:r w:rsidRPr="00913477">
        <w:rPr>
          <w:i/>
          <w:sz w:val="24"/>
          <w:szCs w:val="24"/>
          <w:lang w:val="en-GB"/>
        </w:rPr>
        <w:t xml:space="preserve">The Hague Convention on International Child </w:t>
      </w:r>
      <w:r w:rsidR="00913477" w:rsidRPr="00913477">
        <w:rPr>
          <w:i/>
          <w:sz w:val="24"/>
          <w:szCs w:val="24"/>
          <w:lang w:val="en-GB"/>
        </w:rPr>
        <w:t>Abduction</w:t>
      </w:r>
      <w:r w:rsidRPr="00913477">
        <w:rPr>
          <w:sz w:val="24"/>
          <w:szCs w:val="24"/>
          <w:lang w:val="en-GB"/>
        </w:rPr>
        <w:t>. New York: Oxford University Press Inc. 2004, s. 58</w:t>
      </w:r>
    </w:p>
    <w:p w14:paraId="3F9B63B8" w14:textId="6421148E" w:rsidR="00E60731" w:rsidRPr="00DC73DC" w:rsidRDefault="002F32E7" w:rsidP="00C578B0">
      <w:pPr>
        <w:pStyle w:val="Textpoznpodarou"/>
        <w:numPr>
          <w:ilvl w:val="0"/>
          <w:numId w:val="6"/>
        </w:numPr>
        <w:spacing w:line="360" w:lineRule="auto"/>
        <w:ind w:left="709" w:hanging="283"/>
        <w:jc w:val="both"/>
        <w:rPr>
          <w:sz w:val="24"/>
          <w:szCs w:val="24"/>
        </w:rPr>
      </w:pPr>
      <w:r w:rsidRPr="00913477">
        <w:rPr>
          <w:sz w:val="24"/>
          <w:szCs w:val="24"/>
          <w:lang w:val="en-GB"/>
        </w:rPr>
        <w:t xml:space="preserve">BEAUMONT, P.. HOLIDAYJ. </w:t>
      </w:r>
      <w:r w:rsidR="00E07B20" w:rsidRPr="00913477">
        <w:rPr>
          <w:i/>
          <w:sz w:val="24"/>
          <w:szCs w:val="24"/>
          <w:lang w:val="en-GB"/>
        </w:rPr>
        <w:t>Recent developments on the meaning of ‚habitual residence‘ i</w:t>
      </w:r>
      <w:r w:rsidRPr="00913477">
        <w:rPr>
          <w:i/>
          <w:sz w:val="24"/>
          <w:szCs w:val="24"/>
          <w:lang w:val="en-GB"/>
        </w:rPr>
        <w:t>n alleged child abduction cases</w:t>
      </w:r>
      <w:r w:rsidR="00E07B20" w:rsidRPr="00DC73DC">
        <w:rPr>
          <w:i/>
          <w:sz w:val="24"/>
          <w:szCs w:val="24"/>
        </w:rPr>
        <w:t>,</w:t>
      </w:r>
      <w:r w:rsidRPr="00DC73DC">
        <w:rPr>
          <w:sz w:val="24"/>
          <w:szCs w:val="24"/>
        </w:rPr>
        <w:t xml:space="preserve"> s. 3. D</w:t>
      </w:r>
      <w:r w:rsidR="00E07B20" w:rsidRPr="00DC73DC">
        <w:rPr>
          <w:sz w:val="24"/>
          <w:szCs w:val="24"/>
        </w:rPr>
        <w:t>ostupné na následující adrese: https://www.abdn.ac.uk/law/documents/Recent_Developments_on_the_Meaning_of_Habitual_Residence_in_Alleged_Child_Abduction_Cases_.pdf </w:t>
      </w:r>
    </w:p>
    <w:p w14:paraId="1437672F" w14:textId="77777777" w:rsidR="00385A77" w:rsidRPr="00DC73DC" w:rsidRDefault="00385A77" w:rsidP="005D6BA9">
      <w:pPr>
        <w:pStyle w:val="Nadpis2"/>
        <w:numPr>
          <w:ilvl w:val="0"/>
          <w:numId w:val="0"/>
        </w:numPr>
        <w:spacing w:line="360" w:lineRule="auto"/>
        <w:ind w:left="576" w:hanging="576"/>
        <w:jc w:val="both"/>
        <w:rPr>
          <w:rFonts w:cs="Times New Roman"/>
          <w:szCs w:val="28"/>
        </w:rPr>
      </w:pPr>
      <w:bookmarkStart w:id="66" w:name="_Toc364927641"/>
      <w:bookmarkStart w:id="67" w:name="_Toc491117237"/>
      <w:r w:rsidRPr="00DC73DC">
        <w:rPr>
          <w:rFonts w:cs="Times New Roman"/>
          <w:szCs w:val="28"/>
        </w:rPr>
        <w:t>Právní předpisy</w:t>
      </w:r>
      <w:bookmarkEnd w:id="66"/>
      <w:bookmarkEnd w:id="67"/>
      <w:r w:rsidRPr="00DC73DC">
        <w:rPr>
          <w:rFonts w:cs="Times New Roman"/>
          <w:szCs w:val="28"/>
        </w:rPr>
        <w:t xml:space="preserve"> </w:t>
      </w:r>
    </w:p>
    <w:p w14:paraId="564BDFAA" w14:textId="77777777" w:rsidR="002F32E7" w:rsidRPr="00DC73DC" w:rsidRDefault="00385A77" w:rsidP="00C578B0">
      <w:pPr>
        <w:pStyle w:val="Odstavecseseznamem"/>
        <w:numPr>
          <w:ilvl w:val="0"/>
          <w:numId w:val="7"/>
        </w:numPr>
        <w:autoSpaceDE w:val="0"/>
        <w:autoSpaceDN w:val="0"/>
        <w:adjustRightInd w:val="0"/>
        <w:spacing w:line="360" w:lineRule="auto"/>
        <w:jc w:val="both"/>
      </w:pPr>
      <w:r w:rsidRPr="00DC73DC">
        <w:t>Úmluva o právech dítěte ze dne 30. září 1990</w:t>
      </w:r>
    </w:p>
    <w:p w14:paraId="0200D5E3" w14:textId="03F6C7F7" w:rsidR="00385A77" w:rsidRPr="00DC73DC" w:rsidRDefault="00385A77" w:rsidP="00C578B0">
      <w:pPr>
        <w:pStyle w:val="Odstavecseseznamem"/>
        <w:numPr>
          <w:ilvl w:val="0"/>
          <w:numId w:val="7"/>
        </w:numPr>
        <w:autoSpaceDE w:val="0"/>
        <w:autoSpaceDN w:val="0"/>
        <w:adjustRightInd w:val="0"/>
        <w:spacing w:line="360" w:lineRule="auto"/>
        <w:jc w:val="both"/>
      </w:pPr>
      <w:r w:rsidRPr="00DC73DC">
        <w:t>Haagská úmluva o občanskoprávní</w:t>
      </w:r>
      <w:r w:rsidR="00E07B20" w:rsidRPr="00DC73DC">
        <w:t>ch aspektech mezinárodních únosů</w:t>
      </w:r>
    </w:p>
    <w:p w14:paraId="4F50C323" w14:textId="77777777" w:rsidR="002F32E7" w:rsidRPr="00DC73DC" w:rsidRDefault="002F32E7" w:rsidP="00F76295">
      <w:pPr>
        <w:autoSpaceDE w:val="0"/>
        <w:autoSpaceDN w:val="0"/>
        <w:adjustRightInd w:val="0"/>
        <w:spacing w:line="360" w:lineRule="auto"/>
        <w:ind w:firstLine="720"/>
        <w:jc w:val="both"/>
      </w:pPr>
      <w:r w:rsidRPr="00DC73DC">
        <w:t>dětí ze dne 25. října 1980</w:t>
      </w:r>
    </w:p>
    <w:p w14:paraId="20C1207E" w14:textId="77777777" w:rsidR="002F32E7" w:rsidRPr="00DC73DC" w:rsidRDefault="00E07B20" w:rsidP="00C578B0">
      <w:pPr>
        <w:pStyle w:val="Odstavecseseznamem"/>
        <w:numPr>
          <w:ilvl w:val="0"/>
          <w:numId w:val="7"/>
        </w:numPr>
        <w:autoSpaceDE w:val="0"/>
        <w:autoSpaceDN w:val="0"/>
        <w:adjustRightInd w:val="0"/>
        <w:spacing w:line="360" w:lineRule="auto"/>
        <w:jc w:val="both"/>
      </w:pPr>
      <w:r w:rsidRPr="00DC73DC">
        <w:t>Sdělení MZV č. 34/1998 Sb., o sjednání Úmluvy o občanskoprávních aspektech mezinárodních únosů dětí</w:t>
      </w:r>
    </w:p>
    <w:p w14:paraId="35694EDC" w14:textId="2C083CAB" w:rsidR="00385A77" w:rsidRPr="00DC73DC" w:rsidRDefault="00385A77" w:rsidP="00C578B0">
      <w:pPr>
        <w:pStyle w:val="Odstavecseseznamem"/>
        <w:numPr>
          <w:ilvl w:val="0"/>
          <w:numId w:val="7"/>
        </w:numPr>
        <w:autoSpaceDE w:val="0"/>
        <w:autoSpaceDN w:val="0"/>
        <w:adjustRightInd w:val="0"/>
        <w:spacing w:line="360" w:lineRule="auto"/>
        <w:jc w:val="both"/>
      </w:pPr>
      <w:r w:rsidRPr="00DC73DC">
        <w:t>Haagská úmluva ze dne 19. října 1996 o pravomoci orgánu, použitelném</w:t>
      </w:r>
    </w:p>
    <w:p w14:paraId="24032D3C" w14:textId="77777777" w:rsidR="00385A77" w:rsidRPr="00DC73DC" w:rsidRDefault="00385A77" w:rsidP="00F76295">
      <w:pPr>
        <w:pStyle w:val="Odstavecseseznamem"/>
        <w:autoSpaceDE w:val="0"/>
        <w:autoSpaceDN w:val="0"/>
        <w:adjustRightInd w:val="0"/>
        <w:spacing w:line="360" w:lineRule="auto"/>
        <w:ind w:firstLine="0"/>
        <w:jc w:val="both"/>
      </w:pPr>
      <w:r w:rsidRPr="00DC73DC">
        <w:t>právu, uznávání, výkonu a spolupráci ve věcech rodičovské zodpovědnosti</w:t>
      </w:r>
    </w:p>
    <w:p w14:paraId="0CA10CFD" w14:textId="77777777" w:rsidR="002F32E7" w:rsidRPr="00DC73DC" w:rsidRDefault="00385A77" w:rsidP="00F76295">
      <w:pPr>
        <w:pStyle w:val="Odstavecseseznamem"/>
        <w:spacing w:line="360" w:lineRule="auto"/>
        <w:ind w:right="49" w:firstLine="0"/>
        <w:jc w:val="both"/>
      </w:pPr>
      <w:r w:rsidRPr="00DC73DC">
        <w:lastRenderedPageBreak/>
        <w:t>a opatření k ochraně dětí</w:t>
      </w:r>
    </w:p>
    <w:p w14:paraId="5C3AEDFF" w14:textId="40B10277" w:rsidR="00385A77" w:rsidRPr="00DC73DC" w:rsidRDefault="00385A77" w:rsidP="00C578B0">
      <w:pPr>
        <w:pStyle w:val="Odstavecseseznamem"/>
        <w:numPr>
          <w:ilvl w:val="0"/>
          <w:numId w:val="7"/>
        </w:numPr>
        <w:spacing w:line="360" w:lineRule="auto"/>
        <w:ind w:right="49"/>
        <w:jc w:val="both"/>
      </w:pPr>
      <w:r w:rsidRPr="00DC73DC">
        <w:t xml:space="preserve">Nařízení Rady </w:t>
      </w:r>
      <w:r w:rsidR="009E6348" w:rsidRPr="00DC73DC">
        <w:t>(</w:t>
      </w:r>
      <w:r w:rsidRPr="00DC73DC">
        <w:t>ES</w:t>
      </w:r>
      <w:r w:rsidR="009E6348" w:rsidRPr="00DC73DC">
        <w:t>)</w:t>
      </w:r>
      <w:r w:rsidRPr="00DC73DC">
        <w:t xml:space="preserve"> č. 2201/2003 ze dne 27. listopadu 2003, o příslušnosti</w:t>
      </w:r>
    </w:p>
    <w:p w14:paraId="5BC93936" w14:textId="77777777" w:rsidR="00385A77" w:rsidRPr="00DC73DC" w:rsidRDefault="00385A77" w:rsidP="00F76295">
      <w:pPr>
        <w:pStyle w:val="Odstavecseseznamem"/>
        <w:autoSpaceDE w:val="0"/>
        <w:autoSpaceDN w:val="0"/>
        <w:adjustRightInd w:val="0"/>
        <w:spacing w:line="360" w:lineRule="auto"/>
        <w:ind w:firstLine="0"/>
        <w:jc w:val="both"/>
      </w:pPr>
      <w:r w:rsidRPr="00DC73DC">
        <w:t>a uznávání a výkonu rozhodnutí ve věcech manželských a ve věcech</w:t>
      </w:r>
    </w:p>
    <w:p w14:paraId="0CCCF6A9" w14:textId="77777777" w:rsidR="002F32E7" w:rsidRPr="00DC73DC" w:rsidRDefault="00385A77" w:rsidP="00F76295">
      <w:pPr>
        <w:pStyle w:val="Odstavecseseznamem"/>
        <w:spacing w:line="360" w:lineRule="auto"/>
        <w:ind w:right="49" w:firstLine="0"/>
        <w:jc w:val="both"/>
      </w:pPr>
      <w:r w:rsidRPr="00DC73DC">
        <w:t xml:space="preserve">rodičovské zodpovědnosti a o zrušení nařízení Rady </w:t>
      </w:r>
      <w:r w:rsidR="009E6348" w:rsidRPr="00DC73DC">
        <w:t>(</w:t>
      </w:r>
      <w:r w:rsidRPr="00DC73DC">
        <w:t>ES</w:t>
      </w:r>
      <w:r w:rsidR="009E6348" w:rsidRPr="00DC73DC">
        <w:t>)</w:t>
      </w:r>
      <w:r w:rsidRPr="00DC73DC">
        <w:t xml:space="preserve"> c. 1347/2000</w:t>
      </w:r>
    </w:p>
    <w:p w14:paraId="2F9C84D8" w14:textId="3F953936" w:rsidR="009E6348" w:rsidRPr="00DC73DC" w:rsidRDefault="009E6348" w:rsidP="00C578B0">
      <w:pPr>
        <w:pStyle w:val="Odstavecseseznamem"/>
        <w:numPr>
          <w:ilvl w:val="0"/>
          <w:numId w:val="7"/>
        </w:numPr>
        <w:spacing w:line="360" w:lineRule="auto"/>
        <w:ind w:right="49"/>
        <w:jc w:val="both"/>
      </w:pPr>
      <w:r w:rsidRPr="00DC73DC">
        <w:t>Nařízení Rady (ES) č. 1206/2001 ze dne 28. května 2001, o spolupráci soudů členských států při dokazování v občanských nebo obchodních věcech</w:t>
      </w:r>
    </w:p>
    <w:p w14:paraId="65AA2590" w14:textId="77777777" w:rsidR="00385A77" w:rsidRPr="00DC73DC" w:rsidRDefault="00385A77" w:rsidP="00C578B0">
      <w:pPr>
        <w:pStyle w:val="Seznam"/>
        <w:numPr>
          <w:ilvl w:val="0"/>
          <w:numId w:val="7"/>
        </w:numPr>
        <w:suppressAutoHyphens w:val="0"/>
        <w:autoSpaceDE w:val="0"/>
        <w:autoSpaceDN w:val="0"/>
        <w:adjustRightInd w:val="0"/>
        <w:spacing w:after="0" w:line="360" w:lineRule="auto"/>
        <w:jc w:val="both"/>
        <w:rPr>
          <w:rFonts w:cs="Times New Roman"/>
          <w:lang w:eastAsia="cs-CZ"/>
        </w:rPr>
      </w:pPr>
      <w:r w:rsidRPr="00DC73DC">
        <w:rPr>
          <w:rFonts w:cs="Times New Roman"/>
          <w:lang w:eastAsia="cs-CZ"/>
        </w:rPr>
        <w:t>Evropská úmluva o ochraně lidských práv a základních svobod ze dne</w:t>
      </w:r>
    </w:p>
    <w:p w14:paraId="0EF4217F" w14:textId="77777777" w:rsidR="002F32E7" w:rsidRPr="00DC73DC" w:rsidRDefault="00385A77" w:rsidP="00F76295">
      <w:pPr>
        <w:pStyle w:val="Odstavecseseznamem"/>
        <w:spacing w:line="360" w:lineRule="auto"/>
        <w:ind w:right="49" w:firstLine="0"/>
        <w:jc w:val="both"/>
      </w:pPr>
      <w:r w:rsidRPr="00DC73DC">
        <w:t>4. listopadu 1950</w:t>
      </w:r>
    </w:p>
    <w:p w14:paraId="5D372A2D" w14:textId="77777777" w:rsidR="002F32E7" w:rsidRPr="00DC73DC" w:rsidRDefault="00385A77" w:rsidP="00C578B0">
      <w:pPr>
        <w:pStyle w:val="Odstavecseseznamem"/>
        <w:numPr>
          <w:ilvl w:val="0"/>
          <w:numId w:val="7"/>
        </w:numPr>
        <w:spacing w:line="360" w:lineRule="auto"/>
        <w:ind w:right="49"/>
        <w:jc w:val="both"/>
      </w:pPr>
      <w:r w:rsidRPr="00DC73DC">
        <w:t>Ústavní zákon ČNR č. 1/1993 Sb., Ústava České republiky, ve znění pozdějších předpisů.</w:t>
      </w:r>
    </w:p>
    <w:p w14:paraId="0793C307" w14:textId="77777777" w:rsidR="002F32E7" w:rsidRPr="00DC73DC" w:rsidRDefault="00385A77" w:rsidP="00C578B0">
      <w:pPr>
        <w:pStyle w:val="Odstavecseseznamem"/>
        <w:numPr>
          <w:ilvl w:val="0"/>
          <w:numId w:val="7"/>
        </w:numPr>
        <w:spacing w:line="360" w:lineRule="auto"/>
        <w:ind w:right="49"/>
        <w:jc w:val="both"/>
      </w:pPr>
      <w:r w:rsidRPr="00DC73DC">
        <w:t>Usnesení předsednictva ČNR č. 2/1993 Sb., o vyhlášení Listiny základních práv a svobod jako součásti ústavního pořádku ČR.</w:t>
      </w:r>
    </w:p>
    <w:p w14:paraId="30B2BE4E" w14:textId="77777777" w:rsidR="002F32E7" w:rsidRPr="00DC73DC" w:rsidRDefault="002F32E7" w:rsidP="00C578B0">
      <w:pPr>
        <w:pStyle w:val="Odstavecseseznamem"/>
        <w:numPr>
          <w:ilvl w:val="0"/>
          <w:numId w:val="7"/>
        </w:numPr>
        <w:spacing w:line="360" w:lineRule="auto"/>
        <w:ind w:right="49"/>
        <w:jc w:val="both"/>
      </w:pPr>
      <w:r w:rsidRPr="00DC73DC">
        <w:t>Zákon č. 99/1963 Sb., občanský soudní řád, ve znění pozdějších předpisů</w:t>
      </w:r>
    </w:p>
    <w:p w14:paraId="543B719A" w14:textId="77777777" w:rsidR="002F32E7" w:rsidRPr="00DC73DC" w:rsidRDefault="002F32E7" w:rsidP="00C578B0">
      <w:pPr>
        <w:pStyle w:val="Odstavecseseznamem"/>
        <w:numPr>
          <w:ilvl w:val="0"/>
          <w:numId w:val="7"/>
        </w:numPr>
        <w:spacing w:line="360" w:lineRule="auto"/>
        <w:ind w:right="49"/>
        <w:jc w:val="both"/>
      </w:pPr>
      <w:r w:rsidRPr="00DC73DC">
        <w:t>Zákon č. 292/2013 Sb., o zvláštních řízeních soudních, ve znění pozdějších předpisů</w:t>
      </w:r>
    </w:p>
    <w:p w14:paraId="747E81FC" w14:textId="77777777" w:rsidR="002F32E7" w:rsidRPr="00DC73DC" w:rsidRDefault="00385A77" w:rsidP="00C578B0">
      <w:pPr>
        <w:pStyle w:val="Odstavecseseznamem"/>
        <w:numPr>
          <w:ilvl w:val="0"/>
          <w:numId w:val="7"/>
        </w:numPr>
        <w:spacing w:line="360" w:lineRule="auto"/>
        <w:ind w:right="49"/>
        <w:jc w:val="both"/>
      </w:pPr>
      <w:r w:rsidRPr="00DC73DC">
        <w:t>Zákon č. 89/2012 Sb., občanský zákoník, ve znění pozdějších předpisů.</w:t>
      </w:r>
    </w:p>
    <w:p w14:paraId="3215C9A5" w14:textId="77777777" w:rsidR="002F32E7" w:rsidRPr="00DC73DC" w:rsidRDefault="009E6348" w:rsidP="00C578B0">
      <w:pPr>
        <w:pStyle w:val="Odstavecseseznamem"/>
        <w:numPr>
          <w:ilvl w:val="0"/>
          <w:numId w:val="7"/>
        </w:numPr>
        <w:spacing w:line="360" w:lineRule="auto"/>
        <w:ind w:right="49"/>
        <w:jc w:val="both"/>
      </w:pPr>
      <w:r w:rsidRPr="00DC73DC">
        <w:t xml:space="preserve">Zákon č. </w:t>
      </w:r>
      <w:r w:rsidR="00E60731" w:rsidRPr="00DC73DC">
        <w:t>549/1991</w:t>
      </w:r>
      <w:r w:rsidRPr="00DC73DC">
        <w:t xml:space="preserve"> Sb., o soudních poplatcích, ve znění pozdějších předpisů</w:t>
      </w:r>
    </w:p>
    <w:p w14:paraId="1F27EFE4" w14:textId="4FC177C4" w:rsidR="00385A77" w:rsidRPr="00DC73DC" w:rsidRDefault="009E6348" w:rsidP="00C578B0">
      <w:pPr>
        <w:pStyle w:val="Odstavecseseznamem"/>
        <w:numPr>
          <w:ilvl w:val="0"/>
          <w:numId w:val="7"/>
        </w:numPr>
        <w:spacing w:line="360" w:lineRule="auto"/>
        <w:ind w:right="49"/>
        <w:jc w:val="both"/>
      </w:pPr>
      <w:r w:rsidRPr="00DC73DC">
        <w:t>Zákon č. 359/1999 Sb., o sociálně-právní ochraně dětí, ve znění pozdějších předpisů</w:t>
      </w:r>
    </w:p>
    <w:p w14:paraId="3201DD66" w14:textId="725F9E4A" w:rsidR="00A32BB5" w:rsidRPr="00913477" w:rsidRDefault="00722192" w:rsidP="005D6BA9">
      <w:pPr>
        <w:pStyle w:val="Nadpis2"/>
        <w:numPr>
          <w:ilvl w:val="0"/>
          <w:numId w:val="0"/>
        </w:numPr>
        <w:spacing w:line="360" w:lineRule="auto"/>
        <w:ind w:left="576" w:hanging="576"/>
        <w:rPr>
          <w:rFonts w:cs="Times New Roman"/>
          <w:szCs w:val="28"/>
        </w:rPr>
      </w:pPr>
      <w:bookmarkStart w:id="68" w:name="_Toc364927642"/>
      <w:bookmarkStart w:id="69" w:name="_Toc491117238"/>
      <w:r w:rsidRPr="00DC73DC">
        <w:rPr>
          <w:rFonts w:cs="Times New Roman"/>
          <w:szCs w:val="28"/>
        </w:rPr>
        <w:t>Judikatura</w:t>
      </w:r>
      <w:bookmarkEnd w:id="68"/>
      <w:bookmarkEnd w:id="69"/>
    </w:p>
    <w:p w14:paraId="2F73F312" w14:textId="48675B31" w:rsidR="00076144" w:rsidRPr="00DC73DC" w:rsidRDefault="00163FC4" w:rsidP="00C578B0">
      <w:pPr>
        <w:pStyle w:val="Odstavecseseznamem"/>
        <w:numPr>
          <w:ilvl w:val="0"/>
          <w:numId w:val="8"/>
        </w:numPr>
        <w:spacing w:line="360" w:lineRule="auto"/>
        <w:jc w:val="both"/>
      </w:pPr>
      <w:r w:rsidRPr="00DC73DC">
        <w:t>Stanovisko Generálního Advokáta</w:t>
      </w:r>
      <w:r w:rsidR="00913477">
        <w:t xml:space="preserve"> ze dne 8. č</w:t>
      </w:r>
      <w:r w:rsidR="0083227A" w:rsidRPr="00DC73DC">
        <w:t>ervna 2017</w:t>
      </w:r>
      <w:r w:rsidR="00AE25D0" w:rsidRPr="00DC73DC">
        <w:t>.</w:t>
      </w:r>
      <w:r w:rsidR="0083227A" w:rsidRPr="00DC73DC">
        <w:t xml:space="preserve"> OL v. PQ</w:t>
      </w:r>
      <w:r w:rsidRPr="00DC73DC">
        <w:t xml:space="preserve">. Věc -111/17 PPU. In: Curia [online]. Soudní dvůr Evropské Unie, 2017 [cit. 21.8.2017]. Dostupné z: </w:t>
      </w:r>
      <w:hyperlink r:id="rId11" w:history="1">
        <w:r w:rsidRPr="00DC73DC">
          <w:rPr>
            <w:rStyle w:val="Hypertextovodkaz"/>
            <w:color w:val="auto"/>
          </w:rPr>
          <w:t>http://eur-lex.europa.eu/legal-content/CS/TXT/?uri=CELEX:62017CC0111</w:t>
        </w:r>
      </w:hyperlink>
      <w:r w:rsidRPr="00DC73DC">
        <w:t xml:space="preserve"> </w:t>
      </w:r>
    </w:p>
    <w:p w14:paraId="505075D7" w14:textId="7C44CEB0" w:rsidR="00AE25D0" w:rsidRPr="00DC73DC" w:rsidRDefault="00AE25D0" w:rsidP="00C578B0">
      <w:pPr>
        <w:pStyle w:val="Odstavecseseznamem"/>
        <w:numPr>
          <w:ilvl w:val="0"/>
          <w:numId w:val="8"/>
        </w:numPr>
        <w:spacing w:line="360" w:lineRule="auto"/>
        <w:jc w:val="both"/>
      </w:pPr>
      <w:r w:rsidRPr="00DC73DC">
        <w:t>Rozsudek Soudního d</w:t>
      </w:r>
      <w:r w:rsidR="00913477">
        <w:t>vora (pátého senátu) ze dne 8. č</w:t>
      </w:r>
      <w:r w:rsidRPr="00DC73DC">
        <w:t xml:space="preserve">ervna 2017. Ol v. PQ. Věc C-111/17 PPU. In: Curia [online]. Soudní dvůr Evropské Unie, 2017 [cit. 21.8.2017]. Dostupné z: </w:t>
      </w:r>
      <w:hyperlink r:id="rId12" w:history="1">
        <w:r w:rsidRPr="00DC73DC">
          <w:rPr>
            <w:rStyle w:val="Hypertextovodkaz"/>
            <w:color w:val="auto"/>
          </w:rPr>
          <w:t>http://curia.europa.eu/juris/liste.jsf?language=cs&amp;td=ALL&amp;num=C-111/17%20PPU</w:t>
        </w:r>
      </w:hyperlink>
      <w:r w:rsidRPr="00DC73DC">
        <w:t xml:space="preserve"> </w:t>
      </w:r>
    </w:p>
    <w:p w14:paraId="4BB78439" w14:textId="5FC1C000" w:rsidR="001248B4" w:rsidRPr="00DC73DC" w:rsidRDefault="001248B4" w:rsidP="00C578B0">
      <w:pPr>
        <w:pStyle w:val="Odstavecseseznamem"/>
        <w:numPr>
          <w:ilvl w:val="0"/>
          <w:numId w:val="8"/>
        </w:numPr>
        <w:spacing w:line="360" w:lineRule="auto"/>
        <w:jc w:val="both"/>
      </w:pPr>
      <w:r w:rsidRPr="00DC73DC">
        <w:t>Rozsudek Soudního dvo</w:t>
      </w:r>
      <w:r w:rsidR="00913477">
        <w:t>ra (třetího senátu) ze dne 11. č</w:t>
      </w:r>
      <w:r w:rsidRPr="00DC73DC">
        <w:t>ervence 2008</w:t>
      </w:r>
      <w:r w:rsidR="00AE25D0" w:rsidRPr="00DC73DC">
        <w:t xml:space="preserve">. Inga </w:t>
      </w:r>
      <w:proofErr w:type="spellStart"/>
      <w:r w:rsidR="00AE25D0" w:rsidRPr="00DC73DC">
        <w:t>Rinau</w:t>
      </w:r>
      <w:proofErr w:type="spellEnd"/>
      <w:r w:rsidR="00AE25D0" w:rsidRPr="00DC73DC">
        <w:t xml:space="preserve">. Věc C-195/08 PPU. In: Curia [online]. Soudní dvůr Evropské unie, 2008 [cit. 21. 8. 2017]. Dostupné z: </w:t>
      </w:r>
      <w:hyperlink r:id="rId13" w:history="1">
        <w:r w:rsidR="00AE25D0" w:rsidRPr="00DC73DC">
          <w:rPr>
            <w:rStyle w:val="Hypertextovodkaz"/>
            <w:color w:val="auto"/>
          </w:rPr>
          <w:t>http://curia.europa.eu/juris/liste.jsf?pro=&amp;lgrec=en&amp;nat=or&amp;oqp=&amp;dates=&amp;lg=&amp;language=cs&amp;jur=C%2CT%2CF&amp;cit=none%252CC%252CCJ%252CR%252C2008E%252C%252C%252C%252C%252C%252C%252C%252C%252C%252Ctrue%252Cfalse%252Cfalse&amp;num=C-</w:t>
        </w:r>
        <w:r w:rsidR="00AE25D0" w:rsidRPr="00DC73DC">
          <w:rPr>
            <w:rStyle w:val="Hypertextovodkaz"/>
            <w:color w:val="auto"/>
          </w:rPr>
          <w:lastRenderedPageBreak/>
          <w:t>195%252F08&amp;td=%3BALL&amp;pcs=Oor&amp;avg=&amp;page=1&amp;mat=or&amp;jge=&amp;for=&amp;cid=141140</w:t>
        </w:r>
      </w:hyperlink>
      <w:r w:rsidR="00AE25D0" w:rsidRPr="00DC73DC">
        <w:t xml:space="preserve"> </w:t>
      </w:r>
    </w:p>
    <w:p w14:paraId="1B1902AF" w14:textId="69661D46" w:rsidR="00162D6D" w:rsidRPr="00DC73DC" w:rsidRDefault="00AE25D0" w:rsidP="00C578B0">
      <w:pPr>
        <w:pStyle w:val="Textpoznpodarou"/>
        <w:numPr>
          <w:ilvl w:val="0"/>
          <w:numId w:val="8"/>
        </w:numPr>
        <w:spacing w:line="360" w:lineRule="auto"/>
        <w:jc w:val="both"/>
        <w:rPr>
          <w:sz w:val="24"/>
          <w:szCs w:val="24"/>
        </w:rPr>
      </w:pPr>
      <w:r w:rsidRPr="00DC73DC">
        <w:rPr>
          <w:sz w:val="24"/>
          <w:szCs w:val="24"/>
        </w:rPr>
        <w:t>Rozsudek Soudního dvo</w:t>
      </w:r>
      <w:r w:rsidR="00162D6D" w:rsidRPr="00DC73DC">
        <w:rPr>
          <w:sz w:val="24"/>
          <w:szCs w:val="24"/>
        </w:rPr>
        <w:t>ra</w:t>
      </w:r>
      <w:r w:rsidR="0029143F">
        <w:rPr>
          <w:sz w:val="24"/>
          <w:szCs w:val="24"/>
        </w:rPr>
        <w:t xml:space="preserve"> </w:t>
      </w:r>
      <w:r w:rsidRPr="00DC73DC">
        <w:rPr>
          <w:sz w:val="24"/>
          <w:szCs w:val="24"/>
        </w:rPr>
        <w:t xml:space="preserve">(třetího senátu) </w:t>
      </w:r>
      <w:r w:rsidR="00162D6D" w:rsidRPr="00DC73DC">
        <w:rPr>
          <w:sz w:val="24"/>
          <w:szCs w:val="24"/>
        </w:rPr>
        <w:t>ze dne 5</w:t>
      </w:r>
      <w:r w:rsidRPr="00DC73DC">
        <w:rPr>
          <w:sz w:val="24"/>
          <w:szCs w:val="24"/>
        </w:rPr>
        <w:t>.</w:t>
      </w:r>
      <w:r w:rsidR="00162D6D" w:rsidRPr="00DC73DC">
        <w:rPr>
          <w:sz w:val="24"/>
          <w:szCs w:val="24"/>
        </w:rPr>
        <w:t xml:space="preserve"> října 2010, </w:t>
      </w:r>
      <w:r w:rsidRPr="00DC73DC">
        <w:rPr>
          <w:sz w:val="24"/>
          <w:szCs w:val="24"/>
        </w:rPr>
        <w:t xml:space="preserve">J. </w:t>
      </w:r>
      <w:proofErr w:type="spellStart"/>
      <w:r w:rsidRPr="00DC73DC">
        <w:rPr>
          <w:sz w:val="24"/>
          <w:szCs w:val="24"/>
        </w:rPr>
        <w:t>McB</w:t>
      </w:r>
      <w:proofErr w:type="spellEnd"/>
      <w:r w:rsidRPr="00DC73DC">
        <w:rPr>
          <w:sz w:val="24"/>
          <w:szCs w:val="24"/>
        </w:rPr>
        <w:t>. Proti L. E. Věc</w:t>
      </w:r>
      <w:r w:rsidR="00162D6D" w:rsidRPr="00DC73DC">
        <w:rPr>
          <w:sz w:val="24"/>
          <w:szCs w:val="24"/>
        </w:rPr>
        <w:t xml:space="preserve"> C-400/10 PPU</w:t>
      </w:r>
      <w:r w:rsidRPr="00DC73DC">
        <w:rPr>
          <w:sz w:val="24"/>
          <w:szCs w:val="24"/>
        </w:rPr>
        <w:t xml:space="preserve">. In: </w:t>
      </w:r>
      <w:r w:rsidRPr="00DC73DC">
        <w:rPr>
          <w:i/>
          <w:sz w:val="24"/>
          <w:szCs w:val="24"/>
        </w:rPr>
        <w:t xml:space="preserve">Curia </w:t>
      </w:r>
      <w:r w:rsidRPr="00DC73DC">
        <w:rPr>
          <w:sz w:val="24"/>
          <w:szCs w:val="24"/>
        </w:rPr>
        <w:t>[online]</w:t>
      </w:r>
      <w:r w:rsidRPr="00DC73DC">
        <w:rPr>
          <w:i/>
          <w:sz w:val="24"/>
          <w:szCs w:val="24"/>
        </w:rPr>
        <w:t xml:space="preserve">. </w:t>
      </w:r>
      <w:r w:rsidRPr="00DC73DC">
        <w:rPr>
          <w:sz w:val="24"/>
          <w:szCs w:val="24"/>
        </w:rPr>
        <w:t xml:space="preserve">Soudní dvůr Evropské unie, 2010 [cit. 17. 6. 2016]. Dostupné z: </w:t>
      </w:r>
      <w:hyperlink r:id="rId14" w:history="1">
        <w:r w:rsidR="00162D6D" w:rsidRPr="00DC73DC">
          <w:rPr>
            <w:rStyle w:val="Hypertextovodkaz"/>
            <w:color w:val="auto"/>
            <w:sz w:val="24"/>
            <w:szCs w:val="24"/>
          </w:rPr>
          <w:t>http://curia.europa.eu/juris/document/document.jsf?text=&amp;docid=81398&amp;pageIndex=0&amp;doclang=CS&amp;mode=lst&amp;dir=&amp;occ=first&amp;part=1&amp;cid=1194401</w:t>
        </w:r>
      </w:hyperlink>
    </w:p>
    <w:p w14:paraId="6F0FDB92" w14:textId="7B82D8E6" w:rsidR="00511717" w:rsidRPr="00DC73DC" w:rsidRDefault="00511717" w:rsidP="00C578B0">
      <w:pPr>
        <w:pStyle w:val="Odstavecseseznamem"/>
        <w:numPr>
          <w:ilvl w:val="0"/>
          <w:numId w:val="8"/>
        </w:numPr>
        <w:spacing w:after="200" w:line="360" w:lineRule="auto"/>
        <w:jc w:val="both"/>
      </w:pPr>
      <w:r w:rsidRPr="00DC73DC">
        <w:t xml:space="preserve">Rozsudek Soudního dvora (prvního senátu) ze dne 22. prosince 2010. Barbara </w:t>
      </w:r>
      <w:proofErr w:type="spellStart"/>
      <w:r w:rsidRPr="00DC73DC">
        <w:t>Mercredi</w:t>
      </w:r>
      <w:proofErr w:type="spellEnd"/>
      <w:r w:rsidRPr="00DC73DC">
        <w:t xml:space="preserve"> proti Richard </w:t>
      </w:r>
      <w:proofErr w:type="spellStart"/>
      <w:r w:rsidRPr="00DC73DC">
        <w:t>Chaffe</w:t>
      </w:r>
      <w:proofErr w:type="spellEnd"/>
      <w:r w:rsidRPr="00DC73DC">
        <w:t xml:space="preserve">. Věc C-497/10 PPU. In: </w:t>
      </w:r>
      <w:r w:rsidRPr="00DC73DC">
        <w:rPr>
          <w:i/>
        </w:rPr>
        <w:t xml:space="preserve">Curia </w:t>
      </w:r>
      <w:r w:rsidRPr="00DC73DC">
        <w:t>[online]</w:t>
      </w:r>
      <w:r w:rsidRPr="00DC73DC">
        <w:rPr>
          <w:i/>
        </w:rPr>
        <w:t xml:space="preserve">. </w:t>
      </w:r>
      <w:r w:rsidRPr="00DC73DC">
        <w:t xml:space="preserve">Soudní dvůr Evropské unie, 2010 [cit. 17. 6. 2016]. Dostupné z: </w:t>
      </w:r>
      <w:hyperlink r:id="rId15" w:history="1">
        <w:r w:rsidRPr="00DC73DC">
          <w:rPr>
            <w:rStyle w:val="Hypertextovodkaz"/>
            <w:color w:val="auto"/>
          </w:rPr>
          <w:t>http://curia.europa.eu/juris/document/document.jsf?text=&amp;docid=83470&amp;pageIndex=0&amp;doclang=cs&amp;mode=lst&amp;dir=&amp;occ=first&amp;part=1&amp;cid=177764</w:t>
        </w:r>
      </w:hyperlink>
    </w:p>
    <w:p w14:paraId="0EA3F18D" w14:textId="5F5382F9" w:rsidR="002F32E7" w:rsidRPr="00DC73DC" w:rsidRDefault="00511717" w:rsidP="00C578B0">
      <w:pPr>
        <w:pStyle w:val="Odstavecseseznamem"/>
        <w:numPr>
          <w:ilvl w:val="0"/>
          <w:numId w:val="8"/>
        </w:numPr>
        <w:spacing w:after="200" w:line="360" w:lineRule="auto"/>
        <w:jc w:val="both"/>
      </w:pPr>
      <w:r w:rsidRPr="00DC73DC">
        <w:t xml:space="preserve">Rozsudek Soudního dvora (třetího senátu) ze dne 23. prosince 2009. Jasna </w:t>
      </w:r>
      <w:proofErr w:type="spellStart"/>
      <w:r w:rsidRPr="00DC73DC">
        <w:t>Detiček</w:t>
      </w:r>
      <w:proofErr w:type="spellEnd"/>
      <w:r w:rsidRPr="00DC73DC">
        <w:t xml:space="preserve"> proti </w:t>
      </w:r>
      <w:proofErr w:type="spellStart"/>
      <w:r w:rsidRPr="00DC73DC">
        <w:t>Maurizio</w:t>
      </w:r>
      <w:proofErr w:type="spellEnd"/>
      <w:r w:rsidRPr="00DC73DC">
        <w:t xml:space="preserve"> </w:t>
      </w:r>
      <w:proofErr w:type="spellStart"/>
      <w:r w:rsidRPr="00DC73DC">
        <w:t>Sgueglia</w:t>
      </w:r>
      <w:proofErr w:type="spellEnd"/>
      <w:r w:rsidRPr="00DC73DC">
        <w:t xml:space="preserve">. Věc C-403/09 PPU. In: </w:t>
      </w:r>
      <w:r w:rsidRPr="00DC73DC">
        <w:rPr>
          <w:i/>
        </w:rPr>
        <w:t xml:space="preserve">Curia </w:t>
      </w:r>
      <w:r w:rsidRPr="00DC73DC">
        <w:t>[online]</w:t>
      </w:r>
      <w:r w:rsidRPr="00DC73DC">
        <w:rPr>
          <w:i/>
        </w:rPr>
        <w:t xml:space="preserve">. </w:t>
      </w:r>
      <w:r w:rsidRPr="00DC73DC">
        <w:t xml:space="preserve">Soudní dvůr Evropské unie, 2009 [cit. 17. 6. 2016]. Dostupné z: </w:t>
      </w:r>
      <w:hyperlink r:id="rId16" w:history="1">
        <w:r w:rsidR="002F32E7" w:rsidRPr="00DC73DC">
          <w:rPr>
            <w:rStyle w:val="Hypertextovodkaz"/>
          </w:rPr>
          <w:t>http://curia.europa.eu/juris/document/document.jsf?text=&amp;docid=72557&amp;pageIndex=0&amp;doclang=cs&amp;mode=lst&amp;dir=&amp;occ=first&amp;part=1&amp;cid=179549</w:t>
        </w:r>
      </w:hyperlink>
    </w:p>
    <w:p w14:paraId="4A267186" w14:textId="52DC0888" w:rsidR="001248B4" w:rsidRPr="00DC73DC" w:rsidRDefault="00511717" w:rsidP="00C578B0">
      <w:pPr>
        <w:pStyle w:val="Odstavecseseznamem"/>
        <w:numPr>
          <w:ilvl w:val="0"/>
          <w:numId w:val="8"/>
        </w:numPr>
        <w:spacing w:after="200" w:line="360" w:lineRule="auto"/>
        <w:jc w:val="both"/>
      </w:pPr>
      <w:r w:rsidRPr="00DC73DC">
        <w:t>Rozsudek Soudního dvora ve vě</w:t>
      </w:r>
      <w:r w:rsidR="00913477">
        <w:t>ci „</w:t>
      </w:r>
      <w:proofErr w:type="spellStart"/>
      <w:r w:rsidR="00913477">
        <w:t>Povse</w:t>
      </w:r>
      <w:proofErr w:type="spellEnd"/>
      <w:r w:rsidR="00913477">
        <w:t xml:space="preserve"> v. </w:t>
      </w:r>
      <w:proofErr w:type="spellStart"/>
      <w:r w:rsidR="00913477">
        <w:t>Alpago</w:t>
      </w:r>
      <w:proofErr w:type="spellEnd"/>
      <w:r w:rsidR="00913477">
        <w:t>“ ze dne 1. července</w:t>
      </w:r>
      <w:r w:rsidRPr="00DC73DC">
        <w:t xml:space="preserve">. 2010, </w:t>
      </w:r>
      <w:proofErr w:type="spellStart"/>
      <w:r w:rsidRPr="00DC73DC">
        <w:t>sp</w:t>
      </w:r>
      <w:proofErr w:type="spellEnd"/>
      <w:r w:rsidRPr="00DC73DC">
        <w:t xml:space="preserve">. Zn. C-211/10 PPU </w:t>
      </w:r>
      <w:hyperlink r:id="rId17" w:history="1">
        <w:r w:rsidR="001248B4" w:rsidRPr="00DC73DC">
          <w:rPr>
            <w:rStyle w:val="Hypertextovodkaz"/>
            <w:color w:val="auto"/>
          </w:rPr>
          <w:t>http://curia.europa.eu/juris/document/document.jsf?text=&amp;docid=83999&amp;pageIndex=0&amp;doclang=CS&amp;mode=lst&amp;dir=&amp;occ=first&amp;part=1&amp;cid=344476</w:t>
        </w:r>
      </w:hyperlink>
    </w:p>
    <w:p w14:paraId="459288FF" w14:textId="3527D9AA" w:rsidR="00203ADE" w:rsidRPr="00DC73DC" w:rsidRDefault="00511717" w:rsidP="00C578B0">
      <w:pPr>
        <w:pStyle w:val="Odstavecseseznamem"/>
        <w:numPr>
          <w:ilvl w:val="0"/>
          <w:numId w:val="8"/>
        </w:numPr>
        <w:spacing w:after="200" w:line="360" w:lineRule="auto"/>
        <w:jc w:val="both"/>
      </w:pPr>
      <w:r w:rsidRPr="00DC73DC">
        <w:t>Rozsudek Soudního dvora</w:t>
      </w:r>
      <w:r w:rsidR="0029143F">
        <w:t xml:space="preserve"> </w:t>
      </w:r>
      <w:r w:rsidRPr="00DC73DC">
        <w:t>(pr</w:t>
      </w:r>
      <w:r w:rsidR="00913477">
        <w:t>vního senátu) ze dne 15. ú</w:t>
      </w:r>
      <w:r w:rsidRPr="00DC73DC">
        <w:t>nora 2017. W., V. proti X. Věc C-499/15. In: Curia [online]. Soudní dvůr Evropské unie, 2017</w:t>
      </w:r>
      <w:r w:rsidR="001248B4" w:rsidRPr="00DC73DC">
        <w:t xml:space="preserve"> [cit. 21.8.2017]. Dostupné z:</w:t>
      </w:r>
      <w:r w:rsidR="00203ADE" w:rsidRPr="00DC73DC">
        <w:t xml:space="preserve"> </w:t>
      </w:r>
      <w:hyperlink r:id="rId18" w:history="1">
        <w:r w:rsidR="001248B4" w:rsidRPr="00DC73DC">
          <w:rPr>
            <w:rStyle w:val="Hypertextovodkaz"/>
            <w:color w:val="auto"/>
          </w:rPr>
          <w:t>http://curia.europa.eu/juris/document/document.jsf;jsessionid=9ea7d2dc30d63b5795f24fc24735916aa1e7ab667bd7.e34KaxiLc3qMb40Rch0SaxyMa3r0?text=&amp;docid=187865&amp;pageIndex=0&amp;doclang=CS&amp;mode=lst&amp;dir=&amp;occ=first&amp;part=1&amp;cid=189959</w:t>
        </w:r>
      </w:hyperlink>
      <w:r w:rsidR="001248B4" w:rsidRPr="00DC73DC">
        <w:t xml:space="preserve"> </w:t>
      </w:r>
    </w:p>
    <w:p w14:paraId="6798CAD3" w14:textId="1A1134E6" w:rsidR="00203ADE" w:rsidRPr="00DC73DC" w:rsidRDefault="00163FC4" w:rsidP="00C578B0">
      <w:pPr>
        <w:pStyle w:val="Odstavecseseznamem"/>
        <w:numPr>
          <w:ilvl w:val="0"/>
          <w:numId w:val="8"/>
        </w:numPr>
        <w:spacing w:line="360" w:lineRule="auto"/>
        <w:jc w:val="both"/>
      </w:pPr>
      <w:r w:rsidRPr="00913477">
        <w:rPr>
          <w:shd w:val="clear" w:color="auto" w:fill="FFFFFF"/>
          <w:lang w:eastAsia="en-US"/>
        </w:rPr>
        <w:t>Rozsudek Soudního dvora (třetího senátu) ze dne 9. října 2014. C v. M. Věc C</w:t>
      </w:r>
      <w:r w:rsidRPr="00913477">
        <w:rPr>
          <w:shd w:val="clear" w:color="auto" w:fill="FFFFFF"/>
          <w:lang w:eastAsia="en-US"/>
        </w:rPr>
        <w:noBreakHyphen/>
        <w:t>376/14 PPU. In: Curia [online]. Soudní dvůr Evropské unie, 2014 [cit. 21. 8. 2017]. Dostupné</w:t>
      </w:r>
      <w:r w:rsidRPr="00DC73DC">
        <w:rPr>
          <w:shd w:val="clear" w:color="auto" w:fill="FFFFFF"/>
          <w:lang w:val="en-US" w:eastAsia="en-US"/>
        </w:rPr>
        <w:t xml:space="preserve"> z: </w:t>
      </w:r>
      <w:hyperlink r:id="rId19" w:history="1">
        <w:r w:rsidRPr="00DC73DC">
          <w:rPr>
            <w:rStyle w:val="Hypertextovodkaz"/>
            <w:color w:val="auto"/>
            <w:shd w:val="clear" w:color="auto" w:fill="FFFFFF"/>
            <w:lang w:val="en-US" w:eastAsia="en-US"/>
          </w:rPr>
          <w:t>http://curia.europa.eu/juris/liste.jsf?pro=&amp;lgrec=en&amp;nat=or&amp;oqp=&amp;dates=&amp;lg=&amp;language=cs&amp;jur=C%2CT%2CF&amp;cit=none%252CC%252CCJ%252CR%252C2008E%252C%252C%252C%252C%252C%252C%252C%252C%252C%252Ctrue%252Cfalse%252Cfalse&amp;num=C-</w:t>
        </w:r>
        <w:r w:rsidRPr="00DC73DC">
          <w:rPr>
            <w:rStyle w:val="Hypertextovodkaz"/>
            <w:color w:val="auto"/>
            <w:shd w:val="clear" w:color="auto" w:fill="FFFFFF"/>
            <w:lang w:val="en-US" w:eastAsia="en-US"/>
          </w:rPr>
          <w:lastRenderedPageBreak/>
          <w:t>376%252F14&amp;td=%3BALL&amp;pcs=Oor&amp;avg=&amp;page=1&amp;mat=or&amp;jge=&amp;for=&amp;cid=142408</w:t>
        </w:r>
      </w:hyperlink>
      <w:r w:rsidRPr="00DC73DC">
        <w:rPr>
          <w:shd w:val="clear" w:color="auto" w:fill="FFFFFF"/>
          <w:lang w:val="en-US" w:eastAsia="en-US"/>
        </w:rPr>
        <w:t xml:space="preserve"> </w:t>
      </w:r>
    </w:p>
    <w:p w14:paraId="134AE152" w14:textId="36398EC1" w:rsidR="003F23AA" w:rsidRPr="00DC73DC" w:rsidRDefault="003F23AA" w:rsidP="00C578B0">
      <w:pPr>
        <w:pStyle w:val="Odstavecseseznamem"/>
        <w:numPr>
          <w:ilvl w:val="0"/>
          <w:numId w:val="8"/>
        </w:numPr>
        <w:spacing w:line="360" w:lineRule="auto"/>
        <w:jc w:val="both"/>
      </w:pPr>
      <w:r w:rsidRPr="00DC73DC">
        <w:t>Rozsudek Soudního dv</w:t>
      </w:r>
      <w:r w:rsidR="00913477">
        <w:t>ora (druhého senátu) ze dne 15. č</w:t>
      </w:r>
      <w:r w:rsidRPr="00DC73DC">
        <w:t xml:space="preserve">ervence 2010. Bianca </w:t>
      </w:r>
      <w:proofErr w:type="spellStart"/>
      <w:r w:rsidRPr="00DC73DC">
        <w:t>Purrucker</w:t>
      </w:r>
      <w:proofErr w:type="spellEnd"/>
      <w:r w:rsidRPr="00DC73DC">
        <w:t xml:space="preserve"> proti </w:t>
      </w:r>
      <w:proofErr w:type="spellStart"/>
      <w:r w:rsidRPr="00DC73DC">
        <w:t>Guillermo</w:t>
      </w:r>
      <w:proofErr w:type="spellEnd"/>
      <w:r w:rsidRPr="00DC73DC">
        <w:t xml:space="preserve"> </w:t>
      </w:r>
      <w:proofErr w:type="spellStart"/>
      <w:r w:rsidRPr="00DC73DC">
        <w:t>Vallés</w:t>
      </w:r>
      <w:proofErr w:type="spellEnd"/>
      <w:r w:rsidRPr="00DC73DC">
        <w:t xml:space="preserve"> </w:t>
      </w:r>
      <w:proofErr w:type="spellStart"/>
      <w:r w:rsidRPr="00DC73DC">
        <w:t>Pérez</w:t>
      </w:r>
      <w:proofErr w:type="spellEnd"/>
      <w:r w:rsidRPr="00DC73DC">
        <w:t>. Věc C-256/09.</w:t>
      </w:r>
      <w:r w:rsidRPr="00DC73DC">
        <w:rPr>
          <w:shd w:val="clear" w:color="auto" w:fill="FFFFFF"/>
          <w:lang w:val="en-US" w:eastAsia="en-US"/>
        </w:rPr>
        <w:t xml:space="preserve"> In: Curia [online].</w:t>
      </w:r>
      <w:r w:rsidR="004A1D2A" w:rsidRPr="00DC73DC">
        <w:rPr>
          <w:shd w:val="clear" w:color="auto" w:fill="FFFFFF"/>
          <w:lang w:val="en-US" w:eastAsia="en-US"/>
        </w:rPr>
        <w:t xml:space="preserve"> </w:t>
      </w:r>
      <w:r w:rsidR="004A1D2A" w:rsidRPr="00913477">
        <w:rPr>
          <w:shd w:val="clear" w:color="auto" w:fill="FFFFFF"/>
          <w:lang w:eastAsia="en-US"/>
        </w:rPr>
        <w:t>Soudní dvůr Evropské unie, 2010</w:t>
      </w:r>
      <w:r w:rsidRPr="00913477">
        <w:rPr>
          <w:shd w:val="clear" w:color="auto" w:fill="FFFFFF"/>
          <w:lang w:eastAsia="en-US"/>
        </w:rPr>
        <w:t xml:space="preserve"> [cit. 21. 8. 2017]. Dostupné </w:t>
      </w:r>
      <w:r w:rsidRPr="00DC73DC">
        <w:rPr>
          <w:shd w:val="clear" w:color="auto" w:fill="FFFFFF"/>
          <w:lang w:val="en-US" w:eastAsia="en-US"/>
        </w:rPr>
        <w:t xml:space="preserve">z: </w:t>
      </w:r>
      <w:hyperlink r:id="rId20" w:history="1">
        <w:r w:rsidR="004A1D2A" w:rsidRPr="00DC73DC">
          <w:rPr>
            <w:rStyle w:val="Hypertextovodkaz"/>
            <w:color w:val="auto"/>
            <w:shd w:val="clear" w:color="auto" w:fill="FFFFFF"/>
            <w:lang w:val="en-US" w:eastAsia="en-US"/>
          </w:rPr>
          <w:t>http://curia.europa.eu/juris/liste.jsf?pro=&amp;lgrec=en&amp;nat=or&amp;oqp=&amp;dates=&amp;lg=&amp;language=cs&amp;jur=C%2CT%2CF&amp;cit=none%252CC%252CCJ%252CR%252C2008E%252C%252C%252C%252C%252C%252C%252C%252C%252C%252Ctrue%252Cfalse%252Cfalse&amp;num=C-256%252F09&amp;td=%3BALL&amp;pcs=Oor&amp;avg=&amp;page=1&amp;mat=or&amp;jge=&amp;for=&amp;cid=143616</w:t>
        </w:r>
      </w:hyperlink>
      <w:r w:rsidR="0029143F">
        <w:rPr>
          <w:shd w:val="clear" w:color="auto" w:fill="FFFFFF"/>
          <w:lang w:val="en-US" w:eastAsia="en-US"/>
        </w:rPr>
        <w:t xml:space="preserve"> </w:t>
      </w:r>
    </w:p>
    <w:p w14:paraId="0C6706AE" w14:textId="77B151DD" w:rsidR="004A1D2A" w:rsidRPr="00DC73DC" w:rsidRDefault="004A1D2A" w:rsidP="00C578B0">
      <w:pPr>
        <w:pStyle w:val="Odstavecseseznamem"/>
        <w:numPr>
          <w:ilvl w:val="0"/>
          <w:numId w:val="8"/>
        </w:numPr>
        <w:spacing w:line="360" w:lineRule="auto"/>
        <w:jc w:val="both"/>
      </w:pPr>
      <w:r w:rsidRPr="00DC73DC">
        <w:t>Rozsudek Soudního dv</w:t>
      </w:r>
      <w:r w:rsidR="00913477">
        <w:t>ora (třetího senátu) ze dne 2. d</w:t>
      </w:r>
      <w:r w:rsidRPr="00DC73DC">
        <w:t>ubna 2009</w:t>
      </w:r>
      <w:r w:rsidR="00462BC7" w:rsidRPr="00DC73DC">
        <w:t xml:space="preserve">. Věc C-523/07. In: Curia [online]. Soudní dvůr Evropské unie 2009 [cit. 21. 8. 2017]. Dostupné z: </w:t>
      </w:r>
      <w:hyperlink r:id="rId21" w:history="1">
        <w:r w:rsidR="00462BC7" w:rsidRPr="00DC73DC">
          <w:rPr>
            <w:rStyle w:val="Hypertextovodkaz"/>
            <w:color w:val="auto"/>
          </w:rPr>
          <w:t>http://eur-lex.europa.eu/legal-content/CS/TXT/HTML/?uri=CELEX:62007CJ0523&amp;from=EN</w:t>
        </w:r>
      </w:hyperlink>
      <w:r w:rsidR="00462BC7" w:rsidRPr="00DC73DC">
        <w:t xml:space="preserve"> </w:t>
      </w:r>
    </w:p>
    <w:p w14:paraId="3A297675" w14:textId="2318463A" w:rsidR="00163FC4" w:rsidRPr="00DC73DC" w:rsidRDefault="00163FC4" w:rsidP="00C578B0">
      <w:pPr>
        <w:pStyle w:val="Odstavecseseznamem"/>
        <w:numPr>
          <w:ilvl w:val="0"/>
          <w:numId w:val="8"/>
        </w:numPr>
        <w:spacing w:line="360" w:lineRule="auto"/>
        <w:jc w:val="both"/>
      </w:pPr>
      <w:r w:rsidRPr="00DC73DC">
        <w:t>Posudek Soudního dvora (velkého senát</w:t>
      </w:r>
      <w:r w:rsidR="00913477">
        <w:t>u) ze dne 14. ř</w:t>
      </w:r>
      <w:r w:rsidRPr="00DC73DC">
        <w:t xml:space="preserve">íjna 2014. Věc Avis 1/13. In: Curia [online]. Soudní dvůr Evropské unie 2014 [cit. 21. 8. 2017]. Dostupné z: </w:t>
      </w:r>
      <w:hyperlink r:id="rId22" w:history="1">
        <w:r w:rsidRPr="00DC73DC">
          <w:rPr>
            <w:rStyle w:val="Hypertextovodkaz"/>
            <w:color w:val="auto"/>
          </w:rPr>
          <w:t>http://eur-lex.europa.eu/legal-content/CS/TXT/?uri=CELEX%3A62013CV0001</w:t>
        </w:r>
      </w:hyperlink>
    </w:p>
    <w:p w14:paraId="65176D9F" w14:textId="6CC59EF9" w:rsidR="002F32E7" w:rsidRPr="00913477" w:rsidRDefault="002F32E7" w:rsidP="00C578B0">
      <w:pPr>
        <w:pStyle w:val="Odstavecseseznamem"/>
        <w:numPr>
          <w:ilvl w:val="0"/>
          <w:numId w:val="8"/>
        </w:numPr>
        <w:spacing w:line="360" w:lineRule="auto"/>
        <w:jc w:val="both"/>
        <w:rPr>
          <w:lang w:eastAsia="en-US"/>
        </w:rPr>
      </w:pPr>
      <w:r w:rsidRPr="00913477">
        <w:rPr>
          <w:lang w:eastAsia="en-US"/>
        </w:rPr>
        <w:t xml:space="preserve">Rozsudek ESLP ve věci </w:t>
      </w:r>
      <w:proofErr w:type="spellStart"/>
      <w:r w:rsidRPr="00913477">
        <w:rPr>
          <w:lang w:eastAsia="en-US"/>
        </w:rPr>
        <w:t>Neulinger</w:t>
      </w:r>
      <w:proofErr w:type="spellEnd"/>
      <w:r w:rsidRPr="00913477">
        <w:rPr>
          <w:lang w:eastAsia="en-US"/>
        </w:rPr>
        <w:t xml:space="preserve"> a </w:t>
      </w:r>
      <w:proofErr w:type="spellStart"/>
      <w:r w:rsidRPr="00913477">
        <w:rPr>
          <w:lang w:eastAsia="en-US"/>
        </w:rPr>
        <w:t>Sh</w:t>
      </w:r>
      <w:r w:rsidR="00913477">
        <w:rPr>
          <w:lang w:eastAsia="en-US"/>
        </w:rPr>
        <w:t>uruk</w:t>
      </w:r>
      <w:proofErr w:type="spellEnd"/>
      <w:r w:rsidR="00913477">
        <w:rPr>
          <w:lang w:eastAsia="en-US"/>
        </w:rPr>
        <w:t xml:space="preserve"> proti Švýcarsku ze dne 6. července</w:t>
      </w:r>
      <w:r w:rsidRPr="00913477">
        <w:rPr>
          <w:lang w:eastAsia="en-US"/>
        </w:rPr>
        <w:t>. 2010, stížnost č. 41615/07</w:t>
      </w:r>
    </w:p>
    <w:p w14:paraId="4ED54B78" w14:textId="30E462D4" w:rsidR="002F32E7" w:rsidRPr="00913477" w:rsidRDefault="002F32E7" w:rsidP="00C578B0">
      <w:pPr>
        <w:pStyle w:val="Odstavecseseznamem"/>
        <w:numPr>
          <w:ilvl w:val="0"/>
          <w:numId w:val="8"/>
        </w:numPr>
        <w:spacing w:line="360" w:lineRule="auto"/>
        <w:jc w:val="both"/>
        <w:rPr>
          <w:lang w:eastAsia="en-US"/>
        </w:rPr>
      </w:pPr>
      <w:r w:rsidRPr="00913477">
        <w:rPr>
          <w:lang w:eastAsia="en-US"/>
        </w:rPr>
        <w:t>Rozsudek ESLP ve věci</w:t>
      </w:r>
      <w:r w:rsidR="0029143F">
        <w:rPr>
          <w:lang w:eastAsia="en-US"/>
        </w:rPr>
        <w:t xml:space="preserve"> </w:t>
      </w:r>
      <w:proofErr w:type="spellStart"/>
      <w:r w:rsidRPr="00913477">
        <w:rPr>
          <w:lang w:eastAsia="en-US"/>
        </w:rPr>
        <w:t>Sneersome</w:t>
      </w:r>
      <w:proofErr w:type="spellEnd"/>
      <w:r w:rsidRPr="00913477">
        <w:rPr>
          <w:lang w:eastAsia="en-US"/>
        </w:rPr>
        <w:t xml:space="preserve"> a </w:t>
      </w:r>
      <w:proofErr w:type="spellStart"/>
      <w:r w:rsidRPr="00913477">
        <w:rPr>
          <w:lang w:eastAsia="en-US"/>
        </w:rPr>
        <w:t>Kamp</w:t>
      </w:r>
      <w:r w:rsidR="00913477">
        <w:rPr>
          <w:lang w:eastAsia="en-US"/>
        </w:rPr>
        <w:t>anella</w:t>
      </w:r>
      <w:proofErr w:type="spellEnd"/>
      <w:r w:rsidR="00913477">
        <w:rPr>
          <w:lang w:eastAsia="en-US"/>
        </w:rPr>
        <w:t xml:space="preserve"> proti Itálii ze dne 12. července</w:t>
      </w:r>
      <w:r w:rsidRPr="00913477">
        <w:rPr>
          <w:lang w:eastAsia="en-US"/>
        </w:rPr>
        <w:t xml:space="preserve">. 2011, stížnost č. 14737/09 </w:t>
      </w:r>
    </w:p>
    <w:p w14:paraId="67BD2B35" w14:textId="238C5E2D" w:rsidR="002F32E7" w:rsidRPr="00913477" w:rsidRDefault="002F32E7" w:rsidP="00C578B0">
      <w:pPr>
        <w:pStyle w:val="Odstavecseseznamem"/>
        <w:numPr>
          <w:ilvl w:val="0"/>
          <w:numId w:val="8"/>
        </w:numPr>
        <w:spacing w:line="360" w:lineRule="auto"/>
        <w:jc w:val="both"/>
        <w:rPr>
          <w:lang w:eastAsia="en-US"/>
        </w:rPr>
      </w:pPr>
      <w:r w:rsidRPr="00913477">
        <w:rPr>
          <w:lang w:eastAsia="en-US"/>
        </w:rPr>
        <w:t xml:space="preserve">Rozsudek ESLP ve věci </w:t>
      </w:r>
      <w:proofErr w:type="spellStart"/>
      <w:r w:rsidRPr="00913477">
        <w:rPr>
          <w:lang w:eastAsia="en-US"/>
        </w:rPr>
        <w:t>Neulinger</w:t>
      </w:r>
      <w:proofErr w:type="spellEnd"/>
      <w:r w:rsidRPr="00913477">
        <w:rPr>
          <w:lang w:eastAsia="en-US"/>
        </w:rPr>
        <w:t xml:space="preserve"> a </w:t>
      </w:r>
      <w:proofErr w:type="spellStart"/>
      <w:r w:rsidRPr="00913477">
        <w:rPr>
          <w:lang w:eastAsia="en-US"/>
        </w:rPr>
        <w:t>Sh</w:t>
      </w:r>
      <w:r w:rsidR="00913477">
        <w:rPr>
          <w:lang w:eastAsia="en-US"/>
        </w:rPr>
        <w:t>uruk</w:t>
      </w:r>
      <w:proofErr w:type="spellEnd"/>
      <w:r w:rsidR="00913477">
        <w:rPr>
          <w:lang w:eastAsia="en-US"/>
        </w:rPr>
        <w:t xml:space="preserve"> proti Švýcarsku ze dne 6. července</w:t>
      </w:r>
      <w:r w:rsidRPr="00913477">
        <w:rPr>
          <w:lang w:eastAsia="en-US"/>
        </w:rPr>
        <w:t xml:space="preserve">. 2010, stížnost č. 41615/07 </w:t>
      </w:r>
    </w:p>
    <w:p w14:paraId="5F2F90AE" w14:textId="245D481D" w:rsidR="002F32E7" w:rsidRPr="00913477" w:rsidRDefault="002F32E7" w:rsidP="00C578B0">
      <w:pPr>
        <w:pStyle w:val="Odstavecseseznamem"/>
        <w:numPr>
          <w:ilvl w:val="0"/>
          <w:numId w:val="8"/>
        </w:numPr>
        <w:spacing w:line="360" w:lineRule="auto"/>
        <w:jc w:val="both"/>
        <w:rPr>
          <w:lang w:eastAsia="en-US"/>
        </w:rPr>
      </w:pPr>
      <w:r w:rsidRPr="00913477">
        <w:rPr>
          <w:lang w:eastAsia="en-US"/>
        </w:rPr>
        <w:t xml:space="preserve">Rozsudek ESLP ve věci Haase v. </w:t>
      </w:r>
      <w:r w:rsidR="00913477">
        <w:rPr>
          <w:lang w:eastAsia="en-US"/>
        </w:rPr>
        <w:t>Německu ze dne 8. dubna</w:t>
      </w:r>
      <w:r w:rsidRPr="00913477">
        <w:rPr>
          <w:lang w:eastAsia="en-US"/>
        </w:rPr>
        <w:t xml:space="preserve"> 2004, stížnost č. 11057/02</w:t>
      </w:r>
    </w:p>
    <w:p w14:paraId="0DBF6825" w14:textId="02D7475D" w:rsidR="002F32E7" w:rsidRPr="00DC73DC" w:rsidRDefault="004A1D2A" w:rsidP="00C578B0">
      <w:pPr>
        <w:pStyle w:val="Odstavecseseznamem"/>
        <w:numPr>
          <w:ilvl w:val="0"/>
          <w:numId w:val="8"/>
        </w:numPr>
        <w:spacing w:line="360" w:lineRule="auto"/>
        <w:jc w:val="both"/>
        <w:rPr>
          <w:lang w:val="en-US" w:eastAsia="en-US"/>
        </w:rPr>
      </w:pPr>
      <w:r w:rsidRPr="00DC73DC">
        <w:t>Rozhodnutí soudu Nizo</w:t>
      </w:r>
      <w:r w:rsidR="00913477">
        <w:t>zemského království ze dne 14. dubna</w:t>
      </w:r>
      <w:r w:rsidRPr="00DC73DC">
        <w:t xml:space="preserve"> 2000, č. R99/076HR, dostupné z: </w:t>
      </w:r>
      <w:hyperlink r:id="rId23" w:history="1">
        <w:r w:rsidRPr="00DC73DC">
          <w:rPr>
            <w:rStyle w:val="Hypertextovodkaz"/>
            <w:color w:val="auto"/>
          </w:rPr>
          <w:t>https://assets.hcch.net/incadat/fullcase/0316.htm</w:t>
        </w:r>
      </w:hyperlink>
    </w:p>
    <w:p w14:paraId="3FFDD9D2" w14:textId="3D6B3419" w:rsidR="00511717" w:rsidRPr="00DC73DC" w:rsidRDefault="00E07B20" w:rsidP="00C578B0">
      <w:pPr>
        <w:pStyle w:val="Odstavecseseznamem"/>
        <w:numPr>
          <w:ilvl w:val="0"/>
          <w:numId w:val="8"/>
        </w:numPr>
        <w:spacing w:line="360" w:lineRule="auto"/>
        <w:jc w:val="both"/>
        <w:rPr>
          <w:lang w:val="en-US" w:eastAsia="en-US"/>
        </w:rPr>
      </w:pPr>
      <w:r w:rsidRPr="00DC73DC">
        <w:t xml:space="preserve">Nález Ústavního soudu ČR ze dne </w:t>
      </w:r>
      <w:r w:rsidRPr="00DC73DC">
        <w:rPr>
          <w:lang w:val="en-US" w:eastAsia="en-US"/>
        </w:rPr>
        <w:t>8. 9. 2015</w:t>
      </w:r>
      <w:r w:rsidR="00450DA3" w:rsidRPr="00DC73DC">
        <w:rPr>
          <w:lang w:val="en-US" w:eastAsia="en-US"/>
        </w:rPr>
        <w:t xml:space="preserve"> </w:t>
      </w:r>
      <w:r w:rsidR="00913477">
        <w:rPr>
          <w:lang w:val="en-US" w:eastAsia="en-US"/>
        </w:rPr>
        <w:t xml:space="preserve">sp. </w:t>
      </w:r>
      <w:proofErr w:type="spellStart"/>
      <w:r w:rsidR="00913477">
        <w:rPr>
          <w:lang w:val="en-US" w:eastAsia="en-US"/>
        </w:rPr>
        <w:t>zn</w:t>
      </w:r>
      <w:proofErr w:type="spellEnd"/>
      <w:r w:rsidR="00913477">
        <w:rPr>
          <w:lang w:val="en-US" w:eastAsia="en-US"/>
        </w:rPr>
        <w:t>.</w:t>
      </w:r>
      <w:r w:rsidR="009B64CB" w:rsidRPr="00DC73DC">
        <w:rPr>
          <w:lang w:val="en-US" w:eastAsia="en-US"/>
        </w:rPr>
        <w:t xml:space="preserve"> ÚS 3742/14</w:t>
      </w:r>
    </w:p>
    <w:p w14:paraId="2522B81C" w14:textId="0F4CF11D" w:rsidR="00511717" w:rsidRPr="00DC73DC" w:rsidRDefault="00511717" w:rsidP="00C578B0">
      <w:pPr>
        <w:pStyle w:val="Odstavecseseznamem"/>
        <w:numPr>
          <w:ilvl w:val="0"/>
          <w:numId w:val="8"/>
        </w:numPr>
        <w:spacing w:line="360" w:lineRule="auto"/>
        <w:jc w:val="both"/>
      </w:pPr>
      <w:r w:rsidRPr="00DC73DC">
        <w:t xml:space="preserve">Nález Ústavního soudu ČR ze dne 15. 4. 2014, </w:t>
      </w:r>
      <w:proofErr w:type="spellStart"/>
      <w:r w:rsidRPr="00DC73DC">
        <w:t>sp</w:t>
      </w:r>
      <w:proofErr w:type="spellEnd"/>
      <w:r w:rsidRPr="00DC73DC">
        <w:t>. zn. II ÚS 3076/13</w:t>
      </w:r>
    </w:p>
    <w:p w14:paraId="141A30BC" w14:textId="4F0C67D1" w:rsidR="00162D6D" w:rsidRPr="00DC73DC" w:rsidRDefault="009B64CB" w:rsidP="00C578B0">
      <w:pPr>
        <w:pStyle w:val="Odstavecseseznamem"/>
        <w:numPr>
          <w:ilvl w:val="0"/>
          <w:numId w:val="8"/>
        </w:numPr>
        <w:spacing w:line="360" w:lineRule="auto"/>
        <w:jc w:val="both"/>
      </w:pPr>
      <w:r w:rsidRPr="00DC73DC">
        <w:t xml:space="preserve">Nález Ústavního soudu ČR ze dne 16. 5. 2017, </w:t>
      </w:r>
      <w:proofErr w:type="spellStart"/>
      <w:r w:rsidRPr="00DC73DC">
        <w:t>sp</w:t>
      </w:r>
      <w:proofErr w:type="spellEnd"/>
      <w:r w:rsidRPr="00DC73DC">
        <w:t>. zn. II. ÚS 1080/17</w:t>
      </w:r>
    </w:p>
    <w:p w14:paraId="46B6903C" w14:textId="77777777" w:rsidR="009B64CB" w:rsidRPr="00DC73DC" w:rsidRDefault="009B64CB" w:rsidP="00C578B0">
      <w:pPr>
        <w:pStyle w:val="Odstavecseseznamem"/>
        <w:numPr>
          <w:ilvl w:val="0"/>
          <w:numId w:val="8"/>
        </w:numPr>
        <w:spacing w:line="360" w:lineRule="auto"/>
        <w:jc w:val="both"/>
      </w:pPr>
      <w:r w:rsidRPr="00DC73DC">
        <w:t xml:space="preserve">Nález Ústavního soudu ČR ze dne 9. 5. 2017, </w:t>
      </w:r>
      <w:proofErr w:type="spellStart"/>
      <w:r w:rsidRPr="00DC73DC">
        <w:t>sp</w:t>
      </w:r>
      <w:proofErr w:type="spellEnd"/>
      <w:r w:rsidRPr="00DC73DC">
        <w:t>. zn. II. ÚS 378/17</w:t>
      </w:r>
    </w:p>
    <w:p w14:paraId="7A2653C2" w14:textId="5D40C57F" w:rsidR="009B64CB" w:rsidRPr="00E53860" w:rsidRDefault="00162D6D" w:rsidP="00C578B0">
      <w:pPr>
        <w:pStyle w:val="Odstavecseseznamem"/>
        <w:numPr>
          <w:ilvl w:val="0"/>
          <w:numId w:val="8"/>
        </w:numPr>
        <w:spacing w:line="360" w:lineRule="auto"/>
        <w:jc w:val="both"/>
      </w:pPr>
      <w:r w:rsidRPr="00E53860">
        <w:rPr>
          <w:shd w:val="clear" w:color="auto" w:fill="FDFDFD"/>
          <w:lang w:eastAsia="en-US"/>
        </w:rPr>
        <w:t>Nález Ústavního soudu</w:t>
      </w:r>
      <w:r w:rsidR="00913477" w:rsidRPr="00E53860">
        <w:rPr>
          <w:shd w:val="clear" w:color="auto" w:fill="FDFDFD"/>
          <w:lang w:eastAsia="en-US"/>
        </w:rPr>
        <w:t xml:space="preserve"> ČR ze dne 15. 12. 2015, </w:t>
      </w:r>
      <w:proofErr w:type="spellStart"/>
      <w:r w:rsidR="00913477" w:rsidRPr="00E53860">
        <w:rPr>
          <w:shd w:val="clear" w:color="auto" w:fill="FDFDFD"/>
          <w:lang w:eastAsia="en-US"/>
        </w:rPr>
        <w:t>sp</w:t>
      </w:r>
      <w:proofErr w:type="spellEnd"/>
      <w:r w:rsidR="00913477" w:rsidRPr="00E53860">
        <w:rPr>
          <w:shd w:val="clear" w:color="auto" w:fill="FDFDFD"/>
          <w:lang w:eastAsia="en-US"/>
        </w:rPr>
        <w:t>. zn.</w:t>
      </w:r>
      <w:r w:rsidRPr="00E53860">
        <w:rPr>
          <w:shd w:val="clear" w:color="auto" w:fill="FDFDFD"/>
          <w:lang w:eastAsia="en-US"/>
        </w:rPr>
        <w:t xml:space="preserve"> I ÚS 1587/15</w:t>
      </w:r>
    </w:p>
    <w:p w14:paraId="2B9A0DFD" w14:textId="650E3E1F" w:rsidR="009E6348" w:rsidRPr="00E53860" w:rsidRDefault="009E6348" w:rsidP="00C578B0">
      <w:pPr>
        <w:pStyle w:val="Odstavecseseznamem"/>
        <w:numPr>
          <w:ilvl w:val="0"/>
          <w:numId w:val="8"/>
        </w:numPr>
        <w:spacing w:line="360" w:lineRule="auto"/>
        <w:jc w:val="both"/>
      </w:pPr>
      <w:r w:rsidRPr="00E53860">
        <w:t xml:space="preserve">Nález Ústavního soudu ČR ze dne </w:t>
      </w:r>
      <w:r w:rsidR="009B64CB" w:rsidRPr="00E53860">
        <w:t>7. 12. 2000</w:t>
      </w:r>
      <w:r w:rsidR="00907A30" w:rsidRPr="00E53860">
        <w:t xml:space="preserve">, </w:t>
      </w:r>
      <w:proofErr w:type="spellStart"/>
      <w:r w:rsidR="00907A30" w:rsidRPr="00E53860">
        <w:t>sp</w:t>
      </w:r>
      <w:proofErr w:type="spellEnd"/>
      <w:r w:rsidR="00907A30" w:rsidRPr="00E53860">
        <w:t>. zn. III. ÚS 440/2000</w:t>
      </w:r>
    </w:p>
    <w:p w14:paraId="1B968332" w14:textId="3742BE14" w:rsidR="009B64CB" w:rsidRPr="00E53860" w:rsidRDefault="009B64CB" w:rsidP="00C578B0">
      <w:pPr>
        <w:pStyle w:val="Odstavecseseznamem"/>
        <w:numPr>
          <w:ilvl w:val="0"/>
          <w:numId w:val="8"/>
        </w:numPr>
        <w:spacing w:line="360" w:lineRule="auto"/>
        <w:jc w:val="both"/>
      </w:pPr>
      <w:r w:rsidRPr="00E53860">
        <w:t xml:space="preserve">Rozsudek </w:t>
      </w:r>
      <w:r w:rsidR="00076144" w:rsidRPr="00E53860">
        <w:rPr>
          <w:shd w:val="clear" w:color="auto" w:fill="FFFFFF"/>
          <w:lang w:eastAsia="en-US"/>
        </w:rPr>
        <w:t xml:space="preserve">Nejvyššího soudu </w:t>
      </w:r>
      <w:r w:rsidRPr="00E53860">
        <w:rPr>
          <w:shd w:val="clear" w:color="auto" w:fill="FFFFFF"/>
          <w:lang w:eastAsia="en-US"/>
        </w:rPr>
        <w:t xml:space="preserve">ČR ze dne 5.3.2008, </w:t>
      </w:r>
      <w:proofErr w:type="spellStart"/>
      <w:r w:rsidR="00913477" w:rsidRPr="00E53860">
        <w:rPr>
          <w:shd w:val="clear" w:color="auto" w:fill="FFFFFF"/>
          <w:lang w:eastAsia="en-US"/>
        </w:rPr>
        <w:t>sp</w:t>
      </w:r>
      <w:proofErr w:type="spellEnd"/>
      <w:r w:rsidR="00913477" w:rsidRPr="00E53860">
        <w:rPr>
          <w:shd w:val="clear" w:color="auto" w:fill="FFFFFF"/>
          <w:lang w:eastAsia="en-US"/>
        </w:rPr>
        <w:t>. zn.</w:t>
      </w:r>
      <w:r w:rsidR="0029143F">
        <w:rPr>
          <w:shd w:val="clear" w:color="auto" w:fill="FFFFFF"/>
          <w:lang w:eastAsia="en-US"/>
        </w:rPr>
        <w:t xml:space="preserve"> </w:t>
      </w:r>
      <w:r w:rsidR="00076144" w:rsidRPr="00E53860">
        <w:rPr>
          <w:shd w:val="clear" w:color="auto" w:fill="FFFFFF"/>
          <w:lang w:eastAsia="en-US"/>
        </w:rPr>
        <w:t xml:space="preserve">30 </w:t>
      </w:r>
      <w:proofErr w:type="spellStart"/>
      <w:r w:rsidR="00076144" w:rsidRPr="00E53860">
        <w:rPr>
          <w:shd w:val="clear" w:color="auto" w:fill="FFFFFF"/>
          <w:lang w:eastAsia="en-US"/>
        </w:rPr>
        <w:t>Cdo</w:t>
      </w:r>
      <w:proofErr w:type="spellEnd"/>
      <w:r w:rsidR="00076144" w:rsidRPr="00E53860">
        <w:rPr>
          <w:shd w:val="clear" w:color="auto" w:fill="FFFFFF"/>
          <w:lang w:eastAsia="en-US"/>
        </w:rPr>
        <w:t xml:space="preserve"> 5473/2007</w:t>
      </w:r>
    </w:p>
    <w:p w14:paraId="4B232F42" w14:textId="31FB8B6B" w:rsidR="009E6348" w:rsidRPr="00E53860" w:rsidRDefault="009B64CB" w:rsidP="00C578B0">
      <w:pPr>
        <w:pStyle w:val="Odstavecseseznamem"/>
        <w:numPr>
          <w:ilvl w:val="0"/>
          <w:numId w:val="8"/>
        </w:numPr>
        <w:spacing w:line="360" w:lineRule="auto"/>
        <w:jc w:val="both"/>
      </w:pPr>
      <w:r w:rsidRPr="00E53860">
        <w:rPr>
          <w:shd w:val="clear" w:color="auto" w:fill="FFFFFF"/>
          <w:lang w:eastAsia="en-US"/>
        </w:rPr>
        <w:lastRenderedPageBreak/>
        <w:t>Rozsudek</w:t>
      </w:r>
      <w:r w:rsidR="00076144" w:rsidRPr="00E53860">
        <w:rPr>
          <w:shd w:val="clear" w:color="auto" w:fill="FFFFFF"/>
          <w:lang w:eastAsia="en-US"/>
        </w:rPr>
        <w:t xml:space="preserve"> Nejvyššího soudu</w:t>
      </w:r>
      <w:r w:rsidR="0029143F">
        <w:rPr>
          <w:shd w:val="clear" w:color="auto" w:fill="FFFFFF"/>
          <w:lang w:eastAsia="en-US"/>
        </w:rPr>
        <w:t xml:space="preserve"> </w:t>
      </w:r>
      <w:r w:rsidR="00076144" w:rsidRPr="00E53860">
        <w:rPr>
          <w:shd w:val="clear" w:color="auto" w:fill="FFFFFF"/>
          <w:lang w:eastAsia="en-US"/>
        </w:rPr>
        <w:t>Č</w:t>
      </w:r>
      <w:r w:rsidR="00907A30" w:rsidRPr="00E53860">
        <w:rPr>
          <w:shd w:val="clear" w:color="auto" w:fill="FFFFFF"/>
          <w:lang w:eastAsia="en-US"/>
        </w:rPr>
        <w:t xml:space="preserve">R ze dne 27. 1. 2015, </w:t>
      </w:r>
      <w:proofErr w:type="spellStart"/>
      <w:r w:rsidR="00076144" w:rsidRPr="00E53860">
        <w:rPr>
          <w:shd w:val="clear" w:color="auto" w:fill="FFFFFF"/>
          <w:lang w:eastAsia="en-US"/>
        </w:rPr>
        <w:t>sp</w:t>
      </w:r>
      <w:proofErr w:type="spellEnd"/>
      <w:r w:rsidR="00076144" w:rsidRPr="00E53860">
        <w:rPr>
          <w:shd w:val="clear" w:color="auto" w:fill="FFFFFF"/>
          <w:lang w:eastAsia="en-US"/>
        </w:rPr>
        <w:t xml:space="preserve">. zn. 30 </w:t>
      </w:r>
      <w:proofErr w:type="spellStart"/>
      <w:r w:rsidR="00076144" w:rsidRPr="00E53860">
        <w:rPr>
          <w:shd w:val="clear" w:color="auto" w:fill="FFFFFF"/>
          <w:lang w:eastAsia="en-US"/>
        </w:rPr>
        <w:t>Cdo</w:t>
      </w:r>
      <w:proofErr w:type="spellEnd"/>
      <w:r w:rsidR="00076144" w:rsidRPr="00E53860">
        <w:rPr>
          <w:shd w:val="clear" w:color="auto" w:fill="FFFFFF"/>
          <w:lang w:eastAsia="en-US"/>
        </w:rPr>
        <w:t xml:space="preserve"> 1994/2013 </w:t>
      </w:r>
    </w:p>
    <w:p w14:paraId="442238E7" w14:textId="2A4E24AF" w:rsidR="00162D6D" w:rsidRPr="00E53860" w:rsidRDefault="002F32E7" w:rsidP="00C578B0">
      <w:pPr>
        <w:pStyle w:val="Textpoznpodarou"/>
        <w:numPr>
          <w:ilvl w:val="0"/>
          <w:numId w:val="8"/>
        </w:numPr>
        <w:spacing w:line="360" w:lineRule="auto"/>
        <w:jc w:val="both"/>
        <w:rPr>
          <w:sz w:val="24"/>
          <w:szCs w:val="24"/>
        </w:rPr>
      </w:pPr>
      <w:r w:rsidRPr="00E53860">
        <w:rPr>
          <w:sz w:val="24"/>
          <w:szCs w:val="24"/>
        </w:rPr>
        <w:t xml:space="preserve">Rozsudek </w:t>
      </w:r>
      <w:r w:rsidR="00162D6D" w:rsidRPr="00E53860">
        <w:rPr>
          <w:sz w:val="24"/>
          <w:szCs w:val="24"/>
        </w:rPr>
        <w:t>N</w:t>
      </w:r>
      <w:r w:rsidR="00907A30" w:rsidRPr="00E53860">
        <w:rPr>
          <w:sz w:val="24"/>
          <w:szCs w:val="24"/>
        </w:rPr>
        <w:t xml:space="preserve">ejvyššího soudu ČR ze dne 20. 6. 2007, </w:t>
      </w:r>
      <w:proofErr w:type="spellStart"/>
      <w:r w:rsidR="00907A30" w:rsidRPr="00E53860">
        <w:rPr>
          <w:sz w:val="24"/>
          <w:szCs w:val="24"/>
        </w:rPr>
        <w:t>sp</w:t>
      </w:r>
      <w:proofErr w:type="spellEnd"/>
      <w:r w:rsidR="00907A30" w:rsidRPr="00E53860">
        <w:rPr>
          <w:sz w:val="24"/>
          <w:szCs w:val="24"/>
        </w:rPr>
        <w:t xml:space="preserve">. zn. 30 </w:t>
      </w:r>
      <w:proofErr w:type="spellStart"/>
      <w:r w:rsidR="00907A30" w:rsidRPr="00E53860">
        <w:rPr>
          <w:sz w:val="24"/>
          <w:szCs w:val="24"/>
        </w:rPr>
        <w:t>Cdo</w:t>
      </w:r>
      <w:proofErr w:type="spellEnd"/>
      <w:r w:rsidR="00907A30" w:rsidRPr="00E53860">
        <w:rPr>
          <w:sz w:val="24"/>
          <w:szCs w:val="24"/>
        </w:rPr>
        <w:t xml:space="preserve"> 474/2007</w:t>
      </w:r>
      <w:r w:rsidR="00162D6D" w:rsidRPr="00E53860">
        <w:rPr>
          <w:sz w:val="24"/>
          <w:szCs w:val="24"/>
        </w:rPr>
        <w:t xml:space="preserve"> </w:t>
      </w:r>
    </w:p>
    <w:p w14:paraId="7D527F05" w14:textId="6742AECF" w:rsidR="00076144" w:rsidRPr="00E53860" w:rsidRDefault="00907A30" w:rsidP="00C578B0">
      <w:pPr>
        <w:pStyle w:val="Textpoznpodarou"/>
        <w:numPr>
          <w:ilvl w:val="0"/>
          <w:numId w:val="8"/>
        </w:numPr>
        <w:spacing w:line="360" w:lineRule="auto"/>
        <w:jc w:val="both"/>
        <w:rPr>
          <w:sz w:val="24"/>
          <w:szCs w:val="24"/>
        </w:rPr>
      </w:pPr>
      <w:r w:rsidRPr="00E53860">
        <w:rPr>
          <w:sz w:val="24"/>
          <w:szCs w:val="24"/>
          <w:shd w:val="clear" w:color="auto" w:fill="FFFFFF"/>
          <w:lang w:eastAsia="en-US"/>
        </w:rPr>
        <w:t>Rozsudek Nejvyššího soudu ČR ze dne 27. 9. 2011,</w:t>
      </w:r>
      <w:r w:rsidR="00076144" w:rsidRPr="00E53860">
        <w:rPr>
          <w:sz w:val="24"/>
          <w:szCs w:val="24"/>
          <w:shd w:val="clear" w:color="auto" w:fill="FFFFFF"/>
          <w:lang w:eastAsia="en-US"/>
        </w:rPr>
        <w:t xml:space="preserve"> </w:t>
      </w:r>
      <w:proofErr w:type="spellStart"/>
      <w:r w:rsidR="00076144" w:rsidRPr="00E53860">
        <w:rPr>
          <w:sz w:val="24"/>
          <w:szCs w:val="24"/>
          <w:shd w:val="clear" w:color="auto" w:fill="FFFFFF"/>
          <w:lang w:eastAsia="en-US"/>
        </w:rPr>
        <w:t>sp</w:t>
      </w:r>
      <w:proofErr w:type="spellEnd"/>
      <w:r w:rsidR="00076144" w:rsidRPr="00E53860">
        <w:rPr>
          <w:sz w:val="24"/>
          <w:szCs w:val="24"/>
          <w:shd w:val="clear" w:color="auto" w:fill="FFFFFF"/>
          <w:lang w:eastAsia="en-US"/>
        </w:rPr>
        <w:t xml:space="preserve">. zn. 30 </w:t>
      </w:r>
      <w:proofErr w:type="spellStart"/>
      <w:r w:rsidR="00076144" w:rsidRPr="00E53860">
        <w:rPr>
          <w:sz w:val="24"/>
          <w:szCs w:val="24"/>
          <w:shd w:val="clear" w:color="auto" w:fill="FFFFFF"/>
          <w:lang w:eastAsia="en-US"/>
        </w:rPr>
        <w:t>Cdo</w:t>
      </w:r>
      <w:proofErr w:type="spellEnd"/>
      <w:r w:rsidR="00076144" w:rsidRPr="00E53860">
        <w:rPr>
          <w:sz w:val="24"/>
          <w:szCs w:val="24"/>
          <w:shd w:val="clear" w:color="auto" w:fill="FFFFFF"/>
          <w:lang w:eastAsia="en-US"/>
        </w:rPr>
        <w:t xml:space="preserve"> 2244/2011</w:t>
      </w:r>
      <w:r w:rsidR="00A32BB5" w:rsidRPr="00E53860">
        <w:rPr>
          <w:sz w:val="24"/>
          <w:szCs w:val="24"/>
          <w:shd w:val="clear" w:color="auto" w:fill="FFFFFF"/>
          <w:lang w:eastAsia="en-US"/>
        </w:rPr>
        <w:t xml:space="preserve"> </w:t>
      </w:r>
    </w:p>
    <w:p w14:paraId="6D7E0350" w14:textId="7000A79F" w:rsidR="00076144" w:rsidRPr="00E53860" w:rsidRDefault="00907A30" w:rsidP="00C578B0">
      <w:pPr>
        <w:pStyle w:val="Textpoznpodarou"/>
        <w:numPr>
          <w:ilvl w:val="0"/>
          <w:numId w:val="8"/>
        </w:numPr>
        <w:spacing w:line="360" w:lineRule="auto"/>
        <w:jc w:val="both"/>
        <w:rPr>
          <w:sz w:val="24"/>
          <w:szCs w:val="24"/>
        </w:rPr>
      </w:pPr>
      <w:r w:rsidRPr="00E53860">
        <w:rPr>
          <w:sz w:val="24"/>
          <w:szCs w:val="24"/>
        </w:rPr>
        <w:t xml:space="preserve">Rozsudek Nejvyššího soudu ČR ze dne 28. 11. 2006, </w:t>
      </w:r>
      <w:proofErr w:type="spellStart"/>
      <w:r w:rsidRPr="00E53860">
        <w:rPr>
          <w:sz w:val="24"/>
          <w:szCs w:val="24"/>
        </w:rPr>
        <w:t>sp</w:t>
      </w:r>
      <w:proofErr w:type="spellEnd"/>
      <w:r w:rsidRPr="00E53860">
        <w:rPr>
          <w:sz w:val="24"/>
          <w:szCs w:val="24"/>
        </w:rPr>
        <w:t>. zn.</w:t>
      </w:r>
      <w:r w:rsidR="00076144" w:rsidRPr="00E53860">
        <w:rPr>
          <w:sz w:val="24"/>
          <w:szCs w:val="24"/>
        </w:rPr>
        <w:t xml:space="preserve"> 30 </w:t>
      </w:r>
      <w:proofErr w:type="spellStart"/>
      <w:r w:rsidR="00076144" w:rsidRPr="00E53860">
        <w:rPr>
          <w:sz w:val="24"/>
          <w:szCs w:val="24"/>
        </w:rPr>
        <w:t>Cdo</w:t>
      </w:r>
      <w:proofErr w:type="spellEnd"/>
      <w:r w:rsidR="00076144" w:rsidRPr="00E53860">
        <w:rPr>
          <w:sz w:val="24"/>
          <w:szCs w:val="24"/>
        </w:rPr>
        <w:t xml:space="preserve"> 1931/2006</w:t>
      </w:r>
      <w:r w:rsidR="00A32BB5" w:rsidRPr="00E53860">
        <w:rPr>
          <w:sz w:val="24"/>
          <w:szCs w:val="24"/>
        </w:rPr>
        <w:t xml:space="preserve"> </w:t>
      </w:r>
    </w:p>
    <w:p w14:paraId="3C6DFE84" w14:textId="62C9D7AE" w:rsidR="00907A30" w:rsidRPr="00E53860" w:rsidRDefault="00907A30" w:rsidP="00C578B0">
      <w:pPr>
        <w:pStyle w:val="Textpoznpodarou"/>
        <w:numPr>
          <w:ilvl w:val="0"/>
          <w:numId w:val="8"/>
        </w:numPr>
        <w:spacing w:line="360" w:lineRule="auto"/>
        <w:jc w:val="both"/>
        <w:rPr>
          <w:sz w:val="24"/>
          <w:szCs w:val="24"/>
        </w:rPr>
      </w:pPr>
      <w:r w:rsidRPr="00E53860">
        <w:rPr>
          <w:sz w:val="24"/>
          <w:szCs w:val="24"/>
        </w:rPr>
        <w:t xml:space="preserve">Rozsudek Nejvyššího soudu ČR ze dne 5. 3. 2008, </w:t>
      </w:r>
      <w:proofErr w:type="spellStart"/>
      <w:r w:rsidRPr="00E53860">
        <w:rPr>
          <w:sz w:val="24"/>
          <w:szCs w:val="24"/>
        </w:rPr>
        <w:t>sp</w:t>
      </w:r>
      <w:proofErr w:type="spellEnd"/>
      <w:r w:rsidRPr="00E53860">
        <w:rPr>
          <w:sz w:val="24"/>
          <w:szCs w:val="24"/>
        </w:rPr>
        <w:t xml:space="preserve">. zn. 30 </w:t>
      </w:r>
      <w:proofErr w:type="spellStart"/>
      <w:r w:rsidRPr="00E53860">
        <w:rPr>
          <w:sz w:val="24"/>
          <w:szCs w:val="24"/>
        </w:rPr>
        <w:t>Cdo</w:t>
      </w:r>
      <w:proofErr w:type="spellEnd"/>
      <w:r w:rsidRPr="00E53860">
        <w:rPr>
          <w:sz w:val="24"/>
          <w:szCs w:val="24"/>
        </w:rPr>
        <w:t xml:space="preserve"> 5473/2007</w:t>
      </w:r>
    </w:p>
    <w:p w14:paraId="0F738C3B" w14:textId="262D949E" w:rsidR="00162D6D" w:rsidRPr="00E53860" w:rsidRDefault="00907A30" w:rsidP="00C578B0">
      <w:pPr>
        <w:pStyle w:val="Textpoznpodarou"/>
        <w:numPr>
          <w:ilvl w:val="0"/>
          <w:numId w:val="8"/>
        </w:numPr>
        <w:spacing w:line="360" w:lineRule="auto"/>
        <w:jc w:val="both"/>
        <w:rPr>
          <w:sz w:val="24"/>
          <w:szCs w:val="24"/>
        </w:rPr>
      </w:pPr>
      <w:r w:rsidRPr="00E53860">
        <w:rPr>
          <w:sz w:val="24"/>
          <w:szCs w:val="24"/>
        </w:rPr>
        <w:t xml:space="preserve">Rozsudek Městského soudu v Praze ze dne 2.3.2017, </w:t>
      </w:r>
      <w:proofErr w:type="spellStart"/>
      <w:r w:rsidRPr="00E53860">
        <w:rPr>
          <w:sz w:val="24"/>
          <w:szCs w:val="24"/>
        </w:rPr>
        <w:t>sp</w:t>
      </w:r>
      <w:proofErr w:type="spellEnd"/>
      <w:r w:rsidRPr="00E53860">
        <w:rPr>
          <w:sz w:val="24"/>
          <w:szCs w:val="24"/>
        </w:rPr>
        <w:t xml:space="preserve">. zn. </w:t>
      </w:r>
      <w:r w:rsidR="00162D6D" w:rsidRPr="00E53860">
        <w:rPr>
          <w:sz w:val="24"/>
          <w:szCs w:val="24"/>
        </w:rPr>
        <w:t xml:space="preserve">18 Co 87/2017 </w:t>
      </w:r>
    </w:p>
    <w:p w14:paraId="34280C22" w14:textId="38A3156A" w:rsidR="00162D6D" w:rsidRPr="00E53860" w:rsidRDefault="00907A30" w:rsidP="00C578B0">
      <w:pPr>
        <w:pStyle w:val="Odstavecseseznamem"/>
        <w:numPr>
          <w:ilvl w:val="0"/>
          <w:numId w:val="8"/>
        </w:numPr>
        <w:spacing w:line="360" w:lineRule="auto"/>
        <w:jc w:val="both"/>
      </w:pPr>
      <w:r w:rsidRPr="00E53860">
        <w:rPr>
          <w:shd w:val="clear" w:color="auto" w:fill="FFFFFF"/>
          <w:lang w:eastAsia="en-US"/>
        </w:rPr>
        <w:t xml:space="preserve">Rozsudek </w:t>
      </w:r>
      <w:r w:rsidR="00076144" w:rsidRPr="00E53860">
        <w:rPr>
          <w:shd w:val="clear" w:color="auto" w:fill="FFFFFF"/>
          <w:lang w:eastAsia="en-US"/>
        </w:rPr>
        <w:t>Krajského soudu v Brně</w:t>
      </w:r>
      <w:r w:rsidRPr="00E53860">
        <w:rPr>
          <w:shd w:val="clear" w:color="auto" w:fill="FFFFFF"/>
          <w:lang w:eastAsia="en-US"/>
        </w:rPr>
        <w:t xml:space="preserve"> ze dne</w:t>
      </w:r>
      <w:r w:rsidR="00076144" w:rsidRPr="00E53860">
        <w:rPr>
          <w:shd w:val="clear" w:color="auto" w:fill="FFFFFF"/>
          <w:lang w:eastAsia="en-US"/>
        </w:rPr>
        <w:t xml:space="preserve"> </w:t>
      </w:r>
      <w:r w:rsidRPr="00E53860">
        <w:rPr>
          <w:shd w:val="clear" w:color="auto" w:fill="FFFFFF"/>
          <w:lang w:eastAsia="en-US"/>
        </w:rPr>
        <w:t xml:space="preserve">15. 5. 2012, </w:t>
      </w:r>
      <w:proofErr w:type="spellStart"/>
      <w:r w:rsidR="00076144" w:rsidRPr="00E53860">
        <w:rPr>
          <w:shd w:val="clear" w:color="auto" w:fill="FFFFFF"/>
          <w:lang w:eastAsia="en-US"/>
        </w:rPr>
        <w:t>sp</w:t>
      </w:r>
      <w:proofErr w:type="spellEnd"/>
      <w:r w:rsidR="00076144" w:rsidRPr="00E53860">
        <w:rPr>
          <w:shd w:val="clear" w:color="auto" w:fill="FFFFFF"/>
          <w:lang w:eastAsia="en-US"/>
        </w:rPr>
        <w:t>. zn. 20 Co 365/2012-411</w:t>
      </w:r>
    </w:p>
    <w:p w14:paraId="17AD324D" w14:textId="77777777" w:rsidR="00385A77" w:rsidRPr="00DC73DC" w:rsidRDefault="00385A77" w:rsidP="00F76295">
      <w:pPr>
        <w:pStyle w:val="Textpoznpodarou"/>
        <w:spacing w:line="360" w:lineRule="auto"/>
        <w:ind w:firstLine="0"/>
        <w:jc w:val="both"/>
        <w:rPr>
          <w:shd w:val="clear" w:color="auto" w:fill="FDFDFD"/>
          <w:lang w:val="en-US" w:eastAsia="en-US"/>
        </w:rPr>
      </w:pPr>
    </w:p>
    <w:p w14:paraId="1C853F52" w14:textId="3D977600" w:rsidR="00722192" w:rsidRPr="00DC73DC" w:rsidRDefault="00E60731" w:rsidP="005D6BA9">
      <w:pPr>
        <w:pStyle w:val="Nadpis2"/>
        <w:numPr>
          <w:ilvl w:val="0"/>
          <w:numId w:val="0"/>
        </w:numPr>
        <w:spacing w:line="360" w:lineRule="auto"/>
        <w:ind w:left="576" w:hanging="576"/>
        <w:rPr>
          <w:rFonts w:cs="Times New Roman"/>
          <w:szCs w:val="28"/>
        </w:rPr>
      </w:pPr>
      <w:bookmarkStart w:id="70" w:name="_Toc364927643"/>
      <w:bookmarkStart w:id="71" w:name="_Toc491117239"/>
      <w:r w:rsidRPr="00DC73DC">
        <w:rPr>
          <w:rFonts w:cs="Times New Roman"/>
          <w:szCs w:val="28"/>
        </w:rPr>
        <w:t>Jiné zdroje</w:t>
      </w:r>
      <w:bookmarkEnd w:id="70"/>
      <w:bookmarkEnd w:id="71"/>
    </w:p>
    <w:p w14:paraId="7B37187C" w14:textId="6551ABCF" w:rsidR="00907A30" w:rsidRPr="00DC73DC" w:rsidRDefault="00E53860" w:rsidP="00C578B0">
      <w:pPr>
        <w:pStyle w:val="Odstavecseseznamem"/>
        <w:widowControl w:val="0"/>
        <w:numPr>
          <w:ilvl w:val="0"/>
          <w:numId w:val="9"/>
        </w:numPr>
        <w:autoSpaceDE w:val="0"/>
        <w:autoSpaceDN w:val="0"/>
        <w:adjustRightInd w:val="0"/>
        <w:spacing w:after="240" w:line="360" w:lineRule="auto"/>
        <w:jc w:val="both"/>
      </w:pPr>
      <w:r w:rsidRPr="00E53860">
        <w:rPr>
          <w:rFonts w:eastAsiaTheme="minorEastAsia"/>
          <w:bCs w:val="0"/>
          <w:lang w:eastAsia="en-US"/>
        </w:rPr>
        <w:t>Důvodová</w:t>
      </w:r>
      <w:r w:rsidR="00907A30" w:rsidRPr="00E53860">
        <w:rPr>
          <w:rFonts w:eastAsiaTheme="minorEastAsia"/>
          <w:bCs w:val="0"/>
          <w:lang w:eastAsia="en-US"/>
        </w:rPr>
        <w:t xml:space="preserve"> zpráva k Haagské </w:t>
      </w:r>
      <w:r w:rsidRPr="00E53860">
        <w:rPr>
          <w:rFonts w:eastAsiaTheme="minorEastAsia"/>
          <w:bCs w:val="0"/>
          <w:lang w:eastAsia="en-US"/>
        </w:rPr>
        <w:t>úmluvě</w:t>
      </w:r>
      <w:r w:rsidR="00907A30" w:rsidRPr="00E53860">
        <w:rPr>
          <w:rFonts w:eastAsiaTheme="minorEastAsia"/>
          <w:bCs w:val="0"/>
          <w:lang w:eastAsia="en-US"/>
        </w:rPr>
        <w:t xml:space="preserve">̌ o </w:t>
      </w:r>
      <w:r w:rsidRPr="00E53860">
        <w:rPr>
          <w:rFonts w:eastAsiaTheme="minorEastAsia"/>
          <w:bCs w:val="0"/>
          <w:lang w:eastAsia="en-US"/>
        </w:rPr>
        <w:t>občanskoprávních</w:t>
      </w:r>
      <w:r w:rsidR="00907A30" w:rsidRPr="00E53860">
        <w:rPr>
          <w:rFonts w:eastAsiaTheme="minorEastAsia"/>
          <w:bCs w:val="0"/>
          <w:lang w:eastAsia="en-US"/>
        </w:rPr>
        <w:t xml:space="preserve"> aspektech mezinárodních únosů </w:t>
      </w:r>
      <w:r w:rsidRPr="00E53860">
        <w:rPr>
          <w:rFonts w:eastAsiaTheme="minorEastAsia"/>
          <w:bCs w:val="0"/>
          <w:lang w:eastAsia="en-US"/>
        </w:rPr>
        <w:t>dětí</w:t>
      </w:r>
      <w:r w:rsidR="00907A30" w:rsidRPr="00E53860">
        <w:rPr>
          <w:rFonts w:eastAsiaTheme="minorEastAsia"/>
          <w:bCs w:val="0"/>
          <w:lang w:eastAsia="en-US"/>
        </w:rPr>
        <w:t xml:space="preserve"> zpracovaná v dubnu 1981 Elisou </w:t>
      </w:r>
      <w:proofErr w:type="spellStart"/>
      <w:r w:rsidR="00907A30" w:rsidRPr="00E53860">
        <w:rPr>
          <w:rFonts w:eastAsiaTheme="minorEastAsia"/>
          <w:bCs w:val="0"/>
          <w:lang w:eastAsia="en-US"/>
        </w:rPr>
        <w:t>Pérez</w:t>
      </w:r>
      <w:proofErr w:type="spellEnd"/>
      <w:r w:rsidR="00907A30" w:rsidRPr="00E53860">
        <w:rPr>
          <w:rFonts w:eastAsiaTheme="minorEastAsia"/>
          <w:bCs w:val="0"/>
          <w:lang w:eastAsia="en-US"/>
        </w:rPr>
        <w:t xml:space="preserve">-Vera, </w:t>
      </w:r>
      <w:r w:rsidRPr="00E53860">
        <w:rPr>
          <w:rFonts w:eastAsiaTheme="minorEastAsia"/>
          <w:bCs w:val="0"/>
          <w:lang w:eastAsia="en-US"/>
        </w:rPr>
        <w:t>zveřejněna</w:t>
      </w:r>
      <w:r w:rsidR="00907A30" w:rsidRPr="00E53860">
        <w:rPr>
          <w:rFonts w:eastAsiaTheme="minorEastAsia"/>
          <w:bCs w:val="0"/>
          <w:lang w:eastAsia="en-US"/>
        </w:rPr>
        <w:t xml:space="preserve"> v Aktech a dokumentech ze </w:t>
      </w:r>
      <w:r w:rsidRPr="00E53860">
        <w:rPr>
          <w:rFonts w:eastAsiaTheme="minorEastAsia"/>
          <w:bCs w:val="0"/>
          <w:lang w:eastAsia="en-US"/>
        </w:rPr>
        <w:t>čtrnáctého</w:t>
      </w:r>
      <w:r w:rsidR="00907A30" w:rsidRPr="00E53860">
        <w:rPr>
          <w:rFonts w:eastAsiaTheme="minorEastAsia"/>
          <w:bCs w:val="0"/>
          <w:lang w:eastAsia="en-US"/>
        </w:rPr>
        <w:t xml:space="preserve"> zasedání (1980), svazek </w:t>
      </w:r>
      <w:r w:rsidRPr="00E53860">
        <w:rPr>
          <w:rFonts w:eastAsiaTheme="minorEastAsia"/>
          <w:bCs w:val="0"/>
          <w:lang w:eastAsia="en-US"/>
        </w:rPr>
        <w:t>třetí</w:t>
      </w:r>
      <w:r w:rsidR="0029143F">
        <w:rPr>
          <w:rFonts w:eastAsiaTheme="minorEastAsia"/>
          <w:bCs w:val="0"/>
          <w:lang w:val="en-US" w:eastAsia="en-US"/>
        </w:rPr>
        <w:t xml:space="preserve"> </w:t>
      </w:r>
      <w:r w:rsidR="00907A30" w:rsidRPr="00DC73DC">
        <w:t>(</w:t>
      </w:r>
      <w:hyperlink r:id="rId24" w:history="1">
        <w:r w:rsidR="00907A30" w:rsidRPr="00DC73DC">
          <w:rPr>
            <w:rStyle w:val="Hypertextovodkaz"/>
            <w:color w:val="auto"/>
          </w:rPr>
          <w:t>https://www.hcch.net/en/publications-and-studies/details4/?pid=2779</w:t>
        </w:r>
      </w:hyperlink>
      <w:r w:rsidR="00907A30" w:rsidRPr="00DC73DC">
        <w:t xml:space="preserve">) </w:t>
      </w:r>
    </w:p>
    <w:p w14:paraId="0BB352A6" w14:textId="77777777" w:rsidR="00907A30" w:rsidRPr="00DC73DC" w:rsidRDefault="00907A30" w:rsidP="00C578B0">
      <w:pPr>
        <w:pStyle w:val="Odstavecseseznamem"/>
        <w:numPr>
          <w:ilvl w:val="0"/>
          <w:numId w:val="9"/>
        </w:numPr>
        <w:spacing w:line="360" w:lineRule="auto"/>
        <w:jc w:val="both"/>
      </w:pPr>
      <w:r w:rsidRPr="00DC73DC">
        <w:t>Internetové stránky Haagské konference mezinárodního práva soukromého (</w:t>
      </w:r>
      <w:hyperlink r:id="rId25" w:history="1">
        <w:r w:rsidRPr="00DC73DC">
          <w:rPr>
            <w:rStyle w:val="Hypertextovodkaz"/>
            <w:color w:val="auto"/>
          </w:rPr>
          <w:t>http://www.hcch.net</w:t>
        </w:r>
      </w:hyperlink>
      <w:r w:rsidRPr="00DC73DC">
        <w:t>)</w:t>
      </w:r>
    </w:p>
    <w:p w14:paraId="797658AF" w14:textId="77777777" w:rsidR="00907A30" w:rsidRPr="00DC73DC" w:rsidRDefault="00907A30" w:rsidP="00C578B0">
      <w:pPr>
        <w:pStyle w:val="Odstavecseseznamem"/>
        <w:numPr>
          <w:ilvl w:val="0"/>
          <w:numId w:val="9"/>
        </w:numPr>
        <w:spacing w:line="360" w:lineRule="auto"/>
        <w:jc w:val="both"/>
      </w:pPr>
      <w:r w:rsidRPr="00DC73DC">
        <w:t>Internetové stránky Úřadu pro mezinárodně právní ochranu dětí (</w:t>
      </w:r>
      <w:hyperlink r:id="rId26" w:history="1">
        <w:r w:rsidRPr="00DC73DC">
          <w:rPr>
            <w:rStyle w:val="Hypertextovodkaz"/>
            <w:color w:val="auto"/>
          </w:rPr>
          <w:t>http://www.umpod.cz</w:t>
        </w:r>
      </w:hyperlink>
      <w:r w:rsidRPr="00DC73DC">
        <w:t>)</w:t>
      </w:r>
    </w:p>
    <w:p w14:paraId="4C351C1F" w14:textId="77777777" w:rsidR="00907A30" w:rsidRPr="00DC73DC" w:rsidRDefault="00907A30" w:rsidP="00C578B0">
      <w:pPr>
        <w:pStyle w:val="Odstavecseseznamem"/>
        <w:numPr>
          <w:ilvl w:val="0"/>
          <w:numId w:val="9"/>
        </w:numPr>
        <w:spacing w:line="360" w:lineRule="auto"/>
        <w:jc w:val="both"/>
      </w:pPr>
      <w:r w:rsidRPr="00DC73DC">
        <w:t>Systém přístupu k právu Evropské unie (</w:t>
      </w:r>
      <w:hyperlink r:id="rId27" w:history="1">
        <w:r w:rsidRPr="00DC73DC">
          <w:rPr>
            <w:rStyle w:val="Hypertextovodkaz"/>
            <w:color w:val="auto"/>
          </w:rPr>
          <w:t>www.eur-lex.europa.eu</w:t>
        </w:r>
      </w:hyperlink>
      <w:r w:rsidRPr="00DC73DC">
        <w:t>)</w:t>
      </w:r>
    </w:p>
    <w:p w14:paraId="2C84B67E" w14:textId="77777777" w:rsidR="00907A30" w:rsidRPr="00DC73DC" w:rsidRDefault="00907A30" w:rsidP="00C578B0">
      <w:pPr>
        <w:pStyle w:val="Odstavecseseznamem"/>
        <w:numPr>
          <w:ilvl w:val="0"/>
          <w:numId w:val="9"/>
        </w:numPr>
        <w:spacing w:line="360" w:lineRule="auto"/>
        <w:jc w:val="both"/>
      </w:pPr>
      <w:r w:rsidRPr="00DC73DC">
        <w:t>Informační stránky Ministerstva spravedlnosti České republiky (</w:t>
      </w:r>
      <w:hyperlink r:id="rId28" w:history="1">
        <w:r w:rsidRPr="00DC73DC">
          <w:rPr>
            <w:rStyle w:val="Hypertextovodkaz"/>
            <w:color w:val="auto"/>
          </w:rPr>
          <w:t>http://portal.justice.cz</w:t>
        </w:r>
      </w:hyperlink>
      <w:r w:rsidRPr="00DC73DC">
        <w:t>)</w:t>
      </w:r>
    </w:p>
    <w:p w14:paraId="6085F5AB" w14:textId="6B17900F" w:rsidR="00907A30" w:rsidRPr="00DC73DC" w:rsidRDefault="00907A30" w:rsidP="00C578B0">
      <w:pPr>
        <w:pStyle w:val="Odstavecseseznamem"/>
        <w:numPr>
          <w:ilvl w:val="0"/>
          <w:numId w:val="9"/>
        </w:numPr>
        <w:spacing w:line="360" w:lineRule="auto"/>
        <w:jc w:val="both"/>
      </w:pPr>
      <w:r w:rsidRPr="00DC73DC">
        <w:t>Judikatura ve věcech mezinárodních únosů dětí</w:t>
      </w:r>
      <w:r w:rsidR="0029143F">
        <w:t xml:space="preserve"> </w:t>
      </w:r>
      <w:r w:rsidRPr="00DC73DC">
        <w:t>(</w:t>
      </w:r>
      <w:hyperlink r:id="rId29" w:history="1">
        <w:r w:rsidRPr="00DC73DC">
          <w:rPr>
            <w:rStyle w:val="Hypertextovodkaz"/>
            <w:color w:val="auto"/>
          </w:rPr>
          <w:t>www.incadat.com</w:t>
        </w:r>
      </w:hyperlink>
      <w:r w:rsidRPr="00DC73DC">
        <w:t xml:space="preserve">) </w:t>
      </w:r>
    </w:p>
    <w:p w14:paraId="0E2E8202" w14:textId="77777777" w:rsidR="00907A30" w:rsidRPr="00DC73DC" w:rsidRDefault="00907A30" w:rsidP="00C578B0">
      <w:pPr>
        <w:pStyle w:val="Odstavecseseznamem"/>
        <w:numPr>
          <w:ilvl w:val="0"/>
          <w:numId w:val="9"/>
        </w:numPr>
        <w:spacing w:line="360" w:lineRule="auto"/>
        <w:jc w:val="both"/>
      </w:pPr>
      <w:r w:rsidRPr="00DC73DC">
        <w:t xml:space="preserve">Internetové stránky Nejvyššího soudu ČR </w:t>
      </w:r>
      <w:hyperlink r:id="rId30" w:history="1">
        <w:r w:rsidRPr="00DC73DC">
          <w:rPr>
            <w:rStyle w:val="Hypertextovodkaz"/>
            <w:color w:val="auto"/>
          </w:rPr>
          <w:t>www.nsoud.cz</w:t>
        </w:r>
      </w:hyperlink>
    </w:p>
    <w:p w14:paraId="293E34E2" w14:textId="77777777" w:rsidR="00907A30" w:rsidRPr="00DC73DC" w:rsidRDefault="00907A30" w:rsidP="00C578B0">
      <w:pPr>
        <w:pStyle w:val="Odstavecseseznamem"/>
        <w:numPr>
          <w:ilvl w:val="0"/>
          <w:numId w:val="9"/>
        </w:numPr>
        <w:spacing w:line="360" w:lineRule="auto"/>
        <w:jc w:val="both"/>
      </w:pPr>
      <w:r w:rsidRPr="00DC73DC">
        <w:t xml:space="preserve">Internetové stránky Ústavního soudu ČR </w:t>
      </w:r>
      <w:hyperlink r:id="rId31" w:history="1">
        <w:r w:rsidRPr="00DC73DC">
          <w:rPr>
            <w:rStyle w:val="Hypertextovodkaz"/>
            <w:color w:val="auto"/>
          </w:rPr>
          <w:t>http://nalus.usoud.cz</w:t>
        </w:r>
      </w:hyperlink>
      <w:r w:rsidRPr="00DC73DC">
        <w:t xml:space="preserve"> </w:t>
      </w:r>
    </w:p>
    <w:p w14:paraId="3EDAE43D" w14:textId="7C7E9007" w:rsidR="00722192" w:rsidRPr="00DC73DC" w:rsidRDefault="00E60731" w:rsidP="00C578B0">
      <w:pPr>
        <w:pStyle w:val="Textpoznpodarou"/>
        <w:numPr>
          <w:ilvl w:val="0"/>
          <w:numId w:val="9"/>
        </w:numPr>
        <w:spacing w:line="360" w:lineRule="auto"/>
        <w:jc w:val="both"/>
        <w:rPr>
          <w:sz w:val="24"/>
          <w:szCs w:val="24"/>
        </w:rPr>
      </w:pPr>
      <w:r w:rsidRPr="00E53860">
        <w:rPr>
          <w:sz w:val="24"/>
          <w:szCs w:val="24"/>
          <w:lang w:val="en-GB"/>
        </w:rPr>
        <w:t>The Judges’ Newsletter on International Child Protection</w:t>
      </w:r>
      <w:r w:rsidR="00907A30" w:rsidRPr="00E53860">
        <w:rPr>
          <w:sz w:val="24"/>
          <w:szCs w:val="24"/>
          <w:lang w:val="en-GB"/>
        </w:rPr>
        <w:t>.</w:t>
      </w:r>
      <w:r w:rsidRPr="00E53860">
        <w:rPr>
          <w:sz w:val="24"/>
          <w:szCs w:val="24"/>
          <w:lang w:val="en-GB"/>
        </w:rPr>
        <w:t xml:space="preserve"> </w:t>
      </w:r>
      <w:proofErr w:type="spellStart"/>
      <w:r w:rsidR="00907A30" w:rsidRPr="00E53860">
        <w:rPr>
          <w:sz w:val="24"/>
          <w:szCs w:val="24"/>
          <w:lang w:val="en-GB"/>
        </w:rPr>
        <w:t>Hcch</w:t>
      </w:r>
      <w:proofErr w:type="spellEnd"/>
      <w:r w:rsidR="00907A30" w:rsidRPr="00DC73DC">
        <w:rPr>
          <w:sz w:val="24"/>
          <w:szCs w:val="24"/>
        </w:rPr>
        <w:t>.net [online]. [cit. 21. 8. 2017]. D</w:t>
      </w:r>
      <w:r w:rsidRPr="00DC73DC">
        <w:rPr>
          <w:sz w:val="24"/>
          <w:szCs w:val="24"/>
        </w:rPr>
        <w:t xml:space="preserve">ostupném on-line na </w:t>
      </w:r>
      <w:hyperlink r:id="rId32">
        <w:r w:rsidRPr="00DC73DC">
          <w:rPr>
            <w:sz w:val="24"/>
            <w:szCs w:val="24"/>
          </w:rPr>
          <w:t>http://www.hcch.net</w:t>
        </w:r>
      </w:hyperlink>
      <w:r w:rsidR="00907A30" w:rsidRPr="00DC73DC">
        <w:rPr>
          <w:sz w:val="24"/>
          <w:szCs w:val="24"/>
        </w:rPr>
        <w:t>.</w:t>
      </w:r>
    </w:p>
    <w:p w14:paraId="6E72BB85" w14:textId="7762D7D9" w:rsidR="00722192" w:rsidRPr="00DC73DC" w:rsidRDefault="00722192" w:rsidP="00C578B0">
      <w:pPr>
        <w:pStyle w:val="Textpoznpodarou"/>
        <w:numPr>
          <w:ilvl w:val="0"/>
          <w:numId w:val="9"/>
        </w:numPr>
        <w:spacing w:line="360" w:lineRule="auto"/>
        <w:jc w:val="both"/>
        <w:rPr>
          <w:sz w:val="24"/>
          <w:szCs w:val="24"/>
        </w:rPr>
      </w:pPr>
      <w:r w:rsidRPr="00DC73DC">
        <w:rPr>
          <w:sz w:val="24"/>
          <w:szCs w:val="24"/>
        </w:rPr>
        <w:t xml:space="preserve"> </w:t>
      </w:r>
      <w:r w:rsidR="00907A30" w:rsidRPr="00DC73DC">
        <w:rPr>
          <w:sz w:val="24"/>
          <w:szCs w:val="24"/>
        </w:rPr>
        <w:t>M</w:t>
      </w:r>
      <w:r w:rsidR="00385A77" w:rsidRPr="00DC73DC">
        <w:rPr>
          <w:sz w:val="24"/>
          <w:szCs w:val="24"/>
        </w:rPr>
        <w:t>ezinárodní konference ČAK, JA a ERA, „mezinárodní právo rodinné v</w:t>
      </w:r>
      <w:r w:rsidR="00A35AFB">
        <w:rPr>
          <w:sz w:val="24"/>
          <w:szCs w:val="24"/>
        </w:rPr>
        <w:t> </w:t>
      </w:r>
      <w:r w:rsidR="00385A77" w:rsidRPr="00DC73DC">
        <w:rPr>
          <w:sz w:val="24"/>
          <w:szCs w:val="24"/>
        </w:rPr>
        <w:t>praxi</w:t>
      </w:r>
      <w:r w:rsidR="00A35AFB">
        <w:rPr>
          <w:sz w:val="24"/>
          <w:szCs w:val="24"/>
        </w:rPr>
        <w:t>,</w:t>
      </w:r>
      <w:r w:rsidR="00385A77" w:rsidRPr="00DC73DC">
        <w:rPr>
          <w:sz w:val="24"/>
          <w:szCs w:val="24"/>
        </w:rPr>
        <w:t>“</w:t>
      </w:r>
      <w:r w:rsidR="00682153" w:rsidRPr="00DC73DC">
        <w:rPr>
          <w:sz w:val="24"/>
          <w:szCs w:val="24"/>
        </w:rPr>
        <w:t xml:space="preserve"> Praha, </w:t>
      </w:r>
      <w:r w:rsidR="00385A77" w:rsidRPr="00DC73DC">
        <w:rPr>
          <w:sz w:val="24"/>
          <w:szCs w:val="24"/>
        </w:rPr>
        <w:t>201</w:t>
      </w:r>
      <w:r w:rsidR="00682153" w:rsidRPr="00DC73DC">
        <w:rPr>
          <w:sz w:val="24"/>
          <w:szCs w:val="24"/>
        </w:rPr>
        <w:t xml:space="preserve">0 [cit. 21. 8. 2017]. Dostupné z: </w:t>
      </w:r>
      <w:hyperlink r:id="rId33" w:history="1">
        <w:r w:rsidR="00682153" w:rsidRPr="00E53860">
          <w:rPr>
            <w:rStyle w:val="Hypertextovodkaz"/>
            <w:color w:val="auto"/>
            <w:sz w:val="24"/>
            <w:szCs w:val="24"/>
          </w:rPr>
          <w:t>https://www.google.cz/url?sa=t&amp;rct=j&amp;q=&amp;esrc=s&amp;source=web&amp;cd=2&amp;ved=0ahUKEwjHyPqy8-bVAhUCDZoKHVt7D_UQFgguMAE&amp;url=http%3A%2F%2Fwww.cak.cz%2Fassets%2Ffiles%2F3183%2FP_eshrani_n___nosy_d_t_.doc&amp;usg=AFQjCNFQnxiBjU_4YjCodOG9cctlgpcFdw</w:t>
        </w:r>
      </w:hyperlink>
      <w:r w:rsidR="00682153" w:rsidRPr="00DC73DC">
        <w:rPr>
          <w:sz w:val="24"/>
          <w:szCs w:val="24"/>
        </w:rPr>
        <w:t xml:space="preserve"> </w:t>
      </w:r>
    </w:p>
    <w:p w14:paraId="6E73FE01" w14:textId="3E523440" w:rsidR="0032247F" w:rsidRPr="0032247F" w:rsidRDefault="00B30E66" w:rsidP="0032247F">
      <w:pPr>
        <w:pStyle w:val="Odstavecseseznamem"/>
        <w:numPr>
          <w:ilvl w:val="0"/>
          <w:numId w:val="9"/>
        </w:numPr>
        <w:spacing w:line="360" w:lineRule="auto"/>
        <w:jc w:val="both"/>
        <w:rPr>
          <w:rStyle w:val="Hypertextovodkaz"/>
          <w:color w:val="auto"/>
          <w:u w:val="none"/>
        </w:rPr>
      </w:pPr>
      <w:r>
        <w:lastRenderedPageBreak/>
        <w:t xml:space="preserve">VONDRÁČKOVÁ, Pavlína. </w:t>
      </w:r>
      <w:r>
        <w:rPr>
          <w:i/>
        </w:rPr>
        <w:t xml:space="preserve">Mezinárodní únosy dětí aneb pojem „obvyklé bydliště“ </w:t>
      </w:r>
      <w:r w:rsidRPr="00B30E66">
        <w:t>dítěte</w:t>
      </w:r>
      <w:r>
        <w:t xml:space="preserve">. </w:t>
      </w:r>
      <w:r w:rsidR="00E53860" w:rsidRPr="00B30E66">
        <w:t>Epravo</w:t>
      </w:r>
      <w:r w:rsidR="00E53860">
        <w:t>.c</w:t>
      </w:r>
      <w:r>
        <w:t>z</w:t>
      </w:r>
      <w:r w:rsidRPr="00B30E66">
        <w:t xml:space="preserve"> </w:t>
      </w:r>
      <w:r>
        <w:t>[online]. Praha,</w:t>
      </w:r>
      <w:r w:rsidR="00682153" w:rsidRPr="00DC73DC">
        <w:t xml:space="preserve"> 2014. [cit. 21. 8. 2017]. Dostupné z:</w:t>
      </w:r>
      <w:r w:rsidR="0029143F">
        <w:t xml:space="preserve"> </w:t>
      </w:r>
      <w:hyperlink r:id="rId34" w:history="1">
        <w:r w:rsidR="00682153" w:rsidRPr="00DC73DC">
          <w:rPr>
            <w:rStyle w:val="Hypertextovodkaz"/>
          </w:rPr>
          <w:t>https://www.epravo.cz/top/clanky/mezinarodni-unosy-deti-aneb-pojem-obvykle-bydliste-ditete-93203.html</w:t>
        </w:r>
      </w:hyperlink>
    </w:p>
    <w:p w14:paraId="4E312D75" w14:textId="1C1F63F2" w:rsidR="0032247F" w:rsidRPr="00DC4F49" w:rsidRDefault="00170C1F" w:rsidP="0032247F">
      <w:pPr>
        <w:pStyle w:val="Odstavecseseznamem"/>
        <w:numPr>
          <w:ilvl w:val="0"/>
          <w:numId w:val="9"/>
        </w:numPr>
        <w:spacing w:line="360" w:lineRule="auto"/>
        <w:jc w:val="both"/>
      </w:pPr>
      <w:r w:rsidRPr="00DC4F49">
        <w:t xml:space="preserve">VOJÁČKOVÁ, Adéla. </w:t>
      </w:r>
      <w:r w:rsidRPr="0032247F">
        <w:rPr>
          <w:i/>
        </w:rPr>
        <w:t>Rodičovská odpovědnost ve světle nejnovější judikatury Ústavního soudu</w:t>
      </w:r>
      <w:r w:rsidRPr="00DC4F49">
        <w:t xml:space="preserve">. Epravo.cz [online]. Praha, 2016 [cit. </w:t>
      </w:r>
      <w:r w:rsidR="0032247F">
        <w:t xml:space="preserve">21. 8. </w:t>
      </w:r>
      <w:r w:rsidRPr="00DC4F49">
        <w:t>2017]. Dostupné z: https://www.epravo.cz/top/clanky/rodicovska-odpovednost-ve-svetle-nejnovejsi-judikatury-ustavniho-soudu-100439.html</w:t>
      </w:r>
    </w:p>
    <w:p w14:paraId="1507075B" w14:textId="0B80758D" w:rsidR="00F76295" w:rsidRPr="00DC73DC" w:rsidRDefault="0032247F" w:rsidP="00C578B0">
      <w:pPr>
        <w:pStyle w:val="Odstavecseseznamem"/>
        <w:numPr>
          <w:ilvl w:val="0"/>
          <w:numId w:val="9"/>
        </w:numPr>
        <w:spacing w:line="360" w:lineRule="auto"/>
        <w:jc w:val="both"/>
      </w:pPr>
      <w:r>
        <w:t xml:space="preserve">ŠKVOROVÁ, Věra. </w:t>
      </w:r>
      <w:r w:rsidRPr="0032247F">
        <w:rPr>
          <w:i/>
        </w:rPr>
        <w:t>Pojem obvyklé bydliště dítěte</w:t>
      </w:r>
      <w:r>
        <w:t xml:space="preserve">. </w:t>
      </w:r>
      <w:r w:rsidR="00F76295" w:rsidRPr="00DC73DC">
        <w:t>Advokátní kancelář JUDr. Věra Škvorová, Ph.D.</w:t>
      </w:r>
      <w:r>
        <w:t xml:space="preserve"> [online]. Praha,</w:t>
      </w:r>
      <w:r w:rsidR="00F76295" w:rsidRPr="00DC73DC">
        <w:t xml:space="preserve"> 2015. [cit. 21. 8. 2017]. Dostupné z:</w:t>
      </w:r>
      <w:r w:rsidR="0029143F">
        <w:t xml:space="preserve"> </w:t>
      </w:r>
    </w:p>
    <w:p w14:paraId="6331D675" w14:textId="77777777" w:rsidR="00F76295" w:rsidRPr="00DC73DC" w:rsidRDefault="00693AD1" w:rsidP="00F76295">
      <w:pPr>
        <w:pStyle w:val="Odstavecseseznamem"/>
        <w:spacing w:line="360" w:lineRule="auto"/>
        <w:ind w:firstLine="0"/>
        <w:jc w:val="both"/>
      </w:pPr>
      <w:hyperlink r:id="rId35" w:history="1">
        <w:r w:rsidR="00F76295" w:rsidRPr="00DC73DC">
          <w:rPr>
            <w:rStyle w:val="Hypertextovodkaz"/>
          </w:rPr>
          <w:t>http://www.skvorova-ak.cz/cs/novinky/pojem-obvykle-bydliste-ditete</w:t>
        </w:r>
      </w:hyperlink>
    </w:p>
    <w:p w14:paraId="7750AA2F" w14:textId="06013AD0" w:rsidR="009E6348" w:rsidRPr="00DC73DC" w:rsidRDefault="00F2733A" w:rsidP="00C578B0">
      <w:pPr>
        <w:pStyle w:val="Odstavecseseznamem"/>
        <w:numPr>
          <w:ilvl w:val="0"/>
          <w:numId w:val="9"/>
        </w:numPr>
        <w:spacing w:line="360" w:lineRule="auto"/>
        <w:jc w:val="both"/>
      </w:pPr>
      <w:r>
        <w:rPr>
          <w:i/>
        </w:rPr>
        <w:t xml:space="preserve">ÚS: k Haagské úmluvě o mezinárodních únosech </w:t>
      </w:r>
      <w:r w:rsidRPr="00F2733A">
        <w:t>dětí</w:t>
      </w:r>
      <w:r>
        <w:t xml:space="preserve">. </w:t>
      </w:r>
      <w:r w:rsidR="00F76295" w:rsidRPr="00F2733A">
        <w:t>Bulletin</w:t>
      </w:r>
      <w:r w:rsidR="00F76295" w:rsidRPr="00DC73DC">
        <w:t xml:space="preserve"> advokacie.</w:t>
      </w:r>
      <w:r w:rsidRPr="00F2733A">
        <w:t xml:space="preserve"> </w:t>
      </w:r>
      <w:r>
        <w:t>[online]. Praha,</w:t>
      </w:r>
      <w:r w:rsidR="00F76295" w:rsidRPr="00DC73DC">
        <w:t xml:space="preserve"> 2017. [cit. 21. 8. 2017]. Dostupné z: </w:t>
      </w:r>
      <w:hyperlink r:id="rId36" w:history="1">
        <w:r w:rsidR="00F76295" w:rsidRPr="00DC73DC">
          <w:rPr>
            <w:rStyle w:val="Hypertextovodkaz"/>
          </w:rPr>
          <w:t>http://www.bulletin-advokacie.cz/us-k-aplikaci-cl.-13-pism.-b-haagske-umluvy-o-obcanskopravnich-aspektech-mezinarodnich-unosu-deti?browser=mobi</w:t>
        </w:r>
      </w:hyperlink>
    </w:p>
    <w:p w14:paraId="0BAA300D" w14:textId="44253C56" w:rsidR="00E53860" w:rsidRPr="00E53860" w:rsidRDefault="00566A7A" w:rsidP="00E53860">
      <w:pPr>
        <w:pStyle w:val="Odstavecseseznamem"/>
        <w:numPr>
          <w:ilvl w:val="0"/>
          <w:numId w:val="9"/>
        </w:numPr>
        <w:spacing w:line="360" w:lineRule="auto"/>
        <w:jc w:val="both"/>
      </w:pPr>
      <w:r>
        <w:t xml:space="preserve">NERADOVÁ, Věra. </w:t>
      </w:r>
      <w:r>
        <w:rPr>
          <w:i/>
        </w:rPr>
        <w:t xml:space="preserve">Mezinárodní únos nezletilého dítěte v rámci rozvodových </w:t>
      </w:r>
      <w:r w:rsidRPr="00566A7A">
        <w:t>sporů</w:t>
      </w:r>
      <w:r>
        <w:t xml:space="preserve">. </w:t>
      </w:r>
      <w:r w:rsidR="00E53860" w:rsidRPr="00566A7A">
        <w:t>Sancedetem</w:t>
      </w:r>
      <w:r w:rsidR="00E53860" w:rsidRPr="00DC73DC">
        <w:t>.cz Internetový portál.</w:t>
      </w:r>
      <w:r w:rsidRPr="00566A7A">
        <w:t xml:space="preserve"> </w:t>
      </w:r>
      <w:r>
        <w:t>[online]. Praha,</w:t>
      </w:r>
      <w:r w:rsidR="00E53860" w:rsidRPr="00DC73DC">
        <w:t xml:space="preserve"> 2010 [cit. 21. 8. 2017]. Dostupné z: </w:t>
      </w:r>
      <w:hyperlink r:id="rId37" w:history="1">
        <w:r w:rsidR="00E53860" w:rsidRPr="002E5A75">
          <w:rPr>
            <w:rStyle w:val="Hypertextovodkaz"/>
          </w:rPr>
          <w:t>http://www.sancedetem.cz/cs/hledam-pomoc/rodina-v-problemove-situaci/problemy-v-partnerskem-vztahu/mezinarodni-unos-nezletileho-ditete-v-ramci-rozvodovych-sporu.shtml</w:t>
        </w:r>
      </w:hyperlink>
    </w:p>
    <w:p w14:paraId="39549436" w14:textId="77777777" w:rsidR="00F76295" w:rsidRPr="00DC73DC" w:rsidRDefault="00F76295" w:rsidP="00F76295">
      <w:pPr>
        <w:pStyle w:val="Odstavecseseznamem"/>
        <w:spacing w:line="360" w:lineRule="auto"/>
        <w:ind w:firstLine="0"/>
        <w:jc w:val="both"/>
      </w:pPr>
    </w:p>
    <w:p w14:paraId="36C0B85D" w14:textId="77777777" w:rsidR="00076144" w:rsidRPr="00DC73DC" w:rsidRDefault="00076144" w:rsidP="00F76295">
      <w:pPr>
        <w:spacing w:line="360" w:lineRule="auto"/>
        <w:ind w:firstLine="0"/>
        <w:jc w:val="both"/>
        <w:rPr>
          <w:sz w:val="20"/>
          <w:szCs w:val="20"/>
          <w:lang w:val="en-US" w:eastAsia="en-US"/>
        </w:rPr>
      </w:pPr>
    </w:p>
    <w:p w14:paraId="256D2DA4" w14:textId="77777777" w:rsidR="00385A77" w:rsidRPr="00DC73DC" w:rsidRDefault="00385A77" w:rsidP="00F76295">
      <w:pPr>
        <w:pStyle w:val="Textpoznpodarou"/>
        <w:spacing w:line="360" w:lineRule="auto"/>
        <w:ind w:firstLine="0"/>
        <w:jc w:val="both"/>
        <w:rPr>
          <w:sz w:val="24"/>
          <w:szCs w:val="24"/>
        </w:rPr>
      </w:pPr>
    </w:p>
    <w:p w14:paraId="4257CA51" w14:textId="47DC4D73" w:rsidR="00D9505D" w:rsidRPr="00DC73DC" w:rsidRDefault="00D9505D" w:rsidP="00F76295">
      <w:pPr>
        <w:spacing w:line="360" w:lineRule="auto"/>
        <w:jc w:val="both"/>
      </w:pPr>
    </w:p>
    <w:p w14:paraId="127DEC24" w14:textId="77777777" w:rsidR="00293741" w:rsidRPr="00DC73DC" w:rsidRDefault="00293741" w:rsidP="00F76295">
      <w:pPr>
        <w:spacing w:line="360" w:lineRule="auto"/>
        <w:ind w:firstLine="0"/>
        <w:jc w:val="both"/>
      </w:pPr>
      <w:r w:rsidRPr="00DC73DC">
        <w:t xml:space="preserve"> </w:t>
      </w:r>
    </w:p>
    <w:sectPr w:rsidR="00293741" w:rsidRPr="00DC73DC" w:rsidSect="005613CD">
      <w:pgSz w:w="11900" w:h="16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6D2E7" w14:textId="77777777" w:rsidR="0046004F" w:rsidRDefault="0046004F" w:rsidP="003E0B4D">
      <w:r>
        <w:separator/>
      </w:r>
    </w:p>
  </w:endnote>
  <w:endnote w:type="continuationSeparator" w:id="0">
    <w:p w14:paraId="301317F8" w14:textId="77777777" w:rsidR="0046004F" w:rsidRDefault="0046004F" w:rsidP="003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ohit Hindi">
    <w:altName w:val="Yu Gothic"/>
    <w:charset w:val="80"/>
    <w:family w:val="auto"/>
    <w:pitch w:val="variable"/>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F973" w14:textId="77777777" w:rsidR="00693AD1" w:rsidRDefault="00693AD1" w:rsidP="00DC73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CA59EE" w14:textId="77777777" w:rsidR="00693AD1" w:rsidRDefault="00693A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975566"/>
      <w:docPartObj>
        <w:docPartGallery w:val="Page Numbers (Bottom of Page)"/>
        <w:docPartUnique/>
      </w:docPartObj>
    </w:sdtPr>
    <w:sdtEndPr>
      <w:rPr>
        <w:b/>
      </w:rPr>
    </w:sdtEndPr>
    <w:sdtContent>
      <w:p w14:paraId="399A22B4" w14:textId="5CF6B8D1" w:rsidR="00693AD1" w:rsidRPr="009B7B25" w:rsidRDefault="00693AD1" w:rsidP="00881E41">
        <w:pPr>
          <w:pStyle w:val="Zpat"/>
          <w:tabs>
            <w:tab w:val="clear" w:pos="4320"/>
            <w:tab w:val="clear" w:pos="8640"/>
          </w:tabs>
          <w:ind w:firstLine="0"/>
          <w:jc w:val="center"/>
          <w:rPr>
            <w:b/>
          </w:rPr>
        </w:pPr>
        <w:r w:rsidRPr="009B7B25">
          <w:rPr>
            <w:b/>
          </w:rPr>
          <w:fldChar w:fldCharType="begin"/>
        </w:r>
        <w:r w:rsidRPr="009B7B25">
          <w:rPr>
            <w:b/>
          </w:rPr>
          <w:instrText>PAGE   \* MERGEFORMAT</w:instrText>
        </w:r>
        <w:r w:rsidRPr="009B7B25">
          <w:rPr>
            <w:b/>
          </w:rPr>
          <w:fldChar w:fldCharType="separate"/>
        </w:r>
        <w:r w:rsidR="009E2AFA">
          <w:rPr>
            <w:b/>
            <w:noProof/>
          </w:rPr>
          <w:t>46</w:t>
        </w:r>
        <w:r w:rsidRPr="009B7B25">
          <w:rPr>
            <w:b/>
          </w:rPr>
          <w:fldChar w:fldCharType="end"/>
        </w:r>
      </w:p>
    </w:sdtContent>
  </w:sdt>
  <w:p w14:paraId="69374DAC" w14:textId="77777777" w:rsidR="00693AD1" w:rsidRDefault="00693A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502F" w14:textId="77777777" w:rsidR="0046004F" w:rsidRDefault="0046004F" w:rsidP="003E0B4D">
      <w:r>
        <w:separator/>
      </w:r>
    </w:p>
  </w:footnote>
  <w:footnote w:type="continuationSeparator" w:id="0">
    <w:p w14:paraId="52BA6FB0" w14:textId="77777777" w:rsidR="0046004F" w:rsidRDefault="0046004F" w:rsidP="003E0B4D">
      <w:r>
        <w:continuationSeparator/>
      </w:r>
    </w:p>
  </w:footnote>
  <w:footnote w:id="1">
    <w:p w14:paraId="207BDD5C" w14:textId="1EBF4244" w:rsidR="00693AD1" w:rsidRPr="002719F2" w:rsidRDefault="00693AD1" w:rsidP="00DC73DC">
      <w:pPr>
        <w:ind w:firstLine="0"/>
        <w:rPr>
          <w:sz w:val="20"/>
          <w:szCs w:val="20"/>
        </w:rPr>
      </w:pPr>
      <w:r w:rsidRPr="00F56F76">
        <w:rPr>
          <w:rStyle w:val="Znakapoznpodarou"/>
          <w:b/>
          <w:sz w:val="20"/>
          <w:szCs w:val="20"/>
        </w:rPr>
        <w:footnoteRef/>
      </w:r>
      <w:r w:rsidRPr="002719F2">
        <w:rPr>
          <w:sz w:val="20"/>
          <w:szCs w:val="20"/>
        </w:rPr>
        <w:t xml:space="preserve"> Nález ÚS ČR, </w:t>
      </w:r>
      <w:proofErr w:type="spellStart"/>
      <w:r w:rsidRPr="002719F2">
        <w:rPr>
          <w:sz w:val="20"/>
          <w:szCs w:val="20"/>
        </w:rPr>
        <w:t>sp</w:t>
      </w:r>
      <w:proofErr w:type="spellEnd"/>
      <w:r w:rsidRPr="002719F2">
        <w:rPr>
          <w:sz w:val="20"/>
          <w:szCs w:val="20"/>
        </w:rPr>
        <w:t>. zn. II. ÚS 1080/17</w:t>
      </w:r>
    </w:p>
  </w:footnote>
  <w:footnote w:id="2">
    <w:p w14:paraId="4AE7D508" w14:textId="77777777" w:rsidR="00693AD1" w:rsidRPr="002719F2" w:rsidRDefault="00693AD1" w:rsidP="007511BF">
      <w:pPr>
        <w:pStyle w:val="Textpoznpodarou"/>
        <w:ind w:firstLine="0"/>
      </w:pPr>
      <w:r w:rsidRPr="00F56F76">
        <w:rPr>
          <w:rStyle w:val="Znakapoznpodarou"/>
          <w:b/>
        </w:rPr>
        <w:footnoteRef/>
      </w:r>
      <w:r w:rsidRPr="002719F2">
        <w:t xml:space="preserve"> Úmluva haagská čl. 3</w:t>
      </w:r>
    </w:p>
  </w:footnote>
  <w:footnote w:id="3">
    <w:p w14:paraId="3AE4801A" w14:textId="62351C56" w:rsidR="00693AD1" w:rsidRPr="00F56F76" w:rsidRDefault="00693AD1" w:rsidP="00F56F76">
      <w:pPr>
        <w:ind w:firstLine="0"/>
        <w:jc w:val="both"/>
        <w:rPr>
          <w:sz w:val="20"/>
          <w:szCs w:val="20"/>
        </w:rPr>
      </w:pPr>
      <w:r w:rsidRPr="00F56F76">
        <w:rPr>
          <w:rStyle w:val="Znakapoznpodarou"/>
          <w:b/>
          <w:sz w:val="20"/>
          <w:szCs w:val="20"/>
        </w:rPr>
        <w:footnoteRef/>
      </w:r>
      <w:r>
        <w:rPr>
          <w:sz w:val="20"/>
          <w:szCs w:val="20"/>
          <w:lang w:eastAsia="en-US"/>
        </w:rPr>
        <w:t xml:space="preserve"> </w:t>
      </w:r>
      <w:r w:rsidRPr="002719F2">
        <w:rPr>
          <w:sz w:val="20"/>
          <w:szCs w:val="20"/>
          <w:lang w:eastAsia="en-US"/>
        </w:rPr>
        <w:t xml:space="preserve">Zákon o zvláštních řízeních soudních: komentář. Vydání 2015, </w:t>
      </w:r>
      <w:r w:rsidR="00F02D80">
        <w:rPr>
          <w:sz w:val="20"/>
          <w:szCs w:val="20"/>
        </w:rPr>
        <w:t>s. 961-</w:t>
      </w:r>
      <w:r w:rsidRPr="002719F2">
        <w:rPr>
          <w:sz w:val="20"/>
          <w:szCs w:val="20"/>
        </w:rPr>
        <w:t>964</w:t>
      </w:r>
    </w:p>
  </w:footnote>
  <w:footnote w:id="4">
    <w:p w14:paraId="6B134A5F" w14:textId="7C0BF397" w:rsidR="00693AD1" w:rsidRPr="002719F2" w:rsidRDefault="00693AD1" w:rsidP="007511BF">
      <w:pPr>
        <w:pStyle w:val="Textpoznpodarou"/>
        <w:ind w:firstLine="0"/>
        <w:jc w:val="both"/>
      </w:pPr>
      <w:r w:rsidRPr="00F56F76">
        <w:rPr>
          <w:rStyle w:val="Znakapoznpodarou"/>
          <w:b/>
        </w:rPr>
        <w:footnoteRef/>
      </w:r>
      <w:r w:rsidRPr="002719F2">
        <w:t xml:space="preserve"> Stanovisko Generálního Advokáta ze dne 16. května 2017</w:t>
      </w:r>
    </w:p>
  </w:footnote>
  <w:footnote w:id="5">
    <w:p w14:paraId="5E19120D" w14:textId="274AF567" w:rsidR="00693AD1" w:rsidRPr="002719F2" w:rsidRDefault="00693AD1" w:rsidP="007235EC">
      <w:pPr>
        <w:pStyle w:val="Textpoznpodarou"/>
        <w:ind w:firstLine="0"/>
      </w:pPr>
      <w:r w:rsidRPr="00F56F76">
        <w:rPr>
          <w:rStyle w:val="Znakapoznpodarou"/>
          <w:b/>
        </w:rPr>
        <w:footnoteRef/>
      </w:r>
      <w:r w:rsidRPr="002719F2">
        <w:t xml:space="preserve"> Mezinárodní konference ČAK, JA a ERA, „mezinárodní právo rodinné v praxi,“ Praha, 2010</w:t>
      </w:r>
    </w:p>
  </w:footnote>
  <w:footnote w:id="6">
    <w:p w14:paraId="02D65A2A" w14:textId="1AEC4B86" w:rsidR="00693AD1" w:rsidRPr="002719F2" w:rsidRDefault="00693AD1" w:rsidP="00D52651">
      <w:pPr>
        <w:pStyle w:val="Textpoznpodarou"/>
        <w:ind w:left="142" w:hanging="142"/>
      </w:pPr>
      <w:r w:rsidRPr="00F56F76">
        <w:rPr>
          <w:rStyle w:val="Znakapoznpodarou"/>
          <w:b/>
        </w:rPr>
        <w:footnoteRef/>
      </w:r>
      <w:r w:rsidR="00D52651">
        <w:t xml:space="preserve"> </w:t>
      </w:r>
      <w:r w:rsidR="00D52651">
        <w:t xml:space="preserve">VONDRÁČKOVÁ, Pavlína. </w:t>
      </w:r>
      <w:r w:rsidR="00D52651">
        <w:rPr>
          <w:i/>
        </w:rPr>
        <w:t xml:space="preserve">Mezinárodní únosy dětí aneb pojem „obvyklé bydliště“ </w:t>
      </w:r>
      <w:r w:rsidR="00D52651" w:rsidRPr="00B30E66">
        <w:t>dítěte</w:t>
      </w:r>
      <w:r w:rsidR="00D52651">
        <w:t xml:space="preserve">. </w:t>
      </w:r>
      <w:r w:rsidR="00D52651" w:rsidRPr="00B30E66">
        <w:t>Epravo</w:t>
      </w:r>
      <w:r w:rsidR="00D52651">
        <w:t>.cz</w:t>
      </w:r>
      <w:r w:rsidR="00D52651" w:rsidRPr="00B30E66">
        <w:t xml:space="preserve"> </w:t>
      </w:r>
      <w:r w:rsidR="00D52651">
        <w:t>[online]. Praha,</w:t>
      </w:r>
      <w:r w:rsidR="00D52651" w:rsidRPr="00DC73DC">
        <w:t xml:space="preserve"> 2014. [cit. 21. 8. 2017].</w:t>
      </w:r>
    </w:p>
  </w:footnote>
  <w:footnote w:id="7">
    <w:p w14:paraId="744D9DC6" w14:textId="30072044" w:rsidR="00693AD1" w:rsidRPr="002719F2" w:rsidRDefault="00693AD1" w:rsidP="007511BF">
      <w:pPr>
        <w:pStyle w:val="Textpoznpodarou"/>
        <w:ind w:firstLine="0"/>
        <w:rPr>
          <w:lang w:val="en-GB"/>
        </w:rPr>
      </w:pPr>
      <w:r w:rsidRPr="00F56F76">
        <w:rPr>
          <w:rStyle w:val="Znakapoznpodarou"/>
          <w:b/>
        </w:rPr>
        <w:footnoteRef/>
      </w:r>
      <w:r w:rsidRPr="002719F2">
        <w:t xml:space="preserve"> </w:t>
      </w:r>
      <w:r w:rsidRPr="002719F2">
        <w:rPr>
          <w:lang w:val="en-GB"/>
        </w:rPr>
        <w:t>The Judges’ Newsletter on International Child Protection. Hcch.net</w:t>
      </w:r>
    </w:p>
  </w:footnote>
  <w:footnote w:id="8">
    <w:p w14:paraId="60AAAEB0" w14:textId="1F638EF1" w:rsidR="00693AD1" w:rsidRPr="002719F2" w:rsidRDefault="00693AD1" w:rsidP="007511BF">
      <w:pPr>
        <w:pStyle w:val="Textpoznpodarou"/>
        <w:ind w:firstLine="0"/>
        <w:jc w:val="both"/>
      </w:pPr>
      <w:r w:rsidRPr="00F56F76">
        <w:rPr>
          <w:rStyle w:val="Znakapoznpodarou"/>
          <w:b/>
        </w:rPr>
        <w:footnoteRef/>
      </w:r>
      <w:r w:rsidRPr="002719F2">
        <w:t xml:space="preserve"> Zdroje Úřad pro mezinárodněprávní ochranu dětí</w:t>
      </w:r>
    </w:p>
  </w:footnote>
  <w:footnote w:id="9">
    <w:p w14:paraId="0EFC8D27" w14:textId="1A43EE52" w:rsidR="00693AD1" w:rsidRPr="002719F2" w:rsidRDefault="00693AD1" w:rsidP="007235EC">
      <w:pPr>
        <w:pStyle w:val="Textpoznpodarou"/>
        <w:ind w:firstLine="0"/>
      </w:pPr>
      <w:r w:rsidRPr="00F56F76">
        <w:rPr>
          <w:rStyle w:val="Znakapoznpodarou"/>
          <w:b/>
        </w:rPr>
        <w:footnoteRef/>
      </w:r>
      <w:r w:rsidRPr="002719F2">
        <w:t xml:space="preserve"> </w:t>
      </w:r>
      <w:r>
        <w:t xml:space="preserve"> </w:t>
      </w:r>
      <w:r w:rsidRPr="002719F2">
        <w:rPr>
          <w:lang w:eastAsia="en-US"/>
        </w:rPr>
        <w:t xml:space="preserve">Zákon o zvláštních řízeních soudních: komentář. Vydání 2015, </w:t>
      </w:r>
      <w:r w:rsidR="00CB7095">
        <w:t>s. 961</w:t>
      </w:r>
      <w:r w:rsidRPr="002719F2">
        <w:t>-964</w:t>
      </w:r>
    </w:p>
  </w:footnote>
  <w:footnote w:id="10">
    <w:p w14:paraId="09BFC446" w14:textId="55489BAA" w:rsidR="00693AD1" w:rsidRPr="002719F2" w:rsidRDefault="00693AD1" w:rsidP="007511BF">
      <w:pPr>
        <w:pStyle w:val="Textpoznpodarou"/>
        <w:ind w:firstLine="0"/>
      </w:pPr>
      <w:r w:rsidRPr="00F56F76">
        <w:rPr>
          <w:rStyle w:val="Znakapoznpodarou"/>
          <w:b/>
        </w:rPr>
        <w:footnoteRef/>
      </w:r>
      <w:r w:rsidRPr="002719F2">
        <w:t xml:space="preserve"> Stanovisko Generálního Advokáta ze dne 16. května 2017</w:t>
      </w:r>
    </w:p>
  </w:footnote>
  <w:footnote w:id="11">
    <w:p w14:paraId="1CD96043" w14:textId="548243AD" w:rsidR="00693AD1" w:rsidRPr="002719F2" w:rsidRDefault="00693AD1" w:rsidP="007511BF">
      <w:pPr>
        <w:pStyle w:val="Textpoznpodarou"/>
        <w:ind w:firstLine="0"/>
      </w:pPr>
      <w:r w:rsidRPr="00F56F76">
        <w:rPr>
          <w:rStyle w:val="Znakapoznpodarou"/>
          <w:b/>
        </w:rPr>
        <w:footnoteRef/>
      </w:r>
      <w:r w:rsidR="006D5F52">
        <w:t xml:space="preserve"> T</w:t>
      </w:r>
      <w:r>
        <w:t>am</w:t>
      </w:r>
      <w:r w:rsidRPr="002719F2">
        <w:t>též</w:t>
      </w:r>
    </w:p>
  </w:footnote>
  <w:footnote w:id="12">
    <w:p w14:paraId="5A4EB1F8" w14:textId="620504DC" w:rsidR="00693AD1" w:rsidRPr="002719F2" w:rsidRDefault="00693AD1" w:rsidP="007511BF">
      <w:pPr>
        <w:pStyle w:val="Textpoznpodarou"/>
        <w:ind w:firstLine="0"/>
      </w:pPr>
      <w:r w:rsidRPr="00F56F76">
        <w:rPr>
          <w:rStyle w:val="Znakapoznpodarou"/>
          <w:b/>
        </w:rPr>
        <w:footnoteRef/>
      </w:r>
      <w:r>
        <w:t xml:space="preserve"> </w:t>
      </w:r>
      <w:r w:rsidRPr="002719F2">
        <w:t xml:space="preserve">Nařízení Brusel </w:t>
      </w:r>
      <w:proofErr w:type="spellStart"/>
      <w:r w:rsidRPr="002719F2">
        <w:t>IIa</w:t>
      </w:r>
      <w:proofErr w:type="spellEnd"/>
      <w:r w:rsidRPr="002719F2">
        <w:t>., čl. 2</w:t>
      </w:r>
    </w:p>
  </w:footnote>
  <w:footnote w:id="13">
    <w:p w14:paraId="180E69D0" w14:textId="4E562099" w:rsidR="00693AD1" w:rsidRPr="002719F2" w:rsidRDefault="00693AD1" w:rsidP="007511BF">
      <w:pPr>
        <w:pStyle w:val="Textpoznpodarou"/>
        <w:ind w:firstLine="0"/>
      </w:pPr>
      <w:r w:rsidRPr="00F56F76">
        <w:rPr>
          <w:rStyle w:val="Znakapoznpodarou"/>
          <w:b/>
        </w:rPr>
        <w:footnoteRef/>
      </w:r>
      <w:r>
        <w:t xml:space="preserve"> </w:t>
      </w:r>
      <w:r w:rsidR="000A027F">
        <w:t>Tam</w:t>
      </w:r>
      <w:r w:rsidRPr="002719F2">
        <w:t xml:space="preserve">též </w:t>
      </w:r>
    </w:p>
  </w:footnote>
  <w:footnote w:id="14">
    <w:p w14:paraId="7BFE078E" w14:textId="570900E2" w:rsidR="00693AD1" w:rsidRPr="002719F2" w:rsidRDefault="00693AD1" w:rsidP="007511BF">
      <w:pPr>
        <w:pStyle w:val="Textpoznpodarou"/>
        <w:ind w:firstLine="0"/>
      </w:pPr>
      <w:r w:rsidRPr="00F56F76">
        <w:rPr>
          <w:rStyle w:val="Znakapoznpodarou"/>
          <w:b/>
        </w:rPr>
        <w:footnoteRef/>
      </w:r>
      <w:r>
        <w:t xml:space="preserve"> </w:t>
      </w:r>
      <w:r w:rsidRPr="002719F2">
        <w:t>Stanovisko Generálního Advokáta ze dne 16. května 2017</w:t>
      </w:r>
    </w:p>
  </w:footnote>
  <w:footnote w:id="15">
    <w:p w14:paraId="5B74DF3A" w14:textId="1BFD08D1" w:rsidR="00693AD1" w:rsidRPr="002719F2" w:rsidRDefault="00693AD1" w:rsidP="005955C3">
      <w:pPr>
        <w:pStyle w:val="Textpoznpodarou"/>
        <w:ind w:firstLine="0"/>
      </w:pPr>
      <w:r w:rsidRPr="00F56F76">
        <w:rPr>
          <w:rStyle w:val="Znakapoznpodarou"/>
          <w:b/>
        </w:rPr>
        <w:footnoteRef/>
      </w:r>
      <w:r w:rsidRPr="002719F2">
        <w:t xml:space="preserve"> Nařízení Brusel </w:t>
      </w:r>
      <w:proofErr w:type="spellStart"/>
      <w:r w:rsidRPr="002719F2">
        <w:t>IIa</w:t>
      </w:r>
      <w:proofErr w:type="spellEnd"/>
      <w:r w:rsidRPr="002719F2">
        <w:t xml:space="preserve">, čl. 23 </w:t>
      </w:r>
    </w:p>
  </w:footnote>
  <w:footnote w:id="16">
    <w:p w14:paraId="2DA48BAA" w14:textId="3FED7A60" w:rsidR="00693AD1" w:rsidRPr="002719F2" w:rsidRDefault="00693AD1" w:rsidP="005955C3">
      <w:pPr>
        <w:pStyle w:val="Textpoznpodarou"/>
        <w:ind w:firstLine="0"/>
      </w:pPr>
      <w:r w:rsidRPr="00F56F76">
        <w:rPr>
          <w:rStyle w:val="Znakapoznpodarou"/>
          <w:b/>
        </w:rPr>
        <w:footnoteRef/>
      </w:r>
      <w:r w:rsidRPr="002719F2">
        <w:t xml:space="preserve"> Nález ÚS ČR, </w:t>
      </w:r>
      <w:proofErr w:type="spellStart"/>
      <w:r w:rsidR="0084298D">
        <w:t>sp</w:t>
      </w:r>
      <w:proofErr w:type="spellEnd"/>
      <w:r w:rsidR="0084298D">
        <w:t xml:space="preserve">. zn. </w:t>
      </w:r>
      <w:r w:rsidRPr="002719F2">
        <w:t>II.ÚS 3742/14</w:t>
      </w:r>
    </w:p>
  </w:footnote>
  <w:footnote w:id="17">
    <w:p w14:paraId="1C8EB933" w14:textId="405FBEF0" w:rsidR="00693AD1" w:rsidRPr="002719F2" w:rsidRDefault="00693AD1" w:rsidP="005955C3">
      <w:pPr>
        <w:pStyle w:val="Textpoznpodarou"/>
        <w:ind w:firstLine="0"/>
      </w:pPr>
      <w:r w:rsidRPr="00F56F76">
        <w:rPr>
          <w:rStyle w:val="Znakapoznpodarou"/>
          <w:b/>
        </w:rPr>
        <w:footnoteRef/>
      </w:r>
      <w:r w:rsidRPr="002719F2">
        <w:t xml:space="preserve"> Zákon č. 292/2013 Sb., o zvláštních řízeních soudních, § 479 </w:t>
      </w:r>
    </w:p>
  </w:footnote>
  <w:footnote w:id="18">
    <w:p w14:paraId="2A639519" w14:textId="00A005C1" w:rsidR="00693AD1" w:rsidRPr="002719F2" w:rsidRDefault="00693AD1" w:rsidP="005955C3">
      <w:pPr>
        <w:pStyle w:val="Textpoznpodarou"/>
        <w:ind w:firstLine="0"/>
      </w:pPr>
      <w:r w:rsidRPr="00F56F76">
        <w:rPr>
          <w:rStyle w:val="Znakapoznpodarou"/>
          <w:b/>
        </w:rPr>
        <w:footnoteRef/>
      </w:r>
      <w:r w:rsidRPr="002719F2">
        <w:t xml:space="preserve"> </w:t>
      </w:r>
      <w:r w:rsidRPr="002719F2">
        <w:rPr>
          <w:lang w:eastAsia="en-US"/>
        </w:rPr>
        <w:t xml:space="preserve">Zákon o zvláštních řízeních soudních: komentář. Vydání 2015, </w:t>
      </w:r>
      <w:r w:rsidR="00813BEA">
        <w:t>s. 961</w:t>
      </w:r>
      <w:r w:rsidRPr="002719F2">
        <w:t>-964</w:t>
      </w:r>
    </w:p>
  </w:footnote>
  <w:footnote w:id="19">
    <w:p w14:paraId="495BA311" w14:textId="7A038A1C" w:rsidR="00693AD1" w:rsidRPr="002719F2" w:rsidRDefault="00693AD1" w:rsidP="005955C3">
      <w:pPr>
        <w:pStyle w:val="Textpoznpodarou"/>
        <w:ind w:firstLine="0"/>
      </w:pPr>
      <w:r w:rsidRPr="00F56F76">
        <w:rPr>
          <w:rStyle w:val="Znakapoznpodarou"/>
          <w:b/>
        </w:rPr>
        <w:footnoteRef/>
      </w:r>
      <w:r w:rsidRPr="002719F2">
        <w:t xml:space="preserve"> Haagská úmluva, čl. 6</w:t>
      </w:r>
    </w:p>
  </w:footnote>
  <w:footnote w:id="20">
    <w:p w14:paraId="5B8BABD9" w14:textId="0B07C6FC" w:rsidR="00693AD1" w:rsidRPr="002719F2" w:rsidRDefault="00693AD1" w:rsidP="005955C3">
      <w:pPr>
        <w:pStyle w:val="Textpoznpodarou"/>
        <w:ind w:firstLine="0"/>
      </w:pPr>
      <w:r w:rsidRPr="00F56F76">
        <w:rPr>
          <w:rStyle w:val="Znakapoznpodarou"/>
          <w:b/>
        </w:rPr>
        <w:footnoteRef/>
      </w:r>
      <w:r w:rsidRPr="002719F2">
        <w:t xml:space="preserve"> </w:t>
      </w:r>
      <w:r w:rsidRPr="002719F2">
        <w:rPr>
          <w:lang w:eastAsia="en-US"/>
        </w:rPr>
        <w:t>Zákon o zvláštních řízeních soudních: komentář</w:t>
      </w:r>
      <w:r w:rsidRPr="002719F2">
        <w:t>. Vydání 2015, s. 961-964</w:t>
      </w:r>
    </w:p>
  </w:footnote>
  <w:footnote w:id="21">
    <w:p w14:paraId="184C9A85" w14:textId="66E622ED" w:rsidR="00693AD1" w:rsidRPr="002719F2" w:rsidRDefault="00693AD1" w:rsidP="00B25B04">
      <w:pPr>
        <w:pStyle w:val="Textpoznpodarou"/>
        <w:ind w:firstLine="0"/>
      </w:pPr>
      <w:r w:rsidRPr="00F56F76">
        <w:rPr>
          <w:rStyle w:val="Znakapoznpodarou"/>
          <w:b/>
        </w:rPr>
        <w:footnoteRef/>
      </w:r>
      <w:r w:rsidRPr="002719F2">
        <w:t xml:space="preserve"> </w:t>
      </w:r>
      <w:r>
        <w:rPr>
          <w:lang w:eastAsia="en-US"/>
        </w:rPr>
        <w:t>Tamtéž</w:t>
      </w:r>
    </w:p>
  </w:footnote>
  <w:footnote w:id="22">
    <w:p w14:paraId="4DD0AF5E" w14:textId="74AFF814" w:rsidR="00693AD1" w:rsidRPr="002719F2" w:rsidRDefault="00693AD1" w:rsidP="00C25CB9">
      <w:pPr>
        <w:pStyle w:val="Textpoznpodarou"/>
        <w:ind w:firstLine="0"/>
      </w:pPr>
      <w:r w:rsidRPr="009D01C7">
        <w:rPr>
          <w:rStyle w:val="Znakapoznpodarou"/>
          <w:b/>
        </w:rPr>
        <w:footnoteRef/>
      </w:r>
      <w:r w:rsidRPr="002719F2">
        <w:t xml:space="preserve"> </w:t>
      </w:r>
      <w:r w:rsidRPr="002719F2">
        <w:rPr>
          <w:lang w:eastAsia="en-US"/>
        </w:rPr>
        <w:t xml:space="preserve">Zákon o zvláštních řízeních soudních: komentář. Vydání 2015, </w:t>
      </w:r>
      <w:r w:rsidRPr="002719F2">
        <w:t>s. 965-966</w:t>
      </w:r>
    </w:p>
  </w:footnote>
  <w:footnote w:id="23">
    <w:p w14:paraId="59E474D3" w14:textId="7883058B" w:rsidR="00693AD1" w:rsidRPr="002719F2" w:rsidRDefault="00693AD1" w:rsidP="00C25CB9">
      <w:pPr>
        <w:pStyle w:val="Textpoznpodarou"/>
        <w:ind w:firstLine="0"/>
      </w:pPr>
      <w:r w:rsidRPr="009D01C7">
        <w:rPr>
          <w:rStyle w:val="Znakapoznpodarou"/>
          <w:b/>
        </w:rPr>
        <w:footnoteRef/>
      </w:r>
      <w:r w:rsidRPr="002719F2">
        <w:t xml:space="preserve"> </w:t>
      </w:r>
      <w:r w:rsidRPr="002719F2">
        <w:rPr>
          <w:lang w:eastAsia="en-US"/>
        </w:rPr>
        <w:t xml:space="preserve">Zákon o zvláštních řízeních soudních: komentář. Vydání 2015, </w:t>
      </w:r>
      <w:r w:rsidR="000F3BCC">
        <w:t>s. 961</w:t>
      </w:r>
      <w:r w:rsidRPr="002719F2">
        <w:t>-964</w:t>
      </w:r>
    </w:p>
  </w:footnote>
  <w:footnote w:id="24">
    <w:p w14:paraId="2C62AE07" w14:textId="7F05F385" w:rsidR="00693AD1" w:rsidRPr="002719F2" w:rsidRDefault="00693AD1" w:rsidP="00C25CB9">
      <w:pPr>
        <w:pStyle w:val="Textpoznpodarou"/>
        <w:ind w:firstLine="0"/>
      </w:pPr>
      <w:r w:rsidRPr="009D01C7">
        <w:rPr>
          <w:rStyle w:val="Znakapoznpodarou"/>
          <w:b/>
        </w:rPr>
        <w:footnoteRef/>
      </w:r>
      <w:r w:rsidRPr="002719F2">
        <w:t xml:space="preserve"> Haagská Úmluva, čl. 8</w:t>
      </w:r>
    </w:p>
  </w:footnote>
  <w:footnote w:id="25">
    <w:p w14:paraId="60BB012E" w14:textId="0574AD3D" w:rsidR="00693AD1" w:rsidRPr="002719F2" w:rsidRDefault="00693AD1" w:rsidP="00C25CB9">
      <w:pPr>
        <w:pStyle w:val="Textpoznpodarou"/>
        <w:ind w:firstLine="0"/>
      </w:pPr>
      <w:r w:rsidRPr="009D01C7">
        <w:rPr>
          <w:rStyle w:val="Znakapoznpodarou"/>
          <w:b/>
        </w:rPr>
        <w:footnoteRef/>
      </w:r>
      <w:r w:rsidRPr="002719F2">
        <w:t xml:space="preserve"> Zákon č. 99/1963 Sb., občanský soudní řád, § 18 odst. 1</w:t>
      </w:r>
    </w:p>
  </w:footnote>
  <w:footnote w:id="26">
    <w:p w14:paraId="01293C39" w14:textId="2971CB18" w:rsidR="00693AD1" w:rsidRPr="002719F2" w:rsidRDefault="00693AD1" w:rsidP="00C25CB9">
      <w:pPr>
        <w:pStyle w:val="Textpoznpodarou"/>
        <w:ind w:firstLine="0"/>
      </w:pPr>
      <w:r w:rsidRPr="00874016">
        <w:rPr>
          <w:rStyle w:val="Znakapoznpodarou"/>
          <w:b/>
        </w:rPr>
        <w:footnoteRef/>
      </w:r>
      <w:r w:rsidRPr="002719F2">
        <w:t xml:space="preserve"> </w:t>
      </w:r>
      <w:r w:rsidR="000A027F">
        <w:rPr>
          <w:color w:val="444444"/>
        </w:rPr>
        <w:t>Tam</w:t>
      </w:r>
      <w:r w:rsidRPr="002719F2">
        <w:rPr>
          <w:color w:val="444444"/>
        </w:rPr>
        <w:t>též</w:t>
      </w:r>
    </w:p>
  </w:footnote>
  <w:footnote w:id="27">
    <w:p w14:paraId="25F80983" w14:textId="77777777" w:rsidR="00693AD1" w:rsidRPr="002719F2" w:rsidRDefault="00693AD1" w:rsidP="00C25CB9">
      <w:pPr>
        <w:pStyle w:val="Textpoznpodarou"/>
        <w:ind w:firstLine="0"/>
      </w:pPr>
      <w:r w:rsidRPr="00874016">
        <w:rPr>
          <w:rStyle w:val="Znakapoznpodarou"/>
          <w:b/>
        </w:rPr>
        <w:footnoteRef/>
      </w:r>
      <w:r w:rsidRPr="002719F2">
        <w:t xml:space="preserve"> čl. 24 Úmluvy</w:t>
      </w:r>
    </w:p>
  </w:footnote>
  <w:footnote w:id="28">
    <w:p w14:paraId="37919FE9" w14:textId="7E210512" w:rsidR="00693AD1" w:rsidRPr="002719F2" w:rsidRDefault="00693AD1" w:rsidP="00C25CB9">
      <w:pPr>
        <w:pStyle w:val="Textpoznpodarou"/>
        <w:ind w:firstLine="0"/>
      </w:pPr>
      <w:r w:rsidRPr="00874016">
        <w:rPr>
          <w:rStyle w:val="Znakapoznpodarou"/>
          <w:b/>
        </w:rPr>
        <w:footnoteRef/>
      </w:r>
      <w:r w:rsidRPr="002719F2">
        <w:t xml:space="preserve"> Zákon č. 549/1991 Sb., o soudních poplatcích, § 11 odst. 1 písm. a)</w:t>
      </w:r>
    </w:p>
  </w:footnote>
  <w:footnote w:id="29">
    <w:p w14:paraId="68B09142" w14:textId="65A565A9" w:rsidR="00693AD1" w:rsidRPr="002719F2" w:rsidRDefault="00693AD1" w:rsidP="00C25CB9">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965-966</w:t>
      </w:r>
    </w:p>
  </w:footnote>
  <w:footnote w:id="30">
    <w:p w14:paraId="0BCD707D" w14:textId="01C17BD8" w:rsidR="00693AD1" w:rsidRPr="002719F2" w:rsidRDefault="00693AD1" w:rsidP="00932E5E">
      <w:pPr>
        <w:pStyle w:val="Textpoznpodarou"/>
        <w:ind w:firstLine="0"/>
      </w:pPr>
      <w:r w:rsidRPr="00874016">
        <w:rPr>
          <w:rStyle w:val="Znakapoznpodarou"/>
          <w:b/>
        </w:rPr>
        <w:footnoteRef/>
      </w:r>
      <w:r w:rsidRPr="002719F2">
        <w:t xml:space="preserve"> Zákon č. 292/2013 Sb., o zvláštních řízeních soudních, § 6</w:t>
      </w:r>
    </w:p>
  </w:footnote>
  <w:footnote w:id="31">
    <w:p w14:paraId="6361227B" w14:textId="085D545B" w:rsidR="00693AD1" w:rsidRPr="002719F2" w:rsidRDefault="00693AD1" w:rsidP="00932E5E">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0028785B">
        <w:t>s. 967-</w:t>
      </w:r>
      <w:r w:rsidRPr="002719F2">
        <w:t>968</w:t>
      </w:r>
    </w:p>
  </w:footnote>
  <w:footnote w:id="32">
    <w:p w14:paraId="2074B5EE" w14:textId="0B795DB4" w:rsidR="00693AD1" w:rsidRPr="002719F2" w:rsidRDefault="00693AD1" w:rsidP="007511BF">
      <w:pPr>
        <w:pStyle w:val="Textpoznpodarou"/>
        <w:ind w:firstLine="0"/>
        <w:jc w:val="both"/>
      </w:pPr>
      <w:r w:rsidRPr="00874016">
        <w:rPr>
          <w:rStyle w:val="Znakapoznpodarou"/>
          <w:b/>
        </w:rPr>
        <w:footnoteRef/>
      </w:r>
      <w:r w:rsidRPr="002719F2">
        <w:t xml:space="preserve"> Zákon č. 292/2013 Sb., o zvláštních řízeních soudních,</w:t>
      </w:r>
      <w:r>
        <w:t xml:space="preserve"> </w:t>
      </w:r>
      <w:r w:rsidRPr="002719F2">
        <w:t xml:space="preserve">§ 481 </w:t>
      </w:r>
    </w:p>
  </w:footnote>
  <w:footnote w:id="33">
    <w:p w14:paraId="38743EDB" w14:textId="4FF8751C" w:rsidR="00693AD1" w:rsidRPr="002719F2" w:rsidRDefault="00693AD1" w:rsidP="00932E5E">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965-966</w:t>
      </w:r>
    </w:p>
  </w:footnote>
  <w:footnote w:id="34">
    <w:p w14:paraId="5E9C37C4" w14:textId="7A82B4E7" w:rsidR="00693AD1" w:rsidRPr="002719F2" w:rsidRDefault="00693AD1" w:rsidP="00932E5E">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967-968</w:t>
      </w:r>
    </w:p>
  </w:footnote>
  <w:footnote w:id="35">
    <w:p w14:paraId="2A143CBC" w14:textId="6A33D4D1" w:rsidR="00693AD1" w:rsidRPr="002719F2" w:rsidRDefault="00693AD1" w:rsidP="00932E5E">
      <w:pPr>
        <w:pStyle w:val="Textpoznpodarou"/>
        <w:ind w:firstLine="0"/>
      </w:pPr>
      <w:r w:rsidRPr="00874016">
        <w:rPr>
          <w:rStyle w:val="Znakapoznpodarou"/>
          <w:b/>
        </w:rPr>
        <w:footnoteRef/>
      </w:r>
      <w:r w:rsidRPr="002719F2">
        <w:t xml:space="preserve"> Zdroje Úřad pro mezinárodněprávní ochranu dětí v Brně</w:t>
      </w:r>
    </w:p>
  </w:footnote>
  <w:footnote w:id="36">
    <w:p w14:paraId="656ACCAA" w14:textId="35686883" w:rsidR="00693AD1" w:rsidRPr="002719F2" w:rsidRDefault="00693AD1" w:rsidP="00932E5E">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w:t>
      </w:r>
      <w:r w:rsidR="00AA429B">
        <w:t>7-</w:t>
      </w:r>
      <w:r w:rsidRPr="002719F2">
        <w:t>968</w:t>
      </w:r>
    </w:p>
  </w:footnote>
  <w:footnote w:id="37">
    <w:p w14:paraId="192432F6" w14:textId="5A9FDF75" w:rsidR="00693AD1" w:rsidRPr="002719F2" w:rsidRDefault="00693AD1" w:rsidP="00874016">
      <w:pPr>
        <w:pStyle w:val="Textpoznpodarou"/>
        <w:ind w:left="142" w:hanging="142"/>
      </w:pPr>
      <w:r w:rsidRPr="00874016">
        <w:rPr>
          <w:rStyle w:val="Znakapoznpodarou"/>
          <w:b/>
        </w:rPr>
        <w:footnoteRef/>
      </w:r>
      <w:r w:rsidRPr="002719F2">
        <w:t xml:space="preserve"> NOVOTNÁ, Věra. Jak správně aplikovat Úmluvu o občanskoprávních aspektech mezinárodních únosů dětí? Právo a rodina. 2007, č. 9, s. 3.</w:t>
      </w:r>
    </w:p>
  </w:footnote>
  <w:footnote w:id="38">
    <w:p w14:paraId="4D3A83D4" w14:textId="7C2C4CBB" w:rsidR="00693AD1" w:rsidRPr="002719F2" w:rsidRDefault="00693AD1" w:rsidP="00932E5E">
      <w:pPr>
        <w:pStyle w:val="Textpoznpodarou"/>
        <w:ind w:firstLine="0"/>
      </w:pPr>
      <w:r w:rsidRPr="00874016">
        <w:rPr>
          <w:rStyle w:val="Znakapoznpodarou"/>
          <w:b/>
        </w:rPr>
        <w:footnoteRef/>
      </w:r>
      <w:r w:rsidRPr="002719F2">
        <w:t xml:space="preserve"> Zákon č. 359/1999 Sb., o sociálně-právní ochraně dětí, § 3 </w:t>
      </w:r>
    </w:p>
  </w:footnote>
  <w:footnote w:id="39">
    <w:p w14:paraId="58E02F56" w14:textId="5B83D4FD" w:rsidR="00693AD1" w:rsidRPr="002719F2" w:rsidRDefault="00693AD1" w:rsidP="00932E5E">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969</w:t>
      </w:r>
    </w:p>
  </w:footnote>
  <w:footnote w:id="40">
    <w:p w14:paraId="2B84CF7C" w14:textId="75BD7DE6" w:rsidR="00693AD1" w:rsidRPr="002719F2" w:rsidRDefault="00693AD1" w:rsidP="008774BA">
      <w:pPr>
        <w:pStyle w:val="Textpoznpodarou"/>
        <w:ind w:firstLine="0"/>
      </w:pPr>
      <w:r w:rsidRPr="00874016">
        <w:rPr>
          <w:rStyle w:val="Znakapoznpodarou"/>
          <w:b/>
        </w:rPr>
        <w:footnoteRef/>
      </w:r>
      <w:r w:rsidRPr="002719F2">
        <w:t xml:space="preserve"> Zákon č. 292/2013 Sb., o zvláštních řízeních soudních,</w:t>
      </w:r>
      <w:r>
        <w:t xml:space="preserve"> </w:t>
      </w:r>
      <w:r w:rsidRPr="002719F2">
        <w:t>§ 483, § 484</w:t>
      </w:r>
    </w:p>
  </w:footnote>
  <w:footnote w:id="41">
    <w:p w14:paraId="21188856" w14:textId="34D950CE" w:rsidR="00693AD1" w:rsidRPr="002719F2" w:rsidRDefault="00693AD1" w:rsidP="008774BA">
      <w:pPr>
        <w:pStyle w:val="Textpoznpodarou"/>
        <w:ind w:firstLine="0"/>
      </w:pPr>
      <w:r w:rsidRPr="00874016">
        <w:rPr>
          <w:rStyle w:val="Znakapoznpodarou"/>
          <w:b/>
        </w:rPr>
        <w:footnoteRef/>
      </w:r>
      <w:r w:rsidRPr="002719F2">
        <w:t xml:space="preserve"> Zákon č. 292/2013 Sb., o zvláštních řízeních soudních, § 485</w:t>
      </w:r>
    </w:p>
  </w:footnote>
  <w:footnote w:id="42">
    <w:p w14:paraId="45331F3D" w14:textId="0561F0F9" w:rsidR="00693AD1" w:rsidRPr="002719F2" w:rsidRDefault="00693AD1" w:rsidP="008774BA">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969</w:t>
      </w:r>
    </w:p>
  </w:footnote>
  <w:footnote w:id="43">
    <w:p w14:paraId="55423263" w14:textId="4692BCD9" w:rsidR="00693AD1" w:rsidRPr="002719F2" w:rsidRDefault="00693AD1" w:rsidP="008774BA">
      <w:pPr>
        <w:pStyle w:val="Textpoznpodarou"/>
        <w:ind w:firstLine="0"/>
      </w:pPr>
      <w:r w:rsidRPr="00874016">
        <w:rPr>
          <w:rStyle w:val="Znakapoznpodarou"/>
          <w:b/>
        </w:rPr>
        <w:footnoteRef/>
      </w:r>
      <w:r w:rsidRPr="002719F2">
        <w:t xml:space="preserve"> Rozsudek Soudního dvora (třetího senátu) ze dne 11. </w:t>
      </w:r>
      <w:r>
        <w:t>č</w:t>
      </w:r>
      <w:r w:rsidRPr="002719F2">
        <w:t>ervence 2008</w:t>
      </w:r>
    </w:p>
  </w:footnote>
  <w:footnote w:id="44">
    <w:p w14:paraId="6793E7E3" w14:textId="5F892726" w:rsidR="00693AD1" w:rsidRPr="002719F2" w:rsidRDefault="00693AD1" w:rsidP="008774BA">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969</w:t>
      </w:r>
    </w:p>
  </w:footnote>
  <w:footnote w:id="45">
    <w:p w14:paraId="3033ED32" w14:textId="075A952E" w:rsidR="00693AD1" w:rsidRPr="002719F2" w:rsidRDefault="00693AD1" w:rsidP="008774BA">
      <w:pPr>
        <w:pStyle w:val="Textpoznpodarou"/>
        <w:ind w:firstLine="0"/>
      </w:pPr>
      <w:r w:rsidRPr="00874016">
        <w:rPr>
          <w:rStyle w:val="Znakapoznpodarou"/>
          <w:b/>
        </w:rPr>
        <w:footnoteRef/>
      </w:r>
      <w:r w:rsidRPr="002719F2">
        <w:t xml:space="preserve"> Zákon č. 292/2013 Sb., o zvláštních řízeních soudních,</w:t>
      </w:r>
      <w:r>
        <w:t xml:space="preserve"> </w:t>
      </w:r>
      <w:r w:rsidRPr="002719F2">
        <w:t>§ 487</w:t>
      </w:r>
    </w:p>
  </w:footnote>
  <w:footnote w:id="46">
    <w:p w14:paraId="531F690F" w14:textId="6A523D41" w:rsidR="00693AD1" w:rsidRPr="002719F2" w:rsidRDefault="00693AD1" w:rsidP="008774BA">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 973-975</w:t>
      </w:r>
    </w:p>
  </w:footnote>
  <w:footnote w:id="47">
    <w:p w14:paraId="770E52BE" w14:textId="5D44B5B0" w:rsidR="00693AD1" w:rsidRPr="002719F2" w:rsidRDefault="00693AD1" w:rsidP="008774BA">
      <w:pPr>
        <w:pStyle w:val="Textpoznpodarou"/>
        <w:ind w:firstLine="0"/>
      </w:pPr>
      <w:r w:rsidRPr="00874016">
        <w:rPr>
          <w:rStyle w:val="Znakapoznpodarou"/>
          <w:b/>
        </w:rPr>
        <w:footnoteRef/>
      </w:r>
      <w:r w:rsidR="006D5F52">
        <w:t xml:space="preserve"> T</w:t>
      </w:r>
      <w:r>
        <w:t>am</w:t>
      </w:r>
      <w:r w:rsidRPr="002719F2">
        <w:t>též</w:t>
      </w:r>
    </w:p>
  </w:footnote>
  <w:footnote w:id="48">
    <w:p w14:paraId="7B892B3F" w14:textId="34B32929" w:rsidR="00693AD1" w:rsidRPr="002719F2" w:rsidRDefault="00693AD1" w:rsidP="008774BA">
      <w:pPr>
        <w:pStyle w:val="Textpoznpodarou"/>
        <w:ind w:firstLine="0"/>
      </w:pPr>
      <w:r w:rsidRPr="00874016">
        <w:rPr>
          <w:rStyle w:val="Znakapoznpodarou"/>
          <w:b/>
        </w:rPr>
        <w:footnoteRef/>
      </w:r>
      <w:r w:rsidRPr="002719F2">
        <w:t xml:space="preserve"> Nařízení Rady (ES) č. </w:t>
      </w:r>
      <w:r w:rsidRPr="002719F2">
        <w:rPr>
          <w:color w:val="000000"/>
          <w:shd w:val="clear" w:color="auto" w:fill="FFFFFF"/>
        </w:rPr>
        <w:t>č. 1206/2001</w:t>
      </w:r>
    </w:p>
  </w:footnote>
  <w:footnote w:id="49">
    <w:p w14:paraId="584D0333" w14:textId="295704EF" w:rsidR="00693AD1" w:rsidRPr="002719F2" w:rsidRDefault="00693AD1" w:rsidP="008774BA">
      <w:pPr>
        <w:pStyle w:val="Textpoznpodarou"/>
        <w:ind w:firstLine="0"/>
      </w:pPr>
      <w:r w:rsidRPr="00874016">
        <w:rPr>
          <w:rStyle w:val="Znakapoznpodarou"/>
          <w:b/>
        </w:rPr>
        <w:footnoteRef/>
      </w:r>
      <w:r w:rsidRPr="002719F2">
        <w:t xml:space="preserve"> Zákon č. 99/1963 Sb., občanský soudní řád, § 152 a násl.</w:t>
      </w:r>
    </w:p>
  </w:footnote>
  <w:footnote w:id="50">
    <w:p w14:paraId="1D80AA59" w14:textId="7DC45563" w:rsidR="00693AD1" w:rsidRPr="002719F2" w:rsidRDefault="00693AD1" w:rsidP="008774BA">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 xml:space="preserve">s 973-975 </w:t>
      </w:r>
    </w:p>
  </w:footnote>
  <w:footnote w:id="51">
    <w:p w14:paraId="02F70F2C" w14:textId="74BEEA80" w:rsidR="008411CE" w:rsidRPr="002719F2" w:rsidRDefault="00693AD1" w:rsidP="008411CE">
      <w:pPr>
        <w:pStyle w:val="Textpoznpodarou"/>
        <w:ind w:left="284" w:hanging="284"/>
        <w:jc w:val="both"/>
      </w:pPr>
      <w:r w:rsidRPr="00874016">
        <w:rPr>
          <w:rStyle w:val="Znakapoznpodarou"/>
          <w:b/>
        </w:rPr>
        <w:footnoteRef/>
      </w:r>
      <w:r>
        <w:t xml:space="preserve"> </w:t>
      </w:r>
      <w:r w:rsidR="008411CE">
        <w:t xml:space="preserve">NERADOVÁ, Věra. </w:t>
      </w:r>
      <w:r w:rsidR="008411CE">
        <w:rPr>
          <w:i/>
        </w:rPr>
        <w:t xml:space="preserve">Mezinárodní únos nezletilého dítěte v rámci rozvodových </w:t>
      </w:r>
      <w:r w:rsidR="008411CE" w:rsidRPr="00566A7A">
        <w:t>sporů</w:t>
      </w:r>
      <w:r w:rsidR="008411CE">
        <w:t xml:space="preserve">. </w:t>
      </w:r>
      <w:r w:rsidR="008411CE" w:rsidRPr="00566A7A">
        <w:t>Sancedetem</w:t>
      </w:r>
      <w:r w:rsidR="008411CE" w:rsidRPr="00DC73DC">
        <w:t>.cz Internetový portál.</w:t>
      </w:r>
      <w:r w:rsidR="008411CE" w:rsidRPr="00566A7A">
        <w:t xml:space="preserve"> </w:t>
      </w:r>
      <w:r w:rsidR="008411CE">
        <w:t>[online]. Praha,</w:t>
      </w:r>
      <w:r w:rsidR="008411CE" w:rsidRPr="00DC73DC">
        <w:t xml:space="preserve"> 2010 [cit. 21. 8. 2017].</w:t>
      </w:r>
    </w:p>
  </w:footnote>
  <w:footnote w:id="52">
    <w:p w14:paraId="7E534F48" w14:textId="0F998384" w:rsidR="00693AD1" w:rsidRPr="00A04228" w:rsidRDefault="00693AD1" w:rsidP="00A04228">
      <w:pPr>
        <w:ind w:firstLine="0"/>
        <w:rPr>
          <w:sz w:val="20"/>
          <w:szCs w:val="20"/>
        </w:rPr>
      </w:pPr>
      <w:r w:rsidRPr="00874016">
        <w:rPr>
          <w:rStyle w:val="Znakapoznpodarou"/>
          <w:b/>
          <w:sz w:val="20"/>
          <w:szCs w:val="20"/>
        </w:rPr>
        <w:footnoteRef/>
      </w:r>
      <w:r>
        <w:rPr>
          <w:sz w:val="20"/>
          <w:szCs w:val="20"/>
        </w:rPr>
        <w:t xml:space="preserve"> </w:t>
      </w:r>
      <w:r w:rsidRPr="002719F2">
        <w:rPr>
          <w:sz w:val="20"/>
          <w:szCs w:val="20"/>
        </w:rPr>
        <w:t xml:space="preserve">Nález ÚS ČR, </w:t>
      </w:r>
      <w:proofErr w:type="spellStart"/>
      <w:r w:rsidR="009779BC">
        <w:rPr>
          <w:sz w:val="20"/>
          <w:szCs w:val="20"/>
        </w:rPr>
        <w:t>sp</w:t>
      </w:r>
      <w:proofErr w:type="spellEnd"/>
      <w:r w:rsidR="009779BC">
        <w:rPr>
          <w:sz w:val="20"/>
          <w:szCs w:val="20"/>
        </w:rPr>
        <w:t xml:space="preserve">. zn. </w:t>
      </w:r>
      <w:r w:rsidRPr="002719F2">
        <w:rPr>
          <w:sz w:val="20"/>
          <w:szCs w:val="20"/>
        </w:rPr>
        <w:t>II. ÚS 1080/17</w:t>
      </w:r>
    </w:p>
  </w:footnote>
  <w:footnote w:id="53">
    <w:p w14:paraId="1D1ADCB9" w14:textId="3446B3A7" w:rsidR="00693AD1" w:rsidRPr="002719F2" w:rsidRDefault="00693AD1" w:rsidP="008774BA">
      <w:pPr>
        <w:ind w:firstLine="0"/>
        <w:rPr>
          <w:sz w:val="20"/>
          <w:szCs w:val="20"/>
        </w:rPr>
      </w:pPr>
      <w:r w:rsidRPr="00874016">
        <w:rPr>
          <w:rStyle w:val="Znakapoznpodarou"/>
          <w:b/>
          <w:sz w:val="20"/>
          <w:szCs w:val="20"/>
        </w:rPr>
        <w:footnoteRef/>
      </w:r>
      <w:r w:rsidR="006D5F52">
        <w:rPr>
          <w:rFonts w:eastAsiaTheme="majorEastAsia"/>
          <w:sz w:val="20"/>
          <w:szCs w:val="20"/>
        </w:rPr>
        <w:t xml:space="preserve"> T</w:t>
      </w:r>
      <w:r>
        <w:rPr>
          <w:rFonts w:eastAsiaTheme="majorEastAsia"/>
          <w:sz w:val="20"/>
          <w:szCs w:val="20"/>
        </w:rPr>
        <w:t>am</w:t>
      </w:r>
      <w:r w:rsidRPr="002719F2">
        <w:rPr>
          <w:rFonts w:eastAsiaTheme="majorEastAsia"/>
          <w:sz w:val="20"/>
          <w:szCs w:val="20"/>
        </w:rPr>
        <w:t>též</w:t>
      </w:r>
    </w:p>
  </w:footnote>
  <w:footnote w:id="54">
    <w:p w14:paraId="2A9279E1" w14:textId="5A96B595" w:rsidR="00693AD1" w:rsidRPr="002719F2" w:rsidRDefault="00693AD1" w:rsidP="007511BF">
      <w:pPr>
        <w:ind w:firstLine="0"/>
        <w:rPr>
          <w:sz w:val="20"/>
          <w:szCs w:val="20"/>
          <w:lang w:val="en-US" w:eastAsia="en-US"/>
        </w:rPr>
      </w:pPr>
      <w:r w:rsidRPr="0067576D">
        <w:rPr>
          <w:rStyle w:val="Znakapoznpodarou"/>
          <w:b/>
          <w:sz w:val="20"/>
          <w:szCs w:val="20"/>
        </w:rPr>
        <w:footnoteRef/>
      </w:r>
      <w:r w:rsidRPr="002719F2">
        <w:rPr>
          <w:sz w:val="20"/>
          <w:szCs w:val="20"/>
        </w:rPr>
        <w:t xml:space="preserve"> Nález ÚS ČR, </w:t>
      </w:r>
      <w:proofErr w:type="spellStart"/>
      <w:r w:rsidR="00BE3DD1">
        <w:rPr>
          <w:sz w:val="20"/>
          <w:szCs w:val="20"/>
        </w:rPr>
        <w:t>sp</w:t>
      </w:r>
      <w:proofErr w:type="spellEnd"/>
      <w:r w:rsidR="00BE3DD1">
        <w:rPr>
          <w:sz w:val="20"/>
          <w:szCs w:val="20"/>
        </w:rPr>
        <w:t xml:space="preserve">. zn. </w:t>
      </w:r>
      <w:r w:rsidRPr="002719F2">
        <w:rPr>
          <w:color w:val="000000"/>
          <w:sz w:val="20"/>
          <w:szCs w:val="20"/>
          <w:lang w:val="en-US" w:eastAsia="en-US"/>
        </w:rPr>
        <w:t>II.</w:t>
      </w:r>
      <w:r w:rsidR="0084298D">
        <w:rPr>
          <w:color w:val="000000"/>
          <w:sz w:val="20"/>
          <w:szCs w:val="20"/>
          <w:lang w:val="en-US" w:eastAsia="en-US"/>
        </w:rPr>
        <w:t xml:space="preserve"> </w:t>
      </w:r>
      <w:r w:rsidRPr="002719F2">
        <w:rPr>
          <w:color w:val="000000"/>
          <w:sz w:val="20"/>
          <w:szCs w:val="20"/>
          <w:lang w:val="en-US" w:eastAsia="en-US"/>
        </w:rPr>
        <w:t xml:space="preserve">ÚS 3742/14 </w:t>
      </w:r>
    </w:p>
  </w:footnote>
  <w:footnote w:id="55">
    <w:p w14:paraId="379F9ED7" w14:textId="1F0898AD" w:rsidR="00693AD1" w:rsidRPr="002719F2" w:rsidRDefault="00693AD1" w:rsidP="008774BA">
      <w:pPr>
        <w:ind w:firstLine="0"/>
        <w:rPr>
          <w:sz w:val="20"/>
          <w:szCs w:val="20"/>
        </w:rPr>
      </w:pPr>
      <w:r w:rsidRPr="00874016">
        <w:rPr>
          <w:rStyle w:val="Znakapoznpodarou"/>
          <w:b/>
          <w:sz w:val="20"/>
          <w:szCs w:val="20"/>
        </w:rPr>
        <w:footnoteRef/>
      </w:r>
      <w:r w:rsidRPr="002719F2">
        <w:rPr>
          <w:sz w:val="20"/>
          <w:szCs w:val="20"/>
        </w:rPr>
        <w:t xml:space="preserve"> Nález ÚS ČR, </w:t>
      </w:r>
      <w:proofErr w:type="spellStart"/>
      <w:r w:rsidR="00BE3DD1">
        <w:rPr>
          <w:sz w:val="20"/>
          <w:szCs w:val="20"/>
        </w:rPr>
        <w:t>sp</w:t>
      </w:r>
      <w:proofErr w:type="spellEnd"/>
      <w:r w:rsidR="00BE3DD1">
        <w:rPr>
          <w:sz w:val="20"/>
          <w:szCs w:val="20"/>
        </w:rPr>
        <w:t xml:space="preserve">. zn. </w:t>
      </w:r>
      <w:r w:rsidRPr="002719F2">
        <w:rPr>
          <w:sz w:val="20"/>
          <w:szCs w:val="20"/>
        </w:rPr>
        <w:t>II. ÚS 1080/17</w:t>
      </w:r>
    </w:p>
  </w:footnote>
  <w:footnote w:id="56">
    <w:p w14:paraId="019D78D9" w14:textId="7D4DEC91" w:rsidR="00693AD1" w:rsidRPr="002719F2" w:rsidRDefault="00693AD1" w:rsidP="008774BA">
      <w:pPr>
        <w:pStyle w:val="Textpoznpodarou"/>
        <w:ind w:firstLine="0"/>
      </w:pPr>
      <w:r w:rsidRPr="00874016">
        <w:rPr>
          <w:rStyle w:val="Znakapoznpodarou"/>
          <w:b/>
        </w:rPr>
        <w:footnoteRef/>
      </w:r>
      <w:r w:rsidRPr="002719F2">
        <w:t xml:space="preserve"> </w:t>
      </w:r>
      <w:r w:rsidRPr="002719F2">
        <w:rPr>
          <w:lang w:eastAsia="en-US"/>
        </w:rPr>
        <w:t xml:space="preserve">Zákon o zvláštních řízeních soudních: komentář. Vydání 2015, </w:t>
      </w:r>
      <w:r w:rsidRPr="002719F2">
        <w:t>s</w:t>
      </w:r>
      <w:r>
        <w:t>.</w:t>
      </w:r>
      <w:r w:rsidR="006A6BF0">
        <w:t xml:space="preserve"> 977-</w:t>
      </w:r>
      <w:r w:rsidRPr="002719F2">
        <w:t>980</w:t>
      </w:r>
    </w:p>
  </w:footnote>
  <w:footnote w:id="57">
    <w:p w14:paraId="1131CF0A" w14:textId="6A7A1AEB" w:rsidR="00693AD1" w:rsidRPr="002719F2" w:rsidRDefault="00693AD1" w:rsidP="008774BA">
      <w:pPr>
        <w:pStyle w:val="Textpoznpodarou"/>
        <w:ind w:firstLine="0"/>
      </w:pPr>
      <w:r w:rsidRPr="00874016">
        <w:rPr>
          <w:rStyle w:val="Znakapoznpodarou"/>
          <w:b/>
        </w:rPr>
        <w:footnoteRef/>
      </w:r>
      <w:r w:rsidRPr="002719F2">
        <w:t xml:space="preserve"> Nález Nejvyššího soudu ČR, </w:t>
      </w:r>
      <w:proofErr w:type="spellStart"/>
      <w:r w:rsidRPr="002719F2">
        <w:t>sp</w:t>
      </w:r>
      <w:proofErr w:type="spellEnd"/>
      <w:r w:rsidRPr="002719F2">
        <w:t xml:space="preserve">. zn. 30 </w:t>
      </w:r>
      <w:proofErr w:type="spellStart"/>
      <w:r w:rsidRPr="002719F2">
        <w:t>Cdo</w:t>
      </w:r>
      <w:proofErr w:type="spellEnd"/>
      <w:r w:rsidRPr="002719F2">
        <w:t xml:space="preserve"> 474/2007 </w:t>
      </w:r>
    </w:p>
  </w:footnote>
  <w:footnote w:id="58">
    <w:p w14:paraId="45146392" w14:textId="1232063A" w:rsidR="00693AD1" w:rsidRPr="002719F2" w:rsidRDefault="00693AD1" w:rsidP="00A35AFB">
      <w:pPr>
        <w:ind w:firstLine="0"/>
        <w:jc w:val="both"/>
        <w:rPr>
          <w:sz w:val="20"/>
          <w:szCs w:val="20"/>
        </w:rPr>
      </w:pPr>
      <w:r w:rsidRPr="00874016">
        <w:rPr>
          <w:rStyle w:val="Znakapoznpodarou"/>
          <w:b/>
          <w:sz w:val="20"/>
          <w:szCs w:val="20"/>
        </w:rPr>
        <w:footnoteRef/>
      </w:r>
      <w:r w:rsidRPr="002719F2">
        <w:rPr>
          <w:sz w:val="20"/>
          <w:szCs w:val="20"/>
        </w:rPr>
        <w:t xml:space="preserve"> PTÁČEK, Lubomír. </w:t>
      </w:r>
      <w:r w:rsidRPr="002719F2">
        <w:rPr>
          <w:i/>
          <w:iCs/>
          <w:sz w:val="20"/>
          <w:szCs w:val="20"/>
        </w:rPr>
        <w:t>Styčný soudce ve věcech rodinného práva</w:t>
      </w:r>
      <w:r w:rsidRPr="002719F2">
        <w:rPr>
          <w:sz w:val="20"/>
          <w:szCs w:val="20"/>
        </w:rPr>
        <w:t>. Právo a rodina, 2008, č. 9.</w:t>
      </w:r>
    </w:p>
  </w:footnote>
  <w:footnote w:id="59">
    <w:p w14:paraId="478FF7A3" w14:textId="7F7413CD" w:rsidR="00693AD1" w:rsidRPr="002719F2" w:rsidRDefault="00693AD1" w:rsidP="00BE5FF8">
      <w:pPr>
        <w:pStyle w:val="Textpoznpodarou"/>
        <w:ind w:firstLine="0"/>
      </w:pPr>
      <w:r w:rsidRPr="00874016">
        <w:rPr>
          <w:rStyle w:val="Znakapoznpodarou"/>
          <w:b/>
        </w:rPr>
        <w:footnoteRef/>
      </w:r>
      <w:r w:rsidRPr="002719F2">
        <w:t xml:space="preserve"> Mezinárodní konference ČAK, JA a ERA, „mezinárodní právo rodinné v praxi,“ Praha, 2010</w:t>
      </w:r>
    </w:p>
  </w:footnote>
  <w:footnote w:id="60">
    <w:p w14:paraId="12F82903" w14:textId="4BD54B7E" w:rsidR="00693AD1" w:rsidRPr="002719F2" w:rsidRDefault="00693AD1" w:rsidP="00BE5FF8">
      <w:pPr>
        <w:pStyle w:val="Textpoznpodarou"/>
        <w:ind w:firstLine="0"/>
      </w:pPr>
      <w:r w:rsidRPr="00874016">
        <w:rPr>
          <w:rStyle w:val="Znakapoznpodarou"/>
          <w:b/>
        </w:rPr>
        <w:footnoteRef/>
      </w:r>
      <w:r w:rsidR="000A027F">
        <w:t xml:space="preserve"> T</w:t>
      </w:r>
      <w:r w:rsidR="00A45084">
        <w:t>amtéž</w:t>
      </w:r>
    </w:p>
  </w:footnote>
  <w:footnote w:id="61">
    <w:p w14:paraId="602EAD8F" w14:textId="795D95EF" w:rsidR="00693AD1" w:rsidRPr="002719F2" w:rsidRDefault="00693AD1" w:rsidP="00BE5FF8">
      <w:pPr>
        <w:pStyle w:val="Textpoznpodarou"/>
        <w:ind w:firstLine="0"/>
      </w:pPr>
      <w:r w:rsidRPr="00874016">
        <w:rPr>
          <w:rStyle w:val="Znakapoznpodarou"/>
          <w:b/>
        </w:rPr>
        <w:footnoteRef/>
      </w:r>
      <w:r w:rsidRPr="002719F2">
        <w:t xml:space="preserve"> </w:t>
      </w:r>
      <w:r w:rsidRPr="002719F2">
        <w:rPr>
          <w:caps/>
        </w:rPr>
        <w:t>Pauknerová</w:t>
      </w:r>
      <w:r w:rsidRPr="002719F2">
        <w:t xml:space="preserve">, Monika. </w:t>
      </w:r>
      <w:r w:rsidRPr="002719F2">
        <w:rPr>
          <w:i/>
        </w:rPr>
        <w:t>Evropské mezinárodní právo soukromé</w:t>
      </w:r>
      <w:r w:rsidRPr="002719F2">
        <w:t>. Praha: C. H. Beck, 2008, s. 186.</w:t>
      </w:r>
    </w:p>
  </w:footnote>
  <w:footnote w:id="62">
    <w:p w14:paraId="45A8EDCF" w14:textId="4353E8C1" w:rsidR="00693AD1" w:rsidRPr="002719F2" w:rsidRDefault="00693AD1" w:rsidP="00D52651">
      <w:pPr>
        <w:pStyle w:val="Textpoznpodarou"/>
        <w:ind w:left="284" w:hanging="284"/>
      </w:pPr>
      <w:r w:rsidRPr="00874016">
        <w:rPr>
          <w:rStyle w:val="Znakapoznpodarou"/>
          <w:b/>
        </w:rPr>
        <w:footnoteRef/>
      </w:r>
      <w:r w:rsidR="00D52651">
        <w:t xml:space="preserve"> </w:t>
      </w:r>
      <w:r w:rsidR="00D52651">
        <w:t xml:space="preserve">VONDRÁČKOVÁ, Pavlína. </w:t>
      </w:r>
      <w:r w:rsidR="00D52651">
        <w:rPr>
          <w:i/>
        </w:rPr>
        <w:t xml:space="preserve">Mezinárodní únosy dětí aneb pojem „obvyklé bydliště“ </w:t>
      </w:r>
      <w:r w:rsidR="00D52651" w:rsidRPr="00B30E66">
        <w:t>dítěte</w:t>
      </w:r>
      <w:r w:rsidR="00D52651">
        <w:t xml:space="preserve">. </w:t>
      </w:r>
      <w:r w:rsidR="00D52651" w:rsidRPr="00B30E66">
        <w:t>Epravo</w:t>
      </w:r>
      <w:r w:rsidR="00D52651">
        <w:t>.cz</w:t>
      </w:r>
      <w:r w:rsidR="00D52651" w:rsidRPr="00B30E66">
        <w:t xml:space="preserve"> </w:t>
      </w:r>
      <w:r w:rsidR="00D52651">
        <w:t>[online]. Praha,</w:t>
      </w:r>
      <w:r w:rsidR="00D52651" w:rsidRPr="00DC73DC">
        <w:t xml:space="preserve"> 2014. [cit. 21. 8. 2017].</w:t>
      </w:r>
    </w:p>
  </w:footnote>
  <w:footnote w:id="63">
    <w:p w14:paraId="367A42E9" w14:textId="34AEB235" w:rsidR="00693AD1" w:rsidRPr="0028110B" w:rsidRDefault="00693AD1" w:rsidP="0028110B">
      <w:pPr>
        <w:ind w:firstLine="0"/>
        <w:rPr>
          <w:sz w:val="20"/>
          <w:szCs w:val="20"/>
        </w:rPr>
      </w:pPr>
      <w:r w:rsidRPr="00874016">
        <w:rPr>
          <w:rStyle w:val="Znakapoznpodarou"/>
          <w:b/>
          <w:sz w:val="20"/>
          <w:szCs w:val="20"/>
        </w:rPr>
        <w:footnoteRef/>
      </w:r>
      <w:r w:rsidRPr="002719F2">
        <w:rPr>
          <w:sz w:val="20"/>
          <w:szCs w:val="20"/>
        </w:rPr>
        <w:t xml:space="preserve"> Rozsudek Městského soudu v Praze, </w:t>
      </w:r>
      <w:proofErr w:type="spellStart"/>
      <w:r w:rsidRPr="002719F2">
        <w:rPr>
          <w:sz w:val="20"/>
          <w:szCs w:val="20"/>
        </w:rPr>
        <w:t>sp</w:t>
      </w:r>
      <w:proofErr w:type="spellEnd"/>
      <w:r w:rsidRPr="002719F2">
        <w:rPr>
          <w:sz w:val="20"/>
          <w:szCs w:val="20"/>
        </w:rPr>
        <w:t xml:space="preserve">. zn. 18 Co 87/2017 </w:t>
      </w:r>
    </w:p>
  </w:footnote>
  <w:footnote w:id="64">
    <w:p w14:paraId="317C4FA3" w14:textId="54EC576A" w:rsidR="00732676" w:rsidRPr="002719F2" w:rsidRDefault="00693AD1" w:rsidP="00732676">
      <w:pPr>
        <w:pStyle w:val="Textpoznpodarou"/>
        <w:ind w:left="284" w:hanging="284"/>
      </w:pPr>
      <w:r w:rsidRPr="00874016">
        <w:rPr>
          <w:rStyle w:val="Znakapoznpodarou"/>
          <w:b/>
        </w:rPr>
        <w:footnoteRef/>
      </w:r>
      <w:r w:rsidR="00732676">
        <w:t xml:space="preserve"> </w:t>
      </w:r>
      <w:r w:rsidR="00732676" w:rsidRPr="00DC4F49">
        <w:t xml:space="preserve">VOJÁČKOVÁ, Adéla. </w:t>
      </w:r>
      <w:r w:rsidR="00732676" w:rsidRPr="0032247F">
        <w:rPr>
          <w:i/>
        </w:rPr>
        <w:t>Rodičovská odpovědnost ve světle nejnovější judikatury Ústavního soudu</w:t>
      </w:r>
      <w:r w:rsidR="00732676" w:rsidRPr="00DC4F49">
        <w:t xml:space="preserve">. Epravo.cz [online]. Praha, 2016 [cit. </w:t>
      </w:r>
      <w:r w:rsidR="00732676">
        <w:t xml:space="preserve">21. 8. </w:t>
      </w:r>
      <w:r w:rsidR="00732676" w:rsidRPr="00DC4F49">
        <w:t>2017].</w:t>
      </w:r>
    </w:p>
  </w:footnote>
  <w:footnote w:id="65">
    <w:p w14:paraId="5AC4DBA5" w14:textId="031E37CA" w:rsidR="00693AD1" w:rsidRPr="002719F2" w:rsidRDefault="00693AD1" w:rsidP="007511BF">
      <w:pPr>
        <w:pStyle w:val="Textpoznpodarou"/>
        <w:ind w:firstLine="0"/>
      </w:pPr>
      <w:r w:rsidRPr="00874016">
        <w:rPr>
          <w:rStyle w:val="Znakapoznpodarou"/>
          <w:b/>
        </w:rPr>
        <w:footnoteRef/>
      </w:r>
      <w:r w:rsidRPr="002719F2">
        <w:t xml:space="preserve"> Zákon č. 89/2012 Sb., občanský zákoník, § 858</w:t>
      </w:r>
    </w:p>
  </w:footnote>
  <w:footnote w:id="66">
    <w:p w14:paraId="4D2B41CD" w14:textId="2C68545F" w:rsidR="00693AD1" w:rsidRPr="002719F2" w:rsidRDefault="00693AD1" w:rsidP="007511BF">
      <w:pPr>
        <w:pStyle w:val="Textpoznpodarou"/>
        <w:ind w:firstLine="0"/>
      </w:pPr>
      <w:r w:rsidRPr="00874016">
        <w:rPr>
          <w:rStyle w:val="Znakapoznpodarou"/>
          <w:b/>
        </w:rPr>
        <w:footnoteRef/>
      </w:r>
      <w:r w:rsidRPr="002719F2">
        <w:t xml:space="preserve"> Zákon č. 89/2012 Sb., občanský zákoník, § 865  </w:t>
      </w:r>
    </w:p>
  </w:footnote>
  <w:footnote w:id="67">
    <w:p w14:paraId="0F882ECA" w14:textId="6EBB1AC8" w:rsidR="00693AD1" w:rsidRPr="002719F2" w:rsidRDefault="00693AD1" w:rsidP="007511BF">
      <w:pPr>
        <w:pStyle w:val="Textpoznpodarou"/>
        <w:ind w:firstLine="0"/>
      </w:pPr>
      <w:r w:rsidRPr="00874016">
        <w:rPr>
          <w:rStyle w:val="Znakapoznpodarou"/>
          <w:b/>
        </w:rPr>
        <w:footnoteRef/>
      </w:r>
      <w:r w:rsidRPr="002719F2">
        <w:t xml:space="preserve"> Zákon č. 89/2012 Sb., občanský zákoník, §</w:t>
      </w:r>
      <w:r>
        <w:t xml:space="preserve"> </w:t>
      </w:r>
      <w:r w:rsidRPr="002719F2">
        <w:t>866</w:t>
      </w:r>
    </w:p>
  </w:footnote>
  <w:footnote w:id="68">
    <w:p w14:paraId="7677C2A3" w14:textId="34AAA38B" w:rsidR="00693AD1" w:rsidRPr="002719F2" w:rsidRDefault="00693AD1" w:rsidP="00FD3D2C">
      <w:pPr>
        <w:pStyle w:val="Textpoznpodarou"/>
        <w:ind w:left="142" w:hanging="142"/>
      </w:pPr>
      <w:r w:rsidRPr="00874016">
        <w:rPr>
          <w:rStyle w:val="Znakapoznpodarou"/>
          <w:b/>
        </w:rPr>
        <w:footnoteRef/>
      </w:r>
      <w:r w:rsidRPr="002719F2">
        <w:t xml:space="preserve"> Usnesení předsednictva ČNR č. 2/1993 Sb., o vyhlášení Listiny základn</w:t>
      </w:r>
      <w:r>
        <w:t xml:space="preserve">ích práv a svobod jako součásti </w:t>
      </w:r>
      <w:r w:rsidRPr="002719F2">
        <w:t>ústavního pořádku ČR</w:t>
      </w:r>
    </w:p>
  </w:footnote>
  <w:footnote w:id="69">
    <w:p w14:paraId="30A676E5" w14:textId="0CE94BF5" w:rsidR="00693AD1" w:rsidRPr="002719F2" w:rsidRDefault="00693AD1" w:rsidP="00C578B0">
      <w:pPr>
        <w:ind w:firstLine="0"/>
        <w:rPr>
          <w:sz w:val="20"/>
          <w:szCs w:val="20"/>
          <w:lang w:val="en-US" w:eastAsia="en-US"/>
        </w:rPr>
      </w:pPr>
      <w:r w:rsidRPr="00874016">
        <w:rPr>
          <w:rStyle w:val="Znakapoznpodarou"/>
          <w:b/>
          <w:sz w:val="20"/>
          <w:szCs w:val="20"/>
        </w:rPr>
        <w:footnoteRef/>
      </w:r>
      <w:r w:rsidRPr="002719F2">
        <w:rPr>
          <w:sz w:val="20"/>
          <w:szCs w:val="20"/>
        </w:rPr>
        <w:t xml:space="preserve"> Nález ÚS ČR, </w:t>
      </w:r>
      <w:proofErr w:type="spellStart"/>
      <w:r w:rsidRPr="002719F2">
        <w:rPr>
          <w:sz w:val="20"/>
          <w:szCs w:val="20"/>
        </w:rPr>
        <w:t>sp</w:t>
      </w:r>
      <w:proofErr w:type="spellEnd"/>
      <w:r w:rsidRPr="002719F2">
        <w:rPr>
          <w:sz w:val="20"/>
          <w:szCs w:val="20"/>
        </w:rPr>
        <w:t>. zn. I. ÚS 158/15</w:t>
      </w:r>
    </w:p>
  </w:footnote>
  <w:footnote w:id="70">
    <w:p w14:paraId="7D2BFB3D" w14:textId="73D7105D" w:rsidR="00693AD1" w:rsidRPr="002719F2" w:rsidRDefault="00693AD1" w:rsidP="00C578B0">
      <w:pPr>
        <w:ind w:firstLine="0"/>
        <w:rPr>
          <w:sz w:val="20"/>
          <w:szCs w:val="20"/>
          <w:lang w:val="en-US" w:eastAsia="en-US"/>
        </w:rPr>
      </w:pPr>
      <w:r w:rsidRPr="00874016">
        <w:rPr>
          <w:rStyle w:val="Znakapoznpodarou"/>
          <w:b/>
          <w:sz w:val="20"/>
          <w:szCs w:val="20"/>
        </w:rPr>
        <w:footnoteRef/>
      </w:r>
      <w:r w:rsidRPr="002719F2">
        <w:rPr>
          <w:sz w:val="20"/>
          <w:szCs w:val="20"/>
        </w:rPr>
        <w:t xml:space="preserve"> </w:t>
      </w:r>
      <w:r w:rsidRPr="002719F2">
        <w:rPr>
          <w:sz w:val="20"/>
          <w:szCs w:val="20"/>
          <w:lang w:eastAsia="en-US"/>
        </w:rPr>
        <w:t xml:space="preserve">Zákon o zvláštních řízeních soudních: komentář. Vydání 2015, </w:t>
      </w:r>
      <w:r w:rsidRPr="002719F2">
        <w:rPr>
          <w:sz w:val="20"/>
          <w:szCs w:val="20"/>
        </w:rPr>
        <w:t>s</w:t>
      </w:r>
      <w:r>
        <w:rPr>
          <w:sz w:val="20"/>
          <w:szCs w:val="20"/>
        </w:rPr>
        <w:t>.</w:t>
      </w:r>
      <w:r w:rsidR="00406C92">
        <w:rPr>
          <w:sz w:val="20"/>
          <w:szCs w:val="20"/>
        </w:rPr>
        <w:t> 961</w:t>
      </w:r>
      <w:r w:rsidRPr="002719F2">
        <w:rPr>
          <w:sz w:val="20"/>
          <w:szCs w:val="20"/>
        </w:rPr>
        <w:t>-964</w:t>
      </w:r>
    </w:p>
  </w:footnote>
  <w:footnote w:id="71">
    <w:p w14:paraId="1B526160" w14:textId="550E7263" w:rsidR="00693AD1" w:rsidRPr="002719F2" w:rsidRDefault="00693AD1" w:rsidP="00C578B0">
      <w:pPr>
        <w:pStyle w:val="Textpoznpodarou"/>
        <w:ind w:firstLine="0"/>
      </w:pPr>
      <w:r w:rsidRPr="00874016">
        <w:rPr>
          <w:rStyle w:val="Znakapoznpodarou"/>
          <w:b/>
        </w:rPr>
        <w:footnoteRef/>
      </w:r>
      <w:r w:rsidRPr="002719F2">
        <w:t xml:space="preserve"> Nález ÚS ČR, </w:t>
      </w:r>
      <w:proofErr w:type="spellStart"/>
      <w:r w:rsidRPr="002719F2">
        <w:t>sp</w:t>
      </w:r>
      <w:proofErr w:type="spellEnd"/>
      <w:r w:rsidRPr="002719F2">
        <w:t xml:space="preserve">. zn. II ÚS 3742/14 </w:t>
      </w:r>
    </w:p>
  </w:footnote>
  <w:footnote w:id="72">
    <w:p w14:paraId="260EB921" w14:textId="171A5E94" w:rsidR="00693AD1" w:rsidRPr="002719F2" w:rsidRDefault="00693AD1" w:rsidP="00C47EF2">
      <w:pPr>
        <w:pStyle w:val="Textpoznpodarou"/>
        <w:ind w:left="142" w:hanging="142"/>
      </w:pPr>
      <w:r w:rsidRPr="00874016">
        <w:rPr>
          <w:rStyle w:val="Znakapoznpodarou"/>
          <w:b/>
        </w:rPr>
        <w:footnoteRef/>
      </w:r>
      <w:r w:rsidRPr="002719F2">
        <w:t xml:space="preserve"> </w:t>
      </w:r>
      <w:r w:rsidRPr="002719F2">
        <w:rPr>
          <w:caps/>
        </w:rPr>
        <w:t>Novotná</w:t>
      </w:r>
      <w:r w:rsidRPr="002719F2">
        <w:t>,</w:t>
      </w:r>
      <w:r w:rsidRPr="002719F2">
        <w:rPr>
          <w:rFonts w:eastAsia="Arial Narrow"/>
        </w:rPr>
        <w:t xml:space="preserve"> </w:t>
      </w:r>
      <w:r w:rsidRPr="002719F2">
        <w:t>Věra.</w:t>
      </w:r>
      <w:r w:rsidRPr="002719F2">
        <w:rPr>
          <w:rFonts w:eastAsia="Arial Narrow"/>
        </w:rPr>
        <w:t xml:space="preserve"> </w:t>
      </w:r>
      <w:r w:rsidRPr="002719F2">
        <w:t>Jak</w:t>
      </w:r>
      <w:r w:rsidRPr="002719F2">
        <w:rPr>
          <w:rFonts w:eastAsia="Arial Narrow"/>
        </w:rPr>
        <w:t xml:space="preserve"> </w:t>
      </w:r>
      <w:r w:rsidRPr="002719F2">
        <w:t>správně</w:t>
      </w:r>
      <w:r w:rsidRPr="002719F2">
        <w:rPr>
          <w:rFonts w:eastAsia="Arial Narrow"/>
        </w:rPr>
        <w:t xml:space="preserve"> </w:t>
      </w:r>
      <w:r w:rsidRPr="002719F2">
        <w:t>aplikovat</w:t>
      </w:r>
      <w:r w:rsidRPr="002719F2">
        <w:rPr>
          <w:rFonts w:eastAsia="Arial Narrow"/>
        </w:rPr>
        <w:t xml:space="preserve"> </w:t>
      </w:r>
      <w:r w:rsidRPr="002719F2">
        <w:t>Úmluvu</w:t>
      </w:r>
      <w:r w:rsidRPr="002719F2">
        <w:rPr>
          <w:rFonts w:eastAsia="Arial Narrow"/>
        </w:rPr>
        <w:t xml:space="preserve"> </w:t>
      </w:r>
      <w:r w:rsidRPr="002719F2">
        <w:t>o</w:t>
      </w:r>
      <w:r w:rsidRPr="002719F2">
        <w:rPr>
          <w:rFonts w:eastAsia="Arial Narrow"/>
        </w:rPr>
        <w:t xml:space="preserve"> </w:t>
      </w:r>
      <w:r w:rsidRPr="002719F2">
        <w:t>občanskoprávních</w:t>
      </w:r>
      <w:r w:rsidRPr="002719F2">
        <w:rPr>
          <w:rFonts w:eastAsia="Arial Narrow"/>
        </w:rPr>
        <w:t xml:space="preserve"> </w:t>
      </w:r>
      <w:r w:rsidRPr="002719F2">
        <w:t>aspektech</w:t>
      </w:r>
      <w:r w:rsidRPr="002719F2">
        <w:rPr>
          <w:rFonts w:eastAsia="Arial Narrow"/>
        </w:rPr>
        <w:t xml:space="preserve"> </w:t>
      </w:r>
      <w:r w:rsidRPr="002719F2">
        <w:t>mezinárodních</w:t>
      </w:r>
      <w:r w:rsidRPr="002719F2">
        <w:rPr>
          <w:rFonts w:eastAsia="Arial Narrow"/>
        </w:rPr>
        <w:t xml:space="preserve"> </w:t>
      </w:r>
      <w:r w:rsidRPr="002719F2">
        <w:t>únosů</w:t>
      </w:r>
      <w:r w:rsidRPr="002719F2">
        <w:rPr>
          <w:rFonts w:eastAsia="Arial Narrow"/>
        </w:rPr>
        <w:t xml:space="preserve"> </w:t>
      </w:r>
      <w:r w:rsidRPr="002719F2">
        <w:t>dětí?</w:t>
      </w:r>
      <w:r w:rsidRPr="002719F2">
        <w:rPr>
          <w:rFonts w:eastAsia="Arial Narrow"/>
        </w:rPr>
        <w:t xml:space="preserve"> </w:t>
      </w:r>
      <w:r>
        <w:rPr>
          <w:rFonts w:eastAsia="Arial Narrow"/>
        </w:rPr>
        <w:t xml:space="preserve"> </w:t>
      </w:r>
      <w:r w:rsidRPr="002719F2">
        <w:rPr>
          <w:i/>
        </w:rPr>
        <w:t>Právo</w:t>
      </w:r>
      <w:r w:rsidRPr="002719F2">
        <w:rPr>
          <w:rFonts w:eastAsia="Arial Narrow"/>
          <w:i/>
        </w:rPr>
        <w:t xml:space="preserve"> </w:t>
      </w:r>
      <w:r w:rsidRPr="002719F2">
        <w:rPr>
          <w:i/>
        </w:rPr>
        <w:t>a</w:t>
      </w:r>
      <w:r w:rsidRPr="002719F2">
        <w:rPr>
          <w:rFonts w:eastAsia="Arial Narrow"/>
          <w:i/>
        </w:rPr>
        <w:t xml:space="preserve"> </w:t>
      </w:r>
      <w:r w:rsidRPr="002719F2">
        <w:rPr>
          <w:i/>
        </w:rPr>
        <w:t>rodina</w:t>
      </w:r>
      <w:r w:rsidRPr="002719F2">
        <w:t>.</w:t>
      </w:r>
      <w:r w:rsidRPr="002719F2">
        <w:rPr>
          <w:rFonts w:eastAsia="Arial Narrow"/>
        </w:rPr>
        <w:t xml:space="preserve"> </w:t>
      </w:r>
      <w:r w:rsidRPr="002719F2">
        <w:t>2007,</w:t>
      </w:r>
      <w:r w:rsidRPr="002719F2">
        <w:rPr>
          <w:rFonts w:eastAsia="Arial Narrow"/>
        </w:rPr>
        <w:t xml:space="preserve"> </w:t>
      </w:r>
      <w:r w:rsidRPr="002719F2">
        <w:t>č. 9,</w:t>
      </w:r>
      <w:r w:rsidRPr="002719F2">
        <w:rPr>
          <w:rFonts w:eastAsia="Arial Narrow"/>
        </w:rPr>
        <w:t xml:space="preserve"> </w:t>
      </w:r>
      <w:r w:rsidRPr="002719F2">
        <w:t>s. 3.</w:t>
      </w:r>
    </w:p>
  </w:footnote>
  <w:footnote w:id="73">
    <w:p w14:paraId="426E706C" w14:textId="3E0A0717" w:rsidR="00693AD1" w:rsidRPr="002719F2" w:rsidRDefault="00693AD1" w:rsidP="007511BF">
      <w:pPr>
        <w:pStyle w:val="Textpoznpodarou"/>
        <w:ind w:firstLine="0"/>
      </w:pPr>
      <w:r w:rsidRPr="00874016">
        <w:rPr>
          <w:rStyle w:val="Znakapoznpodarou"/>
          <w:b/>
        </w:rPr>
        <w:footnoteRef/>
      </w:r>
      <w:r w:rsidRPr="002719F2">
        <w:t xml:space="preserve"> Zákon č. 89/2012 Sb., občanský zákoník, § 880 odst. 1</w:t>
      </w:r>
    </w:p>
  </w:footnote>
  <w:footnote w:id="74">
    <w:p w14:paraId="21DBC331" w14:textId="21BECD28" w:rsidR="00693AD1" w:rsidRPr="002719F2" w:rsidRDefault="00693AD1" w:rsidP="007511BF">
      <w:pPr>
        <w:pStyle w:val="Textpoznpodarou"/>
        <w:ind w:firstLine="0"/>
      </w:pPr>
      <w:r w:rsidRPr="00874016">
        <w:rPr>
          <w:rStyle w:val="Znakapoznpodarou"/>
          <w:b/>
        </w:rPr>
        <w:footnoteRef/>
      </w:r>
      <w:r w:rsidRPr="002719F2">
        <w:t xml:space="preserve"> Zákon č. 89/2012 Sb., občanský zákoník, § 882 odst. 1</w:t>
      </w:r>
    </w:p>
  </w:footnote>
  <w:footnote w:id="75">
    <w:p w14:paraId="06DBEE1E" w14:textId="699B4B41" w:rsidR="00693AD1" w:rsidRPr="002719F2" w:rsidRDefault="00693AD1" w:rsidP="007511BF">
      <w:pPr>
        <w:pStyle w:val="Textpoznpodarou"/>
        <w:ind w:firstLine="0"/>
      </w:pPr>
      <w:r w:rsidRPr="00AD1885">
        <w:rPr>
          <w:rStyle w:val="Znakapoznpodarou"/>
          <w:b/>
        </w:rPr>
        <w:footnoteRef/>
      </w:r>
      <w:r w:rsidRPr="002719F2">
        <w:t xml:space="preserve"> Zákon č. 89/2012 Sb., občanský zákoník, §</w:t>
      </w:r>
      <w:r>
        <w:t xml:space="preserve"> </w:t>
      </w:r>
      <w:r w:rsidRPr="002719F2">
        <w:t>882 odst. 2</w:t>
      </w:r>
    </w:p>
  </w:footnote>
  <w:footnote w:id="76">
    <w:p w14:paraId="3E4ABB08" w14:textId="228406EA" w:rsidR="00693AD1" w:rsidRPr="002719F2" w:rsidRDefault="00693AD1" w:rsidP="00C578B0">
      <w:pPr>
        <w:pStyle w:val="Textpoznpodarou"/>
        <w:ind w:firstLine="0"/>
      </w:pPr>
      <w:r w:rsidRPr="00AD1885">
        <w:rPr>
          <w:rStyle w:val="Znakapoznpodarou"/>
          <w:b/>
        </w:rPr>
        <w:footnoteRef/>
      </w:r>
      <w:r w:rsidRPr="002719F2">
        <w:t xml:space="preserve"> Rozsudek Soudního dvora ve věci </w:t>
      </w:r>
      <w:proofErr w:type="spellStart"/>
      <w:r w:rsidRPr="002719F2">
        <w:t>McB</w:t>
      </w:r>
      <w:proofErr w:type="spellEnd"/>
      <w:r w:rsidRPr="002719F2">
        <w:t xml:space="preserve"> ze dne 5 října 2010, </w:t>
      </w:r>
      <w:proofErr w:type="spellStart"/>
      <w:r w:rsidRPr="002719F2">
        <w:t>sp</w:t>
      </w:r>
      <w:proofErr w:type="spellEnd"/>
      <w:r w:rsidRPr="002719F2">
        <w:t xml:space="preserve">. Zn. C-400/10 PPU </w:t>
      </w:r>
    </w:p>
  </w:footnote>
  <w:footnote w:id="77">
    <w:p w14:paraId="53F5FC58" w14:textId="263B8237" w:rsidR="00693AD1" w:rsidRPr="002719F2" w:rsidRDefault="00693AD1" w:rsidP="007511BF">
      <w:pPr>
        <w:pStyle w:val="Textpoznpodarou"/>
        <w:ind w:firstLine="0"/>
      </w:pPr>
      <w:r w:rsidRPr="00AD1885">
        <w:rPr>
          <w:rStyle w:val="Znakapoznpodarou"/>
          <w:b/>
        </w:rPr>
        <w:footnoteRef/>
      </w:r>
      <w:r w:rsidRPr="002719F2">
        <w:t xml:space="preserve"> Zdroje Úřad pro mezinárodněprávní ochranu dětí</w:t>
      </w:r>
    </w:p>
  </w:footnote>
  <w:footnote w:id="78">
    <w:p w14:paraId="1EDE9F07" w14:textId="40F19925" w:rsidR="00693AD1" w:rsidRPr="002719F2" w:rsidRDefault="00693AD1" w:rsidP="007511BF">
      <w:pPr>
        <w:pStyle w:val="Textpoznpodarou"/>
        <w:ind w:firstLine="0"/>
      </w:pPr>
      <w:r w:rsidRPr="00AD1885">
        <w:rPr>
          <w:rStyle w:val="Znakapoznpodarou"/>
          <w:b/>
        </w:rPr>
        <w:footnoteRef/>
      </w:r>
      <w:r w:rsidRPr="002719F2">
        <w:t xml:space="preserve"> Úmluva o právech dítěte, čl. 7</w:t>
      </w:r>
    </w:p>
  </w:footnote>
  <w:footnote w:id="79">
    <w:p w14:paraId="5D8787F6" w14:textId="42056603" w:rsidR="00693AD1" w:rsidRPr="002719F2" w:rsidRDefault="00693AD1" w:rsidP="007511BF">
      <w:pPr>
        <w:pStyle w:val="Textpoznpodarou"/>
        <w:ind w:firstLine="0"/>
      </w:pPr>
      <w:r w:rsidRPr="00AD1885">
        <w:rPr>
          <w:rStyle w:val="Znakapoznpodarou"/>
          <w:b/>
        </w:rPr>
        <w:footnoteRef/>
      </w:r>
      <w:r>
        <w:t xml:space="preserve"> </w:t>
      </w:r>
      <w:r w:rsidRPr="002719F2">
        <w:t>Zákon č. 89/2012 Sb., občanský zákoník, §</w:t>
      </w:r>
      <w:r>
        <w:t xml:space="preserve"> </w:t>
      </w:r>
      <w:r w:rsidRPr="002719F2">
        <w:t>887 až 891</w:t>
      </w:r>
    </w:p>
  </w:footnote>
  <w:footnote w:id="80">
    <w:p w14:paraId="3377DFF4" w14:textId="544DCF9A" w:rsidR="00693AD1" w:rsidRPr="002719F2" w:rsidRDefault="00693AD1" w:rsidP="007511BF">
      <w:pPr>
        <w:pStyle w:val="Textpoznpodarou"/>
        <w:ind w:firstLine="0"/>
      </w:pPr>
      <w:r w:rsidRPr="00AD1885">
        <w:rPr>
          <w:rStyle w:val="Znakapoznpodarou"/>
          <w:b/>
        </w:rPr>
        <w:footnoteRef/>
      </w:r>
      <w:r w:rsidRPr="002719F2">
        <w:t xml:space="preserve"> Zákon č. 89/2012 Sb., občanský zákoník, § 898</w:t>
      </w:r>
    </w:p>
  </w:footnote>
  <w:footnote w:id="81">
    <w:p w14:paraId="18D76996" w14:textId="2A12DCF7" w:rsidR="00693AD1" w:rsidRPr="002719F2" w:rsidRDefault="00693AD1" w:rsidP="007511BF">
      <w:pPr>
        <w:pStyle w:val="Textpoznpodarou"/>
        <w:ind w:firstLine="0"/>
      </w:pPr>
      <w:r w:rsidRPr="00AD1885">
        <w:rPr>
          <w:rStyle w:val="Znakapoznpodarou"/>
          <w:b/>
        </w:rPr>
        <w:footnoteRef/>
      </w:r>
      <w:r w:rsidRPr="002719F2">
        <w:t xml:space="preserve"> Zdroje Úřad pro mezinárodněprávní ochranu dětí</w:t>
      </w:r>
    </w:p>
  </w:footnote>
  <w:footnote w:id="82">
    <w:p w14:paraId="1AFA6015" w14:textId="72DB88A8" w:rsidR="00693AD1" w:rsidRPr="002719F2" w:rsidRDefault="00693AD1" w:rsidP="007511BF">
      <w:pPr>
        <w:pStyle w:val="Textpoznpodarou"/>
        <w:ind w:firstLine="0"/>
      </w:pPr>
      <w:r w:rsidRPr="00AD1885">
        <w:rPr>
          <w:rStyle w:val="Znakapoznpodarou"/>
          <w:b/>
        </w:rPr>
        <w:footnoteRef/>
      </w:r>
      <w:r w:rsidRPr="002719F2">
        <w:t xml:space="preserve"> Zákon č. 89/2012 Sb., občanský zákoník, § 891</w:t>
      </w:r>
    </w:p>
  </w:footnote>
  <w:footnote w:id="83">
    <w:p w14:paraId="1244CF23" w14:textId="03CF94E7" w:rsidR="00693AD1" w:rsidRPr="002719F2" w:rsidRDefault="00693AD1" w:rsidP="007511BF">
      <w:pPr>
        <w:pStyle w:val="Textpoznpodarou"/>
        <w:ind w:firstLine="0"/>
      </w:pPr>
      <w:r w:rsidRPr="00AD1885">
        <w:rPr>
          <w:rStyle w:val="Znakapoznpodarou"/>
          <w:b/>
        </w:rPr>
        <w:footnoteRef/>
      </w:r>
      <w:r>
        <w:t xml:space="preserve"> </w:t>
      </w:r>
      <w:r w:rsidRPr="002719F2">
        <w:t>Zdroje Úřad pro mezinárodněprávní ochranu dětí</w:t>
      </w:r>
    </w:p>
  </w:footnote>
  <w:footnote w:id="84">
    <w:p w14:paraId="74CB2C75" w14:textId="453DAA8A" w:rsidR="00693AD1" w:rsidRPr="002719F2" w:rsidRDefault="00693AD1" w:rsidP="00EE782C">
      <w:pPr>
        <w:ind w:left="142" w:hanging="142"/>
        <w:rPr>
          <w:sz w:val="20"/>
          <w:szCs w:val="20"/>
          <w:lang w:eastAsia="en-US"/>
        </w:rPr>
      </w:pPr>
      <w:r w:rsidRPr="00AD1885">
        <w:rPr>
          <w:rStyle w:val="Znakapoznpodarou"/>
          <w:b/>
          <w:sz w:val="20"/>
          <w:szCs w:val="20"/>
        </w:rPr>
        <w:footnoteRef/>
      </w:r>
      <w:r w:rsidRPr="002719F2">
        <w:rPr>
          <w:sz w:val="20"/>
          <w:szCs w:val="20"/>
        </w:rPr>
        <w:t xml:space="preserve"> </w:t>
      </w:r>
      <w:r w:rsidRPr="002719F2">
        <w:rPr>
          <w:color w:val="000000"/>
          <w:sz w:val="20"/>
          <w:szCs w:val="20"/>
          <w:lang w:eastAsia="en-US"/>
        </w:rPr>
        <w:t xml:space="preserve">Rozsudek ESLP ve věci </w:t>
      </w:r>
      <w:proofErr w:type="spellStart"/>
      <w:r w:rsidRPr="002719F2">
        <w:rPr>
          <w:color w:val="000000"/>
          <w:sz w:val="20"/>
          <w:szCs w:val="20"/>
          <w:lang w:eastAsia="en-US"/>
        </w:rPr>
        <w:t>Neulinger</w:t>
      </w:r>
      <w:proofErr w:type="spellEnd"/>
      <w:r w:rsidRPr="002719F2">
        <w:rPr>
          <w:color w:val="000000"/>
          <w:sz w:val="20"/>
          <w:szCs w:val="20"/>
          <w:lang w:eastAsia="en-US"/>
        </w:rPr>
        <w:t xml:space="preserve"> a </w:t>
      </w:r>
      <w:proofErr w:type="spellStart"/>
      <w:r w:rsidRPr="002719F2">
        <w:rPr>
          <w:color w:val="000000"/>
          <w:sz w:val="20"/>
          <w:szCs w:val="20"/>
          <w:lang w:eastAsia="en-US"/>
        </w:rPr>
        <w:t>Shuruk</w:t>
      </w:r>
      <w:proofErr w:type="spellEnd"/>
      <w:r w:rsidRPr="002719F2">
        <w:rPr>
          <w:color w:val="000000"/>
          <w:sz w:val="20"/>
          <w:szCs w:val="20"/>
          <w:lang w:eastAsia="en-US"/>
        </w:rPr>
        <w:t xml:space="preserve"> proti Švýcarsku č. 41615/07 ze dne 6. 7. 2010, § 136 a ve věci </w:t>
      </w:r>
      <w:proofErr w:type="spellStart"/>
      <w:r w:rsidRPr="002719F2">
        <w:rPr>
          <w:color w:val="000000"/>
          <w:sz w:val="20"/>
          <w:szCs w:val="20"/>
          <w:lang w:eastAsia="en-US"/>
        </w:rPr>
        <w:t>Sneersome</w:t>
      </w:r>
      <w:proofErr w:type="spellEnd"/>
      <w:r w:rsidRPr="002719F2">
        <w:rPr>
          <w:color w:val="000000"/>
          <w:sz w:val="20"/>
          <w:szCs w:val="20"/>
          <w:lang w:eastAsia="en-US"/>
        </w:rPr>
        <w:t xml:space="preserve"> a </w:t>
      </w:r>
      <w:proofErr w:type="spellStart"/>
      <w:r w:rsidRPr="002719F2">
        <w:rPr>
          <w:color w:val="000000"/>
          <w:sz w:val="20"/>
          <w:szCs w:val="20"/>
          <w:lang w:eastAsia="en-US"/>
        </w:rPr>
        <w:t>Kampanella</w:t>
      </w:r>
      <w:proofErr w:type="spellEnd"/>
      <w:r w:rsidRPr="002719F2">
        <w:rPr>
          <w:color w:val="000000"/>
          <w:sz w:val="20"/>
          <w:szCs w:val="20"/>
          <w:lang w:eastAsia="en-US"/>
        </w:rPr>
        <w:t xml:space="preserve"> proti Itálii č. 14737/09 ze dne 12. 7. 2011, § 85</w:t>
      </w:r>
    </w:p>
  </w:footnote>
  <w:footnote w:id="85">
    <w:p w14:paraId="31756DEE" w14:textId="6A352D63" w:rsidR="00693AD1" w:rsidRPr="002719F2" w:rsidRDefault="00693AD1" w:rsidP="00EE782C">
      <w:pPr>
        <w:ind w:left="142" w:hanging="142"/>
        <w:rPr>
          <w:sz w:val="20"/>
          <w:szCs w:val="20"/>
          <w:lang w:val="en-US" w:eastAsia="en-US"/>
        </w:rPr>
      </w:pPr>
      <w:r w:rsidRPr="00AD1885">
        <w:rPr>
          <w:rStyle w:val="Znakapoznpodarou"/>
          <w:b/>
          <w:sz w:val="20"/>
          <w:szCs w:val="20"/>
        </w:rPr>
        <w:footnoteRef/>
      </w:r>
      <w:r w:rsidRPr="002719F2">
        <w:rPr>
          <w:sz w:val="20"/>
          <w:szCs w:val="20"/>
        </w:rPr>
        <w:t xml:space="preserve"> </w:t>
      </w:r>
      <w:r w:rsidRPr="002719F2">
        <w:rPr>
          <w:color w:val="000000"/>
          <w:sz w:val="20"/>
          <w:szCs w:val="20"/>
          <w:lang w:eastAsia="en-US"/>
        </w:rPr>
        <w:t xml:space="preserve">Rozsudek ESLP ve věci </w:t>
      </w:r>
      <w:proofErr w:type="spellStart"/>
      <w:r w:rsidRPr="002719F2">
        <w:rPr>
          <w:color w:val="000000"/>
          <w:sz w:val="20"/>
          <w:szCs w:val="20"/>
          <w:lang w:eastAsia="en-US"/>
        </w:rPr>
        <w:t>Neulinger</w:t>
      </w:r>
      <w:proofErr w:type="spellEnd"/>
      <w:r w:rsidRPr="002719F2">
        <w:rPr>
          <w:color w:val="000000"/>
          <w:sz w:val="20"/>
          <w:szCs w:val="20"/>
          <w:lang w:eastAsia="en-US"/>
        </w:rPr>
        <w:t xml:space="preserve"> a </w:t>
      </w:r>
      <w:proofErr w:type="spellStart"/>
      <w:r w:rsidRPr="002719F2">
        <w:rPr>
          <w:color w:val="000000"/>
          <w:sz w:val="20"/>
          <w:szCs w:val="20"/>
          <w:lang w:eastAsia="en-US"/>
        </w:rPr>
        <w:t>Shuruk</w:t>
      </w:r>
      <w:proofErr w:type="spellEnd"/>
      <w:r w:rsidRPr="002719F2">
        <w:rPr>
          <w:color w:val="000000"/>
          <w:sz w:val="20"/>
          <w:szCs w:val="20"/>
          <w:lang w:eastAsia="en-US"/>
        </w:rPr>
        <w:t xml:space="preserve"> proti Švýcarsku č. 41615/07 ze dne 6. 7. 2010, § 134; Haase v. Německo č. 11057/02</w:t>
      </w:r>
    </w:p>
  </w:footnote>
  <w:footnote w:id="86">
    <w:p w14:paraId="0683811A" w14:textId="120623CB" w:rsidR="00693AD1" w:rsidRPr="002719F2" w:rsidRDefault="00693AD1" w:rsidP="00415A73">
      <w:pPr>
        <w:pStyle w:val="Textpoznpodarou"/>
        <w:ind w:firstLine="0"/>
      </w:pPr>
      <w:r w:rsidRPr="00AD1885">
        <w:rPr>
          <w:rStyle w:val="Znakapoznpodarou"/>
          <w:b/>
        </w:rPr>
        <w:footnoteRef/>
      </w:r>
      <w:r w:rsidRPr="002719F2">
        <w:t xml:space="preserve"> Nařízení Brusel </w:t>
      </w:r>
      <w:proofErr w:type="spellStart"/>
      <w:r w:rsidRPr="002719F2">
        <w:t>IIa</w:t>
      </w:r>
      <w:proofErr w:type="spellEnd"/>
      <w:r w:rsidRPr="002719F2">
        <w:t xml:space="preserve">., čl. 23 </w:t>
      </w:r>
    </w:p>
  </w:footnote>
  <w:footnote w:id="87">
    <w:p w14:paraId="7DFC6762" w14:textId="0CE003B2" w:rsidR="00693AD1" w:rsidRPr="002719F2" w:rsidRDefault="00693AD1" w:rsidP="00415A73">
      <w:pPr>
        <w:pStyle w:val="Textpoznpodarou"/>
        <w:ind w:firstLine="0"/>
      </w:pPr>
      <w:r w:rsidRPr="00701F19">
        <w:rPr>
          <w:rStyle w:val="Znakapoznpodarou"/>
          <w:b/>
        </w:rPr>
        <w:footnoteRef/>
      </w:r>
      <w:r w:rsidRPr="002719F2">
        <w:t xml:space="preserve"> Důvodová zpráva k Haagské úmluvě</w:t>
      </w:r>
    </w:p>
  </w:footnote>
  <w:footnote w:id="88">
    <w:p w14:paraId="571714FE" w14:textId="08B5589D" w:rsidR="00693AD1" w:rsidRPr="002719F2" w:rsidRDefault="00693AD1" w:rsidP="007511BF">
      <w:pPr>
        <w:pStyle w:val="Textpoznpodarou"/>
        <w:ind w:firstLine="0"/>
      </w:pPr>
      <w:r w:rsidRPr="00701F19">
        <w:rPr>
          <w:rStyle w:val="Znakapoznpodarou"/>
          <w:b/>
        </w:rPr>
        <w:footnoteRef/>
      </w:r>
      <w:r w:rsidRPr="002719F2">
        <w:t xml:space="preserve"> Advokátní kancelář JUDr. Věra Škvorová, Ph.D., „</w:t>
      </w:r>
      <w:r w:rsidRPr="002719F2">
        <w:rPr>
          <w:i/>
        </w:rPr>
        <w:t>pojem obvyklého bydliště dítěte“</w:t>
      </w:r>
    </w:p>
  </w:footnote>
  <w:footnote w:id="89">
    <w:p w14:paraId="2B8D2E90" w14:textId="75EE4E0C" w:rsidR="00693AD1" w:rsidRPr="002719F2" w:rsidRDefault="00693AD1" w:rsidP="007511BF">
      <w:pPr>
        <w:ind w:firstLine="0"/>
        <w:rPr>
          <w:sz w:val="20"/>
          <w:szCs w:val="20"/>
          <w:lang w:val="en-US" w:eastAsia="en-US"/>
        </w:rPr>
      </w:pPr>
      <w:r w:rsidRPr="00701F19">
        <w:rPr>
          <w:rStyle w:val="Znakapoznpodarou"/>
          <w:b/>
          <w:sz w:val="20"/>
          <w:szCs w:val="20"/>
        </w:rPr>
        <w:footnoteRef/>
      </w:r>
      <w:r w:rsidRPr="002719F2">
        <w:rPr>
          <w:sz w:val="20"/>
          <w:szCs w:val="20"/>
        </w:rPr>
        <w:t xml:space="preserve"> Rozsudek Nejvyššího soudu ČR, </w:t>
      </w:r>
      <w:proofErr w:type="spellStart"/>
      <w:r w:rsidRPr="002719F2">
        <w:rPr>
          <w:sz w:val="20"/>
          <w:szCs w:val="20"/>
        </w:rPr>
        <w:t>sp</w:t>
      </w:r>
      <w:proofErr w:type="spellEnd"/>
      <w:r w:rsidRPr="002719F2">
        <w:rPr>
          <w:sz w:val="20"/>
          <w:szCs w:val="20"/>
        </w:rPr>
        <w:t xml:space="preserve">. zn. 30 </w:t>
      </w:r>
      <w:proofErr w:type="spellStart"/>
      <w:r w:rsidRPr="002719F2">
        <w:rPr>
          <w:sz w:val="20"/>
          <w:szCs w:val="20"/>
        </w:rPr>
        <w:t>Cdo</w:t>
      </w:r>
      <w:proofErr w:type="spellEnd"/>
      <w:r w:rsidRPr="002719F2">
        <w:rPr>
          <w:sz w:val="20"/>
          <w:szCs w:val="20"/>
        </w:rPr>
        <w:t xml:space="preserve"> 2244/2011</w:t>
      </w:r>
    </w:p>
  </w:footnote>
  <w:footnote w:id="90">
    <w:p w14:paraId="62401F6E" w14:textId="1DF8F32A" w:rsidR="00693AD1" w:rsidRPr="002719F2" w:rsidRDefault="00693AD1" w:rsidP="00415A73">
      <w:pPr>
        <w:pStyle w:val="Textpoznpodarou"/>
        <w:ind w:firstLine="0"/>
      </w:pPr>
      <w:r w:rsidRPr="00701F19">
        <w:rPr>
          <w:rStyle w:val="Znakapoznpodarou"/>
          <w:b/>
        </w:rPr>
        <w:footnoteRef/>
      </w:r>
      <w:r w:rsidR="000A027F">
        <w:t xml:space="preserve"> Tamtéž</w:t>
      </w:r>
    </w:p>
  </w:footnote>
  <w:footnote w:id="91">
    <w:p w14:paraId="5102A5FD" w14:textId="3CFE50CF" w:rsidR="00693AD1" w:rsidRPr="002719F2" w:rsidRDefault="00693AD1" w:rsidP="000F6D78">
      <w:pPr>
        <w:pStyle w:val="Textpoznpodarou"/>
        <w:ind w:left="284" w:hanging="284"/>
      </w:pPr>
      <w:r w:rsidRPr="00701F19">
        <w:rPr>
          <w:rStyle w:val="Znakapoznpodarou"/>
          <w:b/>
        </w:rPr>
        <w:footnoteRef/>
      </w:r>
      <w:r w:rsidRPr="002719F2">
        <w:t xml:space="preserve"> </w:t>
      </w:r>
      <w:r w:rsidRPr="002719F2">
        <w:rPr>
          <w:lang w:eastAsia="en-US"/>
        </w:rPr>
        <w:t xml:space="preserve">Zákon o zvláštních řízeních soudních: komentář. Vydání 2015, </w:t>
      </w:r>
      <w:r w:rsidRPr="002719F2">
        <w:t>s</w:t>
      </w:r>
      <w:r>
        <w:t>.</w:t>
      </w:r>
      <w:r w:rsidRPr="002719F2">
        <w:t xml:space="preserve"> 973–975; NS 30 </w:t>
      </w:r>
      <w:proofErr w:type="spellStart"/>
      <w:r w:rsidRPr="002719F2">
        <w:t>Cdo</w:t>
      </w:r>
      <w:proofErr w:type="spellEnd"/>
      <w:r w:rsidRPr="002719F2">
        <w:t xml:space="preserve"> 1931/2006, PR 6/2007 s. 218</w:t>
      </w:r>
    </w:p>
  </w:footnote>
  <w:footnote w:id="92">
    <w:p w14:paraId="6DA6AB61" w14:textId="06B29B93" w:rsidR="00693AD1" w:rsidRPr="002719F2" w:rsidRDefault="00693AD1" w:rsidP="007511BF">
      <w:pPr>
        <w:ind w:firstLine="0"/>
        <w:rPr>
          <w:sz w:val="20"/>
          <w:szCs w:val="20"/>
          <w:lang w:val="en-US" w:eastAsia="en-US"/>
        </w:rPr>
      </w:pPr>
      <w:r w:rsidRPr="00701F19">
        <w:rPr>
          <w:rStyle w:val="Znakapoznpodarou"/>
          <w:b/>
          <w:sz w:val="20"/>
          <w:szCs w:val="20"/>
        </w:rPr>
        <w:footnoteRef/>
      </w:r>
      <w:r w:rsidRPr="002719F2">
        <w:rPr>
          <w:sz w:val="20"/>
          <w:szCs w:val="20"/>
        </w:rPr>
        <w:t xml:space="preserve"> Rozsudek Krajského soudu v Brně, </w:t>
      </w:r>
      <w:proofErr w:type="spellStart"/>
      <w:r w:rsidRPr="002719F2">
        <w:rPr>
          <w:sz w:val="20"/>
          <w:szCs w:val="20"/>
        </w:rPr>
        <w:t>sp</w:t>
      </w:r>
      <w:proofErr w:type="spellEnd"/>
      <w:r w:rsidRPr="002719F2">
        <w:rPr>
          <w:sz w:val="20"/>
          <w:szCs w:val="20"/>
        </w:rPr>
        <w:t xml:space="preserve">. zn. 20 Co 365/2012-411 </w:t>
      </w:r>
    </w:p>
  </w:footnote>
  <w:footnote w:id="93">
    <w:p w14:paraId="2E09AB97" w14:textId="729F707C" w:rsidR="00693AD1" w:rsidRPr="002719F2" w:rsidRDefault="00693AD1" w:rsidP="007511BF">
      <w:pPr>
        <w:ind w:firstLine="0"/>
        <w:rPr>
          <w:sz w:val="20"/>
          <w:szCs w:val="20"/>
          <w:lang w:val="en-US" w:eastAsia="en-US"/>
        </w:rPr>
      </w:pPr>
      <w:r w:rsidRPr="00701F19">
        <w:rPr>
          <w:rStyle w:val="Znakapoznpodarou"/>
          <w:b/>
          <w:sz w:val="20"/>
          <w:szCs w:val="20"/>
        </w:rPr>
        <w:footnoteRef/>
      </w:r>
      <w:r w:rsidRPr="002719F2">
        <w:rPr>
          <w:sz w:val="20"/>
          <w:szCs w:val="20"/>
        </w:rPr>
        <w:t xml:space="preserve"> Rozsudek Nejvyššího soudu ČR, </w:t>
      </w:r>
      <w:r w:rsidRPr="002719F2">
        <w:rPr>
          <w:color w:val="222222"/>
          <w:sz w:val="20"/>
          <w:szCs w:val="20"/>
          <w:shd w:val="clear" w:color="auto" w:fill="FFFFFF"/>
          <w:lang w:val="en-US" w:eastAsia="en-US"/>
        </w:rPr>
        <w:t xml:space="preserve">sp. </w:t>
      </w:r>
      <w:proofErr w:type="spellStart"/>
      <w:r w:rsidRPr="002719F2">
        <w:rPr>
          <w:color w:val="222222"/>
          <w:sz w:val="20"/>
          <w:szCs w:val="20"/>
          <w:shd w:val="clear" w:color="auto" w:fill="FFFFFF"/>
          <w:lang w:val="en-US" w:eastAsia="en-US"/>
        </w:rPr>
        <w:t>zn</w:t>
      </w:r>
      <w:proofErr w:type="spellEnd"/>
      <w:r w:rsidRPr="002719F2">
        <w:rPr>
          <w:color w:val="222222"/>
          <w:sz w:val="20"/>
          <w:szCs w:val="20"/>
          <w:shd w:val="clear" w:color="auto" w:fill="FFFFFF"/>
          <w:lang w:val="en-US" w:eastAsia="en-US"/>
        </w:rPr>
        <w:t xml:space="preserve">.  30 </w:t>
      </w:r>
      <w:proofErr w:type="spellStart"/>
      <w:r w:rsidRPr="002719F2">
        <w:rPr>
          <w:color w:val="222222"/>
          <w:sz w:val="20"/>
          <w:szCs w:val="20"/>
          <w:shd w:val="clear" w:color="auto" w:fill="FFFFFF"/>
          <w:lang w:val="en-US" w:eastAsia="en-US"/>
        </w:rPr>
        <w:t>Cdo</w:t>
      </w:r>
      <w:proofErr w:type="spellEnd"/>
      <w:r w:rsidRPr="002719F2">
        <w:rPr>
          <w:color w:val="222222"/>
          <w:sz w:val="20"/>
          <w:szCs w:val="20"/>
          <w:shd w:val="clear" w:color="auto" w:fill="FFFFFF"/>
          <w:lang w:val="en-US" w:eastAsia="en-US"/>
        </w:rPr>
        <w:t xml:space="preserve"> 5473/2007 </w:t>
      </w:r>
    </w:p>
  </w:footnote>
  <w:footnote w:id="94">
    <w:p w14:paraId="4408835E" w14:textId="41E33413" w:rsidR="00693AD1" w:rsidRPr="002719F2" w:rsidRDefault="00693AD1" w:rsidP="007511BF">
      <w:pPr>
        <w:ind w:firstLine="0"/>
        <w:rPr>
          <w:sz w:val="20"/>
          <w:szCs w:val="20"/>
          <w:lang w:val="en-US" w:eastAsia="en-US"/>
        </w:rPr>
      </w:pPr>
      <w:r w:rsidRPr="00701F19">
        <w:rPr>
          <w:rStyle w:val="Znakapoznpodarou"/>
          <w:b/>
          <w:sz w:val="20"/>
          <w:szCs w:val="20"/>
        </w:rPr>
        <w:footnoteRef/>
      </w:r>
      <w:r w:rsidRPr="002719F2">
        <w:rPr>
          <w:sz w:val="20"/>
          <w:szCs w:val="20"/>
        </w:rPr>
        <w:t xml:space="preserve"> </w:t>
      </w:r>
      <w:r w:rsidRPr="002719F2">
        <w:rPr>
          <w:color w:val="222222"/>
          <w:sz w:val="20"/>
          <w:szCs w:val="20"/>
          <w:shd w:val="clear" w:color="auto" w:fill="FFFFFF"/>
          <w:lang w:eastAsia="en-US"/>
        </w:rPr>
        <w:t xml:space="preserve">Rozsudek Nejvyššího soudu ČR </w:t>
      </w:r>
      <w:proofErr w:type="spellStart"/>
      <w:r w:rsidRPr="002719F2">
        <w:rPr>
          <w:color w:val="222222"/>
          <w:sz w:val="20"/>
          <w:szCs w:val="20"/>
          <w:shd w:val="clear" w:color="auto" w:fill="FFFFFF"/>
          <w:lang w:eastAsia="en-US"/>
        </w:rPr>
        <w:t>sp</w:t>
      </w:r>
      <w:proofErr w:type="spellEnd"/>
      <w:r w:rsidRPr="002719F2">
        <w:rPr>
          <w:color w:val="222222"/>
          <w:sz w:val="20"/>
          <w:szCs w:val="20"/>
          <w:shd w:val="clear" w:color="auto" w:fill="FFFFFF"/>
          <w:lang w:eastAsia="en-US"/>
        </w:rPr>
        <w:t xml:space="preserve">. zn. 30 </w:t>
      </w:r>
      <w:proofErr w:type="spellStart"/>
      <w:r w:rsidRPr="002719F2">
        <w:rPr>
          <w:color w:val="222222"/>
          <w:sz w:val="20"/>
          <w:szCs w:val="20"/>
          <w:shd w:val="clear" w:color="auto" w:fill="FFFFFF"/>
          <w:lang w:eastAsia="en-US"/>
        </w:rPr>
        <w:t>Cdo</w:t>
      </w:r>
      <w:proofErr w:type="spellEnd"/>
      <w:r w:rsidRPr="002719F2">
        <w:rPr>
          <w:color w:val="222222"/>
          <w:sz w:val="20"/>
          <w:szCs w:val="20"/>
          <w:shd w:val="clear" w:color="auto" w:fill="FFFFFF"/>
          <w:lang w:eastAsia="en-US"/>
        </w:rPr>
        <w:t xml:space="preserve"> 1994/2013</w:t>
      </w:r>
      <w:r w:rsidRPr="002719F2">
        <w:rPr>
          <w:color w:val="222222"/>
          <w:sz w:val="20"/>
          <w:szCs w:val="20"/>
          <w:shd w:val="clear" w:color="auto" w:fill="FFFFFF"/>
          <w:lang w:val="en-US" w:eastAsia="en-US"/>
        </w:rPr>
        <w:t xml:space="preserve"> </w:t>
      </w:r>
    </w:p>
    <w:p w14:paraId="15A479E1" w14:textId="77777777" w:rsidR="00693AD1" w:rsidRPr="002719F2" w:rsidRDefault="00693AD1" w:rsidP="007511BF">
      <w:pPr>
        <w:pStyle w:val="Textpoznpodarou"/>
      </w:pPr>
    </w:p>
  </w:footnote>
  <w:footnote w:id="95">
    <w:p w14:paraId="61E46036" w14:textId="6EDF13D8" w:rsidR="00693AD1" w:rsidRPr="002719F2" w:rsidRDefault="00693AD1" w:rsidP="007511BF">
      <w:pPr>
        <w:pStyle w:val="Textpoznpodarou"/>
        <w:ind w:firstLine="0"/>
      </w:pPr>
      <w:r w:rsidRPr="00701F19">
        <w:rPr>
          <w:rStyle w:val="Znakapoznpodarou"/>
          <w:b/>
        </w:rPr>
        <w:footnoteRef/>
      </w:r>
      <w:r w:rsidRPr="002719F2">
        <w:t xml:space="preserve"> Stanovisko Generálního Advokáta ze dne 16. května 2017</w:t>
      </w:r>
    </w:p>
  </w:footnote>
  <w:footnote w:id="96">
    <w:p w14:paraId="114BEFA8" w14:textId="0CB57526" w:rsidR="00693AD1" w:rsidRPr="002719F2" w:rsidRDefault="00693AD1" w:rsidP="007511BF">
      <w:pPr>
        <w:ind w:firstLine="0"/>
        <w:rPr>
          <w:sz w:val="20"/>
          <w:szCs w:val="20"/>
          <w:lang w:val="en-US" w:eastAsia="en-US"/>
        </w:rPr>
      </w:pPr>
      <w:r w:rsidRPr="00701F19">
        <w:rPr>
          <w:rStyle w:val="Znakapoznpodarou"/>
          <w:b/>
          <w:sz w:val="20"/>
          <w:szCs w:val="20"/>
        </w:rPr>
        <w:footnoteRef/>
      </w:r>
      <w:r w:rsidRPr="002719F2">
        <w:rPr>
          <w:sz w:val="20"/>
          <w:szCs w:val="20"/>
        </w:rPr>
        <w:t xml:space="preserve"> ta</w:t>
      </w:r>
      <w:r w:rsidR="00C30E88">
        <w:rPr>
          <w:sz w:val="20"/>
          <w:szCs w:val="20"/>
        </w:rPr>
        <w:t>m</w:t>
      </w:r>
      <w:r w:rsidRPr="002719F2">
        <w:rPr>
          <w:sz w:val="20"/>
          <w:szCs w:val="20"/>
        </w:rPr>
        <w:t>též</w:t>
      </w:r>
    </w:p>
  </w:footnote>
  <w:footnote w:id="97">
    <w:p w14:paraId="2935B30F" w14:textId="534702F6" w:rsidR="00693AD1" w:rsidRPr="00285DA4" w:rsidRDefault="00693AD1" w:rsidP="007511BF">
      <w:pPr>
        <w:ind w:firstLine="0"/>
        <w:rPr>
          <w:sz w:val="20"/>
          <w:szCs w:val="20"/>
          <w:lang w:eastAsia="en-US"/>
        </w:rPr>
      </w:pPr>
      <w:r w:rsidRPr="00285DA4">
        <w:rPr>
          <w:rStyle w:val="Znakapoznpodarou"/>
          <w:b/>
          <w:sz w:val="20"/>
          <w:szCs w:val="20"/>
        </w:rPr>
        <w:footnoteRef/>
      </w:r>
      <w:r w:rsidRPr="00285DA4">
        <w:rPr>
          <w:sz w:val="20"/>
          <w:szCs w:val="20"/>
        </w:rPr>
        <w:t xml:space="preserve">  </w:t>
      </w:r>
      <w:r w:rsidRPr="00285DA4">
        <w:rPr>
          <w:sz w:val="20"/>
          <w:szCs w:val="20"/>
          <w:shd w:val="clear" w:color="auto" w:fill="FFFFFF"/>
          <w:lang w:eastAsia="en-US"/>
        </w:rPr>
        <w:t>Posudek 1/13 (Přistoupení třetích států k Haagské úmluvě) ze dne 14. října 2014, bod 78</w:t>
      </w:r>
    </w:p>
  </w:footnote>
  <w:footnote w:id="98">
    <w:p w14:paraId="0C2314AE" w14:textId="7092F766" w:rsidR="00693AD1" w:rsidRPr="00285DA4" w:rsidRDefault="00693AD1" w:rsidP="007511BF">
      <w:pPr>
        <w:ind w:firstLine="0"/>
        <w:rPr>
          <w:sz w:val="20"/>
          <w:szCs w:val="20"/>
          <w:lang w:eastAsia="en-US"/>
        </w:rPr>
      </w:pPr>
      <w:r w:rsidRPr="00285DA4">
        <w:rPr>
          <w:rStyle w:val="Znakapoznpodarou"/>
          <w:b/>
          <w:sz w:val="20"/>
          <w:szCs w:val="20"/>
        </w:rPr>
        <w:footnoteRef/>
      </w:r>
      <w:r w:rsidRPr="00285DA4">
        <w:rPr>
          <w:sz w:val="20"/>
          <w:szCs w:val="20"/>
        </w:rPr>
        <w:t xml:space="preserve">  </w:t>
      </w:r>
      <w:r w:rsidRPr="00285DA4">
        <w:rPr>
          <w:sz w:val="20"/>
          <w:szCs w:val="20"/>
          <w:shd w:val="clear" w:color="auto" w:fill="FFFFFF"/>
          <w:lang w:eastAsia="en-US"/>
        </w:rPr>
        <w:t>Rozsudek ze dne 9. října 2014, C</w:t>
      </w:r>
      <w:r w:rsidRPr="00285DA4">
        <w:rPr>
          <w:sz w:val="20"/>
          <w:szCs w:val="20"/>
          <w:shd w:val="clear" w:color="auto" w:fill="FFFFFF"/>
          <w:lang w:eastAsia="en-US"/>
        </w:rPr>
        <w:noBreakHyphen/>
        <w:t>376/14 PPU, bod 51</w:t>
      </w:r>
    </w:p>
  </w:footnote>
  <w:footnote w:id="99">
    <w:p w14:paraId="38DCFC9A" w14:textId="297BE729" w:rsidR="00693AD1" w:rsidRPr="00285DA4" w:rsidRDefault="00693AD1" w:rsidP="007511BF">
      <w:pPr>
        <w:pStyle w:val="Textpoznpodarou"/>
        <w:ind w:firstLine="0"/>
      </w:pPr>
      <w:r w:rsidRPr="00285DA4">
        <w:rPr>
          <w:rStyle w:val="Znakapoznpodarou"/>
          <w:b/>
        </w:rPr>
        <w:footnoteRef/>
      </w:r>
      <w:r w:rsidRPr="00285DA4">
        <w:t xml:space="preserve">  Stanovisko Generálního Advokáta ze dne 16. května 2017</w:t>
      </w:r>
    </w:p>
  </w:footnote>
  <w:footnote w:id="100">
    <w:p w14:paraId="19E01D9F" w14:textId="14F1AB95" w:rsidR="00693AD1" w:rsidRPr="00285DA4" w:rsidRDefault="00693AD1" w:rsidP="008F6A6B">
      <w:pPr>
        <w:ind w:left="284" w:hanging="284"/>
        <w:rPr>
          <w:sz w:val="20"/>
          <w:szCs w:val="20"/>
          <w:lang w:eastAsia="en-US"/>
        </w:rPr>
      </w:pPr>
      <w:r w:rsidRPr="00285DA4">
        <w:rPr>
          <w:rStyle w:val="Znakapoznpodarou"/>
          <w:b/>
          <w:sz w:val="20"/>
          <w:szCs w:val="20"/>
        </w:rPr>
        <w:footnoteRef/>
      </w:r>
      <w:r w:rsidRPr="00285DA4">
        <w:rPr>
          <w:sz w:val="20"/>
          <w:szCs w:val="20"/>
          <w:shd w:val="clear" w:color="auto" w:fill="FFFFFF"/>
          <w:lang w:eastAsia="en-US"/>
        </w:rPr>
        <w:t xml:space="preserve"> Viz vysvětlující zpráva, Elisa </w:t>
      </w:r>
      <w:proofErr w:type="spellStart"/>
      <w:r w:rsidRPr="00285DA4">
        <w:rPr>
          <w:sz w:val="20"/>
          <w:szCs w:val="20"/>
          <w:shd w:val="clear" w:color="auto" w:fill="FFFFFF"/>
          <w:lang w:eastAsia="en-US"/>
        </w:rPr>
        <w:t>Pérez</w:t>
      </w:r>
      <w:proofErr w:type="spellEnd"/>
      <w:r w:rsidRPr="00285DA4">
        <w:rPr>
          <w:sz w:val="20"/>
          <w:szCs w:val="20"/>
          <w:shd w:val="clear" w:color="auto" w:fill="FFFFFF"/>
          <w:lang w:eastAsia="en-US"/>
        </w:rPr>
        <w:t xml:space="preserve">-Vera, Madrid, duben 1981, bod 66; </w:t>
      </w:r>
      <w:r w:rsidRPr="00285DA4">
        <w:rPr>
          <w:i/>
          <w:iCs/>
          <w:sz w:val="20"/>
          <w:szCs w:val="20"/>
          <w:lang w:eastAsia="en-US"/>
        </w:rPr>
        <w:t>Praktická příručku pro používání nového nařízení Brusel II</w:t>
      </w:r>
      <w:r w:rsidRPr="00285DA4">
        <w:rPr>
          <w:sz w:val="20"/>
          <w:szCs w:val="20"/>
          <w:shd w:val="clear" w:color="auto" w:fill="FFFFFF"/>
          <w:lang w:eastAsia="en-US"/>
        </w:rPr>
        <w:t>, s. 12</w:t>
      </w:r>
    </w:p>
  </w:footnote>
  <w:footnote w:id="101">
    <w:p w14:paraId="45DD0AEB" w14:textId="1EC869E0" w:rsidR="00693AD1" w:rsidRPr="00285DA4" w:rsidRDefault="00693AD1" w:rsidP="008F6A6B">
      <w:pPr>
        <w:ind w:left="284" w:hanging="284"/>
        <w:rPr>
          <w:sz w:val="20"/>
          <w:szCs w:val="20"/>
          <w:lang w:eastAsia="en-US"/>
        </w:rPr>
      </w:pPr>
      <w:r w:rsidRPr="00285DA4">
        <w:rPr>
          <w:rStyle w:val="Znakapoznpodarou"/>
          <w:b/>
          <w:sz w:val="20"/>
          <w:szCs w:val="20"/>
        </w:rPr>
        <w:footnoteRef/>
      </w:r>
      <w:r w:rsidRPr="00285DA4">
        <w:rPr>
          <w:sz w:val="20"/>
          <w:szCs w:val="20"/>
          <w:shd w:val="clear" w:color="auto" w:fill="FFFFFF"/>
          <w:lang w:eastAsia="en-US"/>
        </w:rPr>
        <w:t xml:space="preserve"> Rozsudky ze dne 2. dubna 2009, A C</w:t>
      </w:r>
      <w:r w:rsidRPr="00285DA4">
        <w:rPr>
          <w:sz w:val="20"/>
          <w:szCs w:val="20"/>
          <w:shd w:val="clear" w:color="auto" w:fill="FFFFFF"/>
          <w:lang w:eastAsia="en-US"/>
        </w:rPr>
        <w:noBreakHyphen/>
        <w:t xml:space="preserve">523/07, bod 38, ze dne 22. prosince 2010, </w:t>
      </w:r>
      <w:proofErr w:type="spellStart"/>
      <w:r w:rsidRPr="00285DA4">
        <w:rPr>
          <w:sz w:val="20"/>
          <w:szCs w:val="20"/>
          <w:shd w:val="clear" w:color="auto" w:fill="FFFFFF"/>
          <w:lang w:eastAsia="en-US"/>
        </w:rPr>
        <w:t>Mercredi</w:t>
      </w:r>
      <w:proofErr w:type="spellEnd"/>
      <w:r w:rsidRPr="00285DA4">
        <w:rPr>
          <w:sz w:val="20"/>
          <w:szCs w:val="20"/>
          <w:shd w:val="clear" w:color="auto" w:fill="FFFFFF"/>
          <w:lang w:eastAsia="en-US"/>
        </w:rPr>
        <w:t xml:space="preserve"> C</w:t>
      </w:r>
      <w:r w:rsidRPr="00285DA4">
        <w:rPr>
          <w:sz w:val="20"/>
          <w:szCs w:val="20"/>
          <w:shd w:val="clear" w:color="auto" w:fill="FFFFFF"/>
          <w:lang w:eastAsia="en-US"/>
        </w:rPr>
        <w:noBreakHyphen/>
        <w:t>497/10 PPU, bod 49, a ze dne 15. února 2017, W a V C</w:t>
      </w:r>
      <w:r w:rsidRPr="00285DA4">
        <w:rPr>
          <w:sz w:val="20"/>
          <w:szCs w:val="20"/>
          <w:shd w:val="clear" w:color="auto" w:fill="FFFFFF"/>
          <w:lang w:eastAsia="en-US"/>
        </w:rPr>
        <w:noBreakHyphen/>
        <w:t>499/15, bod 61</w:t>
      </w:r>
    </w:p>
  </w:footnote>
  <w:footnote w:id="102">
    <w:p w14:paraId="4BF8AF04" w14:textId="61BAE451" w:rsidR="00693AD1" w:rsidRPr="00285DA4" w:rsidRDefault="00693AD1" w:rsidP="007511BF">
      <w:pPr>
        <w:ind w:firstLine="0"/>
        <w:rPr>
          <w:sz w:val="20"/>
          <w:szCs w:val="20"/>
          <w:lang w:eastAsia="en-US"/>
        </w:rPr>
      </w:pPr>
      <w:r w:rsidRPr="00285DA4">
        <w:rPr>
          <w:rStyle w:val="Znakapoznpodarou"/>
          <w:b/>
          <w:sz w:val="20"/>
          <w:szCs w:val="20"/>
        </w:rPr>
        <w:footnoteRef/>
      </w:r>
      <w:r w:rsidRPr="00285DA4">
        <w:rPr>
          <w:sz w:val="20"/>
          <w:szCs w:val="20"/>
        </w:rPr>
        <w:t xml:space="preserve"> </w:t>
      </w:r>
      <w:r w:rsidRPr="00285DA4">
        <w:rPr>
          <w:sz w:val="20"/>
          <w:szCs w:val="20"/>
          <w:shd w:val="clear" w:color="auto" w:fill="FFFFFF"/>
          <w:lang w:eastAsia="en-US"/>
        </w:rPr>
        <w:t>Rozsudek ze dne 15. února 2017, W a V C</w:t>
      </w:r>
      <w:r w:rsidRPr="00285DA4">
        <w:rPr>
          <w:sz w:val="20"/>
          <w:szCs w:val="20"/>
          <w:shd w:val="clear" w:color="auto" w:fill="FFFFFF"/>
          <w:lang w:eastAsia="en-US"/>
        </w:rPr>
        <w:noBreakHyphen/>
        <w:t>499/15, body 61 a 62</w:t>
      </w:r>
    </w:p>
  </w:footnote>
  <w:footnote w:id="103">
    <w:p w14:paraId="1E5EF789" w14:textId="1DE7B88A" w:rsidR="00693AD1" w:rsidRPr="002719F2" w:rsidRDefault="00693AD1" w:rsidP="007511BF">
      <w:pPr>
        <w:ind w:firstLine="0"/>
        <w:rPr>
          <w:sz w:val="20"/>
          <w:szCs w:val="20"/>
          <w:lang w:val="en-US" w:eastAsia="en-US"/>
        </w:rPr>
      </w:pPr>
      <w:r w:rsidRPr="00285DA4">
        <w:rPr>
          <w:rStyle w:val="Znakapoznpodarou"/>
          <w:b/>
          <w:sz w:val="20"/>
          <w:szCs w:val="20"/>
        </w:rPr>
        <w:footnoteRef/>
      </w:r>
      <w:r w:rsidRPr="00285DA4">
        <w:rPr>
          <w:sz w:val="20"/>
          <w:szCs w:val="20"/>
        </w:rPr>
        <w:t xml:space="preserve"> </w:t>
      </w:r>
      <w:r w:rsidRPr="00285DA4">
        <w:rPr>
          <w:sz w:val="20"/>
          <w:szCs w:val="20"/>
          <w:shd w:val="clear" w:color="auto" w:fill="FFFFFF"/>
          <w:lang w:eastAsia="en-US"/>
        </w:rPr>
        <w:t>Rozsudek ze dne 2. dubna 2009, A C</w:t>
      </w:r>
      <w:r w:rsidRPr="00285DA4">
        <w:rPr>
          <w:sz w:val="20"/>
          <w:szCs w:val="20"/>
          <w:shd w:val="clear" w:color="auto" w:fill="FFFFFF"/>
          <w:lang w:eastAsia="en-US"/>
        </w:rPr>
        <w:noBreakHyphen/>
        <w:t>523/07, bod 38</w:t>
      </w:r>
    </w:p>
  </w:footnote>
  <w:footnote w:id="104">
    <w:p w14:paraId="3C4AF665" w14:textId="36C14EF5" w:rsidR="00693AD1" w:rsidRPr="00E425BB" w:rsidRDefault="00693AD1" w:rsidP="00A74C73">
      <w:pPr>
        <w:ind w:left="284" w:hanging="284"/>
        <w:rPr>
          <w:sz w:val="20"/>
          <w:szCs w:val="20"/>
          <w:lang w:eastAsia="en-US"/>
        </w:rPr>
      </w:pPr>
      <w:r w:rsidRPr="00701F19">
        <w:rPr>
          <w:rStyle w:val="Znakapoznpodarou"/>
          <w:b/>
          <w:sz w:val="20"/>
          <w:szCs w:val="20"/>
        </w:rPr>
        <w:footnoteRef/>
      </w:r>
      <w:r w:rsidRPr="002719F2">
        <w:rPr>
          <w:sz w:val="20"/>
          <w:szCs w:val="20"/>
        </w:rPr>
        <w:t xml:space="preserve"> </w:t>
      </w:r>
      <w:r w:rsidRPr="00E425BB">
        <w:rPr>
          <w:sz w:val="20"/>
          <w:szCs w:val="20"/>
          <w:shd w:val="clear" w:color="auto" w:fill="FFFFFF"/>
          <w:lang w:eastAsia="en-US"/>
        </w:rPr>
        <w:t>Rozsudek ze dne 2. dubna 2009, A C</w:t>
      </w:r>
      <w:r w:rsidRPr="00E425BB">
        <w:rPr>
          <w:sz w:val="20"/>
          <w:szCs w:val="20"/>
          <w:shd w:val="clear" w:color="auto" w:fill="FFFFFF"/>
          <w:lang w:eastAsia="en-US"/>
        </w:rPr>
        <w:noBreakHyphen/>
        <w:t xml:space="preserve">523/07, bod 40, a ze dne 22. prosince 2010, </w:t>
      </w:r>
      <w:proofErr w:type="spellStart"/>
      <w:r w:rsidRPr="00E425BB">
        <w:rPr>
          <w:sz w:val="20"/>
          <w:szCs w:val="20"/>
          <w:shd w:val="clear" w:color="auto" w:fill="FFFFFF"/>
          <w:lang w:eastAsia="en-US"/>
        </w:rPr>
        <w:t>Mercredi</w:t>
      </w:r>
      <w:proofErr w:type="spellEnd"/>
      <w:r w:rsidRPr="00E425BB">
        <w:rPr>
          <w:sz w:val="20"/>
          <w:szCs w:val="20"/>
          <w:shd w:val="clear" w:color="auto" w:fill="FFFFFF"/>
          <w:lang w:eastAsia="en-US"/>
        </w:rPr>
        <w:t xml:space="preserve"> C</w:t>
      </w:r>
      <w:r w:rsidRPr="00E425BB">
        <w:rPr>
          <w:sz w:val="20"/>
          <w:szCs w:val="20"/>
          <w:shd w:val="clear" w:color="auto" w:fill="FFFFFF"/>
          <w:lang w:eastAsia="en-US"/>
        </w:rPr>
        <w:noBreakHyphen/>
        <w:t>497/10 PPU, bod 50</w:t>
      </w:r>
    </w:p>
  </w:footnote>
  <w:footnote w:id="105">
    <w:p w14:paraId="22DB604D" w14:textId="054E78A2" w:rsidR="00693AD1" w:rsidRPr="00E425BB" w:rsidRDefault="00693AD1" w:rsidP="007511BF">
      <w:pPr>
        <w:pStyle w:val="cfootnotetext"/>
        <w:spacing w:before="0" w:beforeAutospacing="0" w:after="0" w:afterAutospacing="0"/>
        <w:textAlignment w:val="baseline"/>
        <w:rPr>
          <w:rFonts w:ascii="Times New Roman" w:hAnsi="Times New Roman" w:cs="Times New Roman"/>
        </w:rPr>
      </w:pPr>
      <w:r w:rsidRPr="00E425BB">
        <w:rPr>
          <w:rStyle w:val="Znakapoznpodarou"/>
          <w:rFonts w:ascii="Times New Roman" w:hAnsi="Times New Roman" w:cs="Times New Roman"/>
          <w:b/>
          <w:lang w:val="cs-CZ"/>
        </w:rPr>
        <w:footnoteRef/>
      </w:r>
      <w:r w:rsidRPr="00E425BB">
        <w:rPr>
          <w:rFonts w:ascii="Times New Roman" w:hAnsi="Times New Roman" w:cs="Times New Roman"/>
          <w:lang w:val="cs-CZ"/>
        </w:rPr>
        <w:t xml:space="preserve"> Rozsudek ze dne 9. října 2014, C C</w:t>
      </w:r>
      <w:r w:rsidRPr="00E425BB">
        <w:rPr>
          <w:rFonts w:ascii="Times New Roman" w:hAnsi="Times New Roman" w:cs="Times New Roman"/>
          <w:lang w:val="cs-CZ"/>
        </w:rPr>
        <w:noBreakHyphen/>
        <w:t>376/14 PPU, bod 54</w:t>
      </w:r>
    </w:p>
  </w:footnote>
  <w:footnote w:id="106">
    <w:p w14:paraId="550A3B1E" w14:textId="271C17BB" w:rsidR="00693AD1" w:rsidRPr="00E425BB" w:rsidRDefault="00693AD1" w:rsidP="007511BF">
      <w:pPr>
        <w:pStyle w:val="Textpoznpodarou"/>
        <w:ind w:firstLine="0"/>
      </w:pPr>
      <w:r w:rsidRPr="00E425BB">
        <w:rPr>
          <w:rStyle w:val="Znakapoznpodarou"/>
          <w:b/>
        </w:rPr>
        <w:footnoteRef/>
      </w:r>
      <w:r w:rsidRPr="00E425BB">
        <w:t xml:space="preserve"> Stanovisko Generálního Advokáta ze dne 16. května 2017</w:t>
      </w:r>
    </w:p>
  </w:footnote>
  <w:footnote w:id="107">
    <w:p w14:paraId="048AE33D" w14:textId="08178ECD" w:rsidR="00693AD1" w:rsidRPr="00E425BB" w:rsidRDefault="00693AD1" w:rsidP="007511BF">
      <w:pPr>
        <w:ind w:firstLine="0"/>
        <w:rPr>
          <w:sz w:val="20"/>
          <w:szCs w:val="20"/>
          <w:lang w:eastAsia="en-US"/>
        </w:rPr>
      </w:pPr>
      <w:r w:rsidRPr="00E425BB">
        <w:rPr>
          <w:rStyle w:val="Znakapoznpodarou"/>
          <w:b/>
          <w:sz w:val="20"/>
          <w:szCs w:val="20"/>
        </w:rPr>
        <w:footnoteRef/>
      </w:r>
      <w:r w:rsidRPr="00E425BB">
        <w:rPr>
          <w:sz w:val="20"/>
          <w:szCs w:val="20"/>
        </w:rPr>
        <w:t xml:space="preserve"> </w:t>
      </w:r>
      <w:r w:rsidRPr="00E425BB">
        <w:rPr>
          <w:sz w:val="20"/>
          <w:szCs w:val="20"/>
          <w:shd w:val="clear" w:color="auto" w:fill="FFFFFF"/>
          <w:lang w:eastAsia="en-US"/>
        </w:rPr>
        <w:t>Rozsudek ze dne 9. října 2014, C C</w:t>
      </w:r>
      <w:r w:rsidRPr="00E425BB">
        <w:rPr>
          <w:sz w:val="20"/>
          <w:szCs w:val="20"/>
          <w:shd w:val="clear" w:color="auto" w:fill="FFFFFF"/>
          <w:lang w:eastAsia="en-US"/>
        </w:rPr>
        <w:noBreakHyphen/>
        <w:t>376/14 PPU, bod 54</w:t>
      </w:r>
    </w:p>
  </w:footnote>
  <w:footnote w:id="108">
    <w:p w14:paraId="5F3C5FDE" w14:textId="5DDB42B8" w:rsidR="00693AD1" w:rsidRPr="00E425BB" w:rsidRDefault="00693AD1" w:rsidP="007511BF">
      <w:pPr>
        <w:ind w:firstLine="0"/>
        <w:rPr>
          <w:sz w:val="20"/>
          <w:szCs w:val="20"/>
          <w:lang w:eastAsia="en-US"/>
        </w:rPr>
      </w:pPr>
      <w:r w:rsidRPr="00E425BB">
        <w:rPr>
          <w:rStyle w:val="Znakapoznpodarou"/>
          <w:b/>
          <w:sz w:val="20"/>
          <w:szCs w:val="20"/>
        </w:rPr>
        <w:footnoteRef/>
      </w:r>
      <w:r w:rsidRPr="00E425BB">
        <w:rPr>
          <w:sz w:val="20"/>
          <w:szCs w:val="20"/>
        </w:rPr>
        <w:t xml:space="preserve"> </w:t>
      </w:r>
      <w:r w:rsidRPr="00E425BB">
        <w:rPr>
          <w:sz w:val="20"/>
          <w:szCs w:val="20"/>
          <w:shd w:val="clear" w:color="auto" w:fill="FFFFFF"/>
          <w:lang w:eastAsia="en-US"/>
        </w:rPr>
        <w:t xml:space="preserve">Rozsudek ze dne 22. prosince 2010, </w:t>
      </w:r>
      <w:proofErr w:type="spellStart"/>
      <w:r w:rsidRPr="00E425BB">
        <w:rPr>
          <w:sz w:val="20"/>
          <w:szCs w:val="20"/>
          <w:shd w:val="clear" w:color="auto" w:fill="FFFFFF"/>
          <w:lang w:eastAsia="en-US"/>
        </w:rPr>
        <w:t>Mercredi</w:t>
      </w:r>
      <w:proofErr w:type="spellEnd"/>
      <w:r w:rsidRPr="00E425BB">
        <w:rPr>
          <w:sz w:val="20"/>
          <w:szCs w:val="20"/>
          <w:shd w:val="clear" w:color="auto" w:fill="FFFFFF"/>
          <w:lang w:eastAsia="en-US"/>
        </w:rPr>
        <w:t xml:space="preserve"> C</w:t>
      </w:r>
      <w:r w:rsidRPr="00E425BB">
        <w:rPr>
          <w:sz w:val="20"/>
          <w:szCs w:val="20"/>
          <w:shd w:val="clear" w:color="auto" w:fill="FFFFFF"/>
          <w:lang w:eastAsia="en-US"/>
        </w:rPr>
        <w:noBreakHyphen/>
        <w:t>497/10 PPU, body 45 a 46</w:t>
      </w:r>
    </w:p>
  </w:footnote>
  <w:footnote w:id="109">
    <w:p w14:paraId="3AB32B6C" w14:textId="06111543" w:rsidR="00693AD1" w:rsidRPr="00E425BB" w:rsidRDefault="00693AD1" w:rsidP="0003198F">
      <w:pPr>
        <w:pStyle w:val="cfootnotetext"/>
        <w:spacing w:before="0" w:beforeAutospacing="0" w:after="0" w:afterAutospacing="0"/>
        <w:ind w:left="284" w:hanging="284"/>
        <w:textAlignment w:val="baseline"/>
        <w:rPr>
          <w:rFonts w:ascii="Times New Roman" w:hAnsi="Times New Roman" w:cs="Times New Roman"/>
          <w:lang w:val="cs-CZ"/>
        </w:rPr>
      </w:pPr>
      <w:r w:rsidRPr="00E425BB">
        <w:rPr>
          <w:rStyle w:val="Znakapoznpodarou"/>
          <w:rFonts w:ascii="Times New Roman" w:hAnsi="Times New Roman" w:cs="Times New Roman"/>
          <w:b/>
          <w:lang w:val="cs-CZ"/>
        </w:rPr>
        <w:footnoteRef/>
      </w:r>
      <w:r w:rsidRPr="00E425BB">
        <w:rPr>
          <w:rFonts w:ascii="Times New Roman" w:hAnsi="Times New Roman" w:cs="Times New Roman"/>
          <w:lang w:val="cs-CZ"/>
        </w:rPr>
        <w:t xml:space="preserve"> </w:t>
      </w:r>
      <w:r w:rsidRPr="00E425BB">
        <w:rPr>
          <w:rFonts w:ascii="Times New Roman" w:hAnsi="Times New Roman" w:cs="Times New Roman"/>
        </w:rPr>
        <w:t xml:space="preserve">BEAUMONT, </w:t>
      </w:r>
      <w:r w:rsidRPr="00E425BB">
        <w:rPr>
          <w:rFonts w:ascii="Times New Roman" w:hAnsi="Times New Roman" w:cs="Times New Roman"/>
        </w:rPr>
        <w:t xml:space="preserve">P.. HOLIDAYJ. </w:t>
      </w:r>
      <w:r w:rsidRPr="00E425BB">
        <w:rPr>
          <w:rFonts w:ascii="Times New Roman" w:hAnsi="Times New Roman" w:cs="Times New Roman"/>
          <w:i/>
        </w:rPr>
        <w:t>Recent developments on the meaning of ‚habitual residence‘ in alleged child abduction cases,</w:t>
      </w:r>
      <w:r w:rsidRPr="00E425BB">
        <w:rPr>
          <w:rFonts w:ascii="Times New Roman" w:hAnsi="Times New Roman" w:cs="Times New Roman"/>
        </w:rPr>
        <w:t xml:space="preserve"> s. 3.</w:t>
      </w:r>
    </w:p>
  </w:footnote>
  <w:footnote w:id="110">
    <w:p w14:paraId="069595A5" w14:textId="7E4100FE" w:rsidR="00693AD1" w:rsidRPr="00E425BB" w:rsidRDefault="00693AD1" w:rsidP="007511BF">
      <w:pPr>
        <w:pStyle w:val="Textpoznpodarou"/>
        <w:ind w:firstLine="0"/>
      </w:pPr>
      <w:r w:rsidRPr="00E425BB">
        <w:rPr>
          <w:rStyle w:val="Znakapoznpodarou"/>
          <w:b/>
        </w:rPr>
        <w:footnoteRef/>
      </w:r>
      <w:r w:rsidRPr="00E425BB">
        <w:t xml:space="preserve"> Stanovisko Generálního Advokáta ze dne 16. května 2017</w:t>
      </w:r>
    </w:p>
  </w:footnote>
  <w:footnote w:id="111">
    <w:p w14:paraId="339A9264" w14:textId="54FA0B65" w:rsidR="00693AD1" w:rsidRPr="002719F2" w:rsidRDefault="00693AD1" w:rsidP="007511BF">
      <w:pPr>
        <w:ind w:firstLine="0"/>
        <w:rPr>
          <w:sz w:val="20"/>
          <w:szCs w:val="20"/>
          <w:lang w:val="en-US" w:eastAsia="en-US"/>
        </w:rPr>
      </w:pPr>
      <w:r w:rsidRPr="00E425BB">
        <w:rPr>
          <w:rStyle w:val="Znakapoznpodarou"/>
          <w:b/>
          <w:sz w:val="20"/>
          <w:szCs w:val="20"/>
        </w:rPr>
        <w:footnoteRef/>
      </w:r>
      <w:r w:rsidRPr="00E425BB">
        <w:rPr>
          <w:sz w:val="20"/>
          <w:szCs w:val="20"/>
        </w:rPr>
        <w:t xml:space="preserve"> </w:t>
      </w:r>
      <w:r w:rsidRPr="00E425BB">
        <w:rPr>
          <w:sz w:val="20"/>
          <w:szCs w:val="20"/>
          <w:shd w:val="clear" w:color="auto" w:fill="FFFFFF"/>
          <w:lang w:eastAsia="en-US"/>
        </w:rPr>
        <w:t xml:space="preserve">Rozsudek ze dne 15. července 2010, </w:t>
      </w:r>
      <w:proofErr w:type="spellStart"/>
      <w:r w:rsidRPr="00E425BB">
        <w:rPr>
          <w:sz w:val="20"/>
          <w:szCs w:val="20"/>
          <w:shd w:val="clear" w:color="auto" w:fill="FFFFFF"/>
          <w:lang w:eastAsia="en-US"/>
        </w:rPr>
        <w:t>Purrucker</w:t>
      </w:r>
      <w:proofErr w:type="spellEnd"/>
      <w:r w:rsidRPr="00E425BB">
        <w:rPr>
          <w:sz w:val="20"/>
          <w:szCs w:val="20"/>
          <w:shd w:val="clear" w:color="auto" w:fill="FFFFFF"/>
          <w:lang w:eastAsia="en-US"/>
        </w:rPr>
        <w:t>, C 256/09, bod 91</w:t>
      </w:r>
    </w:p>
  </w:footnote>
  <w:footnote w:id="112">
    <w:p w14:paraId="4BEEC9B0" w14:textId="3031B4E1" w:rsidR="00693AD1" w:rsidRPr="002719F2" w:rsidRDefault="00693AD1" w:rsidP="007511BF">
      <w:pPr>
        <w:pStyle w:val="Textpoznpodarou"/>
        <w:ind w:firstLine="0"/>
      </w:pPr>
      <w:r w:rsidRPr="00701F19">
        <w:rPr>
          <w:rStyle w:val="Znakapoznpodarou"/>
          <w:b/>
        </w:rPr>
        <w:footnoteRef/>
      </w:r>
      <w:r w:rsidRPr="002719F2">
        <w:t xml:space="preserve"> Stanovisko Generálního Advokáta ze dne 16. května 2017</w:t>
      </w:r>
    </w:p>
  </w:footnote>
  <w:footnote w:id="113">
    <w:p w14:paraId="22BC4A18" w14:textId="48577542" w:rsidR="00693AD1" w:rsidRPr="002719F2" w:rsidRDefault="00693AD1" w:rsidP="007511BF">
      <w:pPr>
        <w:pStyle w:val="Textpoznpodarou"/>
        <w:ind w:firstLine="0"/>
      </w:pPr>
      <w:r w:rsidRPr="00701F19">
        <w:rPr>
          <w:rStyle w:val="Znakapoznpodarou"/>
          <w:b/>
        </w:rPr>
        <w:footnoteRef/>
      </w:r>
      <w:r w:rsidRPr="002719F2">
        <w:t xml:space="preserve"> Rozsudek Soudního dvora ve věci „</w:t>
      </w:r>
      <w:proofErr w:type="spellStart"/>
      <w:r w:rsidRPr="002719F2">
        <w:t>Mercredi</w:t>
      </w:r>
      <w:proofErr w:type="spellEnd"/>
      <w:r w:rsidRPr="002719F2">
        <w:t xml:space="preserve">“ ze dne 22.12.2010, </w:t>
      </w:r>
      <w:proofErr w:type="spellStart"/>
      <w:r w:rsidRPr="002719F2">
        <w:t>sp</w:t>
      </w:r>
      <w:proofErr w:type="spellEnd"/>
      <w:r w:rsidRPr="002719F2">
        <w:t>.</w:t>
      </w:r>
      <w:r w:rsidR="00E425BB">
        <w:t xml:space="preserve"> </w:t>
      </w:r>
      <w:r w:rsidRPr="002719F2">
        <w:t xml:space="preserve">zn. C-497/10 PPU </w:t>
      </w:r>
    </w:p>
  </w:footnote>
  <w:footnote w:id="114">
    <w:p w14:paraId="2C733670" w14:textId="74094A59" w:rsidR="00693AD1" w:rsidRPr="002719F2" w:rsidRDefault="00693AD1" w:rsidP="004A7E9C">
      <w:pPr>
        <w:pStyle w:val="Textpoznpodarou"/>
        <w:ind w:firstLine="0"/>
      </w:pPr>
      <w:r w:rsidRPr="00701F19">
        <w:rPr>
          <w:rStyle w:val="Znakapoznpodarou"/>
          <w:b/>
        </w:rPr>
        <w:footnoteRef/>
      </w:r>
      <w:r w:rsidRPr="002719F2">
        <w:t xml:space="preserve"> </w:t>
      </w:r>
      <w:r>
        <w:t>Rozsudek Soudního dvora (prvního senátu) ze dne 15. ú</w:t>
      </w:r>
      <w:r w:rsidRPr="002719F2">
        <w:t>nora 2017. W., V. proti X. Věc C-499/15</w:t>
      </w:r>
    </w:p>
  </w:footnote>
  <w:footnote w:id="115">
    <w:p w14:paraId="5AFC379C" w14:textId="41EDC656" w:rsidR="00693AD1" w:rsidRPr="002719F2" w:rsidRDefault="00693AD1" w:rsidP="004A7E9C">
      <w:pPr>
        <w:pStyle w:val="Textpoznpodarou"/>
        <w:ind w:firstLine="0"/>
      </w:pPr>
      <w:r w:rsidRPr="00701F19">
        <w:rPr>
          <w:rStyle w:val="Znakapoznpodarou"/>
          <w:b/>
        </w:rPr>
        <w:footnoteRef/>
      </w:r>
      <w:r w:rsidR="00AF14B0">
        <w:t xml:space="preserve"> </w:t>
      </w:r>
      <w:r w:rsidR="00C115EF">
        <w:t>Rozsudek Soudního dvora (prvního senátu) ze dne 15. ú</w:t>
      </w:r>
      <w:r w:rsidR="00C115EF" w:rsidRPr="002719F2">
        <w:t>nora 2017. W., V. proti X. Věc C-499/15</w:t>
      </w:r>
    </w:p>
  </w:footnote>
  <w:footnote w:id="116">
    <w:p w14:paraId="18EE3C1B" w14:textId="544179FA" w:rsidR="00693AD1" w:rsidRPr="002719F2" w:rsidRDefault="00693AD1" w:rsidP="004A7E9C">
      <w:pPr>
        <w:pStyle w:val="Textpoznpodarou"/>
        <w:ind w:firstLine="0"/>
      </w:pPr>
      <w:r w:rsidRPr="00701F19">
        <w:rPr>
          <w:rStyle w:val="Znakapoznpodarou"/>
          <w:b/>
        </w:rPr>
        <w:footnoteRef/>
      </w:r>
      <w:r w:rsidRPr="002719F2">
        <w:t xml:space="preserve"> mezinárodní konference ČAK, JA a ERA, „mezinárodní právo rodinné v praxi“ </w:t>
      </w:r>
    </w:p>
  </w:footnote>
  <w:footnote w:id="117">
    <w:p w14:paraId="0684A8E3" w14:textId="4054D2F8" w:rsidR="00693AD1" w:rsidRPr="002719F2" w:rsidRDefault="00693AD1" w:rsidP="004A7E9C">
      <w:pPr>
        <w:pStyle w:val="Textpoznpodarou"/>
        <w:ind w:firstLine="0"/>
      </w:pPr>
      <w:r w:rsidRPr="00701F19">
        <w:rPr>
          <w:rStyle w:val="Znakapoznpodarou"/>
          <w:b/>
        </w:rPr>
        <w:footnoteRef/>
      </w:r>
      <w:r w:rsidRPr="002719F2">
        <w:t xml:space="preserve"> Haagská úmluvy, čl. 16</w:t>
      </w:r>
    </w:p>
  </w:footnote>
  <w:footnote w:id="118">
    <w:p w14:paraId="2A4FAE1C" w14:textId="120F0279" w:rsidR="00693AD1" w:rsidRPr="002719F2" w:rsidRDefault="00693AD1" w:rsidP="004A7E9C">
      <w:pPr>
        <w:pStyle w:val="Textpoznpodarou"/>
        <w:ind w:firstLine="0"/>
      </w:pPr>
      <w:r w:rsidRPr="00701F19">
        <w:rPr>
          <w:rStyle w:val="Znakapoznpodarou"/>
          <w:b/>
        </w:rPr>
        <w:footnoteRef/>
      </w:r>
      <w:r w:rsidRPr="002719F2">
        <w:t xml:space="preserve"> Haagská úmluvy, čl. 19</w:t>
      </w:r>
    </w:p>
  </w:footnote>
  <w:footnote w:id="119">
    <w:p w14:paraId="4DD73100" w14:textId="1263EC08" w:rsidR="00693AD1" w:rsidRPr="002719F2" w:rsidRDefault="00693AD1" w:rsidP="004A7E9C">
      <w:pPr>
        <w:ind w:firstLine="0"/>
        <w:rPr>
          <w:sz w:val="20"/>
          <w:szCs w:val="20"/>
        </w:rPr>
      </w:pPr>
      <w:r w:rsidRPr="00701F19">
        <w:rPr>
          <w:rStyle w:val="Znakapoznpodarou"/>
          <w:b/>
          <w:sz w:val="20"/>
          <w:szCs w:val="20"/>
        </w:rPr>
        <w:footnoteRef/>
      </w:r>
      <w:r w:rsidRPr="002719F2">
        <w:rPr>
          <w:sz w:val="20"/>
          <w:szCs w:val="20"/>
        </w:rPr>
        <w:t xml:space="preserve"> Rozhodnutí soudu Nizozemského království ze dne 14. 4. 2000, č. R99/076HR</w:t>
      </w:r>
    </w:p>
    <w:p w14:paraId="537FBC1E" w14:textId="77777777" w:rsidR="00693AD1" w:rsidRPr="002719F2" w:rsidRDefault="00693AD1">
      <w:pPr>
        <w:pStyle w:val="Textpoznpodarou"/>
      </w:pPr>
    </w:p>
  </w:footnote>
  <w:footnote w:id="120">
    <w:p w14:paraId="26C1BFA2" w14:textId="27ABB5D4" w:rsidR="00693AD1" w:rsidRPr="002719F2" w:rsidRDefault="00693AD1" w:rsidP="00701F19">
      <w:pPr>
        <w:ind w:firstLine="0"/>
        <w:rPr>
          <w:sz w:val="20"/>
          <w:szCs w:val="20"/>
        </w:rPr>
      </w:pPr>
      <w:r w:rsidRPr="00701F19">
        <w:rPr>
          <w:rStyle w:val="Znakapoznpodarou"/>
          <w:b/>
          <w:sz w:val="20"/>
          <w:szCs w:val="20"/>
        </w:rPr>
        <w:footnoteRef/>
      </w:r>
      <w:r w:rsidRPr="002719F2">
        <w:rPr>
          <w:sz w:val="20"/>
          <w:szCs w:val="20"/>
        </w:rPr>
        <w:t xml:space="preserve"> Rozhodnutí Švýcarského soudu ze dne 13. 2. 1992, č. HC/E/CH 299</w:t>
      </w:r>
    </w:p>
  </w:footnote>
  <w:footnote w:id="121">
    <w:p w14:paraId="71E16F62" w14:textId="02C2F216" w:rsidR="00693AD1" w:rsidRPr="002719F2" w:rsidRDefault="00693AD1" w:rsidP="00701F19">
      <w:pPr>
        <w:pStyle w:val="Textpoznpodarou"/>
        <w:ind w:firstLine="0"/>
      </w:pPr>
      <w:r w:rsidRPr="00701F19">
        <w:rPr>
          <w:rStyle w:val="Znakapoznpodarou"/>
          <w:b/>
        </w:rPr>
        <w:footnoteRef/>
      </w:r>
      <w:r w:rsidRPr="002719F2">
        <w:t xml:space="preserve"> mezinárodní konference ČAK, JA a ERA, „mezinárodní právo rodinné v praxi“</w:t>
      </w:r>
    </w:p>
  </w:footnote>
  <w:footnote w:id="122">
    <w:p w14:paraId="707AF204" w14:textId="09C84476" w:rsidR="00693AD1" w:rsidRPr="002719F2" w:rsidRDefault="00693AD1" w:rsidP="00701F19">
      <w:pPr>
        <w:pStyle w:val="Textpoznpodarou"/>
        <w:ind w:firstLine="0"/>
      </w:pPr>
      <w:r w:rsidRPr="00701F19">
        <w:rPr>
          <w:rStyle w:val="Znakapoznpodarou"/>
          <w:b/>
        </w:rPr>
        <w:footnoteRef/>
      </w:r>
      <w:r w:rsidRPr="002719F2">
        <w:t xml:space="preserve"> Rozsudek Soudního dvora ve věci „</w:t>
      </w:r>
      <w:proofErr w:type="spellStart"/>
      <w:r w:rsidRPr="002719F2">
        <w:t>Povse</w:t>
      </w:r>
      <w:proofErr w:type="spellEnd"/>
      <w:r w:rsidRPr="002719F2">
        <w:t xml:space="preserve"> v. </w:t>
      </w:r>
      <w:proofErr w:type="spellStart"/>
      <w:r w:rsidRPr="002719F2">
        <w:t>Alpago</w:t>
      </w:r>
      <w:proofErr w:type="spellEnd"/>
      <w:r w:rsidRPr="002719F2">
        <w:t xml:space="preserve">“ ze dne 1. 7. 2010, </w:t>
      </w:r>
      <w:proofErr w:type="spellStart"/>
      <w:r w:rsidRPr="002719F2">
        <w:t>sp</w:t>
      </w:r>
      <w:proofErr w:type="spellEnd"/>
      <w:r w:rsidRPr="002719F2">
        <w:t xml:space="preserve">. Zn. C-211/10 PPU </w:t>
      </w:r>
    </w:p>
  </w:footnote>
  <w:footnote w:id="123">
    <w:p w14:paraId="37A3878D" w14:textId="64054D47" w:rsidR="00693AD1" w:rsidRPr="002719F2" w:rsidRDefault="00693AD1" w:rsidP="00701F19">
      <w:pPr>
        <w:pStyle w:val="Textpoznpodarou"/>
        <w:ind w:firstLine="0"/>
      </w:pPr>
      <w:r w:rsidRPr="00701F19">
        <w:rPr>
          <w:rStyle w:val="Znakapoznpodarou"/>
          <w:b/>
        </w:rPr>
        <w:footnoteRef/>
      </w:r>
      <w:r w:rsidRPr="002719F2">
        <w:t xml:space="preserve"> </w:t>
      </w:r>
      <w:r>
        <w:t>N</w:t>
      </w:r>
      <w:r w:rsidRPr="002719F2">
        <w:t xml:space="preserve">ařízení Brusel </w:t>
      </w:r>
      <w:proofErr w:type="spellStart"/>
      <w:r w:rsidRPr="002719F2">
        <w:t>IIa</w:t>
      </w:r>
      <w:proofErr w:type="spellEnd"/>
      <w:r w:rsidRPr="002719F2">
        <w:t xml:space="preserve">, článek 20 </w:t>
      </w:r>
    </w:p>
  </w:footnote>
  <w:footnote w:id="124">
    <w:p w14:paraId="17940F0E" w14:textId="482036CC" w:rsidR="00693AD1" w:rsidRPr="002719F2" w:rsidRDefault="00693AD1" w:rsidP="00701F19">
      <w:pPr>
        <w:pStyle w:val="Textpoznpodarou"/>
        <w:ind w:firstLine="0"/>
      </w:pPr>
      <w:r w:rsidRPr="00701F19">
        <w:rPr>
          <w:rStyle w:val="Znakapoznpodarou"/>
          <w:b/>
        </w:rPr>
        <w:footnoteRef/>
      </w:r>
      <w:r w:rsidRPr="002719F2">
        <w:t xml:space="preserve"> ta</w:t>
      </w:r>
      <w:r w:rsidR="00FF01C8">
        <w:t>m</w:t>
      </w:r>
      <w:r w:rsidRPr="002719F2">
        <w:t>též</w:t>
      </w:r>
    </w:p>
  </w:footnote>
  <w:footnote w:id="125">
    <w:p w14:paraId="261255F8" w14:textId="12602808" w:rsidR="00693AD1" w:rsidRPr="002719F2" w:rsidRDefault="00693AD1" w:rsidP="00913477">
      <w:pPr>
        <w:pStyle w:val="Textpoznpodarou"/>
        <w:ind w:firstLine="0"/>
      </w:pPr>
      <w:r w:rsidRPr="00701F19">
        <w:rPr>
          <w:rStyle w:val="Znakapoznpodarou"/>
          <w:b/>
        </w:rPr>
        <w:footnoteRef/>
      </w:r>
      <w:r w:rsidRPr="002719F2">
        <w:t xml:space="preserve"> Rozsudek soudního dvora ve věci „</w:t>
      </w:r>
      <w:proofErr w:type="spellStart"/>
      <w:r w:rsidRPr="002719F2">
        <w:t>D</w:t>
      </w:r>
      <w:r>
        <w:t>etiček</w:t>
      </w:r>
      <w:proofErr w:type="spellEnd"/>
      <w:r>
        <w:t xml:space="preserve"> v. </w:t>
      </w:r>
      <w:proofErr w:type="spellStart"/>
      <w:r>
        <w:t>Sgueglia</w:t>
      </w:r>
      <w:proofErr w:type="spellEnd"/>
      <w:r>
        <w:t xml:space="preserve">“ ze dne 23. prosince 2009, </w:t>
      </w:r>
      <w:proofErr w:type="spellStart"/>
      <w:r>
        <w:t>sp</w:t>
      </w:r>
      <w:proofErr w:type="spellEnd"/>
      <w:r>
        <w:t>. z</w:t>
      </w:r>
      <w:r w:rsidR="00B20E4A">
        <w:t>n. C–</w:t>
      </w:r>
      <w:r w:rsidRPr="002719F2">
        <w:t xml:space="preserve">403/09 PPU </w:t>
      </w:r>
    </w:p>
  </w:footnote>
  <w:footnote w:id="126">
    <w:p w14:paraId="0431752E" w14:textId="68BA9834" w:rsidR="00693AD1" w:rsidRPr="002719F2" w:rsidRDefault="00693AD1" w:rsidP="00913477">
      <w:pPr>
        <w:pStyle w:val="Textpoznpodarou"/>
        <w:ind w:firstLine="0"/>
      </w:pPr>
      <w:r w:rsidRPr="00701F19">
        <w:rPr>
          <w:rStyle w:val="Znakapoznpodarou"/>
          <w:b/>
        </w:rPr>
        <w:footnoteRef/>
      </w:r>
      <w:r w:rsidRPr="002719F2">
        <w:t xml:space="preserve"> Haagská Úmluva, čl. 13</w:t>
      </w:r>
    </w:p>
  </w:footnote>
  <w:footnote w:id="127">
    <w:p w14:paraId="5E538E1F" w14:textId="77777777" w:rsidR="00693AD1" w:rsidRPr="002719F2" w:rsidRDefault="00693AD1" w:rsidP="0075020F">
      <w:pPr>
        <w:pStyle w:val="Textpoznpodarou"/>
        <w:ind w:left="284" w:hanging="284"/>
      </w:pPr>
      <w:r w:rsidRPr="00701F19">
        <w:rPr>
          <w:rStyle w:val="FootnoteCharacters"/>
          <w:b/>
        </w:rPr>
        <w:footnoteRef/>
      </w:r>
      <w:r w:rsidRPr="002719F2">
        <w:t xml:space="preserve"> BEAUMONT, P.R., </w:t>
      </w:r>
      <w:proofErr w:type="spellStart"/>
      <w:r w:rsidRPr="002719F2">
        <w:t>McCLEAVY</w:t>
      </w:r>
      <w:proofErr w:type="spellEnd"/>
      <w:r w:rsidRPr="002719F2">
        <w:t xml:space="preserve">, P.E. </w:t>
      </w:r>
      <w:r w:rsidRPr="002719F2">
        <w:rPr>
          <w:lang w:val="en-GB"/>
        </w:rPr>
        <w:t xml:space="preserve">The Hague Convention on International Child </w:t>
      </w:r>
      <w:proofErr w:type="spellStart"/>
      <w:r w:rsidRPr="002719F2">
        <w:rPr>
          <w:lang w:val="en-GB"/>
        </w:rPr>
        <w:t>Abducation</w:t>
      </w:r>
      <w:proofErr w:type="spellEnd"/>
      <w:r w:rsidRPr="002719F2">
        <w:rPr>
          <w:lang w:val="en-GB"/>
        </w:rPr>
        <w:t xml:space="preserve">. New York: Oxford University Press </w:t>
      </w:r>
      <w:r w:rsidRPr="002719F2">
        <w:t>Inc. 2004, s. 58</w:t>
      </w:r>
    </w:p>
  </w:footnote>
  <w:footnote w:id="128">
    <w:p w14:paraId="30465DD5" w14:textId="7A83D061" w:rsidR="00693AD1" w:rsidRPr="002719F2" w:rsidRDefault="00693AD1" w:rsidP="0040506D">
      <w:pPr>
        <w:pStyle w:val="Textpoznpodarou"/>
        <w:ind w:firstLine="0"/>
      </w:pPr>
      <w:r w:rsidRPr="00701F19">
        <w:rPr>
          <w:rStyle w:val="Znakapoznpodarou"/>
          <w:b/>
        </w:rPr>
        <w:footnoteRef/>
      </w:r>
      <w:r w:rsidRPr="002719F2">
        <w:t xml:space="preserve"> Haagská úmluva, čl. 13</w:t>
      </w:r>
    </w:p>
  </w:footnote>
  <w:footnote w:id="129">
    <w:p w14:paraId="09579F30" w14:textId="77777777" w:rsidR="00693AD1" w:rsidRPr="002719F2" w:rsidRDefault="00693AD1" w:rsidP="00B9535A">
      <w:pPr>
        <w:autoSpaceDE w:val="0"/>
        <w:autoSpaceDN w:val="0"/>
        <w:adjustRightInd w:val="0"/>
        <w:ind w:left="284" w:hanging="284"/>
        <w:rPr>
          <w:sz w:val="20"/>
          <w:szCs w:val="20"/>
        </w:rPr>
      </w:pPr>
      <w:r w:rsidRPr="00701F19">
        <w:rPr>
          <w:rStyle w:val="Znakapoznpodarou"/>
          <w:b/>
          <w:sz w:val="20"/>
          <w:szCs w:val="20"/>
        </w:rPr>
        <w:footnoteRef/>
      </w:r>
      <w:r w:rsidRPr="002719F2">
        <w:rPr>
          <w:sz w:val="20"/>
          <w:szCs w:val="20"/>
        </w:rPr>
        <w:t xml:space="preserve"> SCHULZ, A. </w:t>
      </w:r>
      <w:proofErr w:type="spellStart"/>
      <w:r w:rsidRPr="002719F2">
        <w:rPr>
          <w:sz w:val="20"/>
          <w:szCs w:val="20"/>
        </w:rPr>
        <w:t>The</w:t>
      </w:r>
      <w:proofErr w:type="spellEnd"/>
      <w:r w:rsidRPr="002719F2">
        <w:rPr>
          <w:sz w:val="20"/>
          <w:szCs w:val="20"/>
        </w:rPr>
        <w:t xml:space="preserve"> </w:t>
      </w:r>
      <w:proofErr w:type="spellStart"/>
      <w:r w:rsidRPr="002719F2">
        <w:rPr>
          <w:sz w:val="20"/>
          <w:szCs w:val="20"/>
        </w:rPr>
        <w:t>Hague</w:t>
      </w:r>
      <w:proofErr w:type="spellEnd"/>
      <w:r w:rsidRPr="002719F2">
        <w:rPr>
          <w:sz w:val="20"/>
          <w:szCs w:val="20"/>
        </w:rPr>
        <w:t xml:space="preserve"> </w:t>
      </w:r>
      <w:proofErr w:type="spellStart"/>
      <w:r w:rsidRPr="002719F2">
        <w:rPr>
          <w:sz w:val="20"/>
          <w:szCs w:val="20"/>
        </w:rPr>
        <w:t>Child</w:t>
      </w:r>
      <w:proofErr w:type="spellEnd"/>
      <w:r w:rsidRPr="002719F2">
        <w:rPr>
          <w:sz w:val="20"/>
          <w:szCs w:val="20"/>
        </w:rPr>
        <w:t xml:space="preserve"> </w:t>
      </w:r>
      <w:proofErr w:type="spellStart"/>
      <w:r w:rsidRPr="002719F2">
        <w:rPr>
          <w:sz w:val="20"/>
          <w:szCs w:val="20"/>
        </w:rPr>
        <w:t>Abduction</w:t>
      </w:r>
      <w:proofErr w:type="spellEnd"/>
      <w:r w:rsidRPr="002719F2">
        <w:rPr>
          <w:sz w:val="20"/>
          <w:szCs w:val="20"/>
        </w:rPr>
        <w:t xml:space="preserve"> </w:t>
      </w:r>
      <w:proofErr w:type="spellStart"/>
      <w:r w:rsidRPr="002719F2">
        <w:rPr>
          <w:sz w:val="20"/>
          <w:szCs w:val="20"/>
        </w:rPr>
        <w:t>Convention</w:t>
      </w:r>
      <w:proofErr w:type="spellEnd"/>
      <w:r w:rsidRPr="002719F2">
        <w:rPr>
          <w:sz w:val="20"/>
          <w:szCs w:val="20"/>
        </w:rPr>
        <w:t xml:space="preserve"> and </w:t>
      </w:r>
      <w:proofErr w:type="spellStart"/>
      <w:r w:rsidRPr="002719F2">
        <w:rPr>
          <w:sz w:val="20"/>
          <w:szCs w:val="20"/>
        </w:rPr>
        <w:t>the</w:t>
      </w:r>
      <w:proofErr w:type="spellEnd"/>
      <w:r w:rsidRPr="002719F2">
        <w:rPr>
          <w:sz w:val="20"/>
          <w:szCs w:val="20"/>
        </w:rPr>
        <w:t xml:space="preserve"> </w:t>
      </w:r>
      <w:proofErr w:type="spellStart"/>
      <w:r w:rsidRPr="002719F2">
        <w:rPr>
          <w:sz w:val="20"/>
          <w:szCs w:val="20"/>
        </w:rPr>
        <w:t>European</w:t>
      </w:r>
      <w:proofErr w:type="spellEnd"/>
      <w:r w:rsidRPr="002719F2">
        <w:rPr>
          <w:sz w:val="20"/>
          <w:szCs w:val="20"/>
        </w:rPr>
        <w:t xml:space="preserve"> </w:t>
      </w:r>
      <w:proofErr w:type="spellStart"/>
      <w:r w:rsidRPr="002719F2">
        <w:rPr>
          <w:sz w:val="20"/>
          <w:szCs w:val="20"/>
        </w:rPr>
        <w:t>Convention</w:t>
      </w:r>
      <w:proofErr w:type="spellEnd"/>
      <w:r w:rsidRPr="002719F2">
        <w:rPr>
          <w:sz w:val="20"/>
          <w:szCs w:val="20"/>
        </w:rPr>
        <w:t xml:space="preserve"> on </w:t>
      </w:r>
      <w:proofErr w:type="spellStart"/>
      <w:r w:rsidRPr="002719F2">
        <w:rPr>
          <w:sz w:val="20"/>
          <w:szCs w:val="20"/>
        </w:rPr>
        <w:t>Human</w:t>
      </w:r>
      <w:proofErr w:type="spellEnd"/>
      <w:r w:rsidRPr="002719F2">
        <w:rPr>
          <w:sz w:val="20"/>
          <w:szCs w:val="20"/>
        </w:rPr>
        <w:t xml:space="preserve"> </w:t>
      </w:r>
      <w:proofErr w:type="spellStart"/>
      <w:r w:rsidRPr="002719F2">
        <w:rPr>
          <w:sz w:val="20"/>
          <w:szCs w:val="20"/>
        </w:rPr>
        <w:t>Rights</w:t>
      </w:r>
      <w:proofErr w:type="spellEnd"/>
      <w:r w:rsidRPr="002719F2">
        <w:rPr>
          <w:sz w:val="20"/>
          <w:szCs w:val="20"/>
        </w:rPr>
        <w:t>.</w:t>
      </w:r>
    </w:p>
    <w:p w14:paraId="765C1CD4" w14:textId="01829DBA" w:rsidR="00693AD1" w:rsidRPr="002719F2" w:rsidRDefault="00693AD1" w:rsidP="00B9535A">
      <w:pPr>
        <w:pStyle w:val="Textpoznpodarou"/>
        <w:ind w:firstLine="284"/>
      </w:pPr>
      <w:r w:rsidRPr="002719F2">
        <w:t xml:space="preserve">In LODRUP. P., MODVAR, E. </w:t>
      </w:r>
      <w:proofErr w:type="spellStart"/>
      <w:r w:rsidRPr="002719F2">
        <w:t>ed</w:t>
      </w:r>
      <w:proofErr w:type="spellEnd"/>
      <w:r w:rsidRPr="002719F2">
        <w:t xml:space="preserve">. </w:t>
      </w:r>
      <w:proofErr w:type="spellStart"/>
      <w:r w:rsidRPr="002719F2">
        <w:rPr>
          <w:i/>
          <w:iCs/>
        </w:rPr>
        <w:t>Family</w:t>
      </w:r>
      <w:proofErr w:type="spellEnd"/>
      <w:r w:rsidRPr="002719F2">
        <w:rPr>
          <w:i/>
          <w:iCs/>
        </w:rPr>
        <w:t xml:space="preserve"> </w:t>
      </w:r>
      <w:proofErr w:type="spellStart"/>
      <w:r w:rsidRPr="002719F2">
        <w:rPr>
          <w:i/>
          <w:iCs/>
        </w:rPr>
        <w:t>Life</w:t>
      </w:r>
      <w:proofErr w:type="spellEnd"/>
      <w:r w:rsidRPr="002719F2">
        <w:rPr>
          <w:i/>
          <w:iCs/>
        </w:rPr>
        <w:t xml:space="preserve"> and </w:t>
      </w:r>
      <w:proofErr w:type="spellStart"/>
      <w:r w:rsidRPr="002719F2">
        <w:rPr>
          <w:i/>
          <w:iCs/>
        </w:rPr>
        <w:t>Human</w:t>
      </w:r>
      <w:proofErr w:type="spellEnd"/>
      <w:r w:rsidRPr="002719F2">
        <w:rPr>
          <w:i/>
          <w:iCs/>
        </w:rPr>
        <w:t xml:space="preserve"> </w:t>
      </w:r>
      <w:proofErr w:type="spellStart"/>
      <w:r w:rsidRPr="002719F2">
        <w:rPr>
          <w:i/>
          <w:iCs/>
        </w:rPr>
        <w:t>Rights</w:t>
      </w:r>
      <w:proofErr w:type="spellEnd"/>
      <w:r w:rsidRPr="002719F2">
        <w:t xml:space="preserve">. Oslo: </w:t>
      </w:r>
      <w:proofErr w:type="spellStart"/>
      <w:r w:rsidRPr="002719F2">
        <w:t>Gyldendal</w:t>
      </w:r>
      <w:proofErr w:type="spellEnd"/>
      <w:r w:rsidRPr="002719F2">
        <w:t>, 2004, s. 701</w:t>
      </w:r>
    </w:p>
  </w:footnote>
  <w:footnote w:id="130">
    <w:p w14:paraId="11F0471A" w14:textId="67045198" w:rsidR="00693AD1" w:rsidRPr="002719F2" w:rsidRDefault="00693AD1" w:rsidP="0040506D">
      <w:pPr>
        <w:pStyle w:val="Textpoznpodarou"/>
        <w:ind w:firstLine="0"/>
      </w:pPr>
      <w:r w:rsidRPr="00701F19">
        <w:rPr>
          <w:rStyle w:val="Znakapoznpodarou"/>
          <w:b/>
        </w:rPr>
        <w:footnoteRef/>
      </w:r>
      <w:r w:rsidRPr="002719F2">
        <w:t xml:space="preserve"> Zákon č. 89/2012 Sb., občanský zákoník, § 867</w:t>
      </w:r>
    </w:p>
  </w:footnote>
  <w:footnote w:id="131">
    <w:p w14:paraId="3E8275B0" w14:textId="2DDE0EF4" w:rsidR="00693AD1" w:rsidRPr="002719F2" w:rsidRDefault="00693AD1" w:rsidP="00B9535A">
      <w:pPr>
        <w:pStyle w:val="Textpoznpodarou"/>
        <w:ind w:firstLine="0"/>
      </w:pPr>
      <w:r w:rsidRPr="00701F19">
        <w:rPr>
          <w:rStyle w:val="Znakapoznpodarou"/>
          <w:b/>
        </w:rPr>
        <w:footnoteRef/>
      </w:r>
      <w:r w:rsidRPr="002719F2">
        <w:t xml:space="preserve"> Nález ÚS ČR, </w:t>
      </w:r>
      <w:proofErr w:type="spellStart"/>
      <w:r w:rsidRPr="002719F2">
        <w:t>sp</w:t>
      </w:r>
      <w:proofErr w:type="spellEnd"/>
      <w:r w:rsidRPr="002719F2">
        <w:t>. zn. II ÚS 378/17</w:t>
      </w:r>
    </w:p>
  </w:footnote>
  <w:footnote w:id="132">
    <w:p w14:paraId="4A8CE0C9" w14:textId="5BD69B11" w:rsidR="00693AD1" w:rsidRPr="002719F2" w:rsidRDefault="00693AD1" w:rsidP="00B9535A">
      <w:pPr>
        <w:pStyle w:val="Textpoznpodarou"/>
        <w:ind w:firstLine="0"/>
      </w:pPr>
      <w:r w:rsidRPr="00701F19">
        <w:rPr>
          <w:rStyle w:val="Znakapoznpodarou"/>
          <w:b/>
        </w:rPr>
        <w:footnoteRef/>
      </w:r>
      <w:r w:rsidRPr="002719F2">
        <w:t xml:space="preserve"> Nález ÚS</w:t>
      </w:r>
      <w:r w:rsidR="00FC633C">
        <w:t xml:space="preserve"> ČR, </w:t>
      </w:r>
      <w:proofErr w:type="spellStart"/>
      <w:r w:rsidR="00FC633C">
        <w:t>sp</w:t>
      </w:r>
      <w:proofErr w:type="spellEnd"/>
      <w:r w:rsidR="00FC633C">
        <w:t>. zn.</w:t>
      </w:r>
      <w:r w:rsidRPr="002719F2">
        <w:t xml:space="preserve"> II ÚS 378/17</w:t>
      </w:r>
    </w:p>
  </w:footnote>
  <w:footnote w:id="133">
    <w:p w14:paraId="4919BC7F" w14:textId="551FE91C" w:rsidR="00693AD1" w:rsidRPr="002719F2" w:rsidRDefault="00693AD1" w:rsidP="00B9535A">
      <w:pPr>
        <w:pStyle w:val="Textpoznpodarou"/>
        <w:ind w:firstLine="0"/>
      </w:pPr>
      <w:r w:rsidRPr="00701F19">
        <w:rPr>
          <w:rStyle w:val="Znakapoznpodarou"/>
          <w:b/>
        </w:rPr>
        <w:footnoteRef/>
      </w:r>
      <w:r w:rsidRPr="002719F2">
        <w:t xml:space="preserve"> </w:t>
      </w:r>
      <w:r w:rsidR="00E05ACA">
        <w:t>Tamtéž</w:t>
      </w:r>
    </w:p>
  </w:footnote>
  <w:footnote w:id="134">
    <w:p w14:paraId="006FBC6B" w14:textId="2317354B" w:rsidR="00693AD1" w:rsidRDefault="00693AD1" w:rsidP="003A7C3B">
      <w:pPr>
        <w:pStyle w:val="Textpoznpodarou"/>
        <w:ind w:left="284" w:hanging="284"/>
      </w:pPr>
      <w:r w:rsidRPr="00701F19">
        <w:rPr>
          <w:rStyle w:val="Znakapoznpodarou"/>
          <w:b/>
        </w:rPr>
        <w:footnoteRef/>
      </w:r>
      <w:r w:rsidRPr="002719F2">
        <w:t xml:space="preserve"> </w:t>
      </w:r>
      <w:r w:rsidR="00365B20">
        <w:rPr>
          <w:i/>
        </w:rPr>
        <w:t xml:space="preserve">ÚS: k Haagské úmluvě o mezinárodních únosech </w:t>
      </w:r>
      <w:r w:rsidR="00365B20" w:rsidRPr="00F2733A">
        <w:t>dětí</w:t>
      </w:r>
      <w:r w:rsidR="00365B20">
        <w:t xml:space="preserve">. </w:t>
      </w:r>
      <w:r w:rsidR="00365B20" w:rsidRPr="00F2733A">
        <w:t>Bulletin</w:t>
      </w:r>
      <w:r w:rsidR="00365B20" w:rsidRPr="00DC73DC">
        <w:t xml:space="preserve"> advokacie.</w:t>
      </w:r>
      <w:r w:rsidR="00365B20" w:rsidRPr="00F2733A">
        <w:t xml:space="preserve"> </w:t>
      </w:r>
      <w:r w:rsidR="00365B20">
        <w:t>[online]. Praha,</w:t>
      </w:r>
      <w:r w:rsidR="00365B20" w:rsidRPr="00DC73DC">
        <w:t xml:space="preserve"> 2017. [cit. 21. 8. 2017].</w:t>
      </w:r>
    </w:p>
  </w:footnote>
  <w:footnote w:id="135">
    <w:p w14:paraId="3BC3723F" w14:textId="4F7AB445" w:rsidR="00693AD1" w:rsidRPr="00913477" w:rsidRDefault="00693AD1" w:rsidP="007670FA">
      <w:pPr>
        <w:ind w:firstLine="0"/>
        <w:rPr>
          <w:sz w:val="20"/>
          <w:szCs w:val="20"/>
        </w:rPr>
      </w:pPr>
      <w:r w:rsidRPr="00693A1B">
        <w:rPr>
          <w:rStyle w:val="Znakapoznpodarou"/>
          <w:b/>
          <w:sz w:val="20"/>
          <w:szCs w:val="20"/>
        </w:rPr>
        <w:footnoteRef/>
      </w:r>
      <w:r w:rsidRPr="00E36B69">
        <w:rPr>
          <w:sz w:val="20"/>
          <w:szCs w:val="20"/>
        </w:rPr>
        <w:t xml:space="preserve"> </w:t>
      </w:r>
      <w:r>
        <w:rPr>
          <w:sz w:val="20"/>
          <w:szCs w:val="20"/>
        </w:rPr>
        <w:t xml:space="preserve">Rozsudek Nejvyššího soudu ČR ze dne 5. 3. 2008, </w:t>
      </w:r>
      <w:proofErr w:type="spellStart"/>
      <w:r>
        <w:rPr>
          <w:sz w:val="20"/>
          <w:szCs w:val="20"/>
        </w:rPr>
        <w:t>sp</w:t>
      </w:r>
      <w:proofErr w:type="spellEnd"/>
      <w:r>
        <w:rPr>
          <w:sz w:val="20"/>
          <w:szCs w:val="20"/>
        </w:rPr>
        <w:t xml:space="preserve">. zn. 30 </w:t>
      </w:r>
      <w:proofErr w:type="spellStart"/>
      <w:r>
        <w:rPr>
          <w:sz w:val="20"/>
          <w:szCs w:val="20"/>
        </w:rPr>
        <w:t>Cdo</w:t>
      </w:r>
      <w:proofErr w:type="spellEnd"/>
      <w:r>
        <w:rPr>
          <w:sz w:val="20"/>
          <w:szCs w:val="20"/>
        </w:rPr>
        <w:t xml:space="preserve"> 5473/2007 </w:t>
      </w:r>
    </w:p>
  </w:footnote>
  <w:footnote w:id="136">
    <w:p w14:paraId="5402A60A" w14:textId="1E3DA869" w:rsidR="00693AD1" w:rsidRPr="00913477" w:rsidRDefault="00693AD1" w:rsidP="00D36B1E">
      <w:pPr>
        <w:pStyle w:val="Textpoznpodarou"/>
        <w:ind w:firstLine="0"/>
      </w:pPr>
      <w:r w:rsidRPr="008C7753">
        <w:rPr>
          <w:rStyle w:val="Znakapoznpodarou"/>
          <w:b/>
        </w:rPr>
        <w:footnoteRef/>
      </w:r>
      <w:r>
        <w:t xml:space="preserve"> Nález ÚS ČR, </w:t>
      </w:r>
      <w:proofErr w:type="spellStart"/>
      <w:r>
        <w:t>sp</w:t>
      </w:r>
      <w:proofErr w:type="spellEnd"/>
      <w:r>
        <w:t xml:space="preserve">. zn. III. ÚS 440/2000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016"/>
    <w:multiLevelType w:val="multilevel"/>
    <w:tmpl w:val="6D1C33C8"/>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1" w15:restartNumberingAfterBreak="0">
    <w:nsid w:val="12E1067F"/>
    <w:multiLevelType w:val="multilevel"/>
    <w:tmpl w:val="16C8681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25A1882"/>
    <w:multiLevelType w:val="multilevel"/>
    <w:tmpl w:val="F1144B4A"/>
    <w:lvl w:ilvl="0">
      <w:start w:val="2"/>
      <w:numFmt w:val="decimal"/>
      <w:lvlText w:val="%1."/>
      <w:lvlJc w:val="left"/>
      <w:pPr>
        <w:ind w:left="580" w:hanging="580"/>
      </w:pPr>
      <w:rPr>
        <w:rFonts w:asciiTheme="minorHAnsi" w:hAnsiTheme="minorHAnsi" w:hint="default"/>
      </w:rPr>
    </w:lvl>
    <w:lvl w:ilvl="1">
      <w:start w:val="1"/>
      <w:numFmt w:val="decimal"/>
      <w:lvlText w:val="%1.%2."/>
      <w:lvlJc w:val="left"/>
      <w:pPr>
        <w:ind w:left="1145" w:hanging="720"/>
      </w:pPr>
      <w:rPr>
        <w:rFonts w:asciiTheme="minorHAnsi" w:hAnsiTheme="minorHAnsi" w:hint="default"/>
      </w:rPr>
    </w:lvl>
    <w:lvl w:ilvl="2">
      <w:start w:val="4"/>
      <w:numFmt w:val="decimal"/>
      <w:lvlText w:val="%1.%2.%3."/>
      <w:lvlJc w:val="left"/>
      <w:pPr>
        <w:ind w:left="1570" w:hanging="720"/>
      </w:pPr>
      <w:rPr>
        <w:rFonts w:asciiTheme="minorHAnsi" w:hAnsiTheme="minorHAnsi" w:hint="default"/>
      </w:rPr>
    </w:lvl>
    <w:lvl w:ilvl="3">
      <w:start w:val="1"/>
      <w:numFmt w:val="decimal"/>
      <w:lvlText w:val="%1.%2.%3.%4."/>
      <w:lvlJc w:val="left"/>
      <w:pPr>
        <w:ind w:left="2355" w:hanging="1080"/>
      </w:pPr>
      <w:rPr>
        <w:rFonts w:asciiTheme="minorHAnsi" w:hAnsiTheme="minorHAnsi" w:hint="default"/>
      </w:rPr>
    </w:lvl>
    <w:lvl w:ilvl="4">
      <w:start w:val="1"/>
      <w:numFmt w:val="decimal"/>
      <w:lvlText w:val="%1.%2.%3.%4.%5."/>
      <w:lvlJc w:val="left"/>
      <w:pPr>
        <w:ind w:left="3140" w:hanging="1440"/>
      </w:pPr>
      <w:rPr>
        <w:rFonts w:asciiTheme="minorHAnsi" w:hAnsiTheme="minorHAnsi" w:hint="default"/>
      </w:rPr>
    </w:lvl>
    <w:lvl w:ilvl="5">
      <w:start w:val="1"/>
      <w:numFmt w:val="decimal"/>
      <w:lvlText w:val="%1.%2.%3.%4.%5.%6."/>
      <w:lvlJc w:val="left"/>
      <w:pPr>
        <w:ind w:left="3565" w:hanging="1440"/>
      </w:pPr>
      <w:rPr>
        <w:rFonts w:asciiTheme="minorHAnsi" w:hAnsiTheme="minorHAnsi" w:hint="default"/>
      </w:rPr>
    </w:lvl>
    <w:lvl w:ilvl="6">
      <w:start w:val="1"/>
      <w:numFmt w:val="decimal"/>
      <w:lvlText w:val="%1.%2.%3.%4.%5.%6.%7."/>
      <w:lvlJc w:val="left"/>
      <w:pPr>
        <w:ind w:left="4350" w:hanging="1800"/>
      </w:pPr>
      <w:rPr>
        <w:rFonts w:asciiTheme="minorHAnsi" w:hAnsiTheme="minorHAnsi" w:hint="default"/>
      </w:rPr>
    </w:lvl>
    <w:lvl w:ilvl="7">
      <w:start w:val="1"/>
      <w:numFmt w:val="decimal"/>
      <w:lvlText w:val="%1.%2.%3.%4.%5.%6.%7.%8."/>
      <w:lvlJc w:val="left"/>
      <w:pPr>
        <w:ind w:left="4775" w:hanging="1800"/>
      </w:pPr>
      <w:rPr>
        <w:rFonts w:asciiTheme="minorHAnsi" w:hAnsiTheme="minorHAnsi" w:hint="default"/>
      </w:rPr>
    </w:lvl>
    <w:lvl w:ilvl="8">
      <w:start w:val="1"/>
      <w:numFmt w:val="decimal"/>
      <w:lvlText w:val="%1.%2.%3.%4.%5.%6.%7.%8.%9."/>
      <w:lvlJc w:val="left"/>
      <w:pPr>
        <w:ind w:left="5560" w:hanging="2160"/>
      </w:pPr>
      <w:rPr>
        <w:rFonts w:asciiTheme="minorHAnsi" w:hAnsiTheme="minorHAnsi" w:hint="default"/>
      </w:rPr>
    </w:lvl>
  </w:abstractNum>
  <w:abstractNum w:abstractNumId="3" w15:restartNumberingAfterBreak="0">
    <w:nsid w:val="295A24F4"/>
    <w:multiLevelType w:val="hybridMultilevel"/>
    <w:tmpl w:val="6BE47108"/>
    <w:lvl w:ilvl="0" w:tplc="D03886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42A63"/>
    <w:multiLevelType w:val="multilevel"/>
    <w:tmpl w:val="83A0FAE0"/>
    <w:lvl w:ilvl="0">
      <w:start w:val="2"/>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B9239AF"/>
    <w:multiLevelType w:val="multilevel"/>
    <w:tmpl w:val="51549748"/>
    <w:lvl w:ilvl="0">
      <w:start w:val="2"/>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CC65186"/>
    <w:multiLevelType w:val="multilevel"/>
    <w:tmpl w:val="7CD6A796"/>
    <w:lvl w:ilvl="0">
      <w:start w:val="2"/>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DBF3AA0"/>
    <w:multiLevelType w:val="multilevel"/>
    <w:tmpl w:val="BD0C252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8" w15:restartNumberingAfterBreak="0">
    <w:nsid w:val="2EEA7D10"/>
    <w:multiLevelType w:val="multilevel"/>
    <w:tmpl w:val="69402790"/>
    <w:lvl w:ilvl="0">
      <w:start w:val="2"/>
      <w:numFmt w:val="decimal"/>
      <w:lvlText w:val="%1."/>
      <w:lvlJc w:val="left"/>
      <w:pPr>
        <w:ind w:left="580" w:hanging="580"/>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58C0569"/>
    <w:multiLevelType w:val="multilevel"/>
    <w:tmpl w:val="7D6AB95C"/>
    <w:lvl w:ilvl="0">
      <w:start w:val="2"/>
      <w:numFmt w:val="decimal"/>
      <w:lvlText w:val="%1."/>
      <w:lvlJc w:val="left"/>
      <w:pPr>
        <w:ind w:left="580" w:hanging="58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3713241F"/>
    <w:multiLevelType w:val="multilevel"/>
    <w:tmpl w:val="D3C47F0E"/>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BEE5883"/>
    <w:multiLevelType w:val="multilevel"/>
    <w:tmpl w:val="4CF603C6"/>
    <w:lvl w:ilvl="0">
      <w:start w:val="1"/>
      <w:numFmt w:val="decimal"/>
      <w:lvlText w:val="%1."/>
      <w:lvlJc w:val="left"/>
      <w:pPr>
        <w:ind w:left="720" w:hanging="360"/>
      </w:pPr>
      <w:rPr>
        <w:rFonts w:hint="default"/>
      </w:rPr>
    </w:lvl>
    <w:lvl w:ilvl="1">
      <w:start w:val="4"/>
      <w:numFmt w:val="decimal"/>
      <w:isLgl/>
      <w:lvlText w:val="%1.%2."/>
      <w:lvlJc w:val="left"/>
      <w:pPr>
        <w:ind w:left="132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2" w15:restartNumberingAfterBreak="0">
    <w:nsid w:val="4BD62411"/>
    <w:multiLevelType w:val="multilevel"/>
    <w:tmpl w:val="F632A0A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650D666C"/>
    <w:multiLevelType w:val="multilevel"/>
    <w:tmpl w:val="9AFC2DE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6DAE04AE"/>
    <w:multiLevelType w:val="hybridMultilevel"/>
    <w:tmpl w:val="96F235E6"/>
    <w:lvl w:ilvl="0" w:tplc="208E6AE4">
      <w:start w:val="1"/>
      <w:numFmt w:val="decimal"/>
      <w:lvlText w:val="%1)"/>
      <w:lvlJc w:val="left"/>
      <w:pPr>
        <w:ind w:left="5889"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B2AD1"/>
    <w:multiLevelType w:val="multilevel"/>
    <w:tmpl w:val="F1144B4A"/>
    <w:lvl w:ilvl="0">
      <w:start w:val="2"/>
      <w:numFmt w:val="decimal"/>
      <w:lvlText w:val="%1."/>
      <w:lvlJc w:val="left"/>
      <w:pPr>
        <w:ind w:left="580" w:hanging="580"/>
      </w:pPr>
      <w:rPr>
        <w:rFonts w:asciiTheme="minorHAnsi" w:hAnsiTheme="minorHAnsi" w:hint="default"/>
      </w:rPr>
    </w:lvl>
    <w:lvl w:ilvl="1">
      <w:start w:val="1"/>
      <w:numFmt w:val="decimal"/>
      <w:lvlText w:val="%1.%2."/>
      <w:lvlJc w:val="left"/>
      <w:pPr>
        <w:ind w:left="1145" w:hanging="720"/>
      </w:pPr>
      <w:rPr>
        <w:rFonts w:asciiTheme="minorHAnsi" w:hAnsiTheme="minorHAnsi" w:hint="default"/>
      </w:rPr>
    </w:lvl>
    <w:lvl w:ilvl="2">
      <w:start w:val="4"/>
      <w:numFmt w:val="decimal"/>
      <w:lvlText w:val="%1.%2.%3."/>
      <w:lvlJc w:val="left"/>
      <w:pPr>
        <w:ind w:left="1570" w:hanging="720"/>
      </w:pPr>
      <w:rPr>
        <w:rFonts w:asciiTheme="minorHAnsi" w:hAnsiTheme="minorHAnsi" w:hint="default"/>
      </w:rPr>
    </w:lvl>
    <w:lvl w:ilvl="3">
      <w:start w:val="1"/>
      <w:numFmt w:val="decimal"/>
      <w:lvlText w:val="%1.%2.%3.%4."/>
      <w:lvlJc w:val="left"/>
      <w:pPr>
        <w:ind w:left="2355" w:hanging="1080"/>
      </w:pPr>
      <w:rPr>
        <w:rFonts w:asciiTheme="minorHAnsi" w:hAnsiTheme="minorHAnsi" w:hint="default"/>
      </w:rPr>
    </w:lvl>
    <w:lvl w:ilvl="4">
      <w:start w:val="1"/>
      <w:numFmt w:val="decimal"/>
      <w:lvlText w:val="%1.%2.%3.%4.%5."/>
      <w:lvlJc w:val="left"/>
      <w:pPr>
        <w:ind w:left="3140" w:hanging="1440"/>
      </w:pPr>
      <w:rPr>
        <w:rFonts w:asciiTheme="minorHAnsi" w:hAnsiTheme="minorHAnsi" w:hint="default"/>
      </w:rPr>
    </w:lvl>
    <w:lvl w:ilvl="5">
      <w:start w:val="1"/>
      <w:numFmt w:val="decimal"/>
      <w:lvlText w:val="%1.%2.%3.%4.%5.%6."/>
      <w:lvlJc w:val="left"/>
      <w:pPr>
        <w:ind w:left="3565" w:hanging="1440"/>
      </w:pPr>
      <w:rPr>
        <w:rFonts w:asciiTheme="minorHAnsi" w:hAnsiTheme="minorHAnsi" w:hint="default"/>
      </w:rPr>
    </w:lvl>
    <w:lvl w:ilvl="6">
      <w:start w:val="1"/>
      <w:numFmt w:val="decimal"/>
      <w:lvlText w:val="%1.%2.%3.%4.%5.%6.%7."/>
      <w:lvlJc w:val="left"/>
      <w:pPr>
        <w:ind w:left="4350" w:hanging="1800"/>
      </w:pPr>
      <w:rPr>
        <w:rFonts w:asciiTheme="minorHAnsi" w:hAnsiTheme="minorHAnsi" w:hint="default"/>
      </w:rPr>
    </w:lvl>
    <w:lvl w:ilvl="7">
      <w:start w:val="1"/>
      <w:numFmt w:val="decimal"/>
      <w:lvlText w:val="%1.%2.%3.%4.%5.%6.%7.%8."/>
      <w:lvlJc w:val="left"/>
      <w:pPr>
        <w:ind w:left="4775" w:hanging="1800"/>
      </w:pPr>
      <w:rPr>
        <w:rFonts w:asciiTheme="minorHAnsi" w:hAnsiTheme="minorHAnsi" w:hint="default"/>
      </w:rPr>
    </w:lvl>
    <w:lvl w:ilvl="8">
      <w:start w:val="1"/>
      <w:numFmt w:val="decimal"/>
      <w:lvlText w:val="%1.%2.%3.%4.%5.%6.%7.%8.%9."/>
      <w:lvlJc w:val="left"/>
      <w:pPr>
        <w:ind w:left="5560" w:hanging="2160"/>
      </w:pPr>
      <w:rPr>
        <w:rFonts w:asciiTheme="minorHAnsi" w:hAnsiTheme="minorHAnsi" w:hint="default"/>
      </w:rPr>
    </w:lvl>
  </w:abstractNum>
  <w:abstractNum w:abstractNumId="16" w15:restartNumberingAfterBreak="0">
    <w:nsid w:val="7E142B9D"/>
    <w:multiLevelType w:val="multilevel"/>
    <w:tmpl w:val="7DD83FB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E222F22"/>
    <w:multiLevelType w:val="multilevel"/>
    <w:tmpl w:val="CFB05296"/>
    <w:lvl w:ilvl="0">
      <w:start w:val="1"/>
      <w:numFmt w:val="decimal"/>
      <w:lvlText w:val="%1."/>
      <w:lvlJc w:val="left"/>
      <w:pPr>
        <w:ind w:left="580" w:hanging="58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0"/>
  </w:num>
  <w:num w:numId="2">
    <w:abstractNumId w:val="13"/>
  </w:num>
  <w:num w:numId="3">
    <w:abstractNumId w:val="7"/>
  </w:num>
  <w:num w:numId="4">
    <w:abstractNumId w:val="2"/>
  </w:num>
  <w:num w:numId="5">
    <w:abstractNumId w:val="17"/>
  </w:num>
  <w:num w:numId="6">
    <w:abstractNumId w:val="14"/>
  </w:num>
  <w:num w:numId="7">
    <w:abstractNumId w:val="3"/>
  </w:num>
  <w:num w:numId="8">
    <w:abstractNumId w:val="16"/>
  </w:num>
  <w:num w:numId="9">
    <w:abstractNumId w:val="1"/>
  </w:num>
  <w:num w:numId="10">
    <w:abstractNumId w:val="11"/>
  </w:num>
  <w:num w:numId="11">
    <w:abstractNumId w:val="10"/>
  </w:num>
  <w:num w:numId="12">
    <w:abstractNumId w:val="6"/>
  </w:num>
  <w:num w:numId="13">
    <w:abstractNumId w:val="8"/>
  </w:num>
  <w:num w:numId="14">
    <w:abstractNumId w:val="15"/>
  </w:num>
  <w:num w:numId="15">
    <w:abstractNumId w:val="9"/>
  </w:num>
  <w:num w:numId="16">
    <w:abstractNumId w:val="4"/>
  </w:num>
  <w:num w:numId="17">
    <w:abstractNumId w:val="5"/>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4D"/>
    <w:rsid w:val="0000638B"/>
    <w:rsid w:val="00007D83"/>
    <w:rsid w:val="0003198F"/>
    <w:rsid w:val="00040F9B"/>
    <w:rsid w:val="00046D94"/>
    <w:rsid w:val="00050DE9"/>
    <w:rsid w:val="00075E27"/>
    <w:rsid w:val="00076144"/>
    <w:rsid w:val="00076D17"/>
    <w:rsid w:val="00083169"/>
    <w:rsid w:val="000864BB"/>
    <w:rsid w:val="00086535"/>
    <w:rsid w:val="000A027F"/>
    <w:rsid w:val="000A2934"/>
    <w:rsid w:val="000A379E"/>
    <w:rsid w:val="000B1F42"/>
    <w:rsid w:val="000C0BC7"/>
    <w:rsid w:val="000C1FFC"/>
    <w:rsid w:val="000F2114"/>
    <w:rsid w:val="000F3BCC"/>
    <w:rsid w:val="000F6D78"/>
    <w:rsid w:val="00105071"/>
    <w:rsid w:val="001056BF"/>
    <w:rsid w:val="00113B14"/>
    <w:rsid w:val="00114AE6"/>
    <w:rsid w:val="00116B8F"/>
    <w:rsid w:val="00117535"/>
    <w:rsid w:val="00120B2A"/>
    <w:rsid w:val="001248B4"/>
    <w:rsid w:val="00124B28"/>
    <w:rsid w:val="001321CD"/>
    <w:rsid w:val="00143717"/>
    <w:rsid w:val="00155EDA"/>
    <w:rsid w:val="00156414"/>
    <w:rsid w:val="001576FA"/>
    <w:rsid w:val="0016049C"/>
    <w:rsid w:val="00162D6D"/>
    <w:rsid w:val="00163FC4"/>
    <w:rsid w:val="00167484"/>
    <w:rsid w:val="0016786F"/>
    <w:rsid w:val="00170C1F"/>
    <w:rsid w:val="00172684"/>
    <w:rsid w:val="00173E69"/>
    <w:rsid w:val="00176811"/>
    <w:rsid w:val="00182F3B"/>
    <w:rsid w:val="00190066"/>
    <w:rsid w:val="001931B8"/>
    <w:rsid w:val="001B4063"/>
    <w:rsid w:val="001B47E3"/>
    <w:rsid w:val="001B6656"/>
    <w:rsid w:val="001C4264"/>
    <w:rsid w:val="001D0195"/>
    <w:rsid w:val="001D39BC"/>
    <w:rsid w:val="001F042B"/>
    <w:rsid w:val="001F25BA"/>
    <w:rsid w:val="001F5BE9"/>
    <w:rsid w:val="00203ADE"/>
    <w:rsid w:val="00204322"/>
    <w:rsid w:val="0020610E"/>
    <w:rsid w:val="00211EED"/>
    <w:rsid w:val="00217274"/>
    <w:rsid w:val="002210DA"/>
    <w:rsid w:val="00223374"/>
    <w:rsid w:val="00235DF2"/>
    <w:rsid w:val="00237FA8"/>
    <w:rsid w:val="00241BFB"/>
    <w:rsid w:val="002427E5"/>
    <w:rsid w:val="0027011F"/>
    <w:rsid w:val="002719F2"/>
    <w:rsid w:val="00271E7C"/>
    <w:rsid w:val="00276E78"/>
    <w:rsid w:val="00277441"/>
    <w:rsid w:val="0028110B"/>
    <w:rsid w:val="002812F4"/>
    <w:rsid w:val="00285DA4"/>
    <w:rsid w:val="0028785B"/>
    <w:rsid w:val="0029143F"/>
    <w:rsid w:val="00293741"/>
    <w:rsid w:val="002A037F"/>
    <w:rsid w:val="002A0B1F"/>
    <w:rsid w:val="002B02B3"/>
    <w:rsid w:val="002B4419"/>
    <w:rsid w:val="002B5931"/>
    <w:rsid w:val="002B7D0D"/>
    <w:rsid w:val="002D10D8"/>
    <w:rsid w:val="002D1847"/>
    <w:rsid w:val="002E1469"/>
    <w:rsid w:val="002E1FA2"/>
    <w:rsid w:val="002E5161"/>
    <w:rsid w:val="002E5A75"/>
    <w:rsid w:val="002E7A46"/>
    <w:rsid w:val="002F32E7"/>
    <w:rsid w:val="002F623D"/>
    <w:rsid w:val="003017E1"/>
    <w:rsid w:val="00303B28"/>
    <w:rsid w:val="0030452F"/>
    <w:rsid w:val="003049FB"/>
    <w:rsid w:val="00307174"/>
    <w:rsid w:val="0031307D"/>
    <w:rsid w:val="0032247F"/>
    <w:rsid w:val="00327ACA"/>
    <w:rsid w:val="00331170"/>
    <w:rsid w:val="003405CB"/>
    <w:rsid w:val="0034087C"/>
    <w:rsid w:val="003652C2"/>
    <w:rsid w:val="00365B20"/>
    <w:rsid w:val="00370078"/>
    <w:rsid w:val="00371403"/>
    <w:rsid w:val="00371D93"/>
    <w:rsid w:val="003754A4"/>
    <w:rsid w:val="003765F0"/>
    <w:rsid w:val="00380357"/>
    <w:rsid w:val="003806A8"/>
    <w:rsid w:val="00381721"/>
    <w:rsid w:val="00385A77"/>
    <w:rsid w:val="00385CB0"/>
    <w:rsid w:val="003A7C3B"/>
    <w:rsid w:val="003B6C35"/>
    <w:rsid w:val="003C6D76"/>
    <w:rsid w:val="003C76B2"/>
    <w:rsid w:val="003D40A3"/>
    <w:rsid w:val="003E0AB7"/>
    <w:rsid w:val="003E0B4D"/>
    <w:rsid w:val="003E2838"/>
    <w:rsid w:val="003E609B"/>
    <w:rsid w:val="003F0537"/>
    <w:rsid w:val="003F23AA"/>
    <w:rsid w:val="004014D1"/>
    <w:rsid w:val="0040506D"/>
    <w:rsid w:val="00406C92"/>
    <w:rsid w:val="00413D92"/>
    <w:rsid w:val="00415A73"/>
    <w:rsid w:val="004267D0"/>
    <w:rsid w:val="00433179"/>
    <w:rsid w:val="00437DC1"/>
    <w:rsid w:val="0044283A"/>
    <w:rsid w:val="0044537E"/>
    <w:rsid w:val="004472AE"/>
    <w:rsid w:val="00450DA3"/>
    <w:rsid w:val="0046004F"/>
    <w:rsid w:val="00462BC7"/>
    <w:rsid w:val="004A1D2A"/>
    <w:rsid w:val="004A5AB1"/>
    <w:rsid w:val="004A7E9C"/>
    <w:rsid w:val="004B4E08"/>
    <w:rsid w:val="004B5859"/>
    <w:rsid w:val="004C0C8A"/>
    <w:rsid w:val="004D6508"/>
    <w:rsid w:val="004D6CD7"/>
    <w:rsid w:val="004E7AB0"/>
    <w:rsid w:val="00511717"/>
    <w:rsid w:val="00513480"/>
    <w:rsid w:val="00514924"/>
    <w:rsid w:val="0051697C"/>
    <w:rsid w:val="00524BC0"/>
    <w:rsid w:val="0053137B"/>
    <w:rsid w:val="00544CD0"/>
    <w:rsid w:val="00546028"/>
    <w:rsid w:val="005613CD"/>
    <w:rsid w:val="005618A2"/>
    <w:rsid w:val="005637D0"/>
    <w:rsid w:val="00566A7A"/>
    <w:rsid w:val="0056760D"/>
    <w:rsid w:val="00590336"/>
    <w:rsid w:val="00590A85"/>
    <w:rsid w:val="005955C3"/>
    <w:rsid w:val="00595B6D"/>
    <w:rsid w:val="005A188E"/>
    <w:rsid w:val="005B3660"/>
    <w:rsid w:val="005C1237"/>
    <w:rsid w:val="005D6BA9"/>
    <w:rsid w:val="005E083F"/>
    <w:rsid w:val="005F5BA4"/>
    <w:rsid w:val="005F62E5"/>
    <w:rsid w:val="005F6FE8"/>
    <w:rsid w:val="006069F2"/>
    <w:rsid w:val="0061053C"/>
    <w:rsid w:val="006313AF"/>
    <w:rsid w:val="00635A1F"/>
    <w:rsid w:val="00642C6B"/>
    <w:rsid w:val="00645595"/>
    <w:rsid w:val="00652487"/>
    <w:rsid w:val="006556CB"/>
    <w:rsid w:val="006573AE"/>
    <w:rsid w:val="006668AD"/>
    <w:rsid w:val="00674202"/>
    <w:rsid w:val="0067576D"/>
    <w:rsid w:val="00676107"/>
    <w:rsid w:val="00682153"/>
    <w:rsid w:val="0068713A"/>
    <w:rsid w:val="00691FE8"/>
    <w:rsid w:val="00693A1B"/>
    <w:rsid w:val="00693AD1"/>
    <w:rsid w:val="006941E5"/>
    <w:rsid w:val="006A4A98"/>
    <w:rsid w:val="006A6BF0"/>
    <w:rsid w:val="006B56FD"/>
    <w:rsid w:val="006B644B"/>
    <w:rsid w:val="006C0FFF"/>
    <w:rsid w:val="006C718F"/>
    <w:rsid w:val="006D5F52"/>
    <w:rsid w:val="006E171C"/>
    <w:rsid w:val="006E5C16"/>
    <w:rsid w:val="006F012E"/>
    <w:rsid w:val="006F472A"/>
    <w:rsid w:val="00701F19"/>
    <w:rsid w:val="00710040"/>
    <w:rsid w:val="00711706"/>
    <w:rsid w:val="007151F6"/>
    <w:rsid w:val="0072044E"/>
    <w:rsid w:val="00722192"/>
    <w:rsid w:val="007235EC"/>
    <w:rsid w:val="00732676"/>
    <w:rsid w:val="0074103B"/>
    <w:rsid w:val="0074321F"/>
    <w:rsid w:val="007459A8"/>
    <w:rsid w:val="00746910"/>
    <w:rsid w:val="0075020F"/>
    <w:rsid w:val="007511BF"/>
    <w:rsid w:val="00755581"/>
    <w:rsid w:val="00760AFC"/>
    <w:rsid w:val="00761B81"/>
    <w:rsid w:val="007670FA"/>
    <w:rsid w:val="00770C73"/>
    <w:rsid w:val="00774000"/>
    <w:rsid w:val="00775027"/>
    <w:rsid w:val="00775EEF"/>
    <w:rsid w:val="00777500"/>
    <w:rsid w:val="00777B1B"/>
    <w:rsid w:val="00780E13"/>
    <w:rsid w:val="00784180"/>
    <w:rsid w:val="00784FCE"/>
    <w:rsid w:val="00787DD1"/>
    <w:rsid w:val="00792A5D"/>
    <w:rsid w:val="0079347E"/>
    <w:rsid w:val="0079425F"/>
    <w:rsid w:val="007A2CA2"/>
    <w:rsid w:val="007A32EA"/>
    <w:rsid w:val="007A6B65"/>
    <w:rsid w:val="007A6F80"/>
    <w:rsid w:val="007B11EF"/>
    <w:rsid w:val="007B2DF6"/>
    <w:rsid w:val="007B3569"/>
    <w:rsid w:val="007B4CA8"/>
    <w:rsid w:val="007B52BC"/>
    <w:rsid w:val="007C15E6"/>
    <w:rsid w:val="007C2C05"/>
    <w:rsid w:val="007C345F"/>
    <w:rsid w:val="007C53E8"/>
    <w:rsid w:val="007D008B"/>
    <w:rsid w:val="007D0B30"/>
    <w:rsid w:val="007D0EAF"/>
    <w:rsid w:val="007D3557"/>
    <w:rsid w:val="007D50C5"/>
    <w:rsid w:val="007D5F48"/>
    <w:rsid w:val="007F16EC"/>
    <w:rsid w:val="00803C99"/>
    <w:rsid w:val="00813BEA"/>
    <w:rsid w:val="00817B30"/>
    <w:rsid w:val="00822271"/>
    <w:rsid w:val="008235FE"/>
    <w:rsid w:val="00830339"/>
    <w:rsid w:val="008313BC"/>
    <w:rsid w:val="0083227A"/>
    <w:rsid w:val="0083257F"/>
    <w:rsid w:val="00833818"/>
    <w:rsid w:val="00836BB8"/>
    <w:rsid w:val="008411CE"/>
    <w:rsid w:val="00842896"/>
    <w:rsid w:val="0084298D"/>
    <w:rsid w:val="00846C4A"/>
    <w:rsid w:val="00861DA6"/>
    <w:rsid w:val="00874016"/>
    <w:rsid w:val="00874901"/>
    <w:rsid w:val="008749AD"/>
    <w:rsid w:val="00876520"/>
    <w:rsid w:val="00876ACD"/>
    <w:rsid w:val="008774BA"/>
    <w:rsid w:val="00881E41"/>
    <w:rsid w:val="00884AA0"/>
    <w:rsid w:val="00887CCB"/>
    <w:rsid w:val="00897085"/>
    <w:rsid w:val="008A3B4C"/>
    <w:rsid w:val="008B1BDA"/>
    <w:rsid w:val="008C7753"/>
    <w:rsid w:val="008D2EF8"/>
    <w:rsid w:val="008F58E9"/>
    <w:rsid w:val="008F5ADE"/>
    <w:rsid w:val="008F6912"/>
    <w:rsid w:val="008F6A6B"/>
    <w:rsid w:val="00907A30"/>
    <w:rsid w:val="00913477"/>
    <w:rsid w:val="00913E92"/>
    <w:rsid w:val="009207F5"/>
    <w:rsid w:val="00920F46"/>
    <w:rsid w:val="009273FE"/>
    <w:rsid w:val="00932E5E"/>
    <w:rsid w:val="00943F0A"/>
    <w:rsid w:val="00952433"/>
    <w:rsid w:val="00957046"/>
    <w:rsid w:val="00962DF9"/>
    <w:rsid w:val="00966558"/>
    <w:rsid w:val="00966E3F"/>
    <w:rsid w:val="009747B7"/>
    <w:rsid w:val="009779BC"/>
    <w:rsid w:val="00991909"/>
    <w:rsid w:val="0099490D"/>
    <w:rsid w:val="0099601B"/>
    <w:rsid w:val="009A3FD6"/>
    <w:rsid w:val="009B22BE"/>
    <w:rsid w:val="009B406C"/>
    <w:rsid w:val="009B64CB"/>
    <w:rsid w:val="009B7B25"/>
    <w:rsid w:val="009C2A88"/>
    <w:rsid w:val="009C70B5"/>
    <w:rsid w:val="009D01C7"/>
    <w:rsid w:val="009D2822"/>
    <w:rsid w:val="009D6D09"/>
    <w:rsid w:val="009E0856"/>
    <w:rsid w:val="009E2AFA"/>
    <w:rsid w:val="009E2F35"/>
    <w:rsid w:val="009E6348"/>
    <w:rsid w:val="009E68D6"/>
    <w:rsid w:val="009F27BF"/>
    <w:rsid w:val="009F5E40"/>
    <w:rsid w:val="00A001BC"/>
    <w:rsid w:val="00A04228"/>
    <w:rsid w:val="00A101CB"/>
    <w:rsid w:val="00A26D35"/>
    <w:rsid w:val="00A306E9"/>
    <w:rsid w:val="00A3117F"/>
    <w:rsid w:val="00A32882"/>
    <w:rsid w:val="00A32BB5"/>
    <w:rsid w:val="00A35AFB"/>
    <w:rsid w:val="00A37904"/>
    <w:rsid w:val="00A45084"/>
    <w:rsid w:val="00A46ED4"/>
    <w:rsid w:val="00A61EE0"/>
    <w:rsid w:val="00A70DA0"/>
    <w:rsid w:val="00A74C73"/>
    <w:rsid w:val="00A768D5"/>
    <w:rsid w:val="00A8183E"/>
    <w:rsid w:val="00A819BC"/>
    <w:rsid w:val="00A92476"/>
    <w:rsid w:val="00A93026"/>
    <w:rsid w:val="00AA429B"/>
    <w:rsid w:val="00AB0258"/>
    <w:rsid w:val="00AB080A"/>
    <w:rsid w:val="00AB1D1F"/>
    <w:rsid w:val="00AB2B04"/>
    <w:rsid w:val="00AB5283"/>
    <w:rsid w:val="00AC03D1"/>
    <w:rsid w:val="00AC19AC"/>
    <w:rsid w:val="00AC4737"/>
    <w:rsid w:val="00AC6525"/>
    <w:rsid w:val="00AD1885"/>
    <w:rsid w:val="00AD4776"/>
    <w:rsid w:val="00AD55D0"/>
    <w:rsid w:val="00AD7D5E"/>
    <w:rsid w:val="00AE25D0"/>
    <w:rsid w:val="00AE2646"/>
    <w:rsid w:val="00AF14B0"/>
    <w:rsid w:val="00AF453D"/>
    <w:rsid w:val="00AF6E50"/>
    <w:rsid w:val="00AF727D"/>
    <w:rsid w:val="00B0600F"/>
    <w:rsid w:val="00B06456"/>
    <w:rsid w:val="00B073FD"/>
    <w:rsid w:val="00B101B5"/>
    <w:rsid w:val="00B11742"/>
    <w:rsid w:val="00B1328C"/>
    <w:rsid w:val="00B1452B"/>
    <w:rsid w:val="00B173F3"/>
    <w:rsid w:val="00B20ACA"/>
    <w:rsid w:val="00B20E4A"/>
    <w:rsid w:val="00B240E7"/>
    <w:rsid w:val="00B25B04"/>
    <w:rsid w:val="00B26310"/>
    <w:rsid w:val="00B30E66"/>
    <w:rsid w:val="00B3332A"/>
    <w:rsid w:val="00B3446B"/>
    <w:rsid w:val="00B4345D"/>
    <w:rsid w:val="00B63B5F"/>
    <w:rsid w:val="00B71FE3"/>
    <w:rsid w:val="00B73D2D"/>
    <w:rsid w:val="00B7478B"/>
    <w:rsid w:val="00B846EB"/>
    <w:rsid w:val="00B87D40"/>
    <w:rsid w:val="00B9535A"/>
    <w:rsid w:val="00BA12F3"/>
    <w:rsid w:val="00BA2756"/>
    <w:rsid w:val="00BA293A"/>
    <w:rsid w:val="00BA4D8E"/>
    <w:rsid w:val="00BB6B9F"/>
    <w:rsid w:val="00BC6733"/>
    <w:rsid w:val="00BC7796"/>
    <w:rsid w:val="00BD30D0"/>
    <w:rsid w:val="00BE1155"/>
    <w:rsid w:val="00BE2C12"/>
    <w:rsid w:val="00BE3DD1"/>
    <w:rsid w:val="00BE5FF8"/>
    <w:rsid w:val="00BF7785"/>
    <w:rsid w:val="00C02EB4"/>
    <w:rsid w:val="00C05AF4"/>
    <w:rsid w:val="00C05EEC"/>
    <w:rsid w:val="00C115EF"/>
    <w:rsid w:val="00C11856"/>
    <w:rsid w:val="00C12E8D"/>
    <w:rsid w:val="00C25519"/>
    <w:rsid w:val="00C25CB9"/>
    <w:rsid w:val="00C26D1E"/>
    <w:rsid w:val="00C30E88"/>
    <w:rsid w:val="00C33FAA"/>
    <w:rsid w:val="00C4089F"/>
    <w:rsid w:val="00C473CE"/>
    <w:rsid w:val="00C47EF2"/>
    <w:rsid w:val="00C578B0"/>
    <w:rsid w:val="00C65081"/>
    <w:rsid w:val="00C7441E"/>
    <w:rsid w:val="00C769F4"/>
    <w:rsid w:val="00C77615"/>
    <w:rsid w:val="00C91359"/>
    <w:rsid w:val="00CA1AE2"/>
    <w:rsid w:val="00CA3D61"/>
    <w:rsid w:val="00CA4E34"/>
    <w:rsid w:val="00CB0ECD"/>
    <w:rsid w:val="00CB4081"/>
    <w:rsid w:val="00CB7095"/>
    <w:rsid w:val="00CC0570"/>
    <w:rsid w:val="00CC3EB6"/>
    <w:rsid w:val="00CC4E3F"/>
    <w:rsid w:val="00CC540C"/>
    <w:rsid w:val="00CD1293"/>
    <w:rsid w:val="00CF3604"/>
    <w:rsid w:val="00D03BD6"/>
    <w:rsid w:val="00D14D85"/>
    <w:rsid w:val="00D15318"/>
    <w:rsid w:val="00D1544B"/>
    <w:rsid w:val="00D22988"/>
    <w:rsid w:val="00D25C6B"/>
    <w:rsid w:val="00D34BB6"/>
    <w:rsid w:val="00D36B1E"/>
    <w:rsid w:val="00D47577"/>
    <w:rsid w:val="00D52651"/>
    <w:rsid w:val="00D7456F"/>
    <w:rsid w:val="00D75AE5"/>
    <w:rsid w:val="00D76576"/>
    <w:rsid w:val="00D776E5"/>
    <w:rsid w:val="00D80AA2"/>
    <w:rsid w:val="00D9505D"/>
    <w:rsid w:val="00D967EA"/>
    <w:rsid w:val="00DA2062"/>
    <w:rsid w:val="00DA4F18"/>
    <w:rsid w:val="00DB1AC9"/>
    <w:rsid w:val="00DB29F0"/>
    <w:rsid w:val="00DB4614"/>
    <w:rsid w:val="00DC4F49"/>
    <w:rsid w:val="00DC73DC"/>
    <w:rsid w:val="00DC7C6B"/>
    <w:rsid w:val="00DD15F1"/>
    <w:rsid w:val="00DD401B"/>
    <w:rsid w:val="00DE2885"/>
    <w:rsid w:val="00DE34CB"/>
    <w:rsid w:val="00DE6DCF"/>
    <w:rsid w:val="00DF0ED0"/>
    <w:rsid w:val="00DF4247"/>
    <w:rsid w:val="00E01BE4"/>
    <w:rsid w:val="00E05ACA"/>
    <w:rsid w:val="00E07B20"/>
    <w:rsid w:val="00E13541"/>
    <w:rsid w:val="00E175C4"/>
    <w:rsid w:val="00E17E02"/>
    <w:rsid w:val="00E233C6"/>
    <w:rsid w:val="00E252C8"/>
    <w:rsid w:val="00E31595"/>
    <w:rsid w:val="00E32349"/>
    <w:rsid w:val="00E35FE9"/>
    <w:rsid w:val="00E36B69"/>
    <w:rsid w:val="00E425BB"/>
    <w:rsid w:val="00E43880"/>
    <w:rsid w:val="00E53860"/>
    <w:rsid w:val="00E54D72"/>
    <w:rsid w:val="00E57045"/>
    <w:rsid w:val="00E60731"/>
    <w:rsid w:val="00E61C4A"/>
    <w:rsid w:val="00E63C26"/>
    <w:rsid w:val="00E70A6F"/>
    <w:rsid w:val="00E77CA8"/>
    <w:rsid w:val="00E85C59"/>
    <w:rsid w:val="00E97CB9"/>
    <w:rsid w:val="00EA2F0F"/>
    <w:rsid w:val="00EB3EA2"/>
    <w:rsid w:val="00EB522B"/>
    <w:rsid w:val="00EC1E3A"/>
    <w:rsid w:val="00ED356A"/>
    <w:rsid w:val="00ED73B2"/>
    <w:rsid w:val="00EE0F78"/>
    <w:rsid w:val="00EE4F05"/>
    <w:rsid w:val="00EE782C"/>
    <w:rsid w:val="00EF1B3D"/>
    <w:rsid w:val="00EF1CCA"/>
    <w:rsid w:val="00EF6DCC"/>
    <w:rsid w:val="00F0253A"/>
    <w:rsid w:val="00F02D80"/>
    <w:rsid w:val="00F156F4"/>
    <w:rsid w:val="00F15F45"/>
    <w:rsid w:val="00F16F43"/>
    <w:rsid w:val="00F2733A"/>
    <w:rsid w:val="00F339C6"/>
    <w:rsid w:val="00F3461A"/>
    <w:rsid w:val="00F35976"/>
    <w:rsid w:val="00F43810"/>
    <w:rsid w:val="00F522B7"/>
    <w:rsid w:val="00F56F76"/>
    <w:rsid w:val="00F63D7E"/>
    <w:rsid w:val="00F65E53"/>
    <w:rsid w:val="00F67F78"/>
    <w:rsid w:val="00F7366D"/>
    <w:rsid w:val="00F73A11"/>
    <w:rsid w:val="00F7439D"/>
    <w:rsid w:val="00F76295"/>
    <w:rsid w:val="00F87F7A"/>
    <w:rsid w:val="00FA3CEB"/>
    <w:rsid w:val="00FA7502"/>
    <w:rsid w:val="00FC633C"/>
    <w:rsid w:val="00FD0345"/>
    <w:rsid w:val="00FD3D2C"/>
    <w:rsid w:val="00FD64FB"/>
    <w:rsid w:val="00FF01C8"/>
    <w:rsid w:val="00FF2AB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CAB7E"/>
  <w14:defaultImageDpi w14:val="300"/>
  <w15:docId w15:val="{6F3D92AD-B7CE-4ECF-AF98-48BBACEF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8110B"/>
    <w:pPr>
      <w:ind w:firstLine="567"/>
    </w:pPr>
    <w:rPr>
      <w:rFonts w:eastAsia="Times New Roman"/>
      <w:bCs/>
      <w:lang w:eastAsia="cs-CZ"/>
    </w:rPr>
  </w:style>
  <w:style w:type="paragraph" w:styleId="Nadpis1">
    <w:name w:val="heading 1"/>
    <w:basedOn w:val="Bezmezer"/>
    <w:link w:val="Nadpis1Char"/>
    <w:autoRedefine/>
    <w:uiPriority w:val="9"/>
    <w:qFormat/>
    <w:rsid w:val="0028110B"/>
    <w:pPr>
      <w:numPr>
        <w:numId w:val="18"/>
      </w:numPr>
      <w:shd w:val="clear" w:color="auto" w:fill="FFFFFF"/>
      <w:textAlignment w:val="center"/>
      <w:outlineLvl w:val="0"/>
    </w:pPr>
    <w:rPr>
      <w:rFonts w:ascii="Times New Roman" w:eastAsia="Times New Roman" w:hAnsi="Times New Roman"/>
      <w:bCs w:val="0"/>
      <w:kern w:val="36"/>
      <w:sz w:val="32"/>
      <w:szCs w:val="32"/>
    </w:rPr>
  </w:style>
  <w:style w:type="paragraph" w:styleId="Nadpis2">
    <w:name w:val="heading 2"/>
    <w:basedOn w:val="Normln"/>
    <w:next w:val="Normln"/>
    <w:link w:val="Nadpis2Char"/>
    <w:uiPriority w:val="9"/>
    <w:unhideWhenUsed/>
    <w:qFormat/>
    <w:rsid w:val="0028110B"/>
    <w:pPr>
      <w:keepNext/>
      <w:keepLines/>
      <w:numPr>
        <w:ilvl w:val="1"/>
        <w:numId w:val="18"/>
      </w:numPr>
      <w:spacing w:before="200"/>
      <w:outlineLvl w:val="1"/>
    </w:pPr>
    <w:rPr>
      <w:rFonts w:eastAsiaTheme="majorEastAsia" w:cstheme="majorBidi"/>
      <w:b/>
      <w:bCs w:val="0"/>
      <w:sz w:val="28"/>
      <w:szCs w:val="26"/>
    </w:rPr>
  </w:style>
  <w:style w:type="paragraph" w:styleId="Nadpis3">
    <w:name w:val="heading 3"/>
    <w:basedOn w:val="Normln"/>
    <w:next w:val="Normln"/>
    <w:link w:val="Nadpis3Char"/>
    <w:uiPriority w:val="9"/>
    <w:unhideWhenUsed/>
    <w:qFormat/>
    <w:rsid w:val="0028110B"/>
    <w:pPr>
      <w:keepNext/>
      <w:keepLines/>
      <w:numPr>
        <w:ilvl w:val="2"/>
        <w:numId w:val="18"/>
      </w:numPr>
      <w:spacing w:before="200"/>
      <w:outlineLvl w:val="2"/>
    </w:pPr>
    <w:rPr>
      <w:rFonts w:eastAsiaTheme="majorEastAsia" w:cstheme="majorBidi"/>
      <w:b/>
      <w:bCs w:val="0"/>
    </w:rPr>
  </w:style>
  <w:style w:type="paragraph" w:styleId="Nadpis4">
    <w:name w:val="heading 4"/>
    <w:basedOn w:val="Normln"/>
    <w:next w:val="Normln"/>
    <w:link w:val="Nadpis4Char"/>
    <w:uiPriority w:val="9"/>
    <w:semiHidden/>
    <w:unhideWhenUsed/>
    <w:qFormat/>
    <w:rsid w:val="0028110B"/>
    <w:pPr>
      <w:keepNext/>
      <w:keepLines/>
      <w:numPr>
        <w:ilvl w:val="3"/>
        <w:numId w:val="18"/>
      </w:numPr>
      <w:spacing w:before="4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7A32EA"/>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A32EA"/>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A32EA"/>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A32EA"/>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A32EA"/>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110B"/>
    <w:rPr>
      <w:rFonts w:eastAsia="Times New Roman"/>
      <w:b/>
      <w:kern w:val="36"/>
      <w:sz w:val="32"/>
      <w:szCs w:val="32"/>
      <w:shd w:val="clear" w:color="auto" w:fill="FFFFFF"/>
    </w:rPr>
  </w:style>
  <w:style w:type="paragraph" w:styleId="Bezmezer">
    <w:name w:val="No Spacing"/>
    <w:uiPriority w:val="1"/>
    <w:qFormat/>
    <w:rsid w:val="003E0B4D"/>
    <w:pPr>
      <w:spacing w:line="360" w:lineRule="auto"/>
      <w:jc w:val="both"/>
    </w:pPr>
    <w:rPr>
      <w:rFonts w:ascii="Garamond" w:eastAsia="Calibri" w:hAnsi="Garamond"/>
      <w:b/>
      <w:bCs/>
      <w:szCs w:val="22"/>
    </w:rPr>
  </w:style>
  <w:style w:type="paragraph" w:styleId="Odstavecseseznamem">
    <w:name w:val="List Paragraph"/>
    <w:basedOn w:val="Normln"/>
    <w:qFormat/>
    <w:rsid w:val="003E0B4D"/>
    <w:pPr>
      <w:ind w:left="720"/>
      <w:contextualSpacing/>
    </w:pPr>
  </w:style>
  <w:style w:type="character" w:customStyle="1" w:styleId="Nadpis2Char">
    <w:name w:val="Nadpis 2 Char"/>
    <w:basedOn w:val="Standardnpsmoodstavce"/>
    <w:link w:val="Nadpis2"/>
    <w:uiPriority w:val="9"/>
    <w:rsid w:val="0028110B"/>
    <w:rPr>
      <w:rFonts w:eastAsiaTheme="majorEastAsia" w:cstheme="majorBidi"/>
      <w:b/>
      <w:sz w:val="28"/>
      <w:szCs w:val="26"/>
      <w:lang w:eastAsia="cs-CZ"/>
    </w:rPr>
  </w:style>
  <w:style w:type="character" w:customStyle="1" w:styleId="Nadpis3Char">
    <w:name w:val="Nadpis 3 Char"/>
    <w:basedOn w:val="Standardnpsmoodstavce"/>
    <w:link w:val="Nadpis3"/>
    <w:uiPriority w:val="9"/>
    <w:rsid w:val="0028110B"/>
    <w:rPr>
      <w:rFonts w:eastAsiaTheme="majorEastAsia" w:cstheme="majorBidi"/>
      <w:b/>
      <w:lang w:eastAsia="cs-CZ"/>
    </w:rPr>
  </w:style>
  <w:style w:type="character" w:styleId="Hypertextovodkaz">
    <w:name w:val="Hyperlink"/>
    <w:basedOn w:val="Standardnpsmoodstavce"/>
    <w:uiPriority w:val="99"/>
    <w:unhideWhenUsed/>
    <w:rsid w:val="003E0B4D"/>
    <w:rPr>
      <w:color w:val="0000FF" w:themeColor="hyperlink"/>
      <w:u w:val="single"/>
    </w:rPr>
  </w:style>
  <w:style w:type="paragraph" w:styleId="Textpoznpodarou">
    <w:name w:val="footnote text"/>
    <w:basedOn w:val="Normln"/>
    <w:link w:val="TextpoznpodarouChar"/>
    <w:unhideWhenUsed/>
    <w:rsid w:val="003E0B4D"/>
    <w:rPr>
      <w:sz w:val="20"/>
      <w:szCs w:val="20"/>
    </w:rPr>
  </w:style>
  <w:style w:type="character" w:customStyle="1" w:styleId="TextpoznpodarouChar">
    <w:name w:val="Text pozn. pod čarou Char"/>
    <w:basedOn w:val="Standardnpsmoodstavce"/>
    <w:link w:val="Textpoznpodarou"/>
    <w:uiPriority w:val="99"/>
    <w:rsid w:val="003E0B4D"/>
    <w:rPr>
      <w:rFonts w:ascii="Garamond" w:eastAsia="Times New Roman" w:hAnsi="Garamond"/>
      <w:b/>
      <w:bCs/>
      <w:sz w:val="20"/>
      <w:szCs w:val="20"/>
      <w:lang w:eastAsia="cs-CZ"/>
    </w:rPr>
  </w:style>
  <w:style w:type="character" w:styleId="Znakapoznpodarou">
    <w:name w:val="footnote reference"/>
    <w:basedOn w:val="Standardnpsmoodstavce"/>
    <w:uiPriority w:val="99"/>
    <w:unhideWhenUsed/>
    <w:rsid w:val="003E0B4D"/>
    <w:rPr>
      <w:vertAlign w:val="superscript"/>
    </w:rPr>
  </w:style>
  <w:style w:type="paragraph" w:styleId="Normlnweb">
    <w:name w:val="Normal (Web)"/>
    <w:basedOn w:val="Normln"/>
    <w:uiPriority w:val="99"/>
    <w:unhideWhenUsed/>
    <w:rsid w:val="003E0B4D"/>
    <w:pPr>
      <w:spacing w:before="100" w:beforeAutospacing="1" w:after="100" w:afterAutospacing="1"/>
      <w:ind w:firstLine="0"/>
    </w:pPr>
  </w:style>
  <w:style w:type="paragraph" w:customStyle="1" w:styleId="detail-odstavec">
    <w:name w:val="detail-odstavec"/>
    <w:basedOn w:val="Normln"/>
    <w:rsid w:val="003E0B4D"/>
    <w:pPr>
      <w:spacing w:before="100" w:beforeAutospacing="1" w:after="100" w:afterAutospacing="1"/>
      <w:ind w:firstLine="0"/>
    </w:pPr>
  </w:style>
  <w:style w:type="paragraph" w:customStyle="1" w:styleId="cfootnotetext">
    <w:name w:val="cfootnotetext"/>
    <w:basedOn w:val="Normln"/>
    <w:rsid w:val="003E0B4D"/>
    <w:pPr>
      <w:spacing w:before="100" w:beforeAutospacing="1" w:after="100" w:afterAutospacing="1"/>
      <w:ind w:firstLine="0"/>
    </w:pPr>
    <w:rPr>
      <w:rFonts w:ascii="Times" w:eastAsiaTheme="minorHAnsi" w:hAnsi="Times" w:cstheme="minorBidi"/>
      <w:sz w:val="20"/>
      <w:szCs w:val="20"/>
      <w:lang w:val="en-US" w:eastAsia="en-US"/>
    </w:rPr>
  </w:style>
  <w:style w:type="paragraph" w:styleId="Zhlav">
    <w:name w:val="header"/>
    <w:basedOn w:val="Normln"/>
    <w:link w:val="ZhlavChar"/>
    <w:uiPriority w:val="99"/>
    <w:unhideWhenUsed/>
    <w:rsid w:val="000A379E"/>
    <w:pPr>
      <w:tabs>
        <w:tab w:val="center" w:pos="4320"/>
        <w:tab w:val="right" w:pos="8640"/>
      </w:tabs>
    </w:pPr>
  </w:style>
  <w:style w:type="character" w:customStyle="1" w:styleId="ZhlavChar">
    <w:name w:val="Záhlaví Char"/>
    <w:basedOn w:val="Standardnpsmoodstavce"/>
    <w:link w:val="Zhlav"/>
    <w:uiPriority w:val="99"/>
    <w:rsid w:val="000A379E"/>
    <w:rPr>
      <w:rFonts w:ascii="Garamond" w:eastAsia="Times New Roman" w:hAnsi="Garamond"/>
      <w:b/>
      <w:bCs/>
      <w:lang w:eastAsia="cs-CZ"/>
    </w:rPr>
  </w:style>
  <w:style w:type="paragraph" w:styleId="Zpat">
    <w:name w:val="footer"/>
    <w:basedOn w:val="Normln"/>
    <w:link w:val="ZpatChar"/>
    <w:uiPriority w:val="99"/>
    <w:unhideWhenUsed/>
    <w:rsid w:val="000A379E"/>
    <w:pPr>
      <w:tabs>
        <w:tab w:val="center" w:pos="4320"/>
        <w:tab w:val="right" w:pos="8640"/>
      </w:tabs>
    </w:pPr>
  </w:style>
  <w:style w:type="character" w:customStyle="1" w:styleId="ZpatChar">
    <w:name w:val="Zápatí Char"/>
    <w:basedOn w:val="Standardnpsmoodstavce"/>
    <w:link w:val="Zpat"/>
    <w:uiPriority w:val="99"/>
    <w:rsid w:val="000A379E"/>
    <w:rPr>
      <w:rFonts w:ascii="Garamond" w:eastAsia="Times New Roman" w:hAnsi="Garamond"/>
      <w:b/>
      <w:bCs/>
      <w:lang w:eastAsia="cs-CZ"/>
    </w:rPr>
  </w:style>
  <w:style w:type="character" w:customStyle="1" w:styleId="apple-converted-space">
    <w:name w:val="apple-converted-space"/>
    <w:basedOn w:val="Standardnpsmoodstavce"/>
    <w:rsid w:val="00E32349"/>
  </w:style>
  <w:style w:type="character" w:customStyle="1" w:styleId="odst">
    <w:name w:val="odst"/>
    <w:basedOn w:val="Standardnpsmoodstavce"/>
    <w:rsid w:val="00E32349"/>
  </w:style>
  <w:style w:type="paragraph" w:styleId="Obsah1">
    <w:name w:val="toc 1"/>
    <w:basedOn w:val="Normln"/>
    <w:next w:val="Normln"/>
    <w:autoRedefine/>
    <w:uiPriority w:val="39"/>
    <w:unhideWhenUsed/>
    <w:rsid w:val="00AB0258"/>
    <w:pPr>
      <w:tabs>
        <w:tab w:val="right" w:leader="dot" w:pos="9055"/>
      </w:tabs>
      <w:ind w:left="709" w:hanging="709"/>
      <w:jc w:val="center"/>
    </w:pPr>
    <w:rPr>
      <w:b/>
      <w:sz w:val="32"/>
      <w:szCs w:val="32"/>
    </w:rPr>
  </w:style>
  <w:style w:type="paragraph" w:styleId="Obsah2">
    <w:name w:val="toc 2"/>
    <w:basedOn w:val="Normln"/>
    <w:next w:val="Normln"/>
    <w:autoRedefine/>
    <w:uiPriority w:val="39"/>
    <w:unhideWhenUsed/>
    <w:rsid w:val="000B1F42"/>
    <w:pPr>
      <w:ind w:left="240"/>
    </w:pPr>
  </w:style>
  <w:style w:type="paragraph" w:styleId="Obsah3">
    <w:name w:val="toc 3"/>
    <w:basedOn w:val="Normln"/>
    <w:next w:val="Normln"/>
    <w:autoRedefine/>
    <w:uiPriority w:val="39"/>
    <w:unhideWhenUsed/>
    <w:rsid w:val="000B1F42"/>
    <w:pPr>
      <w:ind w:left="480"/>
    </w:pPr>
  </w:style>
  <w:style w:type="paragraph" w:styleId="Obsah4">
    <w:name w:val="toc 4"/>
    <w:basedOn w:val="Normln"/>
    <w:next w:val="Normln"/>
    <w:autoRedefine/>
    <w:uiPriority w:val="39"/>
    <w:unhideWhenUsed/>
    <w:rsid w:val="000B1F42"/>
    <w:pPr>
      <w:ind w:left="720"/>
    </w:pPr>
  </w:style>
  <w:style w:type="paragraph" w:styleId="Obsah5">
    <w:name w:val="toc 5"/>
    <w:basedOn w:val="Normln"/>
    <w:next w:val="Normln"/>
    <w:autoRedefine/>
    <w:uiPriority w:val="39"/>
    <w:unhideWhenUsed/>
    <w:rsid w:val="000B1F42"/>
    <w:pPr>
      <w:ind w:left="960"/>
    </w:pPr>
  </w:style>
  <w:style w:type="paragraph" w:styleId="Obsah6">
    <w:name w:val="toc 6"/>
    <w:basedOn w:val="Normln"/>
    <w:next w:val="Normln"/>
    <w:autoRedefine/>
    <w:uiPriority w:val="39"/>
    <w:unhideWhenUsed/>
    <w:rsid w:val="000B1F42"/>
    <w:pPr>
      <w:ind w:left="1200"/>
    </w:pPr>
  </w:style>
  <w:style w:type="paragraph" w:styleId="Obsah7">
    <w:name w:val="toc 7"/>
    <w:basedOn w:val="Normln"/>
    <w:next w:val="Normln"/>
    <w:autoRedefine/>
    <w:uiPriority w:val="39"/>
    <w:unhideWhenUsed/>
    <w:rsid w:val="000B1F42"/>
    <w:pPr>
      <w:ind w:left="1440"/>
    </w:pPr>
  </w:style>
  <w:style w:type="paragraph" w:styleId="Obsah8">
    <w:name w:val="toc 8"/>
    <w:basedOn w:val="Normln"/>
    <w:next w:val="Normln"/>
    <w:autoRedefine/>
    <w:uiPriority w:val="39"/>
    <w:unhideWhenUsed/>
    <w:rsid w:val="000B1F42"/>
    <w:pPr>
      <w:ind w:left="1680"/>
    </w:pPr>
  </w:style>
  <w:style w:type="paragraph" w:styleId="Obsah9">
    <w:name w:val="toc 9"/>
    <w:basedOn w:val="Normln"/>
    <w:next w:val="Normln"/>
    <w:autoRedefine/>
    <w:uiPriority w:val="39"/>
    <w:unhideWhenUsed/>
    <w:rsid w:val="000B1F42"/>
    <w:pPr>
      <w:ind w:left="1920"/>
    </w:pPr>
  </w:style>
  <w:style w:type="paragraph" w:customStyle="1" w:styleId="DIPLOMOVPRCESEZNAM">
    <w:name w:val="DIPLOMOVÁ PRÁCE_SEZNAM"/>
    <w:basedOn w:val="Normln"/>
    <w:rsid w:val="00D9505D"/>
    <w:pPr>
      <w:spacing w:after="600" w:line="360" w:lineRule="auto"/>
      <w:ind w:firstLine="0"/>
      <w:contextualSpacing/>
      <w:jc w:val="both"/>
    </w:pPr>
  </w:style>
  <w:style w:type="paragraph" w:styleId="Seznam">
    <w:name w:val="List"/>
    <w:basedOn w:val="Zkladntext"/>
    <w:semiHidden/>
    <w:rsid w:val="00952433"/>
    <w:pPr>
      <w:suppressAutoHyphens/>
      <w:ind w:firstLine="0"/>
    </w:pPr>
    <w:rPr>
      <w:rFonts w:cs="Lohit Hindi"/>
      <w:noProof/>
      <w:lang w:val="en-US" w:eastAsia="en-US"/>
    </w:rPr>
  </w:style>
  <w:style w:type="paragraph" w:styleId="Zkladntext">
    <w:name w:val="Body Text"/>
    <w:basedOn w:val="Normln"/>
    <w:link w:val="ZkladntextChar"/>
    <w:uiPriority w:val="99"/>
    <w:semiHidden/>
    <w:unhideWhenUsed/>
    <w:rsid w:val="00952433"/>
    <w:pPr>
      <w:spacing w:after="120"/>
    </w:pPr>
  </w:style>
  <w:style w:type="character" w:customStyle="1" w:styleId="ZkladntextChar">
    <w:name w:val="Základní text Char"/>
    <w:basedOn w:val="Standardnpsmoodstavce"/>
    <w:link w:val="Zkladntext"/>
    <w:uiPriority w:val="99"/>
    <w:semiHidden/>
    <w:rsid w:val="00952433"/>
    <w:rPr>
      <w:rFonts w:ascii="Garamond" w:eastAsia="Times New Roman" w:hAnsi="Garamond"/>
      <w:b/>
      <w:bCs/>
      <w:lang w:eastAsia="cs-CZ"/>
    </w:rPr>
  </w:style>
  <w:style w:type="character" w:customStyle="1" w:styleId="FootnoteCharacters">
    <w:name w:val="Footnote Characters"/>
    <w:rsid w:val="001056BF"/>
    <w:rPr>
      <w:vertAlign w:val="superscript"/>
    </w:rPr>
  </w:style>
  <w:style w:type="character" w:customStyle="1" w:styleId="Znakapoznpodarou1">
    <w:name w:val="Značka pozn. pod čarou1"/>
    <w:rsid w:val="001056BF"/>
    <w:rPr>
      <w:vertAlign w:val="superscript"/>
    </w:rPr>
  </w:style>
  <w:style w:type="character" w:customStyle="1" w:styleId="WW-Standardnpsmoodstavce">
    <w:name w:val="WW-Standardní písmo odstavce"/>
    <w:rsid w:val="00BF7785"/>
  </w:style>
  <w:style w:type="character" w:styleId="Sledovanodkaz">
    <w:name w:val="FollowedHyperlink"/>
    <w:basedOn w:val="Standardnpsmoodstavce"/>
    <w:uiPriority w:val="99"/>
    <w:semiHidden/>
    <w:unhideWhenUsed/>
    <w:rsid w:val="00385A77"/>
    <w:rPr>
      <w:color w:val="800080" w:themeColor="followedHyperlink"/>
      <w:u w:val="single"/>
    </w:rPr>
  </w:style>
  <w:style w:type="character" w:styleId="slostrnky">
    <w:name w:val="page number"/>
    <w:basedOn w:val="Standardnpsmoodstavce"/>
    <w:uiPriority w:val="99"/>
    <w:semiHidden/>
    <w:unhideWhenUsed/>
    <w:rsid w:val="00DC73DC"/>
  </w:style>
  <w:style w:type="character" w:customStyle="1" w:styleId="Nadpis4Char">
    <w:name w:val="Nadpis 4 Char"/>
    <w:basedOn w:val="Standardnpsmoodstavce"/>
    <w:link w:val="Nadpis4"/>
    <w:uiPriority w:val="9"/>
    <w:semiHidden/>
    <w:rsid w:val="0028110B"/>
    <w:rPr>
      <w:rFonts w:eastAsiaTheme="majorEastAsia" w:cstheme="majorBidi"/>
      <w:b/>
      <w:bCs/>
      <w:iCs/>
      <w:lang w:eastAsia="cs-CZ"/>
    </w:rPr>
  </w:style>
  <w:style w:type="character" w:customStyle="1" w:styleId="Nadpis5Char">
    <w:name w:val="Nadpis 5 Char"/>
    <w:basedOn w:val="Standardnpsmoodstavce"/>
    <w:link w:val="Nadpis5"/>
    <w:uiPriority w:val="9"/>
    <w:semiHidden/>
    <w:rsid w:val="007A32EA"/>
    <w:rPr>
      <w:rFonts w:asciiTheme="majorHAnsi" w:eastAsiaTheme="majorEastAsia" w:hAnsiTheme="majorHAnsi" w:cstheme="majorBidi"/>
      <w:b/>
      <w:bCs/>
      <w:color w:val="365F91" w:themeColor="accent1" w:themeShade="BF"/>
      <w:lang w:eastAsia="cs-CZ"/>
    </w:rPr>
  </w:style>
  <w:style w:type="character" w:customStyle="1" w:styleId="Nadpis6Char">
    <w:name w:val="Nadpis 6 Char"/>
    <w:basedOn w:val="Standardnpsmoodstavce"/>
    <w:link w:val="Nadpis6"/>
    <w:uiPriority w:val="9"/>
    <w:semiHidden/>
    <w:rsid w:val="007A32EA"/>
    <w:rPr>
      <w:rFonts w:asciiTheme="majorHAnsi" w:eastAsiaTheme="majorEastAsia" w:hAnsiTheme="majorHAnsi" w:cstheme="majorBidi"/>
      <w:b/>
      <w:bCs/>
      <w:color w:val="243F60" w:themeColor="accent1" w:themeShade="7F"/>
      <w:lang w:eastAsia="cs-CZ"/>
    </w:rPr>
  </w:style>
  <w:style w:type="character" w:customStyle="1" w:styleId="Nadpis7Char">
    <w:name w:val="Nadpis 7 Char"/>
    <w:basedOn w:val="Standardnpsmoodstavce"/>
    <w:link w:val="Nadpis7"/>
    <w:uiPriority w:val="9"/>
    <w:semiHidden/>
    <w:rsid w:val="007A32EA"/>
    <w:rPr>
      <w:rFonts w:asciiTheme="majorHAnsi" w:eastAsiaTheme="majorEastAsia" w:hAnsiTheme="majorHAnsi" w:cstheme="majorBidi"/>
      <w:b/>
      <w:bCs/>
      <w:i/>
      <w:iCs/>
      <w:color w:val="243F60" w:themeColor="accent1" w:themeShade="7F"/>
      <w:lang w:eastAsia="cs-CZ"/>
    </w:rPr>
  </w:style>
  <w:style w:type="character" w:customStyle="1" w:styleId="Nadpis8Char">
    <w:name w:val="Nadpis 8 Char"/>
    <w:basedOn w:val="Standardnpsmoodstavce"/>
    <w:link w:val="Nadpis8"/>
    <w:uiPriority w:val="9"/>
    <w:semiHidden/>
    <w:rsid w:val="007A32EA"/>
    <w:rPr>
      <w:rFonts w:asciiTheme="majorHAnsi" w:eastAsiaTheme="majorEastAsia" w:hAnsiTheme="majorHAnsi" w:cstheme="majorBidi"/>
      <w:b/>
      <w:bCs/>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7A32EA"/>
    <w:rPr>
      <w:rFonts w:asciiTheme="majorHAnsi" w:eastAsiaTheme="majorEastAsia" w:hAnsiTheme="majorHAnsi" w:cstheme="majorBidi"/>
      <w:b/>
      <w:bCs/>
      <w:i/>
      <w:iCs/>
      <w:color w:val="272727" w:themeColor="text1" w:themeTint="D8"/>
      <w:sz w:val="21"/>
      <w:szCs w:val="21"/>
      <w:lang w:eastAsia="cs-CZ"/>
    </w:rPr>
  </w:style>
  <w:style w:type="paragraph" w:styleId="Nadpisobsahu">
    <w:name w:val="TOC Heading"/>
    <w:basedOn w:val="Nadpis1"/>
    <w:next w:val="Normln"/>
    <w:uiPriority w:val="39"/>
    <w:unhideWhenUsed/>
    <w:qFormat/>
    <w:rsid w:val="007A32EA"/>
    <w:pPr>
      <w:keepNext/>
      <w:keepLines/>
      <w:numPr>
        <w:numId w:val="0"/>
      </w:numPr>
      <w:shd w:val="clear" w:color="auto" w:fill="auto"/>
      <w:spacing w:before="240" w:line="259" w:lineRule="auto"/>
      <w:jc w:val="left"/>
      <w:textAlignment w:val="auto"/>
      <w:outlineLvl w:val="9"/>
    </w:pPr>
    <w:rPr>
      <w:rFonts w:asciiTheme="majorHAnsi" w:eastAsiaTheme="majorEastAsia" w:hAnsiTheme="majorHAnsi" w:cstheme="majorBidi"/>
      <w:b w:val="0"/>
      <w:bCs/>
      <w:color w:val="365F91" w:themeColor="accent1" w:themeShade="BF"/>
      <w:kern w:val="0"/>
      <w:lang w:eastAsia="cs-CZ"/>
    </w:rPr>
  </w:style>
  <w:style w:type="character" w:styleId="Zmnka">
    <w:name w:val="Mention"/>
    <w:basedOn w:val="Standardnpsmoodstavce"/>
    <w:uiPriority w:val="99"/>
    <w:semiHidden/>
    <w:unhideWhenUsed/>
    <w:rsid w:val="0032247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788">
      <w:bodyDiv w:val="1"/>
      <w:marLeft w:val="0"/>
      <w:marRight w:val="0"/>
      <w:marTop w:val="0"/>
      <w:marBottom w:val="0"/>
      <w:divBdr>
        <w:top w:val="none" w:sz="0" w:space="0" w:color="auto"/>
        <w:left w:val="none" w:sz="0" w:space="0" w:color="auto"/>
        <w:bottom w:val="none" w:sz="0" w:space="0" w:color="auto"/>
        <w:right w:val="none" w:sz="0" w:space="0" w:color="auto"/>
      </w:divBdr>
    </w:div>
    <w:div w:id="170726861">
      <w:bodyDiv w:val="1"/>
      <w:marLeft w:val="0"/>
      <w:marRight w:val="0"/>
      <w:marTop w:val="0"/>
      <w:marBottom w:val="0"/>
      <w:divBdr>
        <w:top w:val="none" w:sz="0" w:space="0" w:color="auto"/>
        <w:left w:val="none" w:sz="0" w:space="0" w:color="auto"/>
        <w:bottom w:val="none" w:sz="0" w:space="0" w:color="auto"/>
        <w:right w:val="none" w:sz="0" w:space="0" w:color="auto"/>
      </w:divBdr>
    </w:div>
    <w:div w:id="526212959">
      <w:bodyDiv w:val="1"/>
      <w:marLeft w:val="0"/>
      <w:marRight w:val="0"/>
      <w:marTop w:val="0"/>
      <w:marBottom w:val="0"/>
      <w:divBdr>
        <w:top w:val="none" w:sz="0" w:space="0" w:color="auto"/>
        <w:left w:val="none" w:sz="0" w:space="0" w:color="auto"/>
        <w:bottom w:val="none" w:sz="0" w:space="0" w:color="auto"/>
        <w:right w:val="none" w:sz="0" w:space="0" w:color="auto"/>
      </w:divBdr>
    </w:div>
    <w:div w:id="567154165">
      <w:bodyDiv w:val="1"/>
      <w:marLeft w:val="0"/>
      <w:marRight w:val="0"/>
      <w:marTop w:val="0"/>
      <w:marBottom w:val="0"/>
      <w:divBdr>
        <w:top w:val="none" w:sz="0" w:space="0" w:color="auto"/>
        <w:left w:val="none" w:sz="0" w:space="0" w:color="auto"/>
        <w:bottom w:val="none" w:sz="0" w:space="0" w:color="auto"/>
        <w:right w:val="none" w:sz="0" w:space="0" w:color="auto"/>
      </w:divBdr>
    </w:div>
    <w:div w:id="624234525">
      <w:bodyDiv w:val="1"/>
      <w:marLeft w:val="0"/>
      <w:marRight w:val="0"/>
      <w:marTop w:val="0"/>
      <w:marBottom w:val="0"/>
      <w:divBdr>
        <w:top w:val="none" w:sz="0" w:space="0" w:color="auto"/>
        <w:left w:val="none" w:sz="0" w:space="0" w:color="auto"/>
        <w:bottom w:val="none" w:sz="0" w:space="0" w:color="auto"/>
        <w:right w:val="none" w:sz="0" w:space="0" w:color="auto"/>
      </w:divBdr>
    </w:div>
    <w:div w:id="941886053">
      <w:bodyDiv w:val="1"/>
      <w:marLeft w:val="0"/>
      <w:marRight w:val="0"/>
      <w:marTop w:val="0"/>
      <w:marBottom w:val="0"/>
      <w:divBdr>
        <w:top w:val="none" w:sz="0" w:space="0" w:color="auto"/>
        <w:left w:val="none" w:sz="0" w:space="0" w:color="auto"/>
        <w:bottom w:val="none" w:sz="0" w:space="0" w:color="auto"/>
        <w:right w:val="none" w:sz="0" w:space="0" w:color="auto"/>
      </w:divBdr>
    </w:div>
    <w:div w:id="1035421910">
      <w:bodyDiv w:val="1"/>
      <w:marLeft w:val="0"/>
      <w:marRight w:val="0"/>
      <w:marTop w:val="0"/>
      <w:marBottom w:val="0"/>
      <w:divBdr>
        <w:top w:val="none" w:sz="0" w:space="0" w:color="auto"/>
        <w:left w:val="none" w:sz="0" w:space="0" w:color="auto"/>
        <w:bottom w:val="none" w:sz="0" w:space="0" w:color="auto"/>
        <w:right w:val="none" w:sz="0" w:space="0" w:color="auto"/>
      </w:divBdr>
    </w:div>
    <w:div w:id="1143423771">
      <w:bodyDiv w:val="1"/>
      <w:marLeft w:val="0"/>
      <w:marRight w:val="0"/>
      <w:marTop w:val="0"/>
      <w:marBottom w:val="0"/>
      <w:divBdr>
        <w:top w:val="none" w:sz="0" w:space="0" w:color="auto"/>
        <w:left w:val="none" w:sz="0" w:space="0" w:color="auto"/>
        <w:bottom w:val="none" w:sz="0" w:space="0" w:color="auto"/>
        <w:right w:val="none" w:sz="0" w:space="0" w:color="auto"/>
      </w:divBdr>
      <w:divsChild>
        <w:div w:id="1009718088">
          <w:marLeft w:val="0"/>
          <w:marRight w:val="0"/>
          <w:marTop w:val="300"/>
          <w:marBottom w:val="75"/>
          <w:divBdr>
            <w:top w:val="none" w:sz="0" w:space="0" w:color="auto"/>
            <w:left w:val="none" w:sz="0" w:space="0" w:color="auto"/>
            <w:bottom w:val="none" w:sz="0" w:space="0" w:color="auto"/>
            <w:right w:val="none" w:sz="0" w:space="0" w:color="auto"/>
          </w:divBdr>
        </w:div>
      </w:divsChild>
    </w:div>
    <w:div w:id="1203326522">
      <w:bodyDiv w:val="1"/>
      <w:marLeft w:val="0"/>
      <w:marRight w:val="0"/>
      <w:marTop w:val="0"/>
      <w:marBottom w:val="0"/>
      <w:divBdr>
        <w:top w:val="none" w:sz="0" w:space="0" w:color="auto"/>
        <w:left w:val="none" w:sz="0" w:space="0" w:color="auto"/>
        <w:bottom w:val="none" w:sz="0" w:space="0" w:color="auto"/>
        <w:right w:val="none" w:sz="0" w:space="0" w:color="auto"/>
      </w:divBdr>
    </w:div>
    <w:div w:id="1902326448">
      <w:bodyDiv w:val="1"/>
      <w:marLeft w:val="0"/>
      <w:marRight w:val="0"/>
      <w:marTop w:val="0"/>
      <w:marBottom w:val="0"/>
      <w:divBdr>
        <w:top w:val="none" w:sz="0" w:space="0" w:color="auto"/>
        <w:left w:val="none" w:sz="0" w:space="0" w:color="auto"/>
        <w:bottom w:val="none" w:sz="0" w:space="0" w:color="auto"/>
        <w:right w:val="none" w:sz="0" w:space="0" w:color="auto"/>
      </w:divBdr>
    </w:div>
    <w:div w:id="1992320336">
      <w:bodyDiv w:val="1"/>
      <w:marLeft w:val="0"/>
      <w:marRight w:val="0"/>
      <w:marTop w:val="0"/>
      <w:marBottom w:val="0"/>
      <w:divBdr>
        <w:top w:val="none" w:sz="0" w:space="0" w:color="auto"/>
        <w:left w:val="none" w:sz="0" w:space="0" w:color="auto"/>
        <w:bottom w:val="none" w:sz="0" w:space="0" w:color="auto"/>
        <w:right w:val="none" w:sz="0" w:space="0" w:color="auto"/>
      </w:divBdr>
    </w:div>
    <w:div w:id="2105874581">
      <w:bodyDiv w:val="1"/>
      <w:marLeft w:val="0"/>
      <w:marRight w:val="0"/>
      <w:marTop w:val="0"/>
      <w:marBottom w:val="0"/>
      <w:divBdr>
        <w:top w:val="none" w:sz="0" w:space="0" w:color="auto"/>
        <w:left w:val="none" w:sz="0" w:space="0" w:color="auto"/>
        <w:bottom w:val="none" w:sz="0" w:space="0" w:color="auto"/>
        <w:right w:val="none" w:sz="0" w:space="0" w:color="auto"/>
      </w:divBdr>
    </w:div>
    <w:div w:id="2105959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uria.europa.eu/juris/liste.jsf?pro=&amp;lgrec=en&amp;nat=or&amp;oqp=&amp;dates=&amp;lg=&amp;language=cs&amp;jur=C%2CT%2CF&amp;cit=none%252CC%252CCJ%252CR%252C2008E%252C%252C%252C%252C%252C%252C%252C%252C%252C%252Ctrue%252Cfalse%252Cfalse&amp;num=C-195%252F08&amp;td=%3BALL&amp;pcs=Oor&amp;avg=&amp;page=1&amp;mat=or&amp;jge=&amp;for=&amp;cid=141140" TargetMode="External"/><Relationship Id="rId18" Type="http://schemas.openxmlformats.org/officeDocument/2006/relationships/hyperlink" Target="http://curia.europa.eu/juris/document/document.jsf;jsessionid=9ea7d2dc30d63b5795f24fc24735916aa1e7ab667bd7.e34KaxiLc3qMb40Rch0SaxyMa3r0?text=&amp;docid=187865&amp;pageIndex=0&amp;doclang=CS&amp;mode=lst&amp;dir=&amp;occ=first&amp;part=1&amp;cid=189959" TargetMode="External"/><Relationship Id="rId26" Type="http://schemas.openxmlformats.org/officeDocument/2006/relationships/hyperlink" Target="http://www.umpod.c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ur-lex.europa.eu/legal-content/CS/TXT/HTML/?uri=CELEX:62007CJ0523&amp;from=EN" TargetMode="External"/><Relationship Id="rId34" Type="http://schemas.openxmlformats.org/officeDocument/2006/relationships/hyperlink" Target="https://www.epravo.cz/top/clanky/mezinarodni-unosy-deti-aneb-pojem-obvykle-bydliste-ditete-93203.html" TargetMode="External"/><Relationship Id="rId7" Type="http://schemas.openxmlformats.org/officeDocument/2006/relationships/endnotes" Target="endnotes.xml"/><Relationship Id="rId12" Type="http://schemas.openxmlformats.org/officeDocument/2006/relationships/hyperlink" Target="http://curia.europa.eu/juris/liste.jsf?language=cs&amp;td=ALL&amp;num=C-111/17%20PPU" TargetMode="External"/><Relationship Id="rId17" Type="http://schemas.openxmlformats.org/officeDocument/2006/relationships/hyperlink" Target="http://curia.europa.eu/juris/document/document.jsf?text=&amp;docid=83999&amp;pageIndex=0&amp;doclang=CS&amp;mode=lst&amp;dir=&amp;occ=first&amp;part=1&amp;cid=344476" TargetMode="External"/><Relationship Id="rId25" Type="http://schemas.openxmlformats.org/officeDocument/2006/relationships/hyperlink" Target="http://www.hcch.net" TargetMode="External"/><Relationship Id="rId33" Type="http://schemas.openxmlformats.org/officeDocument/2006/relationships/hyperlink" Target="https://www.google.cz/url?sa=t&amp;rct=j&amp;q=&amp;esrc=s&amp;source=web&amp;cd=2&amp;ved=0ahUKEwjHyPqy8-bVAhUCDZoKHVt7D_UQFgguMAE&amp;url=http%3A%2F%2Fwww.cak.cz%2Fassets%2Ffiles%2F3183%2FP_eshrani_n___nosy_d_t_.doc&amp;usg=AFQjCNFQnxiBjU_4YjCodOG9cctlgpcFd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uria.europa.eu/juris/document/document.jsf?text=&amp;docid=72557&amp;pageIndex=0&amp;doclang=cs&amp;mode=lst&amp;dir=&amp;occ=first&amp;part=1&amp;cid=179549" TargetMode="External"/><Relationship Id="rId20" Type="http://schemas.openxmlformats.org/officeDocument/2006/relationships/hyperlink" Target="http://curia.europa.eu/juris/liste.jsf?pro=&amp;lgrec=en&amp;nat=or&amp;oqp=&amp;dates=&amp;lg=&amp;language=cs&amp;jur=C%2CT%2CF&amp;cit=none%252CC%252CCJ%252CR%252C2008E%252C%252C%252C%252C%252C%252C%252C%252C%252C%252Ctrue%252Cfalse%252Cfalse&amp;num=C-256%252F09&amp;td=%3BALL&amp;pcs=Oor&amp;avg=&amp;page=1&amp;mat=or&amp;jge=&amp;for=&amp;cid=143616" TargetMode="External"/><Relationship Id="rId29" Type="http://schemas.openxmlformats.org/officeDocument/2006/relationships/hyperlink" Target="http://www.incada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CS/TXT/?uri=CELEX:62017CC0111" TargetMode="External"/><Relationship Id="rId24" Type="http://schemas.openxmlformats.org/officeDocument/2006/relationships/hyperlink" Target="https://www.hcch.net/en/publications-and-studies/details4/?pid=2779" TargetMode="External"/><Relationship Id="rId32" Type="http://schemas.openxmlformats.org/officeDocument/2006/relationships/hyperlink" Target="http://www.hcch.net" TargetMode="External"/><Relationship Id="rId37" Type="http://schemas.openxmlformats.org/officeDocument/2006/relationships/hyperlink" Target="http://www.sancedetem.cz/cs/hledam-pomoc/rodina-v-problemove-situaci/problemy-v-partnerskem-vztahu/mezinarodni-unos-nezletileho-ditete-v-ramci-rozvodovych-sporu.shtml" TargetMode="External"/><Relationship Id="rId5" Type="http://schemas.openxmlformats.org/officeDocument/2006/relationships/webSettings" Target="webSettings.xml"/><Relationship Id="rId15" Type="http://schemas.openxmlformats.org/officeDocument/2006/relationships/hyperlink" Target="http://curia.europa.eu/juris/document/document.jsf?text=&amp;docid=83470&amp;pageIndex=0&amp;doclang=cs&amp;mode=lst&amp;dir=&amp;occ=first&amp;part=1&amp;cid=177764" TargetMode="External"/><Relationship Id="rId23" Type="http://schemas.openxmlformats.org/officeDocument/2006/relationships/hyperlink" Target="https://assets.hcch.net/incadat/fullcase/0316.htm" TargetMode="External"/><Relationship Id="rId28" Type="http://schemas.openxmlformats.org/officeDocument/2006/relationships/hyperlink" Target="http://portal.justice.cz" TargetMode="External"/><Relationship Id="rId36" Type="http://schemas.openxmlformats.org/officeDocument/2006/relationships/hyperlink" Target="http://www.bulletin-advokacie.cz/us-k-aplikaci-cl.-13-pism.-b-haagske-umluvy-o-obcanskopravnich-aspektech-mezinarodnich-unosu-deti?browser=mobi" TargetMode="External"/><Relationship Id="rId10" Type="http://schemas.openxmlformats.org/officeDocument/2006/relationships/hyperlink" Target="http://hcch.e-vision.nl" TargetMode="External"/><Relationship Id="rId19" Type="http://schemas.openxmlformats.org/officeDocument/2006/relationships/hyperlink" Target="http://curia.europa.eu/juris/liste.jsf?pro=&amp;lgrec=en&amp;nat=or&amp;oqp=&amp;dates=&amp;lg=&amp;language=cs&amp;jur=C%2CT%2CF&amp;cit=none%252CC%252CCJ%252CR%252C2008E%252C%252C%252C%252C%252C%252C%252C%252C%252C%252Ctrue%252Cfalse%252Cfalse&amp;num=C-376%252F14&amp;td=%3BALL&amp;pcs=Oor&amp;avg=&amp;page=1&amp;mat=or&amp;jge=&amp;for=&amp;cid=142408" TargetMode="External"/><Relationship Id="rId31" Type="http://schemas.openxmlformats.org/officeDocument/2006/relationships/hyperlink" Target="http://nalus.usoud.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uria.europa.eu/juris/document/document.jsf?text=&amp;docid=81398&amp;pageIndex=0&amp;doclang=CS&amp;mode=lst&amp;dir=&amp;occ=first&amp;part=1&amp;cid=1194401" TargetMode="External"/><Relationship Id="rId22" Type="http://schemas.openxmlformats.org/officeDocument/2006/relationships/hyperlink" Target="http://eur-lex.europa.eu/legal-content/CS/TXT/?uri=CELEX%3A62013CV0001" TargetMode="External"/><Relationship Id="rId27" Type="http://schemas.openxmlformats.org/officeDocument/2006/relationships/hyperlink" Target="http://www.eur-lex.europa.eu" TargetMode="External"/><Relationship Id="rId30" Type="http://schemas.openxmlformats.org/officeDocument/2006/relationships/hyperlink" Target="http://www.nsoud.cz" TargetMode="External"/><Relationship Id="rId35" Type="http://schemas.openxmlformats.org/officeDocument/2006/relationships/hyperlink" Target="http://www.skvorova-ak.cz/cs/novinky/pojem-obvykle-bydliste-dit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748D-1C6C-467D-94D4-BAE1FCC2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47</Pages>
  <Words>14056</Words>
  <Characters>82932</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Sílešová</dc:creator>
  <cp:keywords/>
  <dc:description/>
  <cp:lastModifiedBy>Jan Sedláček</cp:lastModifiedBy>
  <cp:revision>316</cp:revision>
  <dcterms:created xsi:type="dcterms:W3CDTF">2017-08-21T07:40:00Z</dcterms:created>
  <dcterms:modified xsi:type="dcterms:W3CDTF">2017-08-30T21:07:00Z</dcterms:modified>
</cp:coreProperties>
</file>