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Chart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1. Balance Sheet of AMD Inc. FY2019-2022.</w:t>
      </w:r>
    </w:p>
    <w:tbl>
      <w:tblPr>
        <w:tblW w:w="7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945"/>
        <w:gridCol w:w="945"/>
        <w:gridCol w:w="92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Current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*Cash and short-term investments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Cash and cash equivalents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Short-term marketable securities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Accounts Receivable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*Inventories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*Total current assets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Non-current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Property, Plant &amp;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Investments and Advances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*Intangible assets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*Other long-term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and Shareholders’ Equity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 Debt &amp; Current Portion LT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Accounts payable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Long-Term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Deferred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&amp;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6,028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Source: Based on data from annual reports (all numbers are in millions USD)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4"/>
          <w:szCs w:val="24"/>
          <w:lang w:val="cs-CZ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Chart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2. Balance Sheet of INTEL Company FY2019-2022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3"/>
        <w:tblpPr w:leftFromText="180" w:rightFromText="180" w:vertAnchor="text" w:horzAnchor="page" w:tblpX="740" w:tblpY="121"/>
        <w:tblOverlap w:val="never"/>
        <w:tblW w:w="11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1575"/>
        <w:gridCol w:w="1576"/>
        <w:gridCol w:w="157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Current 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*Cash and short-term investments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28,338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28,413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23,895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Cash and cash equivalents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11,144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4,827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5,865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Short-term marketable securities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17,194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23,586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Accounts Receivable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4,457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9,632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7,352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*Inventories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13,224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10,776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8,427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 current 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4,388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8,897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7,575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*Total current assets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50,407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57,718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47,249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Non-current 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 Property, Plant &amp; Equipment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81,347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63,794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58,69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Investments and Advances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5,922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7,917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8,894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*Intangible assets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33,609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34,233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35,997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 Goodwill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26,963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26,971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*Other long-term 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5,468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3,813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*Total assets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182,103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168,406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153,091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Liabilities and Shareholders’ Equity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 Debt &amp; Current Portion LT Debt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4,771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2,677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Accounts payable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9,595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5,747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5,581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 Current Liabilities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15,769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15,844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Current Liabilities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32,155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27,462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24,754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Long-Term Debt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37,92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33,805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34,251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Deferred Taxes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-3,248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1,793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2,611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 Liabilities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7,891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7,442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7,154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Liabilities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78,817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73,015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72,053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Shareholders' Equity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101,423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95,391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81,038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77,504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Equity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103,286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95,391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81,038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77,504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Liabilities &amp; Shareholders' Equity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182,103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168,406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153,091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136,524</w:t>
            </w:r>
          </w:p>
        </w:tc>
      </w:tr>
    </w:tbl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Source: Based on data from annual reports (all numbers are in millions USD)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Chart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3. Balance Sheet of NVIDIA Company FY2019-2022</w:t>
      </w:r>
    </w:p>
    <w:tbl>
      <w:tblPr>
        <w:tblW w:w="77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939"/>
        <w:gridCol w:w="941"/>
        <w:gridCol w:w="1004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Current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*Cash and short-term investments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21,208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Cash and cash equivalents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Short-term marketable securities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Accounts Receivable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*Inventories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2,605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*Total current assets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23,073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28,829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Non-current assets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Property, Plant &amp;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3,607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Investments and Advances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*Intangible assets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6,688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*Other long-term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3,575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44,187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and Shareholders’ Equity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 Debt &amp; Current Portion LT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Accounts payable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1,783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2,552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4,335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Long-Term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11,687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Deferred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-3,149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-977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1,308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17,575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26,612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26,612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&amp;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44,187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17,315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ans-serif" w:cs="Times New Roman"/>
          <w:sz w:val="24"/>
          <w:szCs w:val="24"/>
        </w:rPr>
        <w:t>. Vertical Common-size Balance Sheet 20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22</w:t>
      </w:r>
    </w:p>
    <w:p>
      <w:pPr>
        <w:rPr>
          <w:rFonts w:hint="default" w:ascii="Times New Roman" w:hAnsi="Times New Roman" w:eastAsia="sans-serif" w:cs="Times New Roman"/>
          <w:sz w:val="24"/>
          <w:szCs w:val="24"/>
          <w:lang w:val="ru-RU"/>
        </w:rPr>
      </w:pPr>
    </w:p>
    <w:tbl>
      <w:tblPr>
        <w:tblW w:w="67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1076"/>
        <w:gridCol w:w="1076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and short-term investments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and cash equivalents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Short-term marketable securities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Accounts Receivable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Inventories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22.86%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Non-current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Property, Plant &amp;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44.67%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Investments and Advances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Intangible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Goodwill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35.73%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long-term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38.33%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assets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and Shareholders’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 Debt &amp; Current Portion LT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Accounts payable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Current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Long-Term Debt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20.81%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Deferred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-1.78%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Liabilities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41.04%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44.04%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&amp; Shareholders' Equity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sans-serif" w:cs="Times New Roman"/>
          <w:sz w:val="24"/>
          <w:szCs w:val="24"/>
          <w:lang w:val="cs-CZ"/>
        </w:rPr>
        <w:t>Hori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zontal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Common-size Balance Sheet 20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22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</w:pPr>
    </w:p>
    <w:tbl>
      <w:tblPr>
        <w:tblW w:w="73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960"/>
        <w:gridCol w:w="640"/>
        <w:gridCol w:w="320"/>
        <w:gridCol w:w="876"/>
        <w:gridCol w:w="84"/>
        <w:gridCol w:w="960"/>
        <w:gridCol w:w="86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22-21v%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22-21v%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22-21v%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Current 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*Cash and short-term investments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62,28%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-0,26%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-37,31%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Cash and cash equivalents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84,46%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130,87%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Short-term marketable securities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9,88%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-27,10%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-48,45%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Accounts Receivable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52,44%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-53,73%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-17,70%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*Inventories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92,89%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22,72%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98,04%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-99,59%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-50,68%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116,12%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*Total current assets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74,99%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-12,67%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-19,97%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Non-current 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Property, Plant &amp; Equipment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84,57%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27,52%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34,32%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Investments and Advances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-38,52%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-25,20%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*Intangible assets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-96,02%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-1,82%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Goodwill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-91,63%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*Other long-term 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2290,04%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43,40%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*Total assets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444,17%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8,13%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-6,80%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and Shareholders’ Equity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 Debt &amp; Current Portion LT Debt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-4,84%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Accounts payable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110,24%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66,96%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-33,09%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Current Liabilities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39,25%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-0,47%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Current Liabilities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50,21%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17,09%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51,40%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Long-Term Debt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-99,18%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12,17%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Deferred Taxes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-100,20%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-281,15%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-99,68%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 Liabilities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-99,48%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Liabilities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160,67%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7,95%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Shareholders' Equity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630,29%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6,32%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-16,95%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Equity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630,29%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8,28%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-16,95%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Liabilities &amp; Shareholders' Equity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444,17%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8,13%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-6,80%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Sales/Revenue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23,601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16,434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56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 of Goods Sold (COGS) incl. D&amp;A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15,098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Gross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SG&amp;A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6,889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4,251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Unusual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Pretax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3,669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(Basic)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0.84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Basic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(Diluted)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56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Diluted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2" w:type="dxa"/>
          <w:trHeight w:val="280" w:hRule="atLeast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EBITDA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Income Statements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INTEL 2019-2022</w:t>
      </w:r>
    </w:p>
    <w:tbl>
      <w:tblPr>
        <w:tblW w:w="57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Sales/Revenue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79,024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77,867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71,965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 of Goods Sold (COGS) incl. D&amp;A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Gross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SG&amp;A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Unusual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Pretax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24,058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20,899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(Basic)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Basic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(Diluted)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Diluted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EBITDA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33,254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8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Income Statements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NVIDIA 2019-2022</w:t>
      </w:r>
    </w:p>
    <w:tbl>
      <w:tblPr>
        <w:tblW w:w="60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Sales/Revenue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26,914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 of Goods Sold (COGS) incl. D&amp;A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Gross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SG&amp;A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Unusual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Pretax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(Basic)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Basic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(Diluted)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Diluted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EBITDA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3,272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Vertical Common-size Income Statement Analysis 20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eastAsia="sans-serif" w:cs="Times New Roman"/>
          <w:sz w:val="24"/>
          <w:szCs w:val="24"/>
        </w:rPr>
        <w:t>2</w:t>
      </w:r>
    </w:p>
    <w:tbl>
      <w:tblPr>
        <w:tblW w:w="47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958"/>
        <w:gridCol w:w="958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Sales/Revenue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 of Goods Sold (COGS) incl. D&amp;A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Gross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SG&amp;A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Unusual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Interest 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Pretax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Income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(Basic)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Basic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(Diluted)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Diluted Shares Outstanding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EBITDA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26.4%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  <w:t>Chart 10. 2021- 2022% Change of Income Statement Entries</w:t>
      </w:r>
    </w:p>
    <w:tbl>
      <w:tblPr>
        <w:tblW w:w="66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6"/>
        <w:gridCol w:w="1251"/>
        <w:gridCol w:w="1373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22/21v%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Sales/Revenue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43,61%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-20,21%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Cost of Goods Sold (COGS) incl. D&amp;A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77,52%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23,09%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Gross Income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7,24%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-38,81%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-12,13%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SG&amp;A Expense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62,06%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12,02%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31,54%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Unusual Expense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-7442,86%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-177,20%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-101,41%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Interest Expense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158,82%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-16,92%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Pretax Income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-67,73%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-64,21%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-57,94%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Income Tax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-123,78%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-13669,48%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-198,94%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Income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-58,25%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-59,66%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-55,21%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(Basic)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-67,32%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-60,08%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-54,81%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Basic Shares Outstanding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28,69%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-0,36%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EPS (Diluted)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-67,32%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-60,08%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-54,81%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Diluted Shares Outstanding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27,83%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0,81%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EBITDA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41,90%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-54,34%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-36,50%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Simplified Cash Flow Statements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for AMD Inc.</w:t>
      </w:r>
    </w:p>
    <w:tbl>
      <w:tblPr>
        <w:tblW w:w="70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Activities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Depreciation, Depletion &amp; Amortization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4,262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Changes in Working Capital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-1,846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-774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-931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Operating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3,565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1,071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Investing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Capital Expenditures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-450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-294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Assets from Acquisitions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-1,544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 of Fixed Assets &amp; Businesses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2,366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Purchase/Sale of Investments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1,643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-378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-658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Investing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1,999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-686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-952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Financing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Dividends Paid - Total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 in Capital Stock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-3,535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-1,895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Issuance/Reduction of Debt, Net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Change in Cash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Free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3,115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Financing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-3,264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-1,895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11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Simplified Cash Flow Statements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for INTEL.</w:t>
      </w:r>
    </w:p>
    <w:tbl>
      <w:tblPr>
        <w:tblW w:w="11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1611"/>
        <w:gridCol w:w="1611"/>
        <w:gridCol w:w="1611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Activities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Depreciation, Depletion &amp; Amortization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13,035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11,792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12,239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Changes in Working Capital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-4,508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-4,873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2,179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Operating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15,433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29,991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35,384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33,145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Investing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Capital Expenditures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-25,05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-20,329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-14,259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-16,213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Assets from Acquisitions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-837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 of Fixed Assets &amp; Businesses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6,579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Purchase/Sale of Investments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9,534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-5,287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-7,801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Investing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-10,477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-25,167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-20,796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-14,405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Financing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Dividends Paid - Total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-5,997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-5,644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-5,568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 in Capital Stock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2,009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-1,395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-13,332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-12,826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Issuance/Reduction of Debt, Net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5,164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2,474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5,722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Change in Cash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6,317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-1,038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1,671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Free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-9,617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9,662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21,125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Financing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1,361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-5,862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-12,917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-17,565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12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Simplified Cash Flow Statements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for NVIDIA.</w:t>
      </w:r>
    </w:p>
    <w:tbl>
      <w:tblPr>
        <w:tblW w:w="69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Activities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Depreciation, Depletion &amp; Amortization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1,544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1,174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1,098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Changes in Working Capital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-2,207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-3,363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-703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Operating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5,641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9,108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5,822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Investing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Capital Expenditures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-1,833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-976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-1,128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Assets from Acquisitions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-263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-8,524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 of Fixed Assets &amp; Businesses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Purchase/Sale of Investments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9,334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-8,567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-9,989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Investing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7,375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-9,83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-19,675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Financing Activities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Dividends Paid - Total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-398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-399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-395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 in Capital Stock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-9,684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Issuance/Reduction of Debt, Net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3,977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4,968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Change in Cash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1,399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1,143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-10,049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Free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3,808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8,132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4,694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Financing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-11,617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1,865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3,804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-792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Vertical Common-Size Cash Flow Statements 20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ans-serif" w:cs="Times New Roman"/>
          <w:sz w:val="24"/>
          <w:szCs w:val="24"/>
        </w:rPr>
        <w:t>2</w:t>
      </w:r>
    </w:p>
    <w:tbl>
      <w:tblPr>
        <w:tblW w:w="61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946"/>
        <w:gridCol w:w="963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Activities</w:t>
            </w:r>
          </w:p>
        </w:tc>
        <w:tc>
          <w:tcPr>
            <w:tcW w:w="2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Depreciation, Depletion &amp; Amortization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Changes in Working Capital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-9.9%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-29.2%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-18.6%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Operating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13.1%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Investing Activities</w:t>
            </w:r>
          </w:p>
        </w:tc>
        <w:tc>
          <w:tcPr>
            <w:tcW w:w="2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Capital Expenditures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-1.4%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-161.4%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-32.5%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Assets from Acquisitions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-4.9%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Sale of Fixed Assets &amp; Businesses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7.4%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Purchase/Sale of Investments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Investing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-67.8%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Financing Activities</w:t>
            </w:r>
          </w:p>
        </w:tc>
        <w:tc>
          <w:tcPr>
            <w:tcW w:w="28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Dividends Paid - Total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-38.8%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Change in Capital Stock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-18.9%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-137.1%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Issuance/Reduction of Debt, Net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33.4%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Change in Cash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14.7%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Free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-62.3%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Financing Cash Flow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-3.2%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8.8%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-205.8%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cs-CZ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  <w:t xml:space="preserve">Chart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14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  <w:t>. Revenues Structure for A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cs-CZ" w:eastAsia="zh-CN"/>
        </w:rPr>
        <w:t>MD</w:t>
      </w:r>
    </w:p>
    <w:tbl>
      <w:tblPr>
        <w:tblW w:w="85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196"/>
        <w:gridCol w:w="1371"/>
        <w:gridCol w:w="954"/>
        <w:gridCol w:w="1371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Operating segment revenue: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2021-2022v%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2022 % of revenues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2021 % of revenues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Data Center revenue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63,59%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25,60%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6,043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22,48%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3,694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Client revenue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-9,96%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26,27%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6,201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41,91%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6,887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Gaming revenue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21,37%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28,83%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6,805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34,12%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5,607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Embedded revenue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1750,41%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19,29%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4,552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1,50%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0,246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Total revenue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43,61%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100,00%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23,601</w:t>
            </w:r>
          </w:p>
        </w:tc>
        <w:tc>
          <w:tcPr>
            <w:tcW w:w="13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100,00%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16,434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cs-CZ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cs-CZ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Revenues Forecast for </w:t>
      </w:r>
      <w:r>
        <w:rPr>
          <w:rFonts w:hint="default" w:ascii="Times New Roman" w:hAnsi="Times New Roman" w:eastAsia="sans-serif" w:cs="Times New Roman"/>
          <w:sz w:val="24"/>
          <w:szCs w:val="24"/>
          <w:lang w:val="cs-CZ"/>
        </w:rPr>
        <w:t>AMD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imSun" w:cs="Times New Roman"/>
          <w:kern w:val="0"/>
          <w:sz w:val="24"/>
          <w:szCs w:val="24"/>
          <w:lang w:val="cs-CZ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cs-CZ" w:eastAsia="zh-CN" w:bidi="ar"/>
        </w:rPr>
        <w:drawing>
          <wp:inline distT="0" distB="0" distL="114300" distR="114300">
            <wp:extent cx="5270500" cy="3364230"/>
            <wp:effectExtent l="0" t="0" r="2540" b="3810"/>
            <wp:docPr id="1" name="Picture 1" descr="168026061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6802606117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16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. Revenues Structure for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INTEL</w:t>
      </w:r>
    </w:p>
    <w:tbl>
      <w:tblPr>
        <w:tblW w:w="90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5"/>
        <w:gridCol w:w="1092"/>
        <w:gridCol w:w="1076"/>
        <w:gridCol w:w="1044"/>
        <w:gridCol w:w="1076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segment revenue: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2021-22v%</w:t>
            </w:r>
          </w:p>
        </w:tc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2022%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2021%</w:t>
            </w:r>
          </w:p>
        </w:tc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Desktop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-14,28%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16,77%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10,661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15,60%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12,437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Notebook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-26,18%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29,55%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18,783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31,92%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Other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-28,96%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2,264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4,00%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client computing revenue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-22,79%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49,88%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31,708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51,53%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Data Center and AI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-15,40%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30,19%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19,196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28,47%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Network and Edge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11,25%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13,96%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8,873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10,01%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Mobileye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34,85%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2,94%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Accelerated Computing Systems and Graphics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8,14%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1,32%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0,837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0,97%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 Foundry Services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13,87%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0,895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0,99%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All other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-96,09%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0,31%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0,196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6,30%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operating segment revenue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-20,23%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63,574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79,699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eastAsia="sans-serif" w:cs="Times New Roman"/>
          <w:sz w:val="24"/>
          <w:szCs w:val="24"/>
        </w:rPr>
        <w:t>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Revenues Forecast for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INTEL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cs-CZ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cs-CZ"/>
        </w:rPr>
        <w:drawing>
          <wp:inline distT="0" distB="0" distL="114300" distR="114300">
            <wp:extent cx="5270500" cy="3364230"/>
            <wp:effectExtent l="0" t="0" r="2540" b="3810"/>
            <wp:docPr id="4" name="Picture 4" descr="1680260568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6802605687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cs-CZ" w:eastAsia="zh-CN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cs-CZ" w:eastAsia="zh-CN"/>
        </w:rPr>
        <w:fldChar w:fldCharType="begin"/>
      </w:r>
      <w:r>
        <w:rPr>
          <w:rFonts w:hint="default" w:ascii="Times New Roman" w:hAnsi="Times New Roman" w:eastAsia="sans-serif" w:cs="Times New Roman"/>
          <w:sz w:val="24"/>
          <w:szCs w:val="24"/>
          <w:lang w:val="cs-CZ" w:eastAsia="zh-CN"/>
        </w:rPr>
        <w:instrText xml:space="preserve"> HYPERLINK "https://simplywall.st/stocks/us/semiconductors/nasdaq-nvda/nvidia/future" </w:instrText>
      </w:r>
      <w:r>
        <w:rPr>
          <w:rFonts w:hint="default" w:ascii="Times New Roman" w:hAnsi="Times New Roman" w:eastAsia="sans-serif" w:cs="Times New Roman"/>
          <w:sz w:val="24"/>
          <w:szCs w:val="24"/>
          <w:lang w:val="cs-CZ" w:eastAsia="zh-CN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sz w:val="24"/>
          <w:szCs w:val="24"/>
          <w:lang w:val="cs-CZ" w:eastAsia="zh-CN"/>
        </w:rPr>
        <w:t>https://simplywall.st/stocks/us/semiconductors/nasdaq-nvda/nvidia/future</w:t>
      </w:r>
      <w:r>
        <w:rPr>
          <w:rFonts w:hint="default" w:ascii="Times New Roman" w:hAnsi="Times New Roman" w:eastAsia="sans-serif" w:cs="Times New Roman"/>
          <w:sz w:val="24"/>
          <w:szCs w:val="24"/>
          <w:lang w:val="cs-CZ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18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. Revenues Structure for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NVIDIA</w:t>
      </w:r>
    </w:p>
    <w:tbl>
      <w:tblPr>
        <w:tblW w:w="78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404"/>
        <w:gridCol w:w="1076"/>
        <w:gridCol w:w="936"/>
        <w:gridCol w:w="107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Operating segment revenue: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2021-22v%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Graphics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-5,22%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55,42%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$ 15,04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58,96%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$ 15,87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Compute and networking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9,54%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44,58%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$ 12,10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41,04%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$ 11,05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$ 27,14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100,00%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$ 26,91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sans-serif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Chart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eastAsia="sans-serif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. Revenues Forecast for </w:t>
      </w: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t>NVIDIA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n-US"/>
        </w:rPr>
        <w:drawing>
          <wp:inline distT="0" distB="0" distL="114300" distR="114300">
            <wp:extent cx="5270500" cy="3364230"/>
            <wp:effectExtent l="0" t="0" r="2540" b="3810"/>
            <wp:docPr id="3" name="Picture 3" descr="168026065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680260650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Chart 33.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Liquidity Ratios</w:t>
      </w:r>
    </w:p>
    <w:tbl>
      <w:tblPr>
        <w:tblW w:w="5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960"/>
        <w:gridCol w:w="96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Current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3,52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Quick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Cash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Defensive interval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298.03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51.93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Chart 34.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Solvency Ratios</w:t>
      </w:r>
    </w:p>
    <w:tbl>
      <w:tblPr>
        <w:tblW w:w="49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960"/>
        <w:gridCol w:w="96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0" w:hRule="atLeast"/>
        </w:trPr>
        <w:tc>
          <w:tcPr>
            <w:tcW w:w="2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Debt-to-assets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Debt-to-capital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Debt-to-equity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Financial leverage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1,9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Chart 35.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Profitability Ratios</w:t>
      </w:r>
    </w:p>
    <w:tbl>
      <w:tblPr>
        <w:tblW w:w="54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996"/>
        <w:gridCol w:w="996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Return on Sales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Gross profit margin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42.6%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Operating profit margin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19.84%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12.04%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Pre-tax margin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12.32%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Net profit margin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5.59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12.71%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16.19</w:t>
            </w:r>
            <w:r>
              <w:rPr>
                <w:rStyle w:val="6"/>
                <w:rFonts w:hint="default" w:ascii="Times New Roman" w:hAnsi="Times New Roman" w:eastAsia="SimSun" w:cs="Times New Roman"/>
                <w:sz w:val="24"/>
                <w:szCs w:val="24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Return on Investment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Operating ROA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12.79%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ROA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4.56%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ROIC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-1.62%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ROE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2.40%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7.87%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18.66%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tool for investors.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Chart 36.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Valuation Ratios</w:t>
      </w:r>
    </w:p>
    <w:tbl>
      <w:tblPr>
        <w:tblW w:w="5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960"/>
        <w:gridCol w:w="96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Price to earnings ratio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Price to cash flow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8,6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Price to sales ratio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25,03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Price to book value ratio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30.55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Rates of Return and supporting data</w:t>
      </w:r>
    </w:p>
    <w:tbl>
      <w:tblPr>
        <w:tblW w:w="5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960"/>
        <w:gridCol w:w="96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NVIDIA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Beta(1-Year)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RRR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ERR1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ERR2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Km=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Krf=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sans-serif" w:cs="Times New Roman"/>
          <w:sz w:val="24"/>
          <w:szCs w:val="24"/>
          <w:lang w:val="ru-RU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2598"/>
    <w:rsid w:val="445D2A09"/>
    <w:rsid w:val="5D9F33FE"/>
    <w:rsid w:val="670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6">
    <w:name w:val="font01"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2023-03-30T20:58:17Z</dcterms:created>
  <dc:creator>merce</dc:creator>
  <cp:lastModifiedBy>merce</cp:lastModifiedBy>
  <dcterms:modified xsi:type="dcterms:W3CDTF">2023-03-31T21:59:39Z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2C35F9EDE3F94EA6B20789E69FE14F83</vt:lpwstr>
  </property>
</Properties>
</file>