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3E0" w:rsidRDefault="008533E0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POLICEJNÍ PREZIDIUM ČESKÉ REPUBLIKY</w:t>
      </w:r>
    </w:p>
    <w:p w:rsidR="008533E0" w:rsidRDefault="008533E0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Úřad služby kriminální policie a vyšetřování</w:t>
      </w:r>
    </w:p>
    <w:p w:rsidR="008533E0" w:rsidRDefault="008533E0" w:rsidP="001D364E">
      <w:pPr>
        <w:pStyle w:val="Bezmezer"/>
        <w:jc w:val="center"/>
        <w:rPr>
          <w:rFonts w:cs="Arial"/>
        </w:rPr>
      </w:pPr>
      <w:r>
        <w:rPr>
          <w:rFonts w:cs="Arial"/>
        </w:rPr>
        <w:t>odbor informační kriminality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4C099F" w:rsidP="008533E0">
      <w:pPr>
        <w:pStyle w:val="Bezmezer"/>
        <w:spacing w:line="276" w:lineRule="auto"/>
        <w:jc w:val="center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>
            <wp:extent cx="923925" cy="948028"/>
            <wp:effectExtent l="0" t="0" r="0" b="508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SKP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931" cy="94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</w:rPr>
      </w:pPr>
    </w:p>
    <w:p w:rsidR="008533E0" w:rsidRPr="008533E0" w:rsidRDefault="008533E0" w:rsidP="008533E0">
      <w:pPr>
        <w:pStyle w:val="Bezmezer"/>
        <w:spacing w:line="276" w:lineRule="auto"/>
        <w:jc w:val="center"/>
        <w:rPr>
          <w:rFonts w:cs="Arial"/>
          <w:b/>
          <w:sz w:val="40"/>
          <w:szCs w:val="40"/>
        </w:rPr>
      </w:pPr>
      <w:r w:rsidRPr="008533E0">
        <w:rPr>
          <w:rFonts w:cs="Arial"/>
          <w:b/>
          <w:sz w:val="40"/>
          <w:szCs w:val="40"/>
        </w:rPr>
        <w:t>POLICEJNÍ INTERNETOVÁ HOTLINE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Statistický výstup za</w:t>
      </w:r>
      <w:r w:rsidRPr="008533E0">
        <w:rPr>
          <w:rFonts w:cs="Arial"/>
          <w:sz w:val="28"/>
          <w:szCs w:val="28"/>
        </w:rPr>
        <w:t xml:space="preserve"> rok 2013</w:t>
      </w: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p w:rsidR="008533E0" w:rsidRDefault="008533E0" w:rsidP="008533E0">
      <w:pPr>
        <w:pStyle w:val="Bezmezer"/>
        <w:spacing w:line="276" w:lineRule="auto"/>
        <w:jc w:val="center"/>
        <w:rPr>
          <w:rFonts w:cs="Arial"/>
          <w:sz w:val="28"/>
          <w:szCs w:val="28"/>
        </w:rPr>
      </w:pPr>
    </w:p>
    <w:sdt>
      <w:sdtPr>
        <w:rPr>
          <w:rFonts w:ascii="Arial" w:hAnsi="Arial" w:cs="Arial"/>
          <w:color w:val="auto"/>
        </w:rPr>
        <w:id w:val="-214032910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  <w:lang w:eastAsia="en-US"/>
        </w:rPr>
      </w:sdtEndPr>
      <w:sdtContent>
        <w:p w:rsidR="00B23A2A" w:rsidRPr="00B23A2A" w:rsidRDefault="00B23A2A" w:rsidP="00B23A2A">
          <w:pPr>
            <w:pStyle w:val="Nadpisobsahu"/>
            <w:spacing w:line="360" w:lineRule="auto"/>
            <w:rPr>
              <w:rFonts w:ascii="Arial" w:hAnsi="Arial" w:cs="Arial"/>
              <w:color w:val="auto"/>
            </w:rPr>
          </w:pPr>
          <w:r w:rsidRPr="00B23A2A">
            <w:rPr>
              <w:rFonts w:ascii="Arial" w:hAnsi="Arial" w:cs="Arial"/>
              <w:color w:val="auto"/>
            </w:rPr>
            <w:t>Obsah</w:t>
          </w:r>
        </w:p>
        <w:p w:rsidR="00B23A2A" w:rsidRPr="00B23A2A" w:rsidRDefault="00B23A2A" w:rsidP="00B23A2A">
          <w:pPr>
            <w:pStyle w:val="Obsah1"/>
            <w:tabs>
              <w:tab w:val="right" w:leader="dot" w:pos="9062"/>
            </w:tabs>
            <w:spacing w:line="360" w:lineRule="auto"/>
            <w:rPr>
              <w:rFonts w:ascii="Arial" w:hAnsi="Arial" w:cs="Arial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8832595" w:history="1">
            <w:r w:rsidRPr="00B23A2A">
              <w:rPr>
                <w:rStyle w:val="Hypertextovodkaz"/>
                <w:rFonts w:ascii="Arial" w:hAnsi="Arial" w:cs="Arial"/>
                <w:noProof/>
              </w:rPr>
              <w:t>1 Celkový přehled za rok 2013</w:t>
            </w:r>
            <w:r w:rsidRPr="00B23A2A">
              <w:rPr>
                <w:rFonts w:ascii="Arial" w:hAnsi="Arial" w:cs="Arial"/>
                <w:noProof/>
                <w:webHidden/>
              </w:rPr>
              <w:tab/>
            </w:r>
            <w:r w:rsidRPr="00B23A2A">
              <w:rPr>
                <w:rFonts w:ascii="Arial" w:hAnsi="Arial" w:cs="Arial"/>
                <w:noProof/>
                <w:webHidden/>
              </w:rPr>
              <w:fldChar w:fldCharType="begin"/>
            </w:r>
            <w:r w:rsidRPr="00B23A2A">
              <w:rPr>
                <w:rFonts w:ascii="Arial" w:hAnsi="Arial" w:cs="Arial"/>
                <w:noProof/>
                <w:webHidden/>
              </w:rPr>
              <w:instrText xml:space="preserve"> PAGEREF _Toc378832595 \h </w:instrText>
            </w:r>
            <w:r w:rsidRPr="00B23A2A">
              <w:rPr>
                <w:rFonts w:ascii="Arial" w:hAnsi="Arial" w:cs="Arial"/>
                <w:noProof/>
                <w:webHidden/>
              </w:rPr>
            </w:r>
            <w:r w:rsidRPr="00B23A2A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B23A2A">
              <w:rPr>
                <w:rFonts w:ascii="Arial" w:hAnsi="Arial" w:cs="Arial"/>
                <w:noProof/>
                <w:webHidden/>
              </w:rPr>
              <w:t>3</w:t>
            </w:r>
            <w:r w:rsidRPr="00B23A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3A2A" w:rsidRPr="00B23A2A" w:rsidRDefault="00B23A2A" w:rsidP="00B23A2A">
          <w:pPr>
            <w:pStyle w:val="Obsah2"/>
            <w:tabs>
              <w:tab w:val="right" w:leader="dot" w:pos="9062"/>
            </w:tabs>
            <w:spacing w:line="360" w:lineRule="auto"/>
            <w:rPr>
              <w:rFonts w:ascii="Arial" w:hAnsi="Arial" w:cs="Arial"/>
              <w:noProof/>
            </w:rPr>
          </w:pPr>
          <w:hyperlink w:anchor="_Toc378832596" w:history="1">
            <w:r w:rsidRPr="00B23A2A">
              <w:rPr>
                <w:rStyle w:val="Hypertextovodkaz"/>
                <w:rFonts w:ascii="Arial" w:hAnsi="Arial" w:cs="Arial"/>
                <w:noProof/>
              </w:rPr>
              <w:t>1.1 Rozdělení hlášení do oblastí</w:t>
            </w:r>
            <w:r w:rsidRPr="00B23A2A">
              <w:rPr>
                <w:rFonts w:ascii="Arial" w:hAnsi="Arial" w:cs="Arial"/>
                <w:noProof/>
                <w:webHidden/>
              </w:rPr>
              <w:tab/>
            </w:r>
            <w:r w:rsidRPr="00B23A2A">
              <w:rPr>
                <w:rFonts w:ascii="Arial" w:hAnsi="Arial" w:cs="Arial"/>
                <w:noProof/>
                <w:webHidden/>
              </w:rPr>
              <w:fldChar w:fldCharType="begin"/>
            </w:r>
            <w:r w:rsidRPr="00B23A2A">
              <w:rPr>
                <w:rFonts w:ascii="Arial" w:hAnsi="Arial" w:cs="Arial"/>
                <w:noProof/>
                <w:webHidden/>
              </w:rPr>
              <w:instrText xml:space="preserve"> PAGEREF _Toc378832596 \h </w:instrText>
            </w:r>
            <w:r w:rsidRPr="00B23A2A">
              <w:rPr>
                <w:rFonts w:ascii="Arial" w:hAnsi="Arial" w:cs="Arial"/>
                <w:noProof/>
                <w:webHidden/>
              </w:rPr>
            </w:r>
            <w:r w:rsidRPr="00B23A2A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B23A2A">
              <w:rPr>
                <w:rFonts w:ascii="Arial" w:hAnsi="Arial" w:cs="Arial"/>
                <w:noProof/>
                <w:webHidden/>
              </w:rPr>
              <w:t>5</w:t>
            </w:r>
            <w:r w:rsidRPr="00B23A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3A2A" w:rsidRPr="00B23A2A" w:rsidRDefault="00B23A2A" w:rsidP="00B23A2A">
          <w:pPr>
            <w:pStyle w:val="Obsah2"/>
            <w:tabs>
              <w:tab w:val="right" w:leader="dot" w:pos="9062"/>
            </w:tabs>
            <w:spacing w:line="360" w:lineRule="auto"/>
            <w:rPr>
              <w:rFonts w:ascii="Arial" w:hAnsi="Arial" w:cs="Arial"/>
              <w:noProof/>
            </w:rPr>
          </w:pPr>
          <w:hyperlink w:anchor="_Toc378832597" w:history="1">
            <w:r w:rsidRPr="00B23A2A">
              <w:rPr>
                <w:rStyle w:val="Hypertextovodkaz"/>
                <w:rFonts w:ascii="Arial" w:hAnsi="Arial" w:cs="Arial"/>
                <w:noProof/>
              </w:rPr>
              <w:t>1.2 Rozdělení hlášení dle jednotlivých skutkových podstat</w:t>
            </w:r>
            <w:r w:rsidRPr="00B23A2A">
              <w:rPr>
                <w:rFonts w:ascii="Arial" w:hAnsi="Arial" w:cs="Arial"/>
                <w:noProof/>
                <w:webHidden/>
              </w:rPr>
              <w:tab/>
            </w:r>
            <w:r w:rsidRPr="00B23A2A">
              <w:rPr>
                <w:rFonts w:ascii="Arial" w:hAnsi="Arial" w:cs="Arial"/>
                <w:noProof/>
                <w:webHidden/>
              </w:rPr>
              <w:fldChar w:fldCharType="begin"/>
            </w:r>
            <w:r w:rsidRPr="00B23A2A">
              <w:rPr>
                <w:rFonts w:ascii="Arial" w:hAnsi="Arial" w:cs="Arial"/>
                <w:noProof/>
                <w:webHidden/>
              </w:rPr>
              <w:instrText xml:space="preserve"> PAGEREF _Toc378832597 \h </w:instrText>
            </w:r>
            <w:r w:rsidRPr="00B23A2A">
              <w:rPr>
                <w:rFonts w:ascii="Arial" w:hAnsi="Arial" w:cs="Arial"/>
                <w:noProof/>
                <w:webHidden/>
              </w:rPr>
            </w:r>
            <w:r w:rsidRPr="00B23A2A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B23A2A">
              <w:rPr>
                <w:rFonts w:ascii="Arial" w:hAnsi="Arial" w:cs="Arial"/>
                <w:noProof/>
                <w:webHidden/>
              </w:rPr>
              <w:t>6</w:t>
            </w:r>
            <w:r w:rsidRPr="00B23A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3A2A" w:rsidRPr="00B23A2A" w:rsidRDefault="00B23A2A" w:rsidP="00B23A2A">
          <w:pPr>
            <w:pStyle w:val="Obsah2"/>
            <w:tabs>
              <w:tab w:val="right" w:leader="dot" w:pos="9062"/>
            </w:tabs>
            <w:spacing w:line="360" w:lineRule="auto"/>
            <w:rPr>
              <w:rFonts w:ascii="Arial" w:hAnsi="Arial" w:cs="Arial"/>
              <w:noProof/>
            </w:rPr>
          </w:pPr>
          <w:hyperlink w:anchor="_Toc378832598" w:history="1">
            <w:r w:rsidRPr="00B23A2A">
              <w:rPr>
                <w:rStyle w:val="Hypertextovodkaz"/>
                <w:rFonts w:ascii="Arial" w:hAnsi="Arial" w:cs="Arial"/>
                <w:noProof/>
              </w:rPr>
              <w:t>1.3 Personifikovanost hlášení</w:t>
            </w:r>
            <w:r w:rsidRPr="00B23A2A">
              <w:rPr>
                <w:rFonts w:ascii="Arial" w:hAnsi="Arial" w:cs="Arial"/>
                <w:noProof/>
                <w:webHidden/>
              </w:rPr>
              <w:tab/>
            </w:r>
            <w:r w:rsidRPr="00B23A2A">
              <w:rPr>
                <w:rFonts w:ascii="Arial" w:hAnsi="Arial" w:cs="Arial"/>
                <w:noProof/>
                <w:webHidden/>
              </w:rPr>
              <w:fldChar w:fldCharType="begin"/>
            </w:r>
            <w:r w:rsidRPr="00B23A2A">
              <w:rPr>
                <w:rFonts w:ascii="Arial" w:hAnsi="Arial" w:cs="Arial"/>
                <w:noProof/>
                <w:webHidden/>
              </w:rPr>
              <w:instrText xml:space="preserve"> PAGEREF _Toc378832598 \h </w:instrText>
            </w:r>
            <w:r w:rsidRPr="00B23A2A">
              <w:rPr>
                <w:rFonts w:ascii="Arial" w:hAnsi="Arial" w:cs="Arial"/>
                <w:noProof/>
                <w:webHidden/>
              </w:rPr>
            </w:r>
            <w:r w:rsidRPr="00B23A2A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B23A2A">
              <w:rPr>
                <w:rFonts w:ascii="Arial" w:hAnsi="Arial" w:cs="Arial"/>
                <w:noProof/>
                <w:webHidden/>
              </w:rPr>
              <w:t>7</w:t>
            </w:r>
            <w:r w:rsidRPr="00B23A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3A2A" w:rsidRPr="00B23A2A" w:rsidRDefault="00B23A2A" w:rsidP="00B23A2A">
          <w:pPr>
            <w:pStyle w:val="Obsah2"/>
            <w:tabs>
              <w:tab w:val="right" w:leader="dot" w:pos="9062"/>
            </w:tabs>
            <w:spacing w:line="360" w:lineRule="auto"/>
            <w:rPr>
              <w:rFonts w:ascii="Arial" w:hAnsi="Arial" w:cs="Arial"/>
              <w:noProof/>
            </w:rPr>
          </w:pPr>
          <w:hyperlink w:anchor="_Toc378832599" w:history="1">
            <w:r w:rsidRPr="00B23A2A">
              <w:rPr>
                <w:rStyle w:val="Hypertextovodkaz"/>
                <w:rFonts w:ascii="Arial" w:hAnsi="Arial" w:cs="Arial"/>
                <w:noProof/>
              </w:rPr>
              <w:t>1.4 Facebook</w:t>
            </w:r>
            <w:r w:rsidRPr="00B23A2A">
              <w:rPr>
                <w:rFonts w:ascii="Arial" w:hAnsi="Arial" w:cs="Arial"/>
                <w:noProof/>
                <w:webHidden/>
              </w:rPr>
              <w:tab/>
            </w:r>
            <w:r w:rsidRPr="00B23A2A">
              <w:rPr>
                <w:rFonts w:ascii="Arial" w:hAnsi="Arial" w:cs="Arial"/>
                <w:noProof/>
                <w:webHidden/>
              </w:rPr>
              <w:fldChar w:fldCharType="begin"/>
            </w:r>
            <w:r w:rsidRPr="00B23A2A">
              <w:rPr>
                <w:rFonts w:ascii="Arial" w:hAnsi="Arial" w:cs="Arial"/>
                <w:noProof/>
                <w:webHidden/>
              </w:rPr>
              <w:instrText xml:space="preserve"> PAGEREF _Toc378832599 \h </w:instrText>
            </w:r>
            <w:r w:rsidRPr="00B23A2A">
              <w:rPr>
                <w:rFonts w:ascii="Arial" w:hAnsi="Arial" w:cs="Arial"/>
                <w:noProof/>
                <w:webHidden/>
              </w:rPr>
            </w:r>
            <w:r w:rsidRPr="00B23A2A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B23A2A">
              <w:rPr>
                <w:rFonts w:ascii="Arial" w:hAnsi="Arial" w:cs="Arial"/>
                <w:noProof/>
                <w:webHidden/>
              </w:rPr>
              <w:t>7</w:t>
            </w:r>
            <w:r w:rsidRPr="00B23A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3A2A" w:rsidRPr="00B23A2A" w:rsidRDefault="00B23A2A" w:rsidP="00B23A2A">
          <w:pPr>
            <w:pStyle w:val="Obsah2"/>
            <w:tabs>
              <w:tab w:val="right" w:leader="dot" w:pos="9062"/>
            </w:tabs>
            <w:spacing w:line="360" w:lineRule="auto"/>
            <w:rPr>
              <w:rFonts w:ascii="Arial" w:hAnsi="Arial" w:cs="Arial"/>
              <w:noProof/>
            </w:rPr>
          </w:pPr>
          <w:hyperlink w:anchor="_Toc378832600" w:history="1">
            <w:r w:rsidRPr="00B23A2A">
              <w:rPr>
                <w:rStyle w:val="Hypertextovodkaz"/>
                <w:rFonts w:ascii="Arial" w:hAnsi="Arial" w:cs="Arial"/>
                <w:noProof/>
              </w:rPr>
              <w:t>1.5 Vyřízení oznámení</w:t>
            </w:r>
            <w:r w:rsidRPr="00B23A2A">
              <w:rPr>
                <w:rFonts w:ascii="Arial" w:hAnsi="Arial" w:cs="Arial"/>
                <w:noProof/>
                <w:webHidden/>
              </w:rPr>
              <w:tab/>
            </w:r>
            <w:r w:rsidRPr="00B23A2A">
              <w:rPr>
                <w:rFonts w:ascii="Arial" w:hAnsi="Arial" w:cs="Arial"/>
                <w:noProof/>
                <w:webHidden/>
              </w:rPr>
              <w:fldChar w:fldCharType="begin"/>
            </w:r>
            <w:r w:rsidRPr="00B23A2A">
              <w:rPr>
                <w:rFonts w:ascii="Arial" w:hAnsi="Arial" w:cs="Arial"/>
                <w:noProof/>
                <w:webHidden/>
              </w:rPr>
              <w:instrText xml:space="preserve"> PAGEREF _Toc378832600 \h </w:instrText>
            </w:r>
            <w:r w:rsidRPr="00B23A2A">
              <w:rPr>
                <w:rFonts w:ascii="Arial" w:hAnsi="Arial" w:cs="Arial"/>
                <w:noProof/>
                <w:webHidden/>
              </w:rPr>
            </w:r>
            <w:r w:rsidRPr="00B23A2A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B23A2A">
              <w:rPr>
                <w:rFonts w:ascii="Arial" w:hAnsi="Arial" w:cs="Arial"/>
                <w:noProof/>
                <w:webHidden/>
              </w:rPr>
              <w:t>8</w:t>
            </w:r>
            <w:r w:rsidRPr="00B23A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3A2A" w:rsidRDefault="00B23A2A" w:rsidP="00B23A2A">
          <w:pPr>
            <w:pStyle w:val="Obsah1"/>
            <w:tabs>
              <w:tab w:val="right" w:leader="dot" w:pos="9062"/>
            </w:tabs>
            <w:spacing w:line="360" w:lineRule="auto"/>
            <w:rPr>
              <w:noProof/>
            </w:rPr>
          </w:pPr>
          <w:hyperlink w:anchor="_Toc378832601" w:history="1">
            <w:r w:rsidRPr="00B23A2A">
              <w:rPr>
                <w:rStyle w:val="Hypertextovodkaz"/>
                <w:rFonts w:ascii="Arial" w:hAnsi="Arial" w:cs="Arial"/>
                <w:noProof/>
              </w:rPr>
              <w:t>2 Meziroční srovnání</w:t>
            </w:r>
            <w:r w:rsidRPr="00B23A2A">
              <w:rPr>
                <w:rFonts w:ascii="Arial" w:hAnsi="Arial" w:cs="Arial"/>
                <w:noProof/>
                <w:webHidden/>
              </w:rPr>
              <w:tab/>
            </w:r>
            <w:r w:rsidRPr="00B23A2A">
              <w:rPr>
                <w:rFonts w:ascii="Arial" w:hAnsi="Arial" w:cs="Arial"/>
                <w:noProof/>
                <w:webHidden/>
              </w:rPr>
              <w:fldChar w:fldCharType="begin"/>
            </w:r>
            <w:r w:rsidRPr="00B23A2A">
              <w:rPr>
                <w:rFonts w:ascii="Arial" w:hAnsi="Arial" w:cs="Arial"/>
                <w:noProof/>
                <w:webHidden/>
              </w:rPr>
              <w:instrText xml:space="preserve"> PAGEREF _Toc378832601 \h </w:instrText>
            </w:r>
            <w:r w:rsidRPr="00B23A2A">
              <w:rPr>
                <w:rFonts w:ascii="Arial" w:hAnsi="Arial" w:cs="Arial"/>
                <w:noProof/>
                <w:webHidden/>
              </w:rPr>
            </w:r>
            <w:r w:rsidRPr="00B23A2A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B23A2A">
              <w:rPr>
                <w:rFonts w:ascii="Arial" w:hAnsi="Arial" w:cs="Arial"/>
                <w:noProof/>
                <w:webHidden/>
              </w:rPr>
              <w:t>9</w:t>
            </w:r>
            <w:r w:rsidRPr="00B23A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3A2A" w:rsidRDefault="00B23A2A" w:rsidP="00B23A2A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Pr="00B23A2A" w:rsidRDefault="00B23A2A" w:rsidP="00B23A2A"/>
    <w:p w:rsidR="00B23A2A" w:rsidRDefault="00B23A2A">
      <w:pPr>
        <w:sectPr w:rsidR="00B23A2A" w:rsidSect="005722F6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:rsidR="008533E0" w:rsidRDefault="008533E0" w:rsidP="008533E0">
      <w:pPr>
        <w:pStyle w:val="Nadpis1"/>
      </w:pPr>
      <w:bookmarkStart w:id="0" w:name="_Toc378832595"/>
      <w:r>
        <w:lastRenderedPageBreak/>
        <w:t>1 Celkový přehled</w:t>
      </w:r>
      <w:r w:rsidR="005722F6">
        <w:t xml:space="preserve"> za r</w:t>
      </w:r>
      <w:bookmarkStart w:id="1" w:name="_GoBack"/>
      <w:bookmarkEnd w:id="1"/>
      <w:r w:rsidR="005722F6">
        <w:t>ok 2013</w:t>
      </w:r>
      <w:bookmarkEnd w:id="0"/>
    </w:p>
    <w:p w:rsidR="008533E0" w:rsidRDefault="008533E0" w:rsidP="00161D33">
      <w:pPr>
        <w:pStyle w:val="Bezmezer"/>
        <w:spacing w:after="240"/>
        <w:jc w:val="both"/>
      </w:pPr>
      <w:r>
        <w:t xml:space="preserve">V roce 2013 bylo prostřednictvím formuláře </w:t>
      </w:r>
      <w:r w:rsidR="00490025">
        <w:t xml:space="preserve">– pro hlášení závadového obsahu a aktivit v síti Internet, </w:t>
      </w:r>
      <w:r>
        <w:t xml:space="preserve">umístěného na internetové adrese: </w:t>
      </w:r>
      <w:r w:rsidR="00233E38">
        <w:rPr>
          <w:b/>
        </w:rPr>
        <w:t>htt</w:t>
      </w:r>
      <w:r w:rsidR="00490025" w:rsidRPr="00490025">
        <w:rPr>
          <w:b/>
        </w:rPr>
        <w:t>p://aplikace.policie.cz/hotline/</w:t>
      </w:r>
      <w:r w:rsidR="00490025">
        <w:t xml:space="preserve">, </w:t>
      </w:r>
      <w:r>
        <w:t xml:space="preserve">přijato </w:t>
      </w:r>
      <w:r w:rsidRPr="00490025">
        <w:rPr>
          <w:b/>
        </w:rPr>
        <w:t xml:space="preserve">celkem 3 829 </w:t>
      </w:r>
      <w:r w:rsidR="00490025" w:rsidRPr="00490025">
        <w:rPr>
          <w:b/>
        </w:rPr>
        <w:t>oznámení</w:t>
      </w:r>
      <w:r w:rsidR="00490025">
        <w:t>.</w:t>
      </w:r>
      <w:r w:rsidR="00B23FAE">
        <w:t xml:space="preserve"> V tabulce níže je zobrazen počet oznámení za jednotlivé měsíce, rozdělený do jednotlivých typů oznámení, tak jak byly kategorizovány v rámci vyhodnocení věci.</w:t>
      </w:r>
    </w:p>
    <w:p w:rsidR="00460852" w:rsidRPr="00460852" w:rsidRDefault="00460852" w:rsidP="00460852">
      <w:pPr>
        <w:pStyle w:val="Bezmezer"/>
        <w:spacing w:after="120"/>
        <w:ind w:firstLine="0"/>
        <w:rPr>
          <w:b/>
          <w:u w:val="single"/>
        </w:rPr>
      </w:pPr>
      <w:r w:rsidRPr="00460852">
        <w:rPr>
          <w:b/>
          <w:u w:val="single"/>
        </w:rPr>
        <w:t>Rok 2013</w:t>
      </w: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28"/>
        <w:gridCol w:w="609"/>
        <w:gridCol w:w="609"/>
        <w:gridCol w:w="666"/>
        <w:gridCol w:w="590"/>
        <w:gridCol w:w="609"/>
        <w:gridCol w:w="609"/>
        <w:gridCol w:w="609"/>
        <w:gridCol w:w="628"/>
        <w:gridCol w:w="590"/>
        <w:gridCol w:w="571"/>
        <w:gridCol w:w="609"/>
        <w:gridCol w:w="817"/>
      </w:tblGrid>
      <w:tr w:rsidR="00460852" w:rsidRPr="00460852" w:rsidTr="00460852">
        <w:trPr>
          <w:trHeight w:val="300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460852" w:rsidRPr="00460852" w:rsidRDefault="00460852" w:rsidP="004608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Jednání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6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7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460852" w:rsidRPr="00460852" w:rsidTr="00460852">
        <w:trPr>
          <w:trHeight w:val="300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JNP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288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152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245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98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173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167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126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246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1917</w:t>
            </w:r>
          </w:p>
        </w:tc>
      </w:tr>
      <w:tr w:rsidR="00460852" w:rsidRPr="00460852" w:rsidTr="00460852">
        <w:trPr>
          <w:trHeight w:val="300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NO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143</w:t>
            </w:r>
          </w:p>
        </w:tc>
      </w:tr>
      <w:tr w:rsidR="00460852" w:rsidRPr="00460852" w:rsidTr="00460852">
        <w:trPr>
          <w:trHeight w:val="300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PNP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87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113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84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74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75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67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93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187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1202</w:t>
            </w:r>
          </w:p>
        </w:tc>
      </w:tr>
      <w:tr w:rsidR="00460852" w:rsidRPr="00460852" w:rsidTr="00460852">
        <w:trPr>
          <w:trHeight w:val="300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ZTČ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38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52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97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86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44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29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color w:val="000000"/>
                <w:lang w:eastAsia="cs-CZ"/>
              </w:rPr>
              <w:t>567</w:t>
            </w:r>
          </w:p>
        </w:tc>
      </w:tr>
      <w:tr w:rsidR="00460852" w:rsidRPr="00460852" w:rsidTr="00460852">
        <w:trPr>
          <w:trHeight w:val="300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Celkový součet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395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298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262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333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331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339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231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226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387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60852" w:rsidRPr="00460852" w:rsidRDefault="00460852" w:rsidP="004608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6085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3829</w:t>
            </w:r>
          </w:p>
        </w:tc>
      </w:tr>
    </w:tbl>
    <w:p w:rsidR="00460852" w:rsidRDefault="00460852" w:rsidP="00460852">
      <w:pPr>
        <w:pStyle w:val="Bezmezer"/>
        <w:spacing w:after="120"/>
      </w:pPr>
    </w:p>
    <w:p w:rsidR="00460852" w:rsidRDefault="00460852" w:rsidP="00161D33">
      <w:pPr>
        <w:pStyle w:val="Bezmezer"/>
        <w:spacing w:after="120"/>
        <w:jc w:val="both"/>
      </w:pPr>
      <w:r>
        <w:t xml:space="preserve">Jak je z tabulky </w:t>
      </w:r>
      <w:r w:rsidR="00161D33">
        <w:t xml:space="preserve">patrné oznámení byla rozdělena do 4 kategorií – jednání nepříslušející policii (JNP), nesmyslná oznámení (NO), prozatím neodůvodněná podezření (PNP), zjevná trestná činnost (ZTČ). </w:t>
      </w:r>
    </w:p>
    <w:p w:rsidR="00161D33" w:rsidRDefault="00161D33" w:rsidP="00460852">
      <w:pPr>
        <w:pStyle w:val="Bezmezer"/>
        <w:spacing w:after="120"/>
      </w:pPr>
    </w:p>
    <w:p w:rsidR="00000CDB" w:rsidRDefault="00161D33" w:rsidP="00460852">
      <w:pPr>
        <w:pStyle w:val="Bezmezer"/>
        <w:spacing w:after="120"/>
      </w:pPr>
      <w:r>
        <w:rPr>
          <w:noProof/>
          <w:lang w:eastAsia="cs-CZ"/>
        </w:rPr>
        <w:drawing>
          <wp:inline distT="0" distB="0" distL="0" distR="0" wp14:anchorId="1D346FA0" wp14:editId="7FAB1607">
            <wp:extent cx="4476750" cy="2743200"/>
            <wp:effectExtent l="0" t="0" r="0" b="0"/>
            <wp:docPr id="1" name="Graf 1" title="Typové rozdělení oznámení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61D33" w:rsidRDefault="00000CDB" w:rsidP="00000CDB">
      <w:pPr>
        <w:pStyle w:val="Bezmezer"/>
        <w:jc w:val="both"/>
      </w:pPr>
      <w:r>
        <w:t>Jak je patrné z grafického zpracování, k</w:t>
      </w:r>
      <w:r w:rsidRPr="00161D33">
        <w:t xml:space="preserve">valifikovaná oznámení, a to ať již </w:t>
      </w:r>
      <w:r w:rsidRPr="00000CDB">
        <w:rPr>
          <w:i/>
        </w:rPr>
        <w:t xml:space="preserve">zjevná trestná činnost </w:t>
      </w:r>
      <w:r w:rsidRPr="00000CDB">
        <w:t>nebo</w:t>
      </w:r>
      <w:r w:rsidRPr="00000CDB">
        <w:rPr>
          <w:i/>
        </w:rPr>
        <w:t xml:space="preserve"> prozatím neodůvodněná podezření</w:t>
      </w:r>
      <w:r w:rsidRPr="00161D33">
        <w:t xml:space="preserve"> (jsou zde zahrnuta rovněž přestupková jednání),</w:t>
      </w:r>
      <w:r>
        <w:t xml:space="preserve"> u kterých je nutné komunikovat s oznamovateli a provádět další nezbytná šetření</w:t>
      </w:r>
      <w:r w:rsidRPr="00161D33">
        <w:t xml:space="preserve"> </w:t>
      </w:r>
      <w:r w:rsidRPr="001D364E">
        <w:rPr>
          <w:b/>
        </w:rPr>
        <w:t>tvoří 46% všech přijatých podání</w:t>
      </w:r>
      <w:r w:rsidRPr="00161D33">
        <w:t>.</w:t>
      </w:r>
      <w:r>
        <w:t xml:space="preserve"> </w:t>
      </w:r>
    </w:p>
    <w:p w:rsidR="00000CDB" w:rsidRDefault="00000CDB" w:rsidP="00FB51FD">
      <w:pPr>
        <w:pStyle w:val="Bezmezer"/>
        <w:spacing w:after="240"/>
        <w:jc w:val="both"/>
      </w:pPr>
      <w:r>
        <w:lastRenderedPageBreak/>
        <w:t xml:space="preserve">Z porovnání nápadu oznámení mezi jednotlivými měsíci je patrný </w:t>
      </w:r>
      <w:r w:rsidR="004C099F">
        <w:t>jejich výraznější nápad</w:t>
      </w:r>
      <w:r>
        <w:t xml:space="preserve"> v prvním čtvrtletí roku 2013</w:t>
      </w:r>
      <w:r w:rsidR="00AD4D1A">
        <w:t xml:space="preserve">, </w:t>
      </w:r>
      <w:r w:rsidR="004C099F">
        <w:t xml:space="preserve">dále pak nastává </w:t>
      </w:r>
      <w:r w:rsidR="00AD4D1A">
        <w:t>pokles v srp</w:t>
      </w:r>
      <w:r w:rsidR="004C099F">
        <w:t>nu</w:t>
      </w:r>
      <w:r w:rsidR="00AD4D1A">
        <w:t xml:space="preserve"> až říj</w:t>
      </w:r>
      <w:r w:rsidR="004C099F">
        <w:t>nu,</w:t>
      </w:r>
      <w:r w:rsidR="00C27B31">
        <w:t xml:space="preserve"> s</w:t>
      </w:r>
      <w:r w:rsidR="00AD4D1A">
        <w:t xml:space="preserve"> výrazným nárůstem v posledních dvou měsících roku. </w:t>
      </w:r>
      <w:r w:rsidR="00AD4D1A" w:rsidRPr="00C27B31">
        <w:rPr>
          <w:i/>
        </w:rPr>
        <w:t>Viz grafické zobrazení níže</w:t>
      </w:r>
      <w:r w:rsidR="00AD4D1A">
        <w:t>.</w:t>
      </w:r>
    </w:p>
    <w:p w:rsidR="00AD4D1A" w:rsidRPr="00FB51FD" w:rsidRDefault="00FB51FD" w:rsidP="00FB51FD">
      <w:pPr>
        <w:pStyle w:val="Bezmezer"/>
        <w:ind w:firstLine="0"/>
        <w:jc w:val="both"/>
        <w:rPr>
          <w:b/>
          <w:u w:val="single"/>
        </w:rPr>
      </w:pPr>
      <w:r w:rsidRPr="00FB51FD">
        <w:rPr>
          <w:b/>
          <w:u w:val="single"/>
        </w:rPr>
        <w:t>Měsíční vývoj počtu oznámení</w:t>
      </w:r>
    </w:p>
    <w:p w:rsidR="00AD4D1A" w:rsidRDefault="00AD4D1A" w:rsidP="00000CDB">
      <w:pPr>
        <w:pStyle w:val="Bezmezer"/>
        <w:jc w:val="both"/>
      </w:pPr>
      <w:r>
        <w:rPr>
          <w:noProof/>
          <w:lang w:eastAsia="cs-CZ"/>
        </w:rPr>
        <w:drawing>
          <wp:inline distT="0" distB="0" distL="0" distR="0" wp14:anchorId="617900A1" wp14:editId="7A1A0484">
            <wp:extent cx="4555331" cy="3121693"/>
            <wp:effectExtent l="0" t="0" r="0" b="254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00CDB" w:rsidRDefault="00CE5157" w:rsidP="00CE5157">
      <w:pPr>
        <w:pStyle w:val="Bezmezer"/>
        <w:spacing w:after="240"/>
        <w:jc w:val="both"/>
      </w:pPr>
      <w:r>
        <w:t xml:space="preserve">V rámci analýzy denního přírůstku hlášení zasílaných prostřednictvím internetového formuláře bylo zaznamenáno několik silných trendů, při kterých bylo učiněno i </w:t>
      </w:r>
      <w:r w:rsidRPr="00CE5157">
        <w:rPr>
          <w:b/>
        </w:rPr>
        <w:t>přes 100 oznámení za jediný den</w:t>
      </w:r>
      <w:r>
        <w:t xml:space="preserve">. Roční průměr se ustálil na </w:t>
      </w:r>
      <w:r w:rsidRPr="00CE5157">
        <w:rPr>
          <w:b/>
        </w:rPr>
        <w:t>10,5 podání za den</w:t>
      </w:r>
      <w:r>
        <w:t xml:space="preserve">. </w:t>
      </w:r>
      <w:r w:rsidRPr="00CE5157">
        <w:rPr>
          <w:i/>
        </w:rPr>
        <w:t>Viz grafické zobrazení níže</w:t>
      </w:r>
      <w:r>
        <w:t>.</w:t>
      </w:r>
    </w:p>
    <w:p w:rsidR="00CE5157" w:rsidRPr="00CE5157" w:rsidRDefault="00CE5157" w:rsidP="00CE5157">
      <w:pPr>
        <w:pStyle w:val="Bezmezer"/>
        <w:spacing w:after="240"/>
        <w:ind w:firstLine="0"/>
        <w:jc w:val="both"/>
        <w:rPr>
          <w:b/>
          <w:u w:val="single"/>
        </w:rPr>
      </w:pPr>
      <w:r w:rsidRPr="00CE5157">
        <w:rPr>
          <w:b/>
          <w:u w:val="single"/>
        </w:rPr>
        <w:t>Denní průměr oznámení za jednotlivé měsíce</w:t>
      </w:r>
    </w:p>
    <w:p w:rsidR="00CE5157" w:rsidRDefault="00CE5157" w:rsidP="00000CDB">
      <w:pPr>
        <w:pStyle w:val="Bezmezer"/>
        <w:jc w:val="both"/>
      </w:pPr>
      <w:r>
        <w:rPr>
          <w:noProof/>
          <w:lang w:eastAsia="cs-CZ"/>
        </w:rPr>
        <w:drawing>
          <wp:inline distT="0" distB="0" distL="0" distR="0" wp14:anchorId="532C2899" wp14:editId="601E5DF5">
            <wp:extent cx="4544804" cy="2743199"/>
            <wp:effectExtent l="0" t="0" r="8255" b="63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A12E0" w:rsidRDefault="00AA12E0" w:rsidP="00AA12E0">
      <w:pPr>
        <w:pStyle w:val="Bezmezer"/>
      </w:pPr>
    </w:p>
    <w:p w:rsidR="005722F6" w:rsidRDefault="005722F6" w:rsidP="005722F6">
      <w:pPr>
        <w:pStyle w:val="Nadpis2"/>
        <w:spacing w:after="240"/>
      </w:pPr>
      <w:bookmarkStart w:id="2" w:name="_Toc378832596"/>
      <w:r>
        <w:lastRenderedPageBreak/>
        <w:t xml:space="preserve">1.1 </w:t>
      </w:r>
      <w:r w:rsidR="00734528">
        <w:t>Rozdělení</w:t>
      </w:r>
      <w:r>
        <w:t xml:space="preserve"> hlášení</w:t>
      </w:r>
      <w:r w:rsidR="00734528">
        <w:t xml:space="preserve"> do oblastí</w:t>
      </w:r>
      <w:bookmarkEnd w:id="2"/>
      <w:r>
        <w:t xml:space="preserve"> </w:t>
      </w:r>
    </w:p>
    <w:p w:rsidR="00AA12E0" w:rsidRDefault="005722F6" w:rsidP="00734528">
      <w:pPr>
        <w:pStyle w:val="Bezmezer"/>
        <w:spacing w:after="240"/>
        <w:jc w:val="both"/>
      </w:pPr>
      <w:r>
        <w:t xml:space="preserve">Přijatá oznámení byla rozdělena celkem do 11 oblastí, které odkazují na jejich trestně-právní zařazení, včetně přestupkového jednání, přičemž nejpočetnější oblastí je tzv. amorální jednání právně nepostihnutelné, tedy jednání nespadající do rámce protiprávního jednání. </w:t>
      </w:r>
      <w:r w:rsidRPr="005722F6">
        <w:rPr>
          <w:i/>
        </w:rPr>
        <w:t>Viz tabulka níže</w:t>
      </w:r>
      <w:r>
        <w:t>.</w:t>
      </w:r>
    </w:p>
    <w:p w:rsidR="00734528" w:rsidRPr="00734528" w:rsidRDefault="00734528" w:rsidP="00734528">
      <w:pPr>
        <w:pStyle w:val="Bezmezer"/>
        <w:spacing w:after="240"/>
        <w:ind w:firstLine="0"/>
        <w:jc w:val="both"/>
        <w:rPr>
          <w:b/>
          <w:u w:val="single"/>
        </w:rPr>
      </w:pPr>
      <w:r w:rsidRPr="00734528">
        <w:rPr>
          <w:b/>
          <w:u w:val="single"/>
        </w:rPr>
        <w:t>Oblasti hlášení</w:t>
      </w:r>
    </w:p>
    <w:tbl>
      <w:tblPr>
        <w:tblW w:w="6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2620"/>
      </w:tblGrid>
      <w:tr w:rsidR="005722F6" w:rsidRPr="005722F6" w:rsidTr="00734528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Oblast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Počet</w:t>
            </w:r>
          </w:p>
        </w:tc>
      </w:tr>
      <w:tr w:rsidR="005722F6" w:rsidRPr="005722F6" w:rsidTr="00734528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amorální jednání právně nepostihnutelné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1917</w:t>
            </w:r>
          </w:p>
        </w:tc>
      </w:tr>
      <w:tr w:rsidR="005722F6" w:rsidRPr="005722F6" w:rsidTr="00734528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majetková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596</w:t>
            </w:r>
          </w:p>
        </w:tc>
      </w:tr>
      <w:tr w:rsidR="005722F6" w:rsidRPr="005722F6" w:rsidTr="00734528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722F6" w:rsidRPr="005722F6" w:rsidRDefault="005722F6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hospodářská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722F6" w:rsidRPr="005722F6" w:rsidRDefault="005722F6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495</w:t>
            </w:r>
          </w:p>
        </w:tc>
      </w:tr>
      <w:tr w:rsidR="005722F6" w:rsidRPr="005722F6" w:rsidTr="005722F6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mravnostní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287</w:t>
            </w:r>
          </w:p>
        </w:tc>
      </w:tr>
      <w:tr w:rsidR="005722F6" w:rsidRPr="005722F6" w:rsidTr="005722F6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extremistická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156</w:t>
            </w:r>
          </w:p>
        </w:tc>
      </w:tr>
      <w:tr w:rsidR="005722F6" w:rsidRPr="005722F6" w:rsidTr="005722F6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hlášené nesmyslnosti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143</w:t>
            </w:r>
          </w:p>
        </w:tc>
      </w:tr>
      <w:tr w:rsidR="005722F6" w:rsidRPr="005722F6" w:rsidTr="005722F6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přestupkové jednání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87</w:t>
            </w:r>
          </w:p>
        </w:tc>
      </w:tr>
      <w:tr w:rsidR="005722F6" w:rsidRPr="005722F6" w:rsidTr="005722F6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ostatní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85</w:t>
            </w:r>
          </w:p>
        </w:tc>
      </w:tr>
      <w:tr w:rsidR="005722F6" w:rsidRPr="005722F6" w:rsidTr="005722F6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násilná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38</w:t>
            </w:r>
          </w:p>
        </w:tc>
      </w:tr>
      <w:tr w:rsidR="005722F6" w:rsidRPr="005722F6" w:rsidTr="005722F6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poznatek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</w:tr>
      <w:tr w:rsidR="005722F6" w:rsidRPr="005722F6" w:rsidTr="00734528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jiné správní jednání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</w:tr>
      <w:tr w:rsidR="005722F6" w:rsidRPr="005722F6" w:rsidTr="00734528">
        <w:trPr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722F6" w:rsidRPr="005722F6" w:rsidRDefault="005722F6" w:rsidP="005722F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2F6" w:rsidRPr="005722F6" w:rsidRDefault="005722F6" w:rsidP="005722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5722F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3829</w:t>
            </w:r>
          </w:p>
        </w:tc>
      </w:tr>
    </w:tbl>
    <w:p w:rsidR="005722F6" w:rsidRDefault="005722F6" w:rsidP="005722F6">
      <w:pPr>
        <w:pStyle w:val="Bezmezer"/>
        <w:jc w:val="both"/>
      </w:pPr>
    </w:p>
    <w:p w:rsidR="00AA12E0" w:rsidRDefault="005722F6" w:rsidP="00734528">
      <w:pPr>
        <w:pStyle w:val="Bezmezer"/>
        <w:jc w:val="both"/>
      </w:pPr>
      <w:r>
        <w:t>Druhou nejpočetnější oblastí je majetková trestná činnost, do níž lze zahrnout zejména různé typy podvodných jednání</w:t>
      </w:r>
      <w:r w:rsidR="00734528">
        <w:t xml:space="preserve"> např. prostřednictvím internetové inzerce, ale i jiné. Hospodářská oblast je třetí v pořadí, a to zejména </w:t>
      </w:r>
      <w:r w:rsidR="00734528" w:rsidRPr="00734528">
        <w:rPr>
          <w:b/>
        </w:rPr>
        <w:t>z důvodu velkého počtu tzv. ransomware oznámení</w:t>
      </w:r>
      <w:r w:rsidR="00734528">
        <w:t xml:space="preserve">. Těchto oznámení bylo zaznamenáno </w:t>
      </w:r>
      <w:r w:rsidR="00D504A9">
        <w:rPr>
          <w:b/>
        </w:rPr>
        <w:t>celkem 293, zejména v období vánočních svátků</w:t>
      </w:r>
      <w:r w:rsidR="00734528" w:rsidRPr="00734528">
        <w:rPr>
          <w:b/>
        </w:rPr>
        <w:t xml:space="preserve"> roku 2013</w:t>
      </w:r>
      <w:r w:rsidR="00734528">
        <w:t>.</w:t>
      </w: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Bezmezer"/>
        <w:jc w:val="both"/>
      </w:pPr>
    </w:p>
    <w:p w:rsidR="00734528" w:rsidRDefault="00734528" w:rsidP="00734528">
      <w:pPr>
        <w:pStyle w:val="Nadpis2"/>
        <w:spacing w:after="240"/>
      </w:pPr>
      <w:bookmarkStart w:id="3" w:name="_Toc378832597"/>
      <w:r>
        <w:lastRenderedPageBreak/>
        <w:t xml:space="preserve">1.2 </w:t>
      </w:r>
      <w:r w:rsidR="00045B21">
        <w:t>Rozdělení h</w:t>
      </w:r>
      <w:r>
        <w:t>lášení dle jednotlivých skutkových podstat</w:t>
      </w:r>
      <w:bookmarkEnd w:id="3"/>
    </w:p>
    <w:p w:rsidR="00734528" w:rsidRDefault="00734528" w:rsidP="00917C44">
      <w:pPr>
        <w:pStyle w:val="Bezmezer"/>
        <w:spacing w:after="240"/>
        <w:jc w:val="both"/>
      </w:pPr>
      <w:r>
        <w:t xml:space="preserve">Rok 2013 byl z hlediska skutkových podstat velmi rozmanitý. Bylo zaznamenáno celkem 34 kategorií s minimálně jedním výskytem. Tato sledovaná problematika nebyla zaznamenávána u všech hlášení. </w:t>
      </w:r>
      <w:r w:rsidRPr="00734528">
        <w:rPr>
          <w:i/>
        </w:rPr>
        <w:t>Viz tabulka níže</w:t>
      </w:r>
      <w:r>
        <w:t>.</w:t>
      </w:r>
    </w:p>
    <w:p w:rsidR="00917C44" w:rsidRPr="00917C44" w:rsidRDefault="00917C44" w:rsidP="00917C44">
      <w:pPr>
        <w:pStyle w:val="Bezmezer"/>
        <w:spacing w:after="240"/>
        <w:ind w:firstLine="0"/>
        <w:jc w:val="both"/>
        <w:rPr>
          <w:b/>
          <w:u w:val="single"/>
        </w:rPr>
      </w:pPr>
      <w:r w:rsidRPr="00917C44">
        <w:rPr>
          <w:b/>
          <w:u w:val="single"/>
        </w:rPr>
        <w:t>Hlášení dle SP</w:t>
      </w: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2"/>
        <w:gridCol w:w="2624"/>
      </w:tblGrid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SPTČ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Počet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podvod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564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neoprávněný přístup k počítačovému systému a nosiči informací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450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zneužití dítěte k výrobě pornografie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202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hanobení národa, rasy, etnické nebo jiné skupiny osob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147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šíření pornografie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93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porušení autorského práva, práv souvisejících s právem autorským a práv k databázi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47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padělání a pozměnění veřejné listiny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29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pomluva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22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popírání, zpochyb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ňování, schvalování a ospravedlň</w:t>
            </w: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ování genocidia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podněcování k nenávisti vůči skupině osob nebo k omezování práv a svobod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založení, podpora a propagace hnutí směřujícího k potlačení práv a svobod člověka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nebezpečné pronásledování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nedovolená výroba a jiné nakládání s omamnými a psychotropními látkami a s jedy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krádež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šíření toxikomanie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týrání osoby žijící ve společné domácnosti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porušení tajemství dopravovaných zpráv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neoprávněné podnikání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nedovolené ozbrojování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vyhrožování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svádění k pohlavnímu styku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nebezpečné vyhrožování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opatření a přechovávání přístupového zařízení a hesla k počítačovému systému a jiných takových dat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vydírání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porušení práv k ochranné známce a jiným označením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legalizace výnosů z trestné činnosti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týrání svěřené osoby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osoba v pátrání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ohrožování výchovy dítěte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šíření dětské pornografie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zkrácení daně, poplatku a podobné povinné platby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poškození cizích práv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917C44" w:rsidRPr="00917C44" w:rsidTr="00917C44">
        <w:trPr>
          <w:trHeight w:val="300"/>
        </w:trPr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7C44" w:rsidRPr="00917C44" w:rsidRDefault="00917C44" w:rsidP="00917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neoprávněné odebrání tkání a orgánů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4" w:rsidRPr="00917C44" w:rsidRDefault="00917C44" w:rsidP="00917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17C44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</w:tbl>
    <w:p w:rsidR="00917C44" w:rsidRDefault="00917C44" w:rsidP="00734528">
      <w:pPr>
        <w:pStyle w:val="Bezmezer"/>
        <w:jc w:val="both"/>
      </w:pPr>
      <w:r>
        <w:lastRenderedPageBreak/>
        <w:t>Uvedené skutkové podstaty jsou pouze prvotním vyhodnocením daného hlášení a nekonstatují definitivní právní kvalifikaci. Jak je z výše uvedené tabulky patrné, nejčastějším protiprávním jednáním, hlášeným na internetovou hotline</w:t>
      </w:r>
      <w:r w:rsidR="004C099F">
        <w:t>,</w:t>
      </w:r>
      <w:r>
        <w:t xml:space="preserve"> jsou podvody všeho druhu. Zaznamenány však byly</w:t>
      </w:r>
      <w:r w:rsidR="004C099F">
        <w:t xml:space="preserve"> i některá netradiční podání, jako </w:t>
      </w:r>
      <w:r w:rsidR="00D504A9">
        <w:t>např. nahlášený</w:t>
      </w:r>
      <w:r w:rsidR="004C099F">
        <w:t xml:space="preserve"> výskyt</w:t>
      </w:r>
      <w:r>
        <w:t xml:space="preserve"> osob v pátrání.</w:t>
      </w:r>
    </w:p>
    <w:p w:rsidR="00AA1C7B" w:rsidRDefault="00AA1C7B" w:rsidP="00AA1C7B">
      <w:pPr>
        <w:pStyle w:val="Nadpis2"/>
        <w:spacing w:after="240"/>
      </w:pPr>
      <w:bookmarkStart w:id="4" w:name="_Toc378832598"/>
      <w:r>
        <w:t>1.3 Personifikovanost hlášení</w:t>
      </w:r>
      <w:bookmarkEnd w:id="4"/>
    </w:p>
    <w:p w:rsidR="00AA1C7B" w:rsidRDefault="00AA1C7B" w:rsidP="00AA1C7B">
      <w:pPr>
        <w:pStyle w:val="Bezmezer"/>
        <w:spacing w:after="240"/>
        <w:jc w:val="both"/>
      </w:pPr>
      <w:r>
        <w:t xml:space="preserve">Jako personifikovaná (ztotožnitelná) osoba je brán ten oznamovatel, který na sebe uvedl alespoň e-mailový nebo telefonický kontakt. Rozložení oznámení dle tohoto kritéria zobrazuje </w:t>
      </w:r>
      <w:r w:rsidRPr="00AA1C7B">
        <w:rPr>
          <w:i/>
        </w:rPr>
        <w:t>tabulka</w:t>
      </w:r>
      <w:r w:rsidR="004C099F">
        <w:rPr>
          <w:i/>
        </w:rPr>
        <w:t xml:space="preserve"> a graf</w:t>
      </w:r>
      <w:r w:rsidRPr="00AA1C7B">
        <w:rPr>
          <w:i/>
        </w:rPr>
        <w:t xml:space="preserve"> níže</w:t>
      </w:r>
      <w:r>
        <w:t xml:space="preserve">. </w:t>
      </w:r>
    </w:p>
    <w:tbl>
      <w:tblPr>
        <w:tblW w:w="90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7"/>
        <w:gridCol w:w="1517"/>
      </w:tblGrid>
      <w:tr w:rsidR="00AA1C7B" w:rsidRPr="00AA1C7B" w:rsidTr="00AA1C7B">
        <w:trPr>
          <w:trHeight w:val="285"/>
        </w:trPr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A1C7B" w:rsidRPr="00AA1C7B" w:rsidRDefault="00AA1C7B" w:rsidP="00AA1C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AA1C7B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Anonymita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A1C7B" w:rsidRPr="00AA1C7B" w:rsidRDefault="00AA1C7B" w:rsidP="00AA1C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AA1C7B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Počet</w:t>
            </w:r>
          </w:p>
        </w:tc>
      </w:tr>
      <w:tr w:rsidR="00AA1C7B" w:rsidRPr="00AA1C7B" w:rsidTr="00AA1C7B">
        <w:trPr>
          <w:trHeight w:val="285"/>
        </w:trPr>
        <w:tc>
          <w:tcPr>
            <w:tcW w:w="7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C7B" w:rsidRPr="00AA1C7B" w:rsidRDefault="00AA1C7B" w:rsidP="00AA1C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A1C7B">
              <w:rPr>
                <w:rFonts w:ascii="Calibri" w:eastAsia="Times New Roman" w:hAnsi="Calibri" w:cs="Times New Roman"/>
                <w:color w:val="000000"/>
                <w:lang w:eastAsia="cs-CZ"/>
              </w:rPr>
              <w:t>Anonymní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C7B" w:rsidRPr="00AA1C7B" w:rsidRDefault="00AA1C7B" w:rsidP="00AA1C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A1C7B">
              <w:rPr>
                <w:rFonts w:ascii="Calibri" w:eastAsia="Times New Roman" w:hAnsi="Calibri" w:cs="Times New Roman"/>
                <w:color w:val="000000"/>
                <w:lang w:eastAsia="cs-CZ"/>
              </w:rPr>
              <w:t>1051</w:t>
            </w:r>
          </w:p>
        </w:tc>
      </w:tr>
      <w:tr w:rsidR="00AA1C7B" w:rsidRPr="00AA1C7B" w:rsidTr="00AA1C7B">
        <w:trPr>
          <w:trHeight w:val="285"/>
        </w:trPr>
        <w:tc>
          <w:tcPr>
            <w:tcW w:w="7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C7B" w:rsidRPr="00AA1C7B" w:rsidRDefault="00AA1C7B" w:rsidP="00AA1C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A1C7B">
              <w:rPr>
                <w:rFonts w:ascii="Calibri" w:eastAsia="Times New Roman" w:hAnsi="Calibri" w:cs="Times New Roman"/>
                <w:color w:val="000000"/>
                <w:lang w:eastAsia="cs-CZ"/>
              </w:rPr>
              <w:t>Personifikované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C7B" w:rsidRPr="00AA1C7B" w:rsidRDefault="00AA1C7B" w:rsidP="00AA1C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A1C7B">
              <w:rPr>
                <w:rFonts w:ascii="Calibri" w:eastAsia="Times New Roman" w:hAnsi="Calibri" w:cs="Times New Roman"/>
                <w:color w:val="000000"/>
                <w:lang w:eastAsia="cs-CZ"/>
              </w:rPr>
              <w:t>2778</w:t>
            </w:r>
          </w:p>
        </w:tc>
      </w:tr>
      <w:tr w:rsidR="00AA1C7B" w:rsidRPr="00AA1C7B" w:rsidTr="00AA1C7B">
        <w:trPr>
          <w:trHeight w:val="285"/>
        </w:trPr>
        <w:tc>
          <w:tcPr>
            <w:tcW w:w="7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C7B" w:rsidRPr="00AA1C7B" w:rsidRDefault="00AA1C7B" w:rsidP="00AA1C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C7B" w:rsidRPr="00AA1C7B" w:rsidRDefault="00AA1C7B" w:rsidP="00AA1C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A1C7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3829</w:t>
            </w:r>
          </w:p>
        </w:tc>
      </w:tr>
    </w:tbl>
    <w:p w:rsidR="00AA1C7B" w:rsidRDefault="00AA1C7B" w:rsidP="00AA1C7B">
      <w:pPr>
        <w:pStyle w:val="Bezmezer"/>
        <w:spacing w:after="240"/>
      </w:pPr>
    </w:p>
    <w:p w:rsidR="00AA1C7B" w:rsidRPr="00AA1C7B" w:rsidRDefault="00AA1C7B" w:rsidP="00AA1C7B">
      <w:pPr>
        <w:pStyle w:val="Bezmezer"/>
        <w:spacing w:after="240"/>
        <w:ind w:firstLine="0"/>
        <w:rPr>
          <w:b/>
          <w:u w:val="single"/>
        </w:rPr>
      </w:pPr>
      <w:r w:rsidRPr="00AA1C7B">
        <w:rPr>
          <w:b/>
          <w:u w:val="single"/>
        </w:rPr>
        <w:t>Anonymita</w:t>
      </w:r>
    </w:p>
    <w:p w:rsidR="00AA1C7B" w:rsidRPr="00AA1C7B" w:rsidRDefault="00AA1C7B" w:rsidP="00AA1C7B">
      <w:pPr>
        <w:pStyle w:val="Bezmezer"/>
      </w:pPr>
      <w:r>
        <w:rPr>
          <w:noProof/>
          <w:lang w:eastAsia="cs-CZ"/>
        </w:rPr>
        <w:drawing>
          <wp:inline distT="0" distB="0" distL="0" distR="0" wp14:anchorId="08075AD2" wp14:editId="1D33E376">
            <wp:extent cx="4552950" cy="2466975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34528" w:rsidRDefault="00AA1C7B" w:rsidP="00734528">
      <w:pPr>
        <w:pStyle w:val="Bezmezer"/>
        <w:jc w:val="both"/>
      </w:pPr>
      <w:r>
        <w:t xml:space="preserve">Jak je patrné </w:t>
      </w:r>
      <w:r w:rsidRPr="00AA1C7B">
        <w:rPr>
          <w:i/>
        </w:rPr>
        <w:t>z</w:t>
      </w:r>
      <w:r>
        <w:rPr>
          <w:i/>
        </w:rPr>
        <w:t> </w:t>
      </w:r>
      <w:r w:rsidRPr="00AA1C7B">
        <w:rPr>
          <w:i/>
        </w:rPr>
        <w:t>graf</w:t>
      </w:r>
      <w:r>
        <w:rPr>
          <w:i/>
        </w:rPr>
        <w:t>ického zobrazení</w:t>
      </w:r>
      <w:r>
        <w:t>, podstatná většina oznamovatelů na sebe uvedla alespoň nějaký kontakt, prostřednictvím, kterého mohl</w:t>
      </w:r>
      <w:r w:rsidR="0050616E">
        <w:t>i</w:t>
      </w:r>
      <w:r>
        <w:t xml:space="preserve"> být dohledán</w:t>
      </w:r>
      <w:r w:rsidR="0050616E">
        <w:t>i</w:t>
      </w:r>
      <w:r>
        <w:t>.</w:t>
      </w:r>
    </w:p>
    <w:p w:rsidR="00C6582E" w:rsidRDefault="00C6582E" w:rsidP="00C6582E">
      <w:pPr>
        <w:pStyle w:val="Nadpis2"/>
        <w:spacing w:after="240"/>
      </w:pPr>
      <w:bookmarkStart w:id="5" w:name="_Toc378832599"/>
      <w:r>
        <w:t>1.4 Facebook</w:t>
      </w:r>
      <w:bookmarkEnd w:id="5"/>
    </w:p>
    <w:p w:rsidR="00C6582E" w:rsidRDefault="00C6582E" w:rsidP="00C6582E">
      <w:pPr>
        <w:pStyle w:val="Bezmezer"/>
        <w:jc w:val="both"/>
      </w:pPr>
      <w:r w:rsidRPr="00C6582E">
        <w:rPr>
          <w:b/>
        </w:rPr>
        <w:t>V celkem 1 126 případech</w:t>
      </w:r>
      <w:r>
        <w:t xml:space="preserve"> mělo oznámení nějakou spojitost se sociální sítí Facebook, a to jak z hlediska umístění závadového obsahu, tak i jako využitého komunikačního prostředku, kterým byl čin spáchán. Tento počet představuje </w:t>
      </w:r>
      <w:r w:rsidRPr="00C6582E">
        <w:rPr>
          <w:b/>
        </w:rPr>
        <w:t>necelých 30 % podílu na všech oznámeních</w:t>
      </w:r>
      <w:r>
        <w:t>.</w:t>
      </w:r>
    </w:p>
    <w:p w:rsidR="009B6A50" w:rsidRDefault="009B6A50" w:rsidP="00C6582E">
      <w:pPr>
        <w:pStyle w:val="Bezmezer"/>
        <w:jc w:val="both"/>
      </w:pPr>
    </w:p>
    <w:p w:rsidR="009B6A50" w:rsidRDefault="009B6A50" w:rsidP="009B6A50">
      <w:pPr>
        <w:pStyle w:val="Nadpis2"/>
        <w:spacing w:after="240"/>
      </w:pPr>
      <w:bookmarkStart w:id="6" w:name="_Toc378832600"/>
      <w:r>
        <w:lastRenderedPageBreak/>
        <w:t>1.5 Vyřízení oznámení</w:t>
      </w:r>
      <w:bookmarkEnd w:id="6"/>
    </w:p>
    <w:p w:rsidR="009B6A50" w:rsidRDefault="009B6A50" w:rsidP="009B6A50">
      <w:pPr>
        <w:pStyle w:val="Bezmezer"/>
        <w:jc w:val="both"/>
      </w:pPr>
      <w:r>
        <w:t xml:space="preserve"> Po důkladném šetření a analýze bylo v každé věci rozhodnuto buď o jejím postoupení formou zaslaného poznatku, nebo pokud nebylo prokázáno spáchání trestného činu, přestupku nebo jiného správního deliktu, byla věc uložena k dalšímu služebnímu využití. </w:t>
      </w:r>
    </w:p>
    <w:p w:rsidR="009B6A50" w:rsidRDefault="009B6A50" w:rsidP="009B6A50">
      <w:pPr>
        <w:pStyle w:val="Bezmezer"/>
        <w:jc w:val="both"/>
      </w:pPr>
    </w:p>
    <w:p w:rsidR="009B6A50" w:rsidRDefault="000E6F69" w:rsidP="009B6A50">
      <w:pPr>
        <w:pStyle w:val="Bezmezer"/>
        <w:jc w:val="both"/>
      </w:pPr>
      <w:r>
        <w:rPr>
          <w:noProof/>
          <w:lang w:eastAsia="cs-CZ"/>
        </w:rPr>
        <w:drawing>
          <wp:inline distT="0" distB="0" distL="0" distR="0" wp14:anchorId="6AA9F00B" wp14:editId="146ACF75">
            <wp:extent cx="4572000" cy="27432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B6A50" w:rsidRDefault="009B6A50" w:rsidP="009B6A50">
      <w:pPr>
        <w:pStyle w:val="Bezmezer"/>
        <w:jc w:val="both"/>
      </w:pPr>
    </w:p>
    <w:p w:rsidR="009B6A50" w:rsidRDefault="009B6A50" w:rsidP="009B6A50">
      <w:pPr>
        <w:pStyle w:val="Bezmezer"/>
        <w:jc w:val="both"/>
      </w:pPr>
    </w:p>
    <w:p w:rsidR="009B6A50" w:rsidRDefault="009B6A50" w:rsidP="009B6A50">
      <w:pPr>
        <w:pStyle w:val="Bezmezer"/>
        <w:jc w:val="both"/>
      </w:pPr>
      <w:r>
        <w:t xml:space="preserve">Jak zobrazuje graf výše, </w:t>
      </w:r>
      <w:r w:rsidRPr="000E6F69">
        <w:rPr>
          <w:b/>
        </w:rPr>
        <w:t xml:space="preserve">více než pětina </w:t>
      </w:r>
      <w:r w:rsidR="000E6F69" w:rsidRPr="000E6F69">
        <w:rPr>
          <w:b/>
        </w:rPr>
        <w:t xml:space="preserve">prošetřených </w:t>
      </w:r>
      <w:r w:rsidRPr="000E6F69">
        <w:rPr>
          <w:b/>
        </w:rPr>
        <w:t>oznámení</w:t>
      </w:r>
      <w:r>
        <w:t xml:space="preserve"> byla vyhodnocena jako způsobilá k dalšímu šetření jiným policejním orgánem</w:t>
      </w:r>
      <w:r w:rsidR="000E6F69">
        <w:t xml:space="preserve"> a tedy elektronicky postoupena</w:t>
      </w:r>
      <w:r>
        <w:t>.</w:t>
      </w: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9B6A50">
      <w:pPr>
        <w:pStyle w:val="Bezmezer"/>
        <w:jc w:val="both"/>
      </w:pPr>
    </w:p>
    <w:p w:rsidR="000E6F69" w:rsidRDefault="000E6F69" w:rsidP="000E6F69">
      <w:pPr>
        <w:pStyle w:val="Nadpis1"/>
      </w:pPr>
      <w:bookmarkStart w:id="7" w:name="_Toc378832601"/>
      <w:r>
        <w:lastRenderedPageBreak/>
        <w:t>2 Meziroční srovnání</w:t>
      </w:r>
      <w:bookmarkEnd w:id="7"/>
    </w:p>
    <w:p w:rsidR="000E6F69" w:rsidRDefault="000E6F69" w:rsidP="00B252DE">
      <w:pPr>
        <w:pStyle w:val="Bezmezer"/>
        <w:spacing w:after="240"/>
        <w:jc w:val="both"/>
      </w:pPr>
      <w:r>
        <w:t xml:space="preserve">Srovnání mezi roky 2012 je možné pouze </w:t>
      </w:r>
      <w:r w:rsidRPr="000E6F69">
        <w:rPr>
          <w:b/>
        </w:rPr>
        <w:t>za měsíce srpen až prosinec</w:t>
      </w:r>
      <w:r>
        <w:t xml:space="preserve">, vzhledem k termínu zprovoznění policejní internetové hotline v srpnu roku 2012. Celoroční srovnání bude možné až na konci roku 2014. Porovnání </w:t>
      </w:r>
      <w:r w:rsidRPr="000E6F69">
        <w:rPr>
          <w:i/>
        </w:rPr>
        <w:t>viz tabulky níže</w:t>
      </w:r>
      <w:r>
        <w:t>.</w:t>
      </w:r>
    </w:p>
    <w:p w:rsidR="000E6F69" w:rsidRPr="00B252DE" w:rsidRDefault="00B252DE" w:rsidP="00B252DE">
      <w:pPr>
        <w:pStyle w:val="Bezmezer"/>
        <w:spacing w:after="240"/>
        <w:ind w:firstLine="0"/>
        <w:jc w:val="both"/>
        <w:rPr>
          <w:b/>
          <w:u w:val="single"/>
        </w:rPr>
      </w:pPr>
      <w:r w:rsidRPr="00B252DE">
        <w:rPr>
          <w:b/>
          <w:u w:val="single"/>
        </w:rPr>
        <w:t>Srpen – prosinec 2012</w:t>
      </w:r>
    </w:p>
    <w:tbl>
      <w:tblPr>
        <w:tblW w:w="8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816"/>
        <w:gridCol w:w="816"/>
        <w:gridCol w:w="816"/>
        <w:gridCol w:w="816"/>
        <w:gridCol w:w="816"/>
        <w:gridCol w:w="1580"/>
      </w:tblGrid>
      <w:tr w:rsidR="000E6F69" w:rsidRPr="000E6F69" w:rsidTr="000E6F6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rok 2012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Jednání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JNP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279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205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821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NO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128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PNP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419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ZTČ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242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Celkový součet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274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1610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0E6F69" w:rsidRPr="000E6F69" w:rsidTr="00B252DE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2DE" w:rsidRPr="00B252DE" w:rsidRDefault="00B252DE" w:rsidP="00B252DE">
            <w:pPr>
              <w:pStyle w:val="Bezmezer"/>
              <w:ind w:firstLine="0"/>
              <w:jc w:val="both"/>
              <w:rPr>
                <w:b/>
                <w:u w:val="single"/>
              </w:rPr>
            </w:pPr>
            <w:r w:rsidRPr="00B252DE">
              <w:rPr>
                <w:b/>
                <w:u w:val="single"/>
              </w:rPr>
              <w:t xml:space="preserve">Srpen – prosinec </w:t>
            </w:r>
            <w:r>
              <w:rPr>
                <w:b/>
                <w:u w:val="single"/>
              </w:rPr>
              <w:t>2013</w:t>
            </w:r>
          </w:p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rok 2013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Jednání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JNP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246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683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NO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44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PNP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727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ZTČ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color w:val="000000"/>
                <w:lang w:eastAsia="cs-CZ"/>
              </w:rPr>
              <w:t>166</w:t>
            </w:r>
          </w:p>
        </w:tc>
      </w:tr>
      <w:tr w:rsidR="000E6F69" w:rsidRPr="000E6F69" w:rsidTr="000E6F69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Celkový součet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0E6F69" w:rsidRPr="000E6F69" w:rsidRDefault="000E6F69" w:rsidP="000E6F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E6F6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1423</w:t>
            </w:r>
          </w:p>
        </w:tc>
      </w:tr>
    </w:tbl>
    <w:p w:rsidR="000E6F69" w:rsidRDefault="00682235" w:rsidP="000E6F69">
      <w:pPr>
        <w:pStyle w:val="Bezmezer"/>
        <w:jc w:val="both"/>
      </w:pPr>
      <w:r>
        <w:t xml:space="preserve">                                                                                                (Za celý rok 3 829)</w:t>
      </w:r>
    </w:p>
    <w:p w:rsidR="00682235" w:rsidRDefault="00682235" w:rsidP="000E6F69">
      <w:pPr>
        <w:pStyle w:val="Bezmezer"/>
        <w:jc w:val="both"/>
      </w:pPr>
    </w:p>
    <w:p w:rsidR="004E4CF9" w:rsidRDefault="00682235" w:rsidP="00682235">
      <w:pPr>
        <w:pStyle w:val="Bezmezer"/>
        <w:jc w:val="both"/>
        <w:rPr>
          <w:b/>
        </w:rPr>
      </w:pPr>
      <w:r>
        <w:t xml:space="preserve">Z porovnání sledovaných období je patrný mírný pokles v roce 2013, avšak to je způsobeno zejména počtem oznámení v prvním měsíci zřízení služby. </w:t>
      </w:r>
      <w:r w:rsidRPr="00682235">
        <w:rPr>
          <w:b/>
        </w:rPr>
        <w:t xml:space="preserve">Celkově </w:t>
      </w:r>
      <w:r w:rsidR="004E4CF9">
        <w:rPr>
          <w:b/>
        </w:rPr>
        <w:t xml:space="preserve">bylo </w:t>
      </w:r>
      <w:r w:rsidRPr="00682235">
        <w:rPr>
          <w:b/>
        </w:rPr>
        <w:t>za existenci policejní internetové hotline od srpna 2012 do konce roku 2013 přijato</w:t>
      </w:r>
    </w:p>
    <w:p w:rsidR="00682235" w:rsidRPr="004E4CF9" w:rsidRDefault="00682235" w:rsidP="004E4CF9">
      <w:pPr>
        <w:pStyle w:val="Bezmezer"/>
        <w:ind w:firstLine="0"/>
        <w:jc w:val="both"/>
        <w:rPr>
          <w:sz w:val="28"/>
          <w:szCs w:val="28"/>
        </w:rPr>
      </w:pPr>
      <w:r w:rsidRPr="00682235">
        <w:rPr>
          <w:b/>
        </w:rPr>
        <w:t xml:space="preserve"> </w:t>
      </w:r>
      <w:r w:rsidRPr="004E4CF9">
        <w:rPr>
          <w:b/>
          <w:sz w:val="28"/>
          <w:szCs w:val="28"/>
        </w:rPr>
        <w:t>5 439 oznámení.</w:t>
      </w:r>
    </w:p>
    <w:sectPr w:rsidR="00682235" w:rsidRPr="004E4CF9" w:rsidSect="005722F6"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6A0" w:rsidRDefault="00C076A0" w:rsidP="001D364E">
      <w:pPr>
        <w:spacing w:after="0" w:line="240" w:lineRule="auto"/>
      </w:pPr>
      <w:r>
        <w:separator/>
      </w:r>
    </w:p>
  </w:endnote>
  <w:endnote w:type="continuationSeparator" w:id="0">
    <w:p w:rsidR="00C076A0" w:rsidRDefault="00C076A0" w:rsidP="001D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F69" w:rsidRDefault="000E6F69">
    <w:pPr>
      <w:pStyle w:val="Zpat"/>
      <w:jc w:val="center"/>
    </w:pPr>
  </w:p>
  <w:p w:rsidR="000E6F69" w:rsidRDefault="000E6F6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777245"/>
      <w:docPartObj>
        <w:docPartGallery w:val="Page Numbers (Bottom of Page)"/>
        <w:docPartUnique/>
      </w:docPartObj>
    </w:sdtPr>
    <w:sdtContent>
      <w:p w:rsidR="00B23A2A" w:rsidRDefault="00B23A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23A2A" w:rsidRDefault="00B23A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6A0" w:rsidRDefault="00C076A0" w:rsidP="001D364E">
      <w:pPr>
        <w:spacing w:after="0" w:line="240" w:lineRule="auto"/>
      </w:pPr>
      <w:r>
        <w:separator/>
      </w:r>
    </w:p>
  </w:footnote>
  <w:footnote w:type="continuationSeparator" w:id="0">
    <w:p w:rsidR="00C076A0" w:rsidRDefault="00C076A0" w:rsidP="001D36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E0"/>
    <w:rsid w:val="00000CDB"/>
    <w:rsid w:val="00045B21"/>
    <w:rsid w:val="000E6F69"/>
    <w:rsid w:val="00161D33"/>
    <w:rsid w:val="00193647"/>
    <w:rsid w:val="001D364E"/>
    <w:rsid w:val="00233E38"/>
    <w:rsid w:val="00460852"/>
    <w:rsid w:val="00490025"/>
    <w:rsid w:val="004C099F"/>
    <w:rsid w:val="004E4CF9"/>
    <w:rsid w:val="0050616E"/>
    <w:rsid w:val="00563185"/>
    <w:rsid w:val="005722F6"/>
    <w:rsid w:val="00682235"/>
    <w:rsid w:val="00734528"/>
    <w:rsid w:val="008533E0"/>
    <w:rsid w:val="008B3AB1"/>
    <w:rsid w:val="00917C44"/>
    <w:rsid w:val="009B6A50"/>
    <w:rsid w:val="00AA12E0"/>
    <w:rsid w:val="00AA1C7B"/>
    <w:rsid w:val="00AD4D1A"/>
    <w:rsid w:val="00B23A2A"/>
    <w:rsid w:val="00B23FAE"/>
    <w:rsid w:val="00B252DE"/>
    <w:rsid w:val="00C076A0"/>
    <w:rsid w:val="00C27B31"/>
    <w:rsid w:val="00C6582E"/>
    <w:rsid w:val="00CE5157"/>
    <w:rsid w:val="00D504A9"/>
    <w:rsid w:val="00FB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33E0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22F6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533E0"/>
    <w:pPr>
      <w:spacing w:after="0" w:line="360" w:lineRule="auto"/>
      <w:ind w:firstLine="567"/>
    </w:pPr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uiPriority w:val="9"/>
    <w:rsid w:val="008533E0"/>
    <w:rPr>
      <w:rFonts w:ascii="Arial" w:eastAsiaTheme="majorEastAsia" w:hAnsi="Arial" w:cstheme="majorBidi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D3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364E"/>
  </w:style>
  <w:style w:type="paragraph" w:styleId="Zpat">
    <w:name w:val="footer"/>
    <w:basedOn w:val="Normln"/>
    <w:link w:val="Zpat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364E"/>
  </w:style>
  <w:style w:type="character" w:customStyle="1" w:styleId="Nadpis2Char">
    <w:name w:val="Nadpis 2 Char"/>
    <w:basedOn w:val="Standardnpsmoodstavce"/>
    <w:link w:val="Nadpis2"/>
    <w:uiPriority w:val="9"/>
    <w:rsid w:val="005722F6"/>
    <w:rPr>
      <w:rFonts w:ascii="Arial" w:eastAsiaTheme="majorEastAsia" w:hAnsi="Arial" w:cstheme="majorBidi"/>
      <w:b/>
      <w:bCs/>
      <w:sz w:val="26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23A2A"/>
    <w:pPr>
      <w:spacing w:after="0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23A2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23A2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23A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33E0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22F6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533E0"/>
    <w:pPr>
      <w:spacing w:after="0" w:line="360" w:lineRule="auto"/>
      <w:ind w:firstLine="567"/>
    </w:pPr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uiPriority w:val="9"/>
    <w:rsid w:val="008533E0"/>
    <w:rPr>
      <w:rFonts w:ascii="Arial" w:eastAsiaTheme="majorEastAsia" w:hAnsi="Arial" w:cstheme="majorBidi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D3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364E"/>
  </w:style>
  <w:style w:type="paragraph" w:styleId="Zpat">
    <w:name w:val="footer"/>
    <w:basedOn w:val="Normln"/>
    <w:link w:val="ZpatChar"/>
    <w:uiPriority w:val="99"/>
    <w:unhideWhenUsed/>
    <w:rsid w:val="001D3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364E"/>
  </w:style>
  <w:style w:type="character" w:customStyle="1" w:styleId="Nadpis2Char">
    <w:name w:val="Nadpis 2 Char"/>
    <w:basedOn w:val="Standardnpsmoodstavce"/>
    <w:link w:val="Nadpis2"/>
    <w:uiPriority w:val="9"/>
    <w:rsid w:val="005722F6"/>
    <w:rPr>
      <w:rFonts w:ascii="Arial" w:eastAsiaTheme="majorEastAsia" w:hAnsi="Arial" w:cstheme="majorBidi"/>
      <w:b/>
      <w:bCs/>
      <w:sz w:val="26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23A2A"/>
    <w:pPr>
      <w:spacing w:after="0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23A2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23A2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23A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rezentace_201306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Statistika%20PIH%20201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Statistika%20PIH%20201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G:\Statistika%20PIH%20201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rezentace_20130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spPr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explosion val="2"/>
          <c:dPt>
            <c:idx val="0"/>
            <c:bubble3D val="0"/>
            <c:spPr>
              <a:solidFill>
                <a:srgbClr val="FF0000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3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5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Pt>
            <c:idx val="3"/>
            <c:bubble3D val="0"/>
            <c:explosion val="6"/>
            <c:spPr>
              <a:solidFill>
                <a:srgbClr val="7030A0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Lbls>
            <c:dLbl>
              <c:idx val="0"/>
              <c:layout>
                <c:manualLayout>
                  <c:x val="1.2902012248468941E-2"/>
                  <c:y val="-0.32171988918051908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3.0010608048993876E-2"/>
                  <c:y val="4.753062117235345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2.0148731408573928E-2"/>
                  <c:y val="-1.923337707786526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517935258092739E-2"/>
                  <c:y val="-1.7012977544473608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Tabulky!$A$7:$A$10</c:f>
              <c:strCache>
                <c:ptCount val="4"/>
                <c:pt idx="0">
                  <c:v>JNP</c:v>
                </c:pt>
                <c:pt idx="1">
                  <c:v>NO</c:v>
                </c:pt>
                <c:pt idx="2">
                  <c:v>PNP</c:v>
                </c:pt>
                <c:pt idx="3">
                  <c:v>ZTČ</c:v>
                </c:pt>
              </c:strCache>
            </c:strRef>
          </c:cat>
          <c:val>
            <c:numRef>
              <c:f>Tabulky!$T$7:$T$10</c:f>
              <c:numCache>
                <c:formatCode>General</c:formatCode>
                <c:ptCount val="4"/>
                <c:pt idx="0">
                  <c:v>1917</c:v>
                </c:pt>
                <c:pt idx="1">
                  <c:v>143</c:v>
                </c:pt>
                <c:pt idx="2">
                  <c:v>1202</c:v>
                </c:pt>
                <c:pt idx="3">
                  <c:v>567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Přehled_STATISIKY_za_období!$A$192:$A$203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Přehled_STATISIKY_za_období!$B$192:$B$203</c:f>
              <c:numCache>
                <c:formatCode>0</c:formatCode>
                <c:ptCount val="12"/>
                <c:pt idx="0">
                  <c:v>395</c:v>
                </c:pt>
                <c:pt idx="1">
                  <c:v>298</c:v>
                </c:pt>
                <c:pt idx="2">
                  <c:v>448</c:v>
                </c:pt>
                <c:pt idx="3">
                  <c:v>262</c:v>
                </c:pt>
                <c:pt idx="4">
                  <c:v>333</c:v>
                </c:pt>
                <c:pt idx="5">
                  <c:v>331</c:v>
                </c:pt>
                <c:pt idx="6">
                  <c:v>339</c:v>
                </c:pt>
                <c:pt idx="7">
                  <c:v>230</c:v>
                </c:pt>
                <c:pt idx="8">
                  <c:v>231</c:v>
                </c:pt>
                <c:pt idx="9">
                  <c:v>226</c:v>
                </c:pt>
                <c:pt idx="10">
                  <c:v>387</c:v>
                </c:pt>
                <c:pt idx="11">
                  <c:v>349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308352"/>
        <c:axId val="174310144"/>
      </c:barChart>
      <c:catAx>
        <c:axId val="174308352"/>
        <c:scaling>
          <c:orientation val="minMax"/>
        </c:scaling>
        <c:delete val="0"/>
        <c:axPos val="b"/>
        <c:majorTickMark val="out"/>
        <c:minorTickMark val="none"/>
        <c:tickLblPos val="nextTo"/>
        <c:crossAx val="174310144"/>
        <c:crosses val="autoZero"/>
        <c:auto val="1"/>
        <c:lblAlgn val="ctr"/>
        <c:lblOffset val="100"/>
        <c:noMultiLvlLbl val="0"/>
      </c:catAx>
      <c:valAx>
        <c:axId val="17431014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7430835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tx2"/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Přehled_STATISIKY_za_období!$A$121:$A$132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Přehled_STATISIKY_za_období!$B$121:$B$132</c:f>
              <c:numCache>
                <c:formatCode>0.0</c:formatCode>
                <c:ptCount val="12"/>
                <c:pt idx="0">
                  <c:v>12.741935483870968</c:v>
                </c:pt>
                <c:pt idx="1">
                  <c:v>10.642857142857142</c:v>
                </c:pt>
                <c:pt idx="2">
                  <c:v>14.451612903225806</c:v>
                </c:pt>
                <c:pt idx="3">
                  <c:v>8.7333333333333325</c:v>
                </c:pt>
                <c:pt idx="4">
                  <c:v>10.741935483870968</c:v>
                </c:pt>
                <c:pt idx="5">
                  <c:v>11.033333333333333</c:v>
                </c:pt>
                <c:pt idx="6">
                  <c:v>10.935483870967742</c:v>
                </c:pt>
                <c:pt idx="7">
                  <c:v>7.419354838709677</c:v>
                </c:pt>
                <c:pt idx="8">
                  <c:v>7.7</c:v>
                </c:pt>
                <c:pt idx="9">
                  <c:v>7.290322580645161</c:v>
                </c:pt>
                <c:pt idx="10">
                  <c:v>12.9</c:v>
                </c:pt>
                <c:pt idx="11">
                  <c:v>11.258064516129032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322048"/>
        <c:axId val="174323584"/>
      </c:barChart>
      <c:catAx>
        <c:axId val="174322048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crossAx val="174323584"/>
        <c:crosses val="autoZero"/>
        <c:auto val="1"/>
        <c:lblAlgn val="ctr"/>
        <c:lblOffset val="100"/>
        <c:noMultiLvlLbl val="1"/>
      </c:catAx>
      <c:valAx>
        <c:axId val="174323584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7432204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7658770687136909E-2"/>
          <c:y val="0.10146231721034871"/>
          <c:w val="0.74091567006007109"/>
          <c:h val="0.80231862909028262"/>
        </c:manualLayout>
      </c:layout>
      <c:pie3DChart>
        <c:varyColors val="1"/>
        <c:ser>
          <c:idx val="0"/>
          <c:order val="0"/>
          <c:spPr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explosion val="25"/>
          <c:dPt>
            <c:idx val="0"/>
            <c:bubble3D val="0"/>
            <c:explosion val="0"/>
            <c:spPr>
              <a:solidFill>
                <a:schemeClr val="tx2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rgbClr val="FF0000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Lbls>
            <c:dLbl>
              <c:idx val="0"/>
              <c:layout>
                <c:manualLayout>
                  <c:x val="1.293904895694256E-2"/>
                  <c:y val="-2.547576999293806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8.0369393336937947E-2"/>
                  <c:y val="-9.368333911812148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000" b="1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Přehled_STATISIKY_za_období!$A$99:$A$100</c:f>
              <c:strCache>
                <c:ptCount val="2"/>
                <c:pt idx="0">
                  <c:v>Anonymní</c:v>
                </c:pt>
                <c:pt idx="1">
                  <c:v>Personifikované</c:v>
                </c:pt>
              </c:strCache>
            </c:strRef>
          </c:cat>
          <c:val>
            <c:numRef>
              <c:f>Přehled_STATISIKY_za_období!$B$99:$B$100</c:f>
              <c:numCache>
                <c:formatCode>General</c:formatCode>
                <c:ptCount val="2"/>
                <c:pt idx="0">
                  <c:v>1051</c:v>
                </c:pt>
                <c:pt idx="1">
                  <c:v>2778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doughnutChart>
        <c:varyColors val="1"/>
        <c:ser>
          <c:idx val="0"/>
          <c:order val="0"/>
          <c:spPr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explosion val="10"/>
          <c:dPt>
            <c:idx val="1"/>
            <c:bubble3D val="0"/>
            <c:spPr>
              <a:solidFill>
                <a:srgbClr val="FF0000"/>
              </a:solidFill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Lbls>
            <c:dLbl>
              <c:idx val="0"/>
              <c:layout>
                <c:manualLayout>
                  <c:x val="0.19166666666666668"/>
                  <c:y val="5.092592592592584E-2"/>
                </c:manualLayout>
              </c:layout>
              <c:tx>
                <c:rich>
                  <a:bodyPr/>
                  <a:lstStyle/>
                  <a:p>
                    <a:r>
                      <a:rPr lang="cs-CZ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78</a:t>
                    </a:r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4166666666666666"/>
                  <c:y val="-9.2592592592592587E-2"/>
                </c:manualLayout>
              </c:layout>
              <c:tx>
                <c:rich>
                  <a:bodyPr/>
                  <a:lstStyle/>
                  <a:p>
                    <a:r>
                      <a:rPr lang="cs-CZ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22%</a:t>
                    </a:r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List1!$A$37:$A$38</c:f>
              <c:strCache>
                <c:ptCount val="2"/>
                <c:pt idx="0">
                  <c:v>uloženo</c:v>
                </c:pt>
                <c:pt idx="1">
                  <c:v>postoupeno</c:v>
                </c:pt>
              </c:strCache>
            </c:strRef>
          </c:cat>
          <c:val>
            <c:numRef>
              <c:f>List1!$B$37:$B$38</c:f>
              <c:numCache>
                <c:formatCode>General</c:formatCode>
                <c:ptCount val="2"/>
                <c:pt idx="0">
                  <c:v>1562</c:v>
                </c:pt>
                <c:pt idx="1">
                  <c:v>372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AC4B7-E799-4BB7-8148-E8EFCFD7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1152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</dc:creator>
  <cp:lastModifiedBy>BNINET</cp:lastModifiedBy>
  <cp:revision>15</cp:revision>
  <dcterms:created xsi:type="dcterms:W3CDTF">2014-01-29T19:29:00Z</dcterms:created>
  <dcterms:modified xsi:type="dcterms:W3CDTF">2014-01-30T07:11:00Z</dcterms:modified>
</cp:coreProperties>
</file>