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3E0" w:rsidRDefault="008533E0" w:rsidP="001D364E">
      <w:pPr>
        <w:pStyle w:val="Bezmezer"/>
        <w:jc w:val="center"/>
        <w:rPr>
          <w:rFonts w:cs="Arial"/>
        </w:rPr>
      </w:pPr>
      <w:r>
        <w:rPr>
          <w:rFonts w:cs="Arial"/>
        </w:rPr>
        <w:t>POLICEJNÍ PREZIDIUM ČESKÉ REPUBLIKY</w:t>
      </w:r>
    </w:p>
    <w:p w:rsidR="008533E0" w:rsidRDefault="008533E0" w:rsidP="001D364E">
      <w:pPr>
        <w:pStyle w:val="Bezmezer"/>
        <w:jc w:val="center"/>
        <w:rPr>
          <w:rFonts w:cs="Arial"/>
        </w:rPr>
      </w:pPr>
      <w:r>
        <w:rPr>
          <w:rFonts w:cs="Arial"/>
        </w:rPr>
        <w:t>Úřad služby kriminální policie a vyšetřování</w:t>
      </w:r>
    </w:p>
    <w:p w:rsidR="008533E0" w:rsidRDefault="008533E0" w:rsidP="001D364E">
      <w:pPr>
        <w:pStyle w:val="Bezmezer"/>
        <w:jc w:val="center"/>
        <w:rPr>
          <w:rFonts w:cs="Arial"/>
        </w:rPr>
      </w:pPr>
      <w:r>
        <w:rPr>
          <w:rFonts w:cs="Arial"/>
        </w:rPr>
        <w:t>odbor informační kriminality</w:t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4C099F" w:rsidP="008533E0">
      <w:pPr>
        <w:pStyle w:val="Bezmezer"/>
        <w:spacing w:line="276" w:lineRule="auto"/>
        <w:jc w:val="center"/>
        <w:rPr>
          <w:rFonts w:cs="Arial"/>
        </w:rPr>
      </w:pPr>
      <w:r>
        <w:rPr>
          <w:rFonts w:cs="Arial"/>
          <w:noProof/>
          <w:lang w:eastAsia="cs-CZ"/>
        </w:rPr>
        <w:drawing>
          <wp:inline distT="0" distB="0" distL="0" distR="0">
            <wp:extent cx="923925" cy="948028"/>
            <wp:effectExtent l="0" t="0" r="0" b="508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SKPV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931" cy="942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Pr="008533E0" w:rsidRDefault="008533E0" w:rsidP="008533E0">
      <w:pPr>
        <w:pStyle w:val="Bezmezer"/>
        <w:spacing w:line="276" w:lineRule="auto"/>
        <w:jc w:val="center"/>
        <w:rPr>
          <w:rFonts w:cs="Arial"/>
          <w:b/>
          <w:sz w:val="40"/>
          <w:szCs w:val="40"/>
        </w:rPr>
      </w:pPr>
      <w:r w:rsidRPr="008533E0">
        <w:rPr>
          <w:rFonts w:cs="Arial"/>
          <w:b/>
          <w:sz w:val="40"/>
          <w:szCs w:val="40"/>
        </w:rPr>
        <w:t>POLICEJNÍ INTERNETOVÁ HOTLINE</w:t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Statistický výstup za</w:t>
      </w:r>
      <w:r w:rsidR="00D11AE9">
        <w:rPr>
          <w:rFonts w:cs="Arial"/>
          <w:sz w:val="28"/>
          <w:szCs w:val="28"/>
        </w:rPr>
        <w:t xml:space="preserve"> rok 2014</w:t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/>
        </w:rPr>
        <w:id w:val="-2140329104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:rsidR="00B23A2A" w:rsidRPr="00B23A2A" w:rsidRDefault="00B23A2A" w:rsidP="00B23A2A">
          <w:pPr>
            <w:pStyle w:val="Nadpisobsahu"/>
            <w:spacing w:line="360" w:lineRule="auto"/>
            <w:rPr>
              <w:rFonts w:ascii="Arial" w:hAnsi="Arial" w:cs="Arial"/>
              <w:color w:val="auto"/>
            </w:rPr>
          </w:pPr>
          <w:r w:rsidRPr="00B23A2A">
            <w:rPr>
              <w:rFonts w:ascii="Arial" w:hAnsi="Arial" w:cs="Arial"/>
              <w:color w:val="auto"/>
            </w:rPr>
            <w:t>Obsah</w:t>
          </w:r>
        </w:p>
        <w:p w:rsidR="00E84148" w:rsidRPr="00E84148" w:rsidRDefault="00B23A2A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3403734" w:history="1">
            <w:r w:rsidR="00E84148" w:rsidRPr="00E84148">
              <w:rPr>
                <w:rStyle w:val="Hypertextovodkaz"/>
                <w:rFonts w:ascii="Arial" w:hAnsi="Arial" w:cs="Arial"/>
                <w:noProof/>
              </w:rPr>
              <w:t>1 Úvod</w:t>
            </w:r>
            <w:r w:rsidR="00E84148" w:rsidRPr="00E84148">
              <w:rPr>
                <w:rFonts w:ascii="Arial" w:hAnsi="Arial" w:cs="Arial"/>
                <w:noProof/>
                <w:webHidden/>
              </w:rPr>
              <w:tab/>
            </w:r>
            <w:r w:rsidR="00E84148" w:rsidRPr="00E84148">
              <w:rPr>
                <w:rFonts w:ascii="Arial" w:hAnsi="Arial" w:cs="Arial"/>
                <w:noProof/>
                <w:webHidden/>
              </w:rPr>
              <w:fldChar w:fldCharType="begin"/>
            </w:r>
            <w:r w:rsidR="00E84148" w:rsidRPr="00E84148">
              <w:rPr>
                <w:rFonts w:ascii="Arial" w:hAnsi="Arial" w:cs="Arial"/>
                <w:noProof/>
                <w:webHidden/>
              </w:rPr>
              <w:instrText xml:space="preserve"> PAGEREF _Toc413403734 \h </w:instrText>
            </w:r>
            <w:r w:rsidR="00E84148" w:rsidRPr="00E84148">
              <w:rPr>
                <w:rFonts w:ascii="Arial" w:hAnsi="Arial" w:cs="Arial"/>
                <w:noProof/>
                <w:webHidden/>
              </w:rPr>
            </w:r>
            <w:r w:rsidR="00E84148" w:rsidRPr="00E8414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61BD9">
              <w:rPr>
                <w:rFonts w:ascii="Arial" w:hAnsi="Arial" w:cs="Arial"/>
                <w:noProof/>
                <w:webHidden/>
              </w:rPr>
              <w:t>3</w:t>
            </w:r>
            <w:r w:rsidR="00E84148" w:rsidRPr="00E8414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E84148" w:rsidRPr="00E84148" w:rsidRDefault="00E84148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413403735" w:history="1">
            <w:r w:rsidRPr="00E84148">
              <w:rPr>
                <w:rStyle w:val="Hypertextovodkaz"/>
                <w:rFonts w:ascii="Arial" w:hAnsi="Arial" w:cs="Arial"/>
                <w:noProof/>
              </w:rPr>
              <w:t>2 Kvantitativní analýza</w:t>
            </w:r>
            <w:r w:rsidRPr="00E84148">
              <w:rPr>
                <w:rFonts w:ascii="Arial" w:hAnsi="Arial" w:cs="Arial"/>
                <w:noProof/>
                <w:webHidden/>
              </w:rPr>
              <w:tab/>
            </w:r>
            <w:r w:rsidRPr="00E8414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84148">
              <w:rPr>
                <w:rFonts w:ascii="Arial" w:hAnsi="Arial" w:cs="Arial"/>
                <w:noProof/>
                <w:webHidden/>
              </w:rPr>
              <w:instrText xml:space="preserve"> PAGEREF _Toc413403735 \h </w:instrText>
            </w:r>
            <w:r w:rsidRPr="00E84148">
              <w:rPr>
                <w:rFonts w:ascii="Arial" w:hAnsi="Arial" w:cs="Arial"/>
                <w:noProof/>
                <w:webHidden/>
              </w:rPr>
            </w:r>
            <w:r w:rsidRPr="00E8414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61BD9">
              <w:rPr>
                <w:rFonts w:ascii="Arial" w:hAnsi="Arial" w:cs="Arial"/>
                <w:noProof/>
                <w:webHidden/>
              </w:rPr>
              <w:t>4</w:t>
            </w:r>
            <w:r w:rsidRPr="00E8414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E84148" w:rsidRPr="00E84148" w:rsidRDefault="00E84148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413403736" w:history="1">
            <w:r w:rsidRPr="00E84148">
              <w:rPr>
                <w:rStyle w:val="Hypertextovodkaz"/>
                <w:rFonts w:ascii="Arial" w:hAnsi="Arial" w:cs="Arial"/>
                <w:noProof/>
              </w:rPr>
              <w:t>3 Kvalitativní analýza</w:t>
            </w:r>
            <w:r w:rsidRPr="00E84148">
              <w:rPr>
                <w:rFonts w:ascii="Arial" w:hAnsi="Arial" w:cs="Arial"/>
                <w:noProof/>
                <w:webHidden/>
              </w:rPr>
              <w:tab/>
            </w:r>
            <w:r w:rsidRPr="00E8414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84148">
              <w:rPr>
                <w:rFonts w:ascii="Arial" w:hAnsi="Arial" w:cs="Arial"/>
                <w:noProof/>
                <w:webHidden/>
              </w:rPr>
              <w:instrText xml:space="preserve"> PAGEREF _Toc413403736 \h </w:instrText>
            </w:r>
            <w:r w:rsidRPr="00E84148">
              <w:rPr>
                <w:rFonts w:ascii="Arial" w:hAnsi="Arial" w:cs="Arial"/>
                <w:noProof/>
                <w:webHidden/>
              </w:rPr>
            </w:r>
            <w:r w:rsidRPr="00E8414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61BD9">
              <w:rPr>
                <w:rFonts w:ascii="Arial" w:hAnsi="Arial" w:cs="Arial"/>
                <w:noProof/>
                <w:webHidden/>
              </w:rPr>
              <w:t>6</w:t>
            </w:r>
            <w:r w:rsidRPr="00E8414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E84148" w:rsidRPr="00E84148" w:rsidRDefault="00E8414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413403737" w:history="1">
            <w:r w:rsidRPr="00E84148">
              <w:rPr>
                <w:rStyle w:val="Hypertextovodkaz"/>
                <w:rFonts w:ascii="Arial" w:hAnsi="Arial" w:cs="Arial"/>
                <w:noProof/>
              </w:rPr>
              <w:t>3.1 Rozdělení hlášení do oblastí protiprávního jednání</w:t>
            </w:r>
            <w:r w:rsidRPr="00E84148">
              <w:rPr>
                <w:rFonts w:ascii="Arial" w:hAnsi="Arial" w:cs="Arial"/>
                <w:noProof/>
                <w:webHidden/>
              </w:rPr>
              <w:tab/>
            </w:r>
            <w:r w:rsidRPr="00E8414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84148">
              <w:rPr>
                <w:rFonts w:ascii="Arial" w:hAnsi="Arial" w:cs="Arial"/>
                <w:noProof/>
                <w:webHidden/>
              </w:rPr>
              <w:instrText xml:space="preserve"> PAGEREF _Toc413403737 \h </w:instrText>
            </w:r>
            <w:r w:rsidRPr="00E84148">
              <w:rPr>
                <w:rFonts w:ascii="Arial" w:hAnsi="Arial" w:cs="Arial"/>
                <w:noProof/>
                <w:webHidden/>
              </w:rPr>
            </w:r>
            <w:r w:rsidRPr="00E8414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61BD9">
              <w:rPr>
                <w:rFonts w:ascii="Arial" w:hAnsi="Arial" w:cs="Arial"/>
                <w:noProof/>
                <w:webHidden/>
              </w:rPr>
              <w:t>6</w:t>
            </w:r>
            <w:r w:rsidRPr="00E8414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E84148" w:rsidRPr="00E84148" w:rsidRDefault="00E8414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413403738" w:history="1">
            <w:r w:rsidRPr="00E84148">
              <w:rPr>
                <w:rStyle w:val="Hypertextovodkaz"/>
                <w:rFonts w:ascii="Arial" w:hAnsi="Arial" w:cs="Arial"/>
                <w:noProof/>
              </w:rPr>
              <w:t>3.2 Nejčastější protiprávní jednání dle jejich kvalifikace</w:t>
            </w:r>
            <w:r w:rsidRPr="00E84148">
              <w:rPr>
                <w:rFonts w:ascii="Arial" w:hAnsi="Arial" w:cs="Arial"/>
                <w:noProof/>
                <w:webHidden/>
              </w:rPr>
              <w:tab/>
            </w:r>
            <w:r w:rsidRPr="00E8414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84148">
              <w:rPr>
                <w:rFonts w:ascii="Arial" w:hAnsi="Arial" w:cs="Arial"/>
                <w:noProof/>
                <w:webHidden/>
              </w:rPr>
              <w:instrText xml:space="preserve"> PAGEREF _Toc413403738 \h </w:instrText>
            </w:r>
            <w:r w:rsidRPr="00E84148">
              <w:rPr>
                <w:rFonts w:ascii="Arial" w:hAnsi="Arial" w:cs="Arial"/>
                <w:noProof/>
                <w:webHidden/>
              </w:rPr>
            </w:r>
            <w:r w:rsidRPr="00E8414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61BD9">
              <w:rPr>
                <w:rFonts w:ascii="Arial" w:hAnsi="Arial" w:cs="Arial"/>
                <w:noProof/>
                <w:webHidden/>
              </w:rPr>
              <w:t>7</w:t>
            </w:r>
            <w:r w:rsidRPr="00E8414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E84148" w:rsidRPr="00E84148" w:rsidRDefault="00E8414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413403739" w:history="1">
            <w:r w:rsidRPr="00E84148">
              <w:rPr>
                <w:rStyle w:val="Hypertextovodkaz"/>
                <w:rFonts w:ascii="Arial" w:hAnsi="Arial" w:cs="Arial"/>
                <w:noProof/>
              </w:rPr>
              <w:t>3.3 Fenomény 2014</w:t>
            </w:r>
            <w:r w:rsidRPr="00E84148">
              <w:rPr>
                <w:rFonts w:ascii="Arial" w:hAnsi="Arial" w:cs="Arial"/>
                <w:noProof/>
                <w:webHidden/>
              </w:rPr>
              <w:tab/>
            </w:r>
            <w:r w:rsidRPr="00E8414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84148">
              <w:rPr>
                <w:rFonts w:ascii="Arial" w:hAnsi="Arial" w:cs="Arial"/>
                <w:noProof/>
                <w:webHidden/>
              </w:rPr>
              <w:instrText xml:space="preserve"> PAGEREF _Toc413403739 \h </w:instrText>
            </w:r>
            <w:r w:rsidRPr="00E84148">
              <w:rPr>
                <w:rFonts w:ascii="Arial" w:hAnsi="Arial" w:cs="Arial"/>
                <w:noProof/>
                <w:webHidden/>
              </w:rPr>
            </w:r>
            <w:r w:rsidRPr="00E8414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61BD9">
              <w:rPr>
                <w:rFonts w:ascii="Arial" w:hAnsi="Arial" w:cs="Arial"/>
                <w:noProof/>
                <w:webHidden/>
              </w:rPr>
              <w:t>8</w:t>
            </w:r>
            <w:r w:rsidRPr="00E8414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E84148" w:rsidRPr="00E84148" w:rsidRDefault="00E84148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413403740" w:history="1">
            <w:r w:rsidRPr="00E84148">
              <w:rPr>
                <w:rStyle w:val="Hypertextovodkaz"/>
                <w:rFonts w:ascii="Arial" w:hAnsi="Arial" w:cs="Arial"/>
                <w:noProof/>
              </w:rPr>
              <w:t>3.4 Vyřízení oznámení</w:t>
            </w:r>
            <w:r w:rsidRPr="00E84148">
              <w:rPr>
                <w:rFonts w:ascii="Arial" w:hAnsi="Arial" w:cs="Arial"/>
                <w:noProof/>
                <w:webHidden/>
              </w:rPr>
              <w:tab/>
            </w:r>
            <w:r w:rsidRPr="00E8414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84148">
              <w:rPr>
                <w:rFonts w:ascii="Arial" w:hAnsi="Arial" w:cs="Arial"/>
                <w:noProof/>
                <w:webHidden/>
              </w:rPr>
              <w:instrText xml:space="preserve"> PAGEREF _Toc413403740 \h </w:instrText>
            </w:r>
            <w:r w:rsidRPr="00E84148">
              <w:rPr>
                <w:rFonts w:ascii="Arial" w:hAnsi="Arial" w:cs="Arial"/>
                <w:noProof/>
                <w:webHidden/>
              </w:rPr>
            </w:r>
            <w:r w:rsidRPr="00E8414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61BD9">
              <w:rPr>
                <w:rFonts w:ascii="Arial" w:hAnsi="Arial" w:cs="Arial"/>
                <w:noProof/>
                <w:webHidden/>
              </w:rPr>
              <w:t>9</w:t>
            </w:r>
            <w:r w:rsidRPr="00E8414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E84148" w:rsidRDefault="00E8414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13403741" w:history="1">
            <w:r w:rsidRPr="00E84148">
              <w:rPr>
                <w:rStyle w:val="Hypertextovodkaz"/>
                <w:rFonts w:ascii="Arial" w:hAnsi="Arial" w:cs="Arial"/>
                <w:noProof/>
              </w:rPr>
              <w:t>4 Závěr</w:t>
            </w:r>
            <w:r w:rsidRPr="00E84148">
              <w:rPr>
                <w:rFonts w:ascii="Arial" w:hAnsi="Arial" w:cs="Arial"/>
                <w:noProof/>
                <w:webHidden/>
              </w:rPr>
              <w:tab/>
            </w:r>
            <w:r w:rsidRPr="00E8414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84148">
              <w:rPr>
                <w:rFonts w:ascii="Arial" w:hAnsi="Arial" w:cs="Arial"/>
                <w:noProof/>
                <w:webHidden/>
              </w:rPr>
              <w:instrText xml:space="preserve"> PAGEREF _Toc413403741 \h </w:instrText>
            </w:r>
            <w:r w:rsidRPr="00E84148">
              <w:rPr>
                <w:rFonts w:ascii="Arial" w:hAnsi="Arial" w:cs="Arial"/>
                <w:noProof/>
                <w:webHidden/>
              </w:rPr>
            </w:r>
            <w:r w:rsidRPr="00E8414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E61BD9">
              <w:rPr>
                <w:rFonts w:ascii="Arial" w:hAnsi="Arial" w:cs="Arial"/>
                <w:noProof/>
                <w:webHidden/>
              </w:rPr>
              <w:t>10</w:t>
            </w:r>
            <w:r w:rsidRPr="00E8414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3A2A" w:rsidRDefault="00B23A2A" w:rsidP="00B23A2A">
          <w:pPr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Default="00B23A2A">
      <w:pPr>
        <w:sectPr w:rsidR="00B23A2A" w:rsidSect="005722F6"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:rsidR="00FF2699" w:rsidRDefault="008533E0" w:rsidP="008533E0">
      <w:pPr>
        <w:pStyle w:val="Nadpis1"/>
      </w:pPr>
      <w:bookmarkStart w:id="0" w:name="_Toc413403734"/>
      <w:r>
        <w:lastRenderedPageBreak/>
        <w:t xml:space="preserve">1 </w:t>
      </w:r>
      <w:r w:rsidR="00FF2699">
        <w:t>Úvod</w:t>
      </w:r>
      <w:bookmarkEnd w:id="0"/>
    </w:p>
    <w:p w:rsidR="00624D1E" w:rsidRDefault="00FF2699" w:rsidP="00624D1E">
      <w:pPr>
        <w:pStyle w:val="Bezmezer"/>
        <w:jc w:val="both"/>
      </w:pPr>
      <w:r>
        <w:t xml:space="preserve">Policejní internetová </w:t>
      </w:r>
      <w:proofErr w:type="spellStart"/>
      <w:r>
        <w:t>HotLine</w:t>
      </w:r>
      <w:proofErr w:type="spellEnd"/>
      <w:r>
        <w:t xml:space="preserve"> </w:t>
      </w:r>
      <w:r w:rsidR="00624D1E">
        <w:t xml:space="preserve">byla zřízena v roce 2012, na základě úkolu Ministerstva vnitra ČR, s ohledem na potřebu centralizování poznatků z oblasti informační kriminality, a to na internetové adrese: </w:t>
      </w:r>
      <w:r w:rsidR="00624D1E" w:rsidRPr="004925CA">
        <w:t>http://</w:t>
      </w:r>
      <w:proofErr w:type="gramStart"/>
      <w:r w:rsidR="00624D1E" w:rsidRPr="004925CA">
        <w:t>aplikace</w:t>
      </w:r>
      <w:proofErr w:type="gramEnd"/>
      <w:r w:rsidR="00624D1E" w:rsidRPr="004925CA">
        <w:t>.</w:t>
      </w:r>
      <w:proofErr w:type="gramStart"/>
      <w:r w:rsidR="00624D1E" w:rsidRPr="004925CA">
        <w:t>policie</w:t>
      </w:r>
      <w:proofErr w:type="gramEnd"/>
      <w:r w:rsidR="00624D1E" w:rsidRPr="004925CA">
        <w:t>.cz/hotline/</w:t>
      </w:r>
      <w:r w:rsidR="00624D1E">
        <w:t xml:space="preserve">. </w:t>
      </w:r>
    </w:p>
    <w:p w:rsidR="00624D1E" w:rsidRDefault="00624D1E" w:rsidP="00624D1E">
      <w:pPr>
        <w:pStyle w:val="Bezmezer"/>
        <w:jc w:val="both"/>
      </w:pPr>
      <w:r>
        <w:t xml:space="preserve">Záměrem zřízení této služby je přiblížit se moderním požadavkům dnešní doby – poskytnout obyvatelstvu prostor pro bezproblémové, anonymní a přímé oznamování </w:t>
      </w:r>
      <w:proofErr w:type="spellStart"/>
      <w:r>
        <w:t>kyberkriminality</w:t>
      </w:r>
      <w:proofErr w:type="spellEnd"/>
      <w:r>
        <w:t xml:space="preserve">. Cílem je zefektivnění a zrychlení toku informací o nejzávažnějších formách tohoto druhu kriminality, jako jsou případy dětské pornografie, extremismu, počítačového pirátství, podvodů, útoků na data, vydírání, vyhrožování či obchodu s lidmi, a při které je využíváno prostředků informačních technologií, a to směrem ke specializovaným útvarům Policie ČR. </w:t>
      </w:r>
    </w:p>
    <w:p w:rsidR="00FF2699" w:rsidRDefault="00624D1E" w:rsidP="00624D1E">
      <w:pPr>
        <w:pStyle w:val="Bezmezer"/>
        <w:jc w:val="both"/>
      </w:pPr>
      <w:r>
        <w:t>Služba má přispívat ke zvýšení úspěšnosti odhalování informační kriminality, pomocí včasné reakce na jednotlivé poznatky, a to prostřednictvím činnosti policistů, kteří na základě zaslaných podnětů provádí jejich prvotní vyhodnocení, zajištění důkazního materiálu, který bývá v prostředí internetu velmi rychle přesouván či mazán, a dále spočívající v komunikaci s provozovateli služeb a poskytovateli internetového připojení.</w:t>
      </w:r>
    </w:p>
    <w:p w:rsidR="00624D1E" w:rsidRPr="00FF2699" w:rsidRDefault="00624D1E" w:rsidP="00624D1E">
      <w:pPr>
        <w:pStyle w:val="Bezmezer"/>
        <w:jc w:val="both"/>
      </w:pPr>
      <w:r>
        <w:t xml:space="preserve">Jak je patrné z následujících </w:t>
      </w:r>
      <w:r w:rsidR="00E13196">
        <w:t xml:space="preserve">statistických </w:t>
      </w:r>
      <w:r>
        <w:t>dat</w:t>
      </w:r>
      <w:r w:rsidR="00E61BD9">
        <w:t>,</w:t>
      </w:r>
      <w:r w:rsidR="00E13196">
        <w:t xml:space="preserve"> za uplynulý rok</w:t>
      </w:r>
      <w:r>
        <w:t xml:space="preserve">, policejní internetová </w:t>
      </w:r>
      <w:proofErr w:type="spellStart"/>
      <w:r>
        <w:t>hotline</w:t>
      </w:r>
      <w:proofErr w:type="spellEnd"/>
      <w:r>
        <w:t xml:space="preserve"> se velmi rychle dostala do povědomí široké veřejnosti, která tuto službu ve vzrůstající míře využívá k zaslání podnětů Policii ČR, a to i </w:t>
      </w:r>
      <w:r w:rsidR="00E13196">
        <w:t xml:space="preserve">z oblastí nespadajících pod pojem </w:t>
      </w:r>
      <w:proofErr w:type="spellStart"/>
      <w:r w:rsidR="00E13196">
        <w:t>kyberkriminalita</w:t>
      </w:r>
      <w:proofErr w:type="spellEnd"/>
      <w:r w:rsidR="00E13196">
        <w:t>.</w:t>
      </w:r>
    </w:p>
    <w:p w:rsidR="00FF2699" w:rsidRDefault="00FF2699" w:rsidP="008533E0">
      <w:pPr>
        <w:pStyle w:val="Nadpis1"/>
      </w:pPr>
    </w:p>
    <w:p w:rsidR="00E13196" w:rsidRDefault="00E13196" w:rsidP="00E13196"/>
    <w:p w:rsidR="00E13196" w:rsidRDefault="00E13196" w:rsidP="00E13196"/>
    <w:p w:rsidR="00E13196" w:rsidRDefault="00E13196" w:rsidP="00E13196"/>
    <w:p w:rsidR="00E13196" w:rsidRDefault="00E13196" w:rsidP="00E13196"/>
    <w:p w:rsidR="00E13196" w:rsidRDefault="00E13196" w:rsidP="00E13196"/>
    <w:p w:rsidR="00E13196" w:rsidRDefault="00E13196" w:rsidP="00E13196"/>
    <w:p w:rsidR="00E13196" w:rsidRDefault="00E13196" w:rsidP="00E13196"/>
    <w:p w:rsidR="00E13196" w:rsidRPr="00E13196" w:rsidRDefault="00E13196" w:rsidP="00E13196"/>
    <w:p w:rsidR="008533E0" w:rsidRDefault="00E13196" w:rsidP="00E13196">
      <w:pPr>
        <w:pStyle w:val="Nadpis1"/>
        <w:spacing w:before="0"/>
      </w:pPr>
      <w:bookmarkStart w:id="1" w:name="_Toc413403735"/>
      <w:r>
        <w:lastRenderedPageBreak/>
        <w:t xml:space="preserve">2 </w:t>
      </w:r>
      <w:r w:rsidR="00CF0E28">
        <w:t>Kvantitativní analýza</w:t>
      </w:r>
      <w:bookmarkEnd w:id="1"/>
      <w:r w:rsidR="00CF0E28">
        <w:t xml:space="preserve"> </w:t>
      </w:r>
    </w:p>
    <w:p w:rsidR="00E13196" w:rsidRDefault="008533E0" w:rsidP="00161D33">
      <w:pPr>
        <w:pStyle w:val="Bezmezer"/>
        <w:spacing w:after="240"/>
        <w:jc w:val="both"/>
      </w:pPr>
      <w:r>
        <w:t>V roce 201</w:t>
      </w:r>
      <w:r w:rsidR="00E13196">
        <w:t>4</w:t>
      </w:r>
      <w:r>
        <w:t xml:space="preserve"> bylo prostřednictvím formuláře </w:t>
      </w:r>
      <w:r w:rsidR="00490025">
        <w:t xml:space="preserve">– pro hlášení závadového obsahu a aktivit v síti Internet, </w:t>
      </w:r>
      <w:r>
        <w:t xml:space="preserve">přijato </w:t>
      </w:r>
      <w:r w:rsidR="00E13196">
        <w:rPr>
          <w:b/>
        </w:rPr>
        <w:t>celkem 6 5</w:t>
      </w:r>
      <w:r w:rsidRPr="00490025">
        <w:rPr>
          <w:b/>
        </w:rPr>
        <w:t>9</w:t>
      </w:r>
      <w:r w:rsidR="00E13196">
        <w:rPr>
          <w:b/>
        </w:rPr>
        <w:t>0</w:t>
      </w:r>
      <w:r w:rsidRPr="00490025">
        <w:rPr>
          <w:b/>
        </w:rPr>
        <w:t xml:space="preserve"> </w:t>
      </w:r>
      <w:r w:rsidR="00490025" w:rsidRPr="00490025">
        <w:rPr>
          <w:b/>
        </w:rPr>
        <w:t>oznámení</w:t>
      </w:r>
      <w:r w:rsidR="00490025">
        <w:t>.</w:t>
      </w:r>
      <w:r w:rsidR="00E13196">
        <w:t xml:space="preserve"> Toto číslo </w:t>
      </w:r>
      <w:r w:rsidR="00E13196" w:rsidRPr="00B57A88">
        <w:rPr>
          <w:b/>
        </w:rPr>
        <w:t>představuje rekordně nejvyšší roční přírůstek, který představuje nárůst oproti roku 2013 o téměř 3 000 hlášení.</w:t>
      </w:r>
      <w:r w:rsidR="00B23FAE">
        <w:t xml:space="preserve"> V tabulce níže je zobrazen počet oznámení za jednotlivé měsíce, rozdělený do jednotlivých typů oznámení, tak jak byly kategorizovány v rámci </w:t>
      </w:r>
      <w:r w:rsidR="00E13196">
        <w:t xml:space="preserve">prvotního </w:t>
      </w:r>
      <w:r w:rsidR="00B23FAE">
        <w:t>vyhodnocení věci.</w:t>
      </w:r>
    </w:p>
    <w:p w:rsidR="00460852" w:rsidRPr="00460852" w:rsidRDefault="00FE74FA" w:rsidP="00460852">
      <w:pPr>
        <w:pStyle w:val="Bezmezer"/>
        <w:spacing w:after="120"/>
        <w:ind w:firstLine="0"/>
        <w:rPr>
          <w:b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4FC57AE5" wp14:editId="6608808D">
            <wp:simplePos x="0" y="0"/>
            <wp:positionH relativeFrom="column">
              <wp:posOffset>43180</wp:posOffset>
            </wp:positionH>
            <wp:positionV relativeFrom="paragraph">
              <wp:posOffset>273050</wp:posOffset>
            </wp:positionV>
            <wp:extent cx="5753100" cy="1200150"/>
            <wp:effectExtent l="0" t="0" r="0" b="0"/>
            <wp:wrapTight wrapText="bothSides">
              <wp:wrapPolygon edited="0">
                <wp:start x="0" y="0"/>
                <wp:lineTo x="0" y="21257"/>
                <wp:lineTo x="21528" y="21257"/>
                <wp:lineTo x="21528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16B">
        <w:rPr>
          <w:b/>
          <w:u w:val="single"/>
        </w:rPr>
        <w:t>Rok 2014</w:t>
      </w:r>
    </w:p>
    <w:p w:rsidR="00460852" w:rsidRDefault="00E10A96" w:rsidP="00EA4BFD">
      <w:pPr>
        <w:pStyle w:val="Bezmezer"/>
        <w:spacing w:before="480" w:after="120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E818806" wp14:editId="5A4C3AF9">
            <wp:simplePos x="0" y="0"/>
            <wp:positionH relativeFrom="column">
              <wp:posOffset>43180</wp:posOffset>
            </wp:positionH>
            <wp:positionV relativeFrom="paragraph">
              <wp:posOffset>1359535</wp:posOffset>
            </wp:positionV>
            <wp:extent cx="5772150" cy="3086100"/>
            <wp:effectExtent l="0" t="0" r="0" b="0"/>
            <wp:wrapThrough wrapText="bothSides">
              <wp:wrapPolygon edited="0">
                <wp:start x="0" y="0"/>
                <wp:lineTo x="0" y="21467"/>
                <wp:lineTo x="21529" y="21467"/>
                <wp:lineTo x="21529" y="0"/>
                <wp:lineTo x="0" y="0"/>
              </wp:wrapPolygon>
            </wp:wrapThrough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16B">
        <w:t>J</w:t>
      </w:r>
      <w:r w:rsidR="00460852">
        <w:t xml:space="preserve">ak je z tabulky </w:t>
      </w:r>
      <w:r w:rsidR="00161D33">
        <w:t xml:space="preserve">patrné oznámení byla rozdělena do 4 kategorií – jednání nepříslušející policii (JNP), </w:t>
      </w:r>
      <w:r w:rsidR="00E61BD9">
        <w:t>prozatím neodůvodněná podezření (PNP), zjevná trestná činnost (ZTČ)</w:t>
      </w:r>
      <w:r w:rsidR="00E61BD9">
        <w:t>, nesmyslná oznámení (NO)</w:t>
      </w:r>
      <w:r w:rsidR="00161D33">
        <w:t>.</w:t>
      </w:r>
      <w:r w:rsidR="00E61BD9">
        <w:t xml:space="preserve"> </w:t>
      </w:r>
      <w:r w:rsidR="00EA4BFD">
        <w:t>Nejvýraznější přírůstek byl zaznamenán v měsících červen a červenec 2014, kdy došlo k doposud nejvyšší vlně rozesílání nevyžádaných virových e-mailů občanům.</w:t>
      </w:r>
      <w:r w:rsidR="00ED1A5E">
        <w:t xml:space="preserve"> </w:t>
      </w:r>
      <w:r w:rsidR="00ED1A5E" w:rsidRPr="00ED1A5E">
        <w:rPr>
          <w:i/>
        </w:rPr>
        <w:t>Viz grafické zobrazení níže</w:t>
      </w:r>
      <w:r w:rsidR="00ED1A5E">
        <w:t>.</w:t>
      </w:r>
    </w:p>
    <w:p w:rsidR="00161D33" w:rsidRDefault="00EA4BFD" w:rsidP="00EA4BFD">
      <w:pPr>
        <w:pStyle w:val="Bezmezer"/>
        <w:spacing w:after="120"/>
        <w:jc w:val="both"/>
      </w:pPr>
      <w:r>
        <w:t>Z</w:t>
      </w:r>
      <w:r w:rsidR="00000CDB">
        <w:t> grafického zpracování</w:t>
      </w:r>
      <w:r>
        <w:t xml:space="preserve"> tabulky je zřejmé</w:t>
      </w:r>
      <w:r w:rsidR="00000CDB">
        <w:t>,</w:t>
      </w:r>
      <w:r>
        <w:t xml:space="preserve"> že oproti letům minulým došlo k proměně struktury zasílaných hlášení. V roce 2014 představovala největší skupinu tzv. prozatím neodůvodněná podezření</w:t>
      </w:r>
      <w:r w:rsidR="00E10A96">
        <w:t xml:space="preserve">, která společně s podáními do oblasti zjevné trestní činnosti představují celých </w:t>
      </w:r>
      <w:r w:rsidR="00E10A96" w:rsidRPr="00E10A96">
        <w:rPr>
          <w:b/>
        </w:rPr>
        <w:t xml:space="preserve">64% </w:t>
      </w:r>
      <w:r w:rsidR="00E10A96">
        <w:rPr>
          <w:b/>
        </w:rPr>
        <w:t xml:space="preserve">(4 241) </w:t>
      </w:r>
      <w:r w:rsidR="00E10A96" w:rsidRPr="00E10A96">
        <w:rPr>
          <w:b/>
        </w:rPr>
        <w:t>věcí</w:t>
      </w:r>
      <w:r w:rsidR="00E10A96">
        <w:t xml:space="preserve">, </w:t>
      </w:r>
      <w:r w:rsidR="00E10A96" w:rsidRPr="00B57A88">
        <w:rPr>
          <w:u w:val="single"/>
        </w:rPr>
        <w:t>u nichž</w:t>
      </w:r>
      <w:r w:rsidR="00000CDB" w:rsidRPr="00B57A88">
        <w:rPr>
          <w:u w:val="single"/>
        </w:rPr>
        <w:t xml:space="preserve"> </w:t>
      </w:r>
      <w:r w:rsidR="00E10A96" w:rsidRPr="00B57A88">
        <w:rPr>
          <w:u w:val="single"/>
        </w:rPr>
        <w:t>je nezbytné</w:t>
      </w:r>
      <w:r w:rsidR="00000CDB" w:rsidRPr="00B57A88">
        <w:rPr>
          <w:u w:val="single"/>
        </w:rPr>
        <w:t xml:space="preserve"> komunikovat s oznamovateli a provádět další nezbytná šetření</w:t>
      </w:r>
      <w:r w:rsidR="00000CDB" w:rsidRPr="00161D33">
        <w:t>.</w:t>
      </w:r>
      <w:r w:rsidR="00000CDB">
        <w:t xml:space="preserve"> </w:t>
      </w:r>
    </w:p>
    <w:p w:rsidR="00FA1599" w:rsidRPr="00FB51FD" w:rsidRDefault="00FA1599" w:rsidP="00FA1599">
      <w:pPr>
        <w:pStyle w:val="Bezmezer"/>
        <w:spacing w:after="120"/>
        <w:ind w:firstLine="0"/>
        <w:jc w:val="both"/>
        <w:rPr>
          <w:b/>
          <w:u w:val="single"/>
        </w:rPr>
      </w:pPr>
      <w:r w:rsidRPr="00FB51FD">
        <w:rPr>
          <w:b/>
          <w:u w:val="single"/>
        </w:rPr>
        <w:lastRenderedPageBreak/>
        <w:t>Měsíční vývoj počtu oznámení</w:t>
      </w:r>
    </w:p>
    <w:p w:rsidR="00000CDB" w:rsidRDefault="00FA1599" w:rsidP="00FB51FD">
      <w:pPr>
        <w:pStyle w:val="Bezmezer"/>
        <w:spacing w:after="240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06C23A21" wp14:editId="643CB30B">
            <wp:simplePos x="0" y="0"/>
            <wp:positionH relativeFrom="column">
              <wp:posOffset>395605</wp:posOffset>
            </wp:positionH>
            <wp:positionV relativeFrom="paragraph">
              <wp:posOffset>1018540</wp:posOffset>
            </wp:positionV>
            <wp:extent cx="5086350" cy="2838450"/>
            <wp:effectExtent l="114300" t="57150" r="57150" b="133350"/>
            <wp:wrapThrough wrapText="bothSides">
              <wp:wrapPolygon edited="0">
                <wp:start x="-324" y="-435"/>
                <wp:lineTo x="-485" y="-145"/>
                <wp:lineTo x="-404" y="22470"/>
                <wp:lineTo x="21762" y="22470"/>
                <wp:lineTo x="21762" y="-435"/>
                <wp:lineTo x="-324" y="-435"/>
              </wp:wrapPolygon>
            </wp:wrapThrough>
            <wp:docPr id="1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CDB">
        <w:t>Z porovnání nápadu oznámení me</w:t>
      </w:r>
      <w:r>
        <w:t>zi jednotlivými měsíci je patrný</w:t>
      </w:r>
      <w:r w:rsidR="00ED1A5E">
        <w:t>, jak již bylo zmíněno výše,</w:t>
      </w:r>
      <w:r w:rsidR="00000CDB">
        <w:t xml:space="preserve"> </w:t>
      </w:r>
      <w:r w:rsidR="00ED1A5E">
        <w:t>jejich výrazný nárůst v měsíci červnu a červenci 2014</w:t>
      </w:r>
      <w:r w:rsidR="00AD4D1A">
        <w:t xml:space="preserve">, </w:t>
      </w:r>
      <w:r w:rsidR="004C099F">
        <w:t>dále</w:t>
      </w:r>
      <w:r w:rsidR="00ED1A5E">
        <w:t xml:space="preserve"> je zřejmé, že prvních 8 měsíců roku překračovala míra přijatých hlášení hodnotu min. 400.</w:t>
      </w:r>
      <w:r w:rsidR="004C099F">
        <w:t xml:space="preserve"> </w:t>
      </w:r>
      <w:r w:rsidR="00AD4D1A" w:rsidRPr="00C27B31">
        <w:rPr>
          <w:i/>
        </w:rPr>
        <w:t>Viz grafické zobrazení níže</w:t>
      </w:r>
      <w:r w:rsidR="00AD4D1A">
        <w:t>.</w:t>
      </w:r>
    </w:p>
    <w:p w:rsidR="00AD4D1A" w:rsidRDefault="00AD4D1A" w:rsidP="00000CDB">
      <w:pPr>
        <w:pStyle w:val="Bezmezer"/>
        <w:jc w:val="both"/>
      </w:pPr>
    </w:p>
    <w:p w:rsidR="00FB4AE1" w:rsidRDefault="00FB4AE1" w:rsidP="00CE5157">
      <w:pPr>
        <w:pStyle w:val="Bezmezer"/>
        <w:spacing w:after="240"/>
        <w:jc w:val="both"/>
      </w:pPr>
    </w:p>
    <w:p w:rsidR="00FB4AE1" w:rsidRDefault="00FB4AE1" w:rsidP="00CE5157">
      <w:pPr>
        <w:pStyle w:val="Bezmezer"/>
        <w:spacing w:after="240"/>
        <w:jc w:val="both"/>
      </w:pPr>
    </w:p>
    <w:p w:rsidR="00FB4AE1" w:rsidRDefault="00FB4AE1" w:rsidP="00CE5157">
      <w:pPr>
        <w:pStyle w:val="Bezmezer"/>
        <w:spacing w:after="240"/>
        <w:jc w:val="both"/>
      </w:pPr>
    </w:p>
    <w:p w:rsidR="00FB4AE1" w:rsidRDefault="00FB4AE1" w:rsidP="00CE5157">
      <w:pPr>
        <w:pStyle w:val="Bezmezer"/>
        <w:spacing w:after="240"/>
        <w:jc w:val="both"/>
      </w:pPr>
    </w:p>
    <w:p w:rsidR="00FB4AE1" w:rsidRDefault="00FB4AE1" w:rsidP="00CE5157">
      <w:pPr>
        <w:pStyle w:val="Bezmezer"/>
        <w:spacing w:after="240"/>
        <w:jc w:val="both"/>
      </w:pPr>
    </w:p>
    <w:p w:rsidR="00FA1599" w:rsidRDefault="00FA1599" w:rsidP="00ED1A5E">
      <w:pPr>
        <w:pStyle w:val="Bezmezer"/>
        <w:spacing w:before="480" w:after="240"/>
        <w:jc w:val="both"/>
      </w:pPr>
    </w:p>
    <w:p w:rsidR="00FA1599" w:rsidRDefault="00FA1599" w:rsidP="00FA1599">
      <w:pPr>
        <w:pStyle w:val="Bezmezer"/>
        <w:spacing w:before="360" w:after="120"/>
        <w:ind w:firstLine="0"/>
        <w:jc w:val="both"/>
      </w:pPr>
      <w:r w:rsidRPr="00CE5157">
        <w:rPr>
          <w:b/>
          <w:u w:val="single"/>
        </w:rPr>
        <w:t>Denní průměr oznámení za jednotlivé měsíce</w:t>
      </w:r>
    </w:p>
    <w:p w:rsidR="00000CDB" w:rsidRDefault="00FA1599" w:rsidP="00FA1599">
      <w:pPr>
        <w:pStyle w:val="Bezmezer"/>
        <w:spacing w:before="240" w:after="240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081C8D1A" wp14:editId="4A5DD7C4">
            <wp:simplePos x="0" y="0"/>
            <wp:positionH relativeFrom="column">
              <wp:posOffset>423545</wp:posOffset>
            </wp:positionH>
            <wp:positionV relativeFrom="paragraph">
              <wp:posOffset>1369060</wp:posOffset>
            </wp:positionV>
            <wp:extent cx="5057775" cy="2743200"/>
            <wp:effectExtent l="114300" t="57150" r="47625" b="133350"/>
            <wp:wrapTight wrapText="bothSides">
              <wp:wrapPolygon edited="0">
                <wp:start x="-325" y="-450"/>
                <wp:lineTo x="-488" y="-150"/>
                <wp:lineTo x="-407" y="22500"/>
                <wp:lineTo x="21722" y="22500"/>
                <wp:lineTo x="21722" y="-450"/>
                <wp:lineTo x="-325" y="-450"/>
              </wp:wrapPolygon>
            </wp:wrapTight>
            <wp:docPr id="12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5157">
        <w:t xml:space="preserve">V rámci analýzy denního přírůstku hlášení zasílaných prostřednictvím internetového formuláře bylo zaznamenáno několik silných trendů, při kterých bylo učiněno i </w:t>
      </w:r>
      <w:r>
        <w:rPr>
          <w:b/>
        </w:rPr>
        <w:t>přes 3</w:t>
      </w:r>
      <w:r w:rsidR="00CE5157" w:rsidRPr="00CE5157">
        <w:rPr>
          <w:b/>
        </w:rPr>
        <w:t>00 oznámení za jediný den</w:t>
      </w:r>
      <w:r>
        <w:t>, které bylo nutné administrativně zpracovat a následně každé jednotlivé vyhodnotit</w:t>
      </w:r>
      <w:r w:rsidR="00CE5157">
        <w:t>. Roční průměr se ustálil na</w:t>
      </w:r>
      <w:r>
        <w:t xml:space="preserve"> cca</w:t>
      </w:r>
      <w:r w:rsidR="00CE5157">
        <w:t xml:space="preserve"> </w:t>
      </w:r>
      <w:r>
        <w:rPr>
          <w:b/>
        </w:rPr>
        <w:t xml:space="preserve">18 </w:t>
      </w:r>
      <w:r w:rsidR="00CE5157" w:rsidRPr="00CE5157">
        <w:rPr>
          <w:b/>
        </w:rPr>
        <w:t>podání za den</w:t>
      </w:r>
      <w:r w:rsidR="00CE5157">
        <w:t xml:space="preserve">. </w:t>
      </w:r>
      <w:r w:rsidR="00CE5157" w:rsidRPr="00CE5157">
        <w:rPr>
          <w:i/>
        </w:rPr>
        <w:t>Viz grafické zobrazení níže</w:t>
      </w:r>
      <w:r w:rsidR="00CE5157">
        <w:t>.</w:t>
      </w:r>
    </w:p>
    <w:p w:rsidR="00AA12E0" w:rsidRDefault="00AA12E0" w:rsidP="00AA12E0">
      <w:pPr>
        <w:pStyle w:val="Bezmezer"/>
      </w:pPr>
    </w:p>
    <w:p w:rsidR="00B67E38" w:rsidRDefault="00B67E38" w:rsidP="00AA12E0">
      <w:pPr>
        <w:pStyle w:val="Bezmezer"/>
      </w:pPr>
    </w:p>
    <w:p w:rsidR="00B67E38" w:rsidRDefault="00B67E38" w:rsidP="00AA12E0">
      <w:pPr>
        <w:pStyle w:val="Bezmezer"/>
      </w:pPr>
    </w:p>
    <w:p w:rsidR="00B67E38" w:rsidRDefault="00B67E38" w:rsidP="00AA12E0">
      <w:pPr>
        <w:pStyle w:val="Bezmezer"/>
      </w:pPr>
    </w:p>
    <w:p w:rsidR="00B67E38" w:rsidRDefault="00B67E38" w:rsidP="00AA12E0">
      <w:pPr>
        <w:pStyle w:val="Bezmezer"/>
      </w:pPr>
    </w:p>
    <w:p w:rsidR="00B67E38" w:rsidRDefault="00B67E38" w:rsidP="00AA12E0">
      <w:pPr>
        <w:pStyle w:val="Bezmezer"/>
      </w:pPr>
    </w:p>
    <w:p w:rsidR="00B67E38" w:rsidRDefault="00B67E38" w:rsidP="00AA12E0">
      <w:pPr>
        <w:pStyle w:val="Bezmezer"/>
      </w:pPr>
    </w:p>
    <w:p w:rsidR="00B67E38" w:rsidRDefault="00B67E38" w:rsidP="00AA12E0">
      <w:pPr>
        <w:pStyle w:val="Bezmezer"/>
      </w:pPr>
    </w:p>
    <w:p w:rsidR="005722F6" w:rsidRDefault="00B06F4A" w:rsidP="00E14FF7">
      <w:pPr>
        <w:pStyle w:val="Nadpis1"/>
      </w:pPr>
      <w:bookmarkStart w:id="2" w:name="_Toc413403736"/>
      <w:r>
        <w:lastRenderedPageBreak/>
        <w:t>3 Kvalitativní analýza</w:t>
      </w:r>
      <w:bookmarkEnd w:id="2"/>
    </w:p>
    <w:p w:rsidR="00E14FF7" w:rsidRDefault="00B06F4A" w:rsidP="00734528">
      <w:pPr>
        <w:pStyle w:val="Bezmezer"/>
        <w:spacing w:after="240"/>
        <w:jc w:val="both"/>
      </w:pPr>
      <w:r>
        <w:t xml:space="preserve">Přijatá hlášení jsou po svém administrativním zaevidování v systému ETŘ přidělena jednotlivým zpracovatelům. Ti provedou prvotní posouzení každého přijatého podání, z hlediska </w:t>
      </w:r>
      <w:r w:rsidR="00E14FF7">
        <w:t xml:space="preserve">protiprávnosti a dále například akutnosti. V následujících odstavcích jsou popsány </w:t>
      </w:r>
      <w:r w:rsidR="0092758F">
        <w:t>oblasti, do</w:t>
      </w:r>
      <w:r w:rsidR="00E14FF7">
        <w:t xml:space="preserve"> kterých byla jednotlivá hlášení zařazena, nejčastěji se vyskytující protiprávní jednání</w:t>
      </w:r>
      <w:r w:rsidR="00E61BD9">
        <w:t>, fenomény roku 2014</w:t>
      </w:r>
      <w:r w:rsidR="00E14FF7">
        <w:t xml:space="preserve"> a </w:t>
      </w:r>
      <w:r w:rsidR="00E61BD9">
        <w:t>procentuální vyjádření způsobu vyřízení</w:t>
      </w:r>
      <w:r w:rsidR="00E14FF7">
        <w:t xml:space="preserve"> podání.</w:t>
      </w:r>
    </w:p>
    <w:p w:rsidR="00E14FF7" w:rsidRDefault="00E14FF7" w:rsidP="00E14FF7">
      <w:pPr>
        <w:pStyle w:val="Nadpis2"/>
        <w:spacing w:after="240"/>
      </w:pPr>
      <w:bookmarkStart w:id="3" w:name="_Toc413403737"/>
      <w:r>
        <w:t>3.1 Rozdělení hlášení do oblastí protiprávního jednání</w:t>
      </w:r>
      <w:bookmarkEnd w:id="3"/>
    </w:p>
    <w:p w:rsidR="00AA12E0" w:rsidRDefault="00E14FF7" w:rsidP="00734528">
      <w:pPr>
        <w:pStyle w:val="Bezmezer"/>
        <w:spacing w:after="240"/>
        <w:jc w:val="both"/>
      </w:pPr>
      <w:r>
        <w:t xml:space="preserve"> Podání byla</w:t>
      </w:r>
      <w:r w:rsidR="005722F6">
        <w:t xml:space="preserve"> rozdělena celkem do 11 oblastí, které odkazují na jejich</w:t>
      </w:r>
      <w:r>
        <w:t xml:space="preserve"> možné</w:t>
      </w:r>
      <w:r w:rsidR="005722F6">
        <w:t xml:space="preserve"> trestně-právní zařazení, včetně</w:t>
      </w:r>
      <w:r>
        <w:t xml:space="preserve"> přestupkového jednání. V roce 2014 se </w:t>
      </w:r>
      <w:r w:rsidR="005722F6">
        <w:t>nejpočetnější oblastí</w:t>
      </w:r>
      <w:r>
        <w:t xml:space="preserve"> stala oblast hospodářská, následovaná druhou nejpočetnější skupinou </w:t>
      </w:r>
      <w:r w:rsidR="005722F6">
        <w:t>tzv. amorální</w:t>
      </w:r>
      <w:r>
        <w:t>ch jednání právně nepostihnutelných</w:t>
      </w:r>
      <w:r w:rsidR="00C83217">
        <w:t>, za něž lze považovat skutky</w:t>
      </w:r>
      <w:r w:rsidR="005722F6">
        <w:t xml:space="preserve"> nespadající do rámce protiprávního jednání. </w:t>
      </w:r>
      <w:r w:rsidR="005722F6" w:rsidRPr="005722F6">
        <w:rPr>
          <w:i/>
        </w:rPr>
        <w:t>Viz tabulka níže</w:t>
      </w:r>
      <w:r w:rsidR="005722F6">
        <w:t>.</w:t>
      </w:r>
    </w:p>
    <w:p w:rsidR="00734528" w:rsidRPr="00734528" w:rsidRDefault="00FE74FA" w:rsidP="00734528">
      <w:pPr>
        <w:pStyle w:val="Bezmezer"/>
        <w:spacing w:after="240"/>
        <w:ind w:firstLine="0"/>
        <w:jc w:val="both"/>
        <w:rPr>
          <w:b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766DA54D" wp14:editId="676B637F">
            <wp:simplePos x="0" y="0"/>
            <wp:positionH relativeFrom="column">
              <wp:posOffset>338455</wp:posOffset>
            </wp:positionH>
            <wp:positionV relativeFrom="paragraph">
              <wp:posOffset>394335</wp:posOffset>
            </wp:positionV>
            <wp:extent cx="4305300" cy="2657475"/>
            <wp:effectExtent l="0" t="0" r="0" b="9525"/>
            <wp:wrapTight wrapText="bothSides">
              <wp:wrapPolygon edited="0">
                <wp:start x="0" y="0"/>
                <wp:lineTo x="0" y="21523"/>
                <wp:lineTo x="21504" y="21523"/>
                <wp:lineTo x="21504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528" w:rsidRPr="00734528">
        <w:rPr>
          <w:b/>
          <w:u w:val="single"/>
        </w:rPr>
        <w:t>Oblasti hlášení</w:t>
      </w:r>
    </w:p>
    <w:p w:rsidR="005722F6" w:rsidRDefault="005722F6" w:rsidP="005722F6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734528">
      <w:pPr>
        <w:pStyle w:val="Bezmezer"/>
        <w:jc w:val="both"/>
      </w:pPr>
    </w:p>
    <w:p w:rsidR="00FE74FA" w:rsidRDefault="00FE74FA" w:rsidP="00C75DB1">
      <w:pPr>
        <w:pStyle w:val="Bezmezer"/>
        <w:spacing w:after="120"/>
        <w:jc w:val="both"/>
      </w:pPr>
    </w:p>
    <w:p w:rsidR="00734528" w:rsidRDefault="00C75DB1" w:rsidP="00734528">
      <w:pPr>
        <w:pStyle w:val="Bezmezer"/>
        <w:jc w:val="both"/>
      </w:pPr>
      <w:r>
        <w:t xml:space="preserve">Zásadní změna v pořadí jednotlivých oblastí oproti letům minulým byla způsobena již zmíněnými </w:t>
      </w:r>
      <w:r w:rsidRPr="00C75DB1">
        <w:rPr>
          <w:b/>
        </w:rPr>
        <w:t>vlnami e-mailů s virovou přílohou</w:t>
      </w:r>
      <w:r>
        <w:t>, tradičně se do této hospodářské oblasti řadí rovněž tzv</w:t>
      </w:r>
      <w:r w:rsidRPr="00C75DB1">
        <w:rPr>
          <w:b/>
        </w:rPr>
        <w:t xml:space="preserve">. </w:t>
      </w:r>
      <w:proofErr w:type="spellStart"/>
      <w:r w:rsidRPr="00C75DB1">
        <w:rPr>
          <w:b/>
        </w:rPr>
        <w:t>ransomware</w:t>
      </w:r>
      <w:proofErr w:type="spellEnd"/>
      <w:r>
        <w:t xml:space="preserve"> – zablokování PC s požadavkem na úhradu „pokuty“. Oproti roku 2013 je možné pozorovat rovněž </w:t>
      </w:r>
      <w:r w:rsidRPr="0092758F">
        <w:rPr>
          <w:b/>
        </w:rPr>
        <w:t>nárůst hlášení o jednáních, která jsou právně nepostihnutelná, a to o téměř 200</w:t>
      </w:r>
      <w:r>
        <w:t>. Zde řadíme různé druhy běžné pornografie, občanskoprávní spory či jiná jednání, která porušují např. no</w:t>
      </w:r>
      <w:r w:rsidR="00BF6C0C">
        <w:t>rmy morální, avšak nikoliv zákonné</w:t>
      </w:r>
      <w:r>
        <w:t xml:space="preserve">. </w:t>
      </w:r>
    </w:p>
    <w:p w:rsidR="00734528" w:rsidRDefault="00D75BE2" w:rsidP="00734528">
      <w:pPr>
        <w:pStyle w:val="Nadpis2"/>
        <w:spacing w:after="240"/>
      </w:pPr>
      <w:bookmarkStart w:id="4" w:name="_Toc413403738"/>
      <w:r>
        <w:lastRenderedPageBreak/>
        <w:t>3.2</w:t>
      </w:r>
      <w:r w:rsidR="00B06F4A">
        <w:t xml:space="preserve"> </w:t>
      </w:r>
      <w:r>
        <w:t>Nejčastější protiprávní jednání dle jejich kvalifikace</w:t>
      </w:r>
      <w:bookmarkEnd w:id="4"/>
    </w:p>
    <w:p w:rsidR="00734528" w:rsidRDefault="0092758F" w:rsidP="00917C44">
      <w:pPr>
        <w:pStyle w:val="Bezmezer"/>
        <w:spacing w:after="240"/>
        <w:jc w:val="both"/>
      </w:pPr>
      <w:r>
        <w:t xml:space="preserve">Policisté zařazení na službě </w:t>
      </w:r>
      <w:proofErr w:type="spellStart"/>
      <w:r>
        <w:t>HotLine</w:t>
      </w:r>
      <w:proofErr w:type="spellEnd"/>
      <w:r>
        <w:t xml:space="preserve"> se v průběhu roku 2014 setkávali s pestrou škálou různých podání, která byla vyhodnocena jako oprávněná hlášení protiprávních jednání. Byly zaznamenány </w:t>
      </w:r>
      <w:r w:rsidRPr="00211F98">
        <w:rPr>
          <w:b/>
        </w:rPr>
        <w:t xml:space="preserve">sebevražedné výhružky, </w:t>
      </w:r>
      <w:r w:rsidR="00211F98">
        <w:rPr>
          <w:b/>
        </w:rPr>
        <w:t xml:space="preserve">případy dětské pornografie, </w:t>
      </w:r>
      <w:r w:rsidRPr="00211F98">
        <w:rPr>
          <w:b/>
        </w:rPr>
        <w:t>výskyty osob v pátrání a poznatky k nim, jakož i poznatky k místům, kde jsou vyráběny nebo případně distribuovány omamné a psychotropní látky</w:t>
      </w:r>
      <w:r>
        <w:t>. Níže uvádíme 4 nejčastější typy protiprávních jednání, tak jak byly na základě prvotního šetření, se všemi omezeními k takovému druhu šetření, vyhodnoceny a případně následně postoupeny dalším útvarům PČR.</w:t>
      </w:r>
    </w:p>
    <w:p w:rsidR="00917C44" w:rsidRPr="0092758F" w:rsidRDefault="0092758F" w:rsidP="00211F98">
      <w:pPr>
        <w:pStyle w:val="Bezmezer"/>
        <w:numPr>
          <w:ilvl w:val="0"/>
          <w:numId w:val="1"/>
        </w:numPr>
        <w:ind w:left="714" w:hanging="357"/>
        <w:jc w:val="both"/>
        <w:rPr>
          <w:b/>
          <w:u w:val="single"/>
        </w:rPr>
      </w:pPr>
      <w:r>
        <w:rPr>
          <w:b/>
        </w:rPr>
        <w:t>Neoprávněný přístup k počítačovému systému a nosiči informací</w:t>
      </w:r>
    </w:p>
    <w:p w:rsidR="0092758F" w:rsidRPr="00A70925" w:rsidRDefault="0092758F" w:rsidP="0092758F">
      <w:pPr>
        <w:pStyle w:val="Bezmezer"/>
        <w:numPr>
          <w:ilvl w:val="0"/>
          <w:numId w:val="2"/>
        </w:numPr>
        <w:spacing w:after="240"/>
        <w:jc w:val="both"/>
        <w:rPr>
          <w:b/>
          <w:u w:val="single"/>
        </w:rPr>
      </w:pPr>
      <w:r>
        <w:t xml:space="preserve">v roce 2014 se jednání dle § 230 </w:t>
      </w:r>
      <w:proofErr w:type="spellStart"/>
      <w:r>
        <w:t>tr</w:t>
      </w:r>
      <w:proofErr w:type="spellEnd"/>
      <w:r>
        <w:t xml:space="preserve">. </w:t>
      </w:r>
      <w:proofErr w:type="gramStart"/>
      <w:r>
        <w:t>zákoníku</w:t>
      </w:r>
      <w:proofErr w:type="gramEnd"/>
      <w:r>
        <w:t xml:space="preserve"> stalo nejčastěji</w:t>
      </w:r>
      <w:r w:rsidR="00BF6C0C">
        <w:t xml:space="preserve"> přijímaným druhem protiprávních skutků</w:t>
      </w:r>
      <w:r>
        <w:t xml:space="preserve">. </w:t>
      </w:r>
      <w:r w:rsidR="00A70925">
        <w:t xml:space="preserve">Velký a zásadní podíl na tomto výsledku měly již zmiňované e-maily s virovou přílohou, blíže viz </w:t>
      </w:r>
      <w:r w:rsidR="00BF6C0C">
        <w:t>F</w:t>
      </w:r>
      <w:r w:rsidR="00A70925" w:rsidRPr="00A70925">
        <w:rPr>
          <w:i/>
        </w:rPr>
        <w:t>enomény 2014</w:t>
      </w:r>
      <w:r w:rsidR="00A70925">
        <w:t>.</w:t>
      </w:r>
    </w:p>
    <w:p w:rsidR="00A70925" w:rsidRPr="00A70925" w:rsidRDefault="00A70925" w:rsidP="00211F98">
      <w:pPr>
        <w:pStyle w:val="Bezmezer"/>
        <w:numPr>
          <w:ilvl w:val="0"/>
          <w:numId w:val="1"/>
        </w:numPr>
        <w:ind w:left="714" w:hanging="357"/>
        <w:jc w:val="both"/>
        <w:rPr>
          <w:b/>
          <w:u w:val="single"/>
        </w:rPr>
      </w:pPr>
      <w:r w:rsidRPr="00A70925">
        <w:rPr>
          <w:b/>
        </w:rPr>
        <w:t>Podvod</w:t>
      </w:r>
    </w:p>
    <w:p w:rsidR="00A70925" w:rsidRPr="00A70925" w:rsidRDefault="00A70925" w:rsidP="00A70925">
      <w:pPr>
        <w:pStyle w:val="Bezmezer"/>
        <w:numPr>
          <w:ilvl w:val="0"/>
          <w:numId w:val="2"/>
        </w:numPr>
        <w:spacing w:after="240"/>
        <w:jc w:val="both"/>
        <w:rPr>
          <w:b/>
          <w:u w:val="single"/>
        </w:rPr>
      </w:pPr>
      <w:r>
        <w:t xml:space="preserve">podvod ve smyslu </w:t>
      </w:r>
      <w:proofErr w:type="spellStart"/>
      <w:r>
        <w:t>ust</w:t>
      </w:r>
      <w:proofErr w:type="spellEnd"/>
      <w:r>
        <w:t xml:space="preserve">. § 209 </w:t>
      </w:r>
      <w:proofErr w:type="spellStart"/>
      <w:r>
        <w:t>tr</w:t>
      </w:r>
      <w:proofErr w:type="spellEnd"/>
      <w:r>
        <w:t xml:space="preserve">. </w:t>
      </w:r>
      <w:proofErr w:type="gramStart"/>
      <w:r>
        <w:t>zákoníku</w:t>
      </w:r>
      <w:proofErr w:type="gramEnd"/>
      <w:r>
        <w:t xml:space="preserve"> představuje nejenom kvantitativně, ale rovněž kvalitativně jednu z nejnáročnějších oblastí hlášení </w:t>
      </w:r>
      <w:proofErr w:type="spellStart"/>
      <w:r>
        <w:t>HotLine</w:t>
      </w:r>
      <w:proofErr w:type="spellEnd"/>
      <w:r>
        <w:t>, z hlediska jejího zpracování. Je nutná komunikace s podatelem, v mnoha případech s poskytovateli inzertních služeb, jelikož tato podvodná jednání s</w:t>
      </w:r>
      <w:r w:rsidR="00BF6C0C">
        <w:t>e nejčastěji vyskytují</w:t>
      </w:r>
      <w:r>
        <w:t xml:space="preserve"> na serverech – </w:t>
      </w:r>
      <w:r w:rsidRPr="00A70925">
        <w:t>www.aukro.cz</w:t>
      </w:r>
      <w:r>
        <w:t xml:space="preserve">, </w:t>
      </w:r>
      <w:r w:rsidRPr="00A70925">
        <w:t>www.sbazar.cz</w:t>
      </w:r>
      <w:r>
        <w:t xml:space="preserve">, </w:t>
      </w:r>
      <w:r w:rsidR="00BF6C0C" w:rsidRPr="00BF6C0C">
        <w:t>www.bazos.cz</w:t>
      </w:r>
      <w:r w:rsidR="00BF6C0C">
        <w:t xml:space="preserve"> a dalších</w:t>
      </w:r>
      <w:r>
        <w:t>. Na rozdíl od výše uvedených e-mailových vln se jedná o samostatná podání, která je nutno řešit každé zvlášť.</w:t>
      </w:r>
    </w:p>
    <w:p w:rsidR="00A70925" w:rsidRPr="00A70925" w:rsidRDefault="00A70925" w:rsidP="00211F98">
      <w:pPr>
        <w:pStyle w:val="Bezmezer"/>
        <w:numPr>
          <w:ilvl w:val="0"/>
          <w:numId w:val="1"/>
        </w:numPr>
        <w:ind w:left="714" w:hanging="357"/>
        <w:jc w:val="both"/>
        <w:rPr>
          <w:b/>
          <w:u w:val="single"/>
        </w:rPr>
      </w:pPr>
      <w:r w:rsidRPr="00A70925">
        <w:rPr>
          <w:b/>
        </w:rPr>
        <w:t>Hanobení národa, rasy, etnické nebo jiné skupiny osob</w:t>
      </w:r>
    </w:p>
    <w:p w:rsidR="00A70925" w:rsidRPr="00A70925" w:rsidRDefault="00A70925" w:rsidP="00A70925">
      <w:pPr>
        <w:pStyle w:val="Bezmezer"/>
        <w:numPr>
          <w:ilvl w:val="0"/>
          <w:numId w:val="2"/>
        </w:numPr>
        <w:spacing w:after="240"/>
        <w:jc w:val="both"/>
        <w:rPr>
          <w:b/>
          <w:u w:val="single"/>
        </w:rPr>
      </w:pPr>
      <w:r>
        <w:t>tato trestná činnost většinou zasahuje do více skutkových podstat extremistické povahy</w:t>
      </w:r>
      <w:r w:rsidR="00BF6C0C">
        <w:t xml:space="preserve"> a v největší míře se vyskytuje na </w:t>
      </w:r>
      <w:proofErr w:type="spellStart"/>
      <w:r w:rsidR="00BF6C0C">
        <w:t>Facebooku</w:t>
      </w:r>
      <w:proofErr w:type="spellEnd"/>
      <w:r>
        <w:t xml:space="preserve">. Často se jedná rovněž </w:t>
      </w:r>
      <w:r w:rsidR="004925CA">
        <w:t xml:space="preserve">o </w:t>
      </w:r>
      <w:r>
        <w:t xml:space="preserve">trestné činy ve smyslu </w:t>
      </w:r>
      <w:proofErr w:type="spellStart"/>
      <w:r>
        <w:t>ust</w:t>
      </w:r>
      <w:proofErr w:type="spellEnd"/>
      <w:r>
        <w:t>. § 403, § 404, § 405, ve vztahu k různým pravicovým či levicovým extremistickým hnutím. V této oblasti je část poznatků předávána ÚOOZ.</w:t>
      </w:r>
    </w:p>
    <w:p w:rsidR="00A70925" w:rsidRPr="00211F98" w:rsidRDefault="00A70925" w:rsidP="00211F98">
      <w:pPr>
        <w:pStyle w:val="Bezmezer"/>
        <w:numPr>
          <w:ilvl w:val="0"/>
          <w:numId w:val="1"/>
        </w:numPr>
        <w:ind w:left="714" w:hanging="357"/>
        <w:jc w:val="both"/>
        <w:rPr>
          <w:b/>
          <w:u w:val="single"/>
        </w:rPr>
      </w:pPr>
      <w:r w:rsidRPr="00211F98">
        <w:rPr>
          <w:b/>
        </w:rPr>
        <w:t>Přestupková jednání</w:t>
      </w:r>
    </w:p>
    <w:p w:rsidR="00A70925" w:rsidRPr="00211F98" w:rsidRDefault="00211F98" w:rsidP="00A70925">
      <w:pPr>
        <w:pStyle w:val="Bezmezer"/>
        <w:numPr>
          <w:ilvl w:val="0"/>
          <w:numId w:val="2"/>
        </w:numPr>
        <w:spacing w:after="240"/>
        <w:jc w:val="both"/>
        <w:rPr>
          <w:b/>
          <w:u w:val="single"/>
        </w:rPr>
      </w:pPr>
      <w:r>
        <w:t xml:space="preserve">v posledním roce byl na službě </w:t>
      </w:r>
      <w:proofErr w:type="spellStart"/>
      <w:r>
        <w:t>HotLine</w:t>
      </w:r>
      <w:proofErr w:type="spellEnd"/>
      <w:r>
        <w:t xml:space="preserve"> zaznamenán významný nárůst podání, která svou prvotně se jevící povahou, spadají do oblasti přestupkové</w:t>
      </w:r>
      <w:r w:rsidR="00BF6C0C">
        <w:t xml:space="preserve"> – proti majetku</w:t>
      </w:r>
      <w:r>
        <w:t xml:space="preserve">. Častá jsou hlášení o možných inzertních podvodech v částkách několika stokorun. I tato hlášení jsou policisty </w:t>
      </w:r>
      <w:proofErr w:type="spellStart"/>
      <w:r>
        <w:t>HotLine</w:t>
      </w:r>
      <w:proofErr w:type="spellEnd"/>
      <w:r>
        <w:t xml:space="preserve"> řešen</w:t>
      </w:r>
      <w:r w:rsidR="00BF6C0C">
        <w:t>a</w:t>
      </w:r>
      <w:r>
        <w:t xml:space="preserve"> standardně, se všemi potřebnými úkony.</w:t>
      </w:r>
    </w:p>
    <w:p w:rsidR="00211F98" w:rsidRPr="00917C44" w:rsidRDefault="00211F98" w:rsidP="00211F98">
      <w:pPr>
        <w:pStyle w:val="Bezmezer"/>
        <w:spacing w:after="240"/>
        <w:jc w:val="both"/>
        <w:rPr>
          <w:b/>
          <w:u w:val="single"/>
        </w:rPr>
      </w:pPr>
      <w:r>
        <w:t>K výše uvedenému je nutné podotknout, že policisté při svém prvotním vyhodnocení věci, před jejím postoupením</w:t>
      </w:r>
      <w:r w:rsidR="00BF6C0C">
        <w:t>,</w:t>
      </w:r>
      <w:r>
        <w:t xml:space="preserve"> vychází nejvíce z informací, které jsou jim poskytovány </w:t>
      </w:r>
      <w:r w:rsidR="004925CA">
        <w:t xml:space="preserve">pouze </w:t>
      </w:r>
      <w:r>
        <w:lastRenderedPageBreak/>
        <w:t>podateli. Tito většinou nejsou schopni prokázat svoji totožnost</w:t>
      </w:r>
      <w:r w:rsidR="00BF6C0C">
        <w:t>,</w:t>
      </w:r>
      <w:r>
        <w:t xml:space="preserve"> certifikovaným elektronickým podpisem, ale v mnoha případech trvají na řešení věci elektronickou cestou.</w:t>
      </w:r>
    </w:p>
    <w:p w:rsidR="00AA1C7B" w:rsidRDefault="00211F98" w:rsidP="00AA1C7B">
      <w:pPr>
        <w:pStyle w:val="Nadpis2"/>
        <w:spacing w:after="240"/>
      </w:pPr>
      <w:bookmarkStart w:id="5" w:name="_Toc413403739"/>
      <w:r>
        <w:t>3</w:t>
      </w:r>
      <w:r w:rsidR="00AA1C7B">
        <w:t xml:space="preserve">.3 </w:t>
      </w:r>
      <w:r>
        <w:t>Fenomény 2014</w:t>
      </w:r>
      <w:bookmarkEnd w:id="5"/>
    </w:p>
    <w:p w:rsidR="00AA1C7B" w:rsidRDefault="00211F98" w:rsidP="00AA1C7B">
      <w:pPr>
        <w:pStyle w:val="Bezmezer"/>
        <w:spacing w:after="240"/>
        <w:jc w:val="both"/>
      </w:pPr>
      <w:r>
        <w:t xml:space="preserve">V roce </w:t>
      </w:r>
      <w:r w:rsidR="003867AB">
        <w:t xml:space="preserve">2014 bylo zaznamenáno několik významných „fenoménů“, které se výrazným způsobem podepsaly na rekordním počtu hlášení </w:t>
      </w:r>
      <w:proofErr w:type="spellStart"/>
      <w:r w:rsidR="003867AB">
        <w:t>HotLine</w:t>
      </w:r>
      <w:proofErr w:type="spellEnd"/>
      <w:r w:rsidR="003867AB">
        <w:t>. Byly to falešné výzvy k plnění závazků různého druhu, obsahující virovou přílohu, případně</w:t>
      </w:r>
      <w:r w:rsidR="00BF6C0C">
        <w:t xml:space="preserve"> tzv.</w:t>
      </w:r>
      <w:r w:rsidR="003867AB">
        <w:t xml:space="preserve"> </w:t>
      </w:r>
      <w:proofErr w:type="spellStart"/>
      <w:r w:rsidR="003867AB">
        <w:t>downloader</w:t>
      </w:r>
      <w:proofErr w:type="spellEnd"/>
      <w:r w:rsidR="003867AB">
        <w:t xml:space="preserve">. </w:t>
      </w:r>
      <w:proofErr w:type="spellStart"/>
      <w:r w:rsidR="003867AB">
        <w:t>Ransomwa</w:t>
      </w:r>
      <w:r w:rsidR="00BF6C0C">
        <w:t>re</w:t>
      </w:r>
      <w:proofErr w:type="spellEnd"/>
      <w:r w:rsidR="00BF6C0C">
        <w:t xml:space="preserve"> blokace, </w:t>
      </w:r>
      <w:proofErr w:type="spellStart"/>
      <w:r w:rsidR="00BF6C0C">
        <w:t>phishingové</w:t>
      </w:r>
      <w:proofErr w:type="spellEnd"/>
      <w:r w:rsidR="00BF6C0C">
        <w:t xml:space="preserve"> útoky, </w:t>
      </w:r>
      <w:proofErr w:type="spellStart"/>
      <w:r w:rsidR="00BF6C0C">
        <w:t>roztahovačky</w:t>
      </w:r>
      <w:proofErr w:type="spellEnd"/>
      <w:r w:rsidR="00BF6C0C">
        <w:t xml:space="preserve"> a další </w:t>
      </w:r>
      <w:proofErr w:type="spellStart"/>
      <w:r w:rsidR="003867AB">
        <w:t>hate</w:t>
      </w:r>
      <w:proofErr w:type="spellEnd"/>
      <w:r w:rsidR="003867AB">
        <w:t xml:space="preserve"> </w:t>
      </w:r>
      <w:proofErr w:type="spellStart"/>
      <w:r w:rsidR="003867AB">
        <w:t>speech</w:t>
      </w:r>
      <w:proofErr w:type="spellEnd"/>
      <w:r w:rsidR="003867AB">
        <w:t xml:space="preserve"> stránky na </w:t>
      </w:r>
      <w:proofErr w:type="spellStart"/>
      <w:r w:rsidR="003867AB">
        <w:t>Facebooku</w:t>
      </w:r>
      <w:proofErr w:type="spellEnd"/>
      <w:r w:rsidR="003867AB">
        <w:t xml:space="preserve"> a v neposlední řadě rovněž stránky </w:t>
      </w:r>
      <w:proofErr w:type="gramStart"/>
      <w:r w:rsidR="00CF1375">
        <w:t>www.white-media</w:t>
      </w:r>
      <w:proofErr w:type="gramEnd"/>
      <w:r w:rsidR="00CF1375">
        <w:t>.info</w:t>
      </w:r>
      <w:r w:rsidR="003867AB">
        <w:t xml:space="preserve">. </w:t>
      </w:r>
      <w:r w:rsidR="00CF1375">
        <w:t xml:space="preserve">Všechny tyto jevy prokazují vzrůstající povědomí občanů o možnosti jejich oznámení prostřednictvím </w:t>
      </w:r>
      <w:proofErr w:type="spellStart"/>
      <w:r w:rsidR="00CF1375">
        <w:t>HotLine</w:t>
      </w:r>
      <w:proofErr w:type="spellEnd"/>
      <w:r w:rsidR="00CF1375">
        <w:t>, níže uvádíme ty nejvýznamnější.</w:t>
      </w:r>
    </w:p>
    <w:p w:rsidR="00404B43" w:rsidRPr="00CF1375" w:rsidRDefault="00404B43" w:rsidP="00D03E98">
      <w:pPr>
        <w:pStyle w:val="Bezmezer"/>
        <w:ind w:firstLine="0"/>
        <w:jc w:val="both"/>
        <w:rPr>
          <w:b/>
          <w:u w:val="single"/>
        </w:rPr>
      </w:pPr>
      <w:r w:rsidRPr="00CF1375">
        <w:rPr>
          <w:b/>
          <w:u w:val="single"/>
        </w:rPr>
        <w:t>E-mailové vlny</w:t>
      </w:r>
      <w:r w:rsidR="00CF1375" w:rsidRPr="00CF1375">
        <w:rPr>
          <w:b/>
          <w:u w:val="single"/>
        </w:rPr>
        <w:t xml:space="preserve"> a </w:t>
      </w:r>
      <w:proofErr w:type="spellStart"/>
      <w:r w:rsidR="00CF1375" w:rsidRPr="00CF1375">
        <w:rPr>
          <w:b/>
          <w:u w:val="single"/>
        </w:rPr>
        <w:t>ransomware</w:t>
      </w:r>
      <w:proofErr w:type="spellEnd"/>
    </w:p>
    <w:p w:rsidR="00CF1375" w:rsidRDefault="00BF6C0C" w:rsidP="00D03E98">
      <w:pPr>
        <w:pStyle w:val="Bezmezer"/>
        <w:jc w:val="both"/>
      </w:pPr>
      <w:r>
        <w:t>F</w:t>
      </w:r>
      <w:r w:rsidR="00404B43">
        <w:t>enomén</w:t>
      </w:r>
      <w:r>
        <w:t xml:space="preserve"> falešných e-mailových výzev</w:t>
      </w:r>
      <w:r w:rsidR="00404B43">
        <w:t xml:space="preserve"> </w:t>
      </w:r>
      <w:r w:rsidR="00D03E98">
        <w:t xml:space="preserve">představuje opravdu zásadní novinky v oblasti informační kriminality. </w:t>
      </w:r>
      <w:r w:rsidR="00CF1375">
        <w:t>O n</w:t>
      </w:r>
      <w:r w:rsidR="00D03E98">
        <w:t>ovinku</w:t>
      </w:r>
      <w:r>
        <w:t xml:space="preserve"> se jednalo zejména z důvodu</w:t>
      </w:r>
      <w:r w:rsidR="00CF1375">
        <w:t xml:space="preserve"> její intenzity a kvality jednotlivých e-mailových útoků</w:t>
      </w:r>
      <w:r w:rsidR="00D03E98">
        <w:t>,</w:t>
      </w:r>
      <w:r w:rsidR="00CF1375">
        <w:t xml:space="preserve"> které se vyznačovaly vysokou mírou kvality provedení, a to včetně </w:t>
      </w:r>
      <w:r>
        <w:t xml:space="preserve">dobrého </w:t>
      </w:r>
      <w:r w:rsidR="00CF1375">
        <w:t>českého jaz</w:t>
      </w:r>
      <w:r>
        <w:t>y</w:t>
      </w:r>
      <w:r w:rsidR="00CF1375">
        <w:t xml:space="preserve">ka. Oproti minulým letům byly útoky rafinovanější a přesně cílené do oblastí, na které občané slyší. </w:t>
      </w:r>
    </w:p>
    <w:p w:rsidR="00CF1375" w:rsidRDefault="00CF1375" w:rsidP="00D03E98">
      <w:pPr>
        <w:pStyle w:val="Bezmezer"/>
        <w:jc w:val="both"/>
      </w:pPr>
      <w:r>
        <w:t xml:space="preserve">Zaznamenány tedy byly tzv. falešné exekuční výzvy, falešná potvrzení objednávek zboží, podvodná oznámení o doručení zásilky České pošty či faktury mobilních operátorů. K tomuto </w:t>
      </w:r>
      <w:proofErr w:type="gramStart"/>
      <w:r>
        <w:t>novém</w:t>
      </w:r>
      <w:proofErr w:type="gramEnd"/>
      <w:r>
        <w:t xml:space="preserve"> fenoménu lze přiřadit rovněž tzv. </w:t>
      </w:r>
      <w:proofErr w:type="spellStart"/>
      <w:r>
        <w:t>ransomware</w:t>
      </w:r>
      <w:proofErr w:type="spellEnd"/>
      <w:r>
        <w:t xml:space="preserve">, který ve větší či menší míře útočí na počítače osob, vyskytujících se zejména na pochybných stránkách s pornografií či potencionálně pirátským obsahem. </w:t>
      </w:r>
    </w:p>
    <w:p w:rsidR="00404B43" w:rsidRDefault="00D03E98" w:rsidP="00D03E98">
      <w:pPr>
        <w:pStyle w:val="Bezmezer"/>
        <w:jc w:val="both"/>
      </w:pPr>
      <w:r>
        <w:t xml:space="preserve">Pouze prostřednictvím </w:t>
      </w:r>
      <w:proofErr w:type="spellStart"/>
      <w:r>
        <w:t>HotLine</w:t>
      </w:r>
      <w:proofErr w:type="spellEnd"/>
      <w:r>
        <w:t xml:space="preserve"> hlášení bylo přijato </w:t>
      </w:r>
      <w:r w:rsidRPr="00D03E98">
        <w:rPr>
          <w:b/>
          <w:sz w:val="24"/>
          <w:szCs w:val="24"/>
        </w:rPr>
        <w:t>celkem 3 130</w:t>
      </w:r>
      <w:r>
        <w:t xml:space="preserve"> podání různých občanů</w:t>
      </w:r>
      <w:r w:rsidR="00CF1375">
        <w:t xml:space="preserve">, na tento druh protiprávního jednání, </w:t>
      </w:r>
      <w:r w:rsidR="00CF1375" w:rsidRPr="00BF6C0C">
        <w:rPr>
          <w:b/>
        </w:rPr>
        <w:t>což</w:t>
      </w:r>
      <w:r w:rsidR="00CF1375">
        <w:t xml:space="preserve"> </w:t>
      </w:r>
      <w:r w:rsidR="00CF1375" w:rsidRPr="004925CA">
        <w:rPr>
          <w:b/>
        </w:rPr>
        <w:t>představuje téměř 48% všech hlášení</w:t>
      </w:r>
      <w:r w:rsidR="00CF1375">
        <w:t>, přijatých v roce 2014</w:t>
      </w:r>
      <w:r>
        <w:t>.</w:t>
      </w:r>
    </w:p>
    <w:p w:rsidR="00CF1375" w:rsidRDefault="00CF1375" w:rsidP="00D03E98">
      <w:pPr>
        <w:pStyle w:val="Bezmezer"/>
        <w:jc w:val="both"/>
      </w:pPr>
    </w:p>
    <w:p w:rsidR="00CF1375" w:rsidRPr="00BE20D4" w:rsidRDefault="00CF1375" w:rsidP="00BE20D4">
      <w:pPr>
        <w:pStyle w:val="Bezmezer"/>
        <w:ind w:firstLine="0"/>
        <w:jc w:val="both"/>
        <w:rPr>
          <w:b/>
          <w:u w:val="single"/>
        </w:rPr>
      </w:pPr>
      <w:proofErr w:type="spellStart"/>
      <w:r w:rsidRPr="00BE20D4">
        <w:rPr>
          <w:b/>
          <w:u w:val="single"/>
        </w:rPr>
        <w:t>Roztahovačky</w:t>
      </w:r>
      <w:proofErr w:type="spellEnd"/>
      <w:r w:rsidR="004925CA">
        <w:rPr>
          <w:b/>
          <w:u w:val="single"/>
        </w:rPr>
        <w:t xml:space="preserve"> a </w:t>
      </w:r>
      <w:proofErr w:type="spellStart"/>
      <w:r w:rsidR="004925CA">
        <w:rPr>
          <w:b/>
          <w:u w:val="single"/>
        </w:rPr>
        <w:t>Facebook</w:t>
      </w:r>
      <w:proofErr w:type="spellEnd"/>
    </w:p>
    <w:p w:rsidR="00C10F24" w:rsidRDefault="00CF1375" w:rsidP="00D03E98">
      <w:pPr>
        <w:pStyle w:val="Bezmezer"/>
        <w:jc w:val="both"/>
      </w:pPr>
      <w:r>
        <w:t>Další velmi silnou</w:t>
      </w:r>
      <w:r w:rsidR="007B7A1F">
        <w:t xml:space="preserve"> událostí</w:t>
      </w:r>
      <w:r>
        <w:t>, která byla občany citlivě vnímána, je fenomén tzv. „</w:t>
      </w:r>
      <w:proofErr w:type="spellStart"/>
      <w:r w:rsidR="00BF6C0C">
        <w:t>facebookových</w:t>
      </w:r>
      <w:proofErr w:type="spellEnd"/>
      <w:r w:rsidR="00BF6C0C">
        <w:t xml:space="preserve"> </w:t>
      </w:r>
      <w:proofErr w:type="spellStart"/>
      <w:r>
        <w:t>roztahovaček</w:t>
      </w:r>
      <w:proofErr w:type="spellEnd"/>
      <w:r>
        <w:t>“.</w:t>
      </w:r>
      <w:r w:rsidR="00BE20D4">
        <w:t xml:space="preserve"> </w:t>
      </w:r>
      <w:r w:rsidR="00BF6C0C">
        <w:t>Toto jednání</w:t>
      </w:r>
      <w:r w:rsidR="003B4B71">
        <w:t>,</w:t>
      </w:r>
      <w:r w:rsidR="00BF6C0C">
        <w:t xml:space="preserve"> při kterém</w:t>
      </w:r>
      <w:r w:rsidR="003B4B71">
        <w:t xml:space="preserve"> byly ve velkém zakládány různé </w:t>
      </w:r>
      <w:proofErr w:type="spellStart"/>
      <w:r w:rsidR="003B4B71">
        <w:t>facebookové</w:t>
      </w:r>
      <w:proofErr w:type="spellEnd"/>
      <w:r w:rsidR="003B4B71">
        <w:t xml:space="preserve"> skupiny s názvem např. Pražské </w:t>
      </w:r>
      <w:proofErr w:type="spellStart"/>
      <w:r w:rsidR="003B4B71">
        <w:t>roztahovačky</w:t>
      </w:r>
      <w:proofErr w:type="spellEnd"/>
      <w:r w:rsidR="00BF6C0C">
        <w:t xml:space="preserve">, Brněnské </w:t>
      </w:r>
      <w:proofErr w:type="spellStart"/>
      <w:r w:rsidR="00BF6C0C">
        <w:t>roztahovačky</w:t>
      </w:r>
      <w:proofErr w:type="spellEnd"/>
      <w:r w:rsidR="003B4B71">
        <w:t xml:space="preserve"> a</w:t>
      </w:r>
      <w:r w:rsidR="00BF6C0C">
        <w:t xml:space="preserve"> „</w:t>
      </w:r>
      <w:proofErr w:type="spellStart"/>
      <w:r w:rsidR="00BF6C0C">
        <w:t>roztahovačky</w:t>
      </w:r>
      <w:proofErr w:type="spellEnd"/>
      <w:r w:rsidR="00BF6C0C">
        <w:t>“ z dalších měst ČR</w:t>
      </w:r>
      <w:r w:rsidR="003B4B71">
        <w:t>,</w:t>
      </w:r>
      <w:r w:rsidR="007B7A1F">
        <w:t xml:space="preserve"> nebyl tak intenzivní co do počtu, zaznamenáno bylo</w:t>
      </w:r>
      <w:r w:rsidR="003B4B71">
        <w:t xml:space="preserve"> celkem</w:t>
      </w:r>
      <w:r w:rsidR="007B7A1F">
        <w:t xml:space="preserve"> </w:t>
      </w:r>
      <w:r w:rsidR="007B7A1F">
        <w:rPr>
          <w:b/>
        </w:rPr>
        <w:t>43 hlášení</w:t>
      </w:r>
      <w:r w:rsidR="007B7A1F">
        <w:t xml:space="preserve">, ale o to více byl silně reflektován médii, která se mu rozsáhle věnovala. V uvedených případech se podání oznamovatelů týkala zejména možného </w:t>
      </w:r>
      <w:r w:rsidR="007B7A1F" w:rsidRPr="007B7A1F">
        <w:rPr>
          <w:b/>
        </w:rPr>
        <w:t>trestného činu pomluvy</w:t>
      </w:r>
      <w:r w:rsidR="007B7A1F">
        <w:t>.</w:t>
      </w:r>
      <w:r w:rsidR="003B4B71">
        <w:t xml:space="preserve"> </w:t>
      </w:r>
    </w:p>
    <w:p w:rsidR="004925CA" w:rsidRDefault="003B4B71" w:rsidP="00D03E98">
      <w:pPr>
        <w:pStyle w:val="Bezmezer"/>
        <w:jc w:val="both"/>
        <w:rPr>
          <w:b/>
        </w:rPr>
      </w:pPr>
      <w:r>
        <w:t>Toto jednání lze přiřadit k oblasti tzv. „</w:t>
      </w:r>
      <w:proofErr w:type="spellStart"/>
      <w:r>
        <w:t>hate</w:t>
      </w:r>
      <w:proofErr w:type="spellEnd"/>
      <w:r>
        <w:t xml:space="preserve"> </w:t>
      </w:r>
      <w:proofErr w:type="spellStart"/>
      <w:r>
        <w:t>speech</w:t>
      </w:r>
      <w:proofErr w:type="spellEnd"/>
      <w:r>
        <w:t xml:space="preserve">“, který se v poslední době vyskytuje zejména v prostředí </w:t>
      </w:r>
      <w:proofErr w:type="spellStart"/>
      <w:r>
        <w:t>Facebooku</w:t>
      </w:r>
      <w:proofErr w:type="spellEnd"/>
      <w:r>
        <w:t>, jenž je svým mezinárodním práv</w:t>
      </w:r>
      <w:r w:rsidR="00BF6C0C">
        <w:t>ním prostorem pro takové útoky</w:t>
      </w:r>
      <w:r>
        <w:t xml:space="preserve"> ideální. V roce 2014 bylo zaznamenáno </w:t>
      </w:r>
      <w:r w:rsidRPr="00C10F24">
        <w:rPr>
          <w:b/>
          <w:sz w:val="24"/>
          <w:szCs w:val="24"/>
        </w:rPr>
        <w:t>celkově 963 oznámení</w:t>
      </w:r>
      <w:r>
        <w:t xml:space="preserve">, která měla </w:t>
      </w:r>
      <w:r>
        <w:lastRenderedPageBreak/>
        <w:t>nějakou souvislost s touto sociální sítí. A to zejména z oblasti „</w:t>
      </w:r>
      <w:proofErr w:type="spellStart"/>
      <w:r>
        <w:t>hate</w:t>
      </w:r>
      <w:proofErr w:type="spellEnd"/>
      <w:r>
        <w:t xml:space="preserve"> </w:t>
      </w:r>
      <w:proofErr w:type="spellStart"/>
      <w:r>
        <w:t>speech</w:t>
      </w:r>
      <w:proofErr w:type="spellEnd"/>
      <w:r>
        <w:t>“ stránek.</w:t>
      </w:r>
      <w:r w:rsidR="00C10F24">
        <w:t xml:space="preserve"> Tento počet představuje téměř </w:t>
      </w:r>
      <w:r w:rsidR="00C10F24" w:rsidRPr="00C10F24">
        <w:rPr>
          <w:b/>
        </w:rPr>
        <w:t>15% ze všech oznámení</w:t>
      </w:r>
      <w:r w:rsidR="00C10F24">
        <w:t>, a</w:t>
      </w:r>
      <w:r w:rsidR="00BF6C0C">
        <w:t>však</w:t>
      </w:r>
      <w:r w:rsidR="00C10F24">
        <w:t xml:space="preserve"> po odečtení „e-mailových výzev“ se toto procento </w:t>
      </w:r>
      <w:r w:rsidR="00C10F24" w:rsidRPr="00C10F24">
        <w:rPr>
          <w:b/>
        </w:rPr>
        <w:t>zvyšuje na 28%.</w:t>
      </w:r>
      <w:r w:rsidR="00340B98">
        <w:rPr>
          <w:b/>
        </w:rPr>
        <w:t xml:space="preserve"> </w:t>
      </w:r>
    </w:p>
    <w:p w:rsidR="00CF1375" w:rsidRDefault="00340B98" w:rsidP="00D03E98">
      <w:pPr>
        <w:pStyle w:val="Bezmezer"/>
        <w:jc w:val="both"/>
      </w:pPr>
      <w:r w:rsidRPr="00340B98">
        <w:t xml:space="preserve">V prostředí </w:t>
      </w:r>
      <w:proofErr w:type="spellStart"/>
      <w:r w:rsidRPr="00340B98">
        <w:t>Facebooku</w:t>
      </w:r>
      <w:proofErr w:type="spellEnd"/>
      <w:r w:rsidRPr="00340B98">
        <w:t xml:space="preserve"> se vyskytuje velké množství skupin a falešných profilů, které jsou zakládány za účelem pobuřování, vyvolávání negativní nálad, ale např. i negativních postojů vůči různým menšinám</w:t>
      </w:r>
      <w:r>
        <w:t xml:space="preserve"> – </w:t>
      </w:r>
      <w:r w:rsidRPr="00340B98">
        <w:rPr>
          <w:b/>
        </w:rPr>
        <w:t xml:space="preserve">tzv. </w:t>
      </w:r>
      <w:proofErr w:type="spellStart"/>
      <w:r w:rsidRPr="00340B98">
        <w:rPr>
          <w:b/>
        </w:rPr>
        <w:t>trolling</w:t>
      </w:r>
      <w:proofErr w:type="spellEnd"/>
      <w:r>
        <w:t xml:space="preserve">. </w:t>
      </w:r>
    </w:p>
    <w:p w:rsidR="009B6A50" w:rsidRDefault="00C10F24" w:rsidP="009B6A50">
      <w:pPr>
        <w:pStyle w:val="Nadpis2"/>
        <w:spacing w:after="240"/>
      </w:pPr>
      <w:bookmarkStart w:id="6" w:name="_Toc413403740"/>
      <w:r>
        <w:t>3.4</w:t>
      </w:r>
      <w:r w:rsidR="009B6A50">
        <w:t xml:space="preserve"> Vyřízení oznámení</w:t>
      </w:r>
      <w:bookmarkEnd w:id="6"/>
    </w:p>
    <w:p w:rsidR="009B6A50" w:rsidRDefault="009B6A50" w:rsidP="009B6A50">
      <w:pPr>
        <w:pStyle w:val="Bezmezer"/>
        <w:jc w:val="both"/>
      </w:pPr>
      <w:r>
        <w:t xml:space="preserve"> Po důkladném šetření a analýze bylo v každé věci rozhodnuto buď o jejím postoupení formou zaslaného poznatku, nebo pokud nebylo prokázáno spáchání trestného činu, přestupku nebo jiného správního deliktu, byla věc uložena k dalšímu služebnímu využití. </w:t>
      </w:r>
    </w:p>
    <w:p w:rsidR="009B6A50" w:rsidRDefault="009B6A50" w:rsidP="009B6A50">
      <w:pPr>
        <w:pStyle w:val="Bezmezer"/>
        <w:jc w:val="both"/>
      </w:pPr>
    </w:p>
    <w:p w:rsidR="009B6A50" w:rsidRDefault="000C3EB9" w:rsidP="009B6A50">
      <w:pPr>
        <w:pStyle w:val="Bezmezer"/>
        <w:jc w:val="both"/>
      </w:pPr>
      <w:r>
        <w:rPr>
          <w:noProof/>
          <w:lang w:eastAsia="cs-CZ"/>
        </w:rPr>
        <w:drawing>
          <wp:inline distT="0" distB="0" distL="0" distR="0" wp14:anchorId="35311016" wp14:editId="3642E3C6">
            <wp:extent cx="4572000" cy="2743200"/>
            <wp:effectExtent l="0" t="0" r="0" b="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B6A50" w:rsidRDefault="009B6A50" w:rsidP="009B6A50">
      <w:pPr>
        <w:pStyle w:val="Bezmezer"/>
        <w:jc w:val="both"/>
      </w:pPr>
    </w:p>
    <w:p w:rsidR="009B6A50" w:rsidRDefault="009B6A50" w:rsidP="009B6A50">
      <w:pPr>
        <w:pStyle w:val="Bezmezer"/>
        <w:jc w:val="both"/>
      </w:pPr>
    </w:p>
    <w:p w:rsidR="009B6A50" w:rsidRDefault="009B6A50" w:rsidP="009B6A50">
      <w:pPr>
        <w:pStyle w:val="Bezmezer"/>
        <w:jc w:val="both"/>
      </w:pPr>
      <w:r>
        <w:t>Jak zobrazuje graf výše,</w:t>
      </w:r>
      <w:r w:rsidR="000C3EB9">
        <w:t xml:space="preserve"> v roce 2014 bylo </w:t>
      </w:r>
      <w:r w:rsidR="000C3EB9" w:rsidRPr="000C3EB9">
        <w:rPr>
          <w:b/>
        </w:rPr>
        <w:t>téměř 40%</w:t>
      </w:r>
      <w:r w:rsidRPr="000C3EB9">
        <w:rPr>
          <w:b/>
        </w:rPr>
        <w:t xml:space="preserve"> </w:t>
      </w:r>
      <w:r w:rsidR="000E6F69" w:rsidRPr="000E6F69">
        <w:rPr>
          <w:b/>
        </w:rPr>
        <w:t xml:space="preserve">prošetřených </w:t>
      </w:r>
      <w:r w:rsidRPr="000E6F69">
        <w:rPr>
          <w:b/>
        </w:rPr>
        <w:t>oznámení</w:t>
      </w:r>
      <w:r w:rsidR="00BF6C0C">
        <w:rPr>
          <w:b/>
        </w:rPr>
        <w:t>,</w:t>
      </w:r>
      <w:r>
        <w:t xml:space="preserve"> </w:t>
      </w:r>
      <w:r w:rsidR="000C3EB9">
        <w:t>vyhodnoceno jako způsobilé</w:t>
      </w:r>
      <w:r>
        <w:t xml:space="preserve"> k dalšímu šetření jiným policejním orgánem</w:t>
      </w:r>
      <w:r w:rsidR="000C3EB9">
        <w:t>, a tedy elektronicky postoupeno</w:t>
      </w:r>
      <w:r>
        <w:t>.</w:t>
      </w:r>
      <w:r w:rsidR="000C3EB9">
        <w:t xml:space="preserve"> Tento nárůst byl způsoben zejména v důsledku zasílání poznatků z vln tzv. falešných </w:t>
      </w:r>
      <w:proofErr w:type="gramStart"/>
      <w:r w:rsidR="000C3EB9">
        <w:t>exekuční</w:t>
      </w:r>
      <w:proofErr w:type="gramEnd"/>
      <w:r w:rsidR="000C3EB9">
        <w:t xml:space="preserve"> výzev a jiných falešných objednávek s přílohou.</w:t>
      </w: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4925CA" w:rsidP="000E6F69">
      <w:pPr>
        <w:pStyle w:val="Nadpis1"/>
      </w:pPr>
      <w:bookmarkStart w:id="7" w:name="_Toc413403741"/>
      <w:r>
        <w:t>4</w:t>
      </w:r>
      <w:r w:rsidR="000E6F69">
        <w:t xml:space="preserve"> </w:t>
      </w:r>
      <w:r>
        <w:t>Závěr</w:t>
      </w:r>
      <w:bookmarkEnd w:id="7"/>
    </w:p>
    <w:p w:rsidR="00843D4E" w:rsidRDefault="004925CA" w:rsidP="00843D4E">
      <w:pPr>
        <w:pStyle w:val="Bezmezer"/>
        <w:jc w:val="both"/>
      </w:pPr>
      <w:r>
        <w:t>Jak již bylo zmíněno ve srovnání s</w:t>
      </w:r>
      <w:r w:rsidR="00843D4E">
        <w:t xml:space="preserve"> rokem 2012, kdy byla </w:t>
      </w:r>
      <w:proofErr w:type="spellStart"/>
      <w:r w:rsidR="00843D4E">
        <w:t>H</w:t>
      </w:r>
      <w:r>
        <w:t>otLine</w:t>
      </w:r>
      <w:proofErr w:type="spellEnd"/>
      <w:r w:rsidR="00843D4E">
        <w:t xml:space="preserve"> založena</w:t>
      </w:r>
      <w:r>
        <w:t>, ale i s rokem následujícím tedy</w:t>
      </w:r>
      <w:r w:rsidR="00BF6C0C">
        <w:t xml:space="preserve"> 2013, který bylo možné poprvé využít k ročnímu srovnání</w:t>
      </w:r>
      <w:r>
        <w:t xml:space="preserve">, byl rok 2014 jakýmsi přelomem. </w:t>
      </w:r>
      <w:r w:rsidR="00843D4E" w:rsidRPr="00E84148">
        <w:rPr>
          <w:b/>
        </w:rPr>
        <w:t>Celkový počet 6 590 hlášení</w:t>
      </w:r>
      <w:r w:rsidR="00843D4E">
        <w:t xml:space="preserve"> překonal všechny odhady a očekávání. </w:t>
      </w:r>
    </w:p>
    <w:p w:rsidR="00843D4E" w:rsidRDefault="00843D4E" w:rsidP="00E84148">
      <w:pPr>
        <w:pStyle w:val="Bezmezer"/>
        <w:jc w:val="both"/>
      </w:pPr>
      <w:r>
        <w:t>Ačkoliv tato služba nebyla plánována k přímému oznamování skutků, ale spíše k hlášení různého závadového obsahu v prostředí internetu, její snadná dostupnost a přehledné rozhraní přispívají k tomu, že o</w:t>
      </w:r>
      <w:r>
        <w:t xml:space="preserve">bčané již mají tuto službu v rozšířené patrnosti a využívají ji k oznámením, která v mnoha případech nesouvisí s problematikou </w:t>
      </w:r>
      <w:proofErr w:type="spellStart"/>
      <w:r>
        <w:t>kyberkriminality</w:t>
      </w:r>
      <w:proofErr w:type="spellEnd"/>
      <w:r>
        <w:t>.</w:t>
      </w:r>
      <w:r>
        <w:t xml:space="preserve"> Problematickou oblastí v tomto směru zůstává relevantnost takových oznámení. Jak již byl</w:t>
      </w:r>
      <w:r w:rsidR="00E84148">
        <w:t>o</w:t>
      </w:r>
      <w:r>
        <w:t xml:space="preserve"> </w:t>
      </w:r>
      <w:r w:rsidR="00E84148">
        <w:t>zmíněno</w:t>
      </w:r>
      <w:r>
        <w:t>, podatelé ve velké většině nevlastní certifikovaný elektronický podpis, a proto není vždy možné hodnověrně ověřit jejich totožnost</w:t>
      </w:r>
      <w:r w:rsidR="002D278D">
        <w:t>, a to</w:t>
      </w:r>
      <w:bookmarkStart w:id="8" w:name="_GoBack"/>
      <w:bookmarkEnd w:id="8"/>
      <w:r w:rsidR="00E84148">
        <w:t xml:space="preserve"> ani prostřednictvím následné e-mailové komunikace</w:t>
      </w:r>
      <w:r>
        <w:t>. Podání tak jsou postupována dalším útvarům s</w:t>
      </w:r>
      <w:r w:rsidR="00E84148">
        <w:t> </w:t>
      </w:r>
      <w:r>
        <w:t>určitým</w:t>
      </w:r>
      <w:r w:rsidR="00E84148">
        <w:t xml:space="preserve"> neúplným</w:t>
      </w:r>
      <w:r>
        <w:t xml:space="preserve"> kontextem, který však při následném šetření a podání vysvětlení může</w:t>
      </w:r>
      <w:r w:rsidR="00E84148">
        <w:t xml:space="preserve"> přinést úplně jiný výsledek. </w:t>
      </w:r>
    </w:p>
    <w:p w:rsidR="00682235" w:rsidRPr="004E4CF9" w:rsidRDefault="00E84148" w:rsidP="00E84148">
      <w:pPr>
        <w:pStyle w:val="Bezmezer"/>
        <w:spacing w:after="240"/>
        <w:jc w:val="both"/>
        <w:rPr>
          <w:sz w:val="28"/>
          <w:szCs w:val="28"/>
        </w:rPr>
      </w:pPr>
      <w:r w:rsidRPr="00E84148">
        <w:rPr>
          <w:b/>
        </w:rPr>
        <w:t xml:space="preserve">Od poloviny roku 2012 do konce roku 2014 bylo zaznamenáno celkově 12 029 hlášení </w:t>
      </w:r>
      <w:proofErr w:type="spellStart"/>
      <w:r w:rsidRPr="00E84148">
        <w:rPr>
          <w:b/>
        </w:rPr>
        <w:t>HotLine</w:t>
      </w:r>
      <w:proofErr w:type="spellEnd"/>
      <w:r>
        <w:t>, což představuje velký potenciál při získávání poznatků ze strany občanů. Problematickou však zůstává oblast personálního obsazení, v současné době 5 policisty a 1 administrativní pracovnicí, které do značné míry tuto službu limituje.</w:t>
      </w:r>
    </w:p>
    <w:sectPr w:rsidR="00682235" w:rsidRPr="004E4CF9" w:rsidSect="00B67E38">
      <w:footerReference w:type="default" r:id="rId17"/>
      <w:footerReference w:type="first" r:id="rId18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6A0" w:rsidRDefault="00C076A0" w:rsidP="001D364E">
      <w:pPr>
        <w:spacing w:after="0" w:line="240" w:lineRule="auto"/>
      </w:pPr>
      <w:r>
        <w:separator/>
      </w:r>
    </w:p>
  </w:endnote>
  <w:endnote w:type="continuationSeparator" w:id="0">
    <w:p w:rsidR="00C076A0" w:rsidRDefault="00C076A0" w:rsidP="001D3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148" w:rsidRDefault="00E84148">
    <w:pPr>
      <w:pStyle w:val="Zpat"/>
      <w:jc w:val="center"/>
    </w:pPr>
  </w:p>
  <w:p w:rsidR="000E6F69" w:rsidRDefault="000E6F6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127190"/>
      <w:docPartObj>
        <w:docPartGallery w:val="Page Numbers (Bottom of Page)"/>
        <w:docPartUnique/>
      </w:docPartObj>
    </w:sdtPr>
    <w:sdtContent>
      <w:p w:rsidR="000B6CFA" w:rsidRDefault="000B6CF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78D">
          <w:rPr>
            <w:noProof/>
          </w:rPr>
          <w:t>10</w:t>
        </w:r>
        <w:r>
          <w:fldChar w:fldCharType="end"/>
        </w:r>
      </w:p>
    </w:sdtContent>
  </w:sdt>
  <w:p w:rsidR="000B6CFA" w:rsidRDefault="000B6CF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777245"/>
      <w:docPartObj>
        <w:docPartGallery w:val="Page Numbers (Bottom of Page)"/>
        <w:docPartUnique/>
      </w:docPartObj>
    </w:sdtPr>
    <w:sdtEndPr/>
    <w:sdtContent>
      <w:p w:rsidR="00B23A2A" w:rsidRDefault="00B23A2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BD9">
          <w:rPr>
            <w:noProof/>
          </w:rPr>
          <w:t>3</w:t>
        </w:r>
        <w:r>
          <w:fldChar w:fldCharType="end"/>
        </w:r>
      </w:p>
    </w:sdtContent>
  </w:sdt>
  <w:p w:rsidR="00B23A2A" w:rsidRDefault="00B23A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6A0" w:rsidRDefault="00C076A0" w:rsidP="001D364E">
      <w:pPr>
        <w:spacing w:after="0" w:line="240" w:lineRule="auto"/>
      </w:pPr>
      <w:r>
        <w:separator/>
      </w:r>
    </w:p>
  </w:footnote>
  <w:footnote w:type="continuationSeparator" w:id="0">
    <w:p w:rsidR="00C076A0" w:rsidRDefault="00C076A0" w:rsidP="001D3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252B"/>
    <w:multiLevelType w:val="hybridMultilevel"/>
    <w:tmpl w:val="496AC48A"/>
    <w:lvl w:ilvl="0" w:tplc="182236E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92A108E"/>
    <w:multiLevelType w:val="hybridMultilevel"/>
    <w:tmpl w:val="7B8C3A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E0"/>
    <w:rsid w:val="00000CDB"/>
    <w:rsid w:val="00045B21"/>
    <w:rsid w:val="000B6CFA"/>
    <w:rsid w:val="000C3EB9"/>
    <w:rsid w:val="000E6F69"/>
    <w:rsid w:val="00161D33"/>
    <w:rsid w:val="00193647"/>
    <w:rsid w:val="001B52C0"/>
    <w:rsid w:val="001D364E"/>
    <w:rsid w:val="00211F98"/>
    <w:rsid w:val="00233E38"/>
    <w:rsid w:val="002D278D"/>
    <w:rsid w:val="00305784"/>
    <w:rsid w:val="00340B98"/>
    <w:rsid w:val="003867AB"/>
    <w:rsid w:val="003B4B71"/>
    <w:rsid w:val="00404B43"/>
    <w:rsid w:val="00460852"/>
    <w:rsid w:val="00490025"/>
    <w:rsid w:val="004925CA"/>
    <w:rsid w:val="004C099F"/>
    <w:rsid w:val="004C2E5C"/>
    <w:rsid w:val="004E4CF9"/>
    <w:rsid w:val="0050616E"/>
    <w:rsid w:val="00563185"/>
    <w:rsid w:val="005722F6"/>
    <w:rsid w:val="0059328F"/>
    <w:rsid w:val="00624D1E"/>
    <w:rsid w:val="00682235"/>
    <w:rsid w:val="0073416B"/>
    <w:rsid w:val="00734528"/>
    <w:rsid w:val="00743A64"/>
    <w:rsid w:val="007B7A1F"/>
    <w:rsid w:val="00843D4E"/>
    <w:rsid w:val="008533E0"/>
    <w:rsid w:val="00877C2E"/>
    <w:rsid w:val="00886FE4"/>
    <w:rsid w:val="008B3AB1"/>
    <w:rsid w:val="00917C44"/>
    <w:rsid w:val="0092758F"/>
    <w:rsid w:val="009B6A50"/>
    <w:rsid w:val="00A70925"/>
    <w:rsid w:val="00AA12E0"/>
    <w:rsid w:val="00AA1C7B"/>
    <w:rsid w:val="00AD4D1A"/>
    <w:rsid w:val="00B06F4A"/>
    <w:rsid w:val="00B23A2A"/>
    <w:rsid w:val="00B23FAE"/>
    <w:rsid w:val="00B252DE"/>
    <w:rsid w:val="00B57A88"/>
    <w:rsid w:val="00B67E38"/>
    <w:rsid w:val="00BE20D4"/>
    <w:rsid w:val="00BF6C0C"/>
    <w:rsid w:val="00C076A0"/>
    <w:rsid w:val="00C10F24"/>
    <w:rsid w:val="00C27B31"/>
    <w:rsid w:val="00C6582E"/>
    <w:rsid w:val="00C75DB1"/>
    <w:rsid w:val="00C83217"/>
    <w:rsid w:val="00CE5157"/>
    <w:rsid w:val="00CF0E28"/>
    <w:rsid w:val="00CF1375"/>
    <w:rsid w:val="00D03E98"/>
    <w:rsid w:val="00D11AE9"/>
    <w:rsid w:val="00D504A9"/>
    <w:rsid w:val="00D75BE2"/>
    <w:rsid w:val="00E10A96"/>
    <w:rsid w:val="00E13196"/>
    <w:rsid w:val="00E14FF7"/>
    <w:rsid w:val="00E41FB5"/>
    <w:rsid w:val="00E61BD9"/>
    <w:rsid w:val="00E84148"/>
    <w:rsid w:val="00EA4BFD"/>
    <w:rsid w:val="00ED1A5E"/>
    <w:rsid w:val="00FA1599"/>
    <w:rsid w:val="00FB4AE1"/>
    <w:rsid w:val="00FB51FD"/>
    <w:rsid w:val="00FE74FA"/>
    <w:rsid w:val="00FF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533E0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22F6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533E0"/>
    <w:pPr>
      <w:spacing w:after="0" w:line="360" w:lineRule="auto"/>
      <w:ind w:firstLine="567"/>
    </w:pPr>
    <w:rPr>
      <w:rFonts w:ascii="Arial" w:hAnsi="Arial"/>
    </w:rPr>
  </w:style>
  <w:style w:type="character" w:customStyle="1" w:styleId="Nadpis1Char">
    <w:name w:val="Nadpis 1 Char"/>
    <w:basedOn w:val="Standardnpsmoodstavce"/>
    <w:link w:val="Nadpis1"/>
    <w:uiPriority w:val="9"/>
    <w:rsid w:val="008533E0"/>
    <w:rPr>
      <w:rFonts w:ascii="Arial" w:eastAsiaTheme="majorEastAsia" w:hAnsi="Arial" w:cstheme="majorBidi"/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1D3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D3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364E"/>
  </w:style>
  <w:style w:type="paragraph" w:styleId="Zpat">
    <w:name w:val="footer"/>
    <w:basedOn w:val="Normln"/>
    <w:link w:val="ZpatChar"/>
    <w:uiPriority w:val="99"/>
    <w:unhideWhenUsed/>
    <w:rsid w:val="001D3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364E"/>
  </w:style>
  <w:style w:type="character" w:customStyle="1" w:styleId="Nadpis2Char">
    <w:name w:val="Nadpis 2 Char"/>
    <w:basedOn w:val="Standardnpsmoodstavce"/>
    <w:link w:val="Nadpis2"/>
    <w:uiPriority w:val="9"/>
    <w:rsid w:val="005722F6"/>
    <w:rPr>
      <w:rFonts w:ascii="Arial" w:eastAsiaTheme="majorEastAsia" w:hAnsi="Arial" w:cstheme="majorBidi"/>
      <w:b/>
      <w:bCs/>
      <w:sz w:val="26"/>
      <w:szCs w:val="2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23A2A"/>
    <w:pPr>
      <w:spacing w:after="0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23A2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23A2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B23A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533E0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22F6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533E0"/>
    <w:pPr>
      <w:spacing w:after="0" w:line="360" w:lineRule="auto"/>
      <w:ind w:firstLine="567"/>
    </w:pPr>
    <w:rPr>
      <w:rFonts w:ascii="Arial" w:hAnsi="Arial"/>
    </w:rPr>
  </w:style>
  <w:style w:type="character" w:customStyle="1" w:styleId="Nadpis1Char">
    <w:name w:val="Nadpis 1 Char"/>
    <w:basedOn w:val="Standardnpsmoodstavce"/>
    <w:link w:val="Nadpis1"/>
    <w:uiPriority w:val="9"/>
    <w:rsid w:val="008533E0"/>
    <w:rPr>
      <w:rFonts w:ascii="Arial" w:eastAsiaTheme="majorEastAsia" w:hAnsi="Arial" w:cstheme="majorBidi"/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1D3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D3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364E"/>
  </w:style>
  <w:style w:type="paragraph" w:styleId="Zpat">
    <w:name w:val="footer"/>
    <w:basedOn w:val="Normln"/>
    <w:link w:val="ZpatChar"/>
    <w:uiPriority w:val="99"/>
    <w:unhideWhenUsed/>
    <w:rsid w:val="001D3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364E"/>
  </w:style>
  <w:style w:type="character" w:customStyle="1" w:styleId="Nadpis2Char">
    <w:name w:val="Nadpis 2 Char"/>
    <w:basedOn w:val="Standardnpsmoodstavce"/>
    <w:link w:val="Nadpis2"/>
    <w:uiPriority w:val="9"/>
    <w:rsid w:val="005722F6"/>
    <w:rPr>
      <w:rFonts w:ascii="Arial" w:eastAsiaTheme="majorEastAsia" w:hAnsi="Arial" w:cstheme="majorBidi"/>
      <w:b/>
      <w:bCs/>
      <w:sz w:val="26"/>
      <w:szCs w:val="2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23A2A"/>
    <w:pPr>
      <w:spacing w:after="0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23A2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23A2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B23A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Statistika\Pracovn&#237;%20se&#353;it%202014.xl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Statistika\Pracovn&#237;%20se&#353;it%202014.xls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Statistika\Pracovn&#237;%20se&#353;it%202014.xls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189726284213926E-4"/>
          <c:y val="0.23190531278376936"/>
          <c:w val="0.83509089935186676"/>
          <c:h val="0.65327611299772359"/>
        </c:manualLayout>
      </c:layout>
      <c:pie3DChart>
        <c:varyColors val="1"/>
        <c:ser>
          <c:idx val="0"/>
          <c:order val="0"/>
          <c:spPr>
            <a:effectLst>
              <a:outerShdw blurRad="50800" dist="38100" dir="8100000" algn="tr" rotWithShape="0">
                <a:prstClr val="black">
                  <a:alpha val="40000"/>
                </a:prstClr>
              </a:outerShdw>
            </a:effectLst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explosion val="18"/>
          <c:dPt>
            <c:idx val="0"/>
            <c:bubble3D val="0"/>
            <c:spPr>
              <a:solidFill>
                <a:srgbClr val="002060"/>
              </a:solidFill>
              <a:effectLst>
                <a:outerShdw blurRad="50800" dist="38100" dir="8100000" algn="tr" rotWithShape="0">
                  <a:prstClr val="black">
                    <a:alpha val="4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C00000"/>
              </a:solidFill>
              <a:effectLst>
                <a:outerShdw blurRad="50800" dist="38100" dir="8100000" algn="tr" rotWithShape="0">
                  <a:prstClr val="black">
                    <a:alpha val="4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00B050"/>
              </a:solidFill>
              <a:effectLst>
                <a:outerShdw blurRad="50800" dist="38100" dir="8100000" algn="tr" rotWithShape="0">
                  <a:prstClr val="black">
                    <a:alpha val="4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</c:dPt>
          <c:dPt>
            <c:idx val="3"/>
            <c:bubble3D val="0"/>
            <c:spPr>
              <a:solidFill>
                <a:srgbClr val="7030A0"/>
              </a:solidFill>
              <a:effectLst>
                <a:outerShdw blurRad="50800" dist="38100" dir="8100000" algn="tr" rotWithShape="0">
                  <a:prstClr val="black">
                    <a:alpha val="4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6.5074722802506832E-3"/>
                  <c:y val="-7.641203617320346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3.3536981238867343E-2"/>
                  <c:y val="5.0414598649102513E-2"/>
                </c:manualLayout>
              </c:layout>
              <c:spPr>
                <a:scene3d>
                  <a:camera prst="orthographicFront"/>
                  <a:lightRig rig="threePt" dir="t"/>
                </a:scene3d>
                <a:sp3d prstMaterial="dkEdge"/>
              </c:spPr>
              <c:txPr>
                <a:bodyPr/>
                <a:lstStyle/>
                <a:p>
                  <a:pPr>
                    <a:defRPr b="1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cs-CZ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3.3434392129555235E-2"/>
                  <c:y val="-1.889962806781853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4.8620493866838074E-2"/>
                  <c:y val="-1.8286126556455326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'Celkový výstup'!$D$6:$D$9</c:f>
              <c:strCache>
                <c:ptCount val="4"/>
                <c:pt idx="0">
                  <c:v>JNP</c:v>
                </c:pt>
                <c:pt idx="1">
                  <c:v>PNP</c:v>
                </c:pt>
                <c:pt idx="2">
                  <c:v>ZTČ</c:v>
                </c:pt>
                <c:pt idx="3">
                  <c:v>NO</c:v>
                </c:pt>
              </c:strCache>
            </c:strRef>
          </c:cat>
          <c:val>
            <c:numRef>
              <c:f>'Celkový výstup'!$Q$6:$Q$9</c:f>
              <c:numCache>
                <c:formatCode>General</c:formatCode>
                <c:ptCount val="4"/>
                <c:pt idx="0">
                  <c:v>2222</c:v>
                </c:pt>
                <c:pt idx="1">
                  <c:v>3963</c:v>
                </c:pt>
                <c:pt idx="2">
                  <c:v>278</c:v>
                </c:pt>
                <c:pt idx="3">
                  <c:v>127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86254946703090685"/>
          <c:y val="0.37779353410207611"/>
          <c:w val="9.5192688651762086E-2"/>
          <c:h val="0.2285360301526290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C00000"/>
            </a:solidFill>
            <a:effectLst>
              <a:outerShdw blurRad="50800" dist="38100" dir="8100000" algn="tr" rotWithShape="0">
                <a:prstClr val="black">
                  <a:alpha val="40000"/>
                </a:prstClr>
              </a:outerShdw>
            </a:effectLst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txPr>
              <a:bodyPr/>
              <a:lstStyle/>
              <a:p>
                <a:pPr>
                  <a:defRPr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'Měsíční vývoj'!$C$3:$C$14</c:f>
              <c:strCache>
                <c:ptCount val="12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</c:v>
                </c:pt>
                <c:pt idx="10">
                  <c:v>listopad</c:v>
                </c:pt>
                <c:pt idx="11">
                  <c:v>prosinec</c:v>
                </c:pt>
              </c:strCache>
            </c:strRef>
          </c:cat>
          <c:val>
            <c:numRef>
              <c:f>'Měsíční vývoj'!$E$3:$E$14</c:f>
              <c:numCache>
                <c:formatCode>General</c:formatCode>
                <c:ptCount val="12"/>
                <c:pt idx="0">
                  <c:v>526</c:v>
                </c:pt>
                <c:pt idx="1">
                  <c:v>464</c:v>
                </c:pt>
                <c:pt idx="2">
                  <c:v>426</c:v>
                </c:pt>
                <c:pt idx="3">
                  <c:v>521</c:v>
                </c:pt>
                <c:pt idx="4">
                  <c:v>527</c:v>
                </c:pt>
                <c:pt idx="5">
                  <c:v>1062</c:v>
                </c:pt>
                <c:pt idx="6">
                  <c:v>1295</c:v>
                </c:pt>
                <c:pt idx="7">
                  <c:v>535</c:v>
                </c:pt>
                <c:pt idx="8">
                  <c:v>323</c:v>
                </c:pt>
                <c:pt idx="9">
                  <c:v>288</c:v>
                </c:pt>
                <c:pt idx="10">
                  <c:v>313</c:v>
                </c:pt>
                <c:pt idx="11">
                  <c:v>310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62924672"/>
        <c:axId val="62926208"/>
        <c:axId val="0"/>
      </c:bar3DChart>
      <c:catAx>
        <c:axId val="6292467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62926208"/>
        <c:crosses val="autoZero"/>
        <c:auto val="1"/>
        <c:lblAlgn val="ctr"/>
        <c:lblOffset val="100"/>
        <c:noMultiLvlLbl val="0"/>
      </c:catAx>
      <c:valAx>
        <c:axId val="62926208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62924672"/>
        <c:crosses val="autoZero"/>
        <c:crossBetween val="between"/>
      </c:valAx>
    </c:plotArea>
    <c:plotVisOnly val="1"/>
    <c:dispBlanksAs val="gap"/>
    <c:showDLblsOverMax val="0"/>
  </c:chart>
  <c:spPr>
    <a:ln>
      <a:noFill/>
    </a:ln>
    <a:effectLst>
      <a:outerShdw blurRad="50800" dist="38100" dir="8100000" algn="tr" rotWithShape="0">
        <a:prstClr val="black">
          <a:alpha val="40000"/>
        </a:prstClr>
      </a:outerShdw>
    </a:effectLst>
    <a:scene3d>
      <a:camera prst="orthographicFront"/>
      <a:lightRig rig="threePt" dir="t"/>
    </a:scene3d>
    <a:sp3d>
      <a:bevelT/>
      <a:bevelB/>
    </a:sp3d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002060"/>
            </a:solidFill>
            <a:effectLst>
              <a:outerShdw blurRad="50800" dist="38100" dir="8100000" algn="tr" rotWithShape="0">
                <a:prstClr val="black">
                  <a:alpha val="40000"/>
                </a:prstClr>
              </a:outerShdw>
            </a:effectLst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txPr>
              <a:bodyPr/>
              <a:lstStyle/>
              <a:p>
                <a:pPr>
                  <a:defRPr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'Měsíční vývoj'!$C$3:$C$14</c:f>
              <c:strCache>
                <c:ptCount val="12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</c:v>
                </c:pt>
                <c:pt idx="10">
                  <c:v>listopad</c:v>
                </c:pt>
                <c:pt idx="11">
                  <c:v>prosinec</c:v>
                </c:pt>
              </c:strCache>
            </c:strRef>
          </c:cat>
          <c:val>
            <c:numRef>
              <c:f>'Měsíční vývoj'!$F$3:$F$14</c:f>
              <c:numCache>
                <c:formatCode>0.0</c:formatCode>
                <c:ptCount val="12"/>
                <c:pt idx="0">
                  <c:v>16.967741935483872</c:v>
                </c:pt>
                <c:pt idx="1">
                  <c:v>16.571428571428573</c:v>
                </c:pt>
                <c:pt idx="2">
                  <c:v>13.741935483870968</c:v>
                </c:pt>
                <c:pt idx="3">
                  <c:v>17.366666666666667</c:v>
                </c:pt>
                <c:pt idx="4">
                  <c:v>17</c:v>
                </c:pt>
                <c:pt idx="5">
                  <c:v>35.4</c:v>
                </c:pt>
                <c:pt idx="6">
                  <c:v>41.774193548387096</c:v>
                </c:pt>
                <c:pt idx="7">
                  <c:v>17.258064516129032</c:v>
                </c:pt>
                <c:pt idx="8">
                  <c:v>10.766666666666667</c:v>
                </c:pt>
                <c:pt idx="9">
                  <c:v>9.2903225806451619</c:v>
                </c:pt>
                <c:pt idx="10">
                  <c:v>10.433333333333334</c:v>
                </c:pt>
                <c:pt idx="11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8574592"/>
        <c:axId val="27694208"/>
        <c:axId val="0"/>
      </c:bar3DChart>
      <c:catAx>
        <c:axId val="6857459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27694208"/>
        <c:crosses val="autoZero"/>
        <c:auto val="1"/>
        <c:lblAlgn val="ctr"/>
        <c:lblOffset val="100"/>
        <c:noMultiLvlLbl val="0"/>
      </c:catAx>
      <c:valAx>
        <c:axId val="27694208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68574592"/>
        <c:crosses val="autoZero"/>
        <c:crossBetween val="between"/>
      </c:valAx>
    </c:plotArea>
    <c:plotVisOnly val="1"/>
    <c:dispBlanksAs val="gap"/>
    <c:showDLblsOverMax val="0"/>
  </c:chart>
  <c:spPr>
    <a:ln>
      <a:noFill/>
    </a:ln>
    <a:effectLst>
      <a:outerShdw blurRad="50800" dist="38100" dir="8100000" algn="tr" rotWithShape="0">
        <a:prstClr val="black">
          <a:alpha val="40000"/>
        </a:prstClr>
      </a:outerShdw>
    </a:effectLst>
    <a:scene3d>
      <a:camera prst="orthographicFront"/>
      <a:lightRig rig="threePt" dir="t"/>
    </a:scene3d>
    <a:sp3d>
      <a:bevelT/>
      <a:bevelB/>
    </a:sp3d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doughnutChart>
        <c:varyColors val="1"/>
        <c:ser>
          <c:idx val="0"/>
          <c:order val="0"/>
          <c:explosion val="8"/>
          <c:dPt>
            <c:idx val="0"/>
            <c:bubble3D val="0"/>
            <c:spPr>
              <a:solidFill>
                <a:srgbClr val="002060"/>
              </a:solidFill>
              <a:effectLst>
                <a:innerShdw blurRad="63500" dist="50800" dir="189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 w="165100" prst="coolSlant"/>
                <a:bevelB w="165100" prst="coolSlant"/>
              </a:sp3d>
            </c:spPr>
          </c:dPt>
          <c:dPt>
            <c:idx val="1"/>
            <c:bubble3D val="0"/>
            <c:spPr>
              <a:solidFill>
                <a:srgbClr val="FF0000"/>
              </a:solidFill>
              <a:effectLst>
                <a:innerShdw blurRad="63500" dist="50800" dir="189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 w="165100" prst="coolSlant"/>
                <a:bevelB w="165100" prst="coolSlant"/>
              </a:sp3d>
            </c:spPr>
          </c:dPt>
          <c:dLbls>
            <c:dLbl>
              <c:idx val="0"/>
              <c:layout>
                <c:manualLayout>
                  <c:x val="0.14444444444444443"/>
                  <c:y val="-0.2361111111111111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7.2222222222222215E-2"/>
                  <c:y val="-0.1944444444444444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List1!$D$7:$D$8</c:f>
              <c:strCache>
                <c:ptCount val="2"/>
                <c:pt idx="0">
                  <c:v>uloženo</c:v>
                </c:pt>
                <c:pt idx="1">
                  <c:v>postoupeno</c:v>
                </c:pt>
              </c:strCache>
            </c:strRef>
          </c:cat>
          <c:val>
            <c:numRef>
              <c:f>List1!$E$7:$E$8</c:f>
              <c:numCache>
                <c:formatCode>General</c:formatCode>
                <c:ptCount val="2"/>
                <c:pt idx="0">
                  <c:v>3928</c:v>
                </c:pt>
                <c:pt idx="1">
                  <c:v>2482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0CDF1-CC86-42D3-A7B2-1D27BEFDF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10</Pages>
  <Words>1899</Words>
  <Characters>11205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Lord</dc:creator>
  <cp:lastModifiedBy>BNINET</cp:lastModifiedBy>
  <cp:revision>25</cp:revision>
  <cp:lastPrinted>2015-03-06T10:16:00Z</cp:lastPrinted>
  <dcterms:created xsi:type="dcterms:W3CDTF">2015-02-28T14:22:00Z</dcterms:created>
  <dcterms:modified xsi:type="dcterms:W3CDTF">2015-03-06T10:33:00Z</dcterms:modified>
</cp:coreProperties>
</file>