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3E0" w:rsidRDefault="00F73169" w:rsidP="001D364E">
      <w:pPr>
        <w:pStyle w:val="Bezmezer"/>
        <w:jc w:val="center"/>
        <w:rPr>
          <w:rFonts w:cs="Arial"/>
        </w:rPr>
      </w:pPr>
      <w:r>
        <w:rPr>
          <w:rFonts w:cs="Arial"/>
        </w:rPr>
        <w:t>ÚTVAR PRO ODHALOVÁNÍ ORGANIZOVANÉHO ZLOČINU</w:t>
      </w:r>
    </w:p>
    <w:p w:rsidR="008533E0" w:rsidRDefault="00F73169" w:rsidP="001D364E">
      <w:pPr>
        <w:pStyle w:val="Bezmezer"/>
        <w:jc w:val="center"/>
        <w:rPr>
          <w:rFonts w:cs="Arial"/>
        </w:rPr>
      </w:pPr>
      <w:r>
        <w:rPr>
          <w:rFonts w:cs="Arial"/>
        </w:rPr>
        <w:t>Služby kriminální policie a vyšetřování</w:t>
      </w:r>
    </w:p>
    <w:p w:rsidR="008533E0" w:rsidRDefault="008533E0" w:rsidP="001D364E">
      <w:pPr>
        <w:pStyle w:val="Bezmezer"/>
        <w:jc w:val="center"/>
        <w:rPr>
          <w:rFonts w:cs="Arial"/>
        </w:rPr>
      </w:pPr>
      <w:r>
        <w:rPr>
          <w:rFonts w:cs="Arial"/>
        </w:rPr>
        <w:t>odbor informační kriminality</w:t>
      </w: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4F594C" w:rsidP="008533E0">
      <w:pPr>
        <w:pStyle w:val="Bezmezer"/>
        <w:spacing w:line="276" w:lineRule="auto"/>
        <w:jc w:val="center"/>
        <w:rPr>
          <w:rFonts w:cs="Arial"/>
        </w:rPr>
      </w:pPr>
      <w:r>
        <w:rPr>
          <w:rFonts w:cs="Arial"/>
          <w:noProof/>
          <w:lang w:eastAsia="cs-CZ"/>
        </w:rPr>
        <w:drawing>
          <wp:inline distT="0" distB="0" distL="0" distR="0">
            <wp:extent cx="1321456" cy="1665168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ooz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2806" cy="1666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Pr="008533E0" w:rsidRDefault="008533E0" w:rsidP="008533E0">
      <w:pPr>
        <w:pStyle w:val="Bezmezer"/>
        <w:spacing w:line="276" w:lineRule="auto"/>
        <w:jc w:val="center"/>
        <w:rPr>
          <w:rFonts w:cs="Arial"/>
          <w:b/>
          <w:sz w:val="40"/>
          <w:szCs w:val="40"/>
        </w:rPr>
      </w:pPr>
      <w:r w:rsidRPr="008533E0">
        <w:rPr>
          <w:rFonts w:cs="Arial"/>
          <w:b/>
          <w:sz w:val="40"/>
          <w:szCs w:val="40"/>
        </w:rPr>
        <w:t>POLICEJNÍ INTERNETOVÁ HOTLINE</w:t>
      </w: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Statistický výstup za</w:t>
      </w:r>
      <w:r w:rsidR="00F73169">
        <w:rPr>
          <w:rFonts w:cs="Arial"/>
          <w:sz w:val="28"/>
          <w:szCs w:val="28"/>
        </w:rPr>
        <w:t xml:space="preserve"> rok 2015</w:t>
      </w: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/>
        </w:rPr>
        <w:id w:val="-2140329104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</w:rPr>
      </w:sdtEndPr>
      <w:sdtContent>
        <w:p w:rsidR="00B23A2A" w:rsidRPr="00B23A2A" w:rsidRDefault="00B23A2A" w:rsidP="00B23A2A">
          <w:pPr>
            <w:pStyle w:val="Nadpisobsahu"/>
            <w:spacing w:line="360" w:lineRule="auto"/>
            <w:rPr>
              <w:rFonts w:ascii="Arial" w:hAnsi="Arial" w:cs="Arial"/>
              <w:color w:val="auto"/>
            </w:rPr>
          </w:pPr>
          <w:r w:rsidRPr="00B23A2A">
            <w:rPr>
              <w:rFonts w:ascii="Arial" w:hAnsi="Arial" w:cs="Arial"/>
              <w:color w:val="auto"/>
            </w:rPr>
            <w:t>Obsah</w:t>
          </w:r>
        </w:p>
        <w:p w:rsidR="008006CF" w:rsidRDefault="00B23A2A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0746524" w:history="1">
            <w:r w:rsidR="008006CF" w:rsidRPr="003A6E7A">
              <w:rPr>
                <w:rStyle w:val="Hypertextovodkaz"/>
                <w:noProof/>
              </w:rPr>
              <w:t>1 Kvantitativní analýza</w:t>
            </w:r>
            <w:r w:rsidR="008006CF">
              <w:rPr>
                <w:noProof/>
                <w:webHidden/>
              </w:rPr>
              <w:tab/>
            </w:r>
            <w:r w:rsidR="008006CF">
              <w:rPr>
                <w:noProof/>
                <w:webHidden/>
              </w:rPr>
              <w:fldChar w:fldCharType="begin"/>
            </w:r>
            <w:r w:rsidR="008006CF">
              <w:rPr>
                <w:noProof/>
                <w:webHidden/>
              </w:rPr>
              <w:instrText xml:space="preserve"> PAGEREF _Toc440746524 \h </w:instrText>
            </w:r>
            <w:r w:rsidR="008006CF">
              <w:rPr>
                <w:noProof/>
                <w:webHidden/>
              </w:rPr>
            </w:r>
            <w:r w:rsidR="008006CF">
              <w:rPr>
                <w:noProof/>
                <w:webHidden/>
              </w:rPr>
              <w:fldChar w:fldCharType="separate"/>
            </w:r>
            <w:r w:rsidR="008006CF">
              <w:rPr>
                <w:noProof/>
                <w:webHidden/>
              </w:rPr>
              <w:t>3</w:t>
            </w:r>
            <w:r w:rsidR="008006CF">
              <w:rPr>
                <w:noProof/>
                <w:webHidden/>
              </w:rPr>
              <w:fldChar w:fldCharType="end"/>
            </w:r>
          </w:hyperlink>
        </w:p>
        <w:p w:rsidR="008006CF" w:rsidRDefault="008006CF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0746525" w:history="1">
            <w:r w:rsidRPr="003A6E7A">
              <w:rPr>
                <w:rStyle w:val="Hypertextovodkaz"/>
                <w:noProof/>
              </w:rPr>
              <w:t>2 Kvalitativní analýza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_Toc440746525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06CF" w:rsidRDefault="008006CF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0746526" w:history="1">
            <w:r w:rsidRPr="003A6E7A">
              <w:rPr>
                <w:rStyle w:val="Hypertextovodkaz"/>
                <w:noProof/>
              </w:rPr>
              <w:t>2.1 Rozdělení hlášení do oblastí protiprávního jednání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_Toc440746526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06CF" w:rsidRDefault="008006CF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0746527" w:history="1">
            <w:r w:rsidRPr="003A6E7A">
              <w:rPr>
                <w:rStyle w:val="Hypertextovodkaz"/>
                <w:noProof/>
              </w:rPr>
              <w:t>2.2 Nejčastější protiprávní jednání dle jejich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_Toc440746527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06CF" w:rsidRDefault="008006CF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0746528" w:history="1">
            <w:r w:rsidRPr="003A6E7A">
              <w:rPr>
                <w:rStyle w:val="Hypertextovodkaz"/>
                <w:noProof/>
              </w:rPr>
              <w:t>2.3 Fenomény 2015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_Toc440746528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06CF" w:rsidRDefault="008006CF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0746529" w:history="1">
            <w:r w:rsidRPr="003A6E7A">
              <w:rPr>
                <w:rStyle w:val="Hypertextovodkaz"/>
                <w:noProof/>
              </w:rPr>
              <w:t>2.4 Vyřízení oznámení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_Toc440746529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06CF" w:rsidRDefault="008006CF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0746530" w:history="1">
            <w:r w:rsidRPr="003A6E7A">
              <w:rPr>
                <w:rStyle w:val="Hypertextovodkaz"/>
                <w:noProof/>
              </w:rPr>
              <w:t>3 Závěrečné vyhodnocení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_Toc440746530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3A2A" w:rsidRDefault="00B23A2A" w:rsidP="00B23A2A">
          <w:pPr>
            <w:spacing w:line="360" w:lineRule="auto"/>
          </w:pPr>
          <w:r>
            <w:rPr>
              <w:b/>
              <w:bCs/>
            </w:rPr>
            <w:fldChar w:fldCharType="end"/>
          </w:r>
        </w:p>
      </w:sdtContent>
    </w:sdt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Default="00B23A2A">
      <w:pPr>
        <w:sectPr w:rsidR="00B23A2A" w:rsidSect="005722F6">
          <w:foot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:rsidR="008533E0" w:rsidRDefault="00302A9F" w:rsidP="00E13196">
      <w:pPr>
        <w:pStyle w:val="Nadpis1"/>
        <w:spacing w:before="0"/>
      </w:pPr>
      <w:bookmarkStart w:id="0" w:name="_Toc440746524"/>
      <w:r>
        <w:lastRenderedPageBreak/>
        <w:t>1</w:t>
      </w:r>
      <w:r w:rsidR="00E13196">
        <w:t xml:space="preserve"> </w:t>
      </w:r>
      <w:r w:rsidR="00CF0E28">
        <w:t>Kvantitativní analýza</w:t>
      </w:r>
      <w:bookmarkEnd w:id="0"/>
      <w:r w:rsidR="00CF0E28">
        <w:t xml:space="preserve"> </w:t>
      </w:r>
    </w:p>
    <w:p w:rsidR="00E13196" w:rsidRDefault="008533E0" w:rsidP="00161D33">
      <w:pPr>
        <w:pStyle w:val="Bezmezer"/>
        <w:spacing w:after="240"/>
        <w:jc w:val="both"/>
      </w:pPr>
      <w:r>
        <w:t>V roce 201</w:t>
      </w:r>
      <w:r w:rsidR="00F73169">
        <w:t>5</w:t>
      </w:r>
      <w:r>
        <w:t xml:space="preserve"> bylo prostřednictvím formuláře </w:t>
      </w:r>
      <w:r w:rsidR="00490025">
        <w:t xml:space="preserve">– pro hlášení závadového obsahu a aktivit v síti Internet, </w:t>
      </w:r>
      <w:r>
        <w:t xml:space="preserve">přijato </w:t>
      </w:r>
      <w:r w:rsidR="00F73169">
        <w:rPr>
          <w:b/>
        </w:rPr>
        <w:t>celkem 3 173</w:t>
      </w:r>
      <w:r w:rsidRPr="00490025">
        <w:rPr>
          <w:b/>
        </w:rPr>
        <w:t xml:space="preserve"> </w:t>
      </w:r>
      <w:r w:rsidR="00490025" w:rsidRPr="00490025">
        <w:rPr>
          <w:b/>
        </w:rPr>
        <w:t>oznámení</w:t>
      </w:r>
      <w:r w:rsidR="00490025">
        <w:t>.</w:t>
      </w:r>
      <w:r w:rsidR="00E13196">
        <w:t xml:space="preserve"> </w:t>
      </w:r>
      <w:r w:rsidR="00F73169">
        <w:t>V porovnání s rokem 2014 se tedy jedná o pokles o 3 417 hlášení (c</w:t>
      </w:r>
      <w:r w:rsidR="008E5B0E">
        <w:t>ca 52 %) zaslaných oznámení. V následujícím grafickém zobrazení je znázorněna struktura předmětných hlášení, pro rok 2015.</w:t>
      </w:r>
    </w:p>
    <w:p w:rsidR="00AA0980" w:rsidRDefault="00AA0980" w:rsidP="00460852">
      <w:pPr>
        <w:pStyle w:val="Bezmezer"/>
        <w:spacing w:after="120"/>
        <w:ind w:firstLine="0"/>
        <w:rPr>
          <w:b/>
          <w:u w:val="single"/>
        </w:rPr>
      </w:pPr>
    </w:p>
    <w:p w:rsidR="00460852" w:rsidRDefault="008E5B0E" w:rsidP="00460852">
      <w:pPr>
        <w:pStyle w:val="Bezmezer"/>
        <w:spacing w:after="120"/>
        <w:ind w:firstLine="0"/>
        <w:rPr>
          <w:b/>
          <w:u w:val="single"/>
        </w:rPr>
      </w:pPr>
      <w:r>
        <w:rPr>
          <w:b/>
          <w:u w:val="single"/>
        </w:rPr>
        <w:t>Rok 2015</w:t>
      </w:r>
    </w:p>
    <w:tbl>
      <w:tblPr>
        <w:tblW w:w="38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AA0980" w:rsidRPr="00AA0980" w:rsidTr="00AA0980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AA0980" w:rsidRPr="00AA0980" w:rsidRDefault="00AA0980" w:rsidP="00AA09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A098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JNP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AA0980" w:rsidRPr="00AA0980" w:rsidRDefault="00AA0980" w:rsidP="00AA09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A098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PNP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AA0980" w:rsidRPr="00AA0980" w:rsidRDefault="00AA0980" w:rsidP="00AA09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A098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ZTČ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AA0980" w:rsidRPr="00AA0980" w:rsidRDefault="00AA0980" w:rsidP="00AA09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A098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NO</w:t>
            </w:r>
          </w:p>
        </w:tc>
      </w:tr>
      <w:tr w:rsidR="00AA0980" w:rsidRPr="00AA0980" w:rsidTr="00AA09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980" w:rsidRPr="00AA0980" w:rsidRDefault="00AA0980" w:rsidP="00AA09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A0980">
              <w:rPr>
                <w:rFonts w:ascii="Calibri" w:eastAsia="Times New Roman" w:hAnsi="Calibri" w:cs="Times New Roman"/>
                <w:color w:val="000000"/>
                <w:lang w:eastAsia="cs-CZ"/>
              </w:rPr>
              <w:t>1830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980" w:rsidRPr="00AA0980" w:rsidRDefault="00AA0980" w:rsidP="00AA09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A0980">
              <w:rPr>
                <w:rFonts w:ascii="Calibri" w:eastAsia="Times New Roman" w:hAnsi="Calibri" w:cs="Times New Roman"/>
                <w:color w:val="000000"/>
                <w:lang w:eastAsia="cs-CZ"/>
              </w:rPr>
              <w:t>1098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980" w:rsidRPr="00AA0980" w:rsidRDefault="00AA0980" w:rsidP="00AA09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A0980">
              <w:rPr>
                <w:rFonts w:ascii="Calibri" w:eastAsia="Times New Roman" w:hAnsi="Calibri" w:cs="Times New Roman"/>
                <w:color w:val="000000"/>
                <w:lang w:eastAsia="cs-CZ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980" w:rsidRPr="00AA0980" w:rsidRDefault="00AA0980" w:rsidP="00AA09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A0980">
              <w:rPr>
                <w:rFonts w:ascii="Calibri" w:eastAsia="Times New Roman" w:hAnsi="Calibri" w:cs="Times New Roman"/>
                <w:color w:val="000000"/>
                <w:lang w:eastAsia="cs-CZ"/>
              </w:rPr>
              <w:t>96</w:t>
            </w:r>
          </w:p>
        </w:tc>
      </w:tr>
    </w:tbl>
    <w:p w:rsidR="002735F7" w:rsidRPr="00460852" w:rsidRDefault="002735F7" w:rsidP="002735F7">
      <w:pPr>
        <w:pStyle w:val="Bezmezer"/>
        <w:spacing w:after="120"/>
        <w:ind w:firstLine="0"/>
        <w:jc w:val="center"/>
        <w:rPr>
          <w:b/>
          <w:u w:val="single"/>
        </w:rPr>
      </w:pPr>
      <w:r>
        <w:rPr>
          <w:noProof/>
          <w:lang w:eastAsia="cs-CZ"/>
        </w:rPr>
        <w:drawing>
          <wp:inline distT="0" distB="0" distL="0" distR="0" wp14:anchorId="7511A6D1" wp14:editId="41399065">
            <wp:extent cx="4572000" cy="2743200"/>
            <wp:effectExtent l="0" t="0" r="0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006CF" w:rsidRDefault="0073416B" w:rsidP="008006CF">
      <w:pPr>
        <w:pStyle w:val="Bezmezer"/>
        <w:spacing w:before="480"/>
        <w:jc w:val="both"/>
      </w:pPr>
      <w:r>
        <w:t>J</w:t>
      </w:r>
      <w:r w:rsidR="00460852">
        <w:t>ak je z</w:t>
      </w:r>
      <w:r w:rsidR="00AA0980">
        <w:t> </w:t>
      </w:r>
      <w:r w:rsidR="00460852">
        <w:t>tabulky</w:t>
      </w:r>
      <w:r w:rsidR="00AA0980">
        <w:t xml:space="preserve"> a grafu</w:t>
      </w:r>
      <w:r w:rsidR="00460852">
        <w:t xml:space="preserve"> </w:t>
      </w:r>
      <w:r w:rsidR="00161D33">
        <w:t xml:space="preserve">patrné oznámení byla rozdělena do 4 kategorií – jednání nepříslušející policii (JNP), </w:t>
      </w:r>
      <w:r w:rsidR="00E61BD9">
        <w:t xml:space="preserve">prozatím </w:t>
      </w:r>
      <w:r w:rsidR="00AA0980">
        <w:t>neprokázaná</w:t>
      </w:r>
      <w:r w:rsidR="00E61BD9">
        <w:t xml:space="preserve"> podezření (PNP), zjevná trestná činnost (ZTČ), nesmyslná oznámení (NO)</w:t>
      </w:r>
      <w:r w:rsidR="00161D33">
        <w:t>.</w:t>
      </w:r>
      <w:r w:rsidR="00E61BD9">
        <w:t xml:space="preserve"> </w:t>
      </w:r>
    </w:p>
    <w:p w:rsidR="00161D33" w:rsidRDefault="00AA0980" w:rsidP="008006CF">
      <w:pPr>
        <w:pStyle w:val="Bezmezer"/>
        <w:jc w:val="both"/>
      </w:pPr>
      <w:r>
        <w:t>Z hlediska struktury se situace navrátila k předchozím letům a nejvyšší počet hlášení představuje kategorie JNP. Avšak i tak kategorie prozatím neprokázaná podezření,</w:t>
      </w:r>
      <w:r w:rsidR="00E10A96">
        <w:t xml:space="preserve"> společně s podáními </w:t>
      </w:r>
      <w:r>
        <w:t xml:space="preserve">zařazenými </w:t>
      </w:r>
      <w:r w:rsidR="00E10A96">
        <w:t xml:space="preserve">do oblasti zjevné trestní činnosti představují celých </w:t>
      </w:r>
      <w:r>
        <w:rPr>
          <w:b/>
        </w:rPr>
        <w:t>39</w:t>
      </w:r>
      <w:r w:rsidR="00E10A96" w:rsidRPr="00E10A96">
        <w:rPr>
          <w:b/>
        </w:rPr>
        <w:t>% věcí</w:t>
      </w:r>
      <w:r w:rsidR="00E10A96">
        <w:t xml:space="preserve">, </w:t>
      </w:r>
      <w:r w:rsidR="00E10A96" w:rsidRPr="00B57A88">
        <w:rPr>
          <w:u w:val="single"/>
        </w:rPr>
        <w:t xml:space="preserve">u </w:t>
      </w:r>
      <w:proofErr w:type="gramStart"/>
      <w:r w:rsidR="00E10A96" w:rsidRPr="00B57A88">
        <w:rPr>
          <w:u w:val="single"/>
        </w:rPr>
        <w:t>nichž</w:t>
      </w:r>
      <w:proofErr w:type="gramEnd"/>
      <w:r w:rsidR="00000CDB" w:rsidRPr="00B57A88">
        <w:rPr>
          <w:u w:val="single"/>
        </w:rPr>
        <w:t xml:space="preserve"> </w:t>
      </w:r>
      <w:r w:rsidR="00E10A96" w:rsidRPr="00B57A88">
        <w:rPr>
          <w:u w:val="single"/>
        </w:rPr>
        <w:t>je nezbytné</w:t>
      </w:r>
      <w:r w:rsidR="00000CDB" w:rsidRPr="00B57A88">
        <w:rPr>
          <w:u w:val="single"/>
        </w:rPr>
        <w:t xml:space="preserve"> komunikovat s oznamovateli a provádět další nezbytná šetření</w:t>
      </w:r>
      <w:r w:rsidR="00000CDB" w:rsidRPr="00161D33">
        <w:t>.</w:t>
      </w:r>
      <w:r w:rsidR="00000CDB">
        <w:t xml:space="preserve"> </w:t>
      </w:r>
    </w:p>
    <w:p w:rsidR="00AA0980" w:rsidRDefault="00AA0980" w:rsidP="002735F7">
      <w:pPr>
        <w:pStyle w:val="Bezmezer"/>
        <w:spacing w:before="480" w:after="120"/>
        <w:jc w:val="both"/>
      </w:pPr>
    </w:p>
    <w:p w:rsidR="00AA0980" w:rsidRDefault="00AA0980" w:rsidP="002735F7">
      <w:pPr>
        <w:pStyle w:val="Bezmezer"/>
        <w:spacing w:before="480" w:after="120"/>
        <w:jc w:val="both"/>
      </w:pPr>
    </w:p>
    <w:p w:rsidR="00AA0980" w:rsidRDefault="00AA0980" w:rsidP="002735F7">
      <w:pPr>
        <w:pStyle w:val="Bezmezer"/>
        <w:spacing w:before="480" w:after="120"/>
        <w:jc w:val="both"/>
      </w:pPr>
    </w:p>
    <w:p w:rsidR="00FA1599" w:rsidRPr="00FB51FD" w:rsidRDefault="00FA1599" w:rsidP="00FA1599">
      <w:pPr>
        <w:pStyle w:val="Bezmezer"/>
        <w:spacing w:after="120"/>
        <w:ind w:firstLine="0"/>
        <w:jc w:val="both"/>
        <w:rPr>
          <w:b/>
          <w:u w:val="single"/>
        </w:rPr>
      </w:pPr>
      <w:r w:rsidRPr="00FB51FD">
        <w:rPr>
          <w:b/>
          <w:u w:val="single"/>
        </w:rPr>
        <w:lastRenderedPageBreak/>
        <w:t>Měsíční vývoj počtu oznámení</w:t>
      </w:r>
    </w:p>
    <w:p w:rsidR="00000CDB" w:rsidRDefault="00000CDB" w:rsidP="00FB51FD">
      <w:pPr>
        <w:pStyle w:val="Bezmezer"/>
        <w:spacing w:after="240"/>
        <w:jc w:val="both"/>
      </w:pPr>
      <w:r>
        <w:t>Z porovnání nápadu oznámení me</w:t>
      </w:r>
      <w:r w:rsidR="00FA1599">
        <w:t>zi jednotlivými měsíci je patrn</w:t>
      </w:r>
      <w:r w:rsidR="00AA0980">
        <w:t>é</w:t>
      </w:r>
      <w:r w:rsidR="00ED1A5E">
        <w:t xml:space="preserve">, </w:t>
      </w:r>
      <w:r w:rsidR="00AA0980">
        <w:t xml:space="preserve">že po nadprůměrných měsících leden a únor 2015, došlo ke stabilizaci příjmu hlášení, který tak vykazoval až překvapivou pravidelnost. </w:t>
      </w:r>
      <w:r w:rsidR="00AD4D1A" w:rsidRPr="00C27B31">
        <w:rPr>
          <w:i/>
        </w:rPr>
        <w:t>Viz grafické zobrazení níže</w:t>
      </w:r>
      <w:r w:rsidR="00AD4D1A">
        <w:t>.</w:t>
      </w:r>
    </w:p>
    <w:p w:rsidR="00C72D47" w:rsidRDefault="00C72D47" w:rsidP="00FB51FD">
      <w:pPr>
        <w:pStyle w:val="Bezmezer"/>
        <w:spacing w:after="240"/>
        <w:jc w:val="both"/>
      </w:pPr>
    </w:p>
    <w:p w:rsidR="00FA1599" w:rsidRDefault="00C72D47" w:rsidP="00C72D47">
      <w:pPr>
        <w:pStyle w:val="Bezmezer"/>
        <w:spacing w:after="240"/>
        <w:jc w:val="center"/>
      </w:pPr>
      <w:r>
        <w:rPr>
          <w:noProof/>
          <w:lang w:eastAsia="cs-CZ"/>
        </w:rPr>
        <w:drawing>
          <wp:inline distT="0" distB="0" distL="0" distR="0" wp14:anchorId="4BD628FE" wp14:editId="71EF85D1">
            <wp:extent cx="4572000" cy="2743200"/>
            <wp:effectExtent l="95250" t="38100" r="38100" b="9525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A1599" w:rsidRDefault="00FA1599" w:rsidP="00FA1599">
      <w:pPr>
        <w:pStyle w:val="Bezmezer"/>
        <w:spacing w:before="360" w:after="120"/>
        <w:ind w:firstLine="0"/>
        <w:jc w:val="both"/>
      </w:pPr>
      <w:r w:rsidRPr="00CE5157">
        <w:rPr>
          <w:b/>
          <w:u w:val="single"/>
        </w:rPr>
        <w:t>Denní průměr oznámení za jednotlivé měsíce</w:t>
      </w:r>
    </w:p>
    <w:p w:rsidR="00000CDB" w:rsidRDefault="00CE5157" w:rsidP="00FA1599">
      <w:pPr>
        <w:pStyle w:val="Bezmezer"/>
        <w:spacing w:before="240" w:after="240"/>
        <w:jc w:val="both"/>
      </w:pPr>
      <w:r>
        <w:t>V</w:t>
      </w:r>
      <w:r w:rsidR="003F565D">
        <w:t> </w:t>
      </w:r>
      <w:r>
        <w:t>r</w:t>
      </w:r>
      <w:r w:rsidR="003F565D">
        <w:t xml:space="preserve">oce 2015 lze pozorovat pokles průměru denně přijatých hlášení. Výjimku tvoří měsíce leden a únor, které navázaly na měsíce roku 2014 a dobíhající vlny podvodných e-mailů s virovou přílohou. </w:t>
      </w:r>
      <w:r>
        <w:t xml:space="preserve">Roční průměr se </w:t>
      </w:r>
      <w:r w:rsidR="003F565D">
        <w:t xml:space="preserve">tak </w:t>
      </w:r>
      <w:r>
        <w:t>ustálil</w:t>
      </w:r>
      <w:r w:rsidR="003F565D">
        <w:t xml:space="preserve"> a poklesl</w:t>
      </w:r>
      <w:r>
        <w:t xml:space="preserve"> na</w:t>
      </w:r>
      <w:r w:rsidR="00FA1599">
        <w:t xml:space="preserve"> cca</w:t>
      </w:r>
      <w:r>
        <w:t xml:space="preserve"> </w:t>
      </w:r>
      <w:r w:rsidR="003F565D">
        <w:rPr>
          <w:b/>
        </w:rPr>
        <w:t>9</w:t>
      </w:r>
      <w:r w:rsidR="00FA1599">
        <w:rPr>
          <w:b/>
        </w:rPr>
        <w:t xml:space="preserve"> </w:t>
      </w:r>
      <w:r w:rsidRPr="00CE5157">
        <w:rPr>
          <w:b/>
        </w:rPr>
        <w:t>podání za den</w:t>
      </w:r>
      <w:r>
        <w:t xml:space="preserve">. </w:t>
      </w:r>
      <w:r w:rsidRPr="00CE5157">
        <w:rPr>
          <w:i/>
        </w:rPr>
        <w:t>Viz grafické zobrazení níže</w:t>
      </w:r>
      <w:r>
        <w:t>.</w:t>
      </w:r>
    </w:p>
    <w:p w:rsidR="0050435D" w:rsidRDefault="0050435D" w:rsidP="00FA1599">
      <w:pPr>
        <w:pStyle w:val="Bezmezer"/>
        <w:spacing w:before="240" w:after="240"/>
        <w:jc w:val="both"/>
      </w:pPr>
      <w:r>
        <w:rPr>
          <w:noProof/>
          <w:lang w:eastAsia="cs-CZ"/>
        </w:rPr>
        <w:drawing>
          <wp:inline distT="0" distB="0" distL="0" distR="0" wp14:anchorId="26783DCE" wp14:editId="7181F5C5">
            <wp:extent cx="4933950" cy="2324100"/>
            <wp:effectExtent l="95250" t="38100" r="38100" b="9525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722F6" w:rsidRDefault="003F565D" w:rsidP="00E14FF7">
      <w:pPr>
        <w:pStyle w:val="Nadpis1"/>
      </w:pPr>
      <w:bookmarkStart w:id="1" w:name="_Toc440746525"/>
      <w:r>
        <w:lastRenderedPageBreak/>
        <w:t>2</w:t>
      </w:r>
      <w:r w:rsidR="00B06F4A">
        <w:t xml:space="preserve"> Kvalitativní analýza</w:t>
      </w:r>
      <w:bookmarkEnd w:id="1"/>
    </w:p>
    <w:p w:rsidR="00E14FF7" w:rsidRDefault="00B06F4A" w:rsidP="00734528">
      <w:pPr>
        <w:pStyle w:val="Bezmezer"/>
        <w:spacing w:after="240"/>
        <w:jc w:val="both"/>
      </w:pPr>
      <w:r>
        <w:t xml:space="preserve">Přijatá hlášení jsou po svém administrativním zaevidování v systému ETŘ přidělena jednotlivým zpracovatelům. Ti provedou prvotní posouzení každého přijatého podání, z hlediska </w:t>
      </w:r>
      <w:r w:rsidR="00E14FF7">
        <w:t xml:space="preserve">protiprávnosti a dále například akutnosti. V následujících odstavcích jsou popsány </w:t>
      </w:r>
      <w:r w:rsidR="0092758F">
        <w:t>oblasti, do</w:t>
      </w:r>
      <w:r w:rsidR="00E14FF7">
        <w:t xml:space="preserve"> kterých byla jednotlivá hlášení zařazena, nejčastěji se vyskytující protiprávní jednání</w:t>
      </w:r>
      <w:r w:rsidR="003F565D">
        <w:t>, fenomény roku 2015</w:t>
      </w:r>
      <w:r w:rsidR="00E14FF7">
        <w:t xml:space="preserve"> a </w:t>
      </w:r>
      <w:r w:rsidR="00E61BD9">
        <w:t>procentuální vyjádření způsobu vyřízení</w:t>
      </w:r>
      <w:r w:rsidR="00E14FF7">
        <w:t xml:space="preserve"> podání.</w:t>
      </w:r>
    </w:p>
    <w:p w:rsidR="00E14FF7" w:rsidRDefault="003F565D" w:rsidP="00E14FF7">
      <w:pPr>
        <w:pStyle w:val="Nadpis2"/>
        <w:spacing w:after="240"/>
      </w:pPr>
      <w:bookmarkStart w:id="2" w:name="_Toc440746526"/>
      <w:r>
        <w:t>2</w:t>
      </w:r>
      <w:r w:rsidR="00E14FF7">
        <w:t>.1 Rozdělení hlášení do oblastí protiprávního jednání</w:t>
      </w:r>
      <w:bookmarkEnd w:id="2"/>
    </w:p>
    <w:p w:rsidR="00AA12E0" w:rsidRDefault="00E14FF7" w:rsidP="00734528">
      <w:pPr>
        <w:pStyle w:val="Bezmezer"/>
        <w:spacing w:after="240"/>
        <w:jc w:val="both"/>
      </w:pPr>
      <w:r>
        <w:t xml:space="preserve"> Podání byla</w:t>
      </w:r>
      <w:r w:rsidR="005722F6">
        <w:t xml:space="preserve"> rozdělena celke</w:t>
      </w:r>
      <w:r w:rsidR="009B455B">
        <w:t>m do 9</w:t>
      </w:r>
      <w:r w:rsidR="005722F6">
        <w:t xml:space="preserve"> oblastí, které odkazují na jejich</w:t>
      </w:r>
      <w:r>
        <w:t xml:space="preserve"> možné</w:t>
      </w:r>
      <w:r w:rsidR="005722F6">
        <w:t xml:space="preserve"> trestně-právní zařazení, včetně</w:t>
      </w:r>
      <w:r>
        <w:t xml:space="preserve"> př</w:t>
      </w:r>
      <w:r w:rsidR="009975E3">
        <w:t xml:space="preserve">estupkového </w:t>
      </w:r>
      <w:r w:rsidR="003F565D">
        <w:t>jednání. V roce 2015</w:t>
      </w:r>
      <w:r>
        <w:t xml:space="preserve"> se </w:t>
      </w:r>
      <w:r w:rsidR="005722F6">
        <w:t>nejpočetnější oblastí</w:t>
      </w:r>
      <w:r w:rsidR="003F565D">
        <w:t xml:space="preserve"> stala oblast majetková</w:t>
      </w:r>
      <w:r>
        <w:t xml:space="preserve">, </w:t>
      </w:r>
      <w:r w:rsidR="003F565D">
        <w:t xml:space="preserve">toto je zapříčiněno zejména přesunem podvodných e-mailů do této sekce, a to v návaznosti na předpokládanou právní kvalifikaci takového jednání dle trestního zákoníku. </w:t>
      </w:r>
      <w:r w:rsidR="00363689">
        <w:rPr>
          <w:i/>
        </w:rPr>
        <w:t>Viz graf</w:t>
      </w:r>
      <w:r w:rsidR="005722F6" w:rsidRPr="005722F6">
        <w:rPr>
          <w:i/>
        </w:rPr>
        <w:t xml:space="preserve"> níže</w:t>
      </w:r>
      <w:r w:rsidR="005722F6">
        <w:t>.</w:t>
      </w:r>
    </w:p>
    <w:p w:rsidR="00734528" w:rsidRPr="00734528" w:rsidRDefault="00734528" w:rsidP="00734528">
      <w:pPr>
        <w:pStyle w:val="Bezmezer"/>
        <w:spacing w:after="240"/>
        <w:ind w:firstLine="0"/>
        <w:jc w:val="both"/>
        <w:rPr>
          <w:b/>
          <w:u w:val="single"/>
        </w:rPr>
      </w:pPr>
      <w:r w:rsidRPr="00734528">
        <w:rPr>
          <w:b/>
          <w:u w:val="single"/>
        </w:rPr>
        <w:t>Oblasti hlášení</w:t>
      </w:r>
    </w:p>
    <w:p w:rsidR="005722F6" w:rsidRDefault="00351173" w:rsidP="005722F6">
      <w:pPr>
        <w:pStyle w:val="Bezmezer"/>
        <w:jc w:val="both"/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54416C44" wp14:editId="6CE344E4">
            <wp:simplePos x="0" y="0"/>
            <wp:positionH relativeFrom="margin">
              <wp:posOffset>299085</wp:posOffset>
            </wp:positionH>
            <wp:positionV relativeFrom="margin">
              <wp:posOffset>4005580</wp:posOffset>
            </wp:positionV>
            <wp:extent cx="4572000" cy="2743200"/>
            <wp:effectExtent l="95250" t="38100" r="38100" b="95250"/>
            <wp:wrapSquare wrapText="bothSides"/>
            <wp:docPr id="9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C75DB1">
      <w:pPr>
        <w:pStyle w:val="Bezmezer"/>
        <w:spacing w:after="120"/>
        <w:jc w:val="both"/>
      </w:pPr>
    </w:p>
    <w:p w:rsidR="00351173" w:rsidRDefault="00351173" w:rsidP="00734528">
      <w:pPr>
        <w:pStyle w:val="Bezmezer"/>
        <w:jc w:val="both"/>
      </w:pPr>
    </w:p>
    <w:p w:rsidR="00734528" w:rsidRDefault="00363689" w:rsidP="00363689">
      <w:pPr>
        <w:pStyle w:val="Bezmezer"/>
        <w:jc w:val="both"/>
      </w:pPr>
      <w:r>
        <w:t xml:space="preserve">Z grafického znázornění je patrné, že nejpočetnější skupinou, z oblasti alespoň částečně relevantních hlášení, se stala oznámení směřující do oblasti majetkových protiprávních jednání. Jak již bylo uvedeno v úvodu, do této oblasti jsou nově zahrnuta oznámení týkající se např. podvodných e-mailových výzev. </w:t>
      </w:r>
    </w:p>
    <w:p w:rsidR="0096404D" w:rsidRDefault="0096404D" w:rsidP="00363689">
      <w:pPr>
        <w:pStyle w:val="Bezmezer"/>
        <w:jc w:val="both"/>
      </w:pPr>
    </w:p>
    <w:p w:rsidR="00734528" w:rsidRDefault="00363689" w:rsidP="00734528">
      <w:pPr>
        <w:pStyle w:val="Nadpis2"/>
        <w:spacing w:after="240"/>
      </w:pPr>
      <w:bookmarkStart w:id="3" w:name="_Toc440746527"/>
      <w:r>
        <w:lastRenderedPageBreak/>
        <w:t>2</w:t>
      </w:r>
      <w:r w:rsidR="00D75BE2">
        <w:t>.2</w:t>
      </w:r>
      <w:r w:rsidR="00B06F4A">
        <w:t xml:space="preserve"> </w:t>
      </w:r>
      <w:r w:rsidR="00D75BE2">
        <w:t>Nejčastější protiprávní jednání dle jejich kvalifikace</w:t>
      </w:r>
      <w:bookmarkEnd w:id="3"/>
    </w:p>
    <w:p w:rsidR="00734528" w:rsidRDefault="0092758F" w:rsidP="00917C44">
      <w:pPr>
        <w:pStyle w:val="Bezmezer"/>
        <w:spacing w:after="240"/>
        <w:jc w:val="both"/>
      </w:pPr>
      <w:r>
        <w:t xml:space="preserve">Policisté zařazení na službě </w:t>
      </w:r>
      <w:proofErr w:type="spellStart"/>
      <w:r>
        <w:t>HotLine</w:t>
      </w:r>
      <w:proofErr w:type="spellEnd"/>
      <w:r>
        <w:t xml:space="preserve"> se v průběhu roku</w:t>
      </w:r>
      <w:r w:rsidR="009975E3">
        <w:t xml:space="preserve"> 2015</w:t>
      </w:r>
      <w:r>
        <w:t xml:space="preserve"> setkávali s pestrou škálou různých podání, která byla vyhodnocena jako oprávněná hlášení protiprávních jednání. Byly zaznamenány </w:t>
      </w:r>
      <w:r w:rsidRPr="00211F98">
        <w:rPr>
          <w:b/>
        </w:rPr>
        <w:t xml:space="preserve">sebevražedné výhružky, </w:t>
      </w:r>
      <w:r w:rsidR="00211F98">
        <w:rPr>
          <w:b/>
        </w:rPr>
        <w:t xml:space="preserve">případy dětské pornografie, </w:t>
      </w:r>
      <w:r w:rsidRPr="00211F98">
        <w:rPr>
          <w:b/>
        </w:rPr>
        <w:t>výskyty osob v pátrání a poznatky k nim, jakož i poznatky k místům, kde jsou vyráběny nebo případně distribuovány omamné a psychotropní látky</w:t>
      </w:r>
      <w:r>
        <w:t>. Níže uvádíme 4 nejčastější typy protiprávních jednání, tak jak byly na základě prvotního šetření, se všemi omezeními k takovému druhu šetření, vyhodnoceny a případně následně postoupeny dalším útvarům PČR.</w:t>
      </w:r>
    </w:p>
    <w:p w:rsidR="00917C44" w:rsidRPr="0092758F" w:rsidRDefault="0092758F" w:rsidP="00211F98">
      <w:pPr>
        <w:pStyle w:val="Bezmezer"/>
        <w:numPr>
          <w:ilvl w:val="0"/>
          <w:numId w:val="1"/>
        </w:numPr>
        <w:ind w:left="714" w:hanging="357"/>
        <w:jc w:val="both"/>
        <w:rPr>
          <w:b/>
          <w:u w:val="single"/>
        </w:rPr>
      </w:pPr>
      <w:r>
        <w:rPr>
          <w:b/>
        </w:rPr>
        <w:t>Neoprávněný přístup k počítačovému systému a nosiči informací</w:t>
      </w:r>
    </w:p>
    <w:p w:rsidR="0092758F" w:rsidRPr="00A70925" w:rsidRDefault="004967CF" w:rsidP="0092758F">
      <w:pPr>
        <w:pStyle w:val="Bezmezer"/>
        <w:numPr>
          <w:ilvl w:val="0"/>
          <w:numId w:val="2"/>
        </w:numPr>
        <w:spacing w:after="240"/>
        <w:jc w:val="both"/>
        <w:rPr>
          <w:b/>
          <w:u w:val="single"/>
        </w:rPr>
      </w:pPr>
      <w:r>
        <w:t>v roce 2015</w:t>
      </w:r>
      <w:r w:rsidR="0092758F">
        <w:t xml:space="preserve"> se jednání </w:t>
      </w:r>
      <w:r w:rsidR="00392B0E">
        <w:t xml:space="preserve">potencionálně kvalifikované </w:t>
      </w:r>
      <w:r w:rsidR="0092758F">
        <w:t xml:space="preserve">dle § 230 </w:t>
      </w:r>
      <w:proofErr w:type="spellStart"/>
      <w:r w:rsidR="0092758F">
        <w:t>tr</w:t>
      </w:r>
      <w:proofErr w:type="spellEnd"/>
      <w:r w:rsidR="0092758F">
        <w:t xml:space="preserve">. </w:t>
      </w:r>
      <w:proofErr w:type="gramStart"/>
      <w:r w:rsidR="0092758F">
        <w:t>zákoníku</w:t>
      </w:r>
      <w:proofErr w:type="gramEnd"/>
      <w:r w:rsidR="0092758F">
        <w:t xml:space="preserve"> stalo nejčastěji</w:t>
      </w:r>
      <w:r w:rsidR="00BF6C0C">
        <w:t xml:space="preserve"> přijímaným druhem protiprávních skutků</w:t>
      </w:r>
      <w:r w:rsidR="00392B0E">
        <w:t xml:space="preserve">, a to zejména  v souvislosti s různými </w:t>
      </w:r>
      <w:proofErr w:type="spellStart"/>
      <w:r w:rsidR="00392B0E">
        <w:t>phishingovými</w:t>
      </w:r>
      <w:proofErr w:type="spellEnd"/>
      <w:r w:rsidR="00392B0E">
        <w:t xml:space="preserve"> útoky.</w:t>
      </w:r>
    </w:p>
    <w:p w:rsidR="00A70925" w:rsidRPr="00A70925" w:rsidRDefault="00A70925" w:rsidP="00211F98">
      <w:pPr>
        <w:pStyle w:val="Bezmezer"/>
        <w:numPr>
          <w:ilvl w:val="0"/>
          <w:numId w:val="1"/>
        </w:numPr>
        <w:ind w:left="714" w:hanging="357"/>
        <w:jc w:val="both"/>
        <w:rPr>
          <w:b/>
          <w:u w:val="single"/>
        </w:rPr>
      </w:pPr>
      <w:r w:rsidRPr="00A70925">
        <w:rPr>
          <w:b/>
        </w:rPr>
        <w:t>Podvod</w:t>
      </w:r>
    </w:p>
    <w:p w:rsidR="00A70925" w:rsidRPr="00A70925" w:rsidRDefault="00A70925" w:rsidP="00A70925">
      <w:pPr>
        <w:pStyle w:val="Bezmezer"/>
        <w:numPr>
          <w:ilvl w:val="0"/>
          <w:numId w:val="2"/>
        </w:numPr>
        <w:spacing w:after="240"/>
        <w:jc w:val="both"/>
        <w:rPr>
          <w:b/>
          <w:u w:val="single"/>
        </w:rPr>
      </w:pPr>
      <w:r>
        <w:t xml:space="preserve">podvod ve smyslu </w:t>
      </w:r>
      <w:proofErr w:type="spellStart"/>
      <w:r>
        <w:t>ust</w:t>
      </w:r>
      <w:proofErr w:type="spellEnd"/>
      <w:r>
        <w:t xml:space="preserve">. § 209 </w:t>
      </w:r>
      <w:proofErr w:type="spellStart"/>
      <w:r>
        <w:t>tr</w:t>
      </w:r>
      <w:proofErr w:type="spellEnd"/>
      <w:r>
        <w:t xml:space="preserve">. </w:t>
      </w:r>
      <w:proofErr w:type="gramStart"/>
      <w:r>
        <w:t>zákoníku</w:t>
      </w:r>
      <w:proofErr w:type="gramEnd"/>
      <w:r>
        <w:t xml:space="preserve"> představuje nejenom kvantitativně, ale rovněž kvalitativně jednu z nejnáročnějších oblastí hlášení </w:t>
      </w:r>
      <w:proofErr w:type="spellStart"/>
      <w:r>
        <w:t>HotLine</w:t>
      </w:r>
      <w:proofErr w:type="spellEnd"/>
      <w:r>
        <w:t>, z hlediska jejího zpracování. Je nutná komunikace s podatelem, v mnoha případech s poskytovateli inzertních služeb, jelikož tato podvodná jednání s</w:t>
      </w:r>
      <w:r w:rsidR="00BF6C0C">
        <w:t>e nejčastěji vyskytují</w:t>
      </w:r>
      <w:r>
        <w:t xml:space="preserve"> na serverech – </w:t>
      </w:r>
      <w:r w:rsidRPr="00A70925">
        <w:t>www.aukro.cz</w:t>
      </w:r>
      <w:r>
        <w:t xml:space="preserve">, </w:t>
      </w:r>
      <w:r w:rsidRPr="00A70925">
        <w:t>www.sbazar.cz</w:t>
      </w:r>
      <w:r>
        <w:t xml:space="preserve">, </w:t>
      </w:r>
      <w:r w:rsidR="00BF6C0C" w:rsidRPr="00BF6C0C">
        <w:t>www.bazos.cz</w:t>
      </w:r>
      <w:r w:rsidR="00BF6C0C">
        <w:t xml:space="preserve"> a dalších</w:t>
      </w:r>
      <w:r>
        <w:t xml:space="preserve">. </w:t>
      </w:r>
    </w:p>
    <w:p w:rsidR="00A70925" w:rsidRPr="00A70925" w:rsidRDefault="00A70925" w:rsidP="00211F98">
      <w:pPr>
        <w:pStyle w:val="Bezmezer"/>
        <w:numPr>
          <w:ilvl w:val="0"/>
          <w:numId w:val="1"/>
        </w:numPr>
        <w:ind w:left="714" w:hanging="357"/>
        <w:jc w:val="both"/>
        <w:rPr>
          <w:b/>
          <w:u w:val="single"/>
        </w:rPr>
      </w:pPr>
      <w:r w:rsidRPr="00A70925">
        <w:rPr>
          <w:b/>
        </w:rPr>
        <w:t>Hanobení národa, rasy, etnické nebo jiné skupiny osob</w:t>
      </w:r>
    </w:p>
    <w:p w:rsidR="00A70925" w:rsidRPr="00A70925" w:rsidRDefault="00A70925" w:rsidP="00A70925">
      <w:pPr>
        <w:pStyle w:val="Bezmezer"/>
        <w:numPr>
          <w:ilvl w:val="0"/>
          <w:numId w:val="2"/>
        </w:numPr>
        <w:spacing w:after="240"/>
        <w:jc w:val="both"/>
        <w:rPr>
          <w:b/>
          <w:u w:val="single"/>
        </w:rPr>
      </w:pPr>
      <w:r>
        <w:t>tato trestná činnost většinou zasahuje do více skutkových podstat extremistické povahy</w:t>
      </w:r>
      <w:r w:rsidR="00BF6C0C">
        <w:t xml:space="preserve"> a v největší míře se vyskytuje na </w:t>
      </w:r>
      <w:proofErr w:type="spellStart"/>
      <w:r w:rsidR="00BF6C0C">
        <w:t>Facebooku</w:t>
      </w:r>
      <w:proofErr w:type="spellEnd"/>
      <w:r>
        <w:t xml:space="preserve">. Často se jedná rovněž </w:t>
      </w:r>
      <w:r w:rsidR="004925CA">
        <w:t xml:space="preserve">o </w:t>
      </w:r>
      <w:r>
        <w:t xml:space="preserve">trestné činy ve smyslu </w:t>
      </w:r>
      <w:proofErr w:type="spellStart"/>
      <w:r>
        <w:t>ust</w:t>
      </w:r>
      <w:proofErr w:type="spellEnd"/>
      <w:r>
        <w:t>. § 403, § 404, § 405</w:t>
      </w:r>
      <w:r w:rsidR="004967CF">
        <w:t xml:space="preserve"> </w:t>
      </w:r>
      <w:proofErr w:type="spellStart"/>
      <w:r w:rsidR="004967CF">
        <w:t>tr</w:t>
      </w:r>
      <w:proofErr w:type="spellEnd"/>
      <w:r w:rsidR="004967CF">
        <w:t xml:space="preserve">. </w:t>
      </w:r>
      <w:proofErr w:type="gramStart"/>
      <w:r w:rsidR="004967CF">
        <w:t>zákoníku</w:t>
      </w:r>
      <w:proofErr w:type="gramEnd"/>
      <w:r>
        <w:t>, ve vztahu k různým pravicovým či levicovým extremistickým hnutím. V této oblasti je část poznatků předávána</w:t>
      </w:r>
      <w:r w:rsidR="004967CF">
        <w:t xml:space="preserve"> dalším odborům</w:t>
      </w:r>
      <w:r>
        <w:t xml:space="preserve"> ÚOOZ.</w:t>
      </w:r>
    </w:p>
    <w:p w:rsidR="00A70925" w:rsidRPr="00211F98" w:rsidRDefault="00A70925" w:rsidP="00211F98">
      <w:pPr>
        <w:pStyle w:val="Bezmezer"/>
        <w:numPr>
          <w:ilvl w:val="0"/>
          <w:numId w:val="1"/>
        </w:numPr>
        <w:ind w:left="714" w:hanging="357"/>
        <w:jc w:val="both"/>
        <w:rPr>
          <w:b/>
          <w:u w:val="single"/>
        </w:rPr>
      </w:pPr>
      <w:r w:rsidRPr="00211F98">
        <w:rPr>
          <w:b/>
        </w:rPr>
        <w:t>Přestupková jednání</w:t>
      </w:r>
    </w:p>
    <w:p w:rsidR="00A70925" w:rsidRPr="00211F98" w:rsidRDefault="004967CF" w:rsidP="00A70925">
      <w:pPr>
        <w:pStyle w:val="Bezmezer"/>
        <w:numPr>
          <w:ilvl w:val="0"/>
          <w:numId w:val="2"/>
        </w:numPr>
        <w:spacing w:after="240"/>
        <w:jc w:val="both"/>
        <w:rPr>
          <w:b/>
          <w:u w:val="single"/>
        </w:rPr>
      </w:pPr>
      <w:r>
        <w:t>v uplynulém</w:t>
      </w:r>
      <w:r w:rsidR="00211F98">
        <w:t xml:space="preserve"> roce byl na službě </w:t>
      </w:r>
      <w:proofErr w:type="spellStart"/>
      <w:r w:rsidR="00211F98">
        <w:t>HotLine</w:t>
      </w:r>
      <w:proofErr w:type="spellEnd"/>
      <w:r w:rsidR="00211F98">
        <w:t xml:space="preserve"> zaznamenán </w:t>
      </w:r>
      <w:r>
        <w:t>opětovný výskyt</w:t>
      </w:r>
      <w:r w:rsidR="00211F98">
        <w:t xml:space="preserve"> podání, která svou prvotně se jevící povahou, spadají do oblasti přestupkové</w:t>
      </w:r>
      <w:r w:rsidR="00BF6C0C">
        <w:t xml:space="preserve"> – proti majetku</w:t>
      </w:r>
      <w:r w:rsidR="00211F98">
        <w:t xml:space="preserve">. Častá jsou hlášení o možných inzertních podvodech v částkách několika stokorun. I tato hlášení jsou policisty </w:t>
      </w:r>
      <w:proofErr w:type="spellStart"/>
      <w:r w:rsidR="00211F98">
        <w:t>HotLine</w:t>
      </w:r>
      <w:proofErr w:type="spellEnd"/>
      <w:r w:rsidR="00211F98">
        <w:t xml:space="preserve"> řešen</w:t>
      </w:r>
      <w:r w:rsidR="00BF6C0C">
        <w:t>a</w:t>
      </w:r>
      <w:r w:rsidR="00211F98">
        <w:t xml:space="preserve"> standardně, se všemi potřebnými úkony.</w:t>
      </w:r>
    </w:p>
    <w:p w:rsidR="00211F98" w:rsidRPr="00917C44" w:rsidRDefault="00211F98" w:rsidP="00211F98">
      <w:pPr>
        <w:pStyle w:val="Bezmezer"/>
        <w:spacing w:after="240"/>
        <w:jc w:val="both"/>
        <w:rPr>
          <w:b/>
          <w:u w:val="single"/>
        </w:rPr>
      </w:pPr>
      <w:r>
        <w:t>K výše uvedenému je nutné podotknout, že policisté při svém prvotním vyhodnocení věci, před jejím postoupením</w:t>
      </w:r>
      <w:r w:rsidR="00BF6C0C">
        <w:t>,</w:t>
      </w:r>
      <w:r>
        <w:t xml:space="preserve"> vychází nejvíce z informací, které jsou jim poskytovány </w:t>
      </w:r>
      <w:r w:rsidR="004925CA">
        <w:t xml:space="preserve">pouze </w:t>
      </w:r>
      <w:r>
        <w:lastRenderedPageBreak/>
        <w:t>podateli. Tito většinou nejsou schopni prokázat svoji totožnost</w:t>
      </w:r>
      <w:r w:rsidR="00BF6C0C">
        <w:t>,</w:t>
      </w:r>
      <w:r>
        <w:t xml:space="preserve"> certifikovaným elektronickým podpisem, ale v mnoha případech trvají na řešení věci elektronickou cestou.</w:t>
      </w:r>
    </w:p>
    <w:p w:rsidR="00AA1C7B" w:rsidRDefault="00363689" w:rsidP="00AA1C7B">
      <w:pPr>
        <w:pStyle w:val="Nadpis2"/>
        <w:spacing w:after="240"/>
      </w:pPr>
      <w:bookmarkStart w:id="4" w:name="_Toc440746528"/>
      <w:r>
        <w:t>2</w:t>
      </w:r>
      <w:r w:rsidR="00AA1C7B">
        <w:t xml:space="preserve">.3 </w:t>
      </w:r>
      <w:r w:rsidR="00211F98">
        <w:t>Fenomény 201</w:t>
      </w:r>
      <w:r w:rsidR="00F927C3">
        <w:t>5</w:t>
      </w:r>
      <w:bookmarkEnd w:id="4"/>
    </w:p>
    <w:p w:rsidR="00AA1C7B" w:rsidRDefault="00211F98" w:rsidP="00AA1C7B">
      <w:pPr>
        <w:pStyle w:val="Bezmezer"/>
        <w:spacing w:after="240"/>
        <w:jc w:val="both"/>
      </w:pPr>
      <w:r>
        <w:t xml:space="preserve">V roce </w:t>
      </w:r>
      <w:r w:rsidR="00F927C3">
        <w:t>2015</w:t>
      </w:r>
      <w:r w:rsidR="003867AB">
        <w:t xml:space="preserve"> bylo</w:t>
      </w:r>
      <w:r w:rsidR="00F927C3">
        <w:t xml:space="preserve"> opětovně</w:t>
      </w:r>
      <w:r w:rsidR="003867AB">
        <w:t xml:space="preserve"> zaznamenáno několik významných „fenoménů“, které </w:t>
      </w:r>
      <w:r w:rsidR="00F927C3">
        <w:t>významným způsobem přispěly k přírůstku hl</w:t>
      </w:r>
      <w:r w:rsidR="003867AB">
        <w:t xml:space="preserve">ášení </w:t>
      </w:r>
      <w:proofErr w:type="spellStart"/>
      <w:r w:rsidR="003867AB">
        <w:t>HotLine</w:t>
      </w:r>
      <w:proofErr w:type="spellEnd"/>
      <w:r w:rsidR="003867AB">
        <w:t xml:space="preserve">. </w:t>
      </w:r>
      <w:r w:rsidR="00F927C3">
        <w:t>V počátku roku se jednalo zejména o pokračující trend falešných emailových výzev, s virovou přílohou. Dalším významným faktorem se v roce 2015 s</w:t>
      </w:r>
      <w:bookmarkStart w:id="5" w:name="_GoBack"/>
      <w:bookmarkEnd w:id="5"/>
      <w:r w:rsidR="00F927C3">
        <w:t xml:space="preserve">tala, v návaznosti na současnou uprchlickou krizi v EU, oznámení týkající se různých aspektů z této oblasti. </w:t>
      </w:r>
    </w:p>
    <w:p w:rsidR="00404B43" w:rsidRPr="00CF1375" w:rsidRDefault="00F927C3" w:rsidP="00D03E98">
      <w:pPr>
        <w:pStyle w:val="Bezmezer"/>
        <w:ind w:firstLine="0"/>
        <w:jc w:val="both"/>
        <w:rPr>
          <w:b/>
          <w:u w:val="single"/>
        </w:rPr>
      </w:pPr>
      <w:r>
        <w:rPr>
          <w:b/>
          <w:u w:val="single"/>
        </w:rPr>
        <w:t>E-mailové výzvy</w:t>
      </w:r>
      <w:r w:rsidR="0004693B">
        <w:rPr>
          <w:b/>
          <w:u w:val="single"/>
        </w:rPr>
        <w:t xml:space="preserve"> a </w:t>
      </w:r>
      <w:proofErr w:type="spellStart"/>
      <w:r w:rsidR="0004693B">
        <w:rPr>
          <w:b/>
          <w:u w:val="single"/>
        </w:rPr>
        <w:t>phishing</w:t>
      </w:r>
      <w:proofErr w:type="spellEnd"/>
    </w:p>
    <w:p w:rsidR="00C81206" w:rsidRDefault="00C81206" w:rsidP="00D03E98">
      <w:pPr>
        <w:pStyle w:val="Bezmezer"/>
        <w:jc w:val="both"/>
      </w:pPr>
      <w:r>
        <w:t xml:space="preserve">V roce 2014 se poprvé výrazným způsobem vyskytl fenomén falešných e-mailových výzev, k úhradě zboží, dlužných částek v rámci exekucí atp. V roce 2015 se tato hlášení vyskytla opět, avšak v menší míře. Kromě obvyklých </w:t>
      </w:r>
      <w:proofErr w:type="spellStart"/>
      <w:r>
        <w:t>phishingových</w:t>
      </w:r>
      <w:proofErr w:type="spellEnd"/>
      <w:r>
        <w:t xml:space="preserve"> útoků v podobě aktualizačních e-mailů, zejména České spořitelny, se vyskytovaly e-maily, které předstíraly omyl při zaslání faktury od portálu obchody24.cz</w:t>
      </w:r>
      <w:r w:rsidR="00EB1BCB">
        <w:t>. Zejména v měsících leden a únor bylo zaznamenáno několik desítek těchto hlášení. V tomto případě falešné faktury obsahovaly virové přílohy. Pokud adresát provedl jejich otevření, došlo k infikování počítače s cílem získání citlivých údajů, např. přístupových kódů k internetovému bankovnictví.</w:t>
      </w:r>
    </w:p>
    <w:p w:rsidR="00404B43" w:rsidRDefault="00EB1BCB" w:rsidP="00EB1BCB">
      <w:pPr>
        <w:pStyle w:val="Bezmezer"/>
        <w:jc w:val="both"/>
      </w:pPr>
      <w:r>
        <w:t xml:space="preserve">V roce 2015 byly naopak na ústupu tzv. </w:t>
      </w:r>
      <w:proofErr w:type="spellStart"/>
      <w:r>
        <w:t>ransomware</w:t>
      </w:r>
      <w:proofErr w:type="spellEnd"/>
      <w:r>
        <w:t xml:space="preserve"> útoky, které byly zaznamenány zejména v letech minulých. Lze předpokládat, že sofistikované a uvěřitelné falešné e-mailové výzvy nahradily tento fenomén, vyskytující se zejména na </w:t>
      </w:r>
      <w:r w:rsidR="00CF1375">
        <w:t xml:space="preserve">pochybných stránkách s pornografií či potencionálně pirátským obsahem. </w:t>
      </w:r>
    </w:p>
    <w:p w:rsidR="00CF1375" w:rsidRDefault="00CF1375" w:rsidP="00D03E98">
      <w:pPr>
        <w:pStyle w:val="Bezmezer"/>
        <w:jc w:val="both"/>
      </w:pPr>
    </w:p>
    <w:p w:rsidR="00CF1375" w:rsidRPr="00BE20D4" w:rsidRDefault="0004693B" w:rsidP="00BE20D4">
      <w:pPr>
        <w:pStyle w:val="Bezmezer"/>
        <w:ind w:firstLine="0"/>
        <w:jc w:val="both"/>
        <w:rPr>
          <w:b/>
          <w:u w:val="single"/>
        </w:rPr>
      </w:pPr>
      <w:r>
        <w:rPr>
          <w:b/>
          <w:u w:val="single"/>
        </w:rPr>
        <w:t>Uprchlická oznámení</w:t>
      </w:r>
    </w:p>
    <w:p w:rsidR="00CF1375" w:rsidRDefault="008009C7" w:rsidP="00D23F76">
      <w:pPr>
        <w:pStyle w:val="Bezmezer"/>
        <w:jc w:val="both"/>
      </w:pPr>
      <w:r>
        <w:t>V roce 2015 se stala jednoznačnou událostí roku v celé české společnosti</w:t>
      </w:r>
      <w:r w:rsidR="00CF1375">
        <w:t xml:space="preserve"> </w:t>
      </w:r>
      <w:r>
        <w:t>uprchlická krize. Tak jako je tomu ve všech případech i v tomto na ni reagovala internetová společnost</w:t>
      </w:r>
      <w:r w:rsidR="00E5101D">
        <w:t>,</w:t>
      </w:r>
      <w:r>
        <w:t xml:space="preserve"> a to ať již v pozitivním či negativním smyslu. </w:t>
      </w:r>
      <w:r w:rsidR="00237C87">
        <w:t xml:space="preserve">V této souvislosti bylo zaznamenáno </w:t>
      </w:r>
      <w:r w:rsidR="00237C87" w:rsidRPr="00237C87">
        <w:rPr>
          <w:b/>
        </w:rPr>
        <w:t>celkem 251 hlášení</w:t>
      </w:r>
      <w:r w:rsidR="00237C87">
        <w:t xml:space="preserve">, jenž se nějakým způsobem </w:t>
      </w:r>
      <w:proofErr w:type="gramStart"/>
      <w:r w:rsidR="00237C87">
        <w:t>týkala</w:t>
      </w:r>
      <w:proofErr w:type="gramEnd"/>
      <w:r w:rsidR="00237C87">
        <w:t xml:space="preserve"> této krize.</w:t>
      </w:r>
    </w:p>
    <w:p w:rsidR="00D23F76" w:rsidRDefault="00D23F76" w:rsidP="00D23F76">
      <w:pPr>
        <w:pStyle w:val="Bezmezer"/>
        <w:jc w:val="both"/>
      </w:pPr>
      <w:r>
        <w:t>Z hlediska kvalitativního rozboru lze konstatovat, že problematika „uprchlíků“ upoutala pozornost mnoha různých osob</w:t>
      </w:r>
      <w:r w:rsidR="00D71501">
        <w:t xml:space="preserve"> a organizací na internetu, které</w:t>
      </w:r>
      <w:r>
        <w:t xml:space="preserve"> svá „</w:t>
      </w:r>
      <w:proofErr w:type="spellStart"/>
      <w:r>
        <w:t>hate</w:t>
      </w:r>
      <w:proofErr w:type="spellEnd"/>
      <w:r>
        <w:t xml:space="preserve"> </w:t>
      </w:r>
      <w:proofErr w:type="spellStart"/>
      <w:r>
        <w:t>speech</w:t>
      </w:r>
      <w:proofErr w:type="spellEnd"/>
      <w:r>
        <w:t>“ prohlášení a diskuzní příspěvky, přesouvají od Romů k tomuto fenoménu. Není překvapením, že zásadní roli v těchto aktiv</w:t>
      </w:r>
      <w:r w:rsidR="00E5101D">
        <w:t xml:space="preserve">itách má sociální síť </w:t>
      </w:r>
      <w:proofErr w:type="spellStart"/>
      <w:r w:rsidR="00E5101D">
        <w:t>Facebook</w:t>
      </w:r>
      <w:proofErr w:type="spellEnd"/>
      <w:r>
        <w:t xml:space="preserve">. Stížnosti podatelé směřují převážně na nenávistné výroky v různých </w:t>
      </w:r>
      <w:proofErr w:type="spellStart"/>
      <w:r>
        <w:t>facebookových</w:t>
      </w:r>
      <w:proofErr w:type="spellEnd"/>
      <w:r>
        <w:t xml:space="preserve"> diskuzích, vyskytujících se u článků a fotografií týkajících se „uprchlíků“. Existence těchto příspěvků nemá obvykle dlouhého trvání a obvykle dochází k jejich odstranění. </w:t>
      </w:r>
    </w:p>
    <w:p w:rsidR="00E5101D" w:rsidRDefault="00D23F76" w:rsidP="00D23F76">
      <w:pPr>
        <w:pStyle w:val="Bezmezer"/>
        <w:jc w:val="both"/>
      </w:pPr>
      <w:r>
        <w:lastRenderedPageBreak/>
        <w:t xml:space="preserve">Zejména na </w:t>
      </w:r>
      <w:proofErr w:type="spellStart"/>
      <w:r>
        <w:t>Facebooku</w:t>
      </w:r>
      <w:proofErr w:type="spellEnd"/>
      <w:r>
        <w:t xml:space="preserve"> vykazuje dlouhodobě nejvyšší aktivitu a na to reagující stížnost</w:t>
      </w:r>
      <w:r w:rsidR="00E5101D">
        <w:t>i</w:t>
      </w:r>
      <w:r>
        <w:t xml:space="preserve"> obč</w:t>
      </w:r>
      <w:r w:rsidR="00D71501">
        <w:t>anů skupina Islám v ČR nechceme</w:t>
      </w:r>
      <w:r>
        <w:t xml:space="preserve">. Velké množství oznámení bylo směřováno rovněž na plakát skupiny, politické strany – NE Bruselu – Národní demokracie, vytvořený k příležitosti tzv. 3. tábora lidu, který se konal 15. srpna 2015, obsahující text: „Správní tatínkové pilně cvičí, aby pokaždé trefili do černého!“. </w:t>
      </w:r>
    </w:p>
    <w:p w:rsidR="00E5101D" w:rsidRDefault="00D23F76" w:rsidP="00D23F76">
      <w:pPr>
        <w:pStyle w:val="Bezmezer"/>
        <w:jc w:val="both"/>
      </w:pPr>
      <w:r>
        <w:t xml:space="preserve">Novým fenoménem se stala oznámení na e-mail údajné skupiny „naše-země“, která žádá o finanční podporu pro politický boj proti „uprchlíkům“, které mají adresáti zasílat prostřednictvím </w:t>
      </w:r>
      <w:proofErr w:type="spellStart"/>
      <w:r>
        <w:t>bitcoinových</w:t>
      </w:r>
      <w:proofErr w:type="spellEnd"/>
      <w:r>
        <w:t xml:space="preserve"> peněženek. Poslední novinkou jsou stížnosti občanů na stránky emigratetoczechrepublic.wordpress.com, která imigrantům doporučuje vycestování do České republiky a vyjmenovává výhody, které život zde má. Tato aktivita se rovněž setkala s nevolí mnoha oznamovatelů. </w:t>
      </w:r>
    </w:p>
    <w:p w:rsidR="00D23F76" w:rsidRDefault="00E5101D" w:rsidP="00D23F76">
      <w:pPr>
        <w:pStyle w:val="Bezmezer"/>
        <w:jc w:val="both"/>
      </w:pPr>
      <w:r>
        <w:t>Neopominutelnými a závažnými</w:t>
      </w:r>
      <w:r w:rsidR="00D23F76">
        <w:t xml:space="preserve"> jsou rovněž aktivity internetové stránky </w:t>
      </w:r>
      <w:proofErr w:type="gramStart"/>
      <w:r w:rsidR="00D23F76">
        <w:t>www.white-media</w:t>
      </w:r>
      <w:proofErr w:type="gramEnd"/>
      <w:r w:rsidR="00D23F76">
        <w:t>.info, která se dlouhodobě zaměřuje na kritiku menšin a zveřejňování osobních údajů občanů, kteří tyto minority podporují. Aktivity tohoto webu jsou již prošetřovány v rámci trestního řízení.</w:t>
      </w:r>
    </w:p>
    <w:p w:rsidR="009B6A50" w:rsidRDefault="00363689" w:rsidP="009B6A50">
      <w:pPr>
        <w:pStyle w:val="Nadpis2"/>
        <w:spacing w:after="240"/>
      </w:pPr>
      <w:bookmarkStart w:id="6" w:name="_Toc440746529"/>
      <w:r>
        <w:t>2</w:t>
      </w:r>
      <w:r w:rsidR="00C10F24">
        <w:t>.4</w:t>
      </w:r>
      <w:r w:rsidR="009B6A50">
        <w:t xml:space="preserve"> Vyřízení oznámení</w:t>
      </w:r>
      <w:bookmarkEnd w:id="6"/>
    </w:p>
    <w:p w:rsidR="009B6A50" w:rsidRDefault="009B6A50" w:rsidP="009B6A50">
      <w:pPr>
        <w:pStyle w:val="Bezmezer"/>
        <w:jc w:val="both"/>
      </w:pPr>
      <w:r>
        <w:t xml:space="preserve"> Po důkladném šetření a analýze bylo v každé věci rozhodnuto buď o jejím </w:t>
      </w:r>
      <w:proofErr w:type="gramStart"/>
      <w:r>
        <w:t>posto</w:t>
      </w:r>
      <w:r w:rsidR="00E5101D">
        <w:t xml:space="preserve">upení </w:t>
      </w:r>
      <w:r>
        <w:t>nebo</w:t>
      </w:r>
      <w:proofErr w:type="gramEnd"/>
      <w:r>
        <w:t xml:space="preserve"> pokud nebylo prokázáno spáchání trestného činu, přestupku nebo jiného správního deliktu, byla věc uložena k dalšímu služebnímu využití. </w:t>
      </w:r>
    </w:p>
    <w:p w:rsidR="009B6A50" w:rsidRDefault="009B6A50" w:rsidP="009B6A50">
      <w:pPr>
        <w:pStyle w:val="Bezmezer"/>
        <w:jc w:val="both"/>
      </w:pPr>
    </w:p>
    <w:p w:rsidR="009B6A50" w:rsidRDefault="001500B1" w:rsidP="009B6A50">
      <w:pPr>
        <w:pStyle w:val="Bezmezer"/>
        <w:jc w:val="both"/>
      </w:pPr>
      <w:r>
        <w:rPr>
          <w:noProof/>
          <w:lang w:eastAsia="cs-CZ"/>
        </w:rPr>
        <w:drawing>
          <wp:inline distT="0" distB="0" distL="0" distR="0" wp14:anchorId="7E3BA487" wp14:editId="626B7CBE">
            <wp:extent cx="5238750" cy="2133600"/>
            <wp:effectExtent l="95250" t="38100" r="38100" b="95250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B6A50" w:rsidRDefault="009B6A50" w:rsidP="009B6A50">
      <w:pPr>
        <w:pStyle w:val="Bezmezer"/>
        <w:jc w:val="both"/>
      </w:pPr>
    </w:p>
    <w:p w:rsidR="009B6A50" w:rsidRDefault="009B6A50" w:rsidP="009B6A50">
      <w:pPr>
        <w:pStyle w:val="Bezmezer"/>
        <w:jc w:val="both"/>
      </w:pPr>
    </w:p>
    <w:p w:rsidR="000E6F69" w:rsidRDefault="009B6A50" w:rsidP="009B6A50">
      <w:pPr>
        <w:pStyle w:val="Bezmezer"/>
        <w:jc w:val="both"/>
      </w:pPr>
      <w:r>
        <w:t>Jak zobrazuje graf výše,</w:t>
      </w:r>
      <w:r w:rsidR="000C3EB9">
        <w:t xml:space="preserve"> v roce 201</w:t>
      </w:r>
      <w:r w:rsidR="001500B1">
        <w:t>5</w:t>
      </w:r>
      <w:r w:rsidR="000C3EB9">
        <w:t xml:space="preserve"> bylo </w:t>
      </w:r>
      <w:r w:rsidR="001500B1">
        <w:rPr>
          <w:b/>
        </w:rPr>
        <w:t>cca 19</w:t>
      </w:r>
      <w:r w:rsidR="000C3EB9" w:rsidRPr="000C3EB9">
        <w:rPr>
          <w:b/>
        </w:rPr>
        <w:t>%</w:t>
      </w:r>
      <w:r w:rsidRPr="000C3EB9">
        <w:rPr>
          <w:b/>
        </w:rPr>
        <w:t xml:space="preserve"> </w:t>
      </w:r>
      <w:r w:rsidR="000E6F69" w:rsidRPr="000E6F69">
        <w:rPr>
          <w:b/>
        </w:rPr>
        <w:t xml:space="preserve">prošetřených </w:t>
      </w:r>
      <w:r w:rsidRPr="000E6F69">
        <w:rPr>
          <w:b/>
        </w:rPr>
        <w:t>oznámení</w:t>
      </w:r>
      <w:r w:rsidR="00BF6C0C">
        <w:rPr>
          <w:b/>
        </w:rPr>
        <w:t>,</w:t>
      </w:r>
      <w:r>
        <w:t xml:space="preserve"> </w:t>
      </w:r>
      <w:r w:rsidR="000C3EB9">
        <w:t>vyhodnoceno jako způsobilé</w:t>
      </w:r>
      <w:r>
        <w:t xml:space="preserve"> k dalšímu šetření jiným policejním orgánem.</w:t>
      </w:r>
      <w:r w:rsidR="000C3EB9">
        <w:t xml:space="preserve"> </w:t>
      </w:r>
    </w:p>
    <w:p w:rsidR="000E6F69" w:rsidRDefault="00713453" w:rsidP="000E6F69">
      <w:pPr>
        <w:pStyle w:val="Nadpis1"/>
      </w:pPr>
      <w:bookmarkStart w:id="7" w:name="_Toc440746530"/>
      <w:r>
        <w:lastRenderedPageBreak/>
        <w:t>3</w:t>
      </w:r>
      <w:r w:rsidR="000E6F69">
        <w:t xml:space="preserve"> </w:t>
      </w:r>
      <w:r w:rsidR="004925CA">
        <w:t>Závěr</w:t>
      </w:r>
      <w:r>
        <w:t>ečné vyhodnocení</w:t>
      </w:r>
      <w:bookmarkEnd w:id="7"/>
    </w:p>
    <w:p w:rsidR="00843D4E" w:rsidRDefault="003501B9" w:rsidP="00843D4E">
      <w:pPr>
        <w:pStyle w:val="Bezmezer"/>
        <w:jc w:val="both"/>
      </w:pPr>
      <w:r>
        <w:t>V porovnání s předchozím rokem 2014 došlo v roce 2015 k výraznému poklesu celkově přijatých hlášení. Tento fakt byl zapříčiněn zejména absencí obdobné</w:t>
      </w:r>
      <w:r w:rsidR="006317AF">
        <w:t xml:space="preserve"> silné</w:t>
      </w:r>
      <w:r>
        <w:t xml:space="preserve"> vlny falešných výzev (faktur) s virovou přílohou jako v roce přechozím. </w:t>
      </w:r>
    </w:p>
    <w:p w:rsidR="00E5101D" w:rsidRDefault="00E5101D" w:rsidP="00E84148">
      <w:pPr>
        <w:pStyle w:val="Bezmezer"/>
        <w:jc w:val="both"/>
      </w:pPr>
      <w:r>
        <w:t xml:space="preserve">Ačkoliv </w:t>
      </w:r>
      <w:r w:rsidR="00843D4E">
        <w:t>služba</w:t>
      </w:r>
      <w:r>
        <w:t xml:space="preserve"> </w:t>
      </w:r>
      <w:proofErr w:type="spellStart"/>
      <w:r>
        <w:t>HotLine</w:t>
      </w:r>
      <w:proofErr w:type="spellEnd"/>
      <w:r w:rsidR="00843D4E">
        <w:t xml:space="preserve"> nebyla plánována k přímému oznamování skutků, ale spíše k hlášení různého závadového obsahu v prostředí internetu, její snadná dostupnost a přehledné rozhraní přispívají k tomu, že občané již mají tuto službu v rozšířené patrnosti a využívají ji k oznámením, která v mnoha případech nesouvisí s problematikou kyber</w:t>
      </w:r>
      <w:r w:rsidR="003501B9">
        <w:t xml:space="preserve">netické </w:t>
      </w:r>
      <w:r w:rsidR="00843D4E">
        <w:t xml:space="preserve">kriminality. Problematickou oblastí v tomto směru zůstává relevantnost takových oznámení. </w:t>
      </w:r>
    </w:p>
    <w:p w:rsidR="00843D4E" w:rsidRDefault="00E5101D" w:rsidP="00E84148">
      <w:pPr>
        <w:pStyle w:val="Bezmezer"/>
        <w:jc w:val="both"/>
      </w:pPr>
      <w:r>
        <w:t>P</w:t>
      </w:r>
      <w:r w:rsidR="00843D4E">
        <w:t>odatelé</w:t>
      </w:r>
      <w:r>
        <w:t xml:space="preserve"> však</w:t>
      </w:r>
      <w:r w:rsidR="00843D4E">
        <w:t xml:space="preserve"> ve velké většině nevlastní certifikovaný elektronický podpis, a proto není vždy možné hodnověrně ověřit jejich totožnost</w:t>
      </w:r>
      <w:r w:rsidR="002D278D">
        <w:t>, a to</w:t>
      </w:r>
      <w:r w:rsidR="00E84148">
        <w:t xml:space="preserve"> ani prostřednictvím následné e-mailové komunikace</w:t>
      </w:r>
      <w:r w:rsidR="00843D4E">
        <w:t>. Podání tak jsou postupována dalším útvarům s</w:t>
      </w:r>
      <w:r w:rsidR="00E84148">
        <w:t> </w:t>
      </w:r>
      <w:r w:rsidR="00843D4E">
        <w:t>určitým</w:t>
      </w:r>
      <w:r w:rsidR="00E84148">
        <w:t xml:space="preserve"> neúplným</w:t>
      </w:r>
      <w:r w:rsidR="00843D4E">
        <w:t xml:space="preserve"> kontextem, který však při následném šetření a podání vysvětlení může</w:t>
      </w:r>
      <w:r w:rsidR="00E84148">
        <w:t xml:space="preserve"> přinést úplně jiný výsledek. </w:t>
      </w:r>
    </w:p>
    <w:p w:rsidR="00682235" w:rsidRPr="004E4CF9" w:rsidRDefault="00E84148" w:rsidP="00E84148">
      <w:pPr>
        <w:pStyle w:val="Bezmezer"/>
        <w:spacing w:after="240"/>
        <w:jc w:val="both"/>
        <w:rPr>
          <w:sz w:val="28"/>
          <w:szCs w:val="28"/>
        </w:rPr>
      </w:pPr>
      <w:r w:rsidRPr="00E84148">
        <w:rPr>
          <w:b/>
        </w:rPr>
        <w:t xml:space="preserve">Od poloviny roku 2012 do konce roku </w:t>
      </w:r>
      <w:r w:rsidR="003501B9">
        <w:rPr>
          <w:b/>
        </w:rPr>
        <w:t>2015 bylo zaznamenáno celkově 15 202</w:t>
      </w:r>
      <w:r w:rsidRPr="00E84148">
        <w:rPr>
          <w:b/>
        </w:rPr>
        <w:t xml:space="preserve"> hlášení </w:t>
      </w:r>
      <w:proofErr w:type="spellStart"/>
      <w:r w:rsidRPr="00E84148">
        <w:rPr>
          <w:b/>
        </w:rPr>
        <w:t>HotLine</w:t>
      </w:r>
      <w:proofErr w:type="spellEnd"/>
      <w:r>
        <w:t>, což představuje velký potenciál při získávání poznatků ze strany občanů. Problematickou však zůstává oblast personálního obsazení, v současn</w:t>
      </w:r>
      <w:r w:rsidR="003501B9">
        <w:t>é době 4 policisty</w:t>
      </w:r>
      <w:r>
        <w:t>, které do značné míry tuto službu limituje.</w:t>
      </w:r>
    </w:p>
    <w:sectPr w:rsidR="00682235" w:rsidRPr="004E4CF9" w:rsidSect="00B67E38">
      <w:footerReference w:type="default" r:id="rId16"/>
      <w:footerReference w:type="first" r:id="rId17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2DE" w:rsidRDefault="00D622DE" w:rsidP="001D364E">
      <w:pPr>
        <w:spacing w:after="0" w:line="240" w:lineRule="auto"/>
      </w:pPr>
      <w:r>
        <w:separator/>
      </w:r>
    </w:p>
  </w:endnote>
  <w:endnote w:type="continuationSeparator" w:id="0">
    <w:p w:rsidR="00D622DE" w:rsidRDefault="00D622DE" w:rsidP="001D3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1881479"/>
      <w:docPartObj>
        <w:docPartGallery w:val="Page Numbers (Bottom of Page)"/>
        <w:docPartUnique/>
      </w:docPartObj>
    </w:sdtPr>
    <w:sdtContent>
      <w:p w:rsidR="00392B0E" w:rsidRDefault="00392B0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B040F" w:rsidRDefault="007B04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6127190"/>
      <w:docPartObj>
        <w:docPartGallery w:val="Page Numbers (Bottom of Page)"/>
        <w:docPartUnique/>
      </w:docPartObj>
    </w:sdtPr>
    <w:sdtContent>
      <w:p w:rsidR="007B040F" w:rsidRDefault="007B040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B0E">
          <w:rPr>
            <w:noProof/>
          </w:rPr>
          <w:t>7</w:t>
        </w:r>
        <w:r>
          <w:fldChar w:fldCharType="end"/>
        </w:r>
      </w:p>
    </w:sdtContent>
  </w:sdt>
  <w:p w:rsidR="007B040F" w:rsidRDefault="007B04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3777245"/>
      <w:docPartObj>
        <w:docPartGallery w:val="Page Numbers (Bottom of Page)"/>
        <w:docPartUnique/>
      </w:docPartObj>
    </w:sdtPr>
    <w:sdtContent>
      <w:p w:rsidR="007B040F" w:rsidRDefault="007B040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B0E">
          <w:rPr>
            <w:noProof/>
          </w:rPr>
          <w:t>3</w:t>
        </w:r>
        <w:r>
          <w:fldChar w:fldCharType="end"/>
        </w:r>
      </w:p>
    </w:sdtContent>
  </w:sdt>
  <w:p w:rsidR="007B040F" w:rsidRDefault="007B04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2DE" w:rsidRDefault="00D622DE" w:rsidP="001D364E">
      <w:pPr>
        <w:spacing w:after="0" w:line="240" w:lineRule="auto"/>
      </w:pPr>
      <w:r>
        <w:separator/>
      </w:r>
    </w:p>
  </w:footnote>
  <w:footnote w:type="continuationSeparator" w:id="0">
    <w:p w:rsidR="00D622DE" w:rsidRDefault="00D622DE" w:rsidP="001D36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252B"/>
    <w:multiLevelType w:val="hybridMultilevel"/>
    <w:tmpl w:val="496AC48A"/>
    <w:lvl w:ilvl="0" w:tplc="182236EC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92A108E"/>
    <w:multiLevelType w:val="hybridMultilevel"/>
    <w:tmpl w:val="7B8C3A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E0"/>
    <w:rsid w:val="00000CDB"/>
    <w:rsid w:val="00006F30"/>
    <w:rsid w:val="00045B21"/>
    <w:rsid w:val="0004634A"/>
    <w:rsid w:val="0004693B"/>
    <w:rsid w:val="000B6CFA"/>
    <w:rsid w:val="000C3EB9"/>
    <w:rsid w:val="000E6F69"/>
    <w:rsid w:val="001500B1"/>
    <w:rsid w:val="00161D33"/>
    <w:rsid w:val="00186F98"/>
    <w:rsid w:val="00193647"/>
    <w:rsid w:val="001B52C0"/>
    <w:rsid w:val="001D364E"/>
    <w:rsid w:val="00211F98"/>
    <w:rsid w:val="00224340"/>
    <w:rsid w:val="00233E38"/>
    <w:rsid w:val="00237C87"/>
    <w:rsid w:val="002735F7"/>
    <w:rsid w:val="002D278D"/>
    <w:rsid w:val="00302A9F"/>
    <w:rsid w:val="00305784"/>
    <w:rsid w:val="003211A4"/>
    <w:rsid w:val="00325AE4"/>
    <w:rsid w:val="003269E9"/>
    <w:rsid w:val="00332DFA"/>
    <w:rsid w:val="00340B98"/>
    <w:rsid w:val="003501B9"/>
    <w:rsid w:val="00351173"/>
    <w:rsid w:val="00363689"/>
    <w:rsid w:val="003867AB"/>
    <w:rsid w:val="00392B0E"/>
    <w:rsid w:val="003B4B71"/>
    <w:rsid w:val="003E5112"/>
    <w:rsid w:val="003F565D"/>
    <w:rsid w:val="0040205C"/>
    <w:rsid w:val="00404B43"/>
    <w:rsid w:val="00460852"/>
    <w:rsid w:val="00490025"/>
    <w:rsid w:val="004925CA"/>
    <w:rsid w:val="004967CF"/>
    <w:rsid w:val="004C099F"/>
    <w:rsid w:val="004C2E5C"/>
    <w:rsid w:val="004E4CF9"/>
    <w:rsid w:val="004F594C"/>
    <w:rsid w:val="0050435D"/>
    <w:rsid w:val="0050616E"/>
    <w:rsid w:val="00563185"/>
    <w:rsid w:val="005722F6"/>
    <w:rsid w:val="0059328F"/>
    <w:rsid w:val="00624D1E"/>
    <w:rsid w:val="006317AF"/>
    <w:rsid w:val="00682235"/>
    <w:rsid w:val="00713453"/>
    <w:rsid w:val="0073416B"/>
    <w:rsid w:val="00734528"/>
    <w:rsid w:val="00743A64"/>
    <w:rsid w:val="00786474"/>
    <w:rsid w:val="007B040F"/>
    <w:rsid w:val="007B7A1F"/>
    <w:rsid w:val="008006CF"/>
    <w:rsid w:val="008009C7"/>
    <w:rsid w:val="0083698D"/>
    <w:rsid w:val="00843D4E"/>
    <w:rsid w:val="008533E0"/>
    <w:rsid w:val="00877C2E"/>
    <w:rsid w:val="00886FE4"/>
    <w:rsid w:val="008B3AB1"/>
    <w:rsid w:val="008E5B0E"/>
    <w:rsid w:val="00917C44"/>
    <w:rsid w:val="0092758F"/>
    <w:rsid w:val="0096404D"/>
    <w:rsid w:val="009975E3"/>
    <w:rsid w:val="009B455B"/>
    <w:rsid w:val="009B6A50"/>
    <w:rsid w:val="00A70925"/>
    <w:rsid w:val="00A822E3"/>
    <w:rsid w:val="00AA0980"/>
    <w:rsid w:val="00AA12E0"/>
    <w:rsid w:val="00AA1C7B"/>
    <w:rsid w:val="00AD4D1A"/>
    <w:rsid w:val="00B06F4A"/>
    <w:rsid w:val="00B23A2A"/>
    <w:rsid w:val="00B23FAE"/>
    <w:rsid w:val="00B252DE"/>
    <w:rsid w:val="00B57A88"/>
    <w:rsid w:val="00B67E38"/>
    <w:rsid w:val="00BE20D4"/>
    <w:rsid w:val="00BF6C0C"/>
    <w:rsid w:val="00C076A0"/>
    <w:rsid w:val="00C10F24"/>
    <w:rsid w:val="00C27B31"/>
    <w:rsid w:val="00C6582E"/>
    <w:rsid w:val="00C72D47"/>
    <w:rsid w:val="00C75DB1"/>
    <w:rsid w:val="00C81206"/>
    <w:rsid w:val="00C83217"/>
    <w:rsid w:val="00CE5157"/>
    <w:rsid w:val="00CF0E28"/>
    <w:rsid w:val="00CF1375"/>
    <w:rsid w:val="00D03E98"/>
    <w:rsid w:val="00D11AE9"/>
    <w:rsid w:val="00D23F76"/>
    <w:rsid w:val="00D504A9"/>
    <w:rsid w:val="00D559DE"/>
    <w:rsid w:val="00D622DE"/>
    <w:rsid w:val="00D71501"/>
    <w:rsid w:val="00D75BE2"/>
    <w:rsid w:val="00E10A96"/>
    <w:rsid w:val="00E13196"/>
    <w:rsid w:val="00E14FF7"/>
    <w:rsid w:val="00E41FB5"/>
    <w:rsid w:val="00E5101D"/>
    <w:rsid w:val="00E61BD9"/>
    <w:rsid w:val="00E84148"/>
    <w:rsid w:val="00EA4BFD"/>
    <w:rsid w:val="00EB1BCB"/>
    <w:rsid w:val="00ED1A5E"/>
    <w:rsid w:val="00F73169"/>
    <w:rsid w:val="00F927C3"/>
    <w:rsid w:val="00FA1599"/>
    <w:rsid w:val="00FB4AE1"/>
    <w:rsid w:val="00FB51FD"/>
    <w:rsid w:val="00FE74FA"/>
    <w:rsid w:val="00FF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533E0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22F6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533E0"/>
    <w:pPr>
      <w:spacing w:after="0" w:line="360" w:lineRule="auto"/>
      <w:ind w:firstLine="567"/>
    </w:pPr>
    <w:rPr>
      <w:rFonts w:ascii="Arial" w:hAnsi="Arial"/>
    </w:rPr>
  </w:style>
  <w:style w:type="character" w:customStyle="1" w:styleId="Nadpis1Char">
    <w:name w:val="Nadpis 1 Char"/>
    <w:basedOn w:val="Standardnpsmoodstavce"/>
    <w:link w:val="Nadpis1"/>
    <w:uiPriority w:val="9"/>
    <w:rsid w:val="008533E0"/>
    <w:rPr>
      <w:rFonts w:ascii="Arial" w:eastAsiaTheme="majorEastAsia" w:hAnsi="Arial" w:cstheme="majorBidi"/>
      <w:b/>
      <w:b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1D3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D3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364E"/>
  </w:style>
  <w:style w:type="paragraph" w:styleId="Zpat">
    <w:name w:val="footer"/>
    <w:basedOn w:val="Normln"/>
    <w:link w:val="ZpatChar"/>
    <w:uiPriority w:val="99"/>
    <w:unhideWhenUsed/>
    <w:rsid w:val="001D3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364E"/>
  </w:style>
  <w:style w:type="character" w:customStyle="1" w:styleId="Nadpis2Char">
    <w:name w:val="Nadpis 2 Char"/>
    <w:basedOn w:val="Standardnpsmoodstavce"/>
    <w:link w:val="Nadpis2"/>
    <w:uiPriority w:val="9"/>
    <w:rsid w:val="005722F6"/>
    <w:rPr>
      <w:rFonts w:ascii="Arial" w:eastAsiaTheme="majorEastAsia" w:hAnsi="Arial" w:cstheme="majorBidi"/>
      <w:b/>
      <w:bCs/>
      <w:sz w:val="26"/>
      <w:szCs w:val="2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23A2A"/>
    <w:pPr>
      <w:spacing w:after="0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23A2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23A2A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B23A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533E0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22F6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533E0"/>
    <w:pPr>
      <w:spacing w:after="0" w:line="360" w:lineRule="auto"/>
      <w:ind w:firstLine="567"/>
    </w:pPr>
    <w:rPr>
      <w:rFonts w:ascii="Arial" w:hAnsi="Arial"/>
    </w:rPr>
  </w:style>
  <w:style w:type="character" w:customStyle="1" w:styleId="Nadpis1Char">
    <w:name w:val="Nadpis 1 Char"/>
    <w:basedOn w:val="Standardnpsmoodstavce"/>
    <w:link w:val="Nadpis1"/>
    <w:uiPriority w:val="9"/>
    <w:rsid w:val="008533E0"/>
    <w:rPr>
      <w:rFonts w:ascii="Arial" w:eastAsiaTheme="majorEastAsia" w:hAnsi="Arial" w:cstheme="majorBidi"/>
      <w:b/>
      <w:b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1D3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D3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364E"/>
  </w:style>
  <w:style w:type="paragraph" w:styleId="Zpat">
    <w:name w:val="footer"/>
    <w:basedOn w:val="Normln"/>
    <w:link w:val="ZpatChar"/>
    <w:uiPriority w:val="99"/>
    <w:unhideWhenUsed/>
    <w:rsid w:val="001D3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364E"/>
  </w:style>
  <w:style w:type="character" w:customStyle="1" w:styleId="Nadpis2Char">
    <w:name w:val="Nadpis 2 Char"/>
    <w:basedOn w:val="Standardnpsmoodstavce"/>
    <w:link w:val="Nadpis2"/>
    <w:uiPriority w:val="9"/>
    <w:rsid w:val="005722F6"/>
    <w:rPr>
      <w:rFonts w:ascii="Arial" w:eastAsiaTheme="majorEastAsia" w:hAnsi="Arial" w:cstheme="majorBidi"/>
      <w:b/>
      <w:bCs/>
      <w:sz w:val="26"/>
      <w:szCs w:val="2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23A2A"/>
    <w:pPr>
      <w:spacing w:after="0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23A2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23A2A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B23A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chart" Target="charts/chart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F:\OIK\Statistika\2015\Se&#353;it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F:\OIK\Statistika\2015\Se&#353;it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F:\OIK\Statistika\2015\Se&#353;it1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F:\OIK\Statistika\2015\Se&#353;it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9963473315835535E-2"/>
          <c:y val="0.20601851851851852"/>
          <c:w val="0.71615769903762028"/>
          <c:h val="0.77314814814814814"/>
        </c:manualLayout>
      </c:layout>
      <c:pie3DChart>
        <c:varyColors val="1"/>
        <c:ser>
          <c:idx val="0"/>
          <c:order val="0"/>
          <c:spPr>
            <a:effectLst>
              <a:outerShdw blurRad="63500" sx="102000" sy="102000" algn="ctr" rotWithShape="0">
                <a:prstClr val="black">
                  <a:alpha val="40000"/>
                </a:prstClr>
              </a:outerShdw>
            </a:effectLst>
          </c:spPr>
          <c:explosion val="25"/>
          <c:dPt>
            <c:idx val="0"/>
            <c:bubble3D val="0"/>
            <c:explosion val="14"/>
          </c:dPt>
          <c:dLbls>
            <c:dLbl>
              <c:idx val="0"/>
              <c:layout>
                <c:manualLayout>
                  <c:x val="-1.8945538057742781E-2"/>
                  <c:y val="-0.2508843686205891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3.777865266841645E-2"/>
                  <c:y val="-0.2222630504520268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3.8743110236220471E-2"/>
                  <c:y val="-3.25185914260717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2.3506780402449693E-2"/>
                  <c:y val="-2.752588218139399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List1!$F$5:$I$5</c:f>
              <c:strCache>
                <c:ptCount val="4"/>
                <c:pt idx="0">
                  <c:v>JNP</c:v>
                </c:pt>
                <c:pt idx="1">
                  <c:v>PNP</c:v>
                </c:pt>
                <c:pt idx="2">
                  <c:v>ZTČ</c:v>
                </c:pt>
                <c:pt idx="3">
                  <c:v>NO</c:v>
                </c:pt>
              </c:strCache>
            </c:strRef>
          </c:cat>
          <c:val>
            <c:numRef>
              <c:f>List1!$F$6:$I$6</c:f>
              <c:numCache>
                <c:formatCode>General</c:formatCode>
                <c:ptCount val="4"/>
                <c:pt idx="0">
                  <c:v>1830</c:v>
                </c:pt>
                <c:pt idx="1">
                  <c:v>1098</c:v>
                </c:pt>
                <c:pt idx="2">
                  <c:v>149</c:v>
                </c:pt>
                <c:pt idx="3">
                  <c:v>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b="1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List2!$D$5:$D$16</c:f>
              <c:strCache>
                <c:ptCount val="12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  <c:pt idx="6">
                  <c:v>červenec</c:v>
                </c:pt>
                <c:pt idx="7">
                  <c:v>srpen</c:v>
                </c:pt>
                <c:pt idx="8">
                  <c:v>září</c:v>
                </c:pt>
                <c:pt idx="9">
                  <c:v>říjen</c:v>
                </c:pt>
                <c:pt idx="10">
                  <c:v>listopad</c:v>
                </c:pt>
                <c:pt idx="11">
                  <c:v>prosinec</c:v>
                </c:pt>
              </c:strCache>
            </c:strRef>
          </c:cat>
          <c:val>
            <c:numRef>
              <c:f>List2!$E$5:$E$16</c:f>
              <c:numCache>
                <c:formatCode>General</c:formatCode>
                <c:ptCount val="12"/>
                <c:pt idx="0">
                  <c:v>429</c:v>
                </c:pt>
                <c:pt idx="1">
                  <c:v>450</c:v>
                </c:pt>
                <c:pt idx="2">
                  <c:v>246</c:v>
                </c:pt>
                <c:pt idx="3">
                  <c:v>240</c:v>
                </c:pt>
                <c:pt idx="4">
                  <c:v>166</c:v>
                </c:pt>
                <c:pt idx="5">
                  <c:v>200</c:v>
                </c:pt>
                <c:pt idx="6">
                  <c:v>227</c:v>
                </c:pt>
                <c:pt idx="7">
                  <c:v>215</c:v>
                </c:pt>
                <c:pt idx="8">
                  <c:v>235</c:v>
                </c:pt>
                <c:pt idx="9">
                  <c:v>239</c:v>
                </c:pt>
                <c:pt idx="10">
                  <c:v>260</c:v>
                </c:pt>
                <c:pt idx="11">
                  <c:v>266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71758464"/>
        <c:axId val="271760000"/>
        <c:axId val="0"/>
      </c:bar3DChart>
      <c:catAx>
        <c:axId val="27175846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cs-CZ"/>
          </a:p>
        </c:txPr>
        <c:crossAx val="271760000"/>
        <c:crosses val="autoZero"/>
        <c:auto val="1"/>
        <c:lblAlgn val="ctr"/>
        <c:lblOffset val="100"/>
        <c:noMultiLvlLbl val="0"/>
      </c:catAx>
      <c:valAx>
        <c:axId val="271760000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cs-CZ"/>
          </a:p>
        </c:txPr>
        <c:crossAx val="271758464"/>
        <c:crosses val="autoZero"/>
        <c:crossBetween val="between"/>
      </c:valAx>
    </c:plotArea>
    <c:plotVisOnly val="1"/>
    <c:dispBlanksAs val="gap"/>
    <c:showDLblsOverMax val="0"/>
  </c:chart>
  <c:spPr>
    <a:ln>
      <a:noFill/>
    </a:ln>
    <a:effectLst>
      <a:outerShdw blurRad="50800" dist="38100" dir="8100000" algn="tr" rotWithShape="0">
        <a:prstClr val="black">
          <a:alpha val="40000"/>
        </a:prstClr>
      </a:outerShdw>
    </a:effectLst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effectLst>
              <a:outerShdw blurRad="50800" dist="38100" dir="8100000" algn="tr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List3!$D$5:$D$16</c:f>
              <c:strCache>
                <c:ptCount val="12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  <c:pt idx="6">
                  <c:v>červenec</c:v>
                </c:pt>
                <c:pt idx="7">
                  <c:v>srpen</c:v>
                </c:pt>
                <c:pt idx="8">
                  <c:v>září</c:v>
                </c:pt>
                <c:pt idx="9">
                  <c:v>říjen</c:v>
                </c:pt>
                <c:pt idx="10">
                  <c:v>listopad</c:v>
                </c:pt>
                <c:pt idx="11">
                  <c:v>prosinec</c:v>
                </c:pt>
              </c:strCache>
            </c:strRef>
          </c:cat>
          <c:val>
            <c:numRef>
              <c:f>List3!$F$5:$F$16</c:f>
              <c:numCache>
                <c:formatCode>0.0</c:formatCode>
                <c:ptCount val="12"/>
                <c:pt idx="0">
                  <c:v>13.838709677419354</c:v>
                </c:pt>
                <c:pt idx="1">
                  <c:v>16.071428571428573</c:v>
                </c:pt>
                <c:pt idx="2">
                  <c:v>7.935483870967742</c:v>
                </c:pt>
                <c:pt idx="3">
                  <c:v>8</c:v>
                </c:pt>
                <c:pt idx="4">
                  <c:v>5.354838709677419</c:v>
                </c:pt>
                <c:pt idx="5">
                  <c:v>6.666666666666667</c:v>
                </c:pt>
                <c:pt idx="6">
                  <c:v>7.32258064516129</c:v>
                </c:pt>
                <c:pt idx="7">
                  <c:v>6.935483870967742</c:v>
                </c:pt>
                <c:pt idx="8">
                  <c:v>7.833333333333333</c:v>
                </c:pt>
                <c:pt idx="9">
                  <c:v>7.709677419354839</c:v>
                </c:pt>
                <c:pt idx="10">
                  <c:v>8.6666666666666661</c:v>
                </c:pt>
                <c:pt idx="11">
                  <c:v>8.5806451612903221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71776384"/>
        <c:axId val="365879680"/>
        <c:axId val="0"/>
      </c:bar3DChart>
      <c:catAx>
        <c:axId val="27177638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cs-CZ"/>
          </a:p>
        </c:txPr>
        <c:crossAx val="365879680"/>
        <c:crosses val="autoZero"/>
        <c:auto val="1"/>
        <c:lblAlgn val="ctr"/>
        <c:lblOffset val="100"/>
        <c:noMultiLvlLbl val="0"/>
      </c:catAx>
      <c:valAx>
        <c:axId val="365879680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 b="1" i="0"/>
            </a:pPr>
            <a:endParaRPr lang="cs-CZ"/>
          </a:p>
        </c:txPr>
        <c:crossAx val="271776384"/>
        <c:crosses val="autoZero"/>
        <c:crossBetween val="between"/>
      </c:valAx>
    </c:plotArea>
    <c:plotVisOnly val="1"/>
    <c:dispBlanksAs val="gap"/>
    <c:showDLblsOverMax val="0"/>
  </c:chart>
  <c:spPr>
    <a:ln>
      <a:noFill/>
    </a:ln>
    <a:effectLst>
      <a:outerShdw blurRad="50800" dist="38100" dir="8100000" algn="tr" rotWithShape="0">
        <a:prstClr val="black">
          <a:alpha val="40000"/>
        </a:prstClr>
      </a:outerShdw>
    </a:effectLst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spPr>
            <a:effectLst>
              <a:outerShdw blurRad="50800" dist="38100" dir="8100000" algn="tr" rotWithShape="0">
                <a:prstClr val="black">
                  <a:alpha val="40000"/>
                </a:prstClr>
              </a:outerShdw>
            </a:effectLst>
          </c:spPr>
          <c:explosion val="25"/>
          <c:dLbls>
            <c:dLbl>
              <c:idx val="0"/>
              <c:layout>
                <c:manualLayout>
                  <c:x val="2.6332458442694662E-2"/>
                  <c:y val="0.14519101778944299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1.8456474190726158E-2"/>
                  <c:y val="6.894138232720910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5.3189195100612423E-2"/>
                  <c:y val="-4.907152230971128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5.4605205599300086E-2"/>
                  <c:y val="2.587744240303295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4.2348643919510064E-2"/>
                  <c:y val="1.4909959171770196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2.1501531058617674E-3"/>
                  <c:y val="-1.97954943132108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List5!$O$6:$O$14</c:f>
              <c:strCache>
                <c:ptCount val="9"/>
                <c:pt idx="0">
                  <c:v>Majetková</c:v>
                </c:pt>
                <c:pt idx="1">
                  <c:v>Extremistická</c:v>
                </c:pt>
                <c:pt idx="2">
                  <c:v>Přestupková jednání</c:v>
                </c:pt>
                <c:pt idx="3">
                  <c:v>Mravnostní</c:v>
                </c:pt>
                <c:pt idx="4">
                  <c:v>Hospodářská</c:v>
                </c:pt>
                <c:pt idx="5">
                  <c:v>Poznatek</c:v>
                </c:pt>
                <c:pt idx="6">
                  <c:v>Násilná</c:v>
                </c:pt>
                <c:pt idx="7">
                  <c:v>Ostatní</c:v>
                </c:pt>
                <c:pt idx="8">
                  <c:v>Jiná správní jednání</c:v>
                </c:pt>
              </c:strCache>
            </c:strRef>
          </c:cat>
          <c:val>
            <c:numRef>
              <c:f>List5!$P$6:$P$14</c:f>
              <c:numCache>
                <c:formatCode>General</c:formatCode>
                <c:ptCount val="9"/>
                <c:pt idx="0">
                  <c:v>714</c:v>
                </c:pt>
                <c:pt idx="1">
                  <c:v>251</c:v>
                </c:pt>
                <c:pt idx="2">
                  <c:v>144</c:v>
                </c:pt>
                <c:pt idx="3">
                  <c:v>40</c:v>
                </c:pt>
                <c:pt idx="4">
                  <c:v>36</c:v>
                </c:pt>
                <c:pt idx="5">
                  <c:v>21</c:v>
                </c:pt>
                <c:pt idx="6">
                  <c:v>17</c:v>
                </c:pt>
                <c:pt idx="7">
                  <c:v>15</c:v>
                </c:pt>
                <c:pt idx="8">
                  <c:v>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>
            <a:defRPr b="1"/>
          </a:pPr>
          <a:endParaRPr lang="cs-CZ"/>
        </a:p>
      </c:txPr>
    </c:legend>
    <c:plotVisOnly val="1"/>
    <c:dispBlanksAs val="gap"/>
    <c:showDLblsOverMax val="0"/>
  </c:chart>
  <c:spPr>
    <a:ln>
      <a:noFill/>
    </a:ln>
    <a:effectLst>
      <a:outerShdw blurRad="50800" dist="38100" dir="8100000" algn="tr" rotWithShape="0">
        <a:prstClr val="black">
          <a:alpha val="40000"/>
        </a:prstClr>
      </a:outerShdw>
    </a:effectLst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doughnutChart>
        <c:varyColors val="1"/>
        <c:ser>
          <c:idx val="0"/>
          <c:order val="0"/>
          <c:spPr>
            <a:effectLst>
              <a:outerShdw blurRad="50800" dist="38100" dir="8100000" algn="tr" rotWithShape="0">
                <a:prstClr val="black">
                  <a:alpha val="40000"/>
                </a:prstClr>
              </a:outerShdw>
            </a:effectLst>
          </c:spPr>
          <c:explosion val="25"/>
          <c:dLbls>
            <c:dLbl>
              <c:idx val="0"/>
              <c:layout>
                <c:manualLayout>
                  <c:x val="0.17222222222222222"/>
                  <c:y val="5.092592592592592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0.10833333333333331"/>
                  <c:y val="-0.15277777777777779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List4!$E$5:$E$6</c:f>
              <c:strCache>
                <c:ptCount val="2"/>
                <c:pt idx="0">
                  <c:v>uloženo</c:v>
                </c:pt>
                <c:pt idx="1">
                  <c:v>postoupeno</c:v>
                </c:pt>
              </c:strCache>
            </c:strRef>
          </c:cat>
          <c:val>
            <c:numRef>
              <c:f>List4!$F$5:$F$6</c:f>
              <c:numCache>
                <c:formatCode>General</c:formatCode>
                <c:ptCount val="2"/>
                <c:pt idx="0">
                  <c:v>2571</c:v>
                </c:pt>
                <c:pt idx="1">
                  <c:v>602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overlay val="0"/>
      <c:txPr>
        <a:bodyPr/>
        <a:lstStyle/>
        <a:p>
          <a:pPr>
            <a:defRPr b="1"/>
          </a:pPr>
          <a:endParaRPr lang="cs-CZ"/>
        </a:p>
      </c:txPr>
    </c:legend>
    <c:plotVisOnly val="1"/>
    <c:dispBlanksAs val="gap"/>
    <c:showDLblsOverMax val="0"/>
  </c:chart>
  <c:spPr>
    <a:ln>
      <a:noFill/>
    </a:ln>
    <a:effectLst>
      <a:outerShdw blurRad="50800" dist="38100" dir="8100000" algn="tr" rotWithShape="0">
        <a:prstClr val="black">
          <a:alpha val="40000"/>
        </a:prstClr>
      </a:outerShdw>
    </a:effectLst>
  </c:sp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C430F-54B5-4C35-8DF0-5EB92D679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9</Pages>
  <Words>1635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Lord</dc:creator>
  <cp:lastModifiedBy>Lord</cp:lastModifiedBy>
  <cp:revision>34</cp:revision>
  <cp:lastPrinted>2015-03-06T10:16:00Z</cp:lastPrinted>
  <dcterms:created xsi:type="dcterms:W3CDTF">2016-01-15T21:00:00Z</dcterms:created>
  <dcterms:modified xsi:type="dcterms:W3CDTF">2016-01-16T21:45:00Z</dcterms:modified>
</cp:coreProperties>
</file>