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3E0" w:rsidRDefault="00D56606" w:rsidP="001D364E">
      <w:pPr>
        <w:pStyle w:val="Bezmezer"/>
        <w:jc w:val="center"/>
        <w:rPr>
          <w:rFonts w:cs="Arial"/>
        </w:rPr>
      </w:pPr>
      <w:r>
        <w:rPr>
          <w:rFonts w:cs="Arial"/>
        </w:rPr>
        <w:t>NÁRODNÍ CENTRÁLA PROTI ORGANIZOVANÉMU</w:t>
      </w:r>
      <w:r w:rsidR="00F73169">
        <w:rPr>
          <w:rFonts w:cs="Arial"/>
        </w:rPr>
        <w:t xml:space="preserve"> ZLOČINU</w:t>
      </w:r>
    </w:p>
    <w:p w:rsidR="008533E0" w:rsidRDefault="00D56606" w:rsidP="001D364E">
      <w:pPr>
        <w:pStyle w:val="Bezmezer"/>
        <w:jc w:val="center"/>
        <w:rPr>
          <w:rFonts w:cs="Arial"/>
        </w:rPr>
      </w:pPr>
      <w:r>
        <w:rPr>
          <w:rFonts w:cs="Arial"/>
        </w:rPr>
        <w:t>s</w:t>
      </w:r>
      <w:r w:rsidR="00F73169">
        <w:rPr>
          <w:rFonts w:cs="Arial"/>
        </w:rPr>
        <w:t>lužby kriminální policie a vyšetřování</w:t>
      </w:r>
    </w:p>
    <w:p w:rsidR="008533E0" w:rsidRDefault="00D56606" w:rsidP="001D364E">
      <w:pPr>
        <w:pStyle w:val="Bezmezer"/>
        <w:jc w:val="center"/>
        <w:rPr>
          <w:rFonts w:cs="Arial"/>
        </w:rPr>
      </w:pPr>
      <w:r>
        <w:rPr>
          <w:rFonts w:cs="Arial"/>
        </w:rPr>
        <w:t>odbor kybernetické</w:t>
      </w:r>
      <w:r w:rsidR="008533E0">
        <w:rPr>
          <w:rFonts w:cs="Arial"/>
        </w:rPr>
        <w:t xml:space="preserve"> kriminality</w:t>
      </w: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Pr="008533E0" w:rsidRDefault="008533E0" w:rsidP="008533E0">
      <w:pPr>
        <w:pStyle w:val="Bezmezer"/>
        <w:spacing w:line="276" w:lineRule="auto"/>
        <w:jc w:val="center"/>
        <w:rPr>
          <w:rFonts w:cs="Arial"/>
          <w:b/>
          <w:sz w:val="40"/>
          <w:szCs w:val="40"/>
        </w:rPr>
      </w:pPr>
      <w:r w:rsidRPr="008533E0">
        <w:rPr>
          <w:rFonts w:cs="Arial"/>
          <w:b/>
          <w:sz w:val="40"/>
          <w:szCs w:val="40"/>
        </w:rPr>
        <w:t>POLICEJNÍ INTERNETOVÁ HOTLINE</w:t>
      </w: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Statistický výstup za</w:t>
      </w:r>
      <w:r w:rsidR="00D56606">
        <w:rPr>
          <w:rFonts w:cs="Arial"/>
          <w:sz w:val="28"/>
          <w:szCs w:val="28"/>
        </w:rPr>
        <w:t xml:space="preserve"> rok 2016</w:t>
      </w: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2F0C94" w:rsidRDefault="002F0C94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2F0C94" w:rsidRDefault="002F0C94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2F0C94" w:rsidRDefault="002F0C94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2F0C94" w:rsidRDefault="002F0C94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2F0C94" w:rsidRDefault="002F0C94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/>
        </w:rPr>
        <w:id w:val="-2140329104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</w:rPr>
      </w:sdtEndPr>
      <w:sdtContent>
        <w:p w:rsidR="00B23A2A" w:rsidRPr="00B23A2A" w:rsidRDefault="00B23A2A" w:rsidP="00B23A2A">
          <w:pPr>
            <w:pStyle w:val="Nadpisobsahu"/>
            <w:spacing w:line="360" w:lineRule="auto"/>
            <w:rPr>
              <w:rFonts w:ascii="Arial" w:hAnsi="Arial" w:cs="Arial"/>
              <w:color w:val="auto"/>
            </w:rPr>
          </w:pPr>
          <w:r w:rsidRPr="00B23A2A">
            <w:rPr>
              <w:rFonts w:ascii="Arial" w:hAnsi="Arial" w:cs="Arial"/>
              <w:color w:val="auto"/>
            </w:rPr>
            <w:t>Obsah</w:t>
          </w:r>
        </w:p>
        <w:p w:rsidR="00EC10B0" w:rsidRPr="00EC10B0" w:rsidRDefault="00B23A2A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1739790" w:history="1">
            <w:r w:rsidR="00EC10B0" w:rsidRPr="00EC10B0">
              <w:rPr>
                <w:rStyle w:val="Hypertextovodkaz"/>
                <w:rFonts w:ascii="Arial" w:hAnsi="Arial" w:cs="Arial"/>
                <w:noProof/>
              </w:rPr>
              <w:t>1 Kvantitativní analýza</w:t>
            </w:r>
            <w:r w:rsidR="00EC10B0" w:rsidRPr="00EC10B0">
              <w:rPr>
                <w:rFonts w:ascii="Arial" w:hAnsi="Arial" w:cs="Arial"/>
                <w:noProof/>
                <w:webHidden/>
              </w:rPr>
              <w:tab/>
            </w:r>
            <w:r w:rsidR="00EC10B0" w:rsidRPr="00EC10B0">
              <w:rPr>
                <w:rFonts w:ascii="Arial" w:hAnsi="Arial" w:cs="Arial"/>
                <w:noProof/>
                <w:webHidden/>
              </w:rPr>
              <w:fldChar w:fldCharType="begin"/>
            </w:r>
            <w:r w:rsidR="00EC10B0" w:rsidRPr="00EC10B0">
              <w:rPr>
                <w:rFonts w:ascii="Arial" w:hAnsi="Arial" w:cs="Arial"/>
                <w:noProof/>
                <w:webHidden/>
              </w:rPr>
              <w:instrText xml:space="preserve"> PAGEREF _Toc471739790 \h </w:instrText>
            </w:r>
            <w:r w:rsidR="00EC10B0" w:rsidRPr="00EC10B0">
              <w:rPr>
                <w:rFonts w:ascii="Arial" w:hAnsi="Arial" w:cs="Arial"/>
                <w:noProof/>
                <w:webHidden/>
              </w:rPr>
            </w:r>
            <w:r w:rsidR="00EC10B0" w:rsidRPr="00EC10B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C10B0" w:rsidRPr="00EC10B0">
              <w:rPr>
                <w:rFonts w:ascii="Arial" w:hAnsi="Arial" w:cs="Arial"/>
                <w:noProof/>
                <w:webHidden/>
              </w:rPr>
              <w:t>3</w:t>
            </w:r>
            <w:r w:rsidR="00EC10B0" w:rsidRPr="00EC10B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EC10B0" w:rsidRPr="00EC10B0" w:rsidRDefault="00EC10B0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471739791" w:history="1">
            <w:r w:rsidRPr="00EC10B0">
              <w:rPr>
                <w:rStyle w:val="Hypertextovodkaz"/>
                <w:rFonts w:ascii="Arial" w:hAnsi="Arial" w:cs="Arial"/>
                <w:noProof/>
              </w:rPr>
              <w:t>2 Kvalitativní analýza</w:t>
            </w:r>
            <w:r w:rsidRPr="00EC10B0">
              <w:rPr>
                <w:rFonts w:ascii="Arial" w:hAnsi="Arial" w:cs="Arial"/>
                <w:noProof/>
                <w:webHidden/>
              </w:rPr>
              <w:tab/>
            </w:r>
            <w:r w:rsidRPr="00EC10B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C10B0">
              <w:rPr>
                <w:rFonts w:ascii="Arial" w:hAnsi="Arial" w:cs="Arial"/>
                <w:noProof/>
                <w:webHidden/>
              </w:rPr>
              <w:instrText xml:space="preserve"> PAGEREF _Toc471739791 \h </w:instrText>
            </w:r>
            <w:r w:rsidRPr="00EC10B0">
              <w:rPr>
                <w:rFonts w:ascii="Arial" w:hAnsi="Arial" w:cs="Arial"/>
                <w:noProof/>
                <w:webHidden/>
              </w:rPr>
            </w:r>
            <w:r w:rsidRPr="00EC10B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C10B0">
              <w:rPr>
                <w:rFonts w:ascii="Arial" w:hAnsi="Arial" w:cs="Arial"/>
                <w:noProof/>
                <w:webHidden/>
              </w:rPr>
              <w:t>5</w:t>
            </w:r>
            <w:r w:rsidRPr="00EC10B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EC10B0" w:rsidRPr="00EC10B0" w:rsidRDefault="00EC10B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471739792" w:history="1">
            <w:r w:rsidRPr="00EC10B0">
              <w:rPr>
                <w:rStyle w:val="Hypertextovodkaz"/>
                <w:rFonts w:ascii="Arial" w:hAnsi="Arial" w:cs="Arial"/>
                <w:noProof/>
              </w:rPr>
              <w:t>2.1 Rozdělení hlášení do oblastí možného protiprávního jednání</w:t>
            </w:r>
            <w:r w:rsidRPr="00EC10B0">
              <w:rPr>
                <w:rFonts w:ascii="Arial" w:hAnsi="Arial" w:cs="Arial"/>
                <w:noProof/>
                <w:webHidden/>
              </w:rPr>
              <w:tab/>
            </w:r>
            <w:r w:rsidRPr="00EC10B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C10B0">
              <w:rPr>
                <w:rFonts w:ascii="Arial" w:hAnsi="Arial" w:cs="Arial"/>
                <w:noProof/>
                <w:webHidden/>
              </w:rPr>
              <w:instrText xml:space="preserve"> PAGEREF _Toc471739792 \h </w:instrText>
            </w:r>
            <w:r w:rsidRPr="00EC10B0">
              <w:rPr>
                <w:rFonts w:ascii="Arial" w:hAnsi="Arial" w:cs="Arial"/>
                <w:noProof/>
                <w:webHidden/>
              </w:rPr>
            </w:r>
            <w:r w:rsidRPr="00EC10B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C10B0">
              <w:rPr>
                <w:rFonts w:ascii="Arial" w:hAnsi="Arial" w:cs="Arial"/>
                <w:noProof/>
                <w:webHidden/>
              </w:rPr>
              <w:t>5</w:t>
            </w:r>
            <w:r w:rsidRPr="00EC10B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EC10B0" w:rsidRPr="00EC10B0" w:rsidRDefault="00EC10B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471739793" w:history="1">
            <w:r w:rsidRPr="00EC10B0">
              <w:rPr>
                <w:rStyle w:val="Hypertextovodkaz"/>
                <w:rFonts w:ascii="Arial" w:hAnsi="Arial" w:cs="Arial"/>
                <w:noProof/>
              </w:rPr>
              <w:t>2.2 Trendy 2016</w:t>
            </w:r>
            <w:r w:rsidRPr="00EC10B0">
              <w:rPr>
                <w:rFonts w:ascii="Arial" w:hAnsi="Arial" w:cs="Arial"/>
                <w:noProof/>
                <w:webHidden/>
              </w:rPr>
              <w:tab/>
            </w:r>
            <w:r w:rsidRPr="00EC10B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C10B0">
              <w:rPr>
                <w:rFonts w:ascii="Arial" w:hAnsi="Arial" w:cs="Arial"/>
                <w:noProof/>
                <w:webHidden/>
              </w:rPr>
              <w:instrText xml:space="preserve"> PAGEREF _Toc471739793 \h </w:instrText>
            </w:r>
            <w:r w:rsidRPr="00EC10B0">
              <w:rPr>
                <w:rFonts w:ascii="Arial" w:hAnsi="Arial" w:cs="Arial"/>
                <w:noProof/>
                <w:webHidden/>
              </w:rPr>
            </w:r>
            <w:r w:rsidRPr="00EC10B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C10B0">
              <w:rPr>
                <w:rFonts w:ascii="Arial" w:hAnsi="Arial" w:cs="Arial"/>
                <w:noProof/>
                <w:webHidden/>
              </w:rPr>
              <w:t>6</w:t>
            </w:r>
            <w:r w:rsidRPr="00EC10B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EC10B0" w:rsidRPr="00EC10B0" w:rsidRDefault="00EC10B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471739794" w:history="1">
            <w:r w:rsidRPr="00EC10B0">
              <w:rPr>
                <w:rStyle w:val="Hypertextovodkaz"/>
                <w:rFonts w:ascii="Arial" w:hAnsi="Arial" w:cs="Arial"/>
                <w:noProof/>
              </w:rPr>
              <w:t>2.3 Vyřízení hlášení</w:t>
            </w:r>
            <w:r w:rsidRPr="00EC10B0">
              <w:rPr>
                <w:rFonts w:ascii="Arial" w:hAnsi="Arial" w:cs="Arial"/>
                <w:noProof/>
                <w:webHidden/>
              </w:rPr>
              <w:tab/>
            </w:r>
            <w:r w:rsidRPr="00EC10B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C10B0">
              <w:rPr>
                <w:rFonts w:ascii="Arial" w:hAnsi="Arial" w:cs="Arial"/>
                <w:noProof/>
                <w:webHidden/>
              </w:rPr>
              <w:instrText xml:space="preserve"> PAGEREF _Toc471739794 \h </w:instrText>
            </w:r>
            <w:r w:rsidRPr="00EC10B0">
              <w:rPr>
                <w:rFonts w:ascii="Arial" w:hAnsi="Arial" w:cs="Arial"/>
                <w:noProof/>
                <w:webHidden/>
              </w:rPr>
            </w:r>
            <w:r w:rsidRPr="00EC10B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C10B0">
              <w:rPr>
                <w:rFonts w:ascii="Arial" w:hAnsi="Arial" w:cs="Arial"/>
                <w:noProof/>
                <w:webHidden/>
              </w:rPr>
              <w:t>6</w:t>
            </w:r>
            <w:r w:rsidRPr="00EC10B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EC10B0" w:rsidRPr="00EC10B0" w:rsidRDefault="00EC10B0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471739795" w:history="1">
            <w:r w:rsidRPr="00EC10B0">
              <w:rPr>
                <w:rStyle w:val="Hypertextovodkaz"/>
                <w:rFonts w:ascii="Arial" w:hAnsi="Arial" w:cs="Arial"/>
                <w:noProof/>
              </w:rPr>
              <w:t>3 Závěrečné vyhodnocení</w:t>
            </w:r>
            <w:r w:rsidRPr="00EC10B0">
              <w:rPr>
                <w:rFonts w:ascii="Arial" w:hAnsi="Arial" w:cs="Arial"/>
                <w:noProof/>
                <w:webHidden/>
              </w:rPr>
              <w:tab/>
            </w:r>
            <w:r w:rsidRPr="00EC10B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C10B0">
              <w:rPr>
                <w:rFonts w:ascii="Arial" w:hAnsi="Arial" w:cs="Arial"/>
                <w:noProof/>
                <w:webHidden/>
              </w:rPr>
              <w:instrText xml:space="preserve"> PAGEREF _Toc471739795 \h </w:instrText>
            </w:r>
            <w:r w:rsidRPr="00EC10B0">
              <w:rPr>
                <w:rFonts w:ascii="Arial" w:hAnsi="Arial" w:cs="Arial"/>
                <w:noProof/>
                <w:webHidden/>
              </w:rPr>
            </w:r>
            <w:r w:rsidRPr="00EC10B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C10B0">
              <w:rPr>
                <w:rFonts w:ascii="Arial" w:hAnsi="Arial" w:cs="Arial"/>
                <w:noProof/>
                <w:webHidden/>
              </w:rPr>
              <w:t>7</w:t>
            </w:r>
            <w:r w:rsidRPr="00EC10B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23A2A" w:rsidRDefault="00B23A2A" w:rsidP="00B23A2A">
          <w:pPr>
            <w:spacing w:line="360" w:lineRule="auto"/>
          </w:pPr>
          <w:r>
            <w:rPr>
              <w:b/>
              <w:bCs/>
            </w:rPr>
            <w:fldChar w:fldCharType="end"/>
          </w:r>
        </w:p>
      </w:sdtContent>
    </w:sdt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>
      <w:bookmarkStart w:id="0" w:name="_GoBack"/>
      <w:bookmarkEnd w:id="0"/>
    </w:p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Default="00B23A2A">
      <w:pPr>
        <w:sectPr w:rsidR="00B23A2A" w:rsidSect="005722F6">
          <w:footerReference w:type="defaul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:rsidR="008533E0" w:rsidRDefault="00302A9F" w:rsidP="00E13196">
      <w:pPr>
        <w:pStyle w:val="Nadpis1"/>
        <w:spacing w:before="0"/>
      </w:pPr>
      <w:bookmarkStart w:id="1" w:name="_Toc471739790"/>
      <w:r>
        <w:lastRenderedPageBreak/>
        <w:t>1</w:t>
      </w:r>
      <w:r w:rsidR="00E13196">
        <w:t xml:space="preserve"> </w:t>
      </w:r>
      <w:r w:rsidR="00CF0E28">
        <w:t>Kvantitativní analýza</w:t>
      </w:r>
      <w:bookmarkEnd w:id="1"/>
      <w:r w:rsidR="00CF0E28">
        <w:t xml:space="preserve"> </w:t>
      </w:r>
    </w:p>
    <w:p w:rsidR="00AA0980" w:rsidRDefault="008533E0" w:rsidP="00F55BB7">
      <w:pPr>
        <w:pStyle w:val="Bezmezer"/>
        <w:spacing w:after="240"/>
        <w:jc w:val="both"/>
        <w:rPr>
          <w:b/>
          <w:u w:val="single"/>
        </w:rPr>
      </w:pPr>
      <w:r>
        <w:t>V roce 201</w:t>
      </w:r>
      <w:r w:rsidR="008C3D34">
        <w:t>6</w:t>
      </w:r>
      <w:r>
        <w:t xml:space="preserve"> bylo prostřednictvím formuláře </w:t>
      </w:r>
      <w:r w:rsidR="00490025">
        <w:t xml:space="preserve">– pro hlášení závadového obsahu a aktivit v síti Internet, </w:t>
      </w:r>
      <w:r>
        <w:t xml:space="preserve">přijato </w:t>
      </w:r>
      <w:r w:rsidR="00F73169">
        <w:rPr>
          <w:b/>
        </w:rPr>
        <w:t>celkem 3 3</w:t>
      </w:r>
      <w:r w:rsidR="008C3D34">
        <w:rPr>
          <w:b/>
        </w:rPr>
        <w:t>78</w:t>
      </w:r>
      <w:r w:rsidRPr="00490025">
        <w:rPr>
          <w:b/>
        </w:rPr>
        <w:t xml:space="preserve"> </w:t>
      </w:r>
      <w:r w:rsidR="008C3D34">
        <w:rPr>
          <w:b/>
        </w:rPr>
        <w:t>hlášení</w:t>
      </w:r>
      <w:r w:rsidR="00490025">
        <w:t>.</w:t>
      </w:r>
      <w:r w:rsidR="00E13196">
        <w:t xml:space="preserve"> </w:t>
      </w:r>
      <w:r w:rsidR="008C3D34">
        <w:t>V porovnání s rokem 2015</w:t>
      </w:r>
      <w:r w:rsidR="00F73169">
        <w:t xml:space="preserve"> se tedy jedná o</w:t>
      </w:r>
      <w:r w:rsidR="008C3D34">
        <w:t xml:space="preserve"> mírný nárůst</w:t>
      </w:r>
      <w:r w:rsidR="00F73169">
        <w:t xml:space="preserve"> </w:t>
      </w:r>
      <w:r w:rsidR="00497EAC">
        <w:t xml:space="preserve">o </w:t>
      </w:r>
      <w:r w:rsidR="00006F59">
        <w:t>205</w:t>
      </w:r>
      <w:r w:rsidR="00F73169">
        <w:t xml:space="preserve"> (c</w:t>
      </w:r>
      <w:r w:rsidR="00497EAC">
        <w:t>ca 7</w:t>
      </w:r>
      <w:r w:rsidR="008E5B0E">
        <w:t xml:space="preserve"> %) zaslaných </w:t>
      </w:r>
      <w:r w:rsidR="00497EAC">
        <w:t>hlášení</w:t>
      </w:r>
      <w:r w:rsidR="008E5B0E">
        <w:t xml:space="preserve">. V následujícím grafickém zobrazení je znázorněna struktura předmětných hlášení, pro rok </w:t>
      </w:r>
      <w:r w:rsidR="00497EAC">
        <w:t>2016</w:t>
      </w:r>
      <w:r w:rsidR="008E5B0E">
        <w:t>.</w:t>
      </w:r>
    </w:p>
    <w:p w:rsidR="00460852" w:rsidRDefault="00497EAC" w:rsidP="00460852">
      <w:pPr>
        <w:pStyle w:val="Bezmezer"/>
        <w:spacing w:after="120"/>
        <w:ind w:firstLine="0"/>
        <w:rPr>
          <w:b/>
          <w:u w:val="single"/>
        </w:rPr>
      </w:pPr>
      <w:r>
        <w:rPr>
          <w:b/>
          <w:u w:val="single"/>
        </w:rPr>
        <w:t>Rok 2016</w:t>
      </w:r>
    </w:p>
    <w:tbl>
      <w:tblPr>
        <w:tblW w:w="22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960"/>
      </w:tblGrid>
      <w:tr w:rsidR="00F55BB7" w:rsidRPr="00AA0980" w:rsidTr="00F55BB7">
        <w:trPr>
          <w:trHeight w:val="300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F55BB7" w:rsidRPr="00F55BB7" w:rsidRDefault="00F55BB7" w:rsidP="00F55B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F55BB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Relevantní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F55BB7" w:rsidRPr="00AA0980" w:rsidRDefault="00F55BB7" w:rsidP="00AA09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1 368</w:t>
            </w:r>
          </w:p>
        </w:tc>
      </w:tr>
      <w:tr w:rsidR="00F55BB7" w:rsidRPr="00AA0980" w:rsidTr="00F55BB7">
        <w:trPr>
          <w:trHeight w:val="300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BB7" w:rsidRPr="00F55BB7" w:rsidRDefault="00F55BB7" w:rsidP="00F55BB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F55BB7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Nerelevantní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BB7" w:rsidRPr="00AA0980" w:rsidRDefault="00F55BB7" w:rsidP="00AA09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2 010</w:t>
            </w:r>
          </w:p>
        </w:tc>
      </w:tr>
    </w:tbl>
    <w:p w:rsidR="002735F7" w:rsidRDefault="002735F7" w:rsidP="002735F7">
      <w:pPr>
        <w:pStyle w:val="Bezmezer"/>
        <w:spacing w:after="120"/>
        <w:ind w:firstLine="0"/>
        <w:jc w:val="center"/>
        <w:rPr>
          <w:noProof/>
          <w:lang w:eastAsia="cs-CZ"/>
        </w:rPr>
      </w:pPr>
    </w:p>
    <w:p w:rsidR="00F55BB7" w:rsidRPr="00460852" w:rsidRDefault="00F55BB7" w:rsidP="002735F7">
      <w:pPr>
        <w:pStyle w:val="Bezmezer"/>
        <w:spacing w:after="120"/>
        <w:ind w:firstLine="0"/>
        <w:jc w:val="center"/>
        <w:rPr>
          <w:b/>
          <w:u w:val="single"/>
        </w:rPr>
      </w:pPr>
      <w:r>
        <w:rPr>
          <w:noProof/>
          <w:lang w:eastAsia="cs-CZ"/>
        </w:rPr>
        <w:drawing>
          <wp:inline distT="0" distB="0" distL="0" distR="0" wp14:anchorId="567A3F3E" wp14:editId="65A58DCE">
            <wp:extent cx="4572000" cy="2743200"/>
            <wp:effectExtent l="0" t="0" r="0" b="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006CF" w:rsidRDefault="0073416B" w:rsidP="008006CF">
      <w:pPr>
        <w:pStyle w:val="Bezmezer"/>
        <w:spacing w:before="480"/>
        <w:jc w:val="both"/>
      </w:pPr>
      <w:r>
        <w:t>J</w:t>
      </w:r>
      <w:r w:rsidR="00460852">
        <w:t>ak je z</w:t>
      </w:r>
      <w:r w:rsidR="00AA0980">
        <w:t> </w:t>
      </w:r>
      <w:r w:rsidR="00460852">
        <w:t>tabulky</w:t>
      </w:r>
      <w:r w:rsidR="00AA0980">
        <w:t xml:space="preserve"> a grafu</w:t>
      </w:r>
      <w:r w:rsidR="00460852">
        <w:t xml:space="preserve"> </w:t>
      </w:r>
      <w:r w:rsidR="00161D33">
        <w:t xml:space="preserve">patrné </w:t>
      </w:r>
      <w:r w:rsidR="00F55BB7">
        <w:t xml:space="preserve">hlášení byla rozdělena do dvou základních kategorií. První jsou hlášení relevantní, u kterých je dán základ k dalšímu šetření a případnému využití v činnosti Policie ČR, případně dalších institucí. Kategorie nerelevantní pojímá veškerá hlášení, jenž svým obsahem nezakládají podezření z protiprávního jednání, jsou neaktuální nebo </w:t>
      </w:r>
      <w:r w:rsidR="00692AE6">
        <w:t>neobsahují</w:t>
      </w:r>
      <w:r w:rsidR="00F55BB7">
        <w:t xml:space="preserve"> žádné nové </w:t>
      </w:r>
      <w:r w:rsidR="00692AE6">
        <w:t>informace, které by z policejní činnosti již nebyly známy</w:t>
      </w:r>
      <w:r w:rsidR="00F55BB7">
        <w:t xml:space="preserve">. </w:t>
      </w:r>
    </w:p>
    <w:p w:rsidR="00161D33" w:rsidRDefault="00AA0980" w:rsidP="008006CF">
      <w:pPr>
        <w:pStyle w:val="Bezmezer"/>
        <w:jc w:val="both"/>
      </w:pPr>
      <w:r>
        <w:t xml:space="preserve">Z hlediska </w:t>
      </w:r>
      <w:r w:rsidR="00692AE6">
        <w:t xml:space="preserve">tohoto rozdělení je zřejmé, že </w:t>
      </w:r>
      <w:r w:rsidR="00692AE6" w:rsidRPr="002F0C94">
        <w:rPr>
          <w:b/>
        </w:rPr>
        <w:t>u cca 40%</w:t>
      </w:r>
      <w:r w:rsidR="00692AE6">
        <w:t xml:space="preserve"> přijatých </w:t>
      </w:r>
      <w:r w:rsidR="00E10A96" w:rsidRPr="00B57A88">
        <w:rPr>
          <w:u w:val="single"/>
        </w:rPr>
        <w:t>je nezbytné</w:t>
      </w:r>
      <w:r w:rsidR="00000CDB" w:rsidRPr="00B57A88">
        <w:rPr>
          <w:u w:val="single"/>
        </w:rPr>
        <w:t xml:space="preserve"> komunikovat s</w:t>
      </w:r>
      <w:r w:rsidR="00692AE6">
        <w:rPr>
          <w:u w:val="single"/>
        </w:rPr>
        <w:t> </w:t>
      </w:r>
      <w:r w:rsidR="00000CDB" w:rsidRPr="00B57A88">
        <w:rPr>
          <w:u w:val="single"/>
        </w:rPr>
        <w:t>o</w:t>
      </w:r>
      <w:r w:rsidR="00692AE6">
        <w:rPr>
          <w:u w:val="single"/>
        </w:rPr>
        <w:t>hlašovateli, případně provádět</w:t>
      </w:r>
      <w:r w:rsidR="00000CDB" w:rsidRPr="00B57A88">
        <w:rPr>
          <w:u w:val="single"/>
        </w:rPr>
        <w:t xml:space="preserve"> další šetření</w:t>
      </w:r>
      <w:r w:rsidR="00000CDB" w:rsidRPr="00161D33">
        <w:t>.</w:t>
      </w:r>
      <w:r w:rsidR="00000CDB">
        <w:t xml:space="preserve"> </w:t>
      </w:r>
    </w:p>
    <w:p w:rsidR="00AA0980" w:rsidRDefault="00AA0980" w:rsidP="002735F7">
      <w:pPr>
        <w:pStyle w:val="Bezmezer"/>
        <w:spacing w:before="480" w:after="120"/>
        <w:jc w:val="both"/>
      </w:pPr>
    </w:p>
    <w:p w:rsidR="00AA0980" w:rsidRDefault="00AA0980" w:rsidP="002735F7">
      <w:pPr>
        <w:pStyle w:val="Bezmezer"/>
        <w:spacing w:before="480" w:after="120"/>
        <w:jc w:val="both"/>
      </w:pPr>
    </w:p>
    <w:p w:rsidR="00AA0980" w:rsidRDefault="00AA0980" w:rsidP="002735F7">
      <w:pPr>
        <w:pStyle w:val="Bezmezer"/>
        <w:spacing w:before="480" w:after="120"/>
        <w:jc w:val="both"/>
      </w:pPr>
    </w:p>
    <w:p w:rsidR="00FA1599" w:rsidRPr="00FB51FD" w:rsidRDefault="002F0C94" w:rsidP="006F2B29">
      <w:pPr>
        <w:pStyle w:val="Bezmezer"/>
        <w:ind w:firstLine="0"/>
        <w:jc w:val="both"/>
        <w:rPr>
          <w:b/>
          <w:u w:val="single"/>
        </w:rPr>
      </w:pPr>
      <w:r>
        <w:rPr>
          <w:b/>
          <w:u w:val="single"/>
        </w:rPr>
        <w:lastRenderedPageBreak/>
        <w:t>Měsíční vývoj počtu hlášení</w:t>
      </w:r>
    </w:p>
    <w:p w:rsidR="00000CDB" w:rsidRDefault="00000CDB" w:rsidP="00FB51FD">
      <w:pPr>
        <w:pStyle w:val="Bezmezer"/>
        <w:spacing w:after="240"/>
        <w:jc w:val="both"/>
      </w:pPr>
      <w:r>
        <w:t xml:space="preserve">Z porovnání nápadu </w:t>
      </w:r>
      <w:r w:rsidR="002F0C94">
        <w:t>hlášení</w:t>
      </w:r>
      <w:r>
        <w:t xml:space="preserve"> me</w:t>
      </w:r>
      <w:r w:rsidR="00FA1599">
        <w:t>zi jednotlivými měsíci je patrn</w:t>
      </w:r>
      <w:r w:rsidR="00AA0980">
        <w:t>é</w:t>
      </w:r>
      <w:r w:rsidR="00ED1A5E">
        <w:t xml:space="preserve">, </w:t>
      </w:r>
      <w:r w:rsidR="00AA0980">
        <w:t xml:space="preserve">že po </w:t>
      </w:r>
      <w:r w:rsidR="00076DAA">
        <w:t xml:space="preserve">tradičně </w:t>
      </w:r>
      <w:r w:rsidR="00AA0980">
        <w:t>nadp</w:t>
      </w:r>
      <w:r w:rsidR="00076DAA">
        <w:t>růměrných měsících leden a únor</w:t>
      </w:r>
      <w:r w:rsidR="00AA0980">
        <w:t>, došlo ke stabilizaci příjmu hlášení</w:t>
      </w:r>
      <w:r w:rsidR="00076DAA">
        <w:t xml:space="preserve"> na počtu kolem 200. Nadprůměrný měsíc červen je způsoben opakovaně zasílaným hlášením jednoho ohlašovatele (500 ks) v průběhu měsíce května a června.</w:t>
      </w:r>
      <w:r w:rsidR="00076DAA">
        <w:rPr>
          <w:i/>
        </w:rPr>
        <w:t xml:space="preserve"> Vi</w:t>
      </w:r>
      <w:r w:rsidR="00AD4D1A" w:rsidRPr="00C27B31">
        <w:rPr>
          <w:i/>
        </w:rPr>
        <w:t>z grafické zobrazení níže</w:t>
      </w:r>
      <w:r w:rsidR="00AD4D1A">
        <w:t>.</w:t>
      </w:r>
    </w:p>
    <w:p w:rsidR="00C72D47" w:rsidRDefault="00C72D47" w:rsidP="00FB51FD">
      <w:pPr>
        <w:pStyle w:val="Bezmezer"/>
        <w:spacing w:after="240"/>
        <w:jc w:val="both"/>
      </w:pPr>
    </w:p>
    <w:p w:rsidR="00FA1599" w:rsidRDefault="00076DAA" w:rsidP="00C72D47">
      <w:pPr>
        <w:pStyle w:val="Bezmezer"/>
        <w:spacing w:after="240"/>
        <w:jc w:val="center"/>
      </w:pPr>
      <w:r>
        <w:rPr>
          <w:noProof/>
          <w:lang w:eastAsia="cs-CZ"/>
        </w:rPr>
        <w:drawing>
          <wp:inline distT="0" distB="0" distL="0" distR="0" wp14:anchorId="78B086C1" wp14:editId="6FDC29DC">
            <wp:extent cx="4572000" cy="2743200"/>
            <wp:effectExtent l="57150" t="57150" r="38100" b="3810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A1599" w:rsidRDefault="00FA1599" w:rsidP="006F2B29">
      <w:pPr>
        <w:pStyle w:val="Bezmezer"/>
        <w:spacing w:before="360"/>
        <w:ind w:firstLine="0"/>
        <w:jc w:val="both"/>
      </w:pPr>
      <w:r w:rsidRPr="00CE5157">
        <w:rPr>
          <w:b/>
          <w:u w:val="single"/>
        </w:rPr>
        <w:t>Denní průměr oznámení za jednotlivé měsíce</w:t>
      </w:r>
    </w:p>
    <w:p w:rsidR="00000CDB" w:rsidRDefault="001360CC" w:rsidP="006F2B29">
      <w:pPr>
        <w:pStyle w:val="Bezmezer"/>
        <w:spacing w:after="240"/>
        <w:jc w:val="both"/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16D84FA1" wp14:editId="03738B04">
            <wp:simplePos x="0" y="0"/>
            <wp:positionH relativeFrom="column">
              <wp:posOffset>843280</wp:posOffset>
            </wp:positionH>
            <wp:positionV relativeFrom="paragraph">
              <wp:posOffset>666750</wp:posOffset>
            </wp:positionV>
            <wp:extent cx="4572000" cy="2743200"/>
            <wp:effectExtent l="57150" t="57150" r="38100" b="38100"/>
            <wp:wrapNone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CE5157">
        <w:t>V</w:t>
      </w:r>
      <w:r w:rsidR="003F565D">
        <w:t> </w:t>
      </w:r>
      <w:r w:rsidR="00CE5157">
        <w:t>r</w:t>
      </w:r>
      <w:r w:rsidR="003F565D">
        <w:t xml:space="preserve">oce </w:t>
      </w:r>
      <w:r w:rsidR="00076DAA">
        <w:t xml:space="preserve">2016 byl zaznamenán obdobný průměrný denní počet přijatých hlášení v počtu </w:t>
      </w:r>
      <w:r w:rsidR="00FA1599">
        <w:t>cca</w:t>
      </w:r>
      <w:r w:rsidR="00CE5157">
        <w:t xml:space="preserve"> </w:t>
      </w:r>
      <w:r w:rsidR="003F565D">
        <w:rPr>
          <w:b/>
        </w:rPr>
        <w:t>9</w:t>
      </w:r>
      <w:r w:rsidR="00FA1599">
        <w:rPr>
          <w:b/>
        </w:rPr>
        <w:t xml:space="preserve"> </w:t>
      </w:r>
      <w:r w:rsidR="00CE5157" w:rsidRPr="00CE5157">
        <w:rPr>
          <w:b/>
        </w:rPr>
        <w:t>podání za den</w:t>
      </w:r>
      <w:r w:rsidR="00CE5157">
        <w:t xml:space="preserve">. </w:t>
      </w:r>
      <w:r w:rsidR="00CE5157" w:rsidRPr="00CE5157">
        <w:rPr>
          <w:i/>
        </w:rPr>
        <w:t>Viz grafické zobrazení níže</w:t>
      </w:r>
      <w:r w:rsidR="00CE5157">
        <w:t>.</w:t>
      </w:r>
    </w:p>
    <w:p w:rsidR="0050435D" w:rsidRDefault="0050435D" w:rsidP="00FA1599">
      <w:pPr>
        <w:pStyle w:val="Bezmezer"/>
        <w:spacing w:before="240" w:after="240"/>
        <w:jc w:val="both"/>
      </w:pPr>
    </w:p>
    <w:p w:rsidR="001360CC" w:rsidRDefault="001360CC" w:rsidP="00E14FF7">
      <w:pPr>
        <w:pStyle w:val="Nadpis1"/>
      </w:pPr>
    </w:p>
    <w:p w:rsidR="001360CC" w:rsidRDefault="001360CC" w:rsidP="001360CC"/>
    <w:p w:rsidR="001360CC" w:rsidRDefault="001360CC" w:rsidP="001360CC"/>
    <w:p w:rsidR="001360CC" w:rsidRDefault="001360CC" w:rsidP="001360CC"/>
    <w:p w:rsidR="001360CC" w:rsidRDefault="001360CC" w:rsidP="001360CC"/>
    <w:p w:rsidR="001360CC" w:rsidRPr="001360CC" w:rsidRDefault="001360CC" w:rsidP="001360CC"/>
    <w:p w:rsidR="005722F6" w:rsidRDefault="003F565D" w:rsidP="00E14FF7">
      <w:pPr>
        <w:pStyle w:val="Nadpis1"/>
      </w:pPr>
      <w:bookmarkStart w:id="2" w:name="_Toc471739791"/>
      <w:r>
        <w:lastRenderedPageBreak/>
        <w:t>2</w:t>
      </w:r>
      <w:r w:rsidR="00B06F4A">
        <w:t xml:space="preserve"> Kvalitativní analýza</w:t>
      </w:r>
      <w:bookmarkEnd w:id="2"/>
    </w:p>
    <w:p w:rsidR="00E14FF7" w:rsidRDefault="001360CC" w:rsidP="00734528">
      <w:pPr>
        <w:pStyle w:val="Bezmezer"/>
        <w:spacing w:after="240"/>
        <w:jc w:val="both"/>
      </w:pPr>
      <w:r>
        <w:t>Relevantní p</w:t>
      </w:r>
      <w:r w:rsidR="00B06F4A">
        <w:t xml:space="preserve">řijatá hlášení jsou po svém administrativním zaevidování v systému ETŘ přidělena jednotlivým zpracovatelům. Ti provedou prvotní posouzení každého přijatého </w:t>
      </w:r>
      <w:r>
        <w:t>hlášení</w:t>
      </w:r>
      <w:r w:rsidR="00B06F4A">
        <w:t xml:space="preserve">, z hlediska </w:t>
      </w:r>
      <w:r w:rsidR="00E14FF7">
        <w:t>protiprávnosti a dále např</w:t>
      </w:r>
      <w:r>
        <w:t>íklad akutnosti. V následující části jsou</w:t>
      </w:r>
      <w:r w:rsidR="00E14FF7">
        <w:t xml:space="preserve"> popsány </w:t>
      </w:r>
      <w:r w:rsidR="0092758F">
        <w:t>oblasti, do</w:t>
      </w:r>
      <w:r w:rsidR="00E14FF7">
        <w:t xml:space="preserve"> kterých byla jednotlivá hlášení zařazena, nejčastěji se vyskytující protiprávní jednání</w:t>
      </w:r>
      <w:r w:rsidR="003F565D">
        <w:t xml:space="preserve">, </w:t>
      </w:r>
      <w:r w:rsidR="006F2B29">
        <w:t>trendy</w:t>
      </w:r>
      <w:r w:rsidR="003F565D">
        <w:t xml:space="preserve"> roku 201</w:t>
      </w:r>
      <w:r w:rsidR="00345D24">
        <w:t>6</w:t>
      </w:r>
      <w:r w:rsidR="00E14FF7">
        <w:t xml:space="preserve"> a </w:t>
      </w:r>
      <w:r w:rsidR="00E61BD9">
        <w:t>procentuální vyjádření způsobu vyřízení</w:t>
      </w:r>
      <w:r w:rsidR="00E14FF7">
        <w:t xml:space="preserve"> podání.</w:t>
      </w:r>
    </w:p>
    <w:p w:rsidR="00E14FF7" w:rsidRDefault="003F565D" w:rsidP="006F2B29">
      <w:pPr>
        <w:pStyle w:val="Nadpis2"/>
      </w:pPr>
      <w:bookmarkStart w:id="3" w:name="_Toc471739792"/>
      <w:r>
        <w:t>2</w:t>
      </w:r>
      <w:r w:rsidR="00E14FF7">
        <w:t xml:space="preserve">.1 Rozdělení hlášení do oblastí </w:t>
      </w:r>
      <w:r w:rsidR="001360CC">
        <w:t xml:space="preserve">možného </w:t>
      </w:r>
      <w:r w:rsidR="00E14FF7">
        <w:t>protiprávního jednání</w:t>
      </w:r>
      <w:bookmarkEnd w:id="3"/>
    </w:p>
    <w:p w:rsidR="00AA12E0" w:rsidRDefault="00E14FF7" w:rsidP="006F2B29">
      <w:pPr>
        <w:pStyle w:val="Bezmezer"/>
        <w:spacing w:before="120" w:after="240"/>
        <w:jc w:val="both"/>
      </w:pPr>
      <w:r>
        <w:t xml:space="preserve"> </w:t>
      </w:r>
      <w:r w:rsidR="007C673A">
        <w:t>Relevantní hlášení, kterých bylo celkem 1 368,</w:t>
      </w:r>
      <w:r>
        <w:t xml:space="preserve"> byla</w:t>
      </w:r>
      <w:r w:rsidR="005722F6">
        <w:t xml:space="preserve"> rozdělena celke</w:t>
      </w:r>
      <w:r w:rsidR="009B455B">
        <w:t xml:space="preserve">m do </w:t>
      </w:r>
      <w:r w:rsidR="007C673A">
        <w:t>7</w:t>
      </w:r>
      <w:r w:rsidR="005722F6">
        <w:t xml:space="preserve"> oblastí, které odkazují na jejich</w:t>
      </w:r>
      <w:r>
        <w:t xml:space="preserve"> možné</w:t>
      </w:r>
      <w:r w:rsidR="007C673A">
        <w:t xml:space="preserve"> trestně-právní zařazení</w:t>
      </w:r>
      <w:r w:rsidR="003F565D">
        <w:t>. V roce 201</w:t>
      </w:r>
      <w:r w:rsidR="007C673A">
        <w:t>6</w:t>
      </w:r>
      <w:r>
        <w:t xml:space="preserve"> se </w:t>
      </w:r>
      <w:r w:rsidR="005722F6">
        <w:t>nejpočetnější oblastí</w:t>
      </w:r>
      <w:r w:rsidR="003F565D">
        <w:t xml:space="preserve"> stala oblast </w:t>
      </w:r>
      <w:r w:rsidR="007C673A">
        <w:t>podvodných jednání</w:t>
      </w:r>
      <w:r w:rsidR="003F565D">
        <w:t>.</w:t>
      </w:r>
      <w:r w:rsidR="007C673A">
        <w:t xml:space="preserve"> Mezi tato řadíme veškerá podvodná jednání i přestupkového charakteru, která byla v daném roce prošetřována.</w:t>
      </w:r>
      <w:r w:rsidR="003F565D">
        <w:t xml:space="preserve"> </w:t>
      </w:r>
      <w:r w:rsidR="00363689">
        <w:rPr>
          <w:i/>
        </w:rPr>
        <w:t>Viz graf</w:t>
      </w:r>
      <w:r w:rsidR="005722F6" w:rsidRPr="005722F6">
        <w:rPr>
          <w:i/>
        </w:rPr>
        <w:t xml:space="preserve"> níže</w:t>
      </w:r>
      <w:r w:rsidR="005722F6">
        <w:t>.</w:t>
      </w:r>
    </w:p>
    <w:p w:rsidR="005722F6" w:rsidRDefault="00734528" w:rsidP="007C673A">
      <w:pPr>
        <w:pStyle w:val="Bezmezer"/>
        <w:spacing w:after="240"/>
        <w:ind w:firstLine="0"/>
        <w:jc w:val="both"/>
      </w:pPr>
      <w:r w:rsidRPr="00734528">
        <w:rPr>
          <w:b/>
          <w:u w:val="single"/>
        </w:rPr>
        <w:t>Oblasti hlášení</w:t>
      </w:r>
    </w:p>
    <w:tbl>
      <w:tblPr>
        <w:tblW w:w="2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760"/>
      </w:tblGrid>
      <w:tr w:rsidR="007C673A" w:rsidRPr="007C673A" w:rsidTr="007C673A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:rsidR="007C673A" w:rsidRPr="007C673A" w:rsidRDefault="007C673A" w:rsidP="007C67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C673A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Podvodná jednání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73A" w:rsidRPr="007C673A" w:rsidRDefault="007C673A" w:rsidP="007C67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C673A">
              <w:rPr>
                <w:rFonts w:ascii="Calibri" w:eastAsia="Times New Roman" w:hAnsi="Calibri" w:cs="Times New Roman"/>
                <w:color w:val="000000"/>
                <w:lang w:eastAsia="cs-CZ"/>
              </w:rPr>
              <w:t>532</w:t>
            </w:r>
          </w:p>
        </w:tc>
      </w:tr>
      <w:tr w:rsidR="007C673A" w:rsidRPr="007C673A" w:rsidTr="007C673A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:rsidR="007C673A" w:rsidRPr="007C673A" w:rsidRDefault="007C673A" w:rsidP="007C67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C673A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Hacking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73A" w:rsidRPr="007C673A" w:rsidRDefault="007C673A" w:rsidP="007C67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C673A">
              <w:rPr>
                <w:rFonts w:ascii="Calibri" w:eastAsia="Times New Roman" w:hAnsi="Calibri" w:cs="Times New Roman"/>
                <w:color w:val="000000"/>
                <w:lang w:eastAsia="cs-CZ"/>
              </w:rPr>
              <w:t>235</w:t>
            </w:r>
          </w:p>
        </w:tc>
      </w:tr>
      <w:tr w:rsidR="007C673A" w:rsidRPr="007C673A" w:rsidTr="007C673A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:rsidR="007C673A" w:rsidRPr="007C673A" w:rsidRDefault="007C673A" w:rsidP="007C67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C673A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Mravnostní oblast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73A" w:rsidRPr="007C673A" w:rsidRDefault="007C673A" w:rsidP="007C67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C673A">
              <w:rPr>
                <w:rFonts w:ascii="Calibri" w:eastAsia="Times New Roman" w:hAnsi="Calibri" w:cs="Times New Roman"/>
                <w:color w:val="000000"/>
                <w:lang w:eastAsia="cs-CZ"/>
              </w:rPr>
              <w:t>193</w:t>
            </w:r>
          </w:p>
        </w:tc>
      </w:tr>
      <w:tr w:rsidR="007C673A" w:rsidRPr="007C673A" w:rsidTr="007C673A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:rsidR="007C673A" w:rsidRPr="007C673A" w:rsidRDefault="007C673A" w:rsidP="007C67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C673A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73A" w:rsidRPr="007C673A" w:rsidRDefault="007C673A" w:rsidP="007C67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C673A">
              <w:rPr>
                <w:rFonts w:ascii="Calibri" w:eastAsia="Times New Roman" w:hAnsi="Calibri" w:cs="Times New Roman"/>
                <w:color w:val="000000"/>
                <w:lang w:eastAsia="cs-CZ"/>
              </w:rPr>
              <w:t>182</w:t>
            </w:r>
          </w:p>
        </w:tc>
      </w:tr>
      <w:tr w:rsidR="007C673A" w:rsidRPr="007C673A" w:rsidTr="007C673A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:rsidR="007C673A" w:rsidRPr="007C673A" w:rsidRDefault="007C673A" w:rsidP="007C67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C673A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Extremismus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73A" w:rsidRPr="007C673A" w:rsidRDefault="007C673A" w:rsidP="007C67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0288" behindDoc="1" locked="0" layoutInCell="1" allowOverlap="1" wp14:anchorId="1DAE625D" wp14:editId="46004F8B">
                  <wp:simplePos x="0" y="0"/>
                  <wp:positionH relativeFrom="column">
                    <wp:posOffset>217805</wp:posOffset>
                  </wp:positionH>
                  <wp:positionV relativeFrom="paragraph">
                    <wp:posOffset>-7620</wp:posOffset>
                  </wp:positionV>
                  <wp:extent cx="4438650" cy="3219450"/>
                  <wp:effectExtent l="0" t="0" r="0" b="0"/>
                  <wp:wrapNone/>
                  <wp:docPr id="10" name="Graf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C673A">
              <w:rPr>
                <w:rFonts w:ascii="Calibri" w:eastAsia="Times New Roman" w:hAnsi="Calibri" w:cs="Times New Roman"/>
                <w:color w:val="000000"/>
                <w:lang w:eastAsia="cs-CZ"/>
              </w:rPr>
              <w:t>133</w:t>
            </w:r>
          </w:p>
        </w:tc>
      </w:tr>
      <w:tr w:rsidR="007C673A" w:rsidRPr="007C673A" w:rsidTr="007C673A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:rsidR="007C673A" w:rsidRPr="007C673A" w:rsidRDefault="007C673A" w:rsidP="007C67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C673A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Násilí obecné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73A" w:rsidRPr="007C673A" w:rsidRDefault="007C673A" w:rsidP="007C67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C673A">
              <w:rPr>
                <w:rFonts w:ascii="Calibri" w:eastAsia="Times New Roman" w:hAnsi="Calibri" w:cs="Times New Roman"/>
                <w:color w:val="000000"/>
                <w:lang w:eastAsia="cs-CZ"/>
              </w:rPr>
              <w:t>61</w:t>
            </w:r>
          </w:p>
        </w:tc>
      </w:tr>
      <w:tr w:rsidR="007C673A" w:rsidRPr="007C673A" w:rsidTr="007C673A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:rsidR="007C673A" w:rsidRPr="007C673A" w:rsidRDefault="007C673A" w:rsidP="007C67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C673A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Autorská práva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73A" w:rsidRPr="007C673A" w:rsidRDefault="007C673A" w:rsidP="007C67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C673A">
              <w:rPr>
                <w:rFonts w:ascii="Calibri" w:eastAsia="Times New Roman" w:hAnsi="Calibri" w:cs="Times New Roman"/>
                <w:color w:val="000000"/>
                <w:lang w:eastAsia="cs-CZ"/>
              </w:rPr>
              <w:t>32</w:t>
            </w:r>
          </w:p>
        </w:tc>
      </w:tr>
    </w:tbl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C75DB1">
      <w:pPr>
        <w:pStyle w:val="Bezmezer"/>
        <w:spacing w:after="120"/>
        <w:jc w:val="both"/>
      </w:pPr>
    </w:p>
    <w:p w:rsidR="00351173" w:rsidRDefault="00351173" w:rsidP="00734528">
      <w:pPr>
        <w:pStyle w:val="Bezmezer"/>
        <w:jc w:val="both"/>
      </w:pPr>
    </w:p>
    <w:p w:rsidR="0096404D" w:rsidRDefault="00363689" w:rsidP="00363689">
      <w:pPr>
        <w:pStyle w:val="Bezmezer"/>
        <w:jc w:val="both"/>
      </w:pPr>
      <w:r>
        <w:t xml:space="preserve">Z grafického znázornění je patrné, že </w:t>
      </w:r>
      <w:r w:rsidR="003665A1">
        <w:t xml:space="preserve">druhou nejvýznamnější skupinou byla jednání, související s infikací PC, </w:t>
      </w:r>
      <w:proofErr w:type="spellStart"/>
      <w:r w:rsidR="003665A1">
        <w:t>DDoS</w:t>
      </w:r>
      <w:proofErr w:type="spellEnd"/>
      <w:r w:rsidR="003665A1">
        <w:t xml:space="preserve"> útoky, </w:t>
      </w:r>
      <w:proofErr w:type="spellStart"/>
      <w:r w:rsidR="003665A1">
        <w:t>ransomware</w:t>
      </w:r>
      <w:proofErr w:type="spellEnd"/>
      <w:r w:rsidR="003665A1">
        <w:t xml:space="preserve"> a jiným obdobným jednáním. </w:t>
      </w:r>
      <w:r w:rsidR="003064A8">
        <w:t xml:space="preserve">Vyjma extremistických projevů na internetu byla zaznamenána rovněž jednání spadající do oblasti násilí – vydírání, vyhrožování nebo </w:t>
      </w:r>
      <w:proofErr w:type="spellStart"/>
      <w:r w:rsidR="003064A8">
        <w:t>kyberšikany</w:t>
      </w:r>
      <w:proofErr w:type="spellEnd"/>
      <w:r w:rsidR="003064A8">
        <w:t xml:space="preserve">. Oblast ostatní zahrnuje veškerá další jednání, </w:t>
      </w:r>
      <w:r w:rsidR="003064A8">
        <w:lastRenderedPageBreak/>
        <w:t xml:space="preserve">která nespadají do těchto kategorií – občanskoprávní spory, poznatky o hledaných osobách, nebo například prodeji drog na internetu. </w:t>
      </w:r>
    </w:p>
    <w:p w:rsidR="00AA1C7B" w:rsidRDefault="00363689" w:rsidP="006F2B29">
      <w:pPr>
        <w:pStyle w:val="Nadpis2"/>
      </w:pPr>
      <w:bookmarkStart w:id="4" w:name="_Toc471739793"/>
      <w:r>
        <w:t>2</w:t>
      </w:r>
      <w:r w:rsidR="006F2B29">
        <w:t>.2</w:t>
      </w:r>
      <w:r w:rsidR="00AA1C7B">
        <w:t xml:space="preserve"> </w:t>
      </w:r>
      <w:r w:rsidR="0037743C">
        <w:t>Trendy</w:t>
      </w:r>
      <w:r w:rsidR="00211F98">
        <w:t xml:space="preserve"> 201</w:t>
      </w:r>
      <w:r w:rsidR="000269ED">
        <w:t>6</w:t>
      </w:r>
      <w:bookmarkEnd w:id="4"/>
    </w:p>
    <w:p w:rsidR="00D23F76" w:rsidRDefault="0037743C" w:rsidP="006F2B29">
      <w:pPr>
        <w:pStyle w:val="Bezmezer"/>
        <w:spacing w:before="120" w:after="240"/>
        <w:jc w:val="both"/>
      </w:pPr>
      <w:r>
        <w:t>Rok</w:t>
      </w:r>
      <w:r w:rsidR="00211F98">
        <w:t xml:space="preserve"> </w:t>
      </w:r>
      <w:r>
        <w:t>2016</w:t>
      </w:r>
      <w:r w:rsidR="003867AB">
        <w:t xml:space="preserve"> </w:t>
      </w:r>
      <w:r>
        <w:t xml:space="preserve">se vyznačoval některými významnými trendy v problematice kybernetické kriminality, které se projevily rovněž v obsahu zaslaných hlášení </w:t>
      </w:r>
      <w:proofErr w:type="spellStart"/>
      <w:r>
        <w:t>hotline</w:t>
      </w:r>
      <w:proofErr w:type="spellEnd"/>
      <w:r>
        <w:t xml:space="preserve">. Jednalo se o tyto trendy: </w:t>
      </w:r>
    </w:p>
    <w:p w:rsidR="0037743C" w:rsidRPr="006F2B29" w:rsidRDefault="0037743C" w:rsidP="006F2B29">
      <w:pPr>
        <w:pStyle w:val="Bezmezer"/>
        <w:numPr>
          <w:ilvl w:val="0"/>
          <w:numId w:val="4"/>
        </w:numPr>
        <w:ind w:left="709" w:hanging="425"/>
        <w:rPr>
          <w:i/>
        </w:rPr>
      </w:pPr>
      <w:proofErr w:type="spellStart"/>
      <w:r w:rsidRPr="006F2B29">
        <w:rPr>
          <w:i/>
        </w:rPr>
        <w:t>Ransomware</w:t>
      </w:r>
      <w:proofErr w:type="spellEnd"/>
      <w:r w:rsidRPr="006F2B29">
        <w:rPr>
          <w:i/>
        </w:rPr>
        <w:t xml:space="preserve"> útoky – uzamčení dat na PC a požadování výkupného např. v </w:t>
      </w:r>
      <w:proofErr w:type="spellStart"/>
      <w:r w:rsidRPr="006F2B29">
        <w:rPr>
          <w:i/>
        </w:rPr>
        <w:t>bitcoinech</w:t>
      </w:r>
      <w:proofErr w:type="spellEnd"/>
      <w:r w:rsidRPr="006F2B29">
        <w:rPr>
          <w:i/>
        </w:rPr>
        <w:t>,</w:t>
      </w:r>
    </w:p>
    <w:p w:rsidR="0037743C" w:rsidRPr="006F2B29" w:rsidRDefault="0037743C" w:rsidP="006F2B29">
      <w:pPr>
        <w:pStyle w:val="Bezmezer"/>
        <w:numPr>
          <w:ilvl w:val="0"/>
          <w:numId w:val="4"/>
        </w:numPr>
        <w:ind w:left="709" w:hanging="425"/>
        <w:rPr>
          <w:i/>
        </w:rPr>
      </w:pPr>
      <w:r w:rsidRPr="006F2B29">
        <w:rPr>
          <w:i/>
        </w:rPr>
        <w:t xml:space="preserve">virová nákaza šířená prostřednictvím příspěvků na sociálních sítích – </w:t>
      </w:r>
      <w:proofErr w:type="spellStart"/>
      <w:r w:rsidRPr="006F2B29">
        <w:rPr>
          <w:i/>
        </w:rPr>
        <w:t>Facebook</w:t>
      </w:r>
      <w:proofErr w:type="spellEnd"/>
      <w:r w:rsidRPr="006F2B29">
        <w:rPr>
          <w:i/>
        </w:rPr>
        <w:t xml:space="preserve"> aj.,</w:t>
      </w:r>
    </w:p>
    <w:p w:rsidR="0037743C" w:rsidRPr="006F2B29" w:rsidRDefault="0037743C" w:rsidP="006F2B29">
      <w:pPr>
        <w:pStyle w:val="Bezmezer"/>
        <w:numPr>
          <w:ilvl w:val="0"/>
          <w:numId w:val="4"/>
        </w:numPr>
        <w:ind w:left="709" w:hanging="425"/>
        <w:rPr>
          <w:i/>
        </w:rPr>
      </w:pPr>
      <w:r w:rsidRPr="006F2B29">
        <w:rPr>
          <w:i/>
        </w:rPr>
        <w:t xml:space="preserve">využívání nedostatečně zabezpečených zařízení k </w:t>
      </w:r>
      <w:proofErr w:type="spellStart"/>
      <w:r w:rsidRPr="006F2B29">
        <w:rPr>
          <w:i/>
        </w:rPr>
        <w:t>DDoS</w:t>
      </w:r>
      <w:proofErr w:type="spellEnd"/>
      <w:r w:rsidRPr="006F2B29">
        <w:rPr>
          <w:i/>
        </w:rPr>
        <w:t xml:space="preserve"> útokům – internet věcí,</w:t>
      </w:r>
    </w:p>
    <w:p w:rsidR="0037743C" w:rsidRPr="006F2B29" w:rsidRDefault="0037743C" w:rsidP="006F2B29">
      <w:pPr>
        <w:pStyle w:val="Bezmezer"/>
        <w:numPr>
          <w:ilvl w:val="0"/>
          <w:numId w:val="4"/>
        </w:numPr>
        <w:ind w:left="709" w:hanging="425"/>
        <w:rPr>
          <w:i/>
        </w:rPr>
      </w:pPr>
      <w:proofErr w:type="spellStart"/>
      <w:r w:rsidRPr="006F2B29">
        <w:rPr>
          <w:i/>
        </w:rPr>
        <w:t>phishingové</w:t>
      </w:r>
      <w:proofErr w:type="spellEnd"/>
      <w:r w:rsidRPr="006F2B29">
        <w:rPr>
          <w:i/>
        </w:rPr>
        <w:t xml:space="preserve"> e-maily či webové stránky s infikovaným obsahem – krádeže financí,</w:t>
      </w:r>
    </w:p>
    <w:p w:rsidR="0037743C" w:rsidRPr="006F2B29" w:rsidRDefault="0037743C" w:rsidP="006F2B29">
      <w:pPr>
        <w:pStyle w:val="Bezmezer"/>
        <w:numPr>
          <w:ilvl w:val="0"/>
          <w:numId w:val="4"/>
        </w:numPr>
        <w:ind w:left="709" w:hanging="425"/>
        <w:rPr>
          <w:i/>
        </w:rPr>
      </w:pPr>
      <w:r w:rsidRPr="006F2B29">
        <w:rPr>
          <w:i/>
        </w:rPr>
        <w:t>podvodné inzeráty – fiktivní pronájmy bytů, prodeje vozidel,</w:t>
      </w:r>
    </w:p>
    <w:p w:rsidR="0037743C" w:rsidRPr="006F2B29" w:rsidRDefault="0037743C" w:rsidP="006F2B29">
      <w:pPr>
        <w:pStyle w:val="Bezmezer"/>
        <w:numPr>
          <w:ilvl w:val="0"/>
          <w:numId w:val="4"/>
        </w:numPr>
        <w:ind w:left="709" w:hanging="425"/>
        <w:rPr>
          <w:i/>
        </w:rPr>
      </w:pPr>
      <w:r w:rsidRPr="006F2B29">
        <w:rPr>
          <w:i/>
        </w:rPr>
        <w:t>podvodné e-</w:t>
      </w:r>
      <w:proofErr w:type="spellStart"/>
      <w:r w:rsidRPr="006F2B29">
        <w:rPr>
          <w:i/>
        </w:rPr>
        <w:t>shopy</w:t>
      </w:r>
      <w:proofErr w:type="spellEnd"/>
      <w:r w:rsidRPr="006F2B29">
        <w:rPr>
          <w:i/>
        </w:rPr>
        <w:t>,</w:t>
      </w:r>
    </w:p>
    <w:p w:rsidR="0037743C" w:rsidRPr="006F2B29" w:rsidRDefault="0037743C" w:rsidP="006F2B29">
      <w:pPr>
        <w:pStyle w:val="Bezmezer"/>
        <w:numPr>
          <w:ilvl w:val="0"/>
          <w:numId w:val="4"/>
        </w:numPr>
        <w:ind w:left="709" w:hanging="425"/>
        <w:rPr>
          <w:i/>
        </w:rPr>
      </w:pPr>
      <w:r w:rsidRPr="006F2B29">
        <w:rPr>
          <w:i/>
        </w:rPr>
        <w:t>využívání relativní anonymity</w:t>
      </w:r>
      <w:r w:rsidRPr="006F2B29">
        <w:rPr>
          <w:i/>
        </w:rPr>
        <w:t xml:space="preserve"> internetu k nenávistným projevům</w:t>
      </w:r>
      <w:r w:rsidRPr="006F2B29">
        <w:rPr>
          <w:i/>
        </w:rPr>
        <w:t>.</w:t>
      </w:r>
    </w:p>
    <w:p w:rsidR="006F2B29" w:rsidRDefault="006F2B29" w:rsidP="006F2B29">
      <w:pPr>
        <w:pStyle w:val="Bezmezer"/>
      </w:pPr>
    </w:p>
    <w:p w:rsidR="006F2B29" w:rsidRPr="0037743C" w:rsidRDefault="006F2B29" w:rsidP="006F2B29">
      <w:pPr>
        <w:pStyle w:val="Bezmezer"/>
      </w:pPr>
      <w:r>
        <w:t>Útoky na zařízení občanů, a to ať již mobilní nebo klasické PC, se stávají velmi častým jevem. Pachatelé se tímto způsobem snaží získat finanční prospěch, případně osobní data a další soukromé informace občanů.</w:t>
      </w:r>
    </w:p>
    <w:p w:rsidR="009B6A50" w:rsidRDefault="00363689" w:rsidP="006F2B29">
      <w:pPr>
        <w:pStyle w:val="Nadpis2"/>
      </w:pPr>
      <w:bookmarkStart w:id="5" w:name="_Toc471739794"/>
      <w:r>
        <w:t>2</w:t>
      </w:r>
      <w:r w:rsidR="006F2B29">
        <w:t>.3</w:t>
      </w:r>
      <w:r w:rsidR="009B6A50">
        <w:t xml:space="preserve"> Vyřízení </w:t>
      </w:r>
      <w:r w:rsidR="00EC10B0">
        <w:t>hlášení</w:t>
      </w:r>
      <w:bookmarkEnd w:id="5"/>
    </w:p>
    <w:p w:rsidR="009B6A50" w:rsidRDefault="00061E3C" w:rsidP="006F2B29">
      <w:pPr>
        <w:pStyle w:val="Bezmezer"/>
        <w:spacing w:before="120"/>
        <w:jc w:val="both"/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662E3ABC" wp14:editId="16901F2F">
            <wp:simplePos x="0" y="0"/>
            <wp:positionH relativeFrom="column">
              <wp:posOffset>757555</wp:posOffset>
            </wp:positionH>
            <wp:positionV relativeFrom="paragraph">
              <wp:posOffset>619760</wp:posOffset>
            </wp:positionV>
            <wp:extent cx="4572000" cy="2743200"/>
            <wp:effectExtent l="0" t="0" r="0" b="0"/>
            <wp:wrapNone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="009B6A50">
        <w:t xml:space="preserve"> Po </w:t>
      </w:r>
      <w:r>
        <w:t>provedení</w:t>
      </w:r>
      <w:r w:rsidR="009B6A50">
        <w:t xml:space="preserve"> </w:t>
      </w:r>
      <w:r w:rsidR="00DF4A93">
        <w:t xml:space="preserve">předběžného </w:t>
      </w:r>
      <w:r w:rsidR="009B6A50">
        <w:t>šetření a</w:t>
      </w:r>
      <w:r w:rsidR="00DF4A93">
        <w:t xml:space="preserve"> případném vyhotovení zálohy závadového obsahu bylo hlášení buďto postoupeno jako poznatek místně a věcně příslušné součásti nebo uloženo ad acta k dalšímu služebnímu využití.</w:t>
      </w:r>
      <w:r w:rsidR="009B6A50">
        <w:t xml:space="preserve"> </w:t>
      </w:r>
    </w:p>
    <w:p w:rsidR="009B6A50" w:rsidRDefault="009B6A50" w:rsidP="009B6A50">
      <w:pPr>
        <w:pStyle w:val="Bezmezer"/>
        <w:jc w:val="both"/>
      </w:pPr>
    </w:p>
    <w:p w:rsidR="009B6A50" w:rsidRDefault="009B6A50" w:rsidP="009B6A50">
      <w:pPr>
        <w:pStyle w:val="Bezmezer"/>
        <w:jc w:val="both"/>
      </w:pPr>
    </w:p>
    <w:p w:rsidR="009B6A50" w:rsidRDefault="009B6A50" w:rsidP="009B6A50">
      <w:pPr>
        <w:pStyle w:val="Bezmezer"/>
        <w:jc w:val="both"/>
      </w:pPr>
    </w:p>
    <w:p w:rsidR="009B6A50" w:rsidRDefault="009B6A50" w:rsidP="009B6A50">
      <w:pPr>
        <w:pStyle w:val="Bezmezer"/>
        <w:jc w:val="both"/>
      </w:pPr>
    </w:p>
    <w:p w:rsidR="00061E3C" w:rsidRDefault="00061E3C" w:rsidP="009B6A50">
      <w:pPr>
        <w:pStyle w:val="Bezmezer"/>
        <w:jc w:val="both"/>
      </w:pPr>
    </w:p>
    <w:p w:rsidR="00061E3C" w:rsidRDefault="00061E3C" w:rsidP="009B6A50">
      <w:pPr>
        <w:pStyle w:val="Bezmezer"/>
        <w:jc w:val="both"/>
      </w:pPr>
    </w:p>
    <w:p w:rsidR="00061E3C" w:rsidRDefault="00061E3C" w:rsidP="009B6A50">
      <w:pPr>
        <w:pStyle w:val="Bezmezer"/>
        <w:jc w:val="both"/>
      </w:pPr>
    </w:p>
    <w:p w:rsidR="00061E3C" w:rsidRDefault="00061E3C" w:rsidP="009B6A50">
      <w:pPr>
        <w:pStyle w:val="Bezmezer"/>
        <w:jc w:val="both"/>
      </w:pPr>
    </w:p>
    <w:p w:rsidR="00061E3C" w:rsidRDefault="00061E3C" w:rsidP="009B6A50">
      <w:pPr>
        <w:pStyle w:val="Bezmezer"/>
        <w:jc w:val="both"/>
      </w:pPr>
    </w:p>
    <w:p w:rsidR="00061E3C" w:rsidRDefault="00061E3C" w:rsidP="009B6A50">
      <w:pPr>
        <w:pStyle w:val="Bezmezer"/>
        <w:jc w:val="both"/>
      </w:pPr>
    </w:p>
    <w:p w:rsidR="00061E3C" w:rsidRDefault="00061E3C" w:rsidP="009B6A50">
      <w:pPr>
        <w:pStyle w:val="Bezmezer"/>
        <w:jc w:val="both"/>
      </w:pPr>
    </w:p>
    <w:p w:rsidR="000E6F69" w:rsidRDefault="009B6A50" w:rsidP="009B6A50">
      <w:pPr>
        <w:pStyle w:val="Bezmezer"/>
        <w:jc w:val="both"/>
      </w:pPr>
      <w:r>
        <w:t>Jak zobrazuje graf výše,</w:t>
      </w:r>
      <w:r w:rsidR="000C3EB9">
        <w:t xml:space="preserve"> v roce 201</w:t>
      </w:r>
      <w:r w:rsidR="00DF4A93">
        <w:t>6</w:t>
      </w:r>
      <w:r w:rsidR="000C3EB9">
        <w:t xml:space="preserve"> bylo </w:t>
      </w:r>
      <w:r w:rsidR="00DF4A93">
        <w:rPr>
          <w:b/>
        </w:rPr>
        <w:t>cca 10</w:t>
      </w:r>
      <w:r w:rsidR="000C3EB9" w:rsidRPr="000C3EB9">
        <w:rPr>
          <w:b/>
        </w:rPr>
        <w:t>%</w:t>
      </w:r>
      <w:r w:rsidRPr="000C3EB9">
        <w:rPr>
          <w:b/>
        </w:rPr>
        <w:t xml:space="preserve"> </w:t>
      </w:r>
      <w:r w:rsidR="000E6F69" w:rsidRPr="000E6F69">
        <w:rPr>
          <w:b/>
        </w:rPr>
        <w:t xml:space="preserve">prošetřených </w:t>
      </w:r>
      <w:r w:rsidR="00DF4A93">
        <w:rPr>
          <w:b/>
        </w:rPr>
        <w:t>hlášení</w:t>
      </w:r>
      <w:r w:rsidR="00BF6C0C">
        <w:rPr>
          <w:b/>
        </w:rPr>
        <w:t>,</w:t>
      </w:r>
      <w:r>
        <w:t xml:space="preserve"> </w:t>
      </w:r>
      <w:r w:rsidR="000C3EB9">
        <w:t>vyhodnoceno jako způsobilé</w:t>
      </w:r>
      <w:r>
        <w:t xml:space="preserve"> k dalšímu šetření jiným policejním orgánem.</w:t>
      </w:r>
      <w:r w:rsidR="000C3EB9">
        <w:t xml:space="preserve"> </w:t>
      </w:r>
    </w:p>
    <w:p w:rsidR="000E6F69" w:rsidRDefault="00713453" w:rsidP="000E6F69">
      <w:pPr>
        <w:pStyle w:val="Nadpis1"/>
      </w:pPr>
      <w:bookmarkStart w:id="6" w:name="_Toc471739795"/>
      <w:r>
        <w:lastRenderedPageBreak/>
        <w:t>3</w:t>
      </w:r>
      <w:r w:rsidR="000E6F69">
        <w:t xml:space="preserve"> </w:t>
      </w:r>
      <w:r w:rsidR="004925CA">
        <w:t>Závěr</w:t>
      </w:r>
      <w:r>
        <w:t>ečné vyhodnocení</w:t>
      </w:r>
      <w:bookmarkEnd w:id="6"/>
    </w:p>
    <w:p w:rsidR="00843D4E" w:rsidRDefault="003501B9" w:rsidP="00AC1578">
      <w:pPr>
        <w:pStyle w:val="Bezmezer"/>
        <w:spacing w:after="240"/>
        <w:jc w:val="both"/>
      </w:pPr>
      <w:r>
        <w:t>V porovnání s předchozím rokem 201</w:t>
      </w:r>
      <w:r w:rsidR="00DF4A93">
        <w:t>5 bylo v roce 2016 přijato prakticky totožné množství hlášení jako v roce 2015. Vyjma roku 2014 se tedy počet přijatých hlášení pohybuje stále ve stejných limitech, a to i co do počtu relevantních hlášení.</w:t>
      </w:r>
      <w:r>
        <w:t xml:space="preserve"> </w:t>
      </w:r>
      <w:r w:rsidR="00AC1578" w:rsidRPr="00E84148">
        <w:rPr>
          <w:b/>
        </w:rPr>
        <w:t xml:space="preserve">Od poloviny roku 2012 do konce roku </w:t>
      </w:r>
      <w:r w:rsidR="00AC1578">
        <w:rPr>
          <w:b/>
        </w:rPr>
        <w:t>2016 bylo zaznamenáno celkově 18 580</w:t>
      </w:r>
      <w:r w:rsidR="00AC1578" w:rsidRPr="00E84148">
        <w:rPr>
          <w:b/>
        </w:rPr>
        <w:t xml:space="preserve"> hlášení </w:t>
      </w:r>
      <w:proofErr w:type="spellStart"/>
      <w:r w:rsidR="00AC1578" w:rsidRPr="00E84148">
        <w:rPr>
          <w:b/>
        </w:rPr>
        <w:t>HotLine</w:t>
      </w:r>
      <w:proofErr w:type="spellEnd"/>
      <w:r w:rsidR="00AC1578">
        <w:t>.</w:t>
      </w:r>
    </w:p>
    <w:p w:rsidR="00DF4A93" w:rsidRDefault="005636FD" w:rsidP="00843D4E">
      <w:pPr>
        <w:pStyle w:val="Bezmezer"/>
        <w:jc w:val="both"/>
      </w:pPr>
      <w:r>
        <w:t>Problematickým aspekte</w:t>
      </w:r>
      <w:r w:rsidR="00AC1578">
        <w:t xml:space="preserve">m služby policejní internetové </w:t>
      </w:r>
      <w:proofErr w:type="spellStart"/>
      <w:r w:rsidR="00AC1578">
        <w:t>HotL</w:t>
      </w:r>
      <w:r>
        <w:t>ine</w:t>
      </w:r>
      <w:proofErr w:type="spellEnd"/>
      <w:r>
        <w:t xml:space="preserve"> zůstává fakt, že oproti původnímu záměru, kterým byl příjem zejména hlášení kyberkriminality, je služba občany využívána i k oznamování jiných protiprávních jednání, které nespadají do působnosti odboru kybernetické krimin</w:t>
      </w:r>
      <w:r w:rsidR="00AC1578">
        <w:t>ality.</w:t>
      </w:r>
    </w:p>
    <w:p w:rsidR="00AC1578" w:rsidRDefault="00AC1578" w:rsidP="00843D4E">
      <w:pPr>
        <w:pStyle w:val="Bezmezer"/>
        <w:jc w:val="both"/>
      </w:pPr>
    </w:p>
    <w:sectPr w:rsidR="00AC1578" w:rsidSect="00B67E38">
      <w:footerReference w:type="default" r:id="rId14"/>
      <w:footerReference w:type="first" r:id="rId15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2DE" w:rsidRDefault="00D622DE" w:rsidP="001D364E">
      <w:pPr>
        <w:spacing w:after="0" w:line="240" w:lineRule="auto"/>
      </w:pPr>
      <w:r>
        <w:separator/>
      </w:r>
    </w:p>
  </w:endnote>
  <w:endnote w:type="continuationSeparator" w:id="0">
    <w:p w:rsidR="00D622DE" w:rsidRDefault="00D622DE" w:rsidP="001D3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1881479"/>
      <w:docPartObj>
        <w:docPartGallery w:val="Page Numbers (Bottom of Page)"/>
        <w:docPartUnique/>
      </w:docPartObj>
    </w:sdtPr>
    <w:sdtEndPr/>
    <w:sdtContent>
      <w:p w:rsidR="00392B0E" w:rsidRDefault="00392B0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0B0">
          <w:rPr>
            <w:noProof/>
          </w:rPr>
          <w:t>2</w:t>
        </w:r>
        <w:r>
          <w:fldChar w:fldCharType="end"/>
        </w:r>
      </w:p>
    </w:sdtContent>
  </w:sdt>
  <w:p w:rsidR="007B040F" w:rsidRDefault="007B040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6127190"/>
      <w:docPartObj>
        <w:docPartGallery w:val="Page Numbers (Bottom of Page)"/>
        <w:docPartUnique/>
      </w:docPartObj>
    </w:sdtPr>
    <w:sdtEndPr/>
    <w:sdtContent>
      <w:p w:rsidR="007B040F" w:rsidRDefault="007B040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0B0">
          <w:rPr>
            <w:noProof/>
          </w:rPr>
          <w:t>7</w:t>
        </w:r>
        <w:r>
          <w:fldChar w:fldCharType="end"/>
        </w:r>
      </w:p>
    </w:sdtContent>
  </w:sdt>
  <w:p w:rsidR="007B040F" w:rsidRDefault="007B04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3777245"/>
      <w:docPartObj>
        <w:docPartGallery w:val="Page Numbers (Bottom of Page)"/>
        <w:docPartUnique/>
      </w:docPartObj>
    </w:sdtPr>
    <w:sdtEndPr/>
    <w:sdtContent>
      <w:p w:rsidR="007B040F" w:rsidRDefault="007B040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0B0">
          <w:rPr>
            <w:noProof/>
          </w:rPr>
          <w:t>3</w:t>
        </w:r>
        <w:r>
          <w:fldChar w:fldCharType="end"/>
        </w:r>
      </w:p>
    </w:sdtContent>
  </w:sdt>
  <w:p w:rsidR="007B040F" w:rsidRDefault="007B04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2DE" w:rsidRDefault="00D622DE" w:rsidP="001D364E">
      <w:pPr>
        <w:spacing w:after="0" w:line="240" w:lineRule="auto"/>
      </w:pPr>
      <w:r>
        <w:separator/>
      </w:r>
    </w:p>
  </w:footnote>
  <w:footnote w:type="continuationSeparator" w:id="0">
    <w:p w:rsidR="00D622DE" w:rsidRDefault="00D622DE" w:rsidP="001D36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6252B"/>
    <w:multiLevelType w:val="hybridMultilevel"/>
    <w:tmpl w:val="496AC48A"/>
    <w:lvl w:ilvl="0" w:tplc="182236EC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702C8F"/>
    <w:multiLevelType w:val="hybridMultilevel"/>
    <w:tmpl w:val="2AFEACF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DC65243"/>
    <w:multiLevelType w:val="hybridMultilevel"/>
    <w:tmpl w:val="1382AA9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92A108E"/>
    <w:multiLevelType w:val="hybridMultilevel"/>
    <w:tmpl w:val="7B8C3A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E0"/>
    <w:rsid w:val="00000CDB"/>
    <w:rsid w:val="00006F30"/>
    <w:rsid w:val="00006F59"/>
    <w:rsid w:val="000269ED"/>
    <w:rsid w:val="00045B21"/>
    <w:rsid w:val="0004634A"/>
    <w:rsid w:val="0004693B"/>
    <w:rsid w:val="00061E3C"/>
    <w:rsid w:val="00076DAA"/>
    <w:rsid w:val="000B6CFA"/>
    <w:rsid w:val="000C3EB9"/>
    <w:rsid w:val="000E6F69"/>
    <w:rsid w:val="001360CC"/>
    <w:rsid w:val="0013794E"/>
    <w:rsid w:val="001500B1"/>
    <w:rsid w:val="00161D33"/>
    <w:rsid w:val="00186F98"/>
    <w:rsid w:val="00193647"/>
    <w:rsid w:val="001B52C0"/>
    <w:rsid w:val="001D364E"/>
    <w:rsid w:val="00211F98"/>
    <w:rsid w:val="00224340"/>
    <w:rsid w:val="00233E38"/>
    <w:rsid w:val="00237C87"/>
    <w:rsid w:val="002735F7"/>
    <w:rsid w:val="002D278D"/>
    <w:rsid w:val="002F0C94"/>
    <w:rsid w:val="00302A9F"/>
    <w:rsid w:val="00305784"/>
    <w:rsid w:val="003064A8"/>
    <w:rsid w:val="003211A4"/>
    <w:rsid w:val="00325AE4"/>
    <w:rsid w:val="003269E9"/>
    <w:rsid w:val="00332DFA"/>
    <w:rsid w:val="00340B98"/>
    <w:rsid w:val="00345D24"/>
    <w:rsid w:val="003501B9"/>
    <w:rsid w:val="00351173"/>
    <w:rsid w:val="00363689"/>
    <w:rsid w:val="003665A1"/>
    <w:rsid w:val="0037743C"/>
    <w:rsid w:val="003867AB"/>
    <w:rsid w:val="00392B0E"/>
    <w:rsid w:val="003B4B71"/>
    <w:rsid w:val="003E5112"/>
    <w:rsid w:val="003F565D"/>
    <w:rsid w:val="0040205C"/>
    <w:rsid w:val="00404B43"/>
    <w:rsid w:val="00460852"/>
    <w:rsid w:val="00490025"/>
    <w:rsid w:val="004925CA"/>
    <w:rsid w:val="004967CF"/>
    <w:rsid w:val="00497EAC"/>
    <w:rsid w:val="004B60B7"/>
    <w:rsid w:val="004C099F"/>
    <w:rsid w:val="004C2E5C"/>
    <w:rsid w:val="004E4CF9"/>
    <w:rsid w:val="004F594C"/>
    <w:rsid w:val="0050435D"/>
    <w:rsid w:val="0050616E"/>
    <w:rsid w:val="00563185"/>
    <w:rsid w:val="005636FD"/>
    <w:rsid w:val="005722F6"/>
    <w:rsid w:val="0059328F"/>
    <w:rsid w:val="00624D1E"/>
    <w:rsid w:val="00627EEB"/>
    <w:rsid w:val="006317AF"/>
    <w:rsid w:val="00682235"/>
    <w:rsid w:val="00692AE6"/>
    <w:rsid w:val="006F2B29"/>
    <w:rsid w:val="00713453"/>
    <w:rsid w:val="0073416B"/>
    <w:rsid w:val="00734528"/>
    <w:rsid w:val="00743A64"/>
    <w:rsid w:val="00786474"/>
    <w:rsid w:val="00793975"/>
    <w:rsid w:val="007B040F"/>
    <w:rsid w:val="007B7A1F"/>
    <w:rsid w:val="007C673A"/>
    <w:rsid w:val="008006CF"/>
    <w:rsid w:val="008009C7"/>
    <w:rsid w:val="0083698D"/>
    <w:rsid w:val="00843D4E"/>
    <w:rsid w:val="008458B8"/>
    <w:rsid w:val="008533E0"/>
    <w:rsid w:val="00877C2E"/>
    <w:rsid w:val="00886FE4"/>
    <w:rsid w:val="008B3AB1"/>
    <w:rsid w:val="008C3D34"/>
    <w:rsid w:val="008E5B0E"/>
    <w:rsid w:val="00917C44"/>
    <w:rsid w:val="0092758F"/>
    <w:rsid w:val="0096404D"/>
    <w:rsid w:val="009975E3"/>
    <w:rsid w:val="009B455B"/>
    <w:rsid w:val="009B6A50"/>
    <w:rsid w:val="00A70925"/>
    <w:rsid w:val="00A822E3"/>
    <w:rsid w:val="00AA0980"/>
    <w:rsid w:val="00AA12E0"/>
    <w:rsid w:val="00AA1C7B"/>
    <w:rsid w:val="00AC1578"/>
    <w:rsid w:val="00AD4D1A"/>
    <w:rsid w:val="00B06F4A"/>
    <w:rsid w:val="00B23A2A"/>
    <w:rsid w:val="00B23FAE"/>
    <w:rsid w:val="00B252DE"/>
    <w:rsid w:val="00B57A88"/>
    <w:rsid w:val="00B67E38"/>
    <w:rsid w:val="00BE20D4"/>
    <w:rsid w:val="00BF6C0C"/>
    <w:rsid w:val="00C076A0"/>
    <w:rsid w:val="00C10F24"/>
    <w:rsid w:val="00C27B31"/>
    <w:rsid w:val="00C6582E"/>
    <w:rsid w:val="00C72D47"/>
    <w:rsid w:val="00C75DB1"/>
    <w:rsid w:val="00C81206"/>
    <w:rsid w:val="00C83217"/>
    <w:rsid w:val="00CE5157"/>
    <w:rsid w:val="00CF0E28"/>
    <w:rsid w:val="00CF1375"/>
    <w:rsid w:val="00D03E98"/>
    <w:rsid w:val="00D11AE9"/>
    <w:rsid w:val="00D23F76"/>
    <w:rsid w:val="00D504A9"/>
    <w:rsid w:val="00D559DE"/>
    <w:rsid w:val="00D56606"/>
    <w:rsid w:val="00D622DE"/>
    <w:rsid w:val="00D71501"/>
    <w:rsid w:val="00D75BE2"/>
    <w:rsid w:val="00DF4A93"/>
    <w:rsid w:val="00E10A96"/>
    <w:rsid w:val="00E13196"/>
    <w:rsid w:val="00E14FF7"/>
    <w:rsid w:val="00E41FB5"/>
    <w:rsid w:val="00E5101D"/>
    <w:rsid w:val="00E61BD9"/>
    <w:rsid w:val="00E84148"/>
    <w:rsid w:val="00EA4BFD"/>
    <w:rsid w:val="00EB1BCB"/>
    <w:rsid w:val="00EC10B0"/>
    <w:rsid w:val="00ED1A5E"/>
    <w:rsid w:val="00F55BB7"/>
    <w:rsid w:val="00F73169"/>
    <w:rsid w:val="00F927C3"/>
    <w:rsid w:val="00FA1599"/>
    <w:rsid w:val="00FB4AE1"/>
    <w:rsid w:val="00FB51FD"/>
    <w:rsid w:val="00FE74FA"/>
    <w:rsid w:val="00FF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61E209B-4661-4AB1-91D1-69FB7A59C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533E0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22F6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533E0"/>
    <w:pPr>
      <w:spacing w:after="0" w:line="360" w:lineRule="auto"/>
      <w:ind w:firstLine="567"/>
    </w:pPr>
    <w:rPr>
      <w:rFonts w:ascii="Arial" w:hAnsi="Arial"/>
    </w:rPr>
  </w:style>
  <w:style w:type="character" w:customStyle="1" w:styleId="Nadpis1Char">
    <w:name w:val="Nadpis 1 Char"/>
    <w:basedOn w:val="Standardnpsmoodstavce"/>
    <w:link w:val="Nadpis1"/>
    <w:uiPriority w:val="9"/>
    <w:rsid w:val="008533E0"/>
    <w:rPr>
      <w:rFonts w:ascii="Arial" w:eastAsiaTheme="majorEastAsia" w:hAnsi="Arial" w:cstheme="majorBidi"/>
      <w:b/>
      <w:b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1D3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D3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364E"/>
  </w:style>
  <w:style w:type="paragraph" w:styleId="Zpat">
    <w:name w:val="footer"/>
    <w:basedOn w:val="Normln"/>
    <w:link w:val="ZpatChar"/>
    <w:uiPriority w:val="99"/>
    <w:unhideWhenUsed/>
    <w:rsid w:val="001D3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364E"/>
  </w:style>
  <w:style w:type="character" w:customStyle="1" w:styleId="Nadpis2Char">
    <w:name w:val="Nadpis 2 Char"/>
    <w:basedOn w:val="Standardnpsmoodstavce"/>
    <w:link w:val="Nadpis2"/>
    <w:uiPriority w:val="9"/>
    <w:rsid w:val="005722F6"/>
    <w:rPr>
      <w:rFonts w:ascii="Arial" w:eastAsiaTheme="majorEastAsia" w:hAnsi="Arial" w:cstheme="majorBidi"/>
      <w:b/>
      <w:bCs/>
      <w:sz w:val="26"/>
      <w:szCs w:val="2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23A2A"/>
    <w:pPr>
      <w:spacing w:after="0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23A2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23A2A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B23A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6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Se&#353;it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Se&#353;it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Se&#353;it1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Se&#353;it1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Se&#353;it1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rgbClr val="FF000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explosion val="10"/>
            <c:spPr>
              <a:solidFill>
                <a:srgbClr val="00206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1.4603674540682414E-2"/>
                  <c:y val="-7.927347623213765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4083552055992874E-3"/>
                  <c:y val="-0.34593321668124816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List1!$E$8:$E$9</c:f>
              <c:strCache>
                <c:ptCount val="2"/>
                <c:pt idx="0">
                  <c:v>relevantní</c:v>
                </c:pt>
                <c:pt idx="1">
                  <c:v>nerelevantní</c:v>
                </c:pt>
              </c:strCache>
            </c:strRef>
          </c:cat>
          <c:val>
            <c:numRef>
              <c:f>List1!$G$8:$G$9</c:f>
              <c:numCache>
                <c:formatCode>General</c:formatCode>
                <c:ptCount val="2"/>
                <c:pt idx="0">
                  <c:v>1368</c:v>
                </c:pt>
                <c:pt idx="1">
                  <c:v>2010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solidFill>
            <a:schemeClr val="accent1"/>
          </a:solidFill>
        </a:ln>
        <a:effectLst/>
        <a:sp3d>
          <a:contourClr>
            <a:schemeClr val="accent1"/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tx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List1!$E$36:$E$47</c:f>
              <c:strCache>
                <c:ptCount val="12"/>
                <c:pt idx="0">
                  <c:v>leden 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  <c:pt idx="6">
                  <c:v>červenec</c:v>
                </c:pt>
                <c:pt idx="7">
                  <c:v>srpen</c:v>
                </c:pt>
                <c:pt idx="8">
                  <c:v>září</c:v>
                </c:pt>
                <c:pt idx="9">
                  <c:v>říjen</c:v>
                </c:pt>
                <c:pt idx="10">
                  <c:v>listopad</c:v>
                </c:pt>
                <c:pt idx="11">
                  <c:v>prosinec</c:v>
                </c:pt>
              </c:strCache>
            </c:strRef>
          </c:cat>
          <c:val>
            <c:numRef>
              <c:f>List1!$G$36:$G$47</c:f>
              <c:numCache>
                <c:formatCode>General</c:formatCode>
                <c:ptCount val="12"/>
                <c:pt idx="0">
                  <c:v>344</c:v>
                </c:pt>
                <c:pt idx="1">
                  <c:v>309</c:v>
                </c:pt>
                <c:pt idx="2">
                  <c:v>270</c:v>
                </c:pt>
                <c:pt idx="3">
                  <c:v>239</c:v>
                </c:pt>
                <c:pt idx="4">
                  <c:v>316</c:v>
                </c:pt>
                <c:pt idx="5">
                  <c:v>642</c:v>
                </c:pt>
                <c:pt idx="6">
                  <c:v>194</c:v>
                </c:pt>
                <c:pt idx="7">
                  <c:v>251</c:v>
                </c:pt>
                <c:pt idx="8">
                  <c:v>184</c:v>
                </c:pt>
                <c:pt idx="9">
                  <c:v>211</c:v>
                </c:pt>
                <c:pt idx="10">
                  <c:v>200</c:v>
                </c:pt>
                <c:pt idx="11">
                  <c:v>218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58684296"/>
        <c:axId val="158806496"/>
        <c:axId val="0"/>
      </c:bar3DChart>
      <c:catAx>
        <c:axId val="1586842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58806496"/>
        <c:crosses val="autoZero"/>
        <c:auto val="1"/>
        <c:lblAlgn val="ctr"/>
        <c:lblOffset val="100"/>
        <c:noMultiLvlLbl val="0"/>
      </c:catAx>
      <c:valAx>
        <c:axId val="1588064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586842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  <a:scene3d>
      <a:camera prst="orthographicFront"/>
      <a:lightRig rig="threePt" dir="t"/>
    </a:scene3d>
    <a:sp3d>
      <a:bevelT w="165100" prst="coolSlant"/>
    </a:sp3d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solidFill>
            <a:schemeClr val="accent1"/>
          </a:solidFill>
        </a:ln>
        <a:effectLst/>
        <a:sp3d>
          <a:contourClr>
            <a:schemeClr val="accent1"/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5">
                <a:lumMod val="500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List1!$E$36:$E$47</c:f>
              <c:strCache>
                <c:ptCount val="12"/>
                <c:pt idx="0">
                  <c:v>leden 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  <c:pt idx="6">
                  <c:v>červenec</c:v>
                </c:pt>
                <c:pt idx="7">
                  <c:v>srpen</c:v>
                </c:pt>
                <c:pt idx="8">
                  <c:v>září</c:v>
                </c:pt>
                <c:pt idx="9">
                  <c:v>říjen</c:v>
                </c:pt>
                <c:pt idx="10">
                  <c:v>listopad</c:v>
                </c:pt>
                <c:pt idx="11">
                  <c:v>prosinec</c:v>
                </c:pt>
              </c:strCache>
            </c:strRef>
          </c:cat>
          <c:val>
            <c:numRef>
              <c:f>List1!$F$36:$F$47</c:f>
              <c:numCache>
                <c:formatCode>0</c:formatCode>
                <c:ptCount val="12"/>
                <c:pt idx="0">
                  <c:v>11.096774193548388</c:v>
                </c:pt>
                <c:pt idx="1">
                  <c:v>10.655172413793103</c:v>
                </c:pt>
                <c:pt idx="2">
                  <c:v>8.7096774193548381</c:v>
                </c:pt>
                <c:pt idx="3">
                  <c:v>7.9666666666666668</c:v>
                </c:pt>
                <c:pt idx="4">
                  <c:v>10.193548387096774</c:v>
                </c:pt>
                <c:pt idx="5">
                  <c:v>21.4</c:v>
                </c:pt>
                <c:pt idx="6">
                  <c:v>6.258064516129032</c:v>
                </c:pt>
                <c:pt idx="7">
                  <c:v>8.0967741935483879</c:v>
                </c:pt>
                <c:pt idx="8">
                  <c:v>6.1333333333333337</c:v>
                </c:pt>
                <c:pt idx="9">
                  <c:v>6.806451612903226</c:v>
                </c:pt>
                <c:pt idx="10">
                  <c:v>6.666666666666667</c:v>
                </c:pt>
                <c:pt idx="11">
                  <c:v>7.032258064516129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58859272"/>
        <c:axId val="158537408"/>
        <c:axId val="0"/>
      </c:bar3DChart>
      <c:catAx>
        <c:axId val="158859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58537408"/>
        <c:crosses val="autoZero"/>
        <c:auto val="1"/>
        <c:lblAlgn val="ctr"/>
        <c:lblOffset val="100"/>
        <c:noMultiLvlLbl val="0"/>
      </c:catAx>
      <c:valAx>
        <c:axId val="1585374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588592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  <a:scene3d>
      <a:camera prst="orthographicFront"/>
      <a:lightRig rig="threePt" dir="t"/>
    </a:scene3d>
    <a:sp3d>
      <a:bevelT w="165100" prst="coolSlant"/>
    </a:sp3d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explosion val="18"/>
          <c:dPt>
            <c:idx val="0"/>
            <c:bubble3D val="0"/>
            <c:spPr>
              <a:solidFill>
                <a:srgbClr val="00206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rgbClr val="FF000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rgbClr val="7030A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5"/>
            <c:bubble3D val="0"/>
            <c:spPr>
              <a:solidFill>
                <a:srgbClr val="00B05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6"/>
            <c:bubble3D val="0"/>
            <c:explosion val="19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-1.6290361960568881E-2"/>
                  <c:y val="-8.894276498816394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21678884616167174"/>
                  <c:y val="-4.063135159876132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8665791776027996E-2"/>
                  <c:y val="-5.866277614480757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3.3623268021729844E-3"/>
                  <c:y val="-6.902872835718423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8683493051740625E-2"/>
                  <c:y val="-2.6250724109077646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5702964455024515E-2"/>
                  <c:y val="-2.523260886667096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1.5061242344706911E-2"/>
                  <c:y val="-2.4268274367611406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List1!$E$52:$E$58</c:f>
              <c:strCache>
                <c:ptCount val="7"/>
                <c:pt idx="0">
                  <c:v>Podvodná jednání</c:v>
                </c:pt>
                <c:pt idx="1">
                  <c:v>Hacking</c:v>
                </c:pt>
                <c:pt idx="2">
                  <c:v>Mravnostní oblast</c:v>
                </c:pt>
                <c:pt idx="3">
                  <c:v>Ostatní</c:v>
                </c:pt>
                <c:pt idx="4">
                  <c:v>Extremismus</c:v>
                </c:pt>
                <c:pt idx="5">
                  <c:v>Násilí obecné</c:v>
                </c:pt>
                <c:pt idx="6">
                  <c:v>Autorská práva</c:v>
                </c:pt>
              </c:strCache>
            </c:strRef>
          </c:cat>
          <c:val>
            <c:numRef>
              <c:f>List1!$F$52:$F$58</c:f>
              <c:numCache>
                <c:formatCode>General</c:formatCode>
                <c:ptCount val="7"/>
                <c:pt idx="0">
                  <c:v>532</c:v>
                </c:pt>
                <c:pt idx="1">
                  <c:v>235</c:v>
                </c:pt>
                <c:pt idx="2">
                  <c:v>193</c:v>
                </c:pt>
                <c:pt idx="3">
                  <c:v>182</c:v>
                </c:pt>
                <c:pt idx="4">
                  <c:v>133</c:v>
                </c:pt>
                <c:pt idx="5">
                  <c:v>61</c:v>
                </c:pt>
                <c:pt idx="6">
                  <c:v>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rgbClr val="00206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explosion val="13"/>
            <c:spPr>
              <a:solidFill>
                <a:srgbClr val="FF0000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0.13055555555555556"/>
                  <c:y val="-5.5555555555555566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23333333333333334"/>
                  <c:y val="-5.555555555555546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List1!$E$63:$E$64</c:f>
              <c:strCache>
                <c:ptCount val="2"/>
                <c:pt idx="0">
                  <c:v>uloženo</c:v>
                </c:pt>
                <c:pt idx="1">
                  <c:v>postoupeno</c:v>
                </c:pt>
              </c:strCache>
            </c:strRef>
          </c:cat>
          <c:val>
            <c:numRef>
              <c:f>List1!$F$63:$F$64</c:f>
              <c:numCache>
                <c:formatCode>General</c:formatCode>
                <c:ptCount val="2"/>
                <c:pt idx="0">
                  <c:v>143</c:v>
                </c:pt>
                <c:pt idx="1">
                  <c:v>1225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F889B-5CCF-4C6B-9D6E-7F3B68174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833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Lord</dc:creator>
  <cp:lastModifiedBy>Navrátil Bronislav</cp:lastModifiedBy>
  <cp:revision>11</cp:revision>
  <cp:lastPrinted>2015-03-06T10:16:00Z</cp:lastPrinted>
  <dcterms:created xsi:type="dcterms:W3CDTF">2017-01-09T12:06:00Z</dcterms:created>
  <dcterms:modified xsi:type="dcterms:W3CDTF">2017-01-09T14:41:00Z</dcterms:modified>
</cp:coreProperties>
</file>