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40D" w:rsidRPr="00026D3E" w:rsidRDefault="008F540D" w:rsidP="008F540D">
      <w:pPr>
        <w:autoSpaceDE w:val="0"/>
        <w:autoSpaceDN w:val="0"/>
        <w:adjustRightInd w:val="0"/>
        <w:spacing w:line="360" w:lineRule="auto"/>
        <w:jc w:val="center"/>
        <w:rPr>
          <w:rFonts w:ascii="Times New Roman" w:hAnsi="Times New Roman" w:cs="Times New Roman"/>
          <w:b/>
          <w:sz w:val="24"/>
          <w:szCs w:val="24"/>
        </w:rPr>
      </w:pPr>
    </w:p>
    <w:p w:rsidR="008F540D" w:rsidRPr="00026D3E" w:rsidRDefault="008F540D" w:rsidP="008F540D">
      <w:pPr>
        <w:autoSpaceDE w:val="0"/>
        <w:autoSpaceDN w:val="0"/>
        <w:adjustRightInd w:val="0"/>
        <w:spacing w:line="360" w:lineRule="auto"/>
        <w:jc w:val="center"/>
        <w:rPr>
          <w:rFonts w:ascii="Times New Roman" w:hAnsi="Times New Roman" w:cs="Times New Roman"/>
          <w:b/>
          <w:sz w:val="24"/>
          <w:szCs w:val="24"/>
        </w:rPr>
      </w:pPr>
    </w:p>
    <w:p w:rsidR="008F540D" w:rsidRPr="00026D3E" w:rsidRDefault="008F540D" w:rsidP="008F540D">
      <w:pPr>
        <w:autoSpaceDE w:val="0"/>
        <w:autoSpaceDN w:val="0"/>
        <w:adjustRightInd w:val="0"/>
        <w:spacing w:line="360" w:lineRule="auto"/>
        <w:jc w:val="center"/>
        <w:rPr>
          <w:rFonts w:ascii="Times New Roman" w:hAnsi="Times New Roman" w:cs="Times New Roman"/>
          <w:b/>
          <w:sz w:val="24"/>
          <w:szCs w:val="24"/>
        </w:rPr>
      </w:pPr>
      <w:r w:rsidRPr="00026D3E">
        <w:rPr>
          <w:rFonts w:ascii="Times New Roman" w:hAnsi="Times New Roman" w:cs="Times New Roman"/>
          <w:b/>
          <w:noProof/>
          <w:sz w:val="24"/>
          <w:szCs w:val="24"/>
        </w:rPr>
        <w:drawing>
          <wp:anchor distT="0" distB="0" distL="114300" distR="114300" simplePos="0" relativeHeight="251660288" behindDoc="0" locked="1" layoutInCell="1" allowOverlap="1">
            <wp:simplePos x="0" y="0"/>
            <wp:positionH relativeFrom="column">
              <wp:posOffset>2527300</wp:posOffset>
            </wp:positionH>
            <wp:positionV relativeFrom="paragraph">
              <wp:posOffset>1202055</wp:posOffset>
            </wp:positionV>
            <wp:extent cx="795655" cy="805815"/>
            <wp:effectExtent l="19050" t="0" r="4445" b="0"/>
            <wp:wrapNone/>
            <wp:docPr id="7" name="obrázek 2" descr="UPZNM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UPZNMALY"/>
                    <pic:cNvPicPr>
                      <a:picLocks noChangeAspect="1" noChangeArrowheads="1"/>
                    </pic:cNvPicPr>
                  </pic:nvPicPr>
                  <pic:blipFill>
                    <a:blip r:embed="rId8"/>
                    <a:srcRect/>
                    <a:stretch>
                      <a:fillRect/>
                    </a:stretch>
                  </pic:blipFill>
                  <pic:spPr bwMode="auto">
                    <a:xfrm>
                      <a:off x="0" y="0"/>
                      <a:ext cx="795655" cy="805815"/>
                    </a:xfrm>
                    <a:prstGeom prst="rect">
                      <a:avLst/>
                    </a:prstGeom>
                    <a:noFill/>
                    <a:ln w="9525">
                      <a:noFill/>
                      <a:miter lim="800000"/>
                      <a:headEnd/>
                      <a:tailEnd/>
                    </a:ln>
                  </pic:spPr>
                </pic:pic>
              </a:graphicData>
            </a:graphic>
          </wp:anchor>
        </w:drawing>
      </w:r>
      <w:r w:rsidRPr="00026D3E">
        <w:rPr>
          <w:rFonts w:ascii="Times New Roman" w:hAnsi="Times New Roman" w:cs="Times New Roman"/>
          <w:b/>
          <w:sz w:val="24"/>
          <w:szCs w:val="24"/>
        </w:rPr>
        <w:t>UNIVERZITA PALACKÉHO V OLOMOUCI</w:t>
      </w:r>
    </w:p>
    <w:p w:rsidR="008F540D" w:rsidRPr="00026D3E" w:rsidRDefault="008F540D" w:rsidP="008F540D">
      <w:pPr>
        <w:autoSpaceDE w:val="0"/>
        <w:autoSpaceDN w:val="0"/>
        <w:adjustRightInd w:val="0"/>
        <w:spacing w:line="360" w:lineRule="auto"/>
        <w:jc w:val="center"/>
        <w:rPr>
          <w:rFonts w:ascii="Times New Roman" w:hAnsi="Times New Roman" w:cs="Times New Roman"/>
          <w:b/>
          <w:sz w:val="24"/>
          <w:szCs w:val="24"/>
        </w:rPr>
      </w:pPr>
      <w:r w:rsidRPr="00026D3E">
        <w:rPr>
          <w:rFonts w:ascii="Times New Roman" w:hAnsi="Times New Roman" w:cs="Times New Roman"/>
          <w:b/>
          <w:sz w:val="24"/>
          <w:szCs w:val="24"/>
        </w:rPr>
        <w:t>Filozofická fakulta</w:t>
      </w:r>
    </w:p>
    <w:p w:rsidR="008F540D" w:rsidRPr="00026D3E" w:rsidRDefault="008F540D" w:rsidP="008F540D">
      <w:pPr>
        <w:autoSpaceDE w:val="0"/>
        <w:autoSpaceDN w:val="0"/>
        <w:adjustRightInd w:val="0"/>
        <w:spacing w:line="360" w:lineRule="auto"/>
        <w:jc w:val="center"/>
        <w:rPr>
          <w:rFonts w:ascii="Times New Roman" w:hAnsi="Times New Roman" w:cs="Times New Roman"/>
          <w:b/>
          <w:sz w:val="24"/>
          <w:szCs w:val="24"/>
        </w:rPr>
      </w:pPr>
      <w:r w:rsidRPr="00026D3E">
        <w:rPr>
          <w:rFonts w:ascii="Times New Roman" w:hAnsi="Times New Roman" w:cs="Times New Roman"/>
          <w:b/>
          <w:sz w:val="24"/>
          <w:szCs w:val="24"/>
        </w:rPr>
        <w:t>Katedra politologie a evropských studií</w:t>
      </w:r>
    </w:p>
    <w:p w:rsidR="008F540D" w:rsidRPr="00026D3E" w:rsidRDefault="008F540D" w:rsidP="008F540D">
      <w:pPr>
        <w:autoSpaceDE w:val="0"/>
        <w:autoSpaceDN w:val="0"/>
        <w:adjustRightInd w:val="0"/>
        <w:spacing w:line="360" w:lineRule="auto"/>
        <w:jc w:val="center"/>
        <w:rPr>
          <w:rFonts w:ascii="Times New Roman" w:hAnsi="Times New Roman" w:cs="Times New Roman"/>
          <w:b/>
          <w:sz w:val="24"/>
          <w:szCs w:val="24"/>
        </w:rPr>
      </w:pPr>
    </w:p>
    <w:p w:rsidR="008F540D" w:rsidRPr="00026D3E" w:rsidRDefault="008F540D" w:rsidP="008F540D">
      <w:pPr>
        <w:autoSpaceDE w:val="0"/>
        <w:autoSpaceDN w:val="0"/>
        <w:adjustRightInd w:val="0"/>
        <w:spacing w:line="360" w:lineRule="auto"/>
        <w:jc w:val="center"/>
        <w:rPr>
          <w:rFonts w:ascii="Times New Roman" w:hAnsi="Times New Roman" w:cs="Times New Roman"/>
          <w:b/>
          <w:sz w:val="24"/>
          <w:szCs w:val="24"/>
        </w:rPr>
      </w:pPr>
    </w:p>
    <w:p w:rsidR="008F540D" w:rsidRPr="00026D3E" w:rsidRDefault="008F540D" w:rsidP="008F540D">
      <w:pPr>
        <w:autoSpaceDE w:val="0"/>
        <w:autoSpaceDN w:val="0"/>
        <w:adjustRightInd w:val="0"/>
        <w:spacing w:line="360" w:lineRule="auto"/>
        <w:jc w:val="center"/>
        <w:rPr>
          <w:rFonts w:ascii="Times New Roman" w:hAnsi="Times New Roman" w:cs="Times New Roman"/>
          <w:b/>
          <w:sz w:val="24"/>
          <w:szCs w:val="24"/>
        </w:rPr>
      </w:pPr>
    </w:p>
    <w:p w:rsidR="008F540D" w:rsidRPr="00026D3E" w:rsidRDefault="008F540D" w:rsidP="008F540D">
      <w:pPr>
        <w:autoSpaceDE w:val="0"/>
        <w:autoSpaceDN w:val="0"/>
        <w:adjustRightInd w:val="0"/>
        <w:spacing w:line="360" w:lineRule="auto"/>
        <w:jc w:val="center"/>
        <w:rPr>
          <w:rFonts w:ascii="Times New Roman" w:hAnsi="Times New Roman" w:cs="Times New Roman"/>
          <w:b/>
          <w:sz w:val="24"/>
          <w:szCs w:val="24"/>
        </w:rPr>
      </w:pPr>
    </w:p>
    <w:p w:rsidR="008F540D" w:rsidRPr="00026D3E" w:rsidRDefault="008F540D" w:rsidP="008F540D">
      <w:pPr>
        <w:autoSpaceDE w:val="0"/>
        <w:autoSpaceDN w:val="0"/>
        <w:adjustRightInd w:val="0"/>
        <w:spacing w:line="360" w:lineRule="auto"/>
        <w:rPr>
          <w:rFonts w:ascii="Times New Roman" w:hAnsi="Times New Roman" w:cs="Times New Roman"/>
          <w:b/>
          <w:sz w:val="24"/>
          <w:szCs w:val="24"/>
        </w:rPr>
      </w:pPr>
    </w:p>
    <w:p w:rsidR="008F540D" w:rsidRPr="00026D3E" w:rsidRDefault="008F540D" w:rsidP="008F540D">
      <w:pPr>
        <w:autoSpaceDE w:val="0"/>
        <w:autoSpaceDN w:val="0"/>
        <w:adjustRightInd w:val="0"/>
        <w:spacing w:line="360" w:lineRule="auto"/>
        <w:jc w:val="center"/>
        <w:rPr>
          <w:rFonts w:ascii="Times New Roman" w:hAnsi="Times New Roman" w:cs="Times New Roman"/>
          <w:b/>
          <w:sz w:val="24"/>
          <w:szCs w:val="24"/>
        </w:rPr>
      </w:pPr>
      <w:r w:rsidRPr="00026D3E">
        <w:rPr>
          <w:rFonts w:ascii="Times New Roman" w:hAnsi="Times New Roman" w:cs="Times New Roman"/>
          <w:b/>
          <w:sz w:val="24"/>
          <w:szCs w:val="24"/>
        </w:rPr>
        <w:t>Karol Ander</w:t>
      </w:r>
    </w:p>
    <w:p w:rsidR="008F540D" w:rsidRPr="00026D3E" w:rsidRDefault="008F540D" w:rsidP="008F540D">
      <w:pPr>
        <w:autoSpaceDE w:val="0"/>
        <w:autoSpaceDN w:val="0"/>
        <w:adjustRightInd w:val="0"/>
        <w:spacing w:line="360" w:lineRule="auto"/>
        <w:jc w:val="center"/>
        <w:rPr>
          <w:rFonts w:ascii="Times New Roman" w:hAnsi="Times New Roman" w:cs="Times New Roman"/>
          <w:b/>
          <w:sz w:val="24"/>
          <w:szCs w:val="24"/>
        </w:rPr>
      </w:pPr>
    </w:p>
    <w:p w:rsidR="008F540D" w:rsidRPr="00026D3E" w:rsidRDefault="00A31D9B" w:rsidP="008F540D">
      <w:pPr>
        <w:autoSpaceDE w:val="0"/>
        <w:autoSpaceDN w:val="0"/>
        <w:adjustRightInd w:val="0"/>
        <w:spacing w:line="360" w:lineRule="auto"/>
        <w:jc w:val="center"/>
        <w:rPr>
          <w:rFonts w:ascii="Times New Roman" w:hAnsi="Times New Roman" w:cs="Times New Roman"/>
          <w:b/>
          <w:sz w:val="28"/>
          <w:szCs w:val="28"/>
        </w:rPr>
      </w:pPr>
      <w:r>
        <w:rPr>
          <w:rFonts w:ascii="Times New Roman" w:hAnsi="Times New Roman" w:cs="Times New Roman"/>
          <w:b/>
          <w:sz w:val="28"/>
          <w:szCs w:val="28"/>
        </w:rPr>
        <w:t>Syrsko – í</w:t>
      </w:r>
      <w:r w:rsidR="008F540D" w:rsidRPr="00026D3E">
        <w:rPr>
          <w:rFonts w:ascii="Times New Roman" w:hAnsi="Times New Roman" w:cs="Times New Roman"/>
          <w:b/>
          <w:sz w:val="28"/>
          <w:szCs w:val="28"/>
        </w:rPr>
        <w:t>ránská strategická aliance</w:t>
      </w:r>
    </w:p>
    <w:p w:rsidR="008F540D" w:rsidRPr="00026D3E" w:rsidRDefault="008F540D" w:rsidP="008F540D">
      <w:pPr>
        <w:autoSpaceDE w:val="0"/>
        <w:autoSpaceDN w:val="0"/>
        <w:adjustRightInd w:val="0"/>
        <w:spacing w:line="360" w:lineRule="auto"/>
        <w:jc w:val="center"/>
        <w:rPr>
          <w:rFonts w:ascii="Times New Roman" w:hAnsi="Times New Roman" w:cs="Times New Roman"/>
          <w:b/>
          <w:sz w:val="24"/>
          <w:szCs w:val="24"/>
        </w:rPr>
      </w:pPr>
    </w:p>
    <w:p w:rsidR="008F540D" w:rsidRPr="00026D3E" w:rsidRDefault="008F540D" w:rsidP="008F540D">
      <w:pPr>
        <w:autoSpaceDE w:val="0"/>
        <w:autoSpaceDN w:val="0"/>
        <w:adjustRightInd w:val="0"/>
        <w:spacing w:line="360" w:lineRule="auto"/>
        <w:ind w:firstLine="284"/>
        <w:jc w:val="center"/>
        <w:rPr>
          <w:rFonts w:ascii="Times New Roman" w:hAnsi="Times New Roman" w:cs="Times New Roman"/>
          <w:b/>
          <w:sz w:val="24"/>
          <w:szCs w:val="24"/>
        </w:rPr>
      </w:pPr>
      <w:r w:rsidRPr="00026D3E">
        <w:rPr>
          <w:rFonts w:ascii="Times New Roman" w:hAnsi="Times New Roman" w:cs="Times New Roman"/>
          <w:b/>
          <w:sz w:val="24"/>
          <w:szCs w:val="24"/>
        </w:rPr>
        <w:t>Bakalářská diplomová práce</w:t>
      </w:r>
    </w:p>
    <w:p w:rsidR="008F540D" w:rsidRPr="00026D3E" w:rsidRDefault="008F540D" w:rsidP="008F540D">
      <w:pPr>
        <w:autoSpaceDE w:val="0"/>
        <w:autoSpaceDN w:val="0"/>
        <w:adjustRightInd w:val="0"/>
        <w:spacing w:line="360" w:lineRule="auto"/>
        <w:rPr>
          <w:rFonts w:ascii="Times New Roman" w:hAnsi="Times New Roman" w:cs="Times New Roman"/>
          <w:b/>
          <w:sz w:val="24"/>
          <w:szCs w:val="24"/>
        </w:rPr>
      </w:pPr>
    </w:p>
    <w:p w:rsidR="008F540D" w:rsidRPr="00026D3E" w:rsidRDefault="008F540D" w:rsidP="008F540D">
      <w:pPr>
        <w:autoSpaceDE w:val="0"/>
        <w:autoSpaceDN w:val="0"/>
        <w:adjustRightInd w:val="0"/>
        <w:spacing w:line="360" w:lineRule="auto"/>
        <w:jc w:val="center"/>
        <w:rPr>
          <w:rFonts w:ascii="Times New Roman" w:hAnsi="Times New Roman" w:cs="Times New Roman"/>
          <w:b/>
          <w:sz w:val="24"/>
          <w:szCs w:val="24"/>
        </w:rPr>
      </w:pPr>
    </w:p>
    <w:p w:rsidR="008F540D" w:rsidRPr="00026D3E" w:rsidRDefault="008F540D" w:rsidP="008F540D">
      <w:pPr>
        <w:autoSpaceDE w:val="0"/>
        <w:autoSpaceDN w:val="0"/>
        <w:adjustRightInd w:val="0"/>
        <w:spacing w:line="360" w:lineRule="auto"/>
        <w:jc w:val="center"/>
        <w:rPr>
          <w:rFonts w:ascii="Times New Roman" w:hAnsi="Times New Roman" w:cs="Times New Roman"/>
          <w:b/>
          <w:sz w:val="24"/>
          <w:szCs w:val="24"/>
        </w:rPr>
      </w:pPr>
    </w:p>
    <w:p w:rsidR="008F540D" w:rsidRPr="00026D3E" w:rsidRDefault="008F540D" w:rsidP="008F540D">
      <w:pPr>
        <w:autoSpaceDE w:val="0"/>
        <w:autoSpaceDN w:val="0"/>
        <w:adjustRightInd w:val="0"/>
        <w:spacing w:line="360" w:lineRule="auto"/>
        <w:jc w:val="center"/>
        <w:rPr>
          <w:rFonts w:ascii="Times New Roman" w:hAnsi="Times New Roman" w:cs="Times New Roman"/>
          <w:b/>
          <w:sz w:val="24"/>
          <w:szCs w:val="24"/>
        </w:rPr>
      </w:pPr>
    </w:p>
    <w:p w:rsidR="008F540D" w:rsidRPr="00026D3E" w:rsidRDefault="008F540D" w:rsidP="008F540D">
      <w:pPr>
        <w:autoSpaceDE w:val="0"/>
        <w:autoSpaceDN w:val="0"/>
        <w:adjustRightInd w:val="0"/>
        <w:spacing w:line="360" w:lineRule="auto"/>
        <w:jc w:val="center"/>
        <w:rPr>
          <w:rFonts w:ascii="Times New Roman" w:hAnsi="Times New Roman" w:cs="Times New Roman"/>
          <w:b/>
          <w:sz w:val="24"/>
          <w:szCs w:val="24"/>
        </w:rPr>
      </w:pPr>
      <w:r w:rsidRPr="00026D3E">
        <w:rPr>
          <w:rFonts w:ascii="Times New Roman" w:hAnsi="Times New Roman" w:cs="Times New Roman"/>
          <w:b/>
          <w:sz w:val="24"/>
          <w:szCs w:val="24"/>
        </w:rPr>
        <w:t xml:space="preserve">Vedoucí práce: Mgr. </w:t>
      </w:r>
      <w:r w:rsidR="00CA21C7">
        <w:rPr>
          <w:rFonts w:ascii="Times New Roman" w:hAnsi="Times New Roman" w:cs="Times New Roman"/>
          <w:b/>
          <w:sz w:val="24"/>
          <w:szCs w:val="24"/>
        </w:rPr>
        <w:t>Hynek Melichar</w:t>
      </w:r>
    </w:p>
    <w:p w:rsidR="008F540D" w:rsidRPr="00026D3E" w:rsidRDefault="008F540D" w:rsidP="008F540D">
      <w:pPr>
        <w:autoSpaceDE w:val="0"/>
        <w:autoSpaceDN w:val="0"/>
        <w:adjustRightInd w:val="0"/>
        <w:spacing w:line="360" w:lineRule="auto"/>
        <w:jc w:val="center"/>
        <w:rPr>
          <w:rFonts w:ascii="Times New Roman" w:hAnsi="Times New Roman" w:cs="Times New Roman"/>
          <w:b/>
          <w:sz w:val="24"/>
          <w:szCs w:val="24"/>
        </w:rPr>
      </w:pPr>
    </w:p>
    <w:p w:rsidR="008F540D" w:rsidRPr="00026D3E" w:rsidRDefault="00660C1A" w:rsidP="008F540D">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Olomouc 2013</w:t>
      </w:r>
    </w:p>
    <w:p w:rsidR="008F540D" w:rsidRPr="00026D3E" w:rsidRDefault="008F540D" w:rsidP="008F540D">
      <w:pPr>
        <w:pStyle w:val="Nzev"/>
        <w:rPr>
          <w:rFonts w:ascii="Times New Roman" w:hAnsi="Times New Roman"/>
          <w:sz w:val="24"/>
          <w:szCs w:val="24"/>
        </w:rPr>
      </w:pPr>
    </w:p>
    <w:p w:rsidR="008F540D" w:rsidRPr="00026D3E" w:rsidRDefault="008F540D" w:rsidP="008F540D">
      <w:pPr>
        <w:autoSpaceDE w:val="0"/>
        <w:autoSpaceDN w:val="0"/>
        <w:adjustRightInd w:val="0"/>
        <w:spacing w:line="360" w:lineRule="auto"/>
        <w:rPr>
          <w:rFonts w:ascii="Times New Roman" w:hAnsi="Times New Roman" w:cs="Times New Roman"/>
          <w:sz w:val="24"/>
          <w:szCs w:val="24"/>
        </w:rPr>
      </w:pPr>
    </w:p>
    <w:p w:rsidR="008F540D" w:rsidRPr="00026D3E" w:rsidRDefault="008F540D" w:rsidP="008F540D">
      <w:pPr>
        <w:autoSpaceDE w:val="0"/>
        <w:autoSpaceDN w:val="0"/>
        <w:adjustRightInd w:val="0"/>
        <w:spacing w:line="360" w:lineRule="auto"/>
        <w:rPr>
          <w:rFonts w:ascii="Times New Roman" w:hAnsi="Times New Roman" w:cs="Times New Roman"/>
          <w:sz w:val="24"/>
          <w:szCs w:val="24"/>
        </w:rPr>
      </w:pPr>
    </w:p>
    <w:p w:rsidR="008F540D" w:rsidRPr="00026D3E" w:rsidRDefault="008F540D" w:rsidP="008F540D">
      <w:pPr>
        <w:autoSpaceDE w:val="0"/>
        <w:autoSpaceDN w:val="0"/>
        <w:adjustRightInd w:val="0"/>
        <w:spacing w:line="360" w:lineRule="auto"/>
        <w:rPr>
          <w:rFonts w:ascii="Times New Roman" w:hAnsi="Times New Roman" w:cs="Times New Roman"/>
          <w:sz w:val="24"/>
          <w:szCs w:val="24"/>
        </w:rPr>
      </w:pPr>
    </w:p>
    <w:p w:rsidR="008F540D" w:rsidRPr="00026D3E" w:rsidRDefault="008F540D" w:rsidP="008F540D">
      <w:pPr>
        <w:autoSpaceDE w:val="0"/>
        <w:autoSpaceDN w:val="0"/>
        <w:adjustRightInd w:val="0"/>
        <w:spacing w:line="360" w:lineRule="auto"/>
        <w:rPr>
          <w:rFonts w:ascii="Times New Roman" w:hAnsi="Times New Roman" w:cs="Times New Roman"/>
          <w:sz w:val="24"/>
          <w:szCs w:val="24"/>
        </w:rPr>
      </w:pPr>
    </w:p>
    <w:p w:rsidR="008F540D" w:rsidRPr="00026D3E" w:rsidRDefault="008F540D" w:rsidP="008F540D">
      <w:pPr>
        <w:autoSpaceDE w:val="0"/>
        <w:autoSpaceDN w:val="0"/>
        <w:adjustRightInd w:val="0"/>
        <w:spacing w:line="360" w:lineRule="auto"/>
        <w:rPr>
          <w:rFonts w:ascii="Times New Roman" w:hAnsi="Times New Roman" w:cs="Times New Roman"/>
          <w:sz w:val="24"/>
          <w:szCs w:val="24"/>
        </w:rPr>
      </w:pPr>
    </w:p>
    <w:p w:rsidR="008F540D" w:rsidRPr="00026D3E" w:rsidRDefault="008F540D" w:rsidP="008F540D">
      <w:pPr>
        <w:autoSpaceDE w:val="0"/>
        <w:autoSpaceDN w:val="0"/>
        <w:adjustRightInd w:val="0"/>
        <w:spacing w:line="360" w:lineRule="auto"/>
        <w:rPr>
          <w:rFonts w:ascii="Times New Roman" w:hAnsi="Times New Roman" w:cs="Times New Roman"/>
          <w:sz w:val="24"/>
          <w:szCs w:val="24"/>
        </w:rPr>
      </w:pPr>
    </w:p>
    <w:p w:rsidR="008F540D" w:rsidRPr="00026D3E" w:rsidRDefault="008F540D" w:rsidP="008F540D">
      <w:pPr>
        <w:autoSpaceDE w:val="0"/>
        <w:autoSpaceDN w:val="0"/>
        <w:adjustRightInd w:val="0"/>
        <w:spacing w:line="360" w:lineRule="auto"/>
        <w:rPr>
          <w:rFonts w:ascii="Times New Roman" w:hAnsi="Times New Roman" w:cs="Times New Roman"/>
          <w:sz w:val="24"/>
          <w:szCs w:val="24"/>
        </w:rPr>
      </w:pPr>
    </w:p>
    <w:p w:rsidR="008F540D" w:rsidRPr="00026D3E" w:rsidRDefault="008F540D" w:rsidP="008F540D">
      <w:pPr>
        <w:autoSpaceDE w:val="0"/>
        <w:autoSpaceDN w:val="0"/>
        <w:adjustRightInd w:val="0"/>
        <w:spacing w:line="360" w:lineRule="auto"/>
        <w:rPr>
          <w:rFonts w:ascii="Times New Roman" w:hAnsi="Times New Roman" w:cs="Times New Roman"/>
          <w:sz w:val="24"/>
          <w:szCs w:val="24"/>
        </w:rPr>
      </w:pPr>
    </w:p>
    <w:p w:rsidR="008F540D" w:rsidRPr="00026D3E" w:rsidRDefault="008F540D" w:rsidP="008F540D">
      <w:pPr>
        <w:autoSpaceDE w:val="0"/>
        <w:autoSpaceDN w:val="0"/>
        <w:adjustRightInd w:val="0"/>
        <w:spacing w:line="360" w:lineRule="auto"/>
        <w:rPr>
          <w:rFonts w:ascii="Times New Roman" w:hAnsi="Times New Roman" w:cs="Times New Roman"/>
          <w:sz w:val="24"/>
          <w:szCs w:val="24"/>
        </w:rPr>
      </w:pPr>
    </w:p>
    <w:p w:rsidR="008F540D" w:rsidRPr="00026D3E" w:rsidRDefault="008F540D" w:rsidP="008F540D">
      <w:pPr>
        <w:autoSpaceDE w:val="0"/>
        <w:autoSpaceDN w:val="0"/>
        <w:adjustRightInd w:val="0"/>
        <w:spacing w:line="360" w:lineRule="auto"/>
        <w:rPr>
          <w:rFonts w:ascii="Times New Roman" w:hAnsi="Times New Roman" w:cs="Times New Roman"/>
          <w:sz w:val="24"/>
          <w:szCs w:val="24"/>
        </w:rPr>
      </w:pPr>
    </w:p>
    <w:p w:rsidR="008F540D" w:rsidRPr="00026D3E" w:rsidRDefault="008F540D" w:rsidP="008F540D">
      <w:pPr>
        <w:autoSpaceDE w:val="0"/>
        <w:autoSpaceDN w:val="0"/>
        <w:adjustRightInd w:val="0"/>
        <w:spacing w:line="360" w:lineRule="auto"/>
        <w:rPr>
          <w:rFonts w:ascii="Times New Roman" w:hAnsi="Times New Roman" w:cs="Times New Roman"/>
          <w:sz w:val="24"/>
          <w:szCs w:val="24"/>
        </w:rPr>
      </w:pPr>
    </w:p>
    <w:p w:rsidR="008F540D" w:rsidRPr="00026D3E" w:rsidRDefault="008F540D" w:rsidP="008F540D">
      <w:pPr>
        <w:autoSpaceDE w:val="0"/>
        <w:autoSpaceDN w:val="0"/>
        <w:adjustRightInd w:val="0"/>
        <w:spacing w:line="360" w:lineRule="auto"/>
        <w:rPr>
          <w:rFonts w:ascii="Times New Roman" w:hAnsi="Times New Roman" w:cs="Times New Roman"/>
          <w:sz w:val="24"/>
          <w:szCs w:val="24"/>
        </w:rPr>
      </w:pPr>
    </w:p>
    <w:p w:rsidR="008F540D" w:rsidRPr="00026D3E" w:rsidRDefault="008F540D" w:rsidP="008F540D">
      <w:pPr>
        <w:autoSpaceDE w:val="0"/>
        <w:autoSpaceDN w:val="0"/>
        <w:adjustRightInd w:val="0"/>
        <w:spacing w:line="360" w:lineRule="auto"/>
        <w:rPr>
          <w:rFonts w:ascii="Times New Roman" w:hAnsi="Times New Roman" w:cs="Times New Roman"/>
          <w:sz w:val="24"/>
          <w:szCs w:val="24"/>
        </w:rPr>
      </w:pPr>
    </w:p>
    <w:p w:rsidR="008F540D" w:rsidRPr="00026D3E" w:rsidRDefault="008F540D" w:rsidP="008F540D">
      <w:pPr>
        <w:autoSpaceDE w:val="0"/>
        <w:autoSpaceDN w:val="0"/>
        <w:adjustRightInd w:val="0"/>
        <w:spacing w:line="360" w:lineRule="auto"/>
        <w:rPr>
          <w:rFonts w:ascii="Times New Roman" w:hAnsi="Times New Roman" w:cs="Times New Roman"/>
          <w:sz w:val="24"/>
          <w:szCs w:val="24"/>
        </w:rPr>
      </w:pPr>
    </w:p>
    <w:p w:rsidR="008F540D" w:rsidRPr="00026D3E" w:rsidRDefault="008F540D" w:rsidP="008F540D">
      <w:pPr>
        <w:autoSpaceDE w:val="0"/>
        <w:autoSpaceDN w:val="0"/>
        <w:adjustRightInd w:val="0"/>
        <w:spacing w:line="360" w:lineRule="auto"/>
        <w:rPr>
          <w:rFonts w:ascii="Times New Roman" w:hAnsi="Times New Roman" w:cs="Times New Roman"/>
          <w:sz w:val="24"/>
          <w:szCs w:val="24"/>
        </w:rPr>
      </w:pPr>
    </w:p>
    <w:p w:rsidR="008F540D" w:rsidRPr="00026D3E" w:rsidRDefault="008F540D" w:rsidP="008F540D">
      <w:pPr>
        <w:autoSpaceDE w:val="0"/>
        <w:autoSpaceDN w:val="0"/>
        <w:adjustRightInd w:val="0"/>
        <w:spacing w:line="360" w:lineRule="auto"/>
        <w:rPr>
          <w:rFonts w:ascii="Times New Roman" w:hAnsi="Times New Roman" w:cs="Times New Roman"/>
          <w:sz w:val="24"/>
          <w:szCs w:val="24"/>
        </w:rPr>
      </w:pPr>
    </w:p>
    <w:p w:rsidR="008F540D" w:rsidRPr="00026D3E" w:rsidRDefault="008F540D" w:rsidP="008F540D">
      <w:pPr>
        <w:autoSpaceDE w:val="0"/>
        <w:autoSpaceDN w:val="0"/>
        <w:adjustRightInd w:val="0"/>
        <w:spacing w:line="360" w:lineRule="auto"/>
        <w:rPr>
          <w:rFonts w:ascii="Times New Roman" w:hAnsi="Times New Roman" w:cs="Times New Roman"/>
          <w:sz w:val="24"/>
          <w:szCs w:val="24"/>
        </w:rPr>
      </w:pPr>
    </w:p>
    <w:p w:rsidR="008F540D" w:rsidRPr="00026D3E" w:rsidRDefault="008F540D" w:rsidP="008F540D">
      <w:pPr>
        <w:autoSpaceDE w:val="0"/>
        <w:autoSpaceDN w:val="0"/>
        <w:adjustRightInd w:val="0"/>
        <w:spacing w:line="360" w:lineRule="auto"/>
        <w:rPr>
          <w:rFonts w:ascii="Times New Roman" w:hAnsi="Times New Roman" w:cs="Times New Roman"/>
          <w:sz w:val="24"/>
          <w:szCs w:val="24"/>
        </w:rPr>
      </w:pPr>
      <w:r w:rsidRPr="00026D3E">
        <w:rPr>
          <w:rFonts w:ascii="Times New Roman" w:hAnsi="Times New Roman" w:cs="Times New Roman"/>
          <w:sz w:val="24"/>
          <w:szCs w:val="24"/>
        </w:rPr>
        <w:t xml:space="preserve">Prohlašuji, že jsem tuto práci vypracoval samostatně na základě uvedených pramenů </w:t>
      </w:r>
    </w:p>
    <w:p w:rsidR="008F540D" w:rsidRPr="00026D3E" w:rsidRDefault="008F540D" w:rsidP="008F540D">
      <w:pPr>
        <w:autoSpaceDE w:val="0"/>
        <w:autoSpaceDN w:val="0"/>
        <w:adjustRightInd w:val="0"/>
        <w:spacing w:line="360" w:lineRule="auto"/>
        <w:rPr>
          <w:rFonts w:ascii="Times New Roman" w:hAnsi="Times New Roman" w:cs="Times New Roman"/>
          <w:sz w:val="24"/>
          <w:szCs w:val="24"/>
        </w:rPr>
      </w:pPr>
      <w:r w:rsidRPr="00026D3E">
        <w:rPr>
          <w:rFonts w:ascii="Times New Roman" w:hAnsi="Times New Roman" w:cs="Times New Roman"/>
          <w:sz w:val="24"/>
          <w:szCs w:val="24"/>
        </w:rPr>
        <w:t>a literatury.</w:t>
      </w:r>
    </w:p>
    <w:p w:rsidR="008F540D" w:rsidRPr="00026D3E" w:rsidRDefault="008F540D" w:rsidP="008F540D">
      <w:pPr>
        <w:autoSpaceDE w:val="0"/>
        <w:autoSpaceDN w:val="0"/>
        <w:adjustRightInd w:val="0"/>
        <w:spacing w:line="360" w:lineRule="auto"/>
        <w:rPr>
          <w:rFonts w:ascii="Times New Roman" w:hAnsi="Times New Roman" w:cs="Times New Roman"/>
          <w:sz w:val="24"/>
          <w:szCs w:val="24"/>
        </w:rPr>
      </w:pPr>
    </w:p>
    <w:p w:rsidR="008F540D" w:rsidRPr="00026D3E" w:rsidRDefault="008F540D" w:rsidP="008F540D">
      <w:pPr>
        <w:autoSpaceDE w:val="0"/>
        <w:autoSpaceDN w:val="0"/>
        <w:adjustRightInd w:val="0"/>
        <w:spacing w:line="360" w:lineRule="auto"/>
        <w:rPr>
          <w:rFonts w:ascii="Times New Roman" w:hAnsi="Times New Roman" w:cs="Times New Roman"/>
          <w:sz w:val="24"/>
          <w:szCs w:val="24"/>
        </w:rPr>
      </w:pPr>
      <w:r w:rsidRPr="00026D3E">
        <w:rPr>
          <w:rFonts w:ascii="Times New Roman" w:hAnsi="Times New Roman" w:cs="Times New Roman"/>
          <w:sz w:val="24"/>
          <w:szCs w:val="24"/>
        </w:rPr>
        <w:t xml:space="preserve">V Olomouci dne   </w:t>
      </w:r>
      <w:r w:rsidRPr="00026D3E">
        <w:rPr>
          <w:rFonts w:ascii="Times New Roman" w:hAnsi="Times New Roman" w:cs="Times New Roman"/>
          <w:sz w:val="24"/>
          <w:szCs w:val="24"/>
        </w:rPr>
        <w:tab/>
      </w:r>
      <w:r w:rsidRPr="00026D3E">
        <w:rPr>
          <w:rFonts w:ascii="Times New Roman" w:hAnsi="Times New Roman" w:cs="Times New Roman"/>
          <w:sz w:val="24"/>
          <w:szCs w:val="24"/>
        </w:rPr>
        <w:tab/>
      </w:r>
      <w:r w:rsidRPr="00026D3E">
        <w:rPr>
          <w:rFonts w:ascii="Times New Roman" w:hAnsi="Times New Roman" w:cs="Times New Roman"/>
          <w:sz w:val="24"/>
          <w:szCs w:val="24"/>
        </w:rPr>
        <w:tab/>
      </w:r>
      <w:r w:rsidRPr="00026D3E">
        <w:rPr>
          <w:rFonts w:ascii="Times New Roman" w:hAnsi="Times New Roman" w:cs="Times New Roman"/>
          <w:sz w:val="24"/>
          <w:szCs w:val="24"/>
        </w:rPr>
        <w:tab/>
      </w:r>
      <w:r w:rsidRPr="00026D3E">
        <w:rPr>
          <w:rFonts w:ascii="Times New Roman" w:hAnsi="Times New Roman" w:cs="Times New Roman"/>
          <w:sz w:val="24"/>
          <w:szCs w:val="24"/>
        </w:rPr>
        <w:tab/>
      </w:r>
      <w:r w:rsidRPr="00026D3E">
        <w:rPr>
          <w:rFonts w:ascii="Times New Roman" w:hAnsi="Times New Roman" w:cs="Times New Roman"/>
          <w:sz w:val="24"/>
          <w:szCs w:val="24"/>
        </w:rPr>
        <w:tab/>
        <w:t xml:space="preserve">Karol Ander </w:t>
      </w:r>
    </w:p>
    <w:p w:rsidR="008F540D" w:rsidRPr="00026D3E" w:rsidRDefault="008F540D" w:rsidP="008F540D">
      <w:pPr>
        <w:autoSpaceDE w:val="0"/>
        <w:autoSpaceDN w:val="0"/>
        <w:adjustRightInd w:val="0"/>
        <w:spacing w:line="360" w:lineRule="auto"/>
        <w:rPr>
          <w:rFonts w:ascii="Times New Roman" w:hAnsi="Times New Roman" w:cs="Times New Roman"/>
          <w:sz w:val="24"/>
          <w:szCs w:val="24"/>
        </w:rPr>
      </w:pPr>
    </w:p>
    <w:p w:rsidR="008F540D" w:rsidRPr="00026D3E" w:rsidRDefault="008F540D" w:rsidP="008F540D">
      <w:pPr>
        <w:autoSpaceDE w:val="0"/>
        <w:autoSpaceDN w:val="0"/>
        <w:adjustRightInd w:val="0"/>
        <w:spacing w:line="360" w:lineRule="auto"/>
        <w:ind w:left="708"/>
        <w:rPr>
          <w:rFonts w:ascii="Times New Roman" w:hAnsi="Times New Roman" w:cs="Times New Roman"/>
          <w:sz w:val="24"/>
          <w:szCs w:val="24"/>
        </w:rPr>
      </w:pPr>
      <w:r w:rsidRPr="00026D3E">
        <w:rPr>
          <w:rFonts w:ascii="Times New Roman" w:hAnsi="Times New Roman" w:cs="Times New Roman"/>
          <w:sz w:val="24"/>
          <w:szCs w:val="24"/>
        </w:rPr>
        <w:t>……………..………………</w:t>
      </w:r>
      <w:r w:rsidRPr="00026D3E">
        <w:rPr>
          <w:rFonts w:ascii="Times New Roman" w:hAnsi="Times New Roman" w:cs="Times New Roman"/>
          <w:sz w:val="24"/>
          <w:szCs w:val="24"/>
        </w:rPr>
        <w:tab/>
      </w:r>
      <w:r w:rsidRPr="00026D3E">
        <w:rPr>
          <w:rFonts w:ascii="Times New Roman" w:hAnsi="Times New Roman" w:cs="Times New Roman"/>
          <w:sz w:val="24"/>
          <w:szCs w:val="24"/>
        </w:rPr>
        <w:tab/>
      </w:r>
      <w:r w:rsidRPr="00026D3E">
        <w:rPr>
          <w:rFonts w:ascii="Times New Roman" w:hAnsi="Times New Roman" w:cs="Times New Roman"/>
          <w:sz w:val="24"/>
          <w:szCs w:val="24"/>
        </w:rPr>
        <w:tab/>
      </w:r>
      <w:r w:rsidRPr="00026D3E">
        <w:rPr>
          <w:rFonts w:ascii="Times New Roman" w:hAnsi="Times New Roman" w:cs="Times New Roman"/>
          <w:sz w:val="24"/>
          <w:szCs w:val="24"/>
        </w:rPr>
        <w:tab/>
        <w:t>……………..………………</w:t>
      </w:r>
    </w:p>
    <w:p w:rsidR="008F540D" w:rsidRPr="00026D3E" w:rsidRDefault="008F540D" w:rsidP="008F540D">
      <w:pPr>
        <w:autoSpaceDE w:val="0"/>
        <w:autoSpaceDN w:val="0"/>
        <w:adjustRightInd w:val="0"/>
        <w:spacing w:line="360" w:lineRule="auto"/>
        <w:rPr>
          <w:rFonts w:ascii="Times New Roman" w:hAnsi="Times New Roman" w:cs="Times New Roman"/>
          <w:sz w:val="24"/>
          <w:szCs w:val="24"/>
        </w:rPr>
      </w:pPr>
    </w:p>
    <w:p w:rsidR="008F540D" w:rsidRPr="00026D3E" w:rsidRDefault="008F540D" w:rsidP="008F540D">
      <w:pPr>
        <w:autoSpaceDE w:val="0"/>
        <w:autoSpaceDN w:val="0"/>
        <w:adjustRightInd w:val="0"/>
        <w:spacing w:line="360" w:lineRule="auto"/>
        <w:rPr>
          <w:rFonts w:ascii="Times New Roman" w:hAnsi="Times New Roman" w:cs="Times New Roman"/>
          <w:sz w:val="24"/>
          <w:szCs w:val="24"/>
        </w:rPr>
      </w:pPr>
      <w:r w:rsidRPr="00026D3E">
        <w:rPr>
          <w:rFonts w:ascii="Times New Roman" w:hAnsi="Times New Roman" w:cs="Times New Roman"/>
          <w:sz w:val="24"/>
          <w:szCs w:val="24"/>
        </w:rPr>
        <w:t xml:space="preserve">                                                                 </w:t>
      </w:r>
    </w:p>
    <w:p w:rsidR="008F540D" w:rsidRPr="00026D3E" w:rsidRDefault="008F540D" w:rsidP="008F540D">
      <w:pPr>
        <w:autoSpaceDE w:val="0"/>
        <w:autoSpaceDN w:val="0"/>
        <w:adjustRightInd w:val="0"/>
        <w:spacing w:line="360" w:lineRule="auto"/>
        <w:ind w:left="5664"/>
        <w:rPr>
          <w:rFonts w:ascii="Times New Roman" w:hAnsi="Times New Roman" w:cs="Times New Roman"/>
          <w:sz w:val="24"/>
          <w:szCs w:val="24"/>
        </w:rPr>
      </w:pPr>
      <w:r w:rsidRPr="00026D3E">
        <w:rPr>
          <w:rFonts w:ascii="Times New Roman" w:hAnsi="Times New Roman" w:cs="Times New Roman"/>
          <w:sz w:val="24"/>
          <w:szCs w:val="24"/>
        </w:rPr>
        <w:t xml:space="preserve"> </w:t>
      </w:r>
    </w:p>
    <w:p w:rsidR="008F540D" w:rsidRPr="00026D3E" w:rsidRDefault="008F540D" w:rsidP="008F540D">
      <w:pPr>
        <w:rPr>
          <w:rFonts w:ascii="Times New Roman" w:hAnsi="Times New Roman" w:cs="Times New Roman"/>
          <w:sz w:val="24"/>
          <w:szCs w:val="24"/>
        </w:rPr>
      </w:pPr>
    </w:p>
    <w:p w:rsidR="008F540D" w:rsidRPr="00026D3E" w:rsidRDefault="008F540D" w:rsidP="00A164E7">
      <w:pPr>
        <w:spacing w:line="360" w:lineRule="auto"/>
        <w:rPr>
          <w:rFonts w:ascii="Times New Roman" w:hAnsi="Times New Roman" w:cs="Times New Roman"/>
          <w:b/>
          <w:sz w:val="24"/>
          <w:szCs w:val="24"/>
        </w:rPr>
      </w:pPr>
    </w:p>
    <w:p w:rsidR="008F540D" w:rsidRPr="00026D3E" w:rsidRDefault="008F540D" w:rsidP="00A164E7">
      <w:pPr>
        <w:spacing w:line="360" w:lineRule="auto"/>
        <w:rPr>
          <w:rFonts w:ascii="Times New Roman" w:hAnsi="Times New Roman" w:cs="Times New Roman"/>
          <w:b/>
          <w:sz w:val="24"/>
          <w:szCs w:val="24"/>
        </w:rPr>
      </w:pPr>
    </w:p>
    <w:p w:rsidR="008F540D" w:rsidRPr="00026D3E" w:rsidRDefault="008F540D" w:rsidP="00A164E7">
      <w:pPr>
        <w:spacing w:line="360" w:lineRule="auto"/>
        <w:rPr>
          <w:rFonts w:ascii="Times New Roman" w:hAnsi="Times New Roman" w:cs="Times New Roman"/>
          <w:b/>
          <w:sz w:val="24"/>
          <w:szCs w:val="24"/>
        </w:rPr>
      </w:pPr>
    </w:p>
    <w:p w:rsidR="008F540D" w:rsidRPr="00026D3E" w:rsidRDefault="008F540D" w:rsidP="00A164E7">
      <w:pPr>
        <w:spacing w:line="360" w:lineRule="auto"/>
        <w:rPr>
          <w:rFonts w:ascii="Times New Roman" w:hAnsi="Times New Roman" w:cs="Times New Roman"/>
          <w:b/>
          <w:sz w:val="24"/>
          <w:szCs w:val="24"/>
        </w:rPr>
      </w:pPr>
    </w:p>
    <w:p w:rsidR="008F540D" w:rsidRPr="00026D3E" w:rsidRDefault="008F540D" w:rsidP="00A164E7">
      <w:pPr>
        <w:spacing w:line="360" w:lineRule="auto"/>
        <w:rPr>
          <w:rFonts w:ascii="Times New Roman" w:hAnsi="Times New Roman" w:cs="Times New Roman"/>
          <w:b/>
          <w:sz w:val="24"/>
          <w:szCs w:val="24"/>
        </w:rPr>
      </w:pPr>
    </w:p>
    <w:p w:rsidR="008F540D" w:rsidRPr="00026D3E" w:rsidRDefault="008F540D" w:rsidP="00A164E7">
      <w:pPr>
        <w:spacing w:line="360" w:lineRule="auto"/>
        <w:rPr>
          <w:rFonts w:ascii="Times New Roman" w:hAnsi="Times New Roman" w:cs="Times New Roman"/>
          <w:b/>
          <w:sz w:val="24"/>
          <w:szCs w:val="24"/>
        </w:rPr>
      </w:pPr>
    </w:p>
    <w:p w:rsidR="008F540D" w:rsidRPr="00026D3E" w:rsidRDefault="008F540D" w:rsidP="00A164E7">
      <w:pPr>
        <w:spacing w:line="360" w:lineRule="auto"/>
        <w:rPr>
          <w:rFonts w:ascii="Times New Roman" w:hAnsi="Times New Roman" w:cs="Times New Roman"/>
          <w:b/>
          <w:sz w:val="24"/>
          <w:szCs w:val="24"/>
        </w:rPr>
      </w:pPr>
    </w:p>
    <w:p w:rsidR="008F540D" w:rsidRPr="00026D3E" w:rsidRDefault="008F540D" w:rsidP="00A164E7">
      <w:pPr>
        <w:spacing w:line="360" w:lineRule="auto"/>
        <w:rPr>
          <w:rFonts w:ascii="Times New Roman" w:hAnsi="Times New Roman" w:cs="Times New Roman"/>
          <w:b/>
          <w:sz w:val="24"/>
          <w:szCs w:val="24"/>
        </w:rPr>
      </w:pPr>
    </w:p>
    <w:p w:rsidR="008F540D" w:rsidRPr="00026D3E" w:rsidRDefault="008F540D" w:rsidP="00A164E7">
      <w:pPr>
        <w:spacing w:line="360" w:lineRule="auto"/>
        <w:rPr>
          <w:rFonts w:ascii="Times New Roman" w:hAnsi="Times New Roman" w:cs="Times New Roman"/>
          <w:b/>
          <w:sz w:val="24"/>
          <w:szCs w:val="24"/>
        </w:rPr>
      </w:pPr>
    </w:p>
    <w:p w:rsidR="008F540D" w:rsidRPr="00026D3E" w:rsidRDefault="008F540D" w:rsidP="00A164E7">
      <w:pPr>
        <w:spacing w:line="360" w:lineRule="auto"/>
        <w:rPr>
          <w:rFonts w:ascii="Times New Roman" w:hAnsi="Times New Roman" w:cs="Times New Roman"/>
          <w:b/>
          <w:sz w:val="24"/>
          <w:szCs w:val="24"/>
        </w:rPr>
      </w:pPr>
    </w:p>
    <w:p w:rsidR="008F540D" w:rsidRPr="00026D3E" w:rsidRDefault="008F540D" w:rsidP="00A164E7">
      <w:pPr>
        <w:spacing w:line="360" w:lineRule="auto"/>
        <w:rPr>
          <w:rFonts w:ascii="Times New Roman" w:hAnsi="Times New Roman" w:cs="Times New Roman"/>
          <w:b/>
          <w:sz w:val="24"/>
          <w:szCs w:val="24"/>
        </w:rPr>
      </w:pPr>
    </w:p>
    <w:p w:rsidR="008F540D" w:rsidRPr="00026D3E" w:rsidRDefault="008F540D" w:rsidP="00A164E7">
      <w:pPr>
        <w:spacing w:line="360" w:lineRule="auto"/>
        <w:rPr>
          <w:rFonts w:ascii="Times New Roman" w:hAnsi="Times New Roman" w:cs="Times New Roman"/>
          <w:b/>
          <w:sz w:val="24"/>
          <w:szCs w:val="24"/>
        </w:rPr>
      </w:pPr>
    </w:p>
    <w:p w:rsidR="008F540D" w:rsidRPr="00026D3E" w:rsidRDefault="008F540D" w:rsidP="00A164E7">
      <w:pPr>
        <w:spacing w:line="360" w:lineRule="auto"/>
        <w:rPr>
          <w:rFonts w:ascii="Times New Roman" w:hAnsi="Times New Roman" w:cs="Times New Roman"/>
          <w:b/>
          <w:sz w:val="24"/>
          <w:szCs w:val="24"/>
        </w:rPr>
      </w:pPr>
    </w:p>
    <w:p w:rsidR="00637E3B" w:rsidRDefault="00637E3B" w:rsidP="0097166D">
      <w:pPr>
        <w:spacing w:line="360" w:lineRule="auto"/>
        <w:jc w:val="both"/>
        <w:rPr>
          <w:rFonts w:ascii="Times New Roman" w:hAnsi="Times New Roman" w:cs="Times New Roman"/>
          <w:sz w:val="24"/>
          <w:szCs w:val="24"/>
        </w:rPr>
      </w:pPr>
    </w:p>
    <w:p w:rsidR="00615D98" w:rsidRPr="00026D3E" w:rsidRDefault="00615D98" w:rsidP="0097166D">
      <w:pPr>
        <w:spacing w:line="360" w:lineRule="auto"/>
        <w:jc w:val="both"/>
        <w:rPr>
          <w:rFonts w:ascii="Times New Roman" w:hAnsi="Times New Roman" w:cs="Times New Roman"/>
          <w:sz w:val="24"/>
          <w:szCs w:val="24"/>
        </w:rPr>
      </w:pPr>
    </w:p>
    <w:p w:rsidR="00637E3B" w:rsidRPr="00026D3E" w:rsidRDefault="00637E3B" w:rsidP="0097166D">
      <w:pPr>
        <w:spacing w:line="360" w:lineRule="auto"/>
        <w:jc w:val="both"/>
        <w:rPr>
          <w:rFonts w:ascii="Times New Roman" w:hAnsi="Times New Roman" w:cs="Times New Roman"/>
          <w:sz w:val="24"/>
          <w:szCs w:val="24"/>
        </w:rPr>
      </w:pPr>
    </w:p>
    <w:p w:rsidR="00637E3B" w:rsidRPr="00026D3E" w:rsidRDefault="00637E3B" w:rsidP="0097166D">
      <w:pPr>
        <w:spacing w:line="360" w:lineRule="auto"/>
        <w:jc w:val="both"/>
        <w:rPr>
          <w:rFonts w:ascii="Times New Roman" w:hAnsi="Times New Roman" w:cs="Times New Roman"/>
          <w:sz w:val="24"/>
          <w:szCs w:val="24"/>
        </w:rPr>
      </w:pPr>
    </w:p>
    <w:p w:rsidR="00637E3B" w:rsidRPr="00026D3E" w:rsidRDefault="00117DC8" w:rsidP="0097166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 tomto místě bych chtěl poděkovat </w:t>
      </w:r>
      <w:r w:rsidR="00E25B1E">
        <w:rPr>
          <w:rFonts w:ascii="Times New Roman" w:hAnsi="Times New Roman" w:cs="Times New Roman"/>
          <w:sz w:val="24"/>
          <w:szCs w:val="24"/>
        </w:rPr>
        <w:t>M</w:t>
      </w:r>
      <w:r>
        <w:rPr>
          <w:rFonts w:ascii="Times New Roman" w:hAnsi="Times New Roman" w:cs="Times New Roman"/>
          <w:sz w:val="24"/>
          <w:szCs w:val="24"/>
        </w:rPr>
        <w:t xml:space="preserve">gr. Hynkovi Melicharovi </w:t>
      </w:r>
      <w:r w:rsidR="008D5285">
        <w:rPr>
          <w:rFonts w:ascii="Times New Roman" w:hAnsi="Times New Roman" w:cs="Times New Roman"/>
          <w:sz w:val="24"/>
          <w:szCs w:val="24"/>
        </w:rPr>
        <w:t xml:space="preserve">za vedení práce, </w:t>
      </w:r>
      <w:r>
        <w:rPr>
          <w:rFonts w:ascii="Times New Roman" w:hAnsi="Times New Roman" w:cs="Times New Roman"/>
          <w:sz w:val="24"/>
          <w:szCs w:val="24"/>
        </w:rPr>
        <w:t xml:space="preserve">za </w:t>
      </w:r>
      <w:r w:rsidR="008D5285">
        <w:rPr>
          <w:rFonts w:ascii="Times New Roman" w:hAnsi="Times New Roman" w:cs="Times New Roman"/>
          <w:sz w:val="24"/>
          <w:szCs w:val="24"/>
        </w:rPr>
        <w:t xml:space="preserve">jeho </w:t>
      </w:r>
      <w:r>
        <w:rPr>
          <w:rFonts w:ascii="Times New Roman" w:hAnsi="Times New Roman" w:cs="Times New Roman"/>
          <w:sz w:val="24"/>
          <w:szCs w:val="24"/>
        </w:rPr>
        <w:t xml:space="preserve">konstruktivní připomínky stejně jako za nesamozřejmou toleranci. Moje poděkování patří také rodině a </w:t>
      </w:r>
      <w:r w:rsidR="009956F2">
        <w:rPr>
          <w:rFonts w:ascii="Times New Roman" w:hAnsi="Times New Roman" w:cs="Times New Roman"/>
          <w:sz w:val="24"/>
          <w:szCs w:val="24"/>
        </w:rPr>
        <w:t>přítelkyni Martině za morální podporu.</w:t>
      </w:r>
    </w:p>
    <w:sdt>
      <w:sdtPr>
        <w:rPr>
          <w:rFonts w:asciiTheme="minorHAnsi" w:eastAsiaTheme="minorEastAsia" w:hAnsiTheme="minorHAnsi" w:cstheme="minorBidi"/>
          <w:b w:val="0"/>
          <w:bCs w:val="0"/>
          <w:color w:val="auto"/>
          <w:sz w:val="22"/>
          <w:szCs w:val="22"/>
          <w:lang w:eastAsia="cs-CZ"/>
        </w:rPr>
        <w:id w:val="877278059"/>
        <w:docPartObj>
          <w:docPartGallery w:val="Table of Contents"/>
          <w:docPartUnique/>
        </w:docPartObj>
      </w:sdtPr>
      <w:sdtContent>
        <w:p w:rsidR="00AD25AC" w:rsidRDefault="00AD25AC">
          <w:pPr>
            <w:pStyle w:val="Nadpisobsahu"/>
          </w:pPr>
          <w:r>
            <w:t>Obsah</w:t>
          </w:r>
        </w:p>
        <w:p w:rsidR="006B6A06" w:rsidRDefault="00B51CC0">
          <w:pPr>
            <w:pStyle w:val="Obsah1"/>
            <w:tabs>
              <w:tab w:val="right" w:leader="dot" w:pos="9061"/>
            </w:tabs>
            <w:rPr>
              <w:noProof/>
            </w:rPr>
          </w:pPr>
          <w:r>
            <w:fldChar w:fldCharType="begin"/>
          </w:r>
          <w:r w:rsidR="00AD25AC">
            <w:instrText xml:space="preserve"> TOC \o "1-3" \h \z \u </w:instrText>
          </w:r>
          <w:r>
            <w:fldChar w:fldCharType="separate"/>
          </w:r>
          <w:hyperlink w:anchor="_Toc354703574" w:history="1">
            <w:r w:rsidR="006B6A06" w:rsidRPr="00A2513C">
              <w:rPr>
                <w:rStyle w:val="Hypertextovodkaz"/>
                <w:noProof/>
              </w:rPr>
              <w:t>Úvod</w:t>
            </w:r>
            <w:r w:rsidR="006B6A06">
              <w:rPr>
                <w:noProof/>
                <w:webHidden/>
              </w:rPr>
              <w:tab/>
            </w:r>
            <w:r w:rsidR="006B6A06">
              <w:rPr>
                <w:noProof/>
                <w:webHidden/>
              </w:rPr>
              <w:fldChar w:fldCharType="begin"/>
            </w:r>
            <w:r w:rsidR="006B6A06">
              <w:rPr>
                <w:noProof/>
                <w:webHidden/>
              </w:rPr>
              <w:instrText xml:space="preserve"> PAGEREF _Toc354703574 \h </w:instrText>
            </w:r>
            <w:r w:rsidR="006B6A06">
              <w:rPr>
                <w:noProof/>
                <w:webHidden/>
              </w:rPr>
            </w:r>
            <w:r w:rsidR="006B6A06">
              <w:rPr>
                <w:noProof/>
                <w:webHidden/>
              </w:rPr>
              <w:fldChar w:fldCharType="separate"/>
            </w:r>
            <w:r w:rsidR="006B6A06">
              <w:rPr>
                <w:noProof/>
                <w:webHidden/>
              </w:rPr>
              <w:t>5</w:t>
            </w:r>
            <w:r w:rsidR="006B6A06">
              <w:rPr>
                <w:noProof/>
                <w:webHidden/>
              </w:rPr>
              <w:fldChar w:fldCharType="end"/>
            </w:r>
          </w:hyperlink>
        </w:p>
        <w:p w:rsidR="006B6A06" w:rsidRDefault="006B6A06">
          <w:pPr>
            <w:pStyle w:val="Obsah1"/>
            <w:tabs>
              <w:tab w:val="left" w:pos="440"/>
              <w:tab w:val="right" w:leader="dot" w:pos="9061"/>
            </w:tabs>
            <w:rPr>
              <w:noProof/>
            </w:rPr>
          </w:pPr>
          <w:hyperlink w:anchor="_Toc354703575" w:history="1">
            <w:r w:rsidRPr="00A2513C">
              <w:rPr>
                <w:rStyle w:val="Hypertextovodkaz"/>
                <w:noProof/>
              </w:rPr>
              <w:t>1.</w:t>
            </w:r>
            <w:r>
              <w:rPr>
                <w:noProof/>
              </w:rPr>
              <w:tab/>
            </w:r>
            <w:r w:rsidRPr="00A2513C">
              <w:rPr>
                <w:rStyle w:val="Hypertextovodkaz"/>
                <w:noProof/>
              </w:rPr>
              <w:t>Teoretický základ aliance</w:t>
            </w:r>
            <w:r>
              <w:rPr>
                <w:noProof/>
                <w:webHidden/>
              </w:rPr>
              <w:tab/>
            </w:r>
            <w:r>
              <w:rPr>
                <w:noProof/>
                <w:webHidden/>
              </w:rPr>
              <w:fldChar w:fldCharType="begin"/>
            </w:r>
            <w:r>
              <w:rPr>
                <w:noProof/>
                <w:webHidden/>
              </w:rPr>
              <w:instrText xml:space="preserve"> PAGEREF _Toc354703575 \h </w:instrText>
            </w:r>
            <w:r>
              <w:rPr>
                <w:noProof/>
                <w:webHidden/>
              </w:rPr>
            </w:r>
            <w:r>
              <w:rPr>
                <w:noProof/>
                <w:webHidden/>
              </w:rPr>
              <w:fldChar w:fldCharType="separate"/>
            </w:r>
            <w:r>
              <w:rPr>
                <w:noProof/>
                <w:webHidden/>
              </w:rPr>
              <w:t>8</w:t>
            </w:r>
            <w:r>
              <w:rPr>
                <w:noProof/>
                <w:webHidden/>
              </w:rPr>
              <w:fldChar w:fldCharType="end"/>
            </w:r>
          </w:hyperlink>
        </w:p>
        <w:p w:rsidR="006B6A06" w:rsidRDefault="006B6A06">
          <w:pPr>
            <w:pStyle w:val="Obsah1"/>
            <w:tabs>
              <w:tab w:val="right" w:leader="dot" w:pos="9061"/>
            </w:tabs>
            <w:rPr>
              <w:noProof/>
            </w:rPr>
          </w:pPr>
          <w:hyperlink w:anchor="_Toc354703576" w:history="1">
            <w:r w:rsidRPr="00A2513C">
              <w:rPr>
                <w:rStyle w:val="Hypertextovodkaz"/>
                <w:noProof/>
              </w:rPr>
              <w:t>2. Postavení Sýrie a Íránu v mezinárodních vztazích</w:t>
            </w:r>
            <w:r>
              <w:rPr>
                <w:noProof/>
                <w:webHidden/>
              </w:rPr>
              <w:tab/>
            </w:r>
            <w:r>
              <w:rPr>
                <w:noProof/>
                <w:webHidden/>
              </w:rPr>
              <w:fldChar w:fldCharType="begin"/>
            </w:r>
            <w:r>
              <w:rPr>
                <w:noProof/>
                <w:webHidden/>
              </w:rPr>
              <w:instrText xml:space="preserve"> PAGEREF _Toc354703576 \h </w:instrText>
            </w:r>
            <w:r>
              <w:rPr>
                <w:noProof/>
                <w:webHidden/>
              </w:rPr>
            </w:r>
            <w:r>
              <w:rPr>
                <w:noProof/>
                <w:webHidden/>
              </w:rPr>
              <w:fldChar w:fldCharType="separate"/>
            </w:r>
            <w:r>
              <w:rPr>
                <w:noProof/>
                <w:webHidden/>
              </w:rPr>
              <w:t>15</w:t>
            </w:r>
            <w:r>
              <w:rPr>
                <w:noProof/>
                <w:webHidden/>
              </w:rPr>
              <w:fldChar w:fldCharType="end"/>
            </w:r>
          </w:hyperlink>
        </w:p>
        <w:p w:rsidR="006B6A06" w:rsidRDefault="006B6A06">
          <w:pPr>
            <w:pStyle w:val="Obsah2"/>
            <w:tabs>
              <w:tab w:val="right" w:leader="dot" w:pos="9061"/>
            </w:tabs>
            <w:rPr>
              <w:noProof/>
              <w:lang w:eastAsia="cs-CZ"/>
            </w:rPr>
          </w:pPr>
          <w:hyperlink w:anchor="_Toc354703577" w:history="1">
            <w:r w:rsidRPr="00A2513C">
              <w:rPr>
                <w:rStyle w:val="Hypertextovodkaz"/>
                <w:noProof/>
              </w:rPr>
              <w:t>2.1 Sýrie a Írán v mezinárodních vztazích před Íránskou revolucí</w:t>
            </w:r>
            <w:r>
              <w:rPr>
                <w:noProof/>
                <w:webHidden/>
              </w:rPr>
              <w:tab/>
            </w:r>
            <w:r>
              <w:rPr>
                <w:noProof/>
                <w:webHidden/>
              </w:rPr>
              <w:fldChar w:fldCharType="begin"/>
            </w:r>
            <w:r>
              <w:rPr>
                <w:noProof/>
                <w:webHidden/>
              </w:rPr>
              <w:instrText xml:space="preserve"> PAGEREF _Toc354703577 \h </w:instrText>
            </w:r>
            <w:r>
              <w:rPr>
                <w:noProof/>
                <w:webHidden/>
              </w:rPr>
            </w:r>
            <w:r>
              <w:rPr>
                <w:noProof/>
                <w:webHidden/>
              </w:rPr>
              <w:fldChar w:fldCharType="separate"/>
            </w:r>
            <w:r>
              <w:rPr>
                <w:noProof/>
                <w:webHidden/>
              </w:rPr>
              <w:t>16</w:t>
            </w:r>
            <w:r>
              <w:rPr>
                <w:noProof/>
                <w:webHidden/>
              </w:rPr>
              <w:fldChar w:fldCharType="end"/>
            </w:r>
          </w:hyperlink>
        </w:p>
        <w:p w:rsidR="006B6A06" w:rsidRDefault="006B6A06">
          <w:pPr>
            <w:pStyle w:val="Obsah2"/>
            <w:tabs>
              <w:tab w:val="right" w:leader="dot" w:pos="9061"/>
            </w:tabs>
            <w:rPr>
              <w:noProof/>
              <w:lang w:eastAsia="cs-CZ"/>
            </w:rPr>
          </w:pPr>
          <w:hyperlink w:anchor="_Toc354703578" w:history="1">
            <w:r w:rsidRPr="00A2513C">
              <w:rPr>
                <w:rStyle w:val="Hypertextovodkaz"/>
                <w:noProof/>
              </w:rPr>
              <w:t>2.2 Mezinárodní vztahy Sýrie a Íránu po odchodu šáha</w:t>
            </w:r>
            <w:r>
              <w:rPr>
                <w:noProof/>
                <w:webHidden/>
              </w:rPr>
              <w:tab/>
            </w:r>
            <w:r>
              <w:rPr>
                <w:noProof/>
                <w:webHidden/>
              </w:rPr>
              <w:fldChar w:fldCharType="begin"/>
            </w:r>
            <w:r>
              <w:rPr>
                <w:noProof/>
                <w:webHidden/>
              </w:rPr>
              <w:instrText xml:space="preserve"> PAGEREF _Toc354703578 \h </w:instrText>
            </w:r>
            <w:r>
              <w:rPr>
                <w:noProof/>
                <w:webHidden/>
              </w:rPr>
            </w:r>
            <w:r>
              <w:rPr>
                <w:noProof/>
                <w:webHidden/>
              </w:rPr>
              <w:fldChar w:fldCharType="separate"/>
            </w:r>
            <w:r>
              <w:rPr>
                <w:noProof/>
                <w:webHidden/>
              </w:rPr>
              <w:t>20</w:t>
            </w:r>
            <w:r>
              <w:rPr>
                <w:noProof/>
                <w:webHidden/>
              </w:rPr>
              <w:fldChar w:fldCharType="end"/>
            </w:r>
          </w:hyperlink>
        </w:p>
        <w:p w:rsidR="006B6A06" w:rsidRDefault="006B6A06">
          <w:pPr>
            <w:pStyle w:val="Obsah1"/>
            <w:tabs>
              <w:tab w:val="right" w:leader="dot" w:pos="9061"/>
            </w:tabs>
            <w:rPr>
              <w:noProof/>
            </w:rPr>
          </w:pPr>
          <w:hyperlink w:anchor="_Toc354703579" w:history="1">
            <w:r w:rsidRPr="00A2513C">
              <w:rPr>
                <w:rStyle w:val="Hypertextovodkaz"/>
                <w:noProof/>
              </w:rPr>
              <w:t>3. Poměr celkové moci Iráku oproti Sýrii a Íránu</w:t>
            </w:r>
            <w:r>
              <w:rPr>
                <w:noProof/>
                <w:webHidden/>
              </w:rPr>
              <w:tab/>
            </w:r>
            <w:r>
              <w:rPr>
                <w:noProof/>
                <w:webHidden/>
              </w:rPr>
              <w:fldChar w:fldCharType="begin"/>
            </w:r>
            <w:r>
              <w:rPr>
                <w:noProof/>
                <w:webHidden/>
              </w:rPr>
              <w:instrText xml:space="preserve"> PAGEREF _Toc354703579 \h </w:instrText>
            </w:r>
            <w:r>
              <w:rPr>
                <w:noProof/>
                <w:webHidden/>
              </w:rPr>
            </w:r>
            <w:r>
              <w:rPr>
                <w:noProof/>
                <w:webHidden/>
              </w:rPr>
              <w:fldChar w:fldCharType="separate"/>
            </w:r>
            <w:r>
              <w:rPr>
                <w:noProof/>
                <w:webHidden/>
              </w:rPr>
              <w:t>25</w:t>
            </w:r>
            <w:r>
              <w:rPr>
                <w:noProof/>
                <w:webHidden/>
              </w:rPr>
              <w:fldChar w:fldCharType="end"/>
            </w:r>
          </w:hyperlink>
        </w:p>
        <w:p w:rsidR="006B6A06" w:rsidRDefault="006B6A06">
          <w:pPr>
            <w:pStyle w:val="Obsah1"/>
            <w:tabs>
              <w:tab w:val="right" w:leader="dot" w:pos="9061"/>
            </w:tabs>
            <w:rPr>
              <w:noProof/>
            </w:rPr>
          </w:pPr>
          <w:hyperlink w:anchor="_Toc354703580" w:history="1">
            <w:r w:rsidRPr="00A2513C">
              <w:rPr>
                <w:rStyle w:val="Hypertextovodkaz"/>
                <w:noProof/>
              </w:rPr>
              <w:t>4. Zeměpisná blízkost Iráku s Íránem a Sýrií</w:t>
            </w:r>
            <w:r>
              <w:rPr>
                <w:noProof/>
                <w:webHidden/>
              </w:rPr>
              <w:tab/>
            </w:r>
            <w:r>
              <w:rPr>
                <w:noProof/>
                <w:webHidden/>
              </w:rPr>
              <w:fldChar w:fldCharType="begin"/>
            </w:r>
            <w:r>
              <w:rPr>
                <w:noProof/>
                <w:webHidden/>
              </w:rPr>
              <w:instrText xml:space="preserve"> PAGEREF _Toc354703580 \h </w:instrText>
            </w:r>
            <w:r>
              <w:rPr>
                <w:noProof/>
                <w:webHidden/>
              </w:rPr>
            </w:r>
            <w:r>
              <w:rPr>
                <w:noProof/>
                <w:webHidden/>
              </w:rPr>
              <w:fldChar w:fldCharType="separate"/>
            </w:r>
            <w:r>
              <w:rPr>
                <w:noProof/>
                <w:webHidden/>
              </w:rPr>
              <w:t>29</w:t>
            </w:r>
            <w:r>
              <w:rPr>
                <w:noProof/>
                <w:webHidden/>
              </w:rPr>
              <w:fldChar w:fldCharType="end"/>
            </w:r>
          </w:hyperlink>
        </w:p>
        <w:p w:rsidR="006B6A06" w:rsidRDefault="006B6A06">
          <w:pPr>
            <w:pStyle w:val="Obsah2"/>
            <w:tabs>
              <w:tab w:val="right" w:leader="dot" w:pos="9061"/>
            </w:tabs>
            <w:rPr>
              <w:noProof/>
              <w:lang w:eastAsia="cs-CZ"/>
            </w:rPr>
          </w:pPr>
          <w:hyperlink w:anchor="_Toc354703581" w:history="1">
            <w:r w:rsidRPr="00A2513C">
              <w:rPr>
                <w:rStyle w:val="Hypertextovodkaz"/>
                <w:noProof/>
              </w:rPr>
              <w:t>4.1 Problémové aspekty syrsko – iráckých vztahů</w:t>
            </w:r>
            <w:r>
              <w:rPr>
                <w:noProof/>
                <w:webHidden/>
              </w:rPr>
              <w:tab/>
            </w:r>
            <w:r>
              <w:rPr>
                <w:noProof/>
                <w:webHidden/>
              </w:rPr>
              <w:fldChar w:fldCharType="begin"/>
            </w:r>
            <w:r>
              <w:rPr>
                <w:noProof/>
                <w:webHidden/>
              </w:rPr>
              <w:instrText xml:space="preserve"> PAGEREF _Toc354703581 \h </w:instrText>
            </w:r>
            <w:r>
              <w:rPr>
                <w:noProof/>
                <w:webHidden/>
              </w:rPr>
            </w:r>
            <w:r>
              <w:rPr>
                <w:noProof/>
                <w:webHidden/>
              </w:rPr>
              <w:fldChar w:fldCharType="separate"/>
            </w:r>
            <w:r>
              <w:rPr>
                <w:noProof/>
                <w:webHidden/>
              </w:rPr>
              <w:t>30</w:t>
            </w:r>
            <w:r>
              <w:rPr>
                <w:noProof/>
                <w:webHidden/>
              </w:rPr>
              <w:fldChar w:fldCharType="end"/>
            </w:r>
          </w:hyperlink>
        </w:p>
        <w:p w:rsidR="006B6A06" w:rsidRDefault="006B6A06">
          <w:pPr>
            <w:pStyle w:val="Obsah3"/>
            <w:tabs>
              <w:tab w:val="right" w:leader="dot" w:pos="9061"/>
            </w:tabs>
            <w:rPr>
              <w:noProof/>
              <w:lang w:eastAsia="cs-CZ"/>
            </w:rPr>
          </w:pPr>
          <w:hyperlink w:anchor="_Toc354703582" w:history="1">
            <w:r w:rsidRPr="00A2513C">
              <w:rPr>
                <w:rStyle w:val="Hypertextovodkaz"/>
                <w:noProof/>
              </w:rPr>
              <w:t>4.1.1 Vodní zdroje - Eufrat</w:t>
            </w:r>
            <w:r>
              <w:rPr>
                <w:noProof/>
                <w:webHidden/>
              </w:rPr>
              <w:tab/>
            </w:r>
            <w:r>
              <w:rPr>
                <w:noProof/>
                <w:webHidden/>
              </w:rPr>
              <w:fldChar w:fldCharType="begin"/>
            </w:r>
            <w:r>
              <w:rPr>
                <w:noProof/>
                <w:webHidden/>
              </w:rPr>
              <w:instrText xml:space="preserve"> PAGEREF _Toc354703582 \h </w:instrText>
            </w:r>
            <w:r>
              <w:rPr>
                <w:noProof/>
                <w:webHidden/>
              </w:rPr>
            </w:r>
            <w:r>
              <w:rPr>
                <w:noProof/>
                <w:webHidden/>
              </w:rPr>
              <w:fldChar w:fldCharType="separate"/>
            </w:r>
            <w:r>
              <w:rPr>
                <w:noProof/>
                <w:webHidden/>
              </w:rPr>
              <w:t>30</w:t>
            </w:r>
            <w:r>
              <w:rPr>
                <w:noProof/>
                <w:webHidden/>
              </w:rPr>
              <w:fldChar w:fldCharType="end"/>
            </w:r>
          </w:hyperlink>
        </w:p>
        <w:p w:rsidR="006B6A06" w:rsidRDefault="006B6A06">
          <w:pPr>
            <w:pStyle w:val="Obsah3"/>
            <w:tabs>
              <w:tab w:val="right" w:leader="dot" w:pos="9061"/>
            </w:tabs>
            <w:rPr>
              <w:noProof/>
              <w:lang w:eastAsia="cs-CZ"/>
            </w:rPr>
          </w:pPr>
          <w:hyperlink w:anchor="_Toc354703583" w:history="1">
            <w:r w:rsidRPr="00A2513C">
              <w:rPr>
                <w:rStyle w:val="Hypertextovodkaz"/>
                <w:noProof/>
              </w:rPr>
              <w:t>4.1.2 Ropovod Kirkúk - Baniyas</w:t>
            </w:r>
            <w:r>
              <w:rPr>
                <w:noProof/>
                <w:webHidden/>
              </w:rPr>
              <w:tab/>
            </w:r>
            <w:r>
              <w:rPr>
                <w:noProof/>
                <w:webHidden/>
              </w:rPr>
              <w:fldChar w:fldCharType="begin"/>
            </w:r>
            <w:r>
              <w:rPr>
                <w:noProof/>
                <w:webHidden/>
              </w:rPr>
              <w:instrText xml:space="preserve"> PAGEREF _Toc354703583 \h </w:instrText>
            </w:r>
            <w:r>
              <w:rPr>
                <w:noProof/>
                <w:webHidden/>
              </w:rPr>
            </w:r>
            <w:r>
              <w:rPr>
                <w:noProof/>
                <w:webHidden/>
              </w:rPr>
              <w:fldChar w:fldCharType="separate"/>
            </w:r>
            <w:r>
              <w:rPr>
                <w:noProof/>
                <w:webHidden/>
              </w:rPr>
              <w:t>32</w:t>
            </w:r>
            <w:r>
              <w:rPr>
                <w:noProof/>
                <w:webHidden/>
              </w:rPr>
              <w:fldChar w:fldCharType="end"/>
            </w:r>
          </w:hyperlink>
        </w:p>
        <w:p w:rsidR="006B6A06" w:rsidRDefault="006B6A06">
          <w:pPr>
            <w:pStyle w:val="Obsah2"/>
            <w:tabs>
              <w:tab w:val="left" w:pos="880"/>
              <w:tab w:val="right" w:leader="dot" w:pos="9061"/>
            </w:tabs>
            <w:rPr>
              <w:noProof/>
              <w:lang w:eastAsia="cs-CZ"/>
            </w:rPr>
          </w:pPr>
          <w:hyperlink w:anchor="_Toc354703584" w:history="1">
            <w:r w:rsidRPr="00A2513C">
              <w:rPr>
                <w:rStyle w:val="Hypertextovodkaz"/>
                <w:noProof/>
              </w:rPr>
              <w:t>4.2</w:t>
            </w:r>
            <w:r>
              <w:rPr>
                <w:noProof/>
                <w:lang w:eastAsia="cs-CZ"/>
              </w:rPr>
              <w:tab/>
            </w:r>
            <w:r w:rsidRPr="00A2513C">
              <w:rPr>
                <w:rStyle w:val="Hypertextovodkaz"/>
                <w:noProof/>
              </w:rPr>
              <w:t>Problémové aspekty irácko – íránských vztahů</w:t>
            </w:r>
            <w:r>
              <w:rPr>
                <w:noProof/>
                <w:webHidden/>
              </w:rPr>
              <w:tab/>
            </w:r>
            <w:r>
              <w:rPr>
                <w:noProof/>
                <w:webHidden/>
              </w:rPr>
              <w:fldChar w:fldCharType="begin"/>
            </w:r>
            <w:r>
              <w:rPr>
                <w:noProof/>
                <w:webHidden/>
              </w:rPr>
              <w:instrText xml:space="preserve"> PAGEREF _Toc354703584 \h </w:instrText>
            </w:r>
            <w:r>
              <w:rPr>
                <w:noProof/>
                <w:webHidden/>
              </w:rPr>
            </w:r>
            <w:r>
              <w:rPr>
                <w:noProof/>
                <w:webHidden/>
              </w:rPr>
              <w:fldChar w:fldCharType="separate"/>
            </w:r>
            <w:r>
              <w:rPr>
                <w:noProof/>
                <w:webHidden/>
              </w:rPr>
              <w:t>35</w:t>
            </w:r>
            <w:r>
              <w:rPr>
                <w:noProof/>
                <w:webHidden/>
              </w:rPr>
              <w:fldChar w:fldCharType="end"/>
            </w:r>
          </w:hyperlink>
        </w:p>
        <w:p w:rsidR="006B6A06" w:rsidRDefault="006B6A06">
          <w:pPr>
            <w:pStyle w:val="Obsah3"/>
            <w:tabs>
              <w:tab w:val="left" w:pos="1320"/>
              <w:tab w:val="right" w:leader="dot" w:pos="9061"/>
            </w:tabs>
            <w:rPr>
              <w:noProof/>
              <w:lang w:eastAsia="cs-CZ"/>
            </w:rPr>
          </w:pPr>
          <w:hyperlink w:anchor="_Toc354703585" w:history="1">
            <w:r w:rsidRPr="00A2513C">
              <w:rPr>
                <w:rStyle w:val="Hypertextovodkaz"/>
                <w:noProof/>
              </w:rPr>
              <w:t>4.2.1</w:t>
            </w:r>
            <w:r>
              <w:rPr>
                <w:noProof/>
                <w:lang w:eastAsia="cs-CZ"/>
              </w:rPr>
              <w:tab/>
            </w:r>
            <w:r w:rsidRPr="00A2513C">
              <w:rPr>
                <w:rStyle w:val="Hypertextovodkaz"/>
                <w:noProof/>
              </w:rPr>
              <w:t>Šatt al-Arab</w:t>
            </w:r>
            <w:r>
              <w:rPr>
                <w:noProof/>
                <w:webHidden/>
              </w:rPr>
              <w:tab/>
            </w:r>
            <w:r>
              <w:rPr>
                <w:noProof/>
                <w:webHidden/>
              </w:rPr>
              <w:fldChar w:fldCharType="begin"/>
            </w:r>
            <w:r>
              <w:rPr>
                <w:noProof/>
                <w:webHidden/>
              </w:rPr>
              <w:instrText xml:space="preserve"> PAGEREF _Toc354703585 \h </w:instrText>
            </w:r>
            <w:r>
              <w:rPr>
                <w:noProof/>
                <w:webHidden/>
              </w:rPr>
            </w:r>
            <w:r>
              <w:rPr>
                <w:noProof/>
                <w:webHidden/>
              </w:rPr>
              <w:fldChar w:fldCharType="separate"/>
            </w:r>
            <w:r>
              <w:rPr>
                <w:noProof/>
                <w:webHidden/>
              </w:rPr>
              <w:t>35</w:t>
            </w:r>
            <w:r>
              <w:rPr>
                <w:noProof/>
                <w:webHidden/>
              </w:rPr>
              <w:fldChar w:fldCharType="end"/>
            </w:r>
          </w:hyperlink>
        </w:p>
        <w:p w:rsidR="006B6A06" w:rsidRDefault="006B6A06">
          <w:pPr>
            <w:pStyle w:val="Obsah1"/>
            <w:tabs>
              <w:tab w:val="right" w:leader="dot" w:pos="9061"/>
            </w:tabs>
            <w:rPr>
              <w:noProof/>
            </w:rPr>
          </w:pPr>
          <w:hyperlink w:anchor="_Toc354703586" w:history="1">
            <w:r w:rsidRPr="00A2513C">
              <w:rPr>
                <w:rStyle w:val="Hypertextovodkaz"/>
                <w:noProof/>
              </w:rPr>
              <w:t>5. Ofensivní kapacita Iráku</w:t>
            </w:r>
            <w:r>
              <w:rPr>
                <w:noProof/>
                <w:webHidden/>
              </w:rPr>
              <w:tab/>
            </w:r>
            <w:r>
              <w:rPr>
                <w:noProof/>
                <w:webHidden/>
              </w:rPr>
              <w:fldChar w:fldCharType="begin"/>
            </w:r>
            <w:r>
              <w:rPr>
                <w:noProof/>
                <w:webHidden/>
              </w:rPr>
              <w:instrText xml:space="preserve"> PAGEREF _Toc354703586 \h </w:instrText>
            </w:r>
            <w:r>
              <w:rPr>
                <w:noProof/>
                <w:webHidden/>
              </w:rPr>
            </w:r>
            <w:r>
              <w:rPr>
                <w:noProof/>
                <w:webHidden/>
              </w:rPr>
              <w:fldChar w:fldCharType="separate"/>
            </w:r>
            <w:r>
              <w:rPr>
                <w:noProof/>
                <w:webHidden/>
              </w:rPr>
              <w:t>41</w:t>
            </w:r>
            <w:r>
              <w:rPr>
                <w:noProof/>
                <w:webHidden/>
              </w:rPr>
              <w:fldChar w:fldCharType="end"/>
            </w:r>
          </w:hyperlink>
        </w:p>
        <w:p w:rsidR="006B6A06" w:rsidRDefault="006B6A06">
          <w:pPr>
            <w:pStyle w:val="Obsah1"/>
            <w:tabs>
              <w:tab w:val="right" w:leader="dot" w:pos="9061"/>
            </w:tabs>
            <w:rPr>
              <w:noProof/>
            </w:rPr>
          </w:pPr>
          <w:hyperlink w:anchor="_Toc354703587" w:history="1">
            <w:r w:rsidRPr="00A2513C">
              <w:rPr>
                <w:rStyle w:val="Hypertextovodkaz"/>
                <w:noProof/>
              </w:rPr>
              <w:t>6. Agresivní úmysly Iráku</w:t>
            </w:r>
            <w:r>
              <w:rPr>
                <w:noProof/>
                <w:webHidden/>
              </w:rPr>
              <w:tab/>
            </w:r>
            <w:r>
              <w:rPr>
                <w:noProof/>
                <w:webHidden/>
              </w:rPr>
              <w:fldChar w:fldCharType="begin"/>
            </w:r>
            <w:r>
              <w:rPr>
                <w:noProof/>
                <w:webHidden/>
              </w:rPr>
              <w:instrText xml:space="preserve"> PAGEREF _Toc354703587 \h </w:instrText>
            </w:r>
            <w:r>
              <w:rPr>
                <w:noProof/>
                <w:webHidden/>
              </w:rPr>
            </w:r>
            <w:r>
              <w:rPr>
                <w:noProof/>
                <w:webHidden/>
              </w:rPr>
              <w:fldChar w:fldCharType="separate"/>
            </w:r>
            <w:r>
              <w:rPr>
                <w:noProof/>
                <w:webHidden/>
              </w:rPr>
              <w:t>44</w:t>
            </w:r>
            <w:r>
              <w:rPr>
                <w:noProof/>
                <w:webHidden/>
              </w:rPr>
              <w:fldChar w:fldCharType="end"/>
            </w:r>
          </w:hyperlink>
        </w:p>
        <w:p w:rsidR="006B6A06" w:rsidRDefault="006B6A06">
          <w:pPr>
            <w:pStyle w:val="Obsah1"/>
            <w:tabs>
              <w:tab w:val="right" w:leader="dot" w:pos="9061"/>
            </w:tabs>
            <w:rPr>
              <w:noProof/>
            </w:rPr>
          </w:pPr>
          <w:hyperlink w:anchor="_Toc354703588" w:history="1">
            <w:r w:rsidRPr="00A2513C">
              <w:rPr>
                <w:rStyle w:val="Hypertextovodkaz"/>
                <w:noProof/>
              </w:rPr>
              <w:t>Závěr</w:t>
            </w:r>
            <w:r>
              <w:rPr>
                <w:noProof/>
                <w:webHidden/>
              </w:rPr>
              <w:tab/>
            </w:r>
            <w:r>
              <w:rPr>
                <w:noProof/>
                <w:webHidden/>
              </w:rPr>
              <w:fldChar w:fldCharType="begin"/>
            </w:r>
            <w:r>
              <w:rPr>
                <w:noProof/>
                <w:webHidden/>
              </w:rPr>
              <w:instrText xml:space="preserve"> PAGEREF _Toc354703588 \h </w:instrText>
            </w:r>
            <w:r>
              <w:rPr>
                <w:noProof/>
                <w:webHidden/>
              </w:rPr>
            </w:r>
            <w:r>
              <w:rPr>
                <w:noProof/>
                <w:webHidden/>
              </w:rPr>
              <w:fldChar w:fldCharType="separate"/>
            </w:r>
            <w:r>
              <w:rPr>
                <w:noProof/>
                <w:webHidden/>
              </w:rPr>
              <w:t>45</w:t>
            </w:r>
            <w:r>
              <w:rPr>
                <w:noProof/>
                <w:webHidden/>
              </w:rPr>
              <w:fldChar w:fldCharType="end"/>
            </w:r>
          </w:hyperlink>
        </w:p>
        <w:p w:rsidR="006B6A06" w:rsidRDefault="006B6A06">
          <w:pPr>
            <w:pStyle w:val="Obsah1"/>
            <w:tabs>
              <w:tab w:val="left" w:pos="440"/>
              <w:tab w:val="right" w:leader="dot" w:pos="9061"/>
            </w:tabs>
            <w:rPr>
              <w:noProof/>
            </w:rPr>
          </w:pPr>
          <w:hyperlink w:anchor="_Toc354703589" w:history="1">
            <w:r w:rsidRPr="00A2513C">
              <w:rPr>
                <w:rStyle w:val="Hypertextovodkaz"/>
                <w:noProof/>
              </w:rPr>
              <w:t>5.</w:t>
            </w:r>
            <w:r>
              <w:rPr>
                <w:noProof/>
              </w:rPr>
              <w:tab/>
            </w:r>
            <w:r w:rsidRPr="00A2513C">
              <w:rPr>
                <w:rStyle w:val="Hypertextovodkaz"/>
                <w:noProof/>
              </w:rPr>
              <w:t>Prameny a literatura</w:t>
            </w:r>
            <w:r>
              <w:rPr>
                <w:noProof/>
                <w:webHidden/>
              </w:rPr>
              <w:tab/>
            </w:r>
            <w:r>
              <w:rPr>
                <w:noProof/>
                <w:webHidden/>
              </w:rPr>
              <w:fldChar w:fldCharType="begin"/>
            </w:r>
            <w:r>
              <w:rPr>
                <w:noProof/>
                <w:webHidden/>
              </w:rPr>
              <w:instrText xml:space="preserve"> PAGEREF _Toc354703589 \h </w:instrText>
            </w:r>
            <w:r>
              <w:rPr>
                <w:noProof/>
                <w:webHidden/>
              </w:rPr>
            </w:r>
            <w:r>
              <w:rPr>
                <w:noProof/>
                <w:webHidden/>
              </w:rPr>
              <w:fldChar w:fldCharType="separate"/>
            </w:r>
            <w:r>
              <w:rPr>
                <w:noProof/>
                <w:webHidden/>
              </w:rPr>
              <w:t>47</w:t>
            </w:r>
            <w:r>
              <w:rPr>
                <w:noProof/>
                <w:webHidden/>
              </w:rPr>
              <w:fldChar w:fldCharType="end"/>
            </w:r>
          </w:hyperlink>
        </w:p>
        <w:p w:rsidR="006B6A06" w:rsidRDefault="006B6A06" w:rsidP="006B6A06">
          <w:pPr>
            <w:pStyle w:val="Obsah2"/>
            <w:tabs>
              <w:tab w:val="left" w:pos="880"/>
              <w:tab w:val="right" w:leader="dot" w:pos="9061"/>
            </w:tabs>
            <w:rPr>
              <w:noProof/>
              <w:lang w:eastAsia="cs-CZ"/>
            </w:rPr>
          </w:pPr>
          <w:hyperlink w:anchor="_Toc354703590" w:history="1">
            <w:r w:rsidRPr="00A2513C">
              <w:rPr>
                <w:rStyle w:val="Hypertextovodkaz"/>
                <w:noProof/>
              </w:rPr>
              <w:t>5.1.</w:t>
            </w:r>
            <w:r>
              <w:rPr>
                <w:noProof/>
                <w:lang w:eastAsia="cs-CZ"/>
              </w:rPr>
              <w:tab/>
            </w:r>
            <w:r w:rsidRPr="00A2513C">
              <w:rPr>
                <w:rStyle w:val="Hypertextovodkaz"/>
                <w:noProof/>
              </w:rPr>
              <w:t>Prameny</w:t>
            </w:r>
            <w:r>
              <w:rPr>
                <w:noProof/>
                <w:webHidden/>
              </w:rPr>
              <w:tab/>
            </w:r>
            <w:r>
              <w:rPr>
                <w:noProof/>
                <w:webHidden/>
              </w:rPr>
              <w:fldChar w:fldCharType="begin"/>
            </w:r>
            <w:r>
              <w:rPr>
                <w:noProof/>
                <w:webHidden/>
              </w:rPr>
              <w:instrText xml:space="preserve"> PAGEREF _Toc354703590 \h </w:instrText>
            </w:r>
            <w:r>
              <w:rPr>
                <w:noProof/>
                <w:webHidden/>
              </w:rPr>
            </w:r>
            <w:r>
              <w:rPr>
                <w:noProof/>
                <w:webHidden/>
              </w:rPr>
              <w:fldChar w:fldCharType="separate"/>
            </w:r>
            <w:r>
              <w:rPr>
                <w:noProof/>
                <w:webHidden/>
              </w:rPr>
              <w:t>47</w:t>
            </w:r>
            <w:r>
              <w:rPr>
                <w:noProof/>
                <w:webHidden/>
              </w:rPr>
              <w:fldChar w:fldCharType="end"/>
            </w:r>
          </w:hyperlink>
          <w:hyperlink w:anchor="_Toc354703591" w:history="1"/>
        </w:p>
        <w:p w:rsidR="006B6A06" w:rsidRDefault="006B6A06">
          <w:pPr>
            <w:pStyle w:val="Obsah2"/>
            <w:tabs>
              <w:tab w:val="left" w:pos="880"/>
              <w:tab w:val="right" w:leader="dot" w:pos="9061"/>
            </w:tabs>
            <w:rPr>
              <w:noProof/>
              <w:lang w:eastAsia="cs-CZ"/>
            </w:rPr>
          </w:pPr>
          <w:hyperlink w:anchor="_Toc354703593" w:history="1">
            <w:r w:rsidRPr="00A2513C">
              <w:rPr>
                <w:rStyle w:val="Hypertextovodkaz"/>
                <w:noProof/>
              </w:rPr>
              <w:t>5.2</w:t>
            </w:r>
            <w:r>
              <w:rPr>
                <w:noProof/>
                <w:lang w:eastAsia="cs-CZ"/>
              </w:rPr>
              <w:tab/>
            </w:r>
            <w:r w:rsidRPr="00A2513C">
              <w:rPr>
                <w:rStyle w:val="Hypertextovodkaz"/>
                <w:noProof/>
              </w:rPr>
              <w:t>Literatura</w:t>
            </w:r>
            <w:r>
              <w:rPr>
                <w:noProof/>
                <w:webHidden/>
              </w:rPr>
              <w:tab/>
            </w:r>
            <w:r>
              <w:rPr>
                <w:noProof/>
                <w:webHidden/>
              </w:rPr>
              <w:fldChar w:fldCharType="begin"/>
            </w:r>
            <w:r>
              <w:rPr>
                <w:noProof/>
                <w:webHidden/>
              </w:rPr>
              <w:instrText xml:space="preserve"> PAGEREF _Toc354703593 \h </w:instrText>
            </w:r>
            <w:r>
              <w:rPr>
                <w:noProof/>
                <w:webHidden/>
              </w:rPr>
            </w:r>
            <w:r>
              <w:rPr>
                <w:noProof/>
                <w:webHidden/>
              </w:rPr>
              <w:fldChar w:fldCharType="separate"/>
            </w:r>
            <w:r>
              <w:rPr>
                <w:noProof/>
                <w:webHidden/>
              </w:rPr>
              <w:t>49</w:t>
            </w:r>
            <w:r>
              <w:rPr>
                <w:noProof/>
                <w:webHidden/>
              </w:rPr>
              <w:fldChar w:fldCharType="end"/>
            </w:r>
          </w:hyperlink>
        </w:p>
        <w:p w:rsidR="006B6A06" w:rsidRDefault="006B6A06">
          <w:pPr>
            <w:pStyle w:val="Obsah1"/>
            <w:tabs>
              <w:tab w:val="right" w:leader="dot" w:pos="9061"/>
            </w:tabs>
            <w:rPr>
              <w:noProof/>
            </w:rPr>
          </w:pPr>
          <w:hyperlink w:anchor="_Toc354703594" w:history="1">
            <w:r w:rsidRPr="00A2513C">
              <w:rPr>
                <w:rStyle w:val="Hypertextovodkaz"/>
                <w:noProof/>
              </w:rPr>
              <w:t>Přílohy</w:t>
            </w:r>
            <w:r>
              <w:rPr>
                <w:noProof/>
                <w:webHidden/>
              </w:rPr>
              <w:tab/>
            </w:r>
            <w:r>
              <w:rPr>
                <w:noProof/>
                <w:webHidden/>
              </w:rPr>
              <w:fldChar w:fldCharType="begin"/>
            </w:r>
            <w:r>
              <w:rPr>
                <w:noProof/>
                <w:webHidden/>
              </w:rPr>
              <w:instrText xml:space="preserve"> PAGEREF _Toc354703594 \h </w:instrText>
            </w:r>
            <w:r>
              <w:rPr>
                <w:noProof/>
                <w:webHidden/>
              </w:rPr>
            </w:r>
            <w:r>
              <w:rPr>
                <w:noProof/>
                <w:webHidden/>
              </w:rPr>
              <w:fldChar w:fldCharType="separate"/>
            </w:r>
            <w:r>
              <w:rPr>
                <w:noProof/>
                <w:webHidden/>
              </w:rPr>
              <w:t>51</w:t>
            </w:r>
            <w:r>
              <w:rPr>
                <w:noProof/>
                <w:webHidden/>
              </w:rPr>
              <w:fldChar w:fldCharType="end"/>
            </w:r>
          </w:hyperlink>
        </w:p>
        <w:p w:rsidR="006B6A06" w:rsidRDefault="006B6A06">
          <w:pPr>
            <w:pStyle w:val="Obsah1"/>
            <w:tabs>
              <w:tab w:val="right" w:leader="dot" w:pos="9061"/>
            </w:tabs>
            <w:rPr>
              <w:noProof/>
            </w:rPr>
          </w:pPr>
          <w:hyperlink w:anchor="_Toc354703596" w:history="1">
            <w:r w:rsidRPr="00A2513C">
              <w:rPr>
                <w:rStyle w:val="Hypertextovodkaz"/>
                <w:noProof/>
              </w:rPr>
              <w:t>Abstrakt (česky)</w:t>
            </w:r>
            <w:r>
              <w:rPr>
                <w:noProof/>
                <w:webHidden/>
              </w:rPr>
              <w:tab/>
            </w:r>
            <w:r>
              <w:rPr>
                <w:noProof/>
                <w:webHidden/>
              </w:rPr>
              <w:fldChar w:fldCharType="begin"/>
            </w:r>
            <w:r>
              <w:rPr>
                <w:noProof/>
                <w:webHidden/>
              </w:rPr>
              <w:instrText xml:space="preserve"> PAGEREF _Toc354703596 \h </w:instrText>
            </w:r>
            <w:r>
              <w:rPr>
                <w:noProof/>
                <w:webHidden/>
              </w:rPr>
            </w:r>
            <w:r>
              <w:rPr>
                <w:noProof/>
                <w:webHidden/>
              </w:rPr>
              <w:fldChar w:fldCharType="separate"/>
            </w:r>
            <w:r>
              <w:rPr>
                <w:noProof/>
                <w:webHidden/>
              </w:rPr>
              <w:t>54</w:t>
            </w:r>
            <w:r>
              <w:rPr>
                <w:noProof/>
                <w:webHidden/>
              </w:rPr>
              <w:fldChar w:fldCharType="end"/>
            </w:r>
          </w:hyperlink>
        </w:p>
        <w:p w:rsidR="006B6A06" w:rsidRDefault="006B6A06">
          <w:pPr>
            <w:pStyle w:val="Obsah1"/>
            <w:tabs>
              <w:tab w:val="right" w:leader="dot" w:pos="9061"/>
            </w:tabs>
            <w:rPr>
              <w:noProof/>
            </w:rPr>
          </w:pPr>
          <w:hyperlink w:anchor="_Toc354703597" w:history="1">
            <w:r w:rsidRPr="00A2513C">
              <w:rPr>
                <w:rStyle w:val="Hypertextovodkaz"/>
                <w:noProof/>
              </w:rPr>
              <w:t>Abstract (english)</w:t>
            </w:r>
            <w:r>
              <w:rPr>
                <w:noProof/>
                <w:webHidden/>
              </w:rPr>
              <w:tab/>
            </w:r>
            <w:r>
              <w:rPr>
                <w:noProof/>
                <w:webHidden/>
              </w:rPr>
              <w:fldChar w:fldCharType="begin"/>
            </w:r>
            <w:r>
              <w:rPr>
                <w:noProof/>
                <w:webHidden/>
              </w:rPr>
              <w:instrText xml:space="preserve"> PAGEREF _Toc354703597 \h </w:instrText>
            </w:r>
            <w:r>
              <w:rPr>
                <w:noProof/>
                <w:webHidden/>
              </w:rPr>
            </w:r>
            <w:r>
              <w:rPr>
                <w:noProof/>
                <w:webHidden/>
              </w:rPr>
              <w:fldChar w:fldCharType="separate"/>
            </w:r>
            <w:r>
              <w:rPr>
                <w:noProof/>
                <w:webHidden/>
              </w:rPr>
              <w:t>54</w:t>
            </w:r>
            <w:r>
              <w:rPr>
                <w:noProof/>
                <w:webHidden/>
              </w:rPr>
              <w:fldChar w:fldCharType="end"/>
            </w:r>
          </w:hyperlink>
        </w:p>
        <w:p w:rsidR="00AD25AC" w:rsidRDefault="00B51CC0">
          <w:r>
            <w:fldChar w:fldCharType="end"/>
          </w:r>
        </w:p>
      </w:sdtContent>
    </w:sdt>
    <w:p w:rsidR="00637E3B" w:rsidRPr="00026D3E" w:rsidRDefault="00637E3B" w:rsidP="0097166D">
      <w:pPr>
        <w:spacing w:line="360" w:lineRule="auto"/>
        <w:jc w:val="both"/>
        <w:rPr>
          <w:rFonts w:ascii="Times New Roman" w:hAnsi="Times New Roman" w:cs="Times New Roman"/>
          <w:sz w:val="24"/>
          <w:szCs w:val="24"/>
        </w:rPr>
      </w:pPr>
    </w:p>
    <w:p w:rsidR="00637E3B" w:rsidRPr="00026D3E" w:rsidRDefault="00637E3B" w:rsidP="0097166D">
      <w:pPr>
        <w:spacing w:line="360" w:lineRule="auto"/>
        <w:jc w:val="both"/>
        <w:rPr>
          <w:rFonts w:ascii="Times New Roman" w:hAnsi="Times New Roman" w:cs="Times New Roman"/>
          <w:sz w:val="24"/>
          <w:szCs w:val="24"/>
        </w:rPr>
      </w:pPr>
    </w:p>
    <w:p w:rsidR="00637E3B" w:rsidRPr="00026D3E" w:rsidRDefault="00637E3B" w:rsidP="0097166D">
      <w:pPr>
        <w:spacing w:line="360" w:lineRule="auto"/>
        <w:jc w:val="both"/>
        <w:rPr>
          <w:rFonts w:ascii="Times New Roman" w:hAnsi="Times New Roman" w:cs="Times New Roman"/>
          <w:sz w:val="24"/>
          <w:szCs w:val="24"/>
        </w:rPr>
      </w:pPr>
    </w:p>
    <w:p w:rsidR="00637E3B" w:rsidRPr="00026D3E" w:rsidRDefault="00637E3B" w:rsidP="0097166D">
      <w:pPr>
        <w:spacing w:line="360" w:lineRule="auto"/>
        <w:jc w:val="both"/>
        <w:rPr>
          <w:rFonts w:ascii="Times New Roman" w:hAnsi="Times New Roman" w:cs="Times New Roman"/>
          <w:sz w:val="24"/>
          <w:szCs w:val="24"/>
        </w:rPr>
      </w:pPr>
    </w:p>
    <w:p w:rsidR="00637E3B" w:rsidRPr="00026D3E" w:rsidRDefault="00637E3B" w:rsidP="0097166D">
      <w:pPr>
        <w:spacing w:line="360" w:lineRule="auto"/>
        <w:jc w:val="both"/>
        <w:rPr>
          <w:rFonts w:ascii="Times New Roman" w:hAnsi="Times New Roman" w:cs="Times New Roman"/>
          <w:sz w:val="24"/>
          <w:szCs w:val="24"/>
        </w:rPr>
      </w:pPr>
    </w:p>
    <w:p w:rsidR="00637E3B" w:rsidRPr="00026D3E" w:rsidRDefault="00637E3B" w:rsidP="0097166D">
      <w:pPr>
        <w:spacing w:line="360" w:lineRule="auto"/>
        <w:jc w:val="both"/>
        <w:rPr>
          <w:rFonts w:ascii="Times New Roman" w:hAnsi="Times New Roman" w:cs="Times New Roman"/>
          <w:sz w:val="24"/>
          <w:szCs w:val="24"/>
        </w:rPr>
      </w:pPr>
    </w:p>
    <w:p w:rsidR="00A164E7" w:rsidRPr="00026D3E" w:rsidRDefault="00A164E7" w:rsidP="00AD25AC">
      <w:pPr>
        <w:pStyle w:val="Nadpis1"/>
      </w:pPr>
      <w:bookmarkStart w:id="0" w:name="_Toc354703574"/>
      <w:r w:rsidRPr="00026D3E">
        <w:lastRenderedPageBreak/>
        <w:t>Úvod</w:t>
      </w:r>
      <w:bookmarkEnd w:id="0"/>
    </w:p>
    <w:p w:rsidR="00A164E7" w:rsidRPr="00026D3E" w:rsidRDefault="0096654A" w:rsidP="00A31D9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Naleznout</w:t>
      </w:r>
      <w:r w:rsidR="00A164E7" w:rsidRPr="00026D3E">
        <w:rPr>
          <w:rFonts w:ascii="Times New Roman" w:hAnsi="Times New Roman" w:cs="Times New Roman"/>
          <w:sz w:val="24"/>
          <w:szCs w:val="24"/>
        </w:rPr>
        <w:t xml:space="preserve"> shodu mezi odborníky, </w:t>
      </w:r>
      <w:r>
        <w:rPr>
          <w:rFonts w:ascii="Times New Roman" w:hAnsi="Times New Roman" w:cs="Times New Roman"/>
          <w:sz w:val="24"/>
          <w:szCs w:val="24"/>
        </w:rPr>
        <w:t>jak charakterizovat oblast Blízkého východu</w:t>
      </w:r>
      <w:r w:rsidR="00A164E7" w:rsidRPr="00026D3E">
        <w:rPr>
          <w:rFonts w:ascii="Times New Roman" w:hAnsi="Times New Roman" w:cs="Times New Roman"/>
          <w:sz w:val="24"/>
          <w:szCs w:val="24"/>
        </w:rPr>
        <w:t xml:space="preserve">, bývá často problém. Podstatně jednodušší je přisoudit této oblasti některé rysy, z nichž dominantním by mohla být výbušnost. Vskutku, těžko bychom na světě hledali region, který nabývá menší stability. To ovšem neubírá nijak jeho důležitosti – samotná strategická poloha podpořená největšími zásobami ropy a zemního plynu na světě si rozhodně zasluhuje pozornost. Nalezneme zde rozmanitou paletu aktérů – států a substátních aktérů, jež zahrnuje také početná radikální hnutí a teroristická uskupení. Přes různé formální i neformální svazky, </w:t>
      </w:r>
      <w:r w:rsidR="00CA7A9F" w:rsidRPr="00026D3E">
        <w:rPr>
          <w:rFonts w:ascii="Times New Roman" w:hAnsi="Times New Roman" w:cs="Times New Roman"/>
          <w:sz w:val="24"/>
          <w:szCs w:val="24"/>
        </w:rPr>
        <w:br/>
      </w:r>
      <w:r w:rsidR="00A164E7" w:rsidRPr="00026D3E">
        <w:rPr>
          <w:rFonts w:ascii="Times New Roman" w:hAnsi="Times New Roman" w:cs="Times New Roman"/>
          <w:sz w:val="24"/>
          <w:szCs w:val="24"/>
        </w:rPr>
        <w:t>ve kterých jednotlivé státy spolupracují, můžeme při bližším pohledu identifikovat vysokou pragmatičnost, kterými se vyznačují. Nejednou se státy s odliš</w:t>
      </w:r>
      <w:r w:rsidR="00CA7A9F" w:rsidRPr="00026D3E">
        <w:rPr>
          <w:rFonts w:ascii="Times New Roman" w:hAnsi="Times New Roman" w:cs="Times New Roman"/>
          <w:sz w:val="24"/>
          <w:szCs w:val="24"/>
        </w:rPr>
        <w:t>ným ideologickým profilem ocitly</w:t>
      </w:r>
      <w:r w:rsidR="00A164E7" w:rsidRPr="00026D3E">
        <w:rPr>
          <w:rFonts w:ascii="Times New Roman" w:hAnsi="Times New Roman" w:cs="Times New Roman"/>
          <w:sz w:val="24"/>
          <w:szCs w:val="24"/>
        </w:rPr>
        <w:t xml:space="preserve"> ve stejné vojenské alianci, jako tomu bylo </w:t>
      </w:r>
      <w:r>
        <w:rPr>
          <w:rFonts w:ascii="Times New Roman" w:hAnsi="Times New Roman" w:cs="Times New Roman"/>
          <w:sz w:val="24"/>
          <w:szCs w:val="24"/>
        </w:rPr>
        <w:t>například</w:t>
      </w:r>
      <w:r w:rsidR="00A164E7" w:rsidRPr="00026D3E">
        <w:rPr>
          <w:rFonts w:ascii="Times New Roman" w:hAnsi="Times New Roman" w:cs="Times New Roman"/>
          <w:sz w:val="24"/>
          <w:szCs w:val="24"/>
        </w:rPr>
        <w:t xml:space="preserve"> v </w:t>
      </w:r>
      <w:r>
        <w:rPr>
          <w:rFonts w:ascii="Times New Roman" w:hAnsi="Times New Roman" w:cs="Times New Roman"/>
          <w:sz w:val="24"/>
          <w:szCs w:val="24"/>
        </w:rPr>
        <w:t>první</w:t>
      </w:r>
      <w:r w:rsidR="00A164E7" w:rsidRPr="00026D3E">
        <w:rPr>
          <w:rFonts w:ascii="Times New Roman" w:hAnsi="Times New Roman" w:cs="Times New Roman"/>
          <w:sz w:val="24"/>
          <w:szCs w:val="24"/>
        </w:rPr>
        <w:t xml:space="preserve"> válce v Perském zálivu. V regionu však můžeme nalézt dva státy, jejichž vzájemné vztahy se staly předmětem mnoha diskuzí, jež v cizojazyčné literatuře vyústily v přívlastky jako „odd couple“</w:t>
      </w:r>
      <w:r w:rsidR="001441FE">
        <w:rPr>
          <w:rStyle w:val="Znakapoznpodarou"/>
          <w:rFonts w:ascii="Times New Roman" w:hAnsi="Times New Roman" w:cs="Times New Roman"/>
          <w:sz w:val="24"/>
          <w:szCs w:val="24"/>
        </w:rPr>
        <w:footnoteReference w:id="2"/>
      </w:r>
      <w:r w:rsidR="00A164E7" w:rsidRPr="00026D3E">
        <w:rPr>
          <w:rFonts w:ascii="Times New Roman" w:hAnsi="Times New Roman" w:cs="Times New Roman"/>
          <w:sz w:val="24"/>
          <w:szCs w:val="24"/>
        </w:rPr>
        <w:t xml:space="preserve"> či „strange bedfellows“</w:t>
      </w:r>
      <w:r w:rsidR="001441FE">
        <w:rPr>
          <w:rStyle w:val="Znakapoznpodarou"/>
          <w:rFonts w:ascii="Times New Roman" w:hAnsi="Times New Roman" w:cs="Times New Roman"/>
          <w:sz w:val="24"/>
          <w:szCs w:val="24"/>
        </w:rPr>
        <w:footnoteReference w:id="3"/>
      </w:r>
      <w:r w:rsidR="00A164E7" w:rsidRPr="00026D3E">
        <w:rPr>
          <w:rFonts w:ascii="Times New Roman" w:hAnsi="Times New Roman" w:cs="Times New Roman"/>
          <w:sz w:val="24"/>
          <w:szCs w:val="24"/>
        </w:rPr>
        <w:t>. Jedná se o Sýrii a Írán, dva státy, jejichž dlouhodobá spolupráce předčila mnohá očekávání. Režimy těchto dvou zemí se</w:t>
      </w:r>
      <w:r w:rsidR="008231D8">
        <w:rPr>
          <w:rFonts w:ascii="Times New Roman" w:hAnsi="Times New Roman" w:cs="Times New Roman"/>
          <w:sz w:val="24"/>
          <w:szCs w:val="24"/>
        </w:rPr>
        <w:t xml:space="preserve"> patrně už více</w:t>
      </w:r>
      <w:r w:rsidR="00A164E7" w:rsidRPr="00026D3E">
        <w:rPr>
          <w:rFonts w:ascii="Times New Roman" w:hAnsi="Times New Roman" w:cs="Times New Roman"/>
          <w:sz w:val="24"/>
          <w:szCs w:val="24"/>
        </w:rPr>
        <w:t xml:space="preserve"> lišit nemohly – Sýrie jakožto sekulární stát s republikánským zřízením a Írán jakožto stát silně náboženský se zřízením teokratickým. Tato aliance je tedy zajímavá svým složením stejně jako svou délkou trvání. Nabízí se tak otázka, z jakého důvodu vlastně v první řadě vznikla. </w:t>
      </w:r>
    </w:p>
    <w:p w:rsidR="00A164E7" w:rsidRPr="00026D3E" w:rsidRDefault="00A164E7" w:rsidP="00621349">
      <w:pPr>
        <w:spacing w:line="360" w:lineRule="auto"/>
        <w:ind w:firstLine="708"/>
        <w:jc w:val="both"/>
        <w:rPr>
          <w:rFonts w:ascii="Times New Roman" w:hAnsi="Times New Roman" w:cs="Times New Roman"/>
          <w:sz w:val="24"/>
          <w:szCs w:val="24"/>
        </w:rPr>
      </w:pPr>
      <w:r w:rsidRPr="00026D3E">
        <w:rPr>
          <w:rFonts w:ascii="Times New Roman" w:hAnsi="Times New Roman" w:cs="Times New Roman"/>
          <w:sz w:val="24"/>
          <w:szCs w:val="24"/>
        </w:rPr>
        <w:t xml:space="preserve">Vznik aliance lze zdůvodnit mnoha teoriemi. Autor se v tomto textu </w:t>
      </w:r>
      <w:r w:rsidR="008231D8">
        <w:rPr>
          <w:rFonts w:ascii="Times New Roman" w:hAnsi="Times New Roman" w:cs="Times New Roman"/>
          <w:sz w:val="24"/>
          <w:szCs w:val="24"/>
        </w:rPr>
        <w:t>pokusí objasnit vznik Syrsko – í</w:t>
      </w:r>
      <w:r w:rsidRPr="00026D3E">
        <w:rPr>
          <w:rFonts w:ascii="Times New Roman" w:hAnsi="Times New Roman" w:cs="Times New Roman"/>
          <w:sz w:val="24"/>
          <w:szCs w:val="24"/>
        </w:rPr>
        <w:t>ránské aliance za pomocí teorie rovnováhy hrozeb amerického vědce Stephena Walta. Smysl této teorie i vysvětlení její přidané hodnoty bude rozebrán</w:t>
      </w:r>
      <w:r w:rsidR="0095294E">
        <w:rPr>
          <w:rFonts w:ascii="Times New Roman" w:hAnsi="Times New Roman" w:cs="Times New Roman"/>
          <w:sz w:val="24"/>
          <w:szCs w:val="24"/>
        </w:rPr>
        <w:t>o</w:t>
      </w:r>
      <w:r w:rsidRPr="00026D3E">
        <w:rPr>
          <w:rFonts w:ascii="Times New Roman" w:hAnsi="Times New Roman" w:cs="Times New Roman"/>
          <w:sz w:val="24"/>
          <w:szCs w:val="24"/>
        </w:rPr>
        <w:t xml:space="preserve"> v první kapitole, </w:t>
      </w:r>
      <w:r w:rsidR="00CA7A9F" w:rsidRPr="00026D3E">
        <w:rPr>
          <w:rFonts w:ascii="Times New Roman" w:hAnsi="Times New Roman" w:cs="Times New Roman"/>
          <w:sz w:val="24"/>
          <w:szCs w:val="24"/>
        </w:rPr>
        <w:t xml:space="preserve">ve které </w:t>
      </w:r>
      <w:r w:rsidRPr="00026D3E">
        <w:rPr>
          <w:rFonts w:ascii="Times New Roman" w:hAnsi="Times New Roman" w:cs="Times New Roman"/>
          <w:sz w:val="24"/>
          <w:szCs w:val="24"/>
        </w:rPr>
        <w:t xml:space="preserve">autor rovněž představí hypotézu a použitou metodologii. </w:t>
      </w:r>
    </w:p>
    <w:p w:rsidR="00A164E7" w:rsidRPr="00026D3E" w:rsidRDefault="00A164E7" w:rsidP="00621349">
      <w:pPr>
        <w:spacing w:line="360" w:lineRule="auto"/>
        <w:ind w:firstLine="708"/>
        <w:jc w:val="both"/>
        <w:rPr>
          <w:rFonts w:ascii="Times New Roman" w:hAnsi="Times New Roman" w:cs="Times New Roman"/>
          <w:sz w:val="24"/>
          <w:szCs w:val="24"/>
        </w:rPr>
      </w:pPr>
      <w:r w:rsidRPr="00026D3E">
        <w:rPr>
          <w:rFonts w:ascii="Times New Roman" w:hAnsi="Times New Roman" w:cs="Times New Roman"/>
          <w:sz w:val="24"/>
          <w:szCs w:val="24"/>
        </w:rPr>
        <w:t>Práce je strukturována násl</w:t>
      </w:r>
      <w:r w:rsidR="008016C4">
        <w:rPr>
          <w:rFonts w:ascii="Times New Roman" w:hAnsi="Times New Roman" w:cs="Times New Roman"/>
          <w:sz w:val="24"/>
          <w:szCs w:val="24"/>
        </w:rPr>
        <w:t xml:space="preserve">edovně. V první kapitole </w:t>
      </w:r>
      <w:r w:rsidRPr="00026D3E">
        <w:rPr>
          <w:rFonts w:ascii="Times New Roman" w:hAnsi="Times New Roman" w:cs="Times New Roman"/>
          <w:sz w:val="24"/>
          <w:szCs w:val="24"/>
        </w:rPr>
        <w:t xml:space="preserve">autor </w:t>
      </w:r>
      <w:r w:rsidR="008016C4">
        <w:rPr>
          <w:rFonts w:ascii="Times New Roman" w:hAnsi="Times New Roman" w:cs="Times New Roman"/>
          <w:sz w:val="24"/>
          <w:szCs w:val="24"/>
        </w:rPr>
        <w:t xml:space="preserve">představí teorii rovnováhy hrozeb a její ukotvení v relevantní literatuře. Kapitola </w:t>
      </w:r>
      <w:r w:rsidR="007642C4" w:rsidRPr="00026D3E">
        <w:rPr>
          <w:rFonts w:ascii="Times New Roman" w:hAnsi="Times New Roman" w:cs="Times New Roman"/>
          <w:sz w:val="24"/>
          <w:szCs w:val="24"/>
        </w:rPr>
        <w:t>popisuje, v čem teorie spočívá, s jakou hypotézou autor pracuje a jakou metodologii zvolil pro její ověření.</w:t>
      </w:r>
      <w:r w:rsidR="002E654D">
        <w:rPr>
          <w:rFonts w:ascii="Times New Roman" w:hAnsi="Times New Roman" w:cs="Times New Roman"/>
          <w:sz w:val="24"/>
          <w:szCs w:val="24"/>
        </w:rPr>
        <w:t xml:space="preserve"> V druhé kapitole přiblíží</w:t>
      </w:r>
      <w:r w:rsidRPr="00026D3E">
        <w:rPr>
          <w:rFonts w:ascii="Times New Roman" w:hAnsi="Times New Roman" w:cs="Times New Roman"/>
          <w:sz w:val="24"/>
          <w:szCs w:val="24"/>
        </w:rPr>
        <w:t xml:space="preserve"> postavení Sýrie a Íránu v mezinárodních vztazích, především v blízkovýchodním regionu. Tato kapitola je rozdělena na dvě části. První část mapuje období, kdy byl ještě </w:t>
      </w:r>
      <w:r w:rsidR="00CA7A9F" w:rsidRPr="00026D3E">
        <w:rPr>
          <w:rFonts w:ascii="Times New Roman" w:hAnsi="Times New Roman" w:cs="Times New Roman"/>
          <w:sz w:val="24"/>
          <w:szCs w:val="24"/>
        </w:rPr>
        <w:br/>
      </w:r>
      <w:r w:rsidRPr="00026D3E">
        <w:rPr>
          <w:rFonts w:ascii="Times New Roman" w:hAnsi="Times New Roman" w:cs="Times New Roman"/>
          <w:sz w:val="24"/>
          <w:szCs w:val="24"/>
        </w:rPr>
        <w:t>u moci šáh Pahlaví, druhá část se věnuje období po je</w:t>
      </w:r>
      <w:r w:rsidR="002E654D">
        <w:rPr>
          <w:rFonts w:ascii="Times New Roman" w:hAnsi="Times New Roman" w:cs="Times New Roman"/>
          <w:sz w:val="24"/>
          <w:szCs w:val="24"/>
        </w:rPr>
        <w:t>ho svrhnutí, přičemž autor klade</w:t>
      </w:r>
      <w:r w:rsidRPr="00026D3E">
        <w:rPr>
          <w:rFonts w:ascii="Times New Roman" w:hAnsi="Times New Roman" w:cs="Times New Roman"/>
          <w:sz w:val="24"/>
          <w:szCs w:val="24"/>
        </w:rPr>
        <w:t xml:space="preserve"> důraz na postupné sbližování se Sýrie s Iránem. Následují čtyři kapitoly, které se věnují analytické části práce, tedy zkoumání jednotlivých nezávisle proměnných. </w:t>
      </w:r>
    </w:p>
    <w:p w:rsidR="00E90BBC" w:rsidRDefault="00A164E7" w:rsidP="00E90BBC">
      <w:pPr>
        <w:spacing w:line="360" w:lineRule="auto"/>
        <w:ind w:firstLine="708"/>
        <w:jc w:val="both"/>
        <w:rPr>
          <w:rFonts w:ascii="Times New Roman" w:hAnsi="Times New Roman" w:cs="Times New Roman"/>
          <w:sz w:val="24"/>
          <w:szCs w:val="24"/>
        </w:rPr>
      </w:pPr>
      <w:r w:rsidRPr="00026D3E">
        <w:rPr>
          <w:rFonts w:ascii="Times New Roman" w:hAnsi="Times New Roman" w:cs="Times New Roman"/>
          <w:sz w:val="24"/>
          <w:szCs w:val="24"/>
        </w:rPr>
        <w:lastRenderedPageBreak/>
        <w:t xml:space="preserve">V práci byly použity téměř výhradně sekundární zdroje, což také může ovlivnit kvalitu textu. Autor nezískal přístup k žádnému významnějšímu primárnímu zdroji, který by usnadnil analytickou část práce. </w:t>
      </w:r>
      <w:r w:rsidR="00CA7A9F" w:rsidRPr="00026D3E">
        <w:rPr>
          <w:rFonts w:ascii="Times New Roman" w:hAnsi="Times New Roman" w:cs="Times New Roman"/>
          <w:sz w:val="24"/>
          <w:szCs w:val="24"/>
        </w:rPr>
        <w:t>Převážná</w:t>
      </w:r>
      <w:r w:rsidRPr="00026D3E">
        <w:rPr>
          <w:rFonts w:ascii="Times New Roman" w:hAnsi="Times New Roman" w:cs="Times New Roman"/>
          <w:sz w:val="24"/>
          <w:szCs w:val="24"/>
        </w:rPr>
        <w:t xml:space="preserve"> většina zdrojů, se kterými autor pracoval</w:t>
      </w:r>
      <w:r w:rsidR="00856745" w:rsidRPr="00B7136D">
        <w:rPr>
          <w:rFonts w:ascii="Times New Roman" w:hAnsi="Times New Roman" w:cs="Times New Roman"/>
          <w:color w:val="000000" w:themeColor="text1"/>
          <w:sz w:val="24"/>
          <w:szCs w:val="24"/>
        </w:rPr>
        <w:t>,</w:t>
      </w:r>
      <w:r w:rsidR="007C2F86">
        <w:rPr>
          <w:rFonts w:ascii="Times New Roman" w:hAnsi="Times New Roman" w:cs="Times New Roman"/>
          <w:sz w:val="24"/>
          <w:szCs w:val="24"/>
        </w:rPr>
        <w:t xml:space="preserve"> je psána</w:t>
      </w:r>
      <w:r w:rsidRPr="00026D3E">
        <w:rPr>
          <w:rFonts w:ascii="Times New Roman" w:hAnsi="Times New Roman" w:cs="Times New Roman"/>
          <w:sz w:val="24"/>
          <w:szCs w:val="24"/>
        </w:rPr>
        <w:t xml:space="preserve"> v anglickém jazyce. Důvod je jednoduchý, česká publikač</w:t>
      </w:r>
      <w:r w:rsidR="00856745" w:rsidRPr="00026D3E">
        <w:rPr>
          <w:rFonts w:ascii="Times New Roman" w:hAnsi="Times New Roman" w:cs="Times New Roman"/>
          <w:sz w:val="24"/>
          <w:szCs w:val="24"/>
        </w:rPr>
        <w:t xml:space="preserve">ní činnost toto téma přehlíží. </w:t>
      </w:r>
      <w:r w:rsidRPr="00026D3E">
        <w:rPr>
          <w:rFonts w:ascii="Times New Roman" w:hAnsi="Times New Roman" w:cs="Times New Roman"/>
          <w:sz w:val="24"/>
          <w:szCs w:val="24"/>
        </w:rPr>
        <w:t xml:space="preserve">Autor použil v celé práci pouze dva zdroje, které jsou publikovány v českém jazyce jakožto jazyce původním. </w:t>
      </w:r>
    </w:p>
    <w:p w:rsidR="00E90BBC" w:rsidRDefault="00A164E7" w:rsidP="00E90BBC">
      <w:pPr>
        <w:spacing w:line="360" w:lineRule="auto"/>
        <w:ind w:firstLine="708"/>
        <w:jc w:val="both"/>
        <w:rPr>
          <w:rFonts w:ascii="Times New Roman" w:hAnsi="Times New Roman" w:cs="Times New Roman"/>
          <w:sz w:val="24"/>
          <w:szCs w:val="24"/>
        </w:rPr>
      </w:pPr>
      <w:r w:rsidRPr="00026D3E">
        <w:rPr>
          <w:rFonts w:ascii="Times New Roman" w:hAnsi="Times New Roman" w:cs="Times New Roman"/>
          <w:sz w:val="24"/>
          <w:szCs w:val="24"/>
        </w:rPr>
        <w:t>V rámci první kapitoly, tj. diskuze teoretického rámce práce použil autor téměř výlučn</w:t>
      </w:r>
      <w:r w:rsidR="00856745" w:rsidRPr="00026D3E">
        <w:rPr>
          <w:rFonts w:ascii="Times New Roman" w:hAnsi="Times New Roman" w:cs="Times New Roman"/>
          <w:sz w:val="24"/>
          <w:szCs w:val="24"/>
        </w:rPr>
        <w:t xml:space="preserve">ě články z amerických žurnálů, </w:t>
      </w:r>
      <w:r w:rsidRPr="00026D3E">
        <w:rPr>
          <w:rFonts w:ascii="Times New Roman" w:hAnsi="Times New Roman" w:cs="Times New Roman"/>
          <w:sz w:val="24"/>
          <w:szCs w:val="24"/>
        </w:rPr>
        <w:t xml:space="preserve">nejvíce z The American Political Science Review. Cílem bylo přednést názory těch autorů, kteří se pravidelně účastní </w:t>
      </w:r>
      <w:r w:rsidR="0023580B">
        <w:rPr>
          <w:rFonts w:ascii="Times New Roman" w:hAnsi="Times New Roman" w:cs="Times New Roman"/>
          <w:sz w:val="24"/>
          <w:szCs w:val="24"/>
        </w:rPr>
        <w:t>hlavního proudu</w:t>
      </w:r>
      <w:r w:rsidRPr="00026D3E">
        <w:rPr>
          <w:rFonts w:ascii="Times New Roman" w:hAnsi="Times New Roman" w:cs="Times New Roman"/>
          <w:sz w:val="24"/>
          <w:szCs w:val="24"/>
        </w:rPr>
        <w:t xml:space="preserve"> diskuze v oblasti teorií mezinárodních vztahů či </w:t>
      </w:r>
      <w:r w:rsidR="0023580B">
        <w:rPr>
          <w:rFonts w:ascii="Times New Roman" w:hAnsi="Times New Roman" w:cs="Times New Roman"/>
          <w:sz w:val="24"/>
          <w:szCs w:val="24"/>
        </w:rPr>
        <w:t>do této diskuze výrazně zasáhli</w:t>
      </w:r>
      <w:r w:rsidR="005A2F94">
        <w:rPr>
          <w:rFonts w:ascii="Times New Roman" w:hAnsi="Times New Roman" w:cs="Times New Roman"/>
          <w:sz w:val="24"/>
          <w:szCs w:val="24"/>
        </w:rPr>
        <w:t xml:space="preserve">. </w:t>
      </w:r>
      <w:r w:rsidRPr="00026D3E">
        <w:rPr>
          <w:rFonts w:ascii="Times New Roman" w:hAnsi="Times New Roman" w:cs="Times New Roman"/>
          <w:sz w:val="24"/>
          <w:szCs w:val="24"/>
        </w:rPr>
        <w:t>V</w:t>
      </w:r>
      <w:r w:rsidR="00784895" w:rsidRPr="00026D3E">
        <w:rPr>
          <w:rFonts w:ascii="Times New Roman" w:hAnsi="Times New Roman" w:cs="Times New Roman"/>
          <w:sz w:val="24"/>
          <w:szCs w:val="24"/>
        </w:rPr>
        <w:t>e</w:t>
      </w:r>
      <w:r w:rsidR="005A2F94">
        <w:rPr>
          <w:rFonts w:ascii="Times New Roman" w:hAnsi="Times New Roman" w:cs="Times New Roman"/>
          <w:sz w:val="24"/>
          <w:szCs w:val="24"/>
        </w:rPr>
        <w:t xml:space="preserve"> </w:t>
      </w:r>
      <w:r w:rsidR="00CB7C55">
        <w:rPr>
          <w:rFonts w:ascii="Times New Roman" w:hAnsi="Times New Roman" w:cs="Times New Roman"/>
          <w:sz w:val="24"/>
          <w:szCs w:val="24"/>
        </w:rPr>
        <w:t> druhé kapitole</w:t>
      </w:r>
      <w:r w:rsidRPr="00026D3E">
        <w:rPr>
          <w:rFonts w:ascii="Times New Roman" w:hAnsi="Times New Roman" w:cs="Times New Roman"/>
          <w:sz w:val="24"/>
          <w:szCs w:val="24"/>
        </w:rPr>
        <w:t xml:space="preserve"> autor rozebírá postavení Sýr</w:t>
      </w:r>
      <w:r w:rsidR="00CB7C55">
        <w:rPr>
          <w:rFonts w:ascii="Times New Roman" w:hAnsi="Times New Roman" w:cs="Times New Roman"/>
          <w:sz w:val="24"/>
          <w:szCs w:val="24"/>
        </w:rPr>
        <w:t>ie a Íránu na mezinárodní scéně</w:t>
      </w:r>
      <w:r w:rsidRPr="00026D3E">
        <w:rPr>
          <w:rFonts w:ascii="Times New Roman" w:hAnsi="Times New Roman" w:cs="Times New Roman"/>
          <w:sz w:val="24"/>
          <w:szCs w:val="24"/>
        </w:rPr>
        <w:t>. Mezinárodní vztahy těchto zemí velice kvalitně zpracovalo hned několik publikací, z nichž tři by autor rád vyzdvihnul. V první řadě je třeba zmínit patrně nejpod</w:t>
      </w:r>
      <w:r w:rsidR="00142738">
        <w:rPr>
          <w:rFonts w:ascii="Times New Roman" w:hAnsi="Times New Roman" w:cs="Times New Roman"/>
          <w:sz w:val="24"/>
          <w:szCs w:val="24"/>
        </w:rPr>
        <w:t>robnější popis vzniku Syrsko – í</w:t>
      </w:r>
      <w:r w:rsidRPr="00026D3E">
        <w:rPr>
          <w:rFonts w:ascii="Times New Roman" w:hAnsi="Times New Roman" w:cs="Times New Roman"/>
          <w:sz w:val="24"/>
          <w:szCs w:val="24"/>
        </w:rPr>
        <w:t>ránské aliance, jehož autorem je Jubin Goodarzi. Jeho publikac</w:t>
      </w:r>
      <w:r w:rsidR="00946D9E">
        <w:rPr>
          <w:rFonts w:ascii="Times New Roman" w:hAnsi="Times New Roman" w:cs="Times New Roman"/>
          <w:sz w:val="24"/>
          <w:szCs w:val="24"/>
        </w:rPr>
        <w:t xml:space="preserve">e posloužila autorovi především prokapování vznikající </w:t>
      </w:r>
      <w:r w:rsidRPr="00026D3E">
        <w:rPr>
          <w:rFonts w:ascii="Times New Roman" w:hAnsi="Times New Roman" w:cs="Times New Roman"/>
          <w:sz w:val="24"/>
          <w:szCs w:val="24"/>
        </w:rPr>
        <w:t>aliance po nástupu Chomejního k moci.</w:t>
      </w:r>
      <w:r w:rsidR="00285A36" w:rsidRPr="00026D3E">
        <w:rPr>
          <w:rFonts w:ascii="Times New Roman" w:hAnsi="Times New Roman" w:cs="Times New Roman"/>
          <w:sz w:val="24"/>
          <w:szCs w:val="24"/>
        </w:rPr>
        <w:t xml:space="preserve"> Nakolik se publika</w:t>
      </w:r>
      <w:r w:rsidRPr="00026D3E">
        <w:rPr>
          <w:rFonts w:ascii="Times New Roman" w:hAnsi="Times New Roman" w:cs="Times New Roman"/>
          <w:sz w:val="24"/>
          <w:szCs w:val="24"/>
        </w:rPr>
        <w:t>ce věnuje událostem předcházejícím sbližování obou zemí je</w:t>
      </w:r>
      <w:r w:rsidR="00946D9E">
        <w:rPr>
          <w:rFonts w:ascii="Times New Roman" w:hAnsi="Times New Roman" w:cs="Times New Roman"/>
          <w:sz w:val="24"/>
          <w:szCs w:val="24"/>
        </w:rPr>
        <w:t>n velmi stručně, o to více dává prostor fázi</w:t>
      </w:r>
      <w:r w:rsidR="000A0B41">
        <w:rPr>
          <w:rFonts w:ascii="Times New Roman" w:hAnsi="Times New Roman" w:cs="Times New Roman"/>
          <w:sz w:val="24"/>
          <w:szCs w:val="24"/>
        </w:rPr>
        <w:t xml:space="preserve"> </w:t>
      </w:r>
      <w:r w:rsidR="00946D9E">
        <w:rPr>
          <w:rFonts w:ascii="Times New Roman" w:hAnsi="Times New Roman" w:cs="Times New Roman"/>
          <w:sz w:val="24"/>
          <w:szCs w:val="24"/>
        </w:rPr>
        <w:t xml:space="preserve">konsolidace </w:t>
      </w:r>
      <w:r w:rsidRPr="00026D3E">
        <w:rPr>
          <w:rFonts w:ascii="Times New Roman" w:hAnsi="Times New Roman" w:cs="Times New Roman"/>
          <w:sz w:val="24"/>
          <w:szCs w:val="24"/>
        </w:rPr>
        <w:t>aliance. Pro přehledný vývoj zahraniční politiky Sýrie i Íránu využil autor společné dílo Ehteshamiho a Hinnebusche. Tito autoři</w:t>
      </w:r>
      <w:r w:rsidR="00946D9E">
        <w:rPr>
          <w:rFonts w:ascii="Times New Roman" w:hAnsi="Times New Roman" w:cs="Times New Roman"/>
          <w:sz w:val="24"/>
          <w:szCs w:val="24"/>
        </w:rPr>
        <w:t xml:space="preserve"> prosazují systémový přístup ke</w:t>
      </w:r>
      <w:r w:rsidRPr="00026D3E">
        <w:rPr>
          <w:rFonts w:ascii="Times New Roman" w:hAnsi="Times New Roman" w:cs="Times New Roman"/>
          <w:sz w:val="24"/>
          <w:szCs w:val="24"/>
        </w:rPr>
        <w:t xml:space="preserve"> zkoumání aliance</w:t>
      </w:r>
      <w:r w:rsidR="00407A06" w:rsidRPr="00026D3E">
        <w:rPr>
          <w:rFonts w:ascii="Times New Roman" w:hAnsi="Times New Roman" w:cs="Times New Roman"/>
          <w:sz w:val="24"/>
          <w:szCs w:val="24"/>
        </w:rPr>
        <w:t xml:space="preserve">, </w:t>
      </w:r>
      <w:r w:rsidR="000A0B41">
        <w:rPr>
          <w:rFonts w:ascii="Times New Roman" w:hAnsi="Times New Roman" w:cs="Times New Roman"/>
          <w:sz w:val="24"/>
          <w:szCs w:val="24"/>
        </w:rPr>
        <w:t>ve vztahu</w:t>
      </w:r>
      <w:r w:rsidR="00407A06" w:rsidRPr="00026D3E">
        <w:rPr>
          <w:rFonts w:ascii="Times New Roman" w:hAnsi="Times New Roman" w:cs="Times New Roman"/>
          <w:sz w:val="24"/>
          <w:szCs w:val="24"/>
        </w:rPr>
        <w:t xml:space="preserve"> Sýrie s Íránem</w:t>
      </w:r>
      <w:r w:rsidR="00A10A8B" w:rsidRPr="00026D3E">
        <w:rPr>
          <w:rFonts w:ascii="Times New Roman" w:hAnsi="Times New Roman" w:cs="Times New Roman"/>
          <w:sz w:val="24"/>
          <w:szCs w:val="24"/>
        </w:rPr>
        <w:t xml:space="preserve"> tak </w:t>
      </w:r>
      <w:r w:rsidR="000A0B41">
        <w:rPr>
          <w:rFonts w:ascii="Times New Roman" w:hAnsi="Times New Roman" w:cs="Times New Roman"/>
          <w:sz w:val="24"/>
          <w:szCs w:val="24"/>
        </w:rPr>
        <w:t xml:space="preserve">pozorují především </w:t>
      </w:r>
      <w:r w:rsidR="00A10A8B" w:rsidRPr="00026D3E">
        <w:rPr>
          <w:rFonts w:ascii="Times New Roman" w:hAnsi="Times New Roman" w:cs="Times New Roman"/>
          <w:sz w:val="24"/>
          <w:szCs w:val="24"/>
        </w:rPr>
        <w:t>vnější vlivy</w:t>
      </w:r>
      <w:r w:rsidR="000A0B41">
        <w:rPr>
          <w:rFonts w:ascii="Times New Roman" w:hAnsi="Times New Roman" w:cs="Times New Roman"/>
          <w:sz w:val="24"/>
          <w:szCs w:val="24"/>
        </w:rPr>
        <w:t xml:space="preserve">. </w:t>
      </w:r>
      <w:r w:rsidR="006514A6">
        <w:rPr>
          <w:rFonts w:ascii="Times New Roman" w:hAnsi="Times New Roman" w:cs="Times New Roman"/>
          <w:sz w:val="24"/>
          <w:szCs w:val="24"/>
        </w:rPr>
        <w:t xml:space="preserve">Zásadní informační přínos měla pro téma aliance Sýrie a Íránu </w:t>
      </w:r>
      <w:r w:rsidR="00E90BBC">
        <w:rPr>
          <w:rFonts w:ascii="Times New Roman" w:hAnsi="Times New Roman" w:cs="Times New Roman"/>
          <w:sz w:val="24"/>
          <w:szCs w:val="24"/>
        </w:rPr>
        <w:t>biografie Háfize al-Asada</w:t>
      </w:r>
      <w:r w:rsidRPr="00026D3E">
        <w:rPr>
          <w:rFonts w:ascii="Times New Roman" w:hAnsi="Times New Roman" w:cs="Times New Roman"/>
          <w:sz w:val="24"/>
          <w:szCs w:val="24"/>
        </w:rPr>
        <w:t xml:space="preserve"> v podání Patricka Seale. Předností Sealovy publikace je jeho aktivní přístup k tématu. Pro získání celistvého obrazu prostředí, v němž se al-Asad pohyboval, podnikl řadu rozhovorů s lidmi kolem syrského prezidenta včetně prezidenta samotného. Rovněž pracuje s četnými primárními zdroji. </w:t>
      </w:r>
    </w:p>
    <w:p w:rsidR="00A164E7" w:rsidRPr="00026D3E" w:rsidRDefault="00A164E7" w:rsidP="00E90BBC">
      <w:pPr>
        <w:spacing w:line="360" w:lineRule="auto"/>
        <w:ind w:firstLine="708"/>
        <w:jc w:val="both"/>
        <w:rPr>
          <w:rFonts w:ascii="Times New Roman" w:hAnsi="Times New Roman" w:cs="Times New Roman"/>
          <w:sz w:val="24"/>
          <w:szCs w:val="24"/>
        </w:rPr>
      </w:pPr>
      <w:r w:rsidRPr="00026D3E">
        <w:rPr>
          <w:rFonts w:ascii="Times New Roman" w:hAnsi="Times New Roman" w:cs="Times New Roman"/>
          <w:sz w:val="24"/>
          <w:szCs w:val="24"/>
        </w:rPr>
        <w:t xml:space="preserve">V případě první nezávisle proměnné, celkové moci Iráku, kterou autor poměřuje s celkovou mocí Sýrie a Íránu, </w:t>
      </w:r>
      <w:r w:rsidR="00AA287D">
        <w:rPr>
          <w:rFonts w:ascii="Times New Roman" w:hAnsi="Times New Roman" w:cs="Times New Roman"/>
          <w:sz w:val="24"/>
          <w:szCs w:val="24"/>
        </w:rPr>
        <w:t>získal</w:t>
      </w:r>
      <w:r w:rsidR="00DF3BF5">
        <w:rPr>
          <w:rFonts w:ascii="Times New Roman" w:hAnsi="Times New Roman" w:cs="Times New Roman"/>
          <w:sz w:val="24"/>
          <w:szCs w:val="24"/>
        </w:rPr>
        <w:t xml:space="preserve"> autor hodnoty</w:t>
      </w:r>
      <w:r w:rsidRPr="00026D3E">
        <w:rPr>
          <w:rFonts w:ascii="Times New Roman" w:hAnsi="Times New Roman" w:cs="Times New Roman"/>
          <w:sz w:val="24"/>
          <w:szCs w:val="24"/>
        </w:rPr>
        <w:t xml:space="preserve"> pot</w:t>
      </w:r>
      <w:r w:rsidR="00DF3BF5">
        <w:rPr>
          <w:rFonts w:ascii="Times New Roman" w:hAnsi="Times New Roman" w:cs="Times New Roman"/>
          <w:sz w:val="24"/>
          <w:szCs w:val="24"/>
        </w:rPr>
        <w:t>řebných indikátorů</w:t>
      </w:r>
      <w:r w:rsidR="00AA287D">
        <w:rPr>
          <w:rFonts w:ascii="Times New Roman" w:hAnsi="Times New Roman" w:cs="Times New Roman"/>
          <w:sz w:val="24"/>
          <w:szCs w:val="24"/>
        </w:rPr>
        <w:t xml:space="preserve"> z ročenky</w:t>
      </w:r>
      <w:r w:rsidRPr="00026D3E">
        <w:rPr>
          <w:rFonts w:ascii="Times New Roman" w:hAnsi="Times New Roman" w:cs="Times New Roman"/>
          <w:sz w:val="24"/>
          <w:szCs w:val="24"/>
        </w:rPr>
        <w:t xml:space="preserve"> World Military E</w:t>
      </w:r>
      <w:r w:rsidR="00DF3BF5">
        <w:rPr>
          <w:rFonts w:ascii="Times New Roman" w:hAnsi="Times New Roman" w:cs="Times New Roman"/>
          <w:sz w:val="24"/>
          <w:szCs w:val="24"/>
        </w:rPr>
        <w:t xml:space="preserve">xpenditures and Arms Transfers. </w:t>
      </w:r>
      <w:r w:rsidR="00285A36" w:rsidRPr="00026D3E">
        <w:rPr>
          <w:rFonts w:ascii="Times New Roman" w:hAnsi="Times New Roman" w:cs="Times New Roman"/>
          <w:sz w:val="24"/>
          <w:szCs w:val="24"/>
        </w:rPr>
        <w:t>Náročná</w:t>
      </w:r>
      <w:r w:rsidRPr="00026D3E">
        <w:rPr>
          <w:rFonts w:ascii="Times New Roman" w:hAnsi="Times New Roman" w:cs="Times New Roman"/>
          <w:sz w:val="24"/>
          <w:szCs w:val="24"/>
        </w:rPr>
        <w:t xml:space="preserve"> byla pro autora práce se zdroji při zkoumání druhé nezávisle proměnné, zeměpisné blízkosti. Velice užitečnou se ukázala být politická biografie Saddáma Husajna od Efraima Karshe. Kniha pečlivě mapuje politickou kariéru Husajna, stejně jako se snaží zpřístupnit pravou podstatu veškerých jeho manévrů. Zároveň Karsh rozsáhle pracuje s primárními zdroji. Autor ostatně použil v celé práci celkem tři jeho publikace, přestože pouze dvě z nich používal systemati</w:t>
      </w:r>
      <w:r w:rsidR="006B0C72">
        <w:rPr>
          <w:rFonts w:ascii="Times New Roman" w:hAnsi="Times New Roman" w:cs="Times New Roman"/>
          <w:sz w:val="24"/>
          <w:szCs w:val="24"/>
        </w:rPr>
        <w:t>cky. V</w:t>
      </w:r>
      <w:r w:rsidRPr="00026D3E">
        <w:rPr>
          <w:rFonts w:ascii="Times New Roman" w:hAnsi="Times New Roman" w:cs="Times New Roman"/>
          <w:sz w:val="24"/>
          <w:szCs w:val="24"/>
        </w:rPr>
        <w:t>zájemným sporům Sýrie a Iráku z pohledu politické geografie nepřikládá větší důležitost žá</w:t>
      </w:r>
      <w:r w:rsidR="006B0C72">
        <w:rPr>
          <w:rFonts w:ascii="Times New Roman" w:hAnsi="Times New Roman" w:cs="Times New Roman"/>
          <w:sz w:val="24"/>
          <w:szCs w:val="24"/>
        </w:rPr>
        <w:t xml:space="preserve">dná z výše uvedených </w:t>
      </w:r>
      <w:r w:rsidR="006B0C72">
        <w:rPr>
          <w:rFonts w:ascii="Times New Roman" w:hAnsi="Times New Roman" w:cs="Times New Roman"/>
          <w:sz w:val="24"/>
          <w:szCs w:val="24"/>
        </w:rPr>
        <w:lastRenderedPageBreak/>
        <w:t>publikací</w:t>
      </w:r>
      <w:r w:rsidR="008D16AC">
        <w:rPr>
          <w:rFonts w:ascii="Times New Roman" w:hAnsi="Times New Roman" w:cs="Times New Roman"/>
          <w:sz w:val="24"/>
          <w:szCs w:val="24"/>
        </w:rPr>
        <w:t xml:space="preserve">.  </w:t>
      </w:r>
      <w:r w:rsidR="006351FA">
        <w:rPr>
          <w:rFonts w:ascii="Times New Roman" w:hAnsi="Times New Roman" w:cs="Times New Roman"/>
          <w:sz w:val="24"/>
          <w:szCs w:val="24"/>
        </w:rPr>
        <w:t>V tomto směru pracoval autor s několika články</w:t>
      </w:r>
      <w:r w:rsidR="008D16AC">
        <w:rPr>
          <w:rFonts w:ascii="Times New Roman" w:hAnsi="Times New Roman" w:cs="Times New Roman"/>
          <w:sz w:val="24"/>
          <w:szCs w:val="24"/>
        </w:rPr>
        <w:t xml:space="preserve">, jež se věnují problematice blízkovýchodních vodních zdrojů. </w:t>
      </w:r>
      <w:r w:rsidR="0082281B">
        <w:rPr>
          <w:rFonts w:ascii="Times New Roman" w:hAnsi="Times New Roman" w:cs="Times New Roman"/>
          <w:sz w:val="24"/>
          <w:szCs w:val="24"/>
        </w:rPr>
        <w:t>T</w:t>
      </w:r>
      <w:r w:rsidRPr="00026D3E">
        <w:rPr>
          <w:rFonts w:ascii="Times New Roman" w:hAnsi="Times New Roman" w:cs="Times New Roman"/>
          <w:sz w:val="24"/>
          <w:szCs w:val="24"/>
        </w:rPr>
        <w:t>itul Petera Slugletta a Marion Farouk-Sluglettové</w:t>
      </w:r>
      <w:r w:rsidR="0082281B">
        <w:rPr>
          <w:rFonts w:ascii="Times New Roman" w:hAnsi="Times New Roman" w:cs="Times New Roman"/>
          <w:sz w:val="24"/>
          <w:szCs w:val="24"/>
        </w:rPr>
        <w:t xml:space="preserve"> </w:t>
      </w:r>
      <w:r w:rsidR="006351FA">
        <w:rPr>
          <w:rFonts w:ascii="Times New Roman" w:hAnsi="Times New Roman" w:cs="Times New Roman"/>
          <w:sz w:val="24"/>
          <w:szCs w:val="24"/>
        </w:rPr>
        <w:t xml:space="preserve">zpřehledňuje zejména iráckou domácí politiku od roku 1958, jeho autoři však rovněž </w:t>
      </w:r>
      <w:r w:rsidR="002F08AC">
        <w:rPr>
          <w:rFonts w:ascii="Times New Roman" w:hAnsi="Times New Roman" w:cs="Times New Roman"/>
          <w:sz w:val="24"/>
          <w:szCs w:val="24"/>
        </w:rPr>
        <w:t xml:space="preserve">kladou důraz na rovinu vztahů Iráku se svými sousedy v době rostoucí moci Saddáma Husajna. </w:t>
      </w:r>
      <w:r w:rsidR="005D3B53">
        <w:rPr>
          <w:rFonts w:ascii="Times New Roman" w:hAnsi="Times New Roman" w:cs="Times New Roman"/>
          <w:sz w:val="24"/>
          <w:szCs w:val="24"/>
        </w:rPr>
        <w:t xml:space="preserve">Relevanci přírodních zdrojů v rozhodovacích procesech iráckých politických i vojenských elit hledal autor v přepisu tajných nahrávek interních diskuzí </w:t>
      </w:r>
      <w:r w:rsidRPr="00026D3E">
        <w:rPr>
          <w:rFonts w:ascii="Times New Roman" w:hAnsi="Times New Roman" w:cs="Times New Roman"/>
          <w:sz w:val="24"/>
          <w:szCs w:val="24"/>
        </w:rPr>
        <w:t xml:space="preserve">Husajna se svými spolupracovníky. </w:t>
      </w:r>
    </w:p>
    <w:p w:rsidR="00A164E7" w:rsidRPr="00026D3E" w:rsidRDefault="00A164E7" w:rsidP="00C65A2A">
      <w:pPr>
        <w:spacing w:line="360" w:lineRule="auto"/>
        <w:ind w:firstLine="708"/>
        <w:jc w:val="both"/>
        <w:rPr>
          <w:rFonts w:ascii="Times New Roman" w:hAnsi="Times New Roman" w:cs="Times New Roman"/>
          <w:sz w:val="24"/>
          <w:szCs w:val="24"/>
        </w:rPr>
      </w:pPr>
      <w:r w:rsidRPr="00026D3E">
        <w:rPr>
          <w:rFonts w:ascii="Times New Roman" w:hAnsi="Times New Roman" w:cs="Times New Roman"/>
          <w:sz w:val="24"/>
          <w:szCs w:val="24"/>
        </w:rPr>
        <w:t>U třetí nezávisle proměn</w:t>
      </w:r>
      <w:r w:rsidR="00732FED">
        <w:rPr>
          <w:rFonts w:ascii="Times New Roman" w:hAnsi="Times New Roman" w:cs="Times New Roman"/>
          <w:sz w:val="24"/>
          <w:szCs w:val="24"/>
        </w:rPr>
        <w:t xml:space="preserve">né pracoval autor s daty, která </w:t>
      </w:r>
      <w:r w:rsidR="00C65A2A">
        <w:rPr>
          <w:rFonts w:ascii="Times New Roman" w:hAnsi="Times New Roman" w:cs="Times New Roman"/>
          <w:sz w:val="24"/>
          <w:szCs w:val="24"/>
        </w:rPr>
        <w:t xml:space="preserve">interaktivně zpracovala online databáze Světové Banky (World DataBank). </w:t>
      </w:r>
      <w:r w:rsidRPr="00026D3E">
        <w:rPr>
          <w:rFonts w:ascii="Times New Roman" w:hAnsi="Times New Roman" w:cs="Times New Roman"/>
          <w:sz w:val="24"/>
          <w:szCs w:val="24"/>
        </w:rPr>
        <w:t xml:space="preserve">Pro analýzu vojenských sil pak použil </w:t>
      </w:r>
      <w:r w:rsidR="005419F1">
        <w:rPr>
          <w:rFonts w:ascii="Times New Roman" w:hAnsi="Times New Roman" w:cs="Times New Roman"/>
          <w:sz w:val="24"/>
          <w:szCs w:val="24"/>
        </w:rPr>
        <w:t>publikaci Efraima Karshe</w:t>
      </w:r>
      <w:r w:rsidRPr="00026D3E">
        <w:rPr>
          <w:rFonts w:ascii="Times New Roman" w:hAnsi="Times New Roman" w:cs="Times New Roman"/>
          <w:sz w:val="24"/>
          <w:szCs w:val="24"/>
        </w:rPr>
        <w:t xml:space="preserve">  The Iran – Iraq War: A Military Analysis. </w:t>
      </w:r>
    </w:p>
    <w:p w:rsidR="00A164E7" w:rsidRPr="00026D3E" w:rsidRDefault="00A164E7" w:rsidP="00D1308C">
      <w:pPr>
        <w:spacing w:line="360" w:lineRule="auto"/>
        <w:ind w:firstLine="708"/>
        <w:jc w:val="both"/>
        <w:rPr>
          <w:rFonts w:ascii="Times New Roman" w:hAnsi="Times New Roman" w:cs="Times New Roman"/>
          <w:sz w:val="24"/>
          <w:szCs w:val="24"/>
        </w:rPr>
      </w:pPr>
      <w:r w:rsidRPr="00026D3E">
        <w:rPr>
          <w:rFonts w:ascii="Times New Roman" w:hAnsi="Times New Roman" w:cs="Times New Roman"/>
          <w:sz w:val="24"/>
          <w:szCs w:val="24"/>
        </w:rPr>
        <w:t xml:space="preserve">Zhodnotit kriticky použité zdroje u poslední proměnné agresivních úmyslů je pro autora obzvláště problematické. </w:t>
      </w:r>
      <w:r w:rsidR="005419F1">
        <w:rPr>
          <w:rFonts w:ascii="Times New Roman" w:hAnsi="Times New Roman" w:cs="Times New Roman"/>
          <w:sz w:val="24"/>
          <w:szCs w:val="24"/>
        </w:rPr>
        <w:t>Pracoval</w:t>
      </w:r>
      <w:r w:rsidRPr="00026D3E">
        <w:rPr>
          <w:rFonts w:ascii="Times New Roman" w:hAnsi="Times New Roman" w:cs="Times New Roman"/>
          <w:sz w:val="24"/>
          <w:szCs w:val="24"/>
        </w:rPr>
        <w:t xml:space="preserve"> s Karshovou politickou biografií Saddáma Husajna, kapitolu doplňoval publi</w:t>
      </w:r>
      <w:r w:rsidR="002F08AC">
        <w:rPr>
          <w:rFonts w:ascii="Times New Roman" w:hAnsi="Times New Roman" w:cs="Times New Roman"/>
          <w:sz w:val="24"/>
          <w:szCs w:val="24"/>
        </w:rPr>
        <w:t>kací dvojice Sluglett – Sluglett</w:t>
      </w:r>
      <w:r w:rsidRPr="00026D3E">
        <w:rPr>
          <w:rFonts w:ascii="Times New Roman" w:hAnsi="Times New Roman" w:cs="Times New Roman"/>
          <w:sz w:val="24"/>
          <w:szCs w:val="24"/>
        </w:rPr>
        <w:t xml:space="preserve">ová a publikací Patricka Seale. </w:t>
      </w:r>
      <w:r w:rsidR="00285A36" w:rsidRPr="00026D3E">
        <w:rPr>
          <w:rFonts w:ascii="Times New Roman" w:hAnsi="Times New Roman" w:cs="Times New Roman"/>
          <w:sz w:val="24"/>
          <w:szCs w:val="24"/>
        </w:rPr>
        <w:br/>
      </w:r>
      <w:r w:rsidR="000D1AF2" w:rsidRPr="00026D3E">
        <w:rPr>
          <w:rFonts w:ascii="Times New Roman" w:hAnsi="Times New Roman" w:cs="Times New Roman"/>
          <w:sz w:val="24"/>
          <w:szCs w:val="24"/>
        </w:rPr>
        <w:t>Pro z</w:t>
      </w:r>
      <w:r w:rsidRPr="00026D3E">
        <w:rPr>
          <w:rFonts w:ascii="Times New Roman" w:hAnsi="Times New Roman" w:cs="Times New Roman"/>
          <w:sz w:val="24"/>
          <w:szCs w:val="24"/>
        </w:rPr>
        <w:t xml:space="preserve">hlédnutí interních diskuzí Husajna a jeho úzkého okruhu spojenců použil publikaci Woodse, Palkkiho a Stouta. </w:t>
      </w:r>
    </w:p>
    <w:p w:rsidR="00A164E7" w:rsidRDefault="00A164E7" w:rsidP="00A164E7">
      <w:pPr>
        <w:spacing w:line="360" w:lineRule="auto"/>
        <w:rPr>
          <w:rFonts w:ascii="Times New Roman" w:hAnsi="Times New Roman" w:cs="Times New Roman"/>
          <w:sz w:val="24"/>
          <w:szCs w:val="24"/>
        </w:rPr>
      </w:pPr>
    </w:p>
    <w:p w:rsidR="00794ED1" w:rsidRDefault="00794ED1" w:rsidP="00A164E7">
      <w:pPr>
        <w:spacing w:line="360" w:lineRule="auto"/>
        <w:rPr>
          <w:rFonts w:ascii="Times New Roman" w:hAnsi="Times New Roman" w:cs="Times New Roman"/>
          <w:sz w:val="24"/>
          <w:szCs w:val="24"/>
        </w:rPr>
      </w:pPr>
    </w:p>
    <w:p w:rsidR="00794ED1" w:rsidRDefault="00794ED1" w:rsidP="00A164E7">
      <w:pPr>
        <w:spacing w:line="360" w:lineRule="auto"/>
        <w:rPr>
          <w:rFonts w:ascii="Times New Roman" w:hAnsi="Times New Roman" w:cs="Times New Roman"/>
          <w:sz w:val="24"/>
          <w:szCs w:val="24"/>
        </w:rPr>
      </w:pPr>
    </w:p>
    <w:p w:rsidR="00794ED1" w:rsidRPr="00026D3E" w:rsidRDefault="00794ED1" w:rsidP="00A164E7">
      <w:pPr>
        <w:spacing w:line="360" w:lineRule="auto"/>
        <w:rPr>
          <w:rFonts w:ascii="Times New Roman" w:hAnsi="Times New Roman" w:cs="Times New Roman"/>
          <w:sz w:val="24"/>
          <w:szCs w:val="24"/>
        </w:rPr>
      </w:pPr>
    </w:p>
    <w:p w:rsidR="00A164E7" w:rsidRPr="00026D3E" w:rsidRDefault="00A164E7" w:rsidP="002C45ED">
      <w:pPr>
        <w:spacing w:line="360" w:lineRule="auto"/>
        <w:jc w:val="both"/>
        <w:rPr>
          <w:rFonts w:ascii="Times New Roman" w:hAnsi="Times New Roman" w:cs="Times New Roman"/>
          <w:b/>
          <w:sz w:val="24"/>
          <w:szCs w:val="24"/>
        </w:rPr>
      </w:pPr>
    </w:p>
    <w:p w:rsidR="00A164E7" w:rsidRPr="00026D3E" w:rsidRDefault="00A164E7" w:rsidP="002C45ED">
      <w:pPr>
        <w:spacing w:line="360" w:lineRule="auto"/>
        <w:jc w:val="both"/>
        <w:rPr>
          <w:rFonts w:ascii="Times New Roman" w:hAnsi="Times New Roman" w:cs="Times New Roman"/>
          <w:b/>
          <w:sz w:val="24"/>
          <w:szCs w:val="24"/>
        </w:rPr>
      </w:pPr>
    </w:p>
    <w:p w:rsidR="00A164E7" w:rsidRPr="00026D3E" w:rsidRDefault="00A164E7" w:rsidP="002C45ED">
      <w:pPr>
        <w:spacing w:line="360" w:lineRule="auto"/>
        <w:jc w:val="both"/>
        <w:rPr>
          <w:rFonts w:ascii="Times New Roman" w:hAnsi="Times New Roman" w:cs="Times New Roman"/>
          <w:b/>
          <w:sz w:val="24"/>
          <w:szCs w:val="24"/>
        </w:rPr>
      </w:pPr>
    </w:p>
    <w:p w:rsidR="00E54754" w:rsidRPr="00026D3E" w:rsidRDefault="00E54754" w:rsidP="002C45ED">
      <w:pPr>
        <w:spacing w:line="360" w:lineRule="auto"/>
        <w:jc w:val="both"/>
        <w:rPr>
          <w:rFonts w:ascii="Times New Roman" w:hAnsi="Times New Roman" w:cs="Times New Roman"/>
          <w:b/>
          <w:sz w:val="24"/>
          <w:szCs w:val="24"/>
        </w:rPr>
      </w:pPr>
    </w:p>
    <w:p w:rsidR="00E54754" w:rsidRDefault="00E54754" w:rsidP="002C45ED">
      <w:pPr>
        <w:spacing w:line="360" w:lineRule="auto"/>
        <w:jc w:val="both"/>
        <w:rPr>
          <w:rFonts w:ascii="Times New Roman" w:hAnsi="Times New Roman" w:cs="Times New Roman"/>
          <w:b/>
          <w:sz w:val="24"/>
          <w:szCs w:val="24"/>
        </w:rPr>
      </w:pPr>
    </w:p>
    <w:p w:rsidR="00794ED1" w:rsidRDefault="00794ED1" w:rsidP="002C45ED">
      <w:pPr>
        <w:spacing w:line="360" w:lineRule="auto"/>
        <w:jc w:val="both"/>
        <w:rPr>
          <w:rFonts w:ascii="Times New Roman" w:hAnsi="Times New Roman" w:cs="Times New Roman"/>
          <w:b/>
          <w:sz w:val="24"/>
          <w:szCs w:val="24"/>
        </w:rPr>
      </w:pPr>
    </w:p>
    <w:p w:rsidR="00794ED1" w:rsidRDefault="00794ED1" w:rsidP="002C45ED">
      <w:pPr>
        <w:spacing w:line="360" w:lineRule="auto"/>
        <w:jc w:val="both"/>
        <w:rPr>
          <w:rFonts w:ascii="Times New Roman" w:hAnsi="Times New Roman" w:cs="Times New Roman"/>
          <w:b/>
          <w:sz w:val="24"/>
          <w:szCs w:val="24"/>
        </w:rPr>
      </w:pPr>
    </w:p>
    <w:p w:rsidR="00794ED1" w:rsidRPr="00026D3E" w:rsidRDefault="00794ED1" w:rsidP="002C45ED">
      <w:pPr>
        <w:spacing w:line="360" w:lineRule="auto"/>
        <w:jc w:val="both"/>
        <w:rPr>
          <w:rFonts w:ascii="Times New Roman" w:hAnsi="Times New Roman" w:cs="Times New Roman"/>
          <w:b/>
          <w:sz w:val="24"/>
          <w:szCs w:val="24"/>
        </w:rPr>
      </w:pPr>
    </w:p>
    <w:p w:rsidR="00813AA5" w:rsidRPr="00026D3E" w:rsidRDefault="00A3242F" w:rsidP="00AD25AC">
      <w:pPr>
        <w:pStyle w:val="Nadpis1"/>
        <w:numPr>
          <w:ilvl w:val="0"/>
          <w:numId w:val="6"/>
        </w:numPr>
      </w:pPr>
      <w:bookmarkStart w:id="1" w:name="_Toc354703575"/>
      <w:r>
        <w:lastRenderedPageBreak/>
        <w:t>Teoretický základ</w:t>
      </w:r>
      <w:r w:rsidR="00813AA5" w:rsidRPr="00026D3E">
        <w:t xml:space="preserve"> aliance</w:t>
      </w:r>
      <w:bookmarkEnd w:id="1"/>
    </w:p>
    <w:p w:rsidR="00E33994" w:rsidRDefault="00D23BD4" w:rsidP="00E33994">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V této části</w:t>
      </w:r>
      <w:r w:rsidR="00B33C23" w:rsidRPr="00026D3E">
        <w:rPr>
          <w:rFonts w:ascii="Times New Roman" w:hAnsi="Times New Roman" w:cs="Times New Roman"/>
          <w:sz w:val="24"/>
          <w:szCs w:val="24"/>
        </w:rPr>
        <w:t xml:space="preserve"> </w:t>
      </w:r>
      <w:r>
        <w:rPr>
          <w:rFonts w:ascii="Times New Roman" w:hAnsi="Times New Roman" w:cs="Times New Roman"/>
          <w:sz w:val="24"/>
          <w:szCs w:val="24"/>
        </w:rPr>
        <w:t>se bude autor zabývat teoretickým pozadím práce, zejména pak teorií</w:t>
      </w:r>
      <w:r w:rsidR="00A92AD9" w:rsidRPr="00026D3E">
        <w:rPr>
          <w:rFonts w:ascii="Times New Roman" w:hAnsi="Times New Roman" w:cs="Times New Roman"/>
          <w:sz w:val="24"/>
          <w:szCs w:val="24"/>
        </w:rPr>
        <w:t xml:space="preserve"> vyvažování hrozeb, která tvoří je</w:t>
      </w:r>
      <w:r>
        <w:rPr>
          <w:rFonts w:ascii="Times New Roman" w:hAnsi="Times New Roman" w:cs="Times New Roman"/>
          <w:sz w:val="24"/>
          <w:szCs w:val="24"/>
        </w:rPr>
        <w:t>jí hlavní pilíř. Smyslem kapitoly</w:t>
      </w:r>
      <w:r w:rsidR="00A92AD9" w:rsidRPr="00026D3E">
        <w:rPr>
          <w:rFonts w:ascii="Times New Roman" w:hAnsi="Times New Roman" w:cs="Times New Roman"/>
          <w:sz w:val="24"/>
          <w:szCs w:val="24"/>
        </w:rPr>
        <w:t xml:space="preserve"> bude</w:t>
      </w:r>
      <w:r w:rsidR="007777CF" w:rsidRPr="00026D3E">
        <w:rPr>
          <w:rFonts w:ascii="Times New Roman" w:hAnsi="Times New Roman" w:cs="Times New Roman"/>
          <w:sz w:val="24"/>
          <w:szCs w:val="24"/>
        </w:rPr>
        <w:t xml:space="preserve"> představit tuto teorii</w:t>
      </w:r>
      <w:r w:rsidR="00A92AD9" w:rsidRPr="00026D3E">
        <w:rPr>
          <w:rFonts w:ascii="Times New Roman" w:hAnsi="Times New Roman" w:cs="Times New Roman"/>
          <w:sz w:val="24"/>
          <w:szCs w:val="24"/>
        </w:rPr>
        <w:t xml:space="preserve"> </w:t>
      </w:r>
      <w:r w:rsidR="00285A36" w:rsidRPr="00026D3E">
        <w:rPr>
          <w:rFonts w:ascii="Times New Roman" w:hAnsi="Times New Roman" w:cs="Times New Roman"/>
          <w:sz w:val="24"/>
          <w:szCs w:val="24"/>
        </w:rPr>
        <w:br/>
      </w:r>
      <w:r w:rsidR="00A92AD9" w:rsidRPr="00026D3E">
        <w:rPr>
          <w:rFonts w:ascii="Times New Roman" w:hAnsi="Times New Roman" w:cs="Times New Roman"/>
          <w:sz w:val="24"/>
          <w:szCs w:val="24"/>
        </w:rPr>
        <w:t>a</w:t>
      </w:r>
      <w:r w:rsidR="007777CF" w:rsidRPr="00026D3E">
        <w:rPr>
          <w:rFonts w:ascii="Times New Roman" w:hAnsi="Times New Roman" w:cs="Times New Roman"/>
          <w:sz w:val="24"/>
          <w:szCs w:val="24"/>
        </w:rPr>
        <w:t xml:space="preserve"> vysvětlit</w:t>
      </w:r>
      <w:r w:rsidR="00A92AD9" w:rsidRPr="00026D3E">
        <w:rPr>
          <w:rFonts w:ascii="Times New Roman" w:hAnsi="Times New Roman" w:cs="Times New Roman"/>
          <w:sz w:val="24"/>
          <w:szCs w:val="24"/>
        </w:rPr>
        <w:t xml:space="preserve"> k čemu a jakým způsobem ji zamýšlím použít. Za tímto účelem bude nutné rozepsat se krátce o okolnostech jejího výskytu v relevantní literatuře. </w:t>
      </w:r>
    </w:p>
    <w:p w:rsidR="00152D63" w:rsidRPr="00026D3E" w:rsidRDefault="009A3C86" w:rsidP="00E33994">
      <w:pPr>
        <w:spacing w:line="360" w:lineRule="auto"/>
        <w:ind w:firstLine="360"/>
        <w:jc w:val="both"/>
        <w:rPr>
          <w:rFonts w:ascii="Times New Roman" w:hAnsi="Times New Roman" w:cs="Times New Roman"/>
          <w:sz w:val="24"/>
          <w:szCs w:val="24"/>
        </w:rPr>
      </w:pPr>
      <w:r w:rsidRPr="00026D3E">
        <w:rPr>
          <w:rFonts w:ascii="Times New Roman" w:hAnsi="Times New Roman" w:cs="Times New Roman"/>
          <w:sz w:val="24"/>
          <w:szCs w:val="24"/>
        </w:rPr>
        <w:t>Na poli teorie mezinárodních vztahů je realismus stále bezpochyb</w:t>
      </w:r>
      <w:r w:rsidR="008A477C" w:rsidRPr="00026D3E">
        <w:rPr>
          <w:rFonts w:ascii="Times New Roman" w:hAnsi="Times New Roman" w:cs="Times New Roman"/>
          <w:sz w:val="24"/>
          <w:szCs w:val="24"/>
        </w:rPr>
        <w:t>y relevantním paradigmatem, jež</w:t>
      </w:r>
      <w:r w:rsidRPr="00026D3E">
        <w:rPr>
          <w:rFonts w:ascii="Times New Roman" w:hAnsi="Times New Roman" w:cs="Times New Roman"/>
          <w:sz w:val="24"/>
          <w:szCs w:val="24"/>
        </w:rPr>
        <w:t xml:space="preserve"> se snaží </w:t>
      </w:r>
      <w:r w:rsidR="00DD0282" w:rsidRPr="00026D3E">
        <w:rPr>
          <w:rFonts w:ascii="Times New Roman" w:hAnsi="Times New Roman" w:cs="Times New Roman"/>
          <w:sz w:val="24"/>
          <w:szCs w:val="24"/>
        </w:rPr>
        <w:t>o</w:t>
      </w:r>
      <w:r w:rsidR="00DC5C86" w:rsidRPr="00026D3E">
        <w:rPr>
          <w:rFonts w:ascii="Times New Roman" w:hAnsi="Times New Roman" w:cs="Times New Roman"/>
          <w:sz w:val="24"/>
          <w:szCs w:val="24"/>
        </w:rPr>
        <w:t>bjasnit</w:t>
      </w:r>
      <w:r w:rsidRPr="00026D3E">
        <w:rPr>
          <w:rFonts w:ascii="Times New Roman" w:hAnsi="Times New Roman" w:cs="Times New Roman"/>
          <w:sz w:val="24"/>
          <w:szCs w:val="24"/>
        </w:rPr>
        <w:t xml:space="preserve"> mechanismy světové politiky. V současné době</w:t>
      </w:r>
      <w:r w:rsidR="00DD0282" w:rsidRPr="00026D3E">
        <w:rPr>
          <w:rFonts w:ascii="Times New Roman" w:hAnsi="Times New Roman" w:cs="Times New Roman"/>
          <w:sz w:val="24"/>
          <w:szCs w:val="24"/>
        </w:rPr>
        <w:t xml:space="preserve"> se </w:t>
      </w:r>
      <w:r w:rsidR="00285A36" w:rsidRPr="00026D3E">
        <w:rPr>
          <w:rFonts w:ascii="Times New Roman" w:hAnsi="Times New Roman" w:cs="Times New Roman"/>
          <w:sz w:val="24"/>
          <w:szCs w:val="24"/>
        </w:rPr>
        <w:br/>
      </w:r>
      <w:r w:rsidR="00DD0282" w:rsidRPr="00026D3E">
        <w:rPr>
          <w:rFonts w:ascii="Times New Roman" w:hAnsi="Times New Roman" w:cs="Times New Roman"/>
          <w:sz w:val="24"/>
          <w:szCs w:val="24"/>
        </w:rPr>
        <w:t xml:space="preserve">do </w:t>
      </w:r>
      <w:r w:rsidR="00F16FB3" w:rsidRPr="00026D3E">
        <w:rPr>
          <w:rFonts w:ascii="Times New Roman" w:hAnsi="Times New Roman" w:cs="Times New Roman"/>
          <w:sz w:val="24"/>
          <w:szCs w:val="24"/>
        </w:rPr>
        <w:t xml:space="preserve">tohoto široce zaměřeného </w:t>
      </w:r>
      <w:r w:rsidR="00127451">
        <w:rPr>
          <w:rFonts w:ascii="Times New Roman" w:hAnsi="Times New Roman" w:cs="Times New Roman"/>
          <w:sz w:val="24"/>
          <w:szCs w:val="24"/>
        </w:rPr>
        <w:t>paradigmatu</w:t>
      </w:r>
      <w:r w:rsidR="00F16FB3" w:rsidRPr="00026D3E">
        <w:rPr>
          <w:rFonts w:ascii="Times New Roman" w:hAnsi="Times New Roman" w:cs="Times New Roman"/>
          <w:sz w:val="24"/>
          <w:szCs w:val="24"/>
        </w:rPr>
        <w:t xml:space="preserve"> řadí několik navzá</w:t>
      </w:r>
      <w:r w:rsidR="0021241A" w:rsidRPr="00026D3E">
        <w:rPr>
          <w:rFonts w:ascii="Times New Roman" w:hAnsi="Times New Roman" w:cs="Times New Roman"/>
          <w:sz w:val="24"/>
          <w:szCs w:val="24"/>
        </w:rPr>
        <w:t>jem soutěživých teorií. V</w:t>
      </w:r>
      <w:r w:rsidR="00F16FB3" w:rsidRPr="00026D3E">
        <w:rPr>
          <w:rFonts w:ascii="Times New Roman" w:hAnsi="Times New Roman" w:cs="Times New Roman"/>
          <w:sz w:val="24"/>
          <w:szCs w:val="24"/>
        </w:rPr>
        <w:t> rovině obecných předpokl</w:t>
      </w:r>
      <w:r w:rsidR="0021241A" w:rsidRPr="00026D3E">
        <w:rPr>
          <w:rFonts w:ascii="Times New Roman" w:hAnsi="Times New Roman" w:cs="Times New Roman"/>
          <w:sz w:val="24"/>
          <w:szCs w:val="24"/>
        </w:rPr>
        <w:t>adů zůstává realismus jednotný,</w:t>
      </w:r>
      <w:r w:rsidR="006D5849" w:rsidRPr="00026D3E">
        <w:rPr>
          <w:rFonts w:ascii="Times New Roman" w:hAnsi="Times New Roman" w:cs="Times New Roman"/>
          <w:sz w:val="24"/>
          <w:szCs w:val="24"/>
        </w:rPr>
        <w:t xml:space="preserve"> </w:t>
      </w:r>
      <w:r w:rsidR="00F16FB3" w:rsidRPr="00026D3E">
        <w:rPr>
          <w:rFonts w:ascii="Times New Roman" w:hAnsi="Times New Roman" w:cs="Times New Roman"/>
          <w:sz w:val="24"/>
          <w:szCs w:val="24"/>
        </w:rPr>
        <w:t>kdy</w:t>
      </w:r>
      <w:r w:rsidR="0021241A" w:rsidRPr="00026D3E">
        <w:rPr>
          <w:rFonts w:ascii="Times New Roman" w:hAnsi="Times New Roman" w:cs="Times New Roman"/>
          <w:sz w:val="24"/>
          <w:szCs w:val="24"/>
        </w:rPr>
        <w:t xml:space="preserve"> například</w:t>
      </w:r>
      <w:r w:rsidR="00F16FB3" w:rsidRPr="00026D3E">
        <w:rPr>
          <w:rFonts w:ascii="Times New Roman" w:hAnsi="Times New Roman" w:cs="Times New Roman"/>
          <w:sz w:val="24"/>
          <w:szCs w:val="24"/>
        </w:rPr>
        <w:t xml:space="preserve"> jako klíčové aktéry </w:t>
      </w:r>
      <w:r w:rsidR="003E3016" w:rsidRPr="00026D3E">
        <w:rPr>
          <w:rFonts w:ascii="Times New Roman" w:hAnsi="Times New Roman" w:cs="Times New Roman"/>
          <w:sz w:val="24"/>
          <w:szCs w:val="24"/>
        </w:rPr>
        <w:t xml:space="preserve">mezinárodní politiky </w:t>
      </w:r>
      <w:r w:rsidR="00F16FB3" w:rsidRPr="00026D3E">
        <w:rPr>
          <w:rFonts w:ascii="Times New Roman" w:hAnsi="Times New Roman" w:cs="Times New Roman"/>
          <w:sz w:val="24"/>
          <w:szCs w:val="24"/>
        </w:rPr>
        <w:t>označuje státy, mezinárodní syst</w:t>
      </w:r>
      <w:r w:rsidR="006D5849" w:rsidRPr="00026D3E">
        <w:rPr>
          <w:rFonts w:ascii="Times New Roman" w:hAnsi="Times New Roman" w:cs="Times New Roman"/>
          <w:sz w:val="24"/>
          <w:szCs w:val="24"/>
        </w:rPr>
        <w:t xml:space="preserve">ém vidí jako anarchický </w:t>
      </w:r>
      <w:r w:rsidR="00285A36" w:rsidRPr="00026D3E">
        <w:rPr>
          <w:rFonts w:ascii="Times New Roman" w:hAnsi="Times New Roman" w:cs="Times New Roman"/>
          <w:sz w:val="24"/>
          <w:szCs w:val="24"/>
        </w:rPr>
        <w:br/>
      </w:r>
      <w:r w:rsidR="006D5849" w:rsidRPr="00026D3E">
        <w:rPr>
          <w:rFonts w:ascii="Times New Roman" w:hAnsi="Times New Roman" w:cs="Times New Roman"/>
          <w:sz w:val="24"/>
          <w:szCs w:val="24"/>
        </w:rPr>
        <w:t>a</w:t>
      </w:r>
      <w:r w:rsidR="00F16FB3" w:rsidRPr="00026D3E">
        <w:rPr>
          <w:rFonts w:ascii="Times New Roman" w:hAnsi="Times New Roman" w:cs="Times New Roman"/>
          <w:sz w:val="24"/>
          <w:szCs w:val="24"/>
        </w:rPr>
        <w:t xml:space="preserve"> ústředním prvkem politického života</w:t>
      </w:r>
      <w:r w:rsidR="006D5849" w:rsidRPr="00026D3E">
        <w:rPr>
          <w:rFonts w:ascii="Times New Roman" w:hAnsi="Times New Roman" w:cs="Times New Roman"/>
          <w:sz w:val="24"/>
          <w:szCs w:val="24"/>
        </w:rPr>
        <w:t xml:space="preserve"> označuje moc</w:t>
      </w:r>
      <w:r w:rsidR="0021241A" w:rsidRPr="00026D3E">
        <w:rPr>
          <w:rFonts w:ascii="Times New Roman" w:hAnsi="Times New Roman" w:cs="Times New Roman"/>
          <w:sz w:val="24"/>
          <w:szCs w:val="24"/>
        </w:rPr>
        <w:t>. Přesto se však rozchází</w:t>
      </w:r>
      <w:r w:rsidR="00F16FB3" w:rsidRPr="00026D3E">
        <w:rPr>
          <w:rFonts w:ascii="Times New Roman" w:hAnsi="Times New Roman" w:cs="Times New Roman"/>
          <w:sz w:val="24"/>
          <w:szCs w:val="24"/>
        </w:rPr>
        <w:t xml:space="preserve"> v </w:t>
      </w:r>
      <w:r w:rsidR="0021241A" w:rsidRPr="00026D3E">
        <w:rPr>
          <w:rFonts w:ascii="Times New Roman" w:hAnsi="Times New Roman" w:cs="Times New Roman"/>
          <w:sz w:val="24"/>
          <w:szCs w:val="24"/>
        </w:rPr>
        <w:t>některých základních myšlenkách, což někteří akademici považují za projev</w:t>
      </w:r>
      <w:r w:rsidR="00F16FB3" w:rsidRPr="00026D3E">
        <w:rPr>
          <w:rFonts w:ascii="Times New Roman" w:hAnsi="Times New Roman" w:cs="Times New Roman"/>
          <w:sz w:val="24"/>
          <w:szCs w:val="24"/>
        </w:rPr>
        <w:t xml:space="preserve"> jeho </w:t>
      </w:r>
      <w:r w:rsidR="00AF17C6" w:rsidRPr="00026D3E">
        <w:rPr>
          <w:rFonts w:ascii="Times New Roman" w:hAnsi="Times New Roman" w:cs="Times New Roman"/>
          <w:sz w:val="24"/>
          <w:szCs w:val="24"/>
        </w:rPr>
        <w:t>slabost</w:t>
      </w:r>
      <w:r w:rsidR="0021241A" w:rsidRPr="00026D3E">
        <w:rPr>
          <w:rFonts w:ascii="Times New Roman" w:hAnsi="Times New Roman" w:cs="Times New Roman"/>
          <w:sz w:val="24"/>
          <w:szCs w:val="24"/>
        </w:rPr>
        <w:t>i</w:t>
      </w:r>
      <w:r w:rsidR="00AF17C6" w:rsidRPr="00026D3E">
        <w:rPr>
          <w:rFonts w:ascii="Times New Roman" w:hAnsi="Times New Roman" w:cs="Times New Roman"/>
          <w:sz w:val="24"/>
          <w:szCs w:val="24"/>
        </w:rPr>
        <w:t xml:space="preserve"> (Vasquez</w:t>
      </w:r>
      <w:r w:rsidR="00C909F4" w:rsidRPr="00026D3E">
        <w:rPr>
          <w:rFonts w:ascii="Times New Roman" w:hAnsi="Times New Roman" w:cs="Times New Roman"/>
          <w:sz w:val="24"/>
          <w:szCs w:val="24"/>
        </w:rPr>
        <w:t xml:space="preserve"> 1997</w:t>
      </w:r>
      <w:r w:rsidR="00AF17C6" w:rsidRPr="00026D3E">
        <w:rPr>
          <w:rFonts w:ascii="Times New Roman" w:hAnsi="Times New Roman" w:cs="Times New Roman"/>
          <w:sz w:val="24"/>
          <w:szCs w:val="24"/>
        </w:rPr>
        <w:t xml:space="preserve">), </w:t>
      </w:r>
      <w:r w:rsidR="000350A3" w:rsidRPr="00026D3E">
        <w:rPr>
          <w:rFonts w:ascii="Times New Roman" w:hAnsi="Times New Roman" w:cs="Times New Roman"/>
          <w:sz w:val="24"/>
          <w:szCs w:val="24"/>
        </w:rPr>
        <w:t xml:space="preserve">která nutně vede k jeho degeneraci, </w:t>
      </w:r>
      <w:r w:rsidR="0021241A" w:rsidRPr="00026D3E">
        <w:rPr>
          <w:rFonts w:ascii="Times New Roman" w:hAnsi="Times New Roman" w:cs="Times New Roman"/>
          <w:sz w:val="24"/>
          <w:szCs w:val="24"/>
        </w:rPr>
        <w:t>zatímco jiní</w:t>
      </w:r>
      <w:r w:rsidR="000350A3" w:rsidRPr="00026D3E">
        <w:rPr>
          <w:rFonts w:ascii="Times New Roman" w:hAnsi="Times New Roman" w:cs="Times New Roman"/>
          <w:sz w:val="24"/>
          <w:szCs w:val="24"/>
        </w:rPr>
        <w:t xml:space="preserve"> v tom zase vidí</w:t>
      </w:r>
      <w:r w:rsidR="008B5C32" w:rsidRPr="00026D3E">
        <w:rPr>
          <w:rFonts w:ascii="Times New Roman" w:hAnsi="Times New Roman" w:cs="Times New Roman"/>
          <w:sz w:val="24"/>
          <w:szCs w:val="24"/>
        </w:rPr>
        <w:t xml:space="preserve"> pouze jeho rozmanitost</w:t>
      </w:r>
      <w:r w:rsidR="00EC6E3C" w:rsidRPr="00026D3E">
        <w:rPr>
          <w:rFonts w:ascii="Times New Roman" w:hAnsi="Times New Roman" w:cs="Times New Roman"/>
          <w:sz w:val="24"/>
          <w:szCs w:val="24"/>
        </w:rPr>
        <w:t>.</w:t>
      </w:r>
      <w:r w:rsidR="008B5C32" w:rsidRPr="00026D3E">
        <w:rPr>
          <w:rFonts w:ascii="Times New Roman" w:hAnsi="Times New Roman" w:cs="Times New Roman"/>
          <w:sz w:val="24"/>
          <w:szCs w:val="24"/>
        </w:rPr>
        <w:t xml:space="preserve"> (</w:t>
      </w:r>
      <w:r w:rsidR="000350A3" w:rsidRPr="00026D3E">
        <w:rPr>
          <w:rFonts w:ascii="Times New Roman" w:hAnsi="Times New Roman" w:cs="Times New Roman"/>
          <w:sz w:val="24"/>
          <w:szCs w:val="24"/>
        </w:rPr>
        <w:t>Walt</w:t>
      </w:r>
      <w:r w:rsidR="008B5C32" w:rsidRPr="00026D3E">
        <w:rPr>
          <w:rFonts w:ascii="Times New Roman" w:hAnsi="Times New Roman" w:cs="Times New Roman"/>
          <w:sz w:val="24"/>
          <w:szCs w:val="24"/>
        </w:rPr>
        <w:t xml:space="preserve"> 1997</w:t>
      </w:r>
      <w:r w:rsidR="00EC6E3C" w:rsidRPr="00026D3E">
        <w:rPr>
          <w:rFonts w:ascii="Times New Roman" w:hAnsi="Times New Roman" w:cs="Times New Roman"/>
          <w:sz w:val="24"/>
          <w:szCs w:val="24"/>
        </w:rPr>
        <w:t>)</w:t>
      </w:r>
      <w:r w:rsidR="00E33994">
        <w:rPr>
          <w:rFonts w:ascii="Times New Roman" w:hAnsi="Times New Roman" w:cs="Times New Roman"/>
          <w:sz w:val="24"/>
          <w:szCs w:val="24"/>
        </w:rPr>
        <w:t xml:space="preserve"> </w:t>
      </w:r>
      <w:r w:rsidR="00157571" w:rsidRPr="00026D3E">
        <w:rPr>
          <w:rFonts w:ascii="Times New Roman" w:hAnsi="Times New Roman" w:cs="Times New Roman"/>
          <w:sz w:val="24"/>
          <w:szCs w:val="24"/>
        </w:rPr>
        <w:t>Jednou z</w:t>
      </w:r>
      <w:r w:rsidR="001A3A09" w:rsidRPr="00026D3E">
        <w:rPr>
          <w:rFonts w:ascii="Times New Roman" w:hAnsi="Times New Roman" w:cs="Times New Roman"/>
          <w:sz w:val="24"/>
          <w:szCs w:val="24"/>
        </w:rPr>
        <w:t>e zmíněných</w:t>
      </w:r>
      <w:r w:rsidR="00157571" w:rsidRPr="00026D3E">
        <w:rPr>
          <w:rFonts w:ascii="Times New Roman" w:hAnsi="Times New Roman" w:cs="Times New Roman"/>
          <w:sz w:val="24"/>
          <w:szCs w:val="24"/>
        </w:rPr>
        <w:t xml:space="preserve"> základních myšlenek</w:t>
      </w:r>
      <w:r w:rsidR="001A3A09" w:rsidRPr="00026D3E">
        <w:rPr>
          <w:rFonts w:ascii="Times New Roman" w:hAnsi="Times New Roman" w:cs="Times New Roman"/>
          <w:sz w:val="24"/>
          <w:szCs w:val="24"/>
        </w:rPr>
        <w:t xml:space="preserve"> je takzvaná </w:t>
      </w:r>
      <w:r w:rsidR="004C6FA6" w:rsidRPr="00026D3E">
        <w:rPr>
          <w:rFonts w:ascii="Times New Roman" w:hAnsi="Times New Roman" w:cs="Times New Roman"/>
          <w:sz w:val="24"/>
          <w:szCs w:val="24"/>
        </w:rPr>
        <w:t xml:space="preserve">mocenská rovnováha </w:t>
      </w:r>
      <w:r w:rsidR="00793AFC" w:rsidRPr="00026D3E">
        <w:rPr>
          <w:rFonts w:ascii="Times New Roman" w:hAnsi="Times New Roman" w:cs="Times New Roman"/>
          <w:sz w:val="24"/>
          <w:szCs w:val="24"/>
        </w:rPr>
        <w:t>(</w:t>
      </w:r>
      <w:r w:rsidR="00793AFC" w:rsidRPr="00026D3E">
        <w:rPr>
          <w:rFonts w:ascii="Times New Roman" w:hAnsi="Times New Roman" w:cs="Times New Roman"/>
          <w:i/>
          <w:sz w:val="24"/>
          <w:szCs w:val="24"/>
        </w:rPr>
        <w:t>balance of power</w:t>
      </w:r>
      <w:r w:rsidR="00793AFC" w:rsidRPr="00026D3E">
        <w:rPr>
          <w:rFonts w:ascii="Times New Roman" w:hAnsi="Times New Roman" w:cs="Times New Roman"/>
          <w:sz w:val="24"/>
          <w:szCs w:val="24"/>
        </w:rPr>
        <w:t>) jež</w:t>
      </w:r>
      <w:r w:rsidR="001A3A09" w:rsidRPr="00026D3E">
        <w:rPr>
          <w:rFonts w:ascii="Times New Roman" w:hAnsi="Times New Roman" w:cs="Times New Roman"/>
          <w:sz w:val="24"/>
          <w:szCs w:val="24"/>
        </w:rPr>
        <w:t xml:space="preserve"> v literatuře věnující se mezinárodním vztahům</w:t>
      </w:r>
      <w:r w:rsidR="00172DDE" w:rsidRPr="00026D3E">
        <w:rPr>
          <w:rFonts w:ascii="Times New Roman" w:hAnsi="Times New Roman" w:cs="Times New Roman"/>
          <w:sz w:val="24"/>
          <w:szCs w:val="24"/>
        </w:rPr>
        <w:t xml:space="preserve"> patří mezi nejstarší a nejpopulárnější koncepty</w:t>
      </w:r>
      <w:r w:rsidR="008000E1" w:rsidRPr="00026D3E">
        <w:rPr>
          <w:rFonts w:ascii="Times New Roman" w:hAnsi="Times New Roman" w:cs="Times New Roman"/>
          <w:sz w:val="24"/>
          <w:szCs w:val="24"/>
        </w:rPr>
        <w:t xml:space="preserve">. Možná právě proto lze tento zdánlivě jednoduchý lingvistický výraz najít pod tolika významy. </w:t>
      </w:r>
      <w:r w:rsidR="00DA3290" w:rsidRPr="00026D3E">
        <w:rPr>
          <w:rFonts w:ascii="Times New Roman" w:hAnsi="Times New Roman" w:cs="Times New Roman"/>
          <w:sz w:val="24"/>
          <w:szCs w:val="24"/>
        </w:rPr>
        <w:t>Ernst Haas mu ve své studii přisoudil až celkem osm různých významů</w:t>
      </w:r>
      <w:r w:rsidR="00CE21C5" w:rsidRPr="00026D3E">
        <w:rPr>
          <w:rStyle w:val="Znakapoznpodarou"/>
          <w:rFonts w:ascii="Times New Roman" w:hAnsi="Times New Roman" w:cs="Times New Roman"/>
          <w:sz w:val="24"/>
          <w:szCs w:val="24"/>
        </w:rPr>
        <w:footnoteReference w:id="4"/>
      </w:r>
      <w:r w:rsidR="00DA3290" w:rsidRPr="00026D3E">
        <w:rPr>
          <w:rFonts w:ascii="Times New Roman" w:hAnsi="Times New Roman" w:cs="Times New Roman"/>
          <w:sz w:val="24"/>
          <w:szCs w:val="24"/>
        </w:rPr>
        <w:t xml:space="preserve">, jiná </w:t>
      </w:r>
      <w:r w:rsidR="00CB14A1" w:rsidRPr="00026D3E">
        <w:rPr>
          <w:rFonts w:ascii="Times New Roman" w:hAnsi="Times New Roman" w:cs="Times New Roman"/>
          <w:sz w:val="24"/>
          <w:szCs w:val="24"/>
        </w:rPr>
        <w:t>publikace</w:t>
      </w:r>
      <w:r w:rsidR="00DA3290" w:rsidRPr="00026D3E">
        <w:rPr>
          <w:rFonts w:ascii="Times New Roman" w:hAnsi="Times New Roman" w:cs="Times New Roman"/>
          <w:sz w:val="24"/>
          <w:szCs w:val="24"/>
        </w:rPr>
        <w:t xml:space="preserve"> dokonce tvrdí, že významů může být až devět, přičemž se často nemohou vzájemně slučovat.</w:t>
      </w:r>
      <w:r w:rsidR="00506F4F" w:rsidRPr="00026D3E">
        <w:rPr>
          <w:rFonts w:ascii="Times New Roman" w:hAnsi="Times New Roman" w:cs="Times New Roman"/>
          <w:sz w:val="24"/>
          <w:szCs w:val="24"/>
        </w:rPr>
        <w:t xml:space="preserve"> </w:t>
      </w:r>
      <w:r w:rsidR="003D7462" w:rsidRPr="00026D3E">
        <w:rPr>
          <w:rFonts w:ascii="Times New Roman" w:hAnsi="Times New Roman" w:cs="Times New Roman"/>
          <w:sz w:val="24"/>
          <w:szCs w:val="24"/>
        </w:rPr>
        <w:t>(Evans, Newnham 1998: 41-43)</w:t>
      </w:r>
    </w:p>
    <w:p w:rsidR="00D44C5D" w:rsidRPr="00026D3E" w:rsidRDefault="00A312B6" w:rsidP="0091381E">
      <w:pPr>
        <w:spacing w:line="360" w:lineRule="auto"/>
        <w:ind w:firstLine="360"/>
        <w:jc w:val="both"/>
        <w:rPr>
          <w:rFonts w:ascii="Times New Roman" w:hAnsi="Times New Roman" w:cs="Times New Roman"/>
          <w:sz w:val="24"/>
          <w:szCs w:val="24"/>
        </w:rPr>
      </w:pPr>
      <w:r w:rsidRPr="00026D3E">
        <w:rPr>
          <w:rFonts w:ascii="Times New Roman" w:hAnsi="Times New Roman" w:cs="Times New Roman"/>
          <w:sz w:val="24"/>
          <w:szCs w:val="24"/>
        </w:rPr>
        <w:t>V realistickém pojetí mezinárodní politiky jednají státy jako racionální aktéři, jejichž hlavním úsilím je maximalizovat zisky a minimalizovat ztráty. Je v jejich zájmu jednat tak, aby žádný z nich nezískal převahu nad ostatními a nezískal pozici dominantního aktéra v rámci celého systému (Pšeja</w:t>
      </w:r>
      <w:r w:rsidR="00DD4872" w:rsidRPr="00026D3E">
        <w:rPr>
          <w:rFonts w:ascii="Times New Roman" w:hAnsi="Times New Roman" w:cs="Times New Roman"/>
          <w:sz w:val="24"/>
          <w:szCs w:val="24"/>
        </w:rPr>
        <w:t xml:space="preserve"> 2005:</w:t>
      </w:r>
      <w:r w:rsidRPr="00026D3E">
        <w:rPr>
          <w:rFonts w:ascii="Times New Roman" w:hAnsi="Times New Roman" w:cs="Times New Roman"/>
          <w:sz w:val="24"/>
          <w:szCs w:val="24"/>
        </w:rPr>
        <w:t xml:space="preserve"> 40)</w:t>
      </w:r>
      <w:r w:rsidR="00D97831" w:rsidRPr="00026D3E">
        <w:rPr>
          <w:rFonts w:ascii="Times New Roman" w:hAnsi="Times New Roman" w:cs="Times New Roman"/>
          <w:sz w:val="24"/>
          <w:szCs w:val="24"/>
        </w:rPr>
        <w:t xml:space="preserve">. </w:t>
      </w:r>
      <w:r w:rsidR="00CB3C2B" w:rsidRPr="00026D3E">
        <w:rPr>
          <w:rFonts w:ascii="Times New Roman" w:hAnsi="Times New Roman" w:cs="Times New Roman"/>
          <w:sz w:val="24"/>
          <w:szCs w:val="24"/>
        </w:rPr>
        <w:t xml:space="preserve"> Teorie </w:t>
      </w:r>
      <w:r w:rsidR="00D44C5D" w:rsidRPr="00026D3E">
        <w:rPr>
          <w:rFonts w:ascii="Times New Roman" w:hAnsi="Times New Roman" w:cs="Times New Roman"/>
          <w:sz w:val="24"/>
          <w:szCs w:val="24"/>
        </w:rPr>
        <w:t>mocenské rovn</w:t>
      </w:r>
      <w:r w:rsidR="000845D7" w:rsidRPr="00026D3E">
        <w:rPr>
          <w:rFonts w:ascii="Times New Roman" w:hAnsi="Times New Roman" w:cs="Times New Roman"/>
          <w:sz w:val="24"/>
          <w:szCs w:val="24"/>
        </w:rPr>
        <w:t>ováhy</w:t>
      </w:r>
      <w:r w:rsidR="00CB3C2B" w:rsidRPr="00026D3E">
        <w:rPr>
          <w:rFonts w:ascii="Times New Roman" w:hAnsi="Times New Roman" w:cs="Times New Roman"/>
          <w:sz w:val="24"/>
          <w:szCs w:val="24"/>
        </w:rPr>
        <w:t xml:space="preserve"> </w:t>
      </w:r>
      <w:r w:rsidR="00D97831" w:rsidRPr="00026D3E">
        <w:rPr>
          <w:rFonts w:ascii="Times New Roman" w:hAnsi="Times New Roman" w:cs="Times New Roman"/>
          <w:sz w:val="24"/>
          <w:szCs w:val="24"/>
        </w:rPr>
        <w:t>předpovídá</w:t>
      </w:r>
      <w:r w:rsidR="008F6766" w:rsidRPr="00026D3E">
        <w:rPr>
          <w:rFonts w:ascii="Times New Roman" w:hAnsi="Times New Roman" w:cs="Times New Roman"/>
          <w:sz w:val="24"/>
          <w:szCs w:val="24"/>
        </w:rPr>
        <w:t>,</w:t>
      </w:r>
      <w:r w:rsidR="00D97831" w:rsidRPr="00026D3E">
        <w:rPr>
          <w:rFonts w:ascii="Times New Roman" w:hAnsi="Times New Roman" w:cs="Times New Roman"/>
          <w:sz w:val="24"/>
          <w:szCs w:val="24"/>
        </w:rPr>
        <w:t xml:space="preserve"> že</w:t>
      </w:r>
      <w:r w:rsidR="001E3714" w:rsidRPr="00026D3E">
        <w:rPr>
          <w:rFonts w:ascii="Times New Roman" w:hAnsi="Times New Roman" w:cs="Times New Roman"/>
          <w:sz w:val="24"/>
          <w:szCs w:val="24"/>
        </w:rPr>
        <w:t xml:space="preserve"> při vzestupu moci jednoho státu budou ostatní vždy jednat tak, aby jeho moc vyvážili</w:t>
      </w:r>
      <w:r w:rsidR="00350790" w:rsidRPr="00026D3E">
        <w:rPr>
          <w:rFonts w:ascii="Times New Roman" w:hAnsi="Times New Roman" w:cs="Times New Roman"/>
          <w:sz w:val="24"/>
          <w:szCs w:val="24"/>
        </w:rPr>
        <w:t xml:space="preserve"> (formou aliance)</w:t>
      </w:r>
      <w:r w:rsidR="001E3714" w:rsidRPr="00026D3E">
        <w:rPr>
          <w:rFonts w:ascii="Times New Roman" w:hAnsi="Times New Roman" w:cs="Times New Roman"/>
          <w:sz w:val="24"/>
          <w:szCs w:val="24"/>
        </w:rPr>
        <w:t xml:space="preserve"> a zabránili tak jeho dominanci v systému.</w:t>
      </w:r>
      <w:r w:rsidR="00D44C5D" w:rsidRPr="00026D3E">
        <w:rPr>
          <w:rFonts w:ascii="Times New Roman" w:hAnsi="Times New Roman" w:cs="Times New Roman"/>
          <w:sz w:val="24"/>
          <w:szCs w:val="24"/>
        </w:rPr>
        <w:t xml:space="preserve"> V</w:t>
      </w:r>
      <w:r w:rsidR="004E57FE" w:rsidRPr="00026D3E">
        <w:rPr>
          <w:rFonts w:ascii="Times New Roman" w:hAnsi="Times New Roman" w:cs="Times New Roman"/>
          <w:sz w:val="24"/>
          <w:szCs w:val="24"/>
        </w:rPr>
        <w:t> praktické rovině</w:t>
      </w:r>
      <w:r w:rsidR="00D44C5D" w:rsidRPr="00026D3E">
        <w:rPr>
          <w:rFonts w:ascii="Times New Roman" w:hAnsi="Times New Roman" w:cs="Times New Roman"/>
          <w:sz w:val="24"/>
          <w:szCs w:val="24"/>
        </w:rPr>
        <w:t xml:space="preserve"> pak může </w:t>
      </w:r>
      <w:r w:rsidR="00E60B5A" w:rsidRPr="00026D3E">
        <w:rPr>
          <w:rFonts w:ascii="Times New Roman" w:hAnsi="Times New Roman" w:cs="Times New Roman"/>
          <w:sz w:val="24"/>
          <w:szCs w:val="24"/>
        </w:rPr>
        <w:t>být rovnováha udržována oslabením</w:t>
      </w:r>
      <w:r w:rsidR="004E57FE" w:rsidRPr="00026D3E">
        <w:rPr>
          <w:rFonts w:ascii="Times New Roman" w:hAnsi="Times New Roman" w:cs="Times New Roman"/>
          <w:sz w:val="24"/>
          <w:szCs w:val="24"/>
        </w:rPr>
        <w:t xml:space="preserve"> silnějšího nebo posílení</w:t>
      </w:r>
      <w:r w:rsidR="00E60B5A" w:rsidRPr="00026D3E">
        <w:rPr>
          <w:rFonts w:ascii="Times New Roman" w:hAnsi="Times New Roman" w:cs="Times New Roman"/>
          <w:sz w:val="24"/>
          <w:szCs w:val="24"/>
        </w:rPr>
        <w:t>m</w:t>
      </w:r>
      <w:r w:rsidR="004E57FE" w:rsidRPr="00026D3E">
        <w:rPr>
          <w:rFonts w:ascii="Times New Roman" w:hAnsi="Times New Roman" w:cs="Times New Roman"/>
          <w:sz w:val="24"/>
          <w:szCs w:val="24"/>
        </w:rPr>
        <w:t xml:space="preserve"> slabšího, přičemž časová prodl</w:t>
      </w:r>
      <w:r w:rsidR="008A477C" w:rsidRPr="00026D3E">
        <w:rPr>
          <w:rFonts w:ascii="Times New Roman" w:hAnsi="Times New Roman" w:cs="Times New Roman"/>
          <w:sz w:val="24"/>
          <w:szCs w:val="24"/>
        </w:rPr>
        <w:t>eva samotného procesu</w:t>
      </w:r>
      <w:r w:rsidR="004E57FE" w:rsidRPr="00026D3E">
        <w:rPr>
          <w:rFonts w:ascii="Times New Roman" w:hAnsi="Times New Roman" w:cs="Times New Roman"/>
          <w:sz w:val="24"/>
          <w:szCs w:val="24"/>
        </w:rPr>
        <w:t xml:space="preserve"> není a ani nemůže být definována. </w:t>
      </w:r>
      <w:r w:rsidR="00A551B6" w:rsidRPr="00026D3E">
        <w:rPr>
          <w:rFonts w:ascii="Times New Roman" w:hAnsi="Times New Roman" w:cs="Times New Roman"/>
          <w:sz w:val="24"/>
          <w:szCs w:val="24"/>
        </w:rPr>
        <w:t>Mocenská rovnováha</w:t>
      </w:r>
      <w:r w:rsidR="005E33E8" w:rsidRPr="00026D3E">
        <w:rPr>
          <w:rFonts w:ascii="Times New Roman" w:hAnsi="Times New Roman" w:cs="Times New Roman"/>
          <w:sz w:val="24"/>
          <w:szCs w:val="24"/>
        </w:rPr>
        <w:t xml:space="preserve"> nemusí nutně znamenat rovnoměrné rozložení moci mezi státy, musí však být takové, aby zabránilo </w:t>
      </w:r>
      <w:r w:rsidR="00270C10" w:rsidRPr="00026D3E">
        <w:rPr>
          <w:rFonts w:ascii="Times New Roman" w:hAnsi="Times New Roman" w:cs="Times New Roman"/>
          <w:sz w:val="24"/>
          <w:szCs w:val="24"/>
        </w:rPr>
        <w:t xml:space="preserve">převaze </w:t>
      </w:r>
      <w:r w:rsidR="00270C10" w:rsidRPr="00026D3E">
        <w:rPr>
          <w:rFonts w:ascii="Times New Roman" w:hAnsi="Times New Roman" w:cs="Times New Roman"/>
          <w:sz w:val="24"/>
          <w:szCs w:val="24"/>
        </w:rPr>
        <w:lastRenderedPageBreak/>
        <w:t>jednoho aktéra nad ostatními</w:t>
      </w:r>
      <w:r w:rsidR="005E33E8" w:rsidRPr="00026D3E">
        <w:rPr>
          <w:rFonts w:ascii="Times New Roman" w:hAnsi="Times New Roman" w:cs="Times New Roman"/>
          <w:sz w:val="24"/>
          <w:szCs w:val="24"/>
        </w:rPr>
        <w:t>. (Drulák</w:t>
      </w:r>
      <w:r w:rsidR="00DD4872" w:rsidRPr="00026D3E">
        <w:rPr>
          <w:rFonts w:ascii="Times New Roman" w:hAnsi="Times New Roman" w:cs="Times New Roman"/>
          <w:sz w:val="24"/>
          <w:szCs w:val="24"/>
        </w:rPr>
        <w:t xml:space="preserve"> 2003:</w:t>
      </w:r>
      <w:r w:rsidR="005E33E8" w:rsidRPr="00026D3E">
        <w:rPr>
          <w:rFonts w:ascii="Times New Roman" w:hAnsi="Times New Roman" w:cs="Times New Roman"/>
          <w:sz w:val="24"/>
          <w:szCs w:val="24"/>
        </w:rPr>
        <w:t xml:space="preserve"> 147) Nabízí tak především stabilitu systému, byť vratkou. </w:t>
      </w:r>
      <w:r w:rsidR="00D44C5D" w:rsidRPr="00026D3E">
        <w:rPr>
          <w:rFonts w:ascii="Times New Roman" w:hAnsi="Times New Roman" w:cs="Times New Roman"/>
          <w:sz w:val="24"/>
          <w:szCs w:val="24"/>
        </w:rPr>
        <w:t>Nicméně z</w:t>
      </w:r>
      <w:r w:rsidR="00FD3F3F" w:rsidRPr="00026D3E">
        <w:rPr>
          <w:rFonts w:ascii="Times New Roman" w:hAnsi="Times New Roman" w:cs="Times New Roman"/>
          <w:sz w:val="24"/>
          <w:szCs w:val="24"/>
        </w:rPr>
        <w:t xml:space="preserve"> logiky věci se v situaci, kdy </w:t>
      </w:r>
      <w:r w:rsidR="00D44C5D" w:rsidRPr="00026D3E">
        <w:rPr>
          <w:rFonts w:ascii="Times New Roman" w:hAnsi="Times New Roman" w:cs="Times New Roman"/>
          <w:sz w:val="24"/>
          <w:szCs w:val="24"/>
        </w:rPr>
        <w:t xml:space="preserve">jeden stát začne usilovat o dominantní pozici </w:t>
      </w:r>
      <w:r w:rsidR="00285A36" w:rsidRPr="00026D3E">
        <w:rPr>
          <w:rFonts w:ascii="Times New Roman" w:hAnsi="Times New Roman" w:cs="Times New Roman"/>
          <w:sz w:val="24"/>
          <w:szCs w:val="24"/>
        </w:rPr>
        <w:br/>
      </w:r>
      <w:r w:rsidR="00D44C5D" w:rsidRPr="00026D3E">
        <w:rPr>
          <w:rFonts w:ascii="Times New Roman" w:hAnsi="Times New Roman" w:cs="Times New Roman"/>
          <w:sz w:val="24"/>
          <w:szCs w:val="24"/>
        </w:rPr>
        <w:t>v systému</w:t>
      </w:r>
      <w:r w:rsidR="00FD3F3F" w:rsidRPr="00026D3E">
        <w:rPr>
          <w:rFonts w:ascii="Times New Roman" w:hAnsi="Times New Roman" w:cs="Times New Roman"/>
          <w:sz w:val="24"/>
          <w:szCs w:val="24"/>
        </w:rPr>
        <w:t xml:space="preserve">, mohou </w:t>
      </w:r>
      <w:r w:rsidR="00D44C5D" w:rsidRPr="00026D3E">
        <w:rPr>
          <w:rFonts w:ascii="Times New Roman" w:hAnsi="Times New Roman" w:cs="Times New Roman"/>
          <w:sz w:val="24"/>
          <w:szCs w:val="24"/>
        </w:rPr>
        <w:t xml:space="preserve">ostatní </w:t>
      </w:r>
      <w:r w:rsidR="00FD3F3F" w:rsidRPr="00026D3E">
        <w:rPr>
          <w:rFonts w:ascii="Times New Roman" w:hAnsi="Times New Roman" w:cs="Times New Roman"/>
          <w:sz w:val="24"/>
          <w:szCs w:val="24"/>
        </w:rPr>
        <w:t xml:space="preserve">státy zachovat </w:t>
      </w:r>
      <w:r w:rsidR="00D44C5D" w:rsidRPr="00026D3E">
        <w:rPr>
          <w:rFonts w:ascii="Times New Roman" w:hAnsi="Times New Roman" w:cs="Times New Roman"/>
          <w:sz w:val="24"/>
          <w:szCs w:val="24"/>
        </w:rPr>
        <w:t>i jinak, než jeho moc vyvažovat (</w:t>
      </w:r>
      <w:r w:rsidR="00D44C5D" w:rsidRPr="00026D3E">
        <w:rPr>
          <w:rFonts w:ascii="Times New Roman" w:hAnsi="Times New Roman" w:cs="Times New Roman"/>
          <w:i/>
          <w:sz w:val="24"/>
          <w:szCs w:val="24"/>
        </w:rPr>
        <w:t>balancing</w:t>
      </w:r>
      <w:r w:rsidR="00D44C5D" w:rsidRPr="00026D3E">
        <w:rPr>
          <w:rFonts w:ascii="Times New Roman" w:hAnsi="Times New Roman" w:cs="Times New Roman"/>
          <w:sz w:val="24"/>
          <w:szCs w:val="24"/>
        </w:rPr>
        <w:t>) koalicí. Stejně tak se někteří mohou přid</w:t>
      </w:r>
      <w:r w:rsidR="0041188A" w:rsidRPr="00026D3E">
        <w:rPr>
          <w:rFonts w:ascii="Times New Roman" w:hAnsi="Times New Roman" w:cs="Times New Roman"/>
          <w:sz w:val="24"/>
          <w:szCs w:val="24"/>
        </w:rPr>
        <w:t>at na jeho stranu, což bývá</w:t>
      </w:r>
      <w:r w:rsidR="00D44C5D" w:rsidRPr="00026D3E">
        <w:rPr>
          <w:rFonts w:ascii="Times New Roman" w:hAnsi="Times New Roman" w:cs="Times New Roman"/>
          <w:sz w:val="24"/>
          <w:szCs w:val="24"/>
        </w:rPr>
        <w:t xml:space="preserve"> označován</w:t>
      </w:r>
      <w:r w:rsidR="0041188A" w:rsidRPr="00026D3E">
        <w:rPr>
          <w:rFonts w:ascii="Times New Roman" w:hAnsi="Times New Roman" w:cs="Times New Roman"/>
          <w:sz w:val="24"/>
          <w:szCs w:val="24"/>
        </w:rPr>
        <w:t>o</w:t>
      </w:r>
      <w:r w:rsidR="00D44C5D" w:rsidRPr="00026D3E">
        <w:rPr>
          <w:rFonts w:ascii="Times New Roman" w:hAnsi="Times New Roman" w:cs="Times New Roman"/>
          <w:sz w:val="24"/>
          <w:szCs w:val="24"/>
        </w:rPr>
        <w:t xml:space="preserve"> jako </w:t>
      </w:r>
      <w:r w:rsidR="00285A36" w:rsidRPr="00026D3E">
        <w:rPr>
          <w:rFonts w:ascii="Times New Roman" w:hAnsi="Times New Roman" w:cs="Times New Roman"/>
          <w:sz w:val="24"/>
          <w:szCs w:val="24"/>
        </w:rPr>
        <w:br/>
      </w:r>
      <w:r w:rsidR="0041188A" w:rsidRPr="00026D3E">
        <w:rPr>
          <w:rFonts w:ascii="Times New Roman" w:hAnsi="Times New Roman" w:cs="Times New Roman"/>
          <w:sz w:val="24"/>
          <w:szCs w:val="24"/>
        </w:rPr>
        <w:t xml:space="preserve">tzv. </w:t>
      </w:r>
      <w:r w:rsidR="00D44C5D" w:rsidRPr="00026D3E">
        <w:rPr>
          <w:rFonts w:ascii="Times New Roman" w:hAnsi="Times New Roman" w:cs="Times New Roman"/>
          <w:i/>
          <w:sz w:val="24"/>
          <w:szCs w:val="24"/>
        </w:rPr>
        <w:t>bandwagoning</w:t>
      </w:r>
      <w:r w:rsidR="001C38A7" w:rsidRPr="00026D3E">
        <w:rPr>
          <w:rStyle w:val="Znakapoznpodarou"/>
          <w:rFonts w:ascii="Times New Roman" w:hAnsi="Times New Roman" w:cs="Times New Roman"/>
          <w:i/>
          <w:sz w:val="24"/>
          <w:szCs w:val="24"/>
        </w:rPr>
        <w:footnoteReference w:id="5"/>
      </w:r>
      <w:r w:rsidR="00D44C5D" w:rsidRPr="00026D3E">
        <w:rPr>
          <w:rFonts w:ascii="Times New Roman" w:hAnsi="Times New Roman" w:cs="Times New Roman"/>
          <w:sz w:val="24"/>
          <w:szCs w:val="24"/>
        </w:rPr>
        <w:t xml:space="preserve">. </w:t>
      </w:r>
      <w:r w:rsidR="0041188A" w:rsidRPr="00026D3E">
        <w:rPr>
          <w:rFonts w:ascii="Times New Roman" w:hAnsi="Times New Roman" w:cs="Times New Roman"/>
          <w:sz w:val="24"/>
          <w:szCs w:val="24"/>
        </w:rPr>
        <w:t xml:space="preserve">V současné době tak </w:t>
      </w:r>
      <w:r w:rsidR="008A477C" w:rsidRPr="00026D3E">
        <w:rPr>
          <w:rFonts w:ascii="Times New Roman" w:hAnsi="Times New Roman" w:cs="Times New Roman"/>
          <w:sz w:val="24"/>
          <w:szCs w:val="24"/>
        </w:rPr>
        <w:t xml:space="preserve">bývá teorie mocenské rovnováhy </w:t>
      </w:r>
      <w:r w:rsidR="0041188A" w:rsidRPr="00026D3E">
        <w:rPr>
          <w:rFonts w:ascii="Times New Roman" w:hAnsi="Times New Roman" w:cs="Times New Roman"/>
          <w:sz w:val="24"/>
          <w:szCs w:val="24"/>
        </w:rPr>
        <w:t xml:space="preserve">zpochybňována, </w:t>
      </w:r>
      <w:r w:rsidR="00D80763" w:rsidRPr="00026D3E">
        <w:rPr>
          <w:rFonts w:ascii="Times New Roman" w:hAnsi="Times New Roman" w:cs="Times New Roman"/>
          <w:sz w:val="24"/>
          <w:szCs w:val="24"/>
        </w:rPr>
        <w:t>neboť</w:t>
      </w:r>
      <w:r w:rsidR="0041188A" w:rsidRPr="00026D3E">
        <w:rPr>
          <w:rFonts w:ascii="Times New Roman" w:hAnsi="Times New Roman" w:cs="Times New Roman"/>
          <w:sz w:val="24"/>
          <w:szCs w:val="24"/>
        </w:rPr>
        <w:t xml:space="preserve"> není zcela jasné, ke kterému ze zmíněných jevů ve skutečnosti dochází. </w:t>
      </w:r>
      <w:r w:rsidR="00076696" w:rsidRPr="00026D3E">
        <w:rPr>
          <w:rFonts w:ascii="Times New Roman" w:hAnsi="Times New Roman" w:cs="Times New Roman"/>
          <w:sz w:val="24"/>
          <w:szCs w:val="24"/>
        </w:rPr>
        <w:t>(Kratochvíl 2007: 57)</w:t>
      </w:r>
    </w:p>
    <w:p w:rsidR="000F62B7" w:rsidRPr="00026D3E" w:rsidRDefault="00647859" w:rsidP="00DC5379">
      <w:pPr>
        <w:spacing w:line="360" w:lineRule="auto"/>
        <w:ind w:firstLine="360"/>
        <w:jc w:val="both"/>
        <w:rPr>
          <w:rFonts w:ascii="Times New Roman" w:hAnsi="Times New Roman" w:cs="Times New Roman"/>
          <w:sz w:val="24"/>
          <w:szCs w:val="24"/>
        </w:rPr>
      </w:pPr>
      <w:r w:rsidRPr="00026D3E">
        <w:rPr>
          <w:rFonts w:ascii="Times New Roman" w:hAnsi="Times New Roman" w:cs="Times New Roman"/>
          <w:sz w:val="24"/>
          <w:szCs w:val="24"/>
        </w:rPr>
        <w:t>J</w:t>
      </w:r>
      <w:r w:rsidR="001450ED">
        <w:rPr>
          <w:rFonts w:ascii="Times New Roman" w:hAnsi="Times New Roman" w:cs="Times New Roman"/>
          <w:sz w:val="24"/>
          <w:szCs w:val="24"/>
        </w:rPr>
        <w:t>ako každé</w:t>
      </w:r>
      <w:r w:rsidR="001A3A09" w:rsidRPr="00026D3E">
        <w:rPr>
          <w:rFonts w:ascii="Times New Roman" w:hAnsi="Times New Roman" w:cs="Times New Roman"/>
          <w:sz w:val="24"/>
          <w:szCs w:val="24"/>
        </w:rPr>
        <w:t xml:space="preserve"> </w:t>
      </w:r>
      <w:r w:rsidR="001450ED">
        <w:rPr>
          <w:rFonts w:ascii="Times New Roman" w:hAnsi="Times New Roman" w:cs="Times New Roman"/>
          <w:sz w:val="24"/>
          <w:szCs w:val="24"/>
        </w:rPr>
        <w:t>paradigma</w:t>
      </w:r>
      <w:r w:rsidR="001A3A09" w:rsidRPr="00026D3E">
        <w:rPr>
          <w:rFonts w:ascii="Times New Roman" w:hAnsi="Times New Roman" w:cs="Times New Roman"/>
          <w:sz w:val="24"/>
          <w:szCs w:val="24"/>
        </w:rPr>
        <w:t xml:space="preserve"> má i </w:t>
      </w:r>
      <w:r w:rsidR="00F23E48" w:rsidRPr="00026D3E">
        <w:rPr>
          <w:rFonts w:ascii="Times New Roman" w:hAnsi="Times New Roman" w:cs="Times New Roman"/>
          <w:sz w:val="24"/>
          <w:szCs w:val="24"/>
        </w:rPr>
        <w:t>realismus</w:t>
      </w:r>
      <w:r w:rsidR="001A3A09" w:rsidRPr="00026D3E">
        <w:rPr>
          <w:rFonts w:ascii="Times New Roman" w:hAnsi="Times New Roman" w:cs="Times New Roman"/>
          <w:sz w:val="24"/>
          <w:szCs w:val="24"/>
        </w:rPr>
        <w:t xml:space="preserve"> několik jmen, které </w:t>
      </w:r>
      <w:r w:rsidR="004D61BA" w:rsidRPr="00026D3E">
        <w:rPr>
          <w:rFonts w:ascii="Times New Roman" w:hAnsi="Times New Roman" w:cs="Times New Roman"/>
          <w:sz w:val="24"/>
          <w:szCs w:val="24"/>
        </w:rPr>
        <w:t>v něm mají velké zásluhy</w:t>
      </w:r>
      <w:r w:rsidR="00EF4490" w:rsidRPr="00026D3E">
        <w:rPr>
          <w:rFonts w:ascii="Times New Roman" w:hAnsi="Times New Roman" w:cs="Times New Roman"/>
          <w:sz w:val="24"/>
          <w:szCs w:val="24"/>
        </w:rPr>
        <w:t xml:space="preserve"> a </w:t>
      </w:r>
      <w:r w:rsidR="004D61BA" w:rsidRPr="00026D3E">
        <w:rPr>
          <w:rFonts w:ascii="Times New Roman" w:hAnsi="Times New Roman" w:cs="Times New Roman"/>
          <w:sz w:val="24"/>
          <w:szCs w:val="24"/>
        </w:rPr>
        <w:t xml:space="preserve">jsou tak </w:t>
      </w:r>
      <w:r w:rsidR="001E404C" w:rsidRPr="00026D3E">
        <w:rPr>
          <w:rFonts w:ascii="Times New Roman" w:hAnsi="Times New Roman" w:cs="Times New Roman"/>
          <w:sz w:val="24"/>
          <w:szCs w:val="24"/>
        </w:rPr>
        <w:t xml:space="preserve"> diskuzi v literatuře často přítomni. </w:t>
      </w:r>
      <w:r w:rsidR="002B7A63" w:rsidRPr="00026D3E">
        <w:rPr>
          <w:rFonts w:ascii="Times New Roman" w:hAnsi="Times New Roman" w:cs="Times New Roman"/>
          <w:sz w:val="24"/>
          <w:szCs w:val="24"/>
        </w:rPr>
        <w:t>Jedním z nich je Hans Morgenthau, je</w:t>
      </w:r>
      <w:r w:rsidR="008A477C" w:rsidRPr="00026D3E">
        <w:rPr>
          <w:rFonts w:ascii="Times New Roman" w:hAnsi="Times New Roman" w:cs="Times New Roman"/>
          <w:sz w:val="24"/>
          <w:szCs w:val="24"/>
        </w:rPr>
        <w:t>hož</w:t>
      </w:r>
      <w:r w:rsidR="003168B7" w:rsidRPr="00026D3E">
        <w:rPr>
          <w:rFonts w:ascii="Times New Roman" w:hAnsi="Times New Roman" w:cs="Times New Roman"/>
          <w:sz w:val="24"/>
          <w:szCs w:val="24"/>
        </w:rPr>
        <w:t xml:space="preserve"> díla znovuoživila debatu o mezinárodních vztazích a jejich </w:t>
      </w:r>
      <w:r w:rsidR="00A6055D" w:rsidRPr="00026D3E">
        <w:rPr>
          <w:rFonts w:ascii="Times New Roman" w:hAnsi="Times New Roman" w:cs="Times New Roman"/>
          <w:sz w:val="24"/>
          <w:szCs w:val="24"/>
        </w:rPr>
        <w:t>povaze a přispěla k rozvoji tohoto</w:t>
      </w:r>
      <w:r w:rsidR="003168B7" w:rsidRPr="00026D3E">
        <w:rPr>
          <w:rFonts w:ascii="Times New Roman" w:hAnsi="Times New Roman" w:cs="Times New Roman"/>
          <w:sz w:val="24"/>
          <w:szCs w:val="24"/>
        </w:rPr>
        <w:t xml:space="preserve"> samostatného vědního oboru. </w:t>
      </w:r>
      <w:r w:rsidR="00090980" w:rsidRPr="00026D3E">
        <w:rPr>
          <w:rFonts w:ascii="Times New Roman" w:hAnsi="Times New Roman" w:cs="Times New Roman"/>
          <w:sz w:val="24"/>
          <w:szCs w:val="24"/>
        </w:rPr>
        <w:t>Morgenthau je považován za nejvýznamnějšího představitele klasického realismu. U</w:t>
      </w:r>
      <w:r w:rsidR="00DA6FA5" w:rsidRPr="00026D3E">
        <w:rPr>
          <w:rFonts w:ascii="Times New Roman" w:hAnsi="Times New Roman" w:cs="Times New Roman"/>
          <w:sz w:val="24"/>
          <w:szCs w:val="24"/>
        </w:rPr>
        <w:t xml:space="preserve">siloval o vytvoření teorie, která by vysvětlila jevy mezinárodní politiky. Toto úsilí je nejlépe shrnuto v jeho </w:t>
      </w:r>
      <w:r w:rsidR="00D94922" w:rsidRPr="00026D3E">
        <w:rPr>
          <w:rFonts w:ascii="Times New Roman" w:hAnsi="Times New Roman" w:cs="Times New Roman"/>
          <w:sz w:val="24"/>
          <w:szCs w:val="24"/>
        </w:rPr>
        <w:t>patrně nejznám</w:t>
      </w:r>
      <w:r w:rsidR="00DA6FA5" w:rsidRPr="00026D3E">
        <w:rPr>
          <w:rFonts w:ascii="Times New Roman" w:hAnsi="Times New Roman" w:cs="Times New Roman"/>
          <w:sz w:val="24"/>
          <w:szCs w:val="24"/>
        </w:rPr>
        <w:t>ějším díle</w:t>
      </w:r>
      <w:r w:rsidR="00085132" w:rsidRPr="00026D3E">
        <w:rPr>
          <w:rFonts w:ascii="Times New Roman" w:hAnsi="Times New Roman" w:cs="Times New Roman"/>
          <w:sz w:val="24"/>
          <w:szCs w:val="24"/>
        </w:rPr>
        <w:t xml:space="preserve"> </w:t>
      </w:r>
      <w:r w:rsidR="00CD32BE" w:rsidRPr="00026D3E">
        <w:rPr>
          <w:rFonts w:ascii="Times New Roman" w:hAnsi="Times New Roman" w:cs="Times New Roman"/>
          <w:i/>
          <w:sz w:val="24"/>
          <w:szCs w:val="24"/>
        </w:rPr>
        <w:t>Politics Among Nations</w:t>
      </w:r>
      <w:r w:rsidR="00085132" w:rsidRPr="00026D3E">
        <w:rPr>
          <w:rFonts w:ascii="Times New Roman" w:hAnsi="Times New Roman" w:cs="Times New Roman"/>
          <w:i/>
          <w:sz w:val="24"/>
          <w:szCs w:val="24"/>
        </w:rPr>
        <w:t xml:space="preserve">, </w:t>
      </w:r>
      <w:r w:rsidR="00085132" w:rsidRPr="00026D3E">
        <w:rPr>
          <w:rFonts w:ascii="Times New Roman" w:hAnsi="Times New Roman" w:cs="Times New Roman"/>
          <w:sz w:val="24"/>
          <w:szCs w:val="24"/>
        </w:rPr>
        <w:t>často označováno za čítanku realismu</w:t>
      </w:r>
      <w:r w:rsidR="00CD32BE" w:rsidRPr="00026D3E">
        <w:rPr>
          <w:rFonts w:ascii="Times New Roman" w:hAnsi="Times New Roman" w:cs="Times New Roman"/>
          <w:i/>
          <w:sz w:val="24"/>
          <w:szCs w:val="24"/>
        </w:rPr>
        <w:t xml:space="preserve">. </w:t>
      </w:r>
      <w:r w:rsidR="00D94922" w:rsidRPr="00026D3E">
        <w:rPr>
          <w:rFonts w:ascii="Times New Roman" w:hAnsi="Times New Roman" w:cs="Times New Roman"/>
          <w:sz w:val="24"/>
          <w:szCs w:val="24"/>
        </w:rPr>
        <w:t xml:space="preserve">V něm se právě věnuje také teorii mocenské rovnováhy. </w:t>
      </w:r>
      <w:r w:rsidR="00F23E48" w:rsidRPr="00026D3E">
        <w:rPr>
          <w:rFonts w:ascii="Times New Roman" w:hAnsi="Times New Roman" w:cs="Times New Roman"/>
          <w:sz w:val="24"/>
          <w:szCs w:val="24"/>
        </w:rPr>
        <w:t>Dle Morgenthaua slovo rovnováha nejen vysvětluje, ale je také samotným stavem o sobě. O rovnováze hovořil nejen ve smys</w:t>
      </w:r>
      <w:r w:rsidR="00D94922" w:rsidRPr="00026D3E">
        <w:rPr>
          <w:rFonts w:ascii="Times New Roman" w:hAnsi="Times New Roman" w:cs="Times New Roman"/>
          <w:sz w:val="24"/>
          <w:szCs w:val="24"/>
        </w:rPr>
        <w:t>lu společnosti, ale také lidského</w:t>
      </w:r>
      <w:r w:rsidR="00F23E48" w:rsidRPr="00026D3E">
        <w:rPr>
          <w:rFonts w:ascii="Times New Roman" w:hAnsi="Times New Roman" w:cs="Times New Roman"/>
          <w:sz w:val="24"/>
          <w:szCs w:val="24"/>
        </w:rPr>
        <w:t xml:space="preserve"> organismu, viděl v ní jakýsi univerzální</w:t>
      </w:r>
      <w:r w:rsidR="00DA6FA5" w:rsidRPr="00026D3E">
        <w:rPr>
          <w:rFonts w:ascii="Times New Roman" w:hAnsi="Times New Roman" w:cs="Times New Roman"/>
          <w:sz w:val="24"/>
          <w:szCs w:val="24"/>
        </w:rPr>
        <w:t xml:space="preserve"> koncept</w:t>
      </w:r>
      <w:r w:rsidR="00F23E48" w:rsidRPr="00026D3E">
        <w:rPr>
          <w:rFonts w:ascii="Times New Roman" w:hAnsi="Times New Roman" w:cs="Times New Roman"/>
          <w:sz w:val="24"/>
          <w:szCs w:val="24"/>
        </w:rPr>
        <w:t xml:space="preserve">. </w:t>
      </w:r>
    </w:p>
    <w:p w:rsidR="0077148D" w:rsidRPr="00026D3E" w:rsidRDefault="00D94922" w:rsidP="00210E44">
      <w:pPr>
        <w:spacing w:line="360" w:lineRule="auto"/>
        <w:ind w:firstLine="360"/>
        <w:jc w:val="both"/>
        <w:rPr>
          <w:rFonts w:ascii="Times New Roman" w:hAnsi="Times New Roman" w:cs="Times New Roman"/>
          <w:sz w:val="24"/>
          <w:szCs w:val="24"/>
        </w:rPr>
      </w:pPr>
      <w:r w:rsidRPr="00026D3E">
        <w:rPr>
          <w:rFonts w:ascii="Times New Roman" w:hAnsi="Times New Roman" w:cs="Times New Roman"/>
          <w:sz w:val="24"/>
          <w:szCs w:val="24"/>
        </w:rPr>
        <w:t xml:space="preserve">Významným zástupcem realistického paradigmatu je také Kenneth Waltz, jehož dílo </w:t>
      </w:r>
      <w:r w:rsidR="007D586D" w:rsidRPr="00026D3E">
        <w:rPr>
          <w:rFonts w:ascii="Times New Roman" w:hAnsi="Times New Roman" w:cs="Times New Roman"/>
          <w:i/>
          <w:sz w:val="24"/>
          <w:szCs w:val="24"/>
        </w:rPr>
        <w:t>Theory of International Politics</w:t>
      </w:r>
      <w:r w:rsidR="007D586D" w:rsidRPr="00026D3E">
        <w:rPr>
          <w:rFonts w:ascii="Times New Roman" w:hAnsi="Times New Roman" w:cs="Times New Roman"/>
          <w:sz w:val="24"/>
          <w:szCs w:val="24"/>
        </w:rPr>
        <w:t xml:space="preserve"> </w:t>
      </w:r>
      <w:r w:rsidRPr="00026D3E">
        <w:rPr>
          <w:rFonts w:ascii="Times New Roman" w:hAnsi="Times New Roman" w:cs="Times New Roman"/>
          <w:sz w:val="24"/>
          <w:szCs w:val="24"/>
        </w:rPr>
        <w:t xml:space="preserve">je považováno za základ </w:t>
      </w:r>
      <w:r w:rsidR="00464800">
        <w:rPr>
          <w:rFonts w:ascii="Times New Roman" w:hAnsi="Times New Roman" w:cs="Times New Roman"/>
          <w:sz w:val="24"/>
          <w:szCs w:val="24"/>
        </w:rPr>
        <w:t xml:space="preserve">strukturálního realismu – asi nejvýraznější varianty </w:t>
      </w:r>
      <w:r w:rsidR="007D586D" w:rsidRPr="00026D3E">
        <w:rPr>
          <w:rFonts w:ascii="Times New Roman" w:hAnsi="Times New Roman" w:cs="Times New Roman"/>
          <w:sz w:val="24"/>
          <w:szCs w:val="24"/>
        </w:rPr>
        <w:t>neorealismu</w:t>
      </w:r>
      <w:r w:rsidR="00230B2B" w:rsidRPr="00026D3E">
        <w:rPr>
          <w:rFonts w:ascii="Times New Roman" w:hAnsi="Times New Roman" w:cs="Times New Roman"/>
          <w:sz w:val="24"/>
          <w:szCs w:val="24"/>
        </w:rPr>
        <w:t xml:space="preserve">. </w:t>
      </w:r>
      <w:r w:rsidR="00C342A7" w:rsidRPr="00026D3E">
        <w:rPr>
          <w:rFonts w:ascii="Times New Roman" w:hAnsi="Times New Roman" w:cs="Times New Roman"/>
          <w:sz w:val="24"/>
          <w:szCs w:val="24"/>
        </w:rPr>
        <w:t xml:space="preserve">Neorealismus se od klasického realismu liší především tím, že k mezinárodním vztahům přistupuje z hlediska systémového, tedy na systém nahlíží nejen jako na celek, ve kterém se pohybují aktéři (státy), ale také jako </w:t>
      </w:r>
      <w:r w:rsidR="00500A5F" w:rsidRPr="00026D3E">
        <w:rPr>
          <w:rFonts w:ascii="Times New Roman" w:hAnsi="Times New Roman" w:cs="Times New Roman"/>
          <w:sz w:val="24"/>
          <w:szCs w:val="24"/>
        </w:rPr>
        <w:t xml:space="preserve">na </w:t>
      </w:r>
      <w:r w:rsidR="00C342A7" w:rsidRPr="00026D3E">
        <w:rPr>
          <w:rFonts w:ascii="Times New Roman" w:hAnsi="Times New Roman" w:cs="Times New Roman"/>
          <w:sz w:val="24"/>
          <w:szCs w:val="24"/>
        </w:rPr>
        <w:t xml:space="preserve">koncept, který definuje podobu jejich jednání. </w:t>
      </w:r>
      <w:r w:rsidR="00ED6761" w:rsidRPr="00026D3E">
        <w:rPr>
          <w:rFonts w:ascii="Times New Roman" w:hAnsi="Times New Roman" w:cs="Times New Roman"/>
          <w:sz w:val="24"/>
          <w:szCs w:val="24"/>
        </w:rPr>
        <w:t>H</w:t>
      </w:r>
      <w:r w:rsidR="00C342A7" w:rsidRPr="00026D3E">
        <w:rPr>
          <w:rFonts w:ascii="Times New Roman" w:hAnsi="Times New Roman" w:cs="Times New Roman"/>
          <w:sz w:val="24"/>
          <w:szCs w:val="24"/>
        </w:rPr>
        <w:t xml:space="preserve">lavním předmětem jeho zájmu je rozdělení moci v systému. (Kratochvíl 2007: 42) </w:t>
      </w:r>
      <w:r w:rsidR="009F3256" w:rsidRPr="00026D3E">
        <w:rPr>
          <w:rFonts w:ascii="Times New Roman" w:hAnsi="Times New Roman" w:cs="Times New Roman"/>
          <w:sz w:val="24"/>
          <w:szCs w:val="24"/>
        </w:rPr>
        <w:t>Neexistuje shoda na tom, zda neorealismus představuje samostatné paradigma</w:t>
      </w:r>
      <w:r w:rsidR="00D15214" w:rsidRPr="00026D3E">
        <w:rPr>
          <w:rFonts w:ascii="Times New Roman" w:hAnsi="Times New Roman" w:cs="Times New Roman"/>
          <w:sz w:val="24"/>
          <w:szCs w:val="24"/>
        </w:rPr>
        <w:t xml:space="preserve"> (čehož zastáncem je Waltz 1997:913)</w:t>
      </w:r>
      <w:r w:rsidR="009F3256" w:rsidRPr="00026D3E">
        <w:rPr>
          <w:rFonts w:ascii="Times New Roman" w:hAnsi="Times New Roman" w:cs="Times New Roman"/>
          <w:sz w:val="24"/>
          <w:szCs w:val="24"/>
        </w:rPr>
        <w:t xml:space="preserve">, či </w:t>
      </w:r>
      <w:r w:rsidR="00DF2229" w:rsidRPr="00026D3E">
        <w:rPr>
          <w:rFonts w:ascii="Times New Roman" w:hAnsi="Times New Roman" w:cs="Times New Roman"/>
          <w:sz w:val="24"/>
          <w:szCs w:val="24"/>
        </w:rPr>
        <w:t>pouze vytváří</w:t>
      </w:r>
      <w:r w:rsidR="009F3256" w:rsidRPr="00026D3E">
        <w:rPr>
          <w:rFonts w:ascii="Times New Roman" w:hAnsi="Times New Roman" w:cs="Times New Roman"/>
          <w:sz w:val="24"/>
          <w:szCs w:val="24"/>
        </w:rPr>
        <w:t xml:space="preserve"> </w:t>
      </w:r>
      <w:r w:rsidR="000E1C59" w:rsidRPr="00026D3E">
        <w:rPr>
          <w:rFonts w:ascii="Times New Roman" w:hAnsi="Times New Roman" w:cs="Times New Roman"/>
          <w:sz w:val="24"/>
          <w:szCs w:val="24"/>
        </w:rPr>
        <w:t>nový proud realismu</w:t>
      </w:r>
      <w:r w:rsidR="00D15214" w:rsidRPr="00026D3E">
        <w:rPr>
          <w:rFonts w:ascii="Times New Roman" w:hAnsi="Times New Roman" w:cs="Times New Roman"/>
          <w:sz w:val="24"/>
          <w:szCs w:val="24"/>
        </w:rPr>
        <w:t xml:space="preserve">. </w:t>
      </w:r>
      <w:r w:rsidR="0004141D" w:rsidRPr="00026D3E">
        <w:rPr>
          <w:rFonts w:ascii="Times New Roman" w:hAnsi="Times New Roman" w:cs="Times New Roman"/>
          <w:sz w:val="24"/>
          <w:szCs w:val="24"/>
        </w:rPr>
        <w:t>P</w:t>
      </w:r>
      <w:r w:rsidR="000851EA" w:rsidRPr="00026D3E">
        <w:rPr>
          <w:rFonts w:ascii="Times New Roman" w:hAnsi="Times New Roman" w:cs="Times New Roman"/>
          <w:sz w:val="24"/>
          <w:szCs w:val="24"/>
        </w:rPr>
        <w:t>ředstavitelé neorealismu vnímají teorii mocenské rovnováhy odlišně od</w:t>
      </w:r>
      <w:r w:rsidR="00BB5D63" w:rsidRPr="00026D3E">
        <w:rPr>
          <w:rFonts w:ascii="Times New Roman" w:hAnsi="Times New Roman" w:cs="Times New Roman"/>
          <w:sz w:val="24"/>
          <w:szCs w:val="24"/>
        </w:rPr>
        <w:t xml:space="preserve"> pře</w:t>
      </w:r>
      <w:r w:rsidR="000851EA" w:rsidRPr="00026D3E">
        <w:rPr>
          <w:rFonts w:ascii="Times New Roman" w:hAnsi="Times New Roman" w:cs="Times New Roman"/>
          <w:sz w:val="24"/>
          <w:szCs w:val="24"/>
        </w:rPr>
        <w:t>dstavitelů</w:t>
      </w:r>
      <w:r w:rsidR="00BB5D63" w:rsidRPr="00026D3E">
        <w:rPr>
          <w:rFonts w:ascii="Times New Roman" w:hAnsi="Times New Roman" w:cs="Times New Roman"/>
          <w:sz w:val="24"/>
          <w:szCs w:val="24"/>
        </w:rPr>
        <w:t xml:space="preserve"> klasického realismu. </w:t>
      </w:r>
      <w:r w:rsidR="000851EA" w:rsidRPr="00026D3E">
        <w:rPr>
          <w:rFonts w:ascii="Times New Roman" w:hAnsi="Times New Roman" w:cs="Times New Roman"/>
          <w:sz w:val="24"/>
          <w:szCs w:val="24"/>
        </w:rPr>
        <w:t>Například Morgenthau vidí rov</w:t>
      </w:r>
      <w:r w:rsidR="0004141D" w:rsidRPr="00026D3E">
        <w:rPr>
          <w:rFonts w:ascii="Times New Roman" w:hAnsi="Times New Roman" w:cs="Times New Roman"/>
          <w:sz w:val="24"/>
          <w:szCs w:val="24"/>
        </w:rPr>
        <w:t>nováhu jako úmysl, který má</w:t>
      </w:r>
      <w:r w:rsidR="000851EA" w:rsidRPr="00026D3E">
        <w:rPr>
          <w:rFonts w:ascii="Times New Roman" w:hAnsi="Times New Roman" w:cs="Times New Roman"/>
          <w:sz w:val="24"/>
          <w:szCs w:val="24"/>
        </w:rPr>
        <w:t xml:space="preserve"> nevyhnutelně každý státník. Naproti tomu Waltz ji chápe jako jev, který vznikne </w:t>
      </w:r>
      <w:r w:rsidR="000B56CC" w:rsidRPr="00026D3E">
        <w:rPr>
          <w:rFonts w:ascii="Times New Roman" w:hAnsi="Times New Roman" w:cs="Times New Roman"/>
          <w:sz w:val="24"/>
          <w:szCs w:val="24"/>
        </w:rPr>
        <w:br/>
      </w:r>
      <w:r w:rsidR="000851EA" w:rsidRPr="00026D3E">
        <w:rPr>
          <w:rFonts w:ascii="Times New Roman" w:hAnsi="Times New Roman" w:cs="Times New Roman"/>
          <w:sz w:val="24"/>
          <w:szCs w:val="24"/>
        </w:rPr>
        <w:t xml:space="preserve">za všech </w:t>
      </w:r>
      <w:r w:rsidR="00BE7B96" w:rsidRPr="00026D3E">
        <w:rPr>
          <w:rFonts w:ascii="Times New Roman" w:hAnsi="Times New Roman" w:cs="Times New Roman"/>
          <w:sz w:val="24"/>
          <w:szCs w:val="24"/>
        </w:rPr>
        <w:t xml:space="preserve">okolností, zamýšlen či nikoliv. (Waltz </w:t>
      </w:r>
      <w:r w:rsidR="00DD4872" w:rsidRPr="00026D3E">
        <w:rPr>
          <w:rFonts w:ascii="Times New Roman" w:hAnsi="Times New Roman" w:cs="Times New Roman"/>
          <w:sz w:val="24"/>
          <w:szCs w:val="24"/>
        </w:rPr>
        <w:t xml:space="preserve">1997: </w:t>
      </w:r>
      <w:r w:rsidR="00BE7B96" w:rsidRPr="00026D3E">
        <w:rPr>
          <w:rFonts w:ascii="Times New Roman" w:hAnsi="Times New Roman" w:cs="Times New Roman"/>
          <w:sz w:val="24"/>
          <w:szCs w:val="24"/>
        </w:rPr>
        <w:t>914)</w:t>
      </w:r>
      <w:r w:rsidR="00210E44">
        <w:rPr>
          <w:rFonts w:ascii="Times New Roman" w:hAnsi="Times New Roman" w:cs="Times New Roman"/>
          <w:sz w:val="24"/>
          <w:szCs w:val="24"/>
        </w:rPr>
        <w:t xml:space="preserve"> </w:t>
      </w:r>
      <w:r w:rsidR="00EE7315" w:rsidRPr="00026D3E">
        <w:rPr>
          <w:rFonts w:ascii="Times New Roman" w:hAnsi="Times New Roman" w:cs="Times New Roman"/>
          <w:sz w:val="24"/>
          <w:szCs w:val="24"/>
        </w:rPr>
        <w:t>V so</w:t>
      </w:r>
      <w:r w:rsidR="0029754C" w:rsidRPr="00026D3E">
        <w:rPr>
          <w:rFonts w:ascii="Times New Roman" w:hAnsi="Times New Roman" w:cs="Times New Roman"/>
          <w:sz w:val="24"/>
          <w:szCs w:val="24"/>
        </w:rPr>
        <w:t>uvislosti s</w:t>
      </w:r>
      <w:r w:rsidR="008A477C" w:rsidRPr="00026D3E">
        <w:rPr>
          <w:rFonts w:ascii="Times New Roman" w:hAnsi="Times New Roman" w:cs="Times New Roman"/>
          <w:sz w:val="24"/>
          <w:szCs w:val="24"/>
        </w:rPr>
        <w:t xml:space="preserve"> </w:t>
      </w:r>
      <w:r w:rsidR="001A0654" w:rsidRPr="00026D3E">
        <w:rPr>
          <w:rFonts w:ascii="Times New Roman" w:hAnsi="Times New Roman" w:cs="Times New Roman"/>
          <w:sz w:val="24"/>
          <w:szCs w:val="24"/>
        </w:rPr>
        <w:t>kritickým zhodnocením</w:t>
      </w:r>
      <w:r w:rsidR="00CD78F0" w:rsidRPr="00026D3E">
        <w:rPr>
          <w:rFonts w:ascii="Times New Roman" w:hAnsi="Times New Roman" w:cs="Times New Roman"/>
          <w:sz w:val="24"/>
          <w:szCs w:val="24"/>
        </w:rPr>
        <w:t>, jemuž</w:t>
      </w:r>
      <w:r w:rsidR="00EE7315" w:rsidRPr="00026D3E">
        <w:rPr>
          <w:rFonts w:ascii="Times New Roman" w:hAnsi="Times New Roman" w:cs="Times New Roman"/>
          <w:sz w:val="24"/>
          <w:szCs w:val="24"/>
        </w:rPr>
        <w:t xml:space="preserve"> </w:t>
      </w:r>
      <w:r w:rsidR="001A0654" w:rsidRPr="00026D3E">
        <w:rPr>
          <w:rFonts w:ascii="Times New Roman" w:hAnsi="Times New Roman" w:cs="Times New Roman"/>
          <w:sz w:val="24"/>
          <w:szCs w:val="24"/>
        </w:rPr>
        <w:t xml:space="preserve">byl </w:t>
      </w:r>
      <w:r w:rsidR="00EE7315" w:rsidRPr="00026D3E">
        <w:rPr>
          <w:rFonts w:ascii="Times New Roman" w:hAnsi="Times New Roman" w:cs="Times New Roman"/>
          <w:sz w:val="24"/>
          <w:szCs w:val="24"/>
        </w:rPr>
        <w:t>neorealismus</w:t>
      </w:r>
      <w:r w:rsidR="001A0654" w:rsidRPr="00026D3E">
        <w:rPr>
          <w:rFonts w:ascii="Times New Roman" w:hAnsi="Times New Roman" w:cs="Times New Roman"/>
          <w:sz w:val="24"/>
          <w:szCs w:val="24"/>
        </w:rPr>
        <w:t xml:space="preserve"> </w:t>
      </w:r>
      <w:r w:rsidR="00500A5F" w:rsidRPr="00026D3E">
        <w:rPr>
          <w:rFonts w:ascii="Times New Roman" w:hAnsi="Times New Roman" w:cs="Times New Roman"/>
          <w:sz w:val="24"/>
          <w:szCs w:val="24"/>
        </w:rPr>
        <w:t>v následujících letech vystaven,</w:t>
      </w:r>
      <w:r w:rsidR="00EE7315" w:rsidRPr="00026D3E">
        <w:rPr>
          <w:rFonts w:ascii="Times New Roman" w:hAnsi="Times New Roman" w:cs="Times New Roman"/>
          <w:sz w:val="24"/>
          <w:szCs w:val="24"/>
        </w:rPr>
        <w:t xml:space="preserve"> je za </w:t>
      </w:r>
      <w:r w:rsidR="001A0654" w:rsidRPr="00026D3E">
        <w:rPr>
          <w:rFonts w:ascii="Times New Roman" w:hAnsi="Times New Roman" w:cs="Times New Roman"/>
          <w:sz w:val="24"/>
          <w:szCs w:val="24"/>
        </w:rPr>
        <w:t xml:space="preserve">přední </w:t>
      </w:r>
      <w:r w:rsidR="00EE7315" w:rsidRPr="00026D3E">
        <w:rPr>
          <w:rFonts w:ascii="Times New Roman" w:hAnsi="Times New Roman" w:cs="Times New Roman"/>
          <w:sz w:val="24"/>
          <w:szCs w:val="24"/>
        </w:rPr>
        <w:t xml:space="preserve">důkaz jeho selhání považován zánik bipolarity na konci osmdesátých let minulého století. Poukazuje </w:t>
      </w:r>
      <w:r w:rsidR="00EE7315" w:rsidRPr="00026D3E">
        <w:rPr>
          <w:rFonts w:ascii="Times New Roman" w:hAnsi="Times New Roman" w:cs="Times New Roman"/>
          <w:sz w:val="24"/>
          <w:szCs w:val="24"/>
        </w:rPr>
        <w:lastRenderedPageBreak/>
        <w:t>se na skutečnost</w:t>
      </w:r>
      <w:r w:rsidR="008A477C" w:rsidRPr="00026D3E">
        <w:rPr>
          <w:rFonts w:ascii="Times New Roman" w:hAnsi="Times New Roman" w:cs="Times New Roman"/>
          <w:sz w:val="24"/>
          <w:szCs w:val="24"/>
        </w:rPr>
        <w:t xml:space="preserve">, že nebyl schopen předpovědět </w:t>
      </w:r>
      <w:r w:rsidR="00EE7315" w:rsidRPr="00026D3E">
        <w:rPr>
          <w:rFonts w:ascii="Times New Roman" w:hAnsi="Times New Roman" w:cs="Times New Roman"/>
          <w:sz w:val="24"/>
          <w:szCs w:val="24"/>
        </w:rPr>
        <w:t xml:space="preserve">zánik ani změny, které k této zásadní proměně struktury mezinárodního systému vedly. </w:t>
      </w:r>
      <w:r w:rsidR="00917E4C" w:rsidRPr="00026D3E">
        <w:rPr>
          <w:rFonts w:ascii="Times New Roman" w:hAnsi="Times New Roman" w:cs="Times New Roman"/>
          <w:sz w:val="24"/>
          <w:szCs w:val="24"/>
        </w:rPr>
        <w:t>(</w:t>
      </w:r>
      <w:r w:rsidR="00DA5D60" w:rsidRPr="00026D3E">
        <w:rPr>
          <w:rFonts w:ascii="Times New Roman" w:hAnsi="Times New Roman" w:cs="Times New Roman"/>
          <w:sz w:val="24"/>
          <w:szCs w:val="24"/>
        </w:rPr>
        <w:t>Kolman</w:t>
      </w:r>
      <w:r w:rsidR="00917E4C" w:rsidRPr="00026D3E">
        <w:rPr>
          <w:rFonts w:ascii="Times New Roman" w:hAnsi="Times New Roman" w:cs="Times New Roman"/>
          <w:sz w:val="24"/>
          <w:szCs w:val="24"/>
        </w:rPr>
        <w:t xml:space="preserve"> </w:t>
      </w:r>
      <w:r w:rsidR="00DD4872" w:rsidRPr="00026D3E">
        <w:rPr>
          <w:rFonts w:ascii="Times New Roman" w:hAnsi="Times New Roman" w:cs="Times New Roman"/>
          <w:sz w:val="24"/>
          <w:szCs w:val="24"/>
        </w:rPr>
        <w:t>2005:</w:t>
      </w:r>
      <w:r w:rsidR="00917E4C" w:rsidRPr="00026D3E">
        <w:rPr>
          <w:rFonts w:ascii="Times New Roman" w:hAnsi="Times New Roman" w:cs="Times New Roman"/>
          <w:sz w:val="24"/>
          <w:szCs w:val="24"/>
        </w:rPr>
        <w:t>68)</w:t>
      </w:r>
      <w:r w:rsidR="00722AC8" w:rsidRPr="00026D3E">
        <w:rPr>
          <w:rFonts w:ascii="Times New Roman" w:hAnsi="Times New Roman" w:cs="Times New Roman"/>
          <w:sz w:val="24"/>
          <w:szCs w:val="24"/>
        </w:rPr>
        <w:t xml:space="preserve"> </w:t>
      </w:r>
      <w:r w:rsidR="00EE7315" w:rsidRPr="00026D3E">
        <w:rPr>
          <w:rFonts w:ascii="Times New Roman" w:hAnsi="Times New Roman" w:cs="Times New Roman"/>
          <w:sz w:val="24"/>
          <w:szCs w:val="24"/>
        </w:rPr>
        <w:t xml:space="preserve">Sám Waltz </w:t>
      </w:r>
      <w:r w:rsidR="00917E4C" w:rsidRPr="00026D3E">
        <w:rPr>
          <w:rFonts w:ascii="Times New Roman" w:hAnsi="Times New Roman" w:cs="Times New Roman"/>
          <w:sz w:val="24"/>
          <w:szCs w:val="24"/>
        </w:rPr>
        <w:t>argumentuje tím, že teorie je instrumentem užívaným k vysvětlení vymezené části reality, jejíž skutečné rozměry nikdy nemůžeme poznat. (Waltz</w:t>
      </w:r>
      <w:r w:rsidR="00DD4872" w:rsidRPr="00026D3E">
        <w:rPr>
          <w:rFonts w:ascii="Times New Roman" w:hAnsi="Times New Roman" w:cs="Times New Roman"/>
          <w:sz w:val="24"/>
          <w:szCs w:val="24"/>
        </w:rPr>
        <w:t xml:space="preserve"> 1997:</w:t>
      </w:r>
      <w:r w:rsidR="00917E4C" w:rsidRPr="00026D3E">
        <w:rPr>
          <w:rFonts w:ascii="Times New Roman" w:hAnsi="Times New Roman" w:cs="Times New Roman"/>
          <w:sz w:val="24"/>
          <w:szCs w:val="24"/>
        </w:rPr>
        <w:t xml:space="preserve"> 913</w:t>
      </w:r>
      <w:r w:rsidR="00424477" w:rsidRPr="00026D3E">
        <w:rPr>
          <w:rFonts w:ascii="Times New Roman" w:hAnsi="Times New Roman" w:cs="Times New Roman"/>
          <w:sz w:val="24"/>
          <w:szCs w:val="24"/>
        </w:rPr>
        <w:t>)</w:t>
      </w:r>
    </w:p>
    <w:p w:rsidR="006F311A" w:rsidRDefault="006F311A" w:rsidP="00210E44">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Na Waltze </w:t>
      </w:r>
      <w:r w:rsidR="006F1BFE" w:rsidRPr="00026D3E">
        <w:rPr>
          <w:rFonts w:ascii="Times New Roman" w:hAnsi="Times New Roman" w:cs="Times New Roman"/>
          <w:sz w:val="24"/>
          <w:szCs w:val="24"/>
        </w:rPr>
        <w:t>a nově představený</w:t>
      </w:r>
      <w:r w:rsidR="004A44D2" w:rsidRPr="00026D3E">
        <w:rPr>
          <w:rFonts w:ascii="Times New Roman" w:hAnsi="Times New Roman" w:cs="Times New Roman"/>
          <w:sz w:val="24"/>
          <w:szCs w:val="24"/>
        </w:rPr>
        <w:t xml:space="preserve"> neorealismus reagovali</w:t>
      </w:r>
      <w:r w:rsidR="006F1BFE" w:rsidRPr="00026D3E">
        <w:rPr>
          <w:rFonts w:ascii="Times New Roman" w:hAnsi="Times New Roman" w:cs="Times New Roman"/>
          <w:sz w:val="24"/>
          <w:szCs w:val="24"/>
        </w:rPr>
        <w:t xml:space="preserve"> v následujících letech další autoři, z</w:t>
      </w:r>
      <w:r w:rsidR="00722AC8" w:rsidRPr="00026D3E">
        <w:rPr>
          <w:rFonts w:ascii="Times New Roman" w:hAnsi="Times New Roman" w:cs="Times New Roman"/>
          <w:sz w:val="24"/>
          <w:szCs w:val="24"/>
        </w:rPr>
        <w:t>ejména pak Stephen Walt</w:t>
      </w:r>
      <w:r w:rsidR="003C6C73" w:rsidRPr="00026D3E">
        <w:rPr>
          <w:rFonts w:ascii="Times New Roman" w:hAnsi="Times New Roman" w:cs="Times New Roman"/>
          <w:sz w:val="24"/>
          <w:szCs w:val="24"/>
        </w:rPr>
        <w:t xml:space="preserve"> a jeho publikace </w:t>
      </w:r>
      <w:r w:rsidR="00881161">
        <w:rPr>
          <w:rFonts w:ascii="Times New Roman" w:hAnsi="Times New Roman" w:cs="Times New Roman"/>
          <w:i/>
          <w:sz w:val="24"/>
          <w:szCs w:val="24"/>
        </w:rPr>
        <w:t>The Origins of A</w:t>
      </w:r>
      <w:r w:rsidR="003C6C73" w:rsidRPr="00026D3E">
        <w:rPr>
          <w:rFonts w:ascii="Times New Roman" w:hAnsi="Times New Roman" w:cs="Times New Roman"/>
          <w:i/>
          <w:sz w:val="24"/>
          <w:szCs w:val="24"/>
        </w:rPr>
        <w:t>lliances</w:t>
      </w:r>
      <w:r w:rsidR="003C6C73" w:rsidRPr="00026D3E">
        <w:rPr>
          <w:rFonts w:ascii="Times New Roman" w:hAnsi="Times New Roman" w:cs="Times New Roman"/>
          <w:sz w:val="24"/>
          <w:szCs w:val="24"/>
        </w:rPr>
        <w:t xml:space="preserve">.  </w:t>
      </w:r>
      <w:r w:rsidR="008A477C" w:rsidRPr="00026D3E">
        <w:rPr>
          <w:rFonts w:ascii="Times New Roman" w:hAnsi="Times New Roman" w:cs="Times New Roman"/>
          <w:sz w:val="24"/>
          <w:szCs w:val="24"/>
        </w:rPr>
        <w:t xml:space="preserve">Jedná se o obsáhlou studii </w:t>
      </w:r>
      <w:r w:rsidR="00906C0C" w:rsidRPr="00026D3E">
        <w:rPr>
          <w:rFonts w:ascii="Times New Roman" w:hAnsi="Times New Roman" w:cs="Times New Roman"/>
          <w:sz w:val="24"/>
          <w:szCs w:val="24"/>
        </w:rPr>
        <w:t xml:space="preserve">aliancí, založenou na diplomatické historii </w:t>
      </w:r>
      <w:r>
        <w:rPr>
          <w:rFonts w:ascii="Times New Roman" w:hAnsi="Times New Roman" w:cs="Times New Roman"/>
          <w:sz w:val="24"/>
          <w:szCs w:val="24"/>
        </w:rPr>
        <w:t>B</w:t>
      </w:r>
      <w:r w:rsidR="00906C0C" w:rsidRPr="00026D3E">
        <w:rPr>
          <w:rFonts w:ascii="Times New Roman" w:hAnsi="Times New Roman" w:cs="Times New Roman"/>
          <w:sz w:val="24"/>
          <w:szCs w:val="24"/>
        </w:rPr>
        <w:t xml:space="preserve">lízkého východu z období let 1955 -  1979. </w:t>
      </w:r>
      <w:r w:rsidR="007B0B5F">
        <w:rPr>
          <w:rFonts w:ascii="Times New Roman" w:hAnsi="Times New Roman" w:cs="Times New Roman"/>
          <w:sz w:val="24"/>
          <w:szCs w:val="24"/>
        </w:rPr>
        <w:t>Waltův</w:t>
      </w:r>
      <w:r w:rsidR="002E1E8C" w:rsidRPr="00026D3E">
        <w:rPr>
          <w:rFonts w:ascii="Times New Roman" w:hAnsi="Times New Roman" w:cs="Times New Roman"/>
          <w:sz w:val="24"/>
          <w:szCs w:val="24"/>
        </w:rPr>
        <w:t xml:space="preserve"> zájem soustředěný na zkoumání příčin vzniku aliancí v dané oblasti je zdůvodněn následovně. Oblast pov</w:t>
      </w:r>
      <w:r w:rsidR="008A477C" w:rsidRPr="00026D3E">
        <w:rPr>
          <w:rFonts w:ascii="Times New Roman" w:hAnsi="Times New Roman" w:cs="Times New Roman"/>
          <w:sz w:val="24"/>
          <w:szCs w:val="24"/>
        </w:rPr>
        <w:t>ažuje za strategicky důležitou</w:t>
      </w:r>
      <w:r w:rsidR="008A5042" w:rsidRPr="00026D3E">
        <w:rPr>
          <w:rFonts w:ascii="Times New Roman" w:hAnsi="Times New Roman" w:cs="Times New Roman"/>
          <w:sz w:val="24"/>
          <w:szCs w:val="24"/>
        </w:rPr>
        <w:t>.</w:t>
      </w:r>
      <w:r w:rsidR="00500A5F" w:rsidRPr="00026D3E">
        <w:rPr>
          <w:rFonts w:ascii="Times New Roman" w:hAnsi="Times New Roman" w:cs="Times New Roman"/>
          <w:sz w:val="24"/>
          <w:szCs w:val="24"/>
        </w:rPr>
        <w:t xml:space="preserve"> </w:t>
      </w:r>
      <w:r w:rsidR="008A5042" w:rsidRPr="00026D3E">
        <w:rPr>
          <w:rFonts w:ascii="Times New Roman" w:hAnsi="Times New Roman" w:cs="Times New Roman"/>
          <w:sz w:val="24"/>
          <w:szCs w:val="24"/>
        </w:rPr>
        <w:t>D</w:t>
      </w:r>
      <w:r w:rsidR="002E1E8C" w:rsidRPr="00026D3E">
        <w:rPr>
          <w:rFonts w:ascii="Times New Roman" w:hAnsi="Times New Roman" w:cs="Times New Roman"/>
          <w:sz w:val="24"/>
          <w:szCs w:val="24"/>
        </w:rPr>
        <w:t xml:space="preserve">ůkazem je intenzivní souboj dvou tehdejších supervelmocí o přízeň blízkovýchodních států. Dále označuje tamní spojenecké závazky za vysoce proměnlivé, čehož výsledkem je množství případů </w:t>
      </w:r>
      <w:r w:rsidR="000B56CC" w:rsidRPr="00026D3E">
        <w:rPr>
          <w:rFonts w:ascii="Times New Roman" w:hAnsi="Times New Roman" w:cs="Times New Roman"/>
          <w:sz w:val="24"/>
          <w:szCs w:val="24"/>
        </w:rPr>
        <w:br/>
      </w:r>
      <w:r w:rsidR="00B6746D" w:rsidRPr="00026D3E">
        <w:rPr>
          <w:rFonts w:ascii="Times New Roman" w:hAnsi="Times New Roman" w:cs="Times New Roman"/>
          <w:sz w:val="24"/>
          <w:szCs w:val="24"/>
        </w:rPr>
        <w:t xml:space="preserve">ke zkoumání, jež odhalí více o faktorech ovlivňující chování aliancí, než jiná méně turbulentní oblast. </w:t>
      </w:r>
      <w:r>
        <w:rPr>
          <w:rFonts w:ascii="Times New Roman" w:hAnsi="Times New Roman" w:cs="Times New Roman"/>
          <w:sz w:val="24"/>
          <w:szCs w:val="24"/>
        </w:rPr>
        <w:t>Značná část teorií týkajících se vytváření aliancí je odvozena pouze z historie ev</w:t>
      </w:r>
      <w:r w:rsidR="00572B6B">
        <w:rPr>
          <w:rFonts w:ascii="Times New Roman" w:hAnsi="Times New Roman" w:cs="Times New Roman"/>
          <w:sz w:val="24"/>
          <w:szCs w:val="24"/>
        </w:rPr>
        <w:t xml:space="preserve">ropského systému mocností. Na Blízkém východu tak vidí především příležitost zjistit, nakolik tyto teorie obstojí v odlišném prostředí. </w:t>
      </w:r>
      <w:r w:rsidR="00572B6B" w:rsidRPr="00026D3E">
        <w:rPr>
          <w:rFonts w:ascii="Times New Roman" w:hAnsi="Times New Roman" w:cs="Times New Roman"/>
          <w:sz w:val="24"/>
          <w:szCs w:val="24"/>
        </w:rPr>
        <w:t>(Walt 1987: 13)</w:t>
      </w:r>
    </w:p>
    <w:p w:rsidR="00372D58" w:rsidRPr="00026D3E" w:rsidRDefault="00350790" w:rsidP="00331240">
      <w:pPr>
        <w:spacing w:line="360" w:lineRule="auto"/>
        <w:ind w:firstLine="360"/>
        <w:jc w:val="both"/>
        <w:rPr>
          <w:rFonts w:ascii="Times New Roman" w:hAnsi="Times New Roman" w:cs="Times New Roman"/>
          <w:sz w:val="24"/>
          <w:szCs w:val="24"/>
        </w:rPr>
      </w:pPr>
      <w:r w:rsidRPr="00026D3E">
        <w:rPr>
          <w:rFonts w:ascii="Times New Roman" w:hAnsi="Times New Roman" w:cs="Times New Roman"/>
          <w:sz w:val="24"/>
          <w:szCs w:val="24"/>
        </w:rPr>
        <w:t>Klíčová záležitost</w:t>
      </w:r>
      <w:r w:rsidR="00226604" w:rsidRPr="00026D3E">
        <w:rPr>
          <w:rFonts w:ascii="Times New Roman" w:hAnsi="Times New Roman" w:cs="Times New Roman"/>
          <w:sz w:val="24"/>
          <w:szCs w:val="24"/>
        </w:rPr>
        <w:t xml:space="preserve"> celého jeho díla spočívá v</w:t>
      </w:r>
      <w:r w:rsidR="008A477C" w:rsidRPr="00026D3E">
        <w:rPr>
          <w:rFonts w:ascii="Times New Roman" w:hAnsi="Times New Roman" w:cs="Times New Roman"/>
          <w:sz w:val="24"/>
          <w:szCs w:val="24"/>
        </w:rPr>
        <w:t xml:space="preserve"> metodologii, </w:t>
      </w:r>
      <w:r w:rsidR="00E76A89" w:rsidRPr="00026D3E">
        <w:rPr>
          <w:rFonts w:ascii="Times New Roman" w:hAnsi="Times New Roman" w:cs="Times New Roman"/>
          <w:sz w:val="24"/>
          <w:szCs w:val="24"/>
        </w:rPr>
        <w:t>postavené na upravené ver</w:t>
      </w:r>
      <w:r w:rsidR="00500A5F" w:rsidRPr="00026D3E">
        <w:rPr>
          <w:rFonts w:ascii="Times New Roman" w:hAnsi="Times New Roman" w:cs="Times New Roman"/>
          <w:sz w:val="24"/>
          <w:szCs w:val="24"/>
        </w:rPr>
        <w:t>zi teorie mocenské rovnováhy, ji</w:t>
      </w:r>
      <w:r w:rsidR="00E76A89" w:rsidRPr="00026D3E">
        <w:rPr>
          <w:rFonts w:ascii="Times New Roman" w:hAnsi="Times New Roman" w:cs="Times New Roman"/>
          <w:sz w:val="24"/>
          <w:szCs w:val="24"/>
        </w:rPr>
        <w:t>ž Walt nazval teorie rovnováhy hrozeb (</w:t>
      </w:r>
      <w:r w:rsidR="00E76A89" w:rsidRPr="00026D3E">
        <w:rPr>
          <w:rFonts w:ascii="Times New Roman" w:hAnsi="Times New Roman" w:cs="Times New Roman"/>
          <w:i/>
          <w:sz w:val="24"/>
          <w:szCs w:val="24"/>
        </w:rPr>
        <w:t>balance of threats</w:t>
      </w:r>
      <w:r w:rsidR="00E76A89" w:rsidRPr="00026D3E">
        <w:rPr>
          <w:rFonts w:ascii="Times New Roman" w:hAnsi="Times New Roman" w:cs="Times New Roman"/>
          <w:sz w:val="24"/>
          <w:szCs w:val="24"/>
        </w:rPr>
        <w:t>).</w:t>
      </w:r>
      <w:r w:rsidR="00E76A89" w:rsidRPr="00026D3E">
        <w:rPr>
          <w:rStyle w:val="Znakapoznpodarou"/>
          <w:rFonts w:ascii="Times New Roman" w:hAnsi="Times New Roman" w:cs="Times New Roman"/>
          <w:sz w:val="24"/>
          <w:szCs w:val="24"/>
        </w:rPr>
        <w:footnoteReference w:id="6"/>
      </w:r>
      <w:r w:rsidR="007D13F5" w:rsidRPr="00026D3E">
        <w:rPr>
          <w:rFonts w:ascii="Times New Roman" w:hAnsi="Times New Roman" w:cs="Times New Roman"/>
          <w:sz w:val="24"/>
          <w:szCs w:val="24"/>
        </w:rPr>
        <w:t xml:space="preserve"> Walt nepopírá význam teorie mocenské rovnováhy, spíše upoz</w:t>
      </w:r>
      <w:r w:rsidR="001A1179" w:rsidRPr="00026D3E">
        <w:rPr>
          <w:rFonts w:ascii="Times New Roman" w:hAnsi="Times New Roman" w:cs="Times New Roman"/>
          <w:sz w:val="24"/>
          <w:szCs w:val="24"/>
        </w:rPr>
        <w:t>orňuje,</w:t>
      </w:r>
      <w:r w:rsidR="00115AF6" w:rsidRPr="00026D3E">
        <w:rPr>
          <w:rFonts w:ascii="Times New Roman" w:hAnsi="Times New Roman" w:cs="Times New Roman"/>
          <w:sz w:val="24"/>
          <w:szCs w:val="24"/>
        </w:rPr>
        <w:t xml:space="preserve"> že má jisté nedostatky. </w:t>
      </w:r>
      <w:r w:rsidR="003C1631" w:rsidRPr="00026D3E">
        <w:rPr>
          <w:rFonts w:ascii="Times New Roman" w:hAnsi="Times New Roman" w:cs="Times New Roman"/>
          <w:sz w:val="24"/>
          <w:szCs w:val="24"/>
        </w:rPr>
        <w:t>Podle Waltze růst</w:t>
      </w:r>
      <w:r w:rsidR="00EF61E3" w:rsidRPr="00026D3E">
        <w:rPr>
          <w:rFonts w:ascii="Times New Roman" w:hAnsi="Times New Roman" w:cs="Times New Roman"/>
          <w:sz w:val="24"/>
          <w:szCs w:val="24"/>
        </w:rPr>
        <w:t xml:space="preserve"> moci jednoho státu</w:t>
      </w:r>
      <w:r w:rsidR="00B53D5A">
        <w:rPr>
          <w:rFonts w:ascii="Times New Roman" w:hAnsi="Times New Roman" w:cs="Times New Roman"/>
          <w:sz w:val="24"/>
          <w:szCs w:val="24"/>
        </w:rPr>
        <w:t>,</w:t>
      </w:r>
      <w:r w:rsidR="00EF61E3" w:rsidRPr="00026D3E">
        <w:rPr>
          <w:rFonts w:ascii="Times New Roman" w:hAnsi="Times New Roman" w:cs="Times New Roman"/>
          <w:sz w:val="24"/>
          <w:szCs w:val="24"/>
        </w:rPr>
        <w:t xml:space="preserve"> </w:t>
      </w:r>
      <w:r w:rsidR="00F15EF9" w:rsidRPr="00026D3E">
        <w:rPr>
          <w:rFonts w:ascii="Times New Roman" w:hAnsi="Times New Roman" w:cs="Times New Roman"/>
          <w:sz w:val="24"/>
          <w:szCs w:val="24"/>
        </w:rPr>
        <w:t>bude vždy automaticky vyvažovaný</w:t>
      </w:r>
      <w:r w:rsidR="003C1631" w:rsidRPr="00026D3E">
        <w:rPr>
          <w:rFonts w:ascii="Times New Roman" w:hAnsi="Times New Roman" w:cs="Times New Roman"/>
          <w:sz w:val="24"/>
          <w:szCs w:val="24"/>
        </w:rPr>
        <w:t xml:space="preserve"> ostatními státy</w:t>
      </w:r>
      <w:r w:rsidR="00EF61E3" w:rsidRPr="00026D3E">
        <w:rPr>
          <w:rFonts w:ascii="Times New Roman" w:hAnsi="Times New Roman" w:cs="Times New Roman"/>
          <w:sz w:val="24"/>
          <w:szCs w:val="24"/>
        </w:rPr>
        <w:t xml:space="preserve">, tj. </w:t>
      </w:r>
      <w:r w:rsidR="004E123B" w:rsidRPr="00026D3E">
        <w:rPr>
          <w:rFonts w:ascii="Times New Roman" w:hAnsi="Times New Roman" w:cs="Times New Roman"/>
          <w:sz w:val="24"/>
          <w:szCs w:val="24"/>
        </w:rPr>
        <w:t>ve všech situacích</w:t>
      </w:r>
      <w:r w:rsidR="00EF61E3" w:rsidRPr="00026D3E">
        <w:rPr>
          <w:rFonts w:ascii="Times New Roman" w:hAnsi="Times New Roman" w:cs="Times New Roman"/>
          <w:sz w:val="24"/>
          <w:szCs w:val="24"/>
        </w:rPr>
        <w:t>. Walt se vša</w:t>
      </w:r>
      <w:r w:rsidR="003A3D56" w:rsidRPr="00026D3E">
        <w:rPr>
          <w:rFonts w:ascii="Times New Roman" w:hAnsi="Times New Roman" w:cs="Times New Roman"/>
          <w:sz w:val="24"/>
          <w:szCs w:val="24"/>
        </w:rPr>
        <w:t>k s tímto názorem</w:t>
      </w:r>
      <w:r w:rsidR="00476B9C" w:rsidRPr="00026D3E">
        <w:rPr>
          <w:rFonts w:ascii="Times New Roman" w:hAnsi="Times New Roman" w:cs="Times New Roman"/>
          <w:sz w:val="24"/>
          <w:szCs w:val="24"/>
        </w:rPr>
        <w:t xml:space="preserve"> zcela</w:t>
      </w:r>
      <w:r w:rsidR="003A3D56" w:rsidRPr="00026D3E">
        <w:rPr>
          <w:rFonts w:ascii="Times New Roman" w:hAnsi="Times New Roman" w:cs="Times New Roman"/>
          <w:sz w:val="24"/>
          <w:szCs w:val="24"/>
        </w:rPr>
        <w:t xml:space="preserve"> neztotožňuje, </w:t>
      </w:r>
      <w:r w:rsidR="00476B9C" w:rsidRPr="00026D3E">
        <w:rPr>
          <w:rFonts w:ascii="Times New Roman" w:hAnsi="Times New Roman" w:cs="Times New Roman"/>
          <w:sz w:val="24"/>
          <w:szCs w:val="24"/>
        </w:rPr>
        <w:t xml:space="preserve">připomíná, že </w:t>
      </w:r>
      <w:r w:rsidR="001D3F95" w:rsidRPr="00026D3E">
        <w:rPr>
          <w:rFonts w:ascii="Times New Roman" w:hAnsi="Times New Roman" w:cs="Times New Roman"/>
          <w:sz w:val="24"/>
          <w:szCs w:val="24"/>
        </w:rPr>
        <w:t xml:space="preserve">ne vždy platí, že se státy </w:t>
      </w:r>
      <w:r w:rsidR="00476B9C" w:rsidRPr="00026D3E">
        <w:rPr>
          <w:rFonts w:ascii="Times New Roman" w:hAnsi="Times New Roman" w:cs="Times New Roman"/>
          <w:sz w:val="24"/>
          <w:szCs w:val="24"/>
        </w:rPr>
        <w:t>navzájem</w:t>
      </w:r>
      <w:r w:rsidR="000B0B7F" w:rsidRPr="00026D3E">
        <w:rPr>
          <w:rFonts w:ascii="Times New Roman" w:hAnsi="Times New Roman" w:cs="Times New Roman"/>
          <w:sz w:val="24"/>
          <w:szCs w:val="24"/>
        </w:rPr>
        <w:t xml:space="preserve"> </w:t>
      </w:r>
      <w:r w:rsidR="00476B9C" w:rsidRPr="00026D3E">
        <w:rPr>
          <w:rFonts w:ascii="Times New Roman" w:hAnsi="Times New Roman" w:cs="Times New Roman"/>
          <w:sz w:val="24"/>
          <w:szCs w:val="24"/>
        </w:rPr>
        <w:t>snaží mocensky vyvažovat.</w:t>
      </w:r>
      <w:r w:rsidR="000B0B7F" w:rsidRPr="00026D3E">
        <w:rPr>
          <w:rFonts w:ascii="Times New Roman" w:hAnsi="Times New Roman" w:cs="Times New Roman"/>
          <w:sz w:val="24"/>
          <w:szCs w:val="24"/>
        </w:rPr>
        <w:t xml:space="preserve"> K takovému </w:t>
      </w:r>
      <w:r w:rsidR="00476B9C" w:rsidRPr="00026D3E">
        <w:rPr>
          <w:rFonts w:ascii="Times New Roman" w:hAnsi="Times New Roman" w:cs="Times New Roman"/>
          <w:sz w:val="24"/>
          <w:szCs w:val="24"/>
        </w:rPr>
        <w:t>postupu</w:t>
      </w:r>
      <w:r w:rsidR="000B0B7F" w:rsidRPr="00026D3E">
        <w:rPr>
          <w:rFonts w:ascii="Times New Roman" w:hAnsi="Times New Roman" w:cs="Times New Roman"/>
          <w:sz w:val="24"/>
          <w:szCs w:val="24"/>
        </w:rPr>
        <w:t xml:space="preserve"> ho může vést fakt, že není schopen uzavřít koalici</w:t>
      </w:r>
      <w:r w:rsidR="00A2073F" w:rsidRPr="00026D3E">
        <w:rPr>
          <w:rFonts w:ascii="Times New Roman" w:hAnsi="Times New Roman" w:cs="Times New Roman"/>
          <w:sz w:val="24"/>
          <w:szCs w:val="24"/>
        </w:rPr>
        <w:t xml:space="preserve"> nebo čelí téměř jisté porážce. (</w:t>
      </w:r>
      <w:r w:rsidR="00F15EF9" w:rsidRPr="00026D3E">
        <w:rPr>
          <w:rFonts w:ascii="Times New Roman" w:hAnsi="Times New Roman" w:cs="Times New Roman"/>
          <w:sz w:val="24"/>
          <w:szCs w:val="24"/>
        </w:rPr>
        <w:t>Kolman</w:t>
      </w:r>
      <w:r w:rsidR="00A2073F" w:rsidRPr="00026D3E">
        <w:rPr>
          <w:rFonts w:ascii="Times New Roman" w:hAnsi="Times New Roman" w:cs="Times New Roman"/>
          <w:sz w:val="24"/>
          <w:szCs w:val="24"/>
        </w:rPr>
        <w:t xml:space="preserve"> 2005: 70)</w:t>
      </w:r>
      <w:r w:rsidR="0067362E" w:rsidRPr="00026D3E">
        <w:rPr>
          <w:rFonts w:ascii="Times New Roman" w:hAnsi="Times New Roman" w:cs="Times New Roman"/>
          <w:sz w:val="24"/>
          <w:szCs w:val="24"/>
        </w:rPr>
        <w:t xml:space="preserve"> </w:t>
      </w:r>
      <w:r w:rsidR="00DE3AC3" w:rsidRPr="00026D3E">
        <w:rPr>
          <w:rFonts w:ascii="Times New Roman" w:hAnsi="Times New Roman" w:cs="Times New Roman"/>
          <w:sz w:val="24"/>
          <w:szCs w:val="24"/>
        </w:rPr>
        <w:t xml:space="preserve">Při vzniku aliancí jako způsobu vyvažování moci určitého státu zohledňuje Waltz právě rozsah </w:t>
      </w:r>
      <w:r w:rsidR="00CE2C7E" w:rsidRPr="00026D3E">
        <w:rPr>
          <w:rFonts w:ascii="Times New Roman" w:hAnsi="Times New Roman" w:cs="Times New Roman"/>
          <w:sz w:val="24"/>
          <w:szCs w:val="24"/>
        </w:rPr>
        <w:t xml:space="preserve">celkové </w:t>
      </w:r>
      <w:r w:rsidR="00DE3AC3" w:rsidRPr="00026D3E">
        <w:rPr>
          <w:rFonts w:ascii="Times New Roman" w:hAnsi="Times New Roman" w:cs="Times New Roman"/>
          <w:sz w:val="24"/>
          <w:szCs w:val="24"/>
        </w:rPr>
        <w:t>moci (</w:t>
      </w:r>
      <w:r w:rsidR="00DE3AC3" w:rsidRPr="00026D3E">
        <w:rPr>
          <w:rFonts w:ascii="Times New Roman" w:hAnsi="Times New Roman" w:cs="Times New Roman"/>
          <w:i/>
          <w:sz w:val="24"/>
          <w:szCs w:val="24"/>
        </w:rPr>
        <w:t>power</w:t>
      </w:r>
      <w:r w:rsidR="00DE3AC3" w:rsidRPr="00026D3E">
        <w:rPr>
          <w:rFonts w:ascii="Times New Roman" w:hAnsi="Times New Roman" w:cs="Times New Roman"/>
          <w:sz w:val="24"/>
          <w:szCs w:val="24"/>
        </w:rPr>
        <w:t xml:space="preserve">) jako jediný relevantní faktor. Naproti tomu Walt tvrdí, </w:t>
      </w:r>
      <w:r w:rsidR="000B56CC" w:rsidRPr="00026D3E">
        <w:rPr>
          <w:rFonts w:ascii="Times New Roman" w:hAnsi="Times New Roman" w:cs="Times New Roman"/>
          <w:sz w:val="24"/>
          <w:szCs w:val="24"/>
        </w:rPr>
        <w:br/>
      </w:r>
      <w:r w:rsidR="00DE3AC3" w:rsidRPr="00026D3E">
        <w:rPr>
          <w:rFonts w:ascii="Times New Roman" w:hAnsi="Times New Roman" w:cs="Times New Roman"/>
          <w:sz w:val="24"/>
          <w:szCs w:val="24"/>
        </w:rPr>
        <w:t xml:space="preserve">že </w:t>
      </w:r>
      <w:r w:rsidR="00A55460" w:rsidRPr="00026D3E">
        <w:rPr>
          <w:rFonts w:ascii="Times New Roman" w:hAnsi="Times New Roman" w:cs="Times New Roman"/>
          <w:sz w:val="24"/>
          <w:szCs w:val="24"/>
        </w:rPr>
        <w:t xml:space="preserve">rostoucí moc státu, kterou </w:t>
      </w:r>
      <w:r w:rsidR="00605338" w:rsidRPr="00026D3E">
        <w:rPr>
          <w:rFonts w:ascii="Times New Roman" w:hAnsi="Times New Roman" w:cs="Times New Roman"/>
          <w:sz w:val="24"/>
          <w:szCs w:val="24"/>
        </w:rPr>
        <w:t>druhý aktér vnímá</w:t>
      </w:r>
      <w:r w:rsidR="003C1631" w:rsidRPr="00026D3E">
        <w:rPr>
          <w:rFonts w:ascii="Times New Roman" w:hAnsi="Times New Roman" w:cs="Times New Roman"/>
          <w:sz w:val="24"/>
          <w:szCs w:val="24"/>
        </w:rPr>
        <w:t xml:space="preserve"> jako hrozbu, </w:t>
      </w:r>
      <w:r w:rsidR="00605338" w:rsidRPr="00026D3E">
        <w:rPr>
          <w:rFonts w:ascii="Times New Roman" w:hAnsi="Times New Roman" w:cs="Times New Roman"/>
          <w:sz w:val="24"/>
          <w:szCs w:val="24"/>
        </w:rPr>
        <w:t>může třetí aktér vnímat zcela jinak</w:t>
      </w:r>
      <w:r w:rsidR="00A55460" w:rsidRPr="00026D3E">
        <w:rPr>
          <w:rFonts w:ascii="Times New Roman" w:hAnsi="Times New Roman" w:cs="Times New Roman"/>
          <w:sz w:val="24"/>
          <w:szCs w:val="24"/>
        </w:rPr>
        <w:t xml:space="preserve">. </w:t>
      </w:r>
      <w:r w:rsidR="0067362E" w:rsidRPr="00026D3E">
        <w:rPr>
          <w:rFonts w:ascii="Times New Roman" w:hAnsi="Times New Roman" w:cs="Times New Roman"/>
          <w:sz w:val="24"/>
          <w:szCs w:val="24"/>
        </w:rPr>
        <w:t xml:space="preserve"> </w:t>
      </w:r>
      <w:r w:rsidR="00CE2C7E" w:rsidRPr="00026D3E">
        <w:rPr>
          <w:rFonts w:ascii="Times New Roman" w:hAnsi="Times New Roman" w:cs="Times New Roman"/>
          <w:sz w:val="24"/>
          <w:szCs w:val="24"/>
        </w:rPr>
        <w:t>Velikost</w:t>
      </w:r>
      <w:r w:rsidR="00F40D80" w:rsidRPr="00026D3E">
        <w:rPr>
          <w:rFonts w:ascii="Times New Roman" w:hAnsi="Times New Roman" w:cs="Times New Roman"/>
          <w:sz w:val="24"/>
          <w:szCs w:val="24"/>
        </w:rPr>
        <w:t xml:space="preserve"> </w:t>
      </w:r>
      <w:r w:rsidR="00CE2C7E" w:rsidRPr="00026D3E">
        <w:rPr>
          <w:rFonts w:ascii="Times New Roman" w:hAnsi="Times New Roman" w:cs="Times New Roman"/>
          <w:sz w:val="24"/>
          <w:szCs w:val="24"/>
        </w:rPr>
        <w:t>celkové moci</w:t>
      </w:r>
      <w:r w:rsidR="003C1631" w:rsidRPr="00026D3E">
        <w:rPr>
          <w:rFonts w:ascii="Times New Roman" w:hAnsi="Times New Roman" w:cs="Times New Roman"/>
          <w:sz w:val="24"/>
          <w:szCs w:val="24"/>
        </w:rPr>
        <w:t xml:space="preserve"> státu není</w:t>
      </w:r>
      <w:r w:rsidR="00A55460" w:rsidRPr="00026D3E">
        <w:rPr>
          <w:rFonts w:ascii="Times New Roman" w:hAnsi="Times New Roman" w:cs="Times New Roman"/>
          <w:sz w:val="24"/>
          <w:szCs w:val="24"/>
        </w:rPr>
        <w:t xml:space="preserve"> jediným faktorem, na který ostatní státy reagují. Nahlížení na stát jako na hrozbu </w:t>
      </w:r>
      <w:r w:rsidR="005841F9" w:rsidRPr="00026D3E">
        <w:rPr>
          <w:rFonts w:ascii="Times New Roman" w:hAnsi="Times New Roman" w:cs="Times New Roman"/>
          <w:sz w:val="24"/>
          <w:szCs w:val="24"/>
        </w:rPr>
        <w:t>se bude lišit v souvislosti s dalšími důležitými faktory, které státníci berou v úvahu při rozhodování</w:t>
      </w:r>
      <w:r w:rsidR="00CB6F54" w:rsidRPr="00026D3E">
        <w:rPr>
          <w:rFonts w:ascii="Times New Roman" w:hAnsi="Times New Roman" w:cs="Times New Roman"/>
          <w:sz w:val="24"/>
          <w:szCs w:val="24"/>
        </w:rPr>
        <w:t xml:space="preserve"> se</w:t>
      </w:r>
      <w:r w:rsidR="005841F9" w:rsidRPr="00026D3E">
        <w:rPr>
          <w:rFonts w:ascii="Times New Roman" w:hAnsi="Times New Roman" w:cs="Times New Roman"/>
          <w:sz w:val="24"/>
          <w:szCs w:val="24"/>
        </w:rPr>
        <w:t xml:space="preserve"> o potenciá</w:t>
      </w:r>
      <w:r w:rsidR="00F40D80" w:rsidRPr="00026D3E">
        <w:rPr>
          <w:rFonts w:ascii="Times New Roman" w:hAnsi="Times New Roman" w:cs="Times New Roman"/>
          <w:sz w:val="24"/>
          <w:szCs w:val="24"/>
        </w:rPr>
        <w:t>lních spojencích. Míra hrozby</w:t>
      </w:r>
      <w:r w:rsidR="00AF62DF" w:rsidRPr="00026D3E">
        <w:rPr>
          <w:rFonts w:ascii="Times New Roman" w:hAnsi="Times New Roman" w:cs="Times New Roman"/>
          <w:sz w:val="24"/>
          <w:szCs w:val="24"/>
        </w:rPr>
        <w:t xml:space="preserve"> (</w:t>
      </w:r>
      <w:r w:rsidR="00AF62DF" w:rsidRPr="00026D3E">
        <w:rPr>
          <w:rFonts w:ascii="Times New Roman" w:hAnsi="Times New Roman" w:cs="Times New Roman"/>
          <w:i/>
          <w:sz w:val="24"/>
          <w:szCs w:val="24"/>
        </w:rPr>
        <w:t>level of threat</w:t>
      </w:r>
      <w:r w:rsidR="00AF62DF" w:rsidRPr="00026D3E">
        <w:rPr>
          <w:rFonts w:ascii="Times New Roman" w:hAnsi="Times New Roman" w:cs="Times New Roman"/>
          <w:sz w:val="24"/>
          <w:szCs w:val="24"/>
        </w:rPr>
        <w:t>)</w:t>
      </w:r>
      <w:r w:rsidR="00F40D80" w:rsidRPr="00026D3E">
        <w:rPr>
          <w:rFonts w:ascii="Times New Roman" w:hAnsi="Times New Roman" w:cs="Times New Roman"/>
          <w:sz w:val="24"/>
          <w:szCs w:val="24"/>
        </w:rPr>
        <w:t xml:space="preserve"> </w:t>
      </w:r>
      <w:r w:rsidR="003C1631" w:rsidRPr="00026D3E">
        <w:rPr>
          <w:rFonts w:ascii="Times New Roman" w:hAnsi="Times New Roman" w:cs="Times New Roman"/>
          <w:sz w:val="24"/>
          <w:szCs w:val="24"/>
        </w:rPr>
        <w:t xml:space="preserve">pro jednotlivé státy </w:t>
      </w:r>
      <w:r w:rsidR="00F40D80" w:rsidRPr="00026D3E">
        <w:rPr>
          <w:rFonts w:ascii="Times New Roman" w:hAnsi="Times New Roman" w:cs="Times New Roman"/>
          <w:sz w:val="24"/>
          <w:szCs w:val="24"/>
        </w:rPr>
        <w:t>bude záviset vedle celkové moci (</w:t>
      </w:r>
      <w:r w:rsidR="00F40D80" w:rsidRPr="00026D3E">
        <w:rPr>
          <w:rFonts w:ascii="Times New Roman" w:hAnsi="Times New Roman" w:cs="Times New Roman"/>
          <w:i/>
          <w:sz w:val="24"/>
          <w:szCs w:val="24"/>
        </w:rPr>
        <w:t>aggregate power</w:t>
      </w:r>
      <w:r w:rsidR="003C1631" w:rsidRPr="00026D3E">
        <w:rPr>
          <w:rFonts w:ascii="Times New Roman" w:hAnsi="Times New Roman" w:cs="Times New Roman"/>
          <w:sz w:val="24"/>
          <w:szCs w:val="24"/>
        </w:rPr>
        <w:t>) státu</w:t>
      </w:r>
      <w:r w:rsidR="00F40D80" w:rsidRPr="00026D3E">
        <w:rPr>
          <w:rFonts w:ascii="Times New Roman" w:hAnsi="Times New Roman" w:cs="Times New Roman"/>
          <w:sz w:val="24"/>
          <w:szCs w:val="24"/>
        </w:rPr>
        <w:t xml:space="preserve"> také </w:t>
      </w:r>
      <w:r w:rsidR="000B56CC" w:rsidRPr="00026D3E">
        <w:rPr>
          <w:rFonts w:ascii="Times New Roman" w:hAnsi="Times New Roman" w:cs="Times New Roman"/>
          <w:sz w:val="24"/>
          <w:szCs w:val="24"/>
        </w:rPr>
        <w:br/>
      </w:r>
      <w:r w:rsidR="00F40D80" w:rsidRPr="00026D3E">
        <w:rPr>
          <w:rFonts w:ascii="Times New Roman" w:hAnsi="Times New Roman" w:cs="Times New Roman"/>
          <w:sz w:val="24"/>
          <w:szCs w:val="24"/>
        </w:rPr>
        <w:t>na jeho zeměpisné blízkosti (</w:t>
      </w:r>
      <w:r w:rsidR="00F40D80" w:rsidRPr="00026D3E">
        <w:rPr>
          <w:rFonts w:ascii="Times New Roman" w:hAnsi="Times New Roman" w:cs="Times New Roman"/>
          <w:i/>
          <w:sz w:val="24"/>
          <w:szCs w:val="24"/>
        </w:rPr>
        <w:t>geographic proximity</w:t>
      </w:r>
      <w:r w:rsidR="00F40D80" w:rsidRPr="00026D3E">
        <w:rPr>
          <w:rFonts w:ascii="Times New Roman" w:hAnsi="Times New Roman" w:cs="Times New Roman"/>
          <w:sz w:val="24"/>
          <w:szCs w:val="24"/>
        </w:rPr>
        <w:t xml:space="preserve">), </w:t>
      </w:r>
      <w:r w:rsidR="00E54455" w:rsidRPr="00026D3E">
        <w:rPr>
          <w:rFonts w:ascii="Times New Roman" w:hAnsi="Times New Roman" w:cs="Times New Roman"/>
          <w:sz w:val="24"/>
          <w:szCs w:val="24"/>
        </w:rPr>
        <w:t>ofensivní</w:t>
      </w:r>
      <w:r w:rsidR="00F40D80" w:rsidRPr="00026D3E">
        <w:rPr>
          <w:rFonts w:ascii="Times New Roman" w:hAnsi="Times New Roman" w:cs="Times New Roman"/>
          <w:sz w:val="24"/>
          <w:szCs w:val="24"/>
        </w:rPr>
        <w:t xml:space="preserve"> kapacitě (</w:t>
      </w:r>
      <w:r w:rsidR="00F40D80" w:rsidRPr="00026D3E">
        <w:rPr>
          <w:rFonts w:ascii="Times New Roman" w:hAnsi="Times New Roman" w:cs="Times New Roman"/>
          <w:i/>
          <w:sz w:val="24"/>
          <w:szCs w:val="24"/>
        </w:rPr>
        <w:t>offensive power</w:t>
      </w:r>
      <w:r w:rsidR="00F40D80" w:rsidRPr="00026D3E">
        <w:rPr>
          <w:rFonts w:ascii="Times New Roman" w:hAnsi="Times New Roman" w:cs="Times New Roman"/>
          <w:sz w:val="24"/>
          <w:szCs w:val="24"/>
        </w:rPr>
        <w:t xml:space="preserve">) </w:t>
      </w:r>
      <w:r w:rsidR="000B56CC" w:rsidRPr="00026D3E">
        <w:rPr>
          <w:rFonts w:ascii="Times New Roman" w:hAnsi="Times New Roman" w:cs="Times New Roman"/>
          <w:sz w:val="24"/>
          <w:szCs w:val="24"/>
        </w:rPr>
        <w:br/>
      </w:r>
      <w:r w:rsidR="00F40D80" w:rsidRPr="00026D3E">
        <w:rPr>
          <w:rFonts w:ascii="Times New Roman" w:hAnsi="Times New Roman" w:cs="Times New Roman"/>
          <w:sz w:val="24"/>
          <w:szCs w:val="24"/>
        </w:rPr>
        <w:lastRenderedPageBreak/>
        <w:t>a agresivních úmyslech (</w:t>
      </w:r>
      <w:r w:rsidR="00F40D80" w:rsidRPr="00026D3E">
        <w:rPr>
          <w:rFonts w:ascii="Times New Roman" w:hAnsi="Times New Roman" w:cs="Times New Roman"/>
          <w:i/>
          <w:sz w:val="24"/>
          <w:szCs w:val="24"/>
        </w:rPr>
        <w:t>aggressive intentions</w:t>
      </w:r>
      <w:r w:rsidR="00F40D80" w:rsidRPr="00026D3E">
        <w:rPr>
          <w:rFonts w:ascii="Times New Roman" w:hAnsi="Times New Roman" w:cs="Times New Roman"/>
          <w:sz w:val="24"/>
          <w:szCs w:val="24"/>
        </w:rPr>
        <w:t xml:space="preserve">). </w:t>
      </w:r>
      <w:r w:rsidR="00CE2C7E" w:rsidRPr="00026D3E">
        <w:rPr>
          <w:rFonts w:ascii="Times New Roman" w:hAnsi="Times New Roman" w:cs="Times New Roman"/>
          <w:sz w:val="24"/>
          <w:szCs w:val="24"/>
        </w:rPr>
        <w:t xml:space="preserve">(Walt 1987:21-26) </w:t>
      </w:r>
      <w:r w:rsidR="00DC59C3" w:rsidRPr="00026D3E">
        <w:rPr>
          <w:rFonts w:ascii="Times New Roman" w:hAnsi="Times New Roman" w:cs="Times New Roman"/>
          <w:sz w:val="24"/>
          <w:szCs w:val="24"/>
        </w:rPr>
        <w:t xml:space="preserve">Waltova teorie </w:t>
      </w:r>
      <w:r w:rsidR="003C1631" w:rsidRPr="00026D3E">
        <w:rPr>
          <w:rFonts w:ascii="Times New Roman" w:hAnsi="Times New Roman" w:cs="Times New Roman"/>
          <w:sz w:val="24"/>
          <w:szCs w:val="24"/>
        </w:rPr>
        <w:t xml:space="preserve">tak </w:t>
      </w:r>
      <w:r w:rsidR="00DC59C3" w:rsidRPr="00026D3E">
        <w:rPr>
          <w:rFonts w:ascii="Times New Roman" w:hAnsi="Times New Roman" w:cs="Times New Roman"/>
          <w:sz w:val="24"/>
          <w:szCs w:val="24"/>
        </w:rPr>
        <w:t>vysvět</w:t>
      </w:r>
      <w:r w:rsidR="000B56CC" w:rsidRPr="00026D3E">
        <w:rPr>
          <w:rFonts w:ascii="Times New Roman" w:hAnsi="Times New Roman" w:cs="Times New Roman"/>
          <w:sz w:val="24"/>
          <w:szCs w:val="24"/>
        </w:rPr>
        <w:t>luje seskupování států v alianci</w:t>
      </w:r>
      <w:r w:rsidR="00DC59C3" w:rsidRPr="00026D3E">
        <w:rPr>
          <w:rFonts w:ascii="Times New Roman" w:hAnsi="Times New Roman" w:cs="Times New Roman"/>
          <w:sz w:val="24"/>
          <w:szCs w:val="24"/>
        </w:rPr>
        <w:t xml:space="preserve"> nikoliv jako pouhou reakci </w:t>
      </w:r>
      <w:r w:rsidR="00CB6F54" w:rsidRPr="00026D3E">
        <w:rPr>
          <w:rFonts w:ascii="Times New Roman" w:hAnsi="Times New Roman" w:cs="Times New Roman"/>
          <w:sz w:val="24"/>
          <w:szCs w:val="24"/>
        </w:rPr>
        <w:t xml:space="preserve">na růst moci ambiciózního státu. Ačkoliv má tento faktor velkou váhu, </w:t>
      </w:r>
      <w:r w:rsidR="003C1631" w:rsidRPr="00026D3E">
        <w:rPr>
          <w:rFonts w:ascii="Times New Roman" w:hAnsi="Times New Roman" w:cs="Times New Roman"/>
          <w:sz w:val="24"/>
          <w:szCs w:val="24"/>
        </w:rPr>
        <w:t xml:space="preserve">není jediným. </w:t>
      </w:r>
      <w:r w:rsidR="00BD3070" w:rsidRPr="00026D3E">
        <w:rPr>
          <w:rFonts w:ascii="Times New Roman" w:hAnsi="Times New Roman" w:cs="Times New Roman"/>
          <w:sz w:val="24"/>
          <w:szCs w:val="24"/>
        </w:rPr>
        <w:t xml:space="preserve">Sám autor ji vnímá jako </w:t>
      </w:r>
      <w:r w:rsidR="00D96BA6" w:rsidRPr="00026D3E">
        <w:rPr>
          <w:rFonts w:ascii="Times New Roman" w:hAnsi="Times New Roman" w:cs="Times New Roman"/>
          <w:sz w:val="24"/>
          <w:szCs w:val="24"/>
        </w:rPr>
        <w:t>lepší alternativu</w:t>
      </w:r>
      <w:r w:rsidR="00BD3070" w:rsidRPr="00026D3E">
        <w:rPr>
          <w:rFonts w:ascii="Times New Roman" w:hAnsi="Times New Roman" w:cs="Times New Roman"/>
          <w:sz w:val="24"/>
          <w:szCs w:val="24"/>
        </w:rPr>
        <w:t xml:space="preserve"> Waltzovy teorie.</w:t>
      </w:r>
      <w:r w:rsidR="00D96BA6" w:rsidRPr="00026D3E">
        <w:rPr>
          <w:rFonts w:ascii="Times New Roman" w:hAnsi="Times New Roman" w:cs="Times New Roman"/>
          <w:sz w:val="24"/>
          <w:szCs w:val="24"/>
        </w:rPr>
        <w:t xml:space="preserve"> (Walt 1987:5)</w:t>
      </w:r>
    </w:p>
    <w:p w:rsidR="008723AA" w:rsidRPr="00026D3E" w:rsidRDefault="006A6FB5" w:rsidP="00331240">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Waltovo stě</w:t>
      </w:r>
      <w:r w:rsidR="00B53D5A">
        <w:rPr>
          <w:rFonts w:ascii="Times New Roman" w:hAnsi="Times New Roman" w:cs="Times New Roman"/>
          <w:sz w:val="24"/>
          <w:szCs w:val="24"/>
        </w:rPr>
        <w:t>žejní dílo</w:t>
      </w:r>
      <w:r>
        <w:rPr>
          <w:rFonts w:ascii="Times New Roman" w:hAnsi="Times New Roman" w:cs="Times New Roman"/>
          <w:sz w:val="24"/>
          <w:szCs w:val="24"/>
        </w:rPr>
        <w:t xml:space="preserve"> v</w:t>
      </w:r>
      <w:r w:rsidR="006A2908" w:rsidRPr="00026D3E">
        <w:rPr>
          <w:rFonts w:ascii="Times New Roman" w:hAnsi="Times New Roman" w:cs="Times New Roman"/>
          <w:sz w:val="24"/>
          <w:szCs w:val="24"/>
        </w:rPr>
        <w:t>ydané v </w:t>
      </w:r>
      <w:r w:rsidR="00B53D5A">
        <w:rPr>
          <w:rFonts w:ascii="Times New Roman" w:hAnsi="Times New Roman" w:cs="Times New Roman"/>
          <w:sz w:val="24"/>
          <w:szCs w:val="24"/>
        </w:rPr>
        <w:t>roce 1987</w:t>
      </w:r>
      <w:r w:rsidR="006A2908" w:rsidRPr="00026D3E">
        <w:rPr>
          <w:rFonts w:ascii="Times New Roman" w:hAnsi="Times New Roman" w:cs="Times New Roman"/>
          <w:sz w:val="24"/>
          <w:szCs w:val="24"/>
        </w:rPr>
        <w:t xml:space="preserve"> poukázalo na formující se osu Sýrie a Íránu</w:t>
      </w:r>
      <w:r>
        <w:rPr>
          <w:rFonts w:ascii="Times New Roman" w:hAnsi="Times New Roman" w:cs="Times New Roman"/>
          <w:sz w:val="24"/>
          <w:szCs w:val="24"/>
        </w:rPr>
        <w:t xml:space="preserve"> pouze okrajově</w:t>
      </w:r>
      <w:r w:rsidR="006A2908" w:rsidRPr="00026D3E">
        <w:rPr>
          <w:rFonts w:ascii="Times New Roman" w:hAnsi="Times New Roman" w:cs="Times New Roman"/>
          <w:sz w:val="24"/>
          <w:szCs w:val="24"/>
        </w:rPr>
        <w:t xml:space="preserve">. Spolupráce těchto dvou států však </w:t>
      </w:r>
      <w:r w:rsidR="001A4DC0" w:rsidRPr="00026D3E">
        <w:rPr>
          <w:rFonts w:ascii="Times New Roman" w:hAnsi="Times New Roman" w:cs="Times New Roman"/>
          <w:sz w:val="24"/>
          <w:szCs w:val="24"/>
        </w:rPr>
        <w:t>přetrvává dodnes</w:t>
      </w:r>
      <w:r w:rsidR="006A2908" w:rsidRPr="00026D3E">
        <w:rPr>
          <w:rFonts w:ascii="Times New Roman" w:hAnsi="Times New Roman" w:cs="Times New Roman"/>
          <w:sz w:val="24"/>
          <w:szCs w:val="24"/>
        </w:rPr>
        <w:t xml:space="preserve">, čímž předčila mnohá očekávání a zasloužila si značnou pozornost. </w:t>
      </w:r>
      <w:r w:rsidR="00875C16" w:rsidRPr="00026D3E">
        <w:rPr>
          <w:rFonts w:ascii="Times New Roman" w:hAnsi="Times New Roman" w:cs="Times New Roman"/>
          <w:sz w:val="24"/>
          <w:szCs w:val="24"/>
        </w:rPr>
        <w:t>V literatuře lze nalézt studie věnující se Syrsko – Íránské ali</w:t>
      </w:r>
      <w:r w:rsidR="00DC0884" w:rsidRPr="00026D3E">
        <w:rPr>
          <w:rFonts w:ascii="Times New Roman" w:hAnsi="Times New Roman" w:cs="Times New Roman"/>
          <w:sz w:val="24"/>
          <w:szCs w:val="24"/>
        </w:rPr>
        <w:t xml:space="preserve">anci. </w:t>
      </w:r>
      <w:r w:rsidR="005B0ECA" w:rsidRPr="00026D3E">
        <w:rPr>
          <w:rFonts w:ascii="Times New Roman" w:hAnsi="Times New Roman" w:cs="Times New Roman"/>
          <w:sz w:val="24"/>
          <w:szCs w:val="24"/>
        </w:rPr>
        <w:t>Přesto se</w:t>
      </w:r>
      <w:r w:rsidR="00DC0884" w:rsidRPr="00026D3E">
        <w:rPr>
          <w:rFonts w:ascii="Times New Roman" w:hAnsi="Times New Roman" w:cs="Times New Roman"/>
          <w:sz w:val="24"/>
          <w:szCs w:val="24"/>
        </w:rPr>
        <w:t xml:space="preserve"> </w:t>
      </w:r>
      <w:r w:rsidR="005B0ECA" w:rsidRPr="00026D3E">
        <w:rPr>
          <w:rFonts w:ascii="Times New Roman" w:hAnsi="Times New Roman" w:cs="Times New Roman"/>
          <w:sz w:val="24"/>
          <w:szCs w:val="24"/>
        </w:rPr>
        <w:t xml:space="preserve">ji </w:t>
      </w:r>
      <w:r w:rsidR="00DC0884" w:rsidRPr="00026D3E">
        <w:rPr>
          <w:rFonts w:ascii="Times New Roman" w:hAnsi="Times New Roman" w:cs="Times New Roman"/>
          <w:sz w:val="24"/>
          <w:szCs w:val="24"/>
        </w:rPr>
        <w:t xml:space="preserve">žádná z nich nepokusila </w:t>
      </w:r>
      <w:r w:rsidR="00E86F31" w:rsidRPr="00026D3E">
        <w:rPr>
          <w:rFonts w:ascii="Times New Roman" w:hAnsi="Times New Roman" w:cs="Times New Roman"/>
          <w:sz w:val="24"/>
          <w:szCs w:val="24"/>
        </w:rPr>
        <w:t>zkoum</w:t>
      </w:r>
      <w:r w:rsidR="005B0ECA" w:rsidRPr="00026D3E">
        <w:rPr>
          <w:rFonts w:ascii="Times New Roman" w:hAnsi="Times New Roman" w:cs="Times New Roman"/>
          <w:sz w:val="24"/>
          <w:szCs w:val="24"/>
        </w:rPr>
        <w:t xml:space="preserve">at </w:t>
      </w:r>
      <w:r w:rsidR="00B53D5A">
        <w:rPr>
          <w:rFonts w:ascii="Times New Roman" w:hAnsi="Times New Roman" w:cs="Times New Roman"/>
          <w:sz w:val="24"/>
          <w:szCs w:val="24"/>
        </w:rPr>
        <w:t>optikou</w:t>
      </w:r>
      <w:r w:rsidR="00DC0884" w:rsidRPr="00026D3E">
        <w:rPr>
          <w:rFonts w:ascii="Times New Roman" w:hAnsi="Times New Roman" w:cs="Times New Roman"/>
          <w:sz w:val="24"/>
          <w:szCs w:val="24"/>
        </w:rPr>
        <w:t xml:space="preserve"> teorie </w:t>
      </w:r>
      <w:r w:rsidR="00E86F31" w:rsidRPr="00026D3E">
        <w:rPr>
          <w:rFonts w:ascii="Times New Roman" w:hAnsi="Times New Roman" w:cs="Times New Roman"/>
          <w:sz w:val="24"/>
          <w:szCs w:val="24"/>
        </w:rPr>
        <w:t>rovnováhy hrozeb, byť</w:t>
      </w:r>
      <w:r w:rsidR="00DC0884" w:rsidRPr="00026D3E">
        <w:rPr>
          <w:rFonts w:ascii="Times New Roman" w:hAnsi="Times New Roman" w:cs="Times New Roman"/>
          <w:sz w:val="24"/>
          <w:szCs w:val="24"/>
        </w:rPr>
        <w:t xml:space="preserve"> početné hrozby vnímané touto aliancí identifikovaly.</w:t>
      </w:r>
      <w:r w:rsidR="003512EE" w:rsidRPr="00026D3E">
        <w:rPr>
          <w:rFonts w:ascii="Times New Roman" w:hAnsi="Times New Roman" w:cs="Times New Roman"/>
          <w:sz w:val="24"/>
          <w:szCs w:val="24"/>
        </w:rPr>
        <w:t xml:space="preserve"> Waltova motivace aplikovat svou teorii na vý</w:t>
      </w:r>
      <w:r w:rsidR="008723AA" w:rsidRPr="00026D3E">
        <w:rPr>
          <w:rFonts w:ascii="Times New Roman" w:hAnsi="Times New Roman" w:cs="Times New Roman"/>
          <w:sz w:val="24"/>
          <w:szCs w:val="24"/>
        </w:rPr>
        <w:t xml:space="preserve">bušnou oblast </w:t>
      </w:r>
      <w:r w:rsidR="00054434">
        <w:rPr>
          <w:rFonts w:ascii="Times New Roman" w:hAnsi="Times New Roman" w:cs="Times New Roman"/>
          <w:sz w:val="24"/>
          <w:szCs w:val="24"/>
        </w:rPr>
        <w:t>B</w:t>
      </w:r>
      <w:r w:rsidR="008723AA" w:rsidRPr="00026D3E">
        <w:rPr>
          <w:rFonts w:ascii="Times New Roman" w:hAnsi="Times New Roman" w:cs="Times New Roman"/>
          <w:sz w:val="24"/>
          <w:szCs w:val="24"/>
        </w:rPr>
        <w:t>lízkého východu byla poháněna vidinou unikátního vědeckého pokusu.</w:t>
      </w:r>
      <w:r w:rsidR="00E86F31" w:rsidRPr="00026D3E">
        <w:rPr>
          <w:rFonts w:ascii="Times New Roman" w:hAnsi="Times New Roman" w:cs="Times New Roman"/>
          <w:sz w:val="24"/>
          <w:szCs w:val="24"/>
        </w:rPr>
        <w:t xml:space="preserve"> N</w:t>
      </w:r>
      <w:r w:rsidR="008723AA" w:rsidRPr="00026D3E">
        <w:rPr>
          <w:rFonts w:ascii="Times New Roman" w:hAnsi="Times New Roman" w:cs="Times New Roman"/>
          <w:sz w:val="24"/>
          <w:szCs w:val="24"/>
        </w:rPr>
        <w:t>abídl způsob</w:t>
      </w:r>
      <w:r w:rsidR="008932D2" w:rsidRPr="00026D3E">
        <w:rPr>
          <w:rFonts w:ascii="Times New Roman" w:hAnsi="Times New Roman" w:cs="Times New Roman"/>
          <w:sz w:val="24"/>
          <w:szCs w:val="24"/>
        </w:rPr>
        <w:t xml:space="preserve"> interpretace aliancí, který je</w:t>
      </w:r>
      <w:r w:rsidR="005B0ECA" w:rsidRPr="00026D3E">
        <w:rPr>
          <w:rFonts w:ascii="Times New Roman" w:hAnsi="Times New Roman" w:cs="Times New Roman"/>
          <w:sz w:val="24"/>
          <w:szCs w:val="24"/>
        </w:rPr>
        <w:t xml:space="preserve"> </w:t>
      </w:r>
      <w:r w:rsidR="008723AA" w:rsidRPr="00026D3E">
        <w:rPr>
          <w:rFonts w:ascii="Times New Roman" w:hAnsi="Times New Roman" w:cs="Times New Roman"/>
          <w:sz w:val="24"/>
          <w:szCs w:val="24"/>
        </w:rPr>
        <w:t>zvláště at</w:t>
      </w:r>
      <w:r w:rsidR="00666E57" w:rsidRPr="00026D3E">
        <w:rPr>
          <w:rFonts w:ascii="Times New Roman" w:hAnsi="Times New Roman" w:cs="Times New Roman"/>
          <w:sz w:val="24"/>
          <w:szCs w:val="24"/>
        </w:rPr>
        <w:t>raktivní pro aplikaci na alianci</w:t>
      </w:r>
      <w:r w:rsidR="008723AA" w:rsidRPr="00026D3E">
        <w:rPr>
          <w:rFonts w:ascii="Times New Roman" w:hAnsi="Times New Roman" w:cs="Times New Roman"/>
          <w:sz w:val="24"/>
          <w:szCs w:val="24"/>
        </w:rPr>
        <w:t xml:space="preserve"> Sýrie a Íránu, </w:t>
      </w:r>
      <w:r w:rsidR="00666E57" w:rsidRPr="00026D3E">
        <w:rPr>
          <w:rFonts w:ascii="Times New Roman" w:hAnsi="Times New Roman" w:cs="Times New Roman"/>
          <w:sz w:val="24"/>
          <w:szCs w:val="24"/>
        </w:rPr>
        <w:t xml:space="preserve">jež se délkou své životnosti této oblasti poněkud vymyká. </w:t>
      </w:r>
    </w:p>
    <w:p w:rsidR="004D46DC" w:rsidRPr="00026D3E" w:rsidRDefault="006A5DEC" w:rsidP="00331240">
      <w:pPr>
        <w:spacing w:line="360" w:lineRule="auto"/>
        <w:ind w:firstLine="360"/>
        <w:jc w:val="both"/>
        <w:rPr>
          <w:rFonts w:ascii="Times New Roman" w:hAnsi="Times New Roman" w:cs="Times New Roman"/>
          <w:sz w:val="24"/>
          <w:szCs w:val="24"/>
        </w:rPr>
      </w:pPr>
      <w:r w:rsidRPr="00026D3E">
        <w:rPr>
          <w:rFonts w:ascii="Times New Roman" w:hAnsi="Times New Roman" w:cs="Times New Roman"/>
          <w:sz w:val="24"/>
          <w:szCs w:val="24"/>
        </w:rPr>
        <w:t xml:space="preserve">V této práci si </w:t>
      </w:r>
      <w:r w:rsidR="009A7F1C" w:rsidRPr="00026D3E">
        <w:rPr>
          <w:rFonts w:ascii="Times New Roman" w:hAnsi="Times New Roman" w:cs="Times New Roman"/>
          <w:sz w:val="24"/>
          <w:szCs w:val="24"/>
        </w:rPr>
        <w:t>autor pokládá</w:t>
      </w:r>
      <w:r w:rsidRPr="00026D3E">
        <w:rPr>
          <w:rFonts w:ascii="Times New Roman" w:hAnsi="Times New Roman" w:cs="Times New Roman"/>
          <w:sz w:val="24"/>
          <w:szCs w:val="24"/>
        </w:rPr>
        <w:t xml:space="preserve"> následující výzkumnou otázku:  Lze z</w:t>
      </w:r>
      <w:r w:rsidR="00323A24">
        <w:rPr>
          <w:rFonts w:ascii="Times New Roman" w:hAnsi="Times New Roman" w:cs="Times New Roman"/>
          <w:sz w:val="24"/>
          <w:szCs w:val="24"/>
        </w:rPr>
        <w:t>důvodnit existenci Syrsko – í</w:t>
      </w:r>
      <w:r w:rsidR="0059078D" w:rsidRPr="00026D3E">
        <w:rPr>
          <w:rFonts w:ascii="Times New Roman" w:hAnsi="Times New Roman" w:cs="Times New Roman"/>
          <w:sz w:val="24"/>
          <w:szCs w:val="24"/>
        </w:rPr>
        <w:t>ránské aliance z</w:t>
      </w:r>
      <w:r w:rsidR="00054434">
        <w:rPr>
          <w:rFonts w:ascii="Times New Roman" w:hAnsi="Times New Roman" w:cs="Times New Roman"/>
          <w:sz w:val="24"/>
          <w:szCs w:val="24"/>
        </w:rPr>
        <w:t>a pomoci</w:t>
      </w:r>
      <w:r w:rsidRPr="00026D3E">
        <w:rPr>
          <w:rFonts w:ascii="Times New Roman" w:hAnsi="Times New Roman" w:cs="Times New Roman"/>
          <w:sz w:val="24"/>
          <w:szCs w:val="24"/>
        </w:rPr>
        <w:t xml:space="preserve"> teorie </w:t>
      </w:r>
      <w:r w:rsidR="007650AF" w:rsidRPr="00026D3E">
        <w:rPr>
          <w:rFonts w:ascii="Times New Roman" w:hAnsi="Times New Roman" w:cs="Times New Roman"/>
          <w:sz w:val="24"/>
          <w:szCs w:val="24"/>
        </w:rPr>
        <w:t>rovnováhy hrozeb</w:t>
      </w:r>
      <w:r w:rsidR="00233860" w:rsidRPr="00026D3E">
        <w:rPr>
          <w:rFonts w:ascii="Times New Roman" w:hAnsi="Times New Roman" w:cs="Times New Roman"/>
          <w:sz w:val="24"/>
          <w:szCs w:val="24"/>
        </w:rPr>
        <w:t>?</w:t>
      </w:r>
    </w:p>
    <w:p w:rsidR="000A398B" w:rsidRPr="00026D3E" w:rsidRDefault="0059078D" w:rsidP="00331240">
      <w:pPr>
        <w:spacing w:line="360" w:lineRule="auto"/>
        <w:ind w:firstLine="360"/>
        <w:jc w:val="both"/>
        <w:rPr>
          <w:rFonts w:ascii="Times New Roman" w:hAnsi="Times New Roman" w:cs="Times New Roman"/>
          <w:sz w:val="24"/>
          <w:szCs w:val="24"/>
        </w:rPr>
      </w:pPr>
      <w:r w:rsidRPr="00026D3E">
        <w:rPr>
          <w:rFonts w:ascii="Times New Roman" w:hAnsi="Times New Roman" w:cs="Times New Roman"/>
          <w:sz w:val="24"/>
          <w:szCs w:val="24"/>
        </w:rPr>
        <w:t>Pokud teorie</w:t>
      </w:r>
      <w:r w:rsidR="00240B0A" w:rsidRPr="00026D3E">
        <w:rPr>
          <w:rFonts w:ascii="Times New Roman" w:hAnsi="Times New Roman" w:cs="Times New Roman"/>
          <w:sz w:val="24"/>
          <w:szCs w:val="24"/>
        </w:rPr>
        <w:t xml:space="preserve"> rovnováhy hrozeb</w:t>
      </w:r>
      <w:r w:rsidRPr="00026D3E">
        <w:rPr>
          <w:rFonts w:ascii="Times New Roman" w:hAnsi="Times New Roman" w:cs="Times New Roman"/>
          <w:sz w:val="24"/>
          <w:szCs w:val="24"/>
        </w:rPr>
        <w:t xml:space="preserve"> říká</w:t>
      </w:r>
      <w:r w:rsidR="004D46DC" w:rsidRPr="00026D3E">
        <w:rPr>
          <w:rFonts w:ascii="Times New Roman" w:hAnsi="Times New Roman" w:cs="Times New Roman"/>
          <w:sz w:val="24"/>
          <w:szCs w:val="24"/>
        </w:rPr>
        <w:t>, že motivací států k formování</w:t>
      </w:r>
      <w:r w:rsidRPr="00026D3E">
        <w:rPr>
          <w:rFonts w:ascii="Times New Roman" w:hAnsi="Times New Roman" w:cs="Times New Roman"/>
          <w:sz w:val="24"/>
          <w:szCs w:val="24"/>
        </w:rPr>
        <w:t xml:space="preserve"> aliancí je reakce </w:t>
      </w:r>
      <w:r w:rsidR="007650AF" w:rsidRPr="00026D3E">
        <w:rPr>
          <w:rFonts w:ascii="Times New Roman" w:hAnsi="Times New Roman" w:cs="Times New Roman"/>
          <w:sz w:val="24"/>
          <w:szCs w:val="24"/>
        </w:rPr>
        <w:br/>
      </w:r>
      <w:r w:rsidRPr="00026D3E">
        <w:rPr>
          <w:rFonts w:ascii="Times New Roman" w:hAnsi="Times New Roman" w:cs="Times New Roman"/>
          <w:sz w:val="24"/>
          <w:szCs w:val="24"/>
        </w:rPr>
        <w:t xml:space="preserve">na vnímanou vnější hrozbu, </w:t>
      </w:r>
      <w:r w:rsidR="004D46DC" w:rsidRPr="00026D3E">
        <w:rPr>
          <w:rFonts w:ascii="Times New Roman" w:hAnsi="Times New Roman" w:cs="Times New Roman"/>
          <w:sz w:val="24"/>
          <w:szCs w:val="24"/>
        </w:rPr>
        <w:t>pak se</w:t>
      </w:r>
      <w:r w:rsidR="0022105A" w:rsidRPr="00026D3E">
        <w:rPr>
          <w:rFonts w:ascii="Times New Roman" w:hAnsi="Times New Roman" w:cs="Times New Roman"/>
          <w:sz w:val="24"/>
          <w:szCs w:val="24"/>
        </w:rPr>
        <w:t xml:space="preserve"> autor pokusí</w:t>
      </w:r>
      <w:r w:rsidR="004D46DC" w:rsidRPr="00026D3E">
        <w:rPr>
          <w:rFonts w:ascii="Times New Roman" w:hAnsi="Times New Roman" w:cs="Times New Roman"/>
          <w:sz w:val="24"/>
          <w:szCs w:val="24"/>
        </w:rPr>
        <w:t xml:space="preserve"> ukázat, že </w:t>
      </w:r>
      <w:r w:rsidR="00E32C6A" w:rsidRPr="00026D3E">
        <w:rPr>
          <w:rFonts w:ascii="Times New Roman" w:hAnsi="Times New Roman" w:cs="Times New Roman"/>
          <w:sz w:val="24"/>
          <w:szCs w:val="24"/>
        </w:rPr>
        <w:t>impulsem ke vzniku aliance mezi těmito dvěma</w:t>
      </w:r>
      <w:r w:rsidR="004D46DC" w:rsidRPr="00026D3E">
        <w:rPr>
          <w:rFonts w:ascii="Times New Roman" w:hAnsi="Times New Roman" w:cs="Times New Roman"/>
          <w:sz w:val="24"/>
          <w:szCs w:val="24"/>
        </w:rPr>
        <w:t xml:space="preserve"> státy </w:t>
      </w:r>
      <w:r w:rsidR="00E32C6A" w:rsidRPr="00026D3E">
        <w:rPr>
          <w:rFonts w:ascii="Times New Roman" w:hAnsi="Times New Roman" w:cs="Times New Roman"/>
          <w:sz w:val="24"/>
          <w:szCs w:val="24"/>
        </w:rPr>
        <w:t>byla hrozba ze strany</w:t>
      </w:r>
      <w:r w:rsidR="004D46DC" w:rsidRPr="00026D3E">
        <w:rPr>
          <w:rFonts w:ascii="Times New Roman" w:hAnsi="Times New Roman" w:cs="Times New Roman"/>
          <w:sz w:val="24"/>
          <w:szCs w:val="24"/>
        </w:rPr>
        <w:t xml:space="preserve"> Irák</w:t>
      </w:r>
      <w:r w:rsidR="00E32C6A" w:rsidRPr="00026D3E">
        <w:rPr>
          <w:rFonts w:ascii="Times New Roman" w:hAnsi="Times New Roman" w:cs="Times New Roman"/>
          <w:sz w:val="24"/>
          <w:szCs w:val="24"/>
        </w:rPr>
        <w:t>u</w:t>
      </w:r>
      <w:r w:rsidR="004D46DC" w:rsidRPr="00026D3E">
        <w:rPr>
          <w:rFonts w:ascii="Times New Roman" w:hAnsi="Times New Roman" w:cs="Times New Roman"/>
          <w:sz w:val="24"/>
          <w:szCs w:val="24"/>
        </w:rPr>
        <w:t xml:space="preserve"> na přelomu </w:t>
      </w:r>
      <w:r w:rsidRPr="00026D3E">
        <w:rPr>
          <w:rFonts w:ascii="Times New Roman" w:hAnsi="Times New Roman" w:cs="Times New Roman"/>
          <w:sz w:val="24"/>
          <w:szCs w:val="24"/>
        </w:rPr>
        <w:t>sedm</w:t>
      </w:r>
      <w:r w:rsidR="00B0748C" w:rsidRPr="00026D3E">
        <w:rPr>
          <w:rFonts w:ascii="Times New Roman" w:hAnsi="Times New Roman" w:cs="Times New Roman"/>
          <w:sz w:val="24"/>
          <w:szCs w:val="24"/>
        </w:rPr>
        <w:t xml:space="preserve">desátých a osmdesátých let. </w:t>
      </w:r>
      <w:r w:rsidR="003F005F" w:rsidRPr="00026D3E">
        <w:rPr>
          <w:rFonts w:ascii="Times New Roman" w:hAnsi="Times New Roman" w:cs="Times New Roman"/>
          <w:sz w:val="24"/>
          <w:szCs w:val="24"/>
        </w:rPr>
        <w:t xml:space="preserve">Státní převrat v Íránu roku 1979 </w:t>
      </w:r>
      <w:r w:rsidR="008A5042" w:rsidRPr="00026D3E">
        <w:rPr>
          <w:rFonts w:ascii="Times New Roman" w:hAnsi="Times New Roman" w:cs="Times New Roman"/>
          <w:sz w:val="24"/>
          <w:szCs w:val="24"/>
        </w:rPr>
        <w:t xml:space="preserve">způsobil </w:t>
      </w:r>
      <w:r w:rsidR="003F005F" w:rsidRPr="00026D3E">
        <w:rPr>
          <w:rFonts w:ascii="Times New Roman" w:hAnsi="Times New Roman" w:cs="Times New Roman"/>
          <w:sz w:val="24"/>
          <w:szCs w:val="24"/>
        </w:rPr>
        <w:t>napětí v jeho vztazích s Irákem, jež následně přerostlo v otevřený válečný konflikt. Mezitím Sýrie, vnímající hrozbu z irácké strany se stala prvním arabským státem, který uznal legitimitu nově nastoleného íránského režimu</w:t>
      </w:r>
      <w:r w:rsidR="00BB1323" w:rsidRPr="00026D3E">
        <w:rPr>
          <w:rFonts w:ascii="Times New Roman" w:hAnsi="Times New Roman" w:cs="Times New Roman"/>
          <w:sz w:val="24"/>
          <w:szCs w:val="24"/>
        </w:rPr>
        <w:t>, načež</w:t>
      </w:r>
      <w:r w:rsidR="003F005F" w:rsidRPr="00026D3E">
        <w:rPr>
          <w:rFonts w:ascii="Times New Roman" w:hAnsi="Times New Roman" w:cs="Times New Roman"/>
          <w:sz w:val="24"/>
          <w:szCs w:val="24"/>
        </w:rPr>
        <w:t xml:space="preserve"> mu</w:t>
      </w:r>
      <w:r w:rsidR="00E32C6A" w:rsidRPr="00026D3E">
        <w:rPr>
          <w:rFonts w:ascii="Times New Roman" w:hAnsi="Times New Roman" w:cs="Times New Roman"/>
          <w:sz w:val="24"/>
          <w:szCs w:val="24"/>
        </w:rPr>
        <w:t xml:space="preserve"> </w:t>
      </w:r>
      <w:r w:rsidR="003F005F" w:rsidRPr="00026D3E">
        <w:rPr>
          <w:rFonts w:ascii="Times New Roman" w:hAnsi="Times New Roman" w:cs="Times New Roman"/>
          <w:sz w:val="24"/>
          <w:szCs w:val="24"/>
        </w:rPr>
        <w:t xml:space="preserve">v průběhu války poskytovala </w:t>
      </w:r>
      <w:r w:rsidR="00E32C6A" w:rsidRPr="00026D3E">
        <w:rPr>
          <w:rFonts w:ascii="Times New Roman" w:hAnsi="Times New Roman" w:cs="Times New Roman"/>
          <w:sz w:val="24"/>
          <w:szCs w:val="24"/>
        </w:rPr>
        <w:t xml:space="preserve">především </w:t>
      </w:r>
      <w:r w:rsidR="003F005F" w:rsidRPr="00026D3E">
        <w:rPr>
          <w:rFonts w:ascii="Times New Roman" w:hAnsi="Times New Roman" w:cs="Times New Roman"/>
          <w:sz w:val="24"/>
          <w:szCs w:val="24"/>
        </w:rPr>
        <w:t>vojenskou pomoc.</w:t>
      </w:r>
    </w:p>
    <w:p w:rsidR="0059078D" w:rsidRPr="00026D3E" w:rsidRDefault="0022105A" w:rsidP="00331240">
      <w:pPr>
        <w:spacing w:line="360" w:lineRule="auto"/>
        <w:ind w:firstLine="360"/>
        <w:jc w:val="both"/>
        <w:rPr>
          <w:rFonts w:ascii="Times New Roman" w:hAnsi="Times New Roman" w:cs="Times New Roman"/>
          <w:sz w:val="24"/>
          <w:szCs w:val="24"/>
        </w:rPr>
      </w:pPr>
      <w:r w:rsidRPr="00026D3E">
        <w:rPr>
          <w:rFonts w:ascii="Times New Roman" w:hAnsi="Times New Roman" w:cs="Times New Roman"/>
          <w:sz w:val="24"/>
          <w:szCs w:val="24"/>
        </w:rPr>
        <w:t>Na výzkumnou otázku bude moci autor</w:t>
      </w:r>
      <w:r w:rsidR="005B48EB" w:rsidRPr="00026D3E">
        <w:rPr>
          <w:rFonts w:ascii="Times New Roman" w:hAnsi="Times New Roman" w:cs="Times New Roman"/>
          <w:sz w:val="24"/>
          <w:szCs w:val="24"/>
        </w:rPr>
        <w:t xml:space="preserve"> odpovědět</w:t>
      </w:r>
      <w:r w:rsidR="007650AF" w:rsidRPr="00026D3E">
        <w:rPr>
          <w:rFonts w:ascii="Times New Roman" w:hAnsi="Times New Roman" w:cs="Times New Roman"/>
          <w:sz w:val="24"/>
          <w:szCs w:val="24"/>
        </w:rPr>
        <w:t>,</w:t>
      </w:r>
      <w:r w:rsidR="005B48EB" w:rsidRPr="00026D3E">
        <w:rPr>
          <w:rFonts w:ascii="Times New Roman" w:hAnsi="Times New Roman" w:cs="Times New Roman"/>
          <w:sz w:val="24"/>
          <w:szCs w:val="24"/>
        </w:rPr>
        <w:t xml:space="preserve"> jakmile</w:t>
      </w:r>
      <w:r w:rsidR="00BC415C" w:rsidRPr="00026D3E">
        <w:rPr>
          <w:rFonts w:ascii="Times New Roman" w:hAnsi="Times New Roman" w:cs="Times New Roman"/>
          <w:sz w:val="24"/>
          <w:szCs w:val="24"/>
        </w:rPr>
        <w:t xml:space="preserve"> ověřím pravdivost následující</w:t>
      </w:r>
      <w:r w:rsidR="00127C7A" w:rsidRPr="00026D3E">
        <w:rPr>
          <w:rFonts w:ascii="Times New Roman" w:hAnsi="Times New Roman" w:cs="Times New Roman"/>
          <w:sz w:val="24"/>
          <w:szCs w:val="24"/>
        </w:rPr>
        <w:t xml:space="preserve"> Waltovy</w:t>
      </w:r>
      <w:r w:rsidR="00BB1323" w:rsidRPr="00026D3E">
        <w:rPr>
          <w:rFonts w:ascii="Times New Roman" w:hAnsi="Times New Roman" w:cs="Times New Roman"/>
          <w:sz w:val="24"/>
          <w:szCs w:val="24"/>
        </w:rPr>
        <w:t xml:space="preserve"> hypotézy</w:t>
      </w:r>
      <w:r w:rsidR="00BC415C" w:rsidRPr="00026D3E">
        <w:rPr>
          <w:rFonts w:ascii="Times New Roman" w:hAnsi="Times New Roman" w:cs="Times New Roman"/>
          <w:sz w:val="24"/>
          <w:szCs w:val="24"/>
        </w:rPr>
        <w:t xml:space="preserve">: </w:t>
      </w:r>
      <w:r w:rsidR="00042435" w:rsidRPr="00026D3E">
        <w:rPr>
          <w:rFonts w:ascii="Times New Roman" w:hAnsi="Times New Roman" w:cs="Times New Roman"/>
          <w:sz w:val="24"/>
          <w:szCs w:val="24"/>
        </w:rPr>
        <w:t>Státy čelící vnější hrozbě budou u</w:t>
      </w:r>
      <w:r w:rsidR="007650AF" w:rsidRPr="00026D3E">
        <w:rPr>
          <w:rFonts w:ascii="Times New Roman" w:hAnsi="Times New Roman" w:cs="Times New Roman"/>
          <w:sz w:val="24"/>
          <w:szCs w:val="24"/>
        </w:rPr>
        <w:t xml:space="preserve">tvářet spojenectví s ostatními </w:t>
      </w:r>
      <w:r w:rsidR="00042435" w:rsidRPr="00026D3E">
        <w:rPr>
          <w:rFonts w:ascii="Times New Roman" w:hAnsi="Times New Roman" w:cs="Times New Roman"/>
          <w:sz w:val="24"/>
          <w:szCs w:val="24"/>
        </w:rPr>
        <w:t>za účelem vyvažování států, jež onu hrozbu představují.</w:t>
      </w:r>
      <w:r w:rsidR="00BC415C" w:rsidRPr="00026D3E">
        <w:rPr>
          <w:rStyle w:val="Znakapoznpodarou"/>
          <w:rFonts w:ascii="Times New Roman" w:hAnsi="Times New Roman" w:cs="Times New Roman"/>
          <w:sz w:val="24"/>
          <w:szCs w:val="24"/>
        </w:rPr>
        <w:footnoteReference w:id="7"/>
      </w:r>
    </w:p>
    <w:p w:rsidR="000D7879" w:rsidRPr="00026D3E" w:rsidRDefault="006F2D2E" w:rsidP="00A2012D">
      <w:pPr>
        <w:spacing w:line="360" w:lineRule="auto"/>
        <w:ind w:firstLine="360"/>
        <w:jc w:val="both"/>
        <w:rPr>
          <w:rFonts w:ascii="Times New Roman" w:hAnsi="Times New Roman" w:cs="Times New Roman"/>
          <w:sz w:val="24"/>
          <w:szCs w:val="24"/>
        </w:rPr>
      </w:pPr>
      <w:r w:rsidRPr="00026D3E">
        <w:rPr>
          <w:rFonts w:ascii="Times New Roman" w:hAnsi="Times New Roman" w:cs="Times New Roman"/>
          <w:sz w:val="24"/>
          <w:szCs w:val="24"/>
        </w:rPr>
        <w:t xml:space="preserve">Výše uvedené faktory celkové moci, zeměpisné blízkosti, </w:t>
      </w:r>
      <w:r w:rsidR="00B87C4D" w:rsidRPr="00026D3E">
        <w:rPr>
          <w:rFonts w:ascii="Times New Roman" w:hAnsi="Times New Roman" w:cs="Times New Roman"/>
          <w:sz w:val="24"/>
          <w:szCs w:val="24"/>
        </w:rPr>
        <w:t>ofensivní</w:t>
      </w:r>
      <w:r w:rsidRPr="00026D3E">
        <w:rPr>
          <w:rFonts w:ascii="Times New Roman" w:hAnsi="Times New Roman" w:cs="Times New Roman"/>
          <w:sz w:val="24"/>
          <w:szCs w:val="24"/>
        </w:rPr>
        <w:t xml:space="preserve"> kapacity a agresivních úmyslů poslouží </w:t>
      </w:r>
      <w:r w:rsidR="00DE5648" w:rsidRPr="00026D3E">
        <w:rPr>
          <w:rFonts w:ascii="Times New Roman" w:hAnsi="Times New Roman" w:cs="Times New Roman"/>
          <w:sz w:val="24"/>
          <w:szCs w:val="24"/>
        </w:rPr>
        <w:t xml:space="preserve">jako </w:t>
      </w:r>
      <w:r w:rsidR="005F6677" w:rsidRPr="00026D3E">
        <w:rPr>
          <w:rFonts w:ascii="Times New Roman" w:hAnsi="Times New Roman" w:cs="Times New Roman"/>
          <w:sz w:val="24"/>
          <w:szCs w:val="24"/>
        </w:rPr>
        <w:t>kritéria k</w:t>
      </w:r>
      <w:r w:rsidR="00864870" w:rsidRPr="00026D3E">
        <w:rPr>
          <w:rFonts w:ascii="Times New Roman" w:hAnsi="Times New Roman" w:cs="Times New Roman"/>
          <w:sz w:val="24"/>
          <w:szCs w:val="24"/>
        </w:rPr>
        <w:t> </w:t>
      </w:r>
      <w:r w:rsidR="005F6677" w:rsidRPr="00026D3E">
        <w:rPr>
          <w:rFonts w:ascii="Times New Roman" w:hAnsi="Times New Roman" w:cs="Times New Roman"/>
          <w:sz w:val="24"/>
          <w:szCs w:val="24"/>
        </w:rPr>
        <w:t>identifikaci</w:t>
      </w:r>
      <w:r w:rsidR="00864870" w:rsidRPr="00026D3E">
        <w:rPr>
          <w:rFonts w:ascii="Times New Roman" w:hAnsi="Times New Roman" w:cs="Times New Roman"/>
          <w:sz w:val="24"/>
          <w:szCs w:val="24"/>
        </w:rPr>
        <w:t xml:space="preserve"> státu jako</w:t>
      </w:r>
      <w:r w:rsidR="005F6677" w:rsidRPr="00026D3E">
        <w:rPr>
          <w:rFonts w:ascii="Times New Roman" w:hAnsi="Times New Roman" w:cs="Times New Roman"/>
          <w:sz w:val="24"/>
          <w:szCs w:val="24"/>
        </w:rPr>
        <w:t xml:space="preserve"> hrozby</w:t>
      </w:r>
      <w:r w:rsidR="00864870" w:rsidRPr="00026D3E">
        <w:rPr>
          <w:rFonts w:ascii="Times New Roman" w:hAnsi="Times New Roman" w:cs="Times New Roman"/>
          <w:sz w:val="24"/>
          <w:szCs w:val="24"/>
        </w:rPr>
        <w:t xml:space="preserve">, </w:t>
      </w:r>
      <w:r w:rsidR="00CD78F0" w:rsidRPr="00026D3E">
        <w:rPr>
          <w:rFonts w:ascii="Times New Roman" w:hAnsi="Times New Roman" w:cs="Times New Roman"/>
          <w:sz w:val="24"/>
          <w:szCs w:val="24"/>
        </w:rPr>
        <w:t>která</w:t>
      </w:r>
      <w:r w:rsidR="00E32E5A">
        <w:rPr>
          <w:rFonts w:ascii="Times New Roman" w:hAnsi="Times New Roman" w:cs="Times New Roman"/>
          <w:sz w:val="24"/>
          <w:szCs w:val="24"/>
        </w:rPr>
        <w:t xml:space="preserve"> bude</w:t>
      </w:r>
      <w:r w:rsidR="00864870" w:rsidRPr="00026D3E">
        <w:rPr>
          <w:rFonts w:ascii="Times New Roman" w:hAnsi="Times New Roman" w:cs="Times New Roman"/>
          <w:sz w:val="24"/>
          <w:szCs w:val="24"/>
        </w:rPr>
        <w:t xml:space="preserve"> nezávisle proměnnou</w:t>
      </w:r>
      <w:r w:rsidRPr="00026D3E">
        <w:rPr>
          <w:rFonts w:ascii="Times New Roman" w:hAnsi="Times New Roman" w:cs="Times New Roman"/>
          <w:sz w:val="24"/>
          <w:szCs w:val="24"/>
        </w:rPr>
        <w:t xml:space="preserve">. </w:t>
      </w:r>
      <w:r w:rsidR="00E32E5A">
        <w:rPr>
          <w:rFonts w:ascii="Times New Roman" w:hAnsi="Times New Roman" w:cs="Times New Roman"/>
          <w:sz w:val="24"/>
          <w:szCs w:val="24"/>
        </w:rPr>
        <w:t>Pokud se</w:t>
      </w:r>
      <w:r w:rsidR="005A5F2A" w:rsidRPr="00026D3E">
        <w:rPr>
          <w:rFonts w:ascii="Times New Roman" w:hAnsi="Times New Roman" w:cs="Times New Roman"/>
          <w:sz w:val="24"/>
          <w:szCs w:val="24"/>
        </w:rPr>
        <w:t xml:space="preserve"> podař</w:t>
      </w:r>
      <w:r w:rsidR="00695A47" w:rsidRPr="00026D3E">
        <w:rPr>
          <w:rFonts w:ascii="Times New Roman" w:hAnsi="Times New Roman" w:cs="Times New Roman"/>
          <w:sz w:val="24"/>
          <w:szCs w:val="24"/>
        </w:rPr>
        <w:t xml:space="preserve">í prokázat, že z pohledu Sýrie a Íránu byly všechny čtyři </w:t>
      </w:r>
      <w:r w:rsidR="00DE5648" w:rsidRPr="00026D3E">
        <w:rPr>
          <w:rFonts w:ascii="Times New Roman" w:hAnsi="Times New Roman" w:cs="Times New Roman"/>
          <w:sz w:val="24"/>
          <w:szCs w:val="24"/>
        </w:rPr>
        <w:t>faktory</w:t>
      </w:r>
      <w:r w:rsidR="00B87C4D" w:rsidRPr="00026D3E">
        <w:rPr>
          <w:rFonts w:ascii="Times New Roman" w:hAnsi="Times New Roman" w:cs="Times New Roman"/>
          <w:sz w:val="24"/>
          <w:szCs w:val="24"/>
        </w:rPr>
        <w:t xml:space="preserve"> v případě Iráku </w:t>
      </w:r>
      <w:r w:rsidR="009A7F1C" w:rsidRPr="00026D3E">
        <w:rPr>
          <w:rFonts w:ascii="Times New Roman" w:hAnsi="Times New Roman" w:cs="Times New Roman"/>
          <w:sz w:val="24"/>
          <w:szCs w:val="24"/>
        </w:rPr>
        <w:t>přítomny, bude</w:t>
      </w:r>
      <w:r w:rsidR="00695A47" w:rsidRPr="00026D3E">
        <w:rPr>
          <w:rFonts w:ascii="Times New Roman" w:hAnsi="Times New Roman" w:cs="Times New Roman"/>
          <w:sz w:val="24"/>
          <w:szCs w:val="24"/>
        </w:rPr>
        <w:t xml:space="preserve"> moci </w:t>
      </w:r>
      <w:r w:rsidR="00DE5648" w:rsidRPr="00026D3E">
        <w:rPr>
          <w:rFonts w:ascii="Times New Roman" w:hAnsi="Times New Roman" w:cs="Times New Roman"/>
          <w:sz w:val="24"/>
          <w:szCs w:val="24"/>
        </w:rPr>
        <w:t>potvrdit, že uvedené státy byly</w:t>
      </w:r>
      <w:r w:rsidR="00E32E5A">
        <w:rPr>
          <w:rFonts w:ascii="Times New Roman" w:hAnsi="Times New Roman" w:cs="Times New Roman"/>
          <w:sz w:val="24"/>
          <w:szCs w:val="24"/>
        </w:rPr>
        <w:t xml:space="preserve"> z pohledu Waltovy teorie</w:t>
      </w:r>
      <w:r w:rsidR="00DE5648" w:rsidRPr="00026D3E">
        <w:rPr>
          <w:rFonts w:ascii="Times New Roman" w:hAnsi="Times New Roman" w:cs="Times New Roman"/>
          <w:sz w:val="24"/>
          <w:szCs w:val="24"/>
        </w:rPr>
        <w:t xml:space="preserve"> vnímány v daném období jako hrozby, čímž se prokáže kauzální vztah mezi hrozbou a aliancí</w:t>
      </w:r>
      <w:r w:rsidR="00127C7A" w:rsidRPr="00026D3E">
        <w:rPr>
          <w:rFonts w:ascii="Times New Roman" w:hAnsi="Times New Roman" w:cs="Times New Roman"/>
          <w:sz w:val="24"/>
          <w:szCs w:val="24"/>
        </w:rPr>
        <w:t xml:space="preserve"> a potvrdí se tak pravdivost hypotézy. </w:t>
      </w:r>
    </w:p>
    <w:p w:rsidR="00821043" w:rsidRPr="00026D3E" w:rsidRDefault="003F4233" w:rsidP="00A2012D">
      <w:pPr>
        <w:spacing w:line="360" w:lineRule="auto"/>
        <w:ind w:firstLine="360"/>
        <w:jc w:val="both"/>
        <w:rPr>
          <w:rFonts w:ascii="Times New Roman" w:hAnsi="Times New Roman" w:cs="Times New Roman"/>
          <w:sz w:val="24"/>
          <w:szCs w:val="24"/>
        </w:rPr>
      </w:pPr>
      <w:r w:rsidRPr="00026D3E">
        <w:rPr>
          <w:rFonts w:ascii="Times New Roman" w:hAnsi="Times New Roman" w:cs="Times New Roman"/>
          <w:sz w:val="24"/>
          <w:szCs w:val="24"/>
        </w:rPr>
        <w:lastRenderedPageBreak/>
        <w:t xml:space="preserve">V rovině teorií mezinárodních vztahů bývají příčiny vzniku aliancí často zdůvodňovány v duchu (neo)realistické teorie mocenské rovnováhy. </w:t>
      </w:r>
      <w:r w:rsidR="00210B1B" w:rsidRPr="00026D3E">
        <w:rPr>
          <w:rFonts w:ascii="Times New Roman" w:hAnsi="Times New Roman" w:cs="Times New Roman"/>
          <w:sz w:val="24"/>
          <w:szCs w:val="24"/>
        </w:rPr>
        <w:t>Avšak zaměření se pouze na fakto</w:t>
      </w:r>
      <w:r w:rsidR="00BA2420" w:rsidRPr="00026D3E">
        <w:rPr>
          <w:rFonts w:ascii="Times New Roman" w:hAnsi="Times New Roman" w:cs="Times New Roman"/>
          <w:sz w:val="24"/>
          <w:szCs w:val="24"/>
        </w:rPr>
        <w:t>r celkové moci</w:t>
      </w:r>
      <w:r w:rsidR="00210B1B" w:rsidRPr="00026D3E">
        <w:rPr>
          <w:rFonts w:ascii="Times New Roman" w:hAnsi="Times New Roman" w:cs="Times New Roman"/>
          <w:sz w:val="24"/>
          <w:szCs w:val="24"/>
        </w:rPr>
        <w:t xml:space="preserve"> státu, jako to tato teorie činí, zanedbává důležité účinky </w:t>
      </w:r>
      <w:r w:rsidR="00821043" w:rsidRPr="00026D3E">
        <w:rPr>
          <w:rFonts w:ascii="Times New Roman" w:hAnsi="Times New Roman" w:cs="Times New Roman"/>
          <w:sz w:val="24"/>
          <w:szCs w:val="24"/>
        </w:rPr>
        <w:t>dalších faktorů, které budou státníci brát v úvahu při rozhodování se v otázce aliance. (Walt 1987: 171)</w:t>
      </w:r>
      <w:r w:rsidR="002F500B" w:rsidRPr="00026D3E">
        <w:rPr>
          <w:rFonts w:ascii="Times New Roman" w:hAnsi="Times New Roman" w:cs="Times New Roman"/>
          <w:sz w:val="24"/>
          <w:szCs w:val="24"/>
        </w:rPr>
        <w:t xml:space="preserve"> Teorie rovnováhy hrozeb </w:t>
      </w:r>
      <w:r w:rsidR="00E70822" w:rsidRPr="00026D3E">
        <w:rPr>
          <w:rFonts w:ascii="Times New Roman" w:hAnsi="Times New Roman" w:cs="Times New Roman"/>
          <w:sz w:val="24"/>
          <w:szCs w:val="24"/>
        </w:rPr>
        <w:t xml:space="preserve">by mohla lépe odrážet složitost rozhodovacích procesů, zvláště pak v tak dynamickém prostoru, jakým </w:t>
      </w:r>
      <w:r w:rsidR="00B27F92">
        <w:rPr>
          <w:rFonts w:ascii="Times New Roman" w:hAnsi="Times New Roman" w:cs="Times New Roman"/>
          <w:sz w:val="24"/>
          <w:szCs w:val="24"/>
        </w:rPr>
        <w:t>B</w:t>
      </w:r>
      <w:r w:rsidR="00E70822" w:rsidRPr="00026D3E">
        <w:rPr>
          <w:rFonts w:ascii="Times New Roman" w:hAnsi="Times New Roman" w:cs="Times New Roman"/>
          <w:sz w:val="24"/>
          <w:szCs w:val="24"/>
        </w:rPr>
        <w:t xml:space="preserve">lízký východ je. </w:t>
      </w:r>
      <w:r w:rsidR="008F5FB4" w:rsidRPr="00026D3E">
        <w:rPr>
          <w:rFonts w:ascii="Times New Roman" w:hAnsi="Times New Roman" w:cs="Times New Roman"/>
          <w:sz w:val="24"/>
          <w:szCs w:val="24"/>
        </w:rPr>
        <w:t>Přidaná hodnota teorie spočívá podle Walta v její s</w:t>
      </w:r>
      <w:r w:rsidR="00346D85" w:rsidRPr="00026D3E">
        <w:rPr>
          <w:rFonts w:ascii="Times New Roman" w:hAnsi="Times New Roman" w:cs="Times New Roman"/>
          <w:sz w:val="24"/>
          <w:szCs w:val="24"/>
        </w:rPr>
        <w:t>chopnosti vysvětlovat</w:t>
      </w:r>
      <w:r w:rsidR="007B7EB6" w:rsidRPr="00026D3E">
        <w:rPr>
          <w:rFonts w:ascii="Times New Roman" w:hAnsi="Times New Roman" w:cs="Times New Roman"/>
          <w:sz w:val="24"/>
          <w:szCs w:val="24"/>
        </w:rPr>
        <w:t xml:space="preserve"> i tam, kde selhává teorie mocenské rovnováhy. Jmenovitě například proč byly </w:t>
      </w:r>
      <w:r w:rsidR="006C009B" w:rsidRPr="00026D3E">
        <w:rPr>
          <w:rFonts w:ascii="Times New Roman" w:hAnsi="Times New Roman" w:cs="Times New Roman"/>
          <w:sz w:val="24"/>
          <w:szCs w:val="24"/>
        </w:rPr>
        <w:t>Spojené státy</w:t>
      </w:r>
      <w:r w:rsidR="007B7EB6" w:rsidRPr="00026D3E">
        <w:rPr>
          <w:rFonts w:ascii="Times New Roman" w:hAnsi="Times New Roman" w:cs="Times New Roman"/>
          <w:sz w:val="24"/>
          <w:szCs w:val="24"/>
        </w:rPr>
        <w:t xml:space="preserve"> schopny vytvořit velkou a podstatně silnější koalici proti </w:t>
      </w:r>
      <w:r w:rsidR="006C009B" w:rsidRPr="00026D3E">
        <w:rPr>
          <w:rFonts w:ascii="Times New Roman" w:hAnsi="Times New Roman" w:cs="Times New Roman"/>
          <w:sz w:val="24"/>
          <w:szCs w:val="24"/>
        </w:rPr>
        <w:t xml:space="preserve">Sovětskému svazu </w:t>
      </w:r>
      <w:r w:rsidR="00F53F61">
        <w:rPr>
          <w:rFonts w:ascii="Times New Roman" w:hAnsi="Times New Roman" w:cs="Times New Roman"/>
          <w:sz w:val="24"/>
          <w:szCs w:val="24"/>
        </w:rPr>
        <w:t>ve studené válce či</w:t>
      </w:r>
      <w:r w:rsidR="007B7EB6" w:rsidRPr="00026D3E">
        <w:rPr>
          <w:rFonts w:ascii="Times New Roman" w:hAnsi="Times New Roman" w:cs="Times New Roman"/>
          <w:sz w:val="24"/>
          <w:szCs w:val="24"/>
        </w:rPr>
        <w:t xml:space="preserve"> proč vznikla tak velká koalice proti Iráku po jeho invazi do Kuvajtu</w:t>
      </w:r>
      <w:r w:rsidR="00F53F61">
        <w:rPr>
          <w:rFonts w:ascii="Times New Roman" w:hAnsi="Times New Roman" w:cs="Times New Roman"/>
          <w:sz w:val="24"/>
          <w:szCs w:val="24"/>
        </w:rPr>
        <w:t>. P</w:t>
      </w:r>
      <w:r w:rsidR="007B7EB6" w:rsidRPr="00026D3E">
        <w:rPr>
          <w:rFonts w:ascii="Times New Roman" w:hAnsi="Times New Roman" w:cs="Times New Roman"/>
          <w:sz w:val="24"/>
          <w:szCs w:val="24"/>
        </w:rPr>
        <w:t>ředevším</w:t>
      </w:r>
      <w:r w:rsidR="00F53F61">
        <w:rPr>
          <w:rFonts w:ascii="Times New Roman" w:hAnsi="Times New Roman" w:cs="Times New Roman"/>
          <w:sz w:val="24"/>
          <w:szCs w:val="24"/>
        </w:rPr>
        <w:t xml:space="preserve"> však</w:t>
      </w:r>
      <w:r w:rsidR="007B7EB6" w:rsidRPr="00026D3E">
        <w:rPr>
          <w:rFonts w:ascii="Times New Roman" w:hAnsi="Times New Roman" w:cs="Times New Roman"/>
          <w:sz w:val="24"/>
          <w:szCs w:val="24"/>
        </w:rPr>
        <w:t xml:space="preserve"> proč nevznikla žádná silná koalice po konci studené války, která by vyvažovala bezprecedentní sílu jediné světové supervelmoci – </w:t>
      </w:r>
      <w:r w:rsidR="006C009B" w:rsidRPr="00026D3E">
        <w:rPr>
          <w:rFonts w:ascii="Times New Roman" w:hAnsi="Times New Roman" w:cs="Times New Roman"/>
          <w:sz w:val="24"/>
          <w:szCs w:val="24"/>
        </w:rPr>
        <w:t>Spojených států</w:t>
      </w:r>
      <w:r w:rsidR="007B7EB6" w:rsidRPr="00026D3E">
        <w:rPr>
          <w:rFonts w:ascii="Times New Roman" w:hAnsi="Times New Roman" w:cs="Times New Roman"/>
          <w:sz w:val="24"/>
          <w:szCs w:val="24"/>
        </w:rPr>
        <w:t xml:space="preserve">. </w:t>
      </w:r>
      <w:r w:rsidR="006F2513" w:rsidRPr="00026D3E">
        <w:rPr>
          <w:rStyle w:val="Znakapoznpodarou"/>
          <w:rFonts w:ascii="Times New Roman" w:hAnsi="Times New Roman" w:cs="Times New Roman"/>
          <w:sz w:val="24"/>
          <w:szCs w:val="24"/>
        </w:rPr>
        <w:footnoteReference w:id="8"/>
      </w:r>
    </w:p>
    <w:p w:rsidR="00832B96" w:rsidRPr="00026D3E" w:rsidRDefault="00D40133" w:rsidP="00A2012D">
      <w:pPr>
        <w:spacing w:line="360" w:lineRule="auto"/>
        <w:ind w:firstLine="360"/>
        <w:jc w:val="both"/>
        <w:rPr>
          <w:rFonts w:ascii="Times New Roman" w:hAnsi="Times New Roman" w:cs="Times New Roman"/>
          <w:sz w:val="24"/>
          <w:szCs w:val="24"/>
        </w:rPr>
      </w:pPr>
      <w:r w:rsidRPr="00026D3E">
        <w:rPr>
          <w:rFonts w:ascii="Times New Roman" w:hAnsi="Times New Roman" w:cs="Times New Roman"/>
          <w:sz w:val="24"/>
          <w:szCs w:val="24"/>
        </w:rPr>
        <w:t>Walt ve svém díle srovnává motiv vyvažování (</w:t>
      </w:r>
      <w:r w:rsidRPr="00026D3E">
        <w:rPr>
          <w:rFonts w:ascii="Times New Roman" w:hAnsi="Times New Roman" w:cs="Times New Roman"/>
          <w:i/>
          <w:sz w:val="24"/>
          <w:szCs w:val="24"/>
        </w:rPr>
        <w:t>balancing</w:t>
      </w:r>
      <w:r w:rsidRPr="00026D3E">
        <w:rPr>
          <w:rFonts w:ascii="Times New Roman" w:hAnsi="Times New Roman" w:cs="Times New Roman"/>
          <w:sz w:val="24"/>
          <w:szCs w:val="24"/>
        </w:rPr>
        <w:t>) s </w:t>
      </w:r>
      <w:r w:rsidR="00BB1323" w:rsidRPr="00026D3E">
        <w:rPr>
          <w:rFonts w:ascii="Times New Roman" w:hAnsi="Times New Roman" w:cs="Times New Roman"/>
          <w:sz w:val="24"/>
          <w:szCs w:val="24"/>
        </w:rPr>
        <w:t xml:space="preserve">dalšími motivy, jež mohou vést </w:t>
      </w:r>
      <w:r w:rsidRPr="00026D3E">
        <w:rPr>
          <w:rFonts w:ascii="Times New Roman" w:hAnsi="Times New Roman" w:cs="Times New Roman"/>
          <w:sz w:val="24"/>
          <w:szCs w:val="24"/>
        </w:rPr>
        <w:t>k </w:t>
      </w:r>
      <w:r w:rsidR="00BA2420" w:rsidRPr="00026D3E">
        <w:rPr>
          <w:rFonts w:ascii="Times New Roman" w:hAnsi="Times New Roman" w:cs="Times New Roman"/>
          <w:sz w:val="24"/>
          <w:szCs w:val="24"/>
        </w:rPr>
        <w:t>vytvá</w:t>
      </w:r>
      <w:r w:rsidRPr="00026D3E">
        <w:rPr>
          <w:rFonts w:ascii="Times New Roman" w:hAnsi="Times New Roman" w:cs="Times New Roman"/>
          <w:sz w:val="24"/>
          <w:szCs w:val="24"/>
        </w:rPr>
        <w:t>ření aliancí.</w:t>
      </w:r>
      <w:r w:rsidR="00275244" w:rsidRPr="00026D3E">
        <w:rPr>
          <w:rFonts w:ascii="Times New Roman" w:hAnsi="Times New Roman" w:cs="Times New Roman"/>
          <w:sz w:val="24"/>
          <w:szCs w:val="24"/>
        </w:rPr>
        <w:t xml:space="preserve"> </w:t>
      </w:r>
      <w:r w:rsidR="00832B96" w:rsidRPr="00026D3E">
        <w:rPr>
          <w:rFonts w:ascii="Times New Roman" w:hAnsi="Times New Roman" w:cs="Times New Roman"/>
          <w:sz w:val="24"/>
          <w:szCs w:val="24"/>
        </w:rPr>
        <w:t>V souvislosti s důkladnou analýzou dat, které při studiu aliancí získa</w:t>
      </w:r>
      <w:r w:rsidR="00275244" w:rsidRPr="00026D3E">
        <w:rPr>
          <w:rFonts w:ascii="Times New Roman" w:hAnsi="Times New Roman" w:cs="Times New Roman"/>
          <w:sz w:val="24"/>
          <w:szCs w:val="24"/>
        </w:rPr>
        <w:t>l</w:t>
      </w:r>
      <w:r w:rsidR="00991A3A" w:rsidRPr="00371E56">
        <w:rPr>
          <w:rFonts w:ascii="Times New Roman" w:hAnsi="Times New Roman" w:cs="Times New Roman"/>
          <w:sz w:val="24"/>
          <w:szCs w:val="24"/>
        </w:rPr>
        <w:t>,</w:t>
      </w:r>
      <w:r w:rsidR="00275244" w:rsidRPr="00026D3E">
        <w:rPr>
          <w:rFonts w:ascii="Times New Roman" w:hAnsi="Times New Roman" w:cs="Times New Roman"/>
          <w:color w:val="FF0000"/>
          <w:sz w:val="24"/>
          <w:szCs w:val="24"/>
        </w:rPr>
        <w:t xml:space="preserve"> </w:t>
      </w:r>
      <w:r w:rsidR="00275244" w:rsidRPr="00026D3E">
        <w:rPr>
          <w:rFonts w:ascii="Times New Roman" w:hAnsi="Times New Roman" w:cs="Times New Roman"/>
          <w:sz w:val="24"/>
          <w:szCs w:val="24"/>
        </w:rPr>
        <w:t>však</w:t>
      </w:r>
      <w:r w:rsidR="00832B96" w:rsidRPr="00026D3E">
        <w:rPr>
          <w:rFonts w:ascii="Times New Roman" w:hAnsi="Times New Roman" w:cs="Times New Roman"/>
          <w:sz w:val="24"/>
          <w:szCs w:val="24"/>
        </w:rPr>
        <w:t xml:space="preserve"> </w:t>
      </w:r>
      <w:r w:rsidR="00BB1323" w:rsidRPr="00026D3E">
        <w:rPr>
          <w:rFonts w:ascii="Times New Roman" w:hAnsi="Times New Roman" w:cs="Times New Roman"/>
          <w:sz w:val="24"/>
          <w:szCs w:val="24"/>
        </w:rPr>
        <w:t>argumentuje, že</w:t>
      </w:r>
      <w:r w:rsidR="00BA2420" w:rsidRPr="00026D3E">
        <w:rPr>
          <w:rFonts w:ascii="Times New Roman" w:hAnsi="Times New Roman" w:cs="Times New Roman"/>
          <w:sz w:val="24"/>
          <w:szCs w:val="24"/>
        </w:rPr>
        <w:t xml:space="preserve"> vyvažování </w:t>
      </w:r>
      <w:r w:rsidRPr="00026D3E">
        <w:rPr>
          <w:rFonts w:ascii="Times New Roman" w:hAnsi="Times New Roman" w:cs="Times New Roman"/>
          <w:sz w:val="24"/>
          <w:szCs w:val="24"/>
        </w:rPr>
        <w:t>se vyskytuje mnohem běžněji než bandwagoning</w:t>
      </w:r>
      <w:r w:rsidR="00DB1611" w:rsidRPr="00026D3E">
        <w:rPr>
          <w:rFonts w:ascii="Times New Roman" w:hAnsi="Times New Roman" w:cs="Times New Roman"/>
          <w:sz w:val="24"/>
          <w:szCs w:val="24"/>
        </w:rPr>
        <w:t xml:space="preserve"> (Walt 1987:263)</w:t>
      </w:r>
      <w:r w:rsidRPr="00026D3E">
        <w:rPr>
          <w:rFonts w:ascii="Times New Roman" w:hAnsi="Times New Roman" w:cs="Times New Roman"/>
          <w:sz w:val="24"/>
          <w:szCs w:val="24"/>
        </w:rPr>
        <w:t>, že je silnějším motivem než ideologie</w:t>
      </w:r>
      <w:r w:rsidR="00DB1611" w:rsidRPr="00026D3E">
        <w:rPr>
          <w:rFonts w:ascii="Times New Roman" w:hAnsi="Times New Roman" w:cs="Times New Roman"/>
          <w:sz w:val="24"/>
          <w:szCs w:val="24"/>
        </w:rPr>
        <w:t xml:space="preserve"> (Walt 1987:266)</w:t>
      </w:r>
      <w:r w:rsidRPr="00026D3E">
        <w:rPr>
          <w:rFonts w:ascii="Times New Roman" w:hAnsi="Times New Roman" w:cs="Times New Roman"/>
          <w:sz w:val="24"/>
          <w:szCs w:val="24"/>
        </w:rPr>
        <w:t xml:space="preserve"> a že ani zahraniční pomoc (</w:t>
      </w:r>
      <w:r w:rsidRPr="00026D3E">
        <w:rPr>
          <w:rFonts w:ascii="Times New Roman" w:hAnsi="Times New Roman" w:cs="Times New Roman"/>
          <w:i/>
          <w:sz w:val="24"/>
          <w:szCs w:val="24"/>
        </w:rPr>
        <w:t>foreign aid</w:t>
      </w:r>
      <w:r w:rsidRPr="00026D3E">
        <w:rPr>
          <w:rFonts w:ascii="Times New Roman" w:hAnsi="Times New Roman" w:cs="Times New Roman"/>
          <w:sz w:val="24"/>
          <w:szCs w:val="24"/>
        </w:rPr>
        <w:t>), ani politická penetrace (</w:t>
      </w:r>
      <w:r w:rsidRPr="00026D3E">
        <w:rPr>
          <w:rFonts w:ascii="Times New Roman" w:hAnsi="Times New Roman" w:cs="Times New Roman"/>
          <w:i/>
          <w:sz w:val="24"/>
          <w:szCs w:val="24"/>
        </w:rPr>
        <w:t>political penetration</w:t>
      </w:r>
      <w:r w:rsidRPr="00026D3E">
        <w:rPr>
          <w:rFonts w:ascii="Times New Roman" w:hAnsi="Times New Roman" w:cs="Times New Roman"/>
          <w:sz w:val="24"/>
          <w:szCs w:val="24"/>
        </w:rPr>
        <w:t>)</w:t>
      </w:r>
      <w:r w:rsidR="00CC2543">
        <w:rPr>
          <w:rFonts w:ascii="Times New Roman" w:hAnsi="Times New Roman" w:cs="Times New Roman"/>
          <w:sz w:val="24"/>
          <w:szCs w:val="24"/>
        </w:rPr>
        <w:t xml:space="preserve"> nejsou samy</w:t>
      </w:r>
      <w:r w:rsidR="009632BD" w:rsidRPr="00026D3E">
        <w:rPr>
          <w:rFonts w:ascii="Times New Roman" w:hAnsi="Times New Roman" w:cs="Times New Roman"/>
          <w:sz w:val="24"/>
          <w:szCs w:val="24"/>
        </w:rPr>
        <w:t xml:space="preserve"> o sobě dostatečně silným motivem k</w:t>
      </w:r>
      <w:r w:rsidR="00AF236D" w:rsidRPr="00026D3E">
        <w:rPr>
          <w:rFonts w:ascii="Times New Roman" w:hAnsi="Times New Roman" w:cs="Times New Roman"/>
          <w:sz w:val="24"/>
          <w:szCs w:val="24"/>
        </w:rPr>
        <w:t xml:space="preserve"> vytvoření aliance. </w:t>
      </w:r>
      <w:r w:rsidR="00DB1611" w:rsidRPr="00026D3E">
        <w:rPr>
          <w:rFonts w:ascii="Times New Roman" w:hAnsi="Times New Roman" w:cs="Times New Roman"/>
          <w:sz w:val="24"/>
          <w:szCs w:val="24"/>
        </w:rPr>
        <w:t>(Walt 1987:268)</w:t>
      </w:r>
    </w:p>
    <w:p w:rsidR="003C1727" w:rsidRPr="00026D3E" w:rsidRDefault="000D4331" w:rsidP="00A2012D">
      <w:pPr>
        <w:spacing w:line="360" w:lineRule="auto"/>
        <w:ind w:firstLine="360"/>
        <w:jc w:val="both"/>
        <w:rPr>
          <w:rFonts w:ascii="Times New Roman" w:hAnsi="Times New Roman" w:cs="Times New Roman"/>
          <w:sz w:val="24"/>
          <w:szCs w:val="24"/>
        </w:rPr>
      </w:pPr>
      <w:r w:rsidRPr="00026D3E">
        <w:rPr>
          <w:rFonts w:ascii="Times New Roman" w:hAnsi="Times New Roman" w:cs="Times New Roman"/>
          <w:sz w:val="24"/>
          <w:szCs w:val="24"/>
        </w:rPr>
        <w:t xml:space="preserve">Waltovo dílo </w:t>
      </w:r>
      <w:r w:rsidR="004432A4" w:rsidRPr="00026D3E">
        <w:rPr>
          <w:rFonts w:ascii="Times New Roman" w:hAnsi="Times New Roman" w:cs="Times New Roman"/>
          <w:sz w:val="24"/>
          <w:szCs w:val="24"/>
        </w:rPr>
        <w:t>samozřejmě</w:t>
      </w:r>
      <w:r w:rsidR="00E83BB2" w:rsidRPr="00026D3E">
        <w:rPr>
          <w:rFonts w:ascii="Times New Roman" w:hAnsi="Times New Roman" w:cs="Times New Roman"/>
          <w:sz w:val="24"/>
          <w:szCs w:val="24"/>
        </w:rPr>
        <w:t xml:space="preserve"> nezůstalo bez odezvy.  K</w:t>
      </w:r>
      <w:r w:rsidR="00D35B3F" w:rsidRPr="00026D3E">
        <w:rPr>
          <w:rFonts w:ascii="Times New Roman" w:hAnsi="Times New Roman" w:cs="Times New Roman"/>
          <w:sz w:val="24"/>
          <w:szCs w:val="24"/>
        </w:rPr>
        <w:t xml:space="preserve">ritika byla </w:t>
      </w:r>
      <w:r w:rsidR="00A2012D">
        <w:rPr>
          <w:rFonts w:ascii="Times New Roman" w:hAnsi="Times New Roman" w:cs="Times New Roman"/>
          <w:sz w:val="24"/>
          <w:szCs w:val="24"/>
        </w:rPr>
        <w:t>zaměřena</w:t>
      </w:r>
      <w:r w:rsidR="00D35B3F" w:rsidRPr="00026D3E">
        <w:rPr>
          <w:rFonts w:ascii="Times New Roman" w:hAnsi="Times New Roman" w:cs="Times New Roman"/>
          <w:sz w:val="24"/>
          <w:szCs w:val="24"/>
        </w:rPr>
        <w:t xml:space="preserve"> na více </w:t>
      </w:r>
      <w:r w:rsidR="00A2012D">
        <w:rPr>
          <w:rFonts w:ascii="Times New Roman" w:hAnsi="Times New Roman" w:cs="Times New Roman"/>
          <w:sz w:val="24"/>
          <w:szCs w:val="24"/>
        </w:rPr>
        <w:t>součástí teorie</w:t>
      </w:r>
      <w:r w:rsidR="00D35B3F" w:rsidRPr="00026D3E">
        <w:rPr>
          <w:rFonts w:ascii="Times New Roman" w:hAnsi="Times New Roman" w:cs="Times New Roman"/>
          <w:sz w:val="24"/>
          <w:szCs w:val="24"/>
        </w:rPr>
        <w:t xml:space="preserve">. </w:t>
      </w:r>
      <w:r w:rsidR="004379A6" w:rsidRPr="00026D3E">
        <w:rPr>
          <w:rFonts w:ascii="Times New Roman" w:hAnsi="Times New Roman" w:cs="Times New Roman"/>
          <w:sz w:val="24"/>
          <w:szCs w:val="24"/>
        </w:rPr>
        <w:t xml:space="preserve">Robert Keohane </w:t>
      </w:r>
      <w:r w:rsidR="0095158D" w:rsidRPr="00026D3E">
        <w:rPr>
          <w:rFonts w:ascii="Times New Roman" w:hAnsi="Times New Roman" w:cs="Times New Roman"/>
          <w:sz w:val="24"/>
          <w:szCs w:val="24"/>
        </w:rPr>
        <w:t>uvádí</w:t>
      </w:r>
      <w:r w:rsidR="00BA676A" w:rsidRPr="00026D3E">
        <w:rPr>
          <w:rFonts w:ascii="Times New Roman" w:hAnsi="Times New Roman" w:cs="Times New Roman"/>
          <w:sz w:val="24"/>
          <w:szCs w:val="24"/>
        </w:rPr>
        <w:t xml:space="preserve">, že teorie rovnováhy hrozeb vyžaduje příliš mnoho nezbytných informací o subjektivních náhledech stejně jako o faktech, což jí značně ubírá na síle. Místo aby nám poskytla nová východiska, říká nahlas pouze to, co si ostatní stejně už myslí. (Keohane 1988) </w:t>
      </w:r>
      <w:r w:rsidR="00D57FE9" w:rsidRPr="00026D3E">
        <w:rPr>
          <w:rFonts w:ascii="Times New Roman" w:hAnsi="Times New Roman" w:cs="Times New Roman"/>
          <w:sz w:val="24"/>
          <w:szCs w:val="24"/>
        </w:rPr>
        <w:t xml:space="preserve">Glenn Snyder zaměřuje svou pozornost na nezávisle proměnné. </w:t>
      </w:r>
      <w:r w:rsidR="0020507F" w:rsidRPr="00026D3E">
        <w:rPr>
          <w:rFonts w:ascii="Times New Roman" w:hAnsi="Times New Roman" w:cs="Times New Roman"/>
          <w:sz w:val="24"/>
          <w:szCs w:val="24"/>
        </w:rPr>
        <w:t>Zpočátku označuje faktor celkové</w:t>
      </w:r>
      <w:r w:rsidR="00D57FE9" w:rsidRPr="00026D3E">
        <w:rPr>
          <w:rFonts w:ascii="Times New Roman" w:hAnsi="Times New Roman" w:cs="Times New Roman"/>
          <w:sz w:val="24"/>
          <w:szCs w:val="24"/>
        </w:rPr>
        <w:t xml:space="preserve"> moc</w:t>
      </w:r>
      <w:r w:rsidR="0020507F" w:rsidRPr="00026D3E">
        <w:rPr>
          <w:rFonts w:ascii="Times New Roman" w:hAnsi="Times New Roman" w:cs="Times New Roman"/>
          <w:sz w:val="24"/>
          <w:szCs w:val="24"/>
        </w:rPr>
        <w:t>i, zeměpisné</w:t>
      </w:r>
      <w:r w:rsidR="00D57FE9" w:rsidRPr="00026D3E">
        <w:rPr>
          <w:rFonts w:ascii="Times New Roman" w:hAnsi="Times New Roman" w:cs="Times New Roman"/>
          <w:sz w:val="24"/>
          <w:szCs w:val="24"/>
        </w:rPr>
        <w:t xml:space="preserve"> blízkost</w:t>
      </w:r>
      <w:r w:rsidR="0020507F" w:rsidRPr="00026D3E">
        <w:rPr>
          <w:rFonts w:ascii="Times New Roman" w:hAnsi="Times New Roman" w:cs="Times New Roman"/>
          <w:sz w:val="24"/>
          <w:szCs w:val="24"/>
        </w:rPr>
        <w:t xml:space="preserve">i a </w:t>
      </w:r>
      <w:r w:rsidR="00A5598F" w:rsidRPr="00026D3E">
        <w:rPr>
          <w:rFonts w:ascii="Times New Roman" w:hAnsi="Times New Roman" w:cs="Times New Roman"/>
          <w:sz w:val="24"/>
          <w:szCs w:val="24"/>
        </w:rPr>
        <w:t>ofensivní</w:t>
      </w:r>
      <w:r w:rsidR="00D57FE9" w:rsidRPr="00026D3E">
        <w:rPr>
          <w:rFonts w:ascii="Times New Roman" w:hAnsi="Times New Roman" w:cs="Times New Roman"/>
          <w:sz w:val="24"/>
          <w:szCs w:val="24"/>
        </w:rPr>
        <w:t xml:space="preserve"> </w:t>
      </w:r>
      <w:r w:rsidR="0020507F" w:rsidRPr="00026D3E">
        <w:rPr>
          <w:rFonts w:ascii="Times New Roman" w:hAnsi="Times New Roman" w:cs="Times New Roman"/>
          <w:sz w:val="24"/>
          <w:szCs w:val="24"/>
        </w:rPr>
        <w:t>kapacity</w:t>
      </w:r>
      <w:r w:rsidR="00BB1323" w:rsidRPr="00026D3E">
        <w:rPr>
          <w:rFonts w:ascii="Times New Roman" w:hAnsi="Times New Roman" w:cs="Times New Roman"/>
          <w:sz w:val="24"/>
          <w:szCs w:val="24"/>
        </w:rPr>
        <w:t xml:space="preserve"> </w:t>
      </w:r>
      <w:r w:rsidR="00D57FE9" w:rsidRPr="00026D3E">
        <w:rPr>
          <w:rFonts w:ascii="Times New Roman" w:hAnsi="Times New Roman" w:cs="Times New Roman"/>
          <w:sz w:val="24"/>
          <w:szCs w:val="24"/>
        </w:rPr>
        <w:t>jako součást</w:t>
      </w:r>
      <w:r w:rsidR="0020507F" w:rsidRPr="00026D3E">
        <w:rPr>
          <w:rFonts w:ascii="Times New Roman" w:hAnsi="Times New Roman" w:cs="Times New Roman"/>
          <w:sz w:val="24"/>
          <w:szCs w:val="24"/>
        </w:rPr>
        <w:t xml:space="preserve"> termínu moc</w:t>
      </w:r>
      <w:r w:rsidR="00784221" w:rsidRPr="00026D3E">
        <w:rPr>
          <w:rFonts w:ascii="Times New Roman" w:hAnsi="Times New Roman" w:cs="Times New Roman"/>
          <w:sz w:val="24"/>
          <w:szCs w:val="24"/>
        </w:rPr>
        <w:t>i</w:t>
      </w:r>
      <w:r w:rsidR="0020507F" w:rsidRPr="00026D3E">
        <w:rPr>
          <w:rFonts w:ascii="Times New Roman" w:hAnsi="Times New Roman" w:cs="Times New Roman"/>
          <w:sz w:val="24"/>
          <w:szCs w:val="24"/>
        </w:rPr>
        <w:t xml:space="preserve"> (</w:t>
      </w:r>
      <w:r w:rsidR="0020507F" w:rsidRPr="00026D3E">
        <w:rPr>
          <w:rFonts w:ascii="Times New Roman" w:hAnsi="Times New Roman" w:cs="Times New Roman"/>
          <w:i/>
          <w:sz w:val="24"/>
          <w:szCs w:val="24"/>
        </w:rPr>
        <w:t>power</w:t>
      </w:r>
      <w:r w:rsidR="0020507F" w:rsidRPr="00026D3E">
        <w:rPr>
          <w:rFonts w:ascii="Times New Roman" w:hAnsi="Times New Roman" w:cs="Times New Roman"/>
          <w:sz w:val="24"/>
          <w:szCs w:val="24"/>
        </w:rPr>
        <w:t>) či kapacit</w:t>
      </w:r>
      <w:r w:rsidR="00784221" w:rsidRPr="00026D3E">
        <w:rPr>
          <w:rFonts w:ascii="Times New Roman" w:hAnsi="Times New Roman" w:cs="Times New Roman"/>
          <w:sz w:val="24"/>
          <w:szCs w:val="24"/>
        </w:rPr>
        <w:t>y</w:t>
      </w:r>
      <w:r w:rsidR="00D57FE9" w:rsidRPr="00026D3E">
        <w:rPr>
          <w:rFonts w:ascii="Times New Roman" w:hAnsi="Times New Roman" w:cs="Times New Roman"/>
          <w:sz w:val="24"/>
          <w:szCs w:val="24"/>
        </w:rPr>
        <w:t xml:space="preserve"> (</w:t>
      </w:r>
      <w:r w:rsidR="00D57FE9" w:rsidRPr="00026D3E">
        <w:rPr>
          <w:rFonts w:ascii="Times New Roman" w:hAnsi="Times New Roman" w:cs="Times New Roman"/>
          <w:i/>
          <w:sz w:val="24"/>
          <w:szCs w:val="24"/>
        </w:rPr>
        <w:t>capacity</w:t>
      </w:r>
      <w:r w:rsidR="00D57FE9" w:rsidRPr="00026D3E">
        <w:rPr>
          <w:rFonts w:ascii="Times New Roman" w:hAnsi="Times New Roman" w:cs="Times New Roman"/>
          <w:sz w:val="24"/>
          <w:szCs w:val="24"/>
        </w:rPr>
        <w:t>) a faktor</w:t>
      </w:r>
      <w:r w:rsidR="00A5598F" w:rsidRPr="00026D3E">
        <w:rPr>
          <w:rFonts w:ascii="Times New Roman" w:hAnsi="Times New Roman" w:cs="Times New Roman"/>
          <w:sz w:val="24"/>
          <w:szCs w:val="24"/>
        </w:rPr>
        <w:t xml:space="preserve"> agresivních</w:t>
      </w:r>
      <w:r w:rsidR="00D57FE9" w:rsidRPr="00026D3E">
        <w:rPr>
          <w:rFonts w:ascii="Times New Roman" w:hAnsi="Times New Roman" w:cs="Times New Roman"/>
          <w:sz w:val="24"/>
          <w:szCs w:val="24"/>
        </w:rPr>
        <w:t xml:space="preserve"> úmyslů jako samozřejmost, bez které by žádné aliance ani nevznika</w:t>
      </w:r>
      <w:r w:rsidR="0020507F" w:rsidRPr="00026D3E">
        <w:rPr>
          <w:rFonts w:ascii="Times New Roman" w:hAnsi="Times New Roman" w:cs="Times New Roman"/>
          <w:sz w:val="24"/>
          <w:szCs w:val="24"/>
        </w:rPr>
        <w:t xml:space="preserve">ly. </w:t>
      </w:r>
      <w:r w:rsidR="00784221" w:rsidRPr="00026D3E">
        <w:rPr>
          <w:rFonts w:ascii="Times New Roman" w:hAnsi="Times New Roman" w:cs="Times New Roman"/>
          <w:sz w:val="24"/>
          <w:szCs w:val="24"/>
        </w:rPr>
        <w:t>Po krátké úvaze nad literaturou</w:t>
      </w:r>
      <w:r w:rsidR="00FB2E7A" w:rsidRPr="00026D3E">
        <w:rPr>
          <w:rFonts w:ascii="Times New Roman" w:hAnsi="Times New Roman" w:cs="Times New Roman"/>
          <w:sz w:val="24"/>
          <w:szCs w:val="24"/>
        </w:rPr>
        <w:t xml:space="preserve"> zabývající se vyvažováním moci</w:t>
      </w:r>
      <w:r w:rsidR="00784221" w:rsidRPr="00026D3E">
        <w:rPr>
          <w:rFonts w:ascii="Times New Roman" w:hAnsi="Times New Roman" w:cs="Times New Roman"/>
          <w:sz w:val="24"/>
          <w:szCs w:val="24"/>
        </w:rPr>
        <w:t xml:space="preserve"> však </w:t>
      </w:r>
      <w:r w:rsidR="00FB2E7A" w:rsidRPr="00026D3E">
        <w:rPr>
          <w:rFonts w:ascii="Times New Roman" w:hAnsi="Times New Roman" w:cs="Times New Roman"/>
          <w:sz w:val="24"/>
          <w:szCs w:val="24"/>
        </w:rPr>
        <w:t xml:space="preserve">tento </w:t>
      </w:r>
      <w:r w:rsidR="005C2F7F" w:rsidRPr="00026D3E">
        <w:rPr>
          <w:rFonts w:ascii="Times New Roman" w:hAnsi="Times New Roman" w:cs="Times New Roman"/>
          <w:sz w:val="24"/>
          <w:szCs w:val="24"/>
        </w:rPr>
        <w:t xml:space="preserve">postoj mírně mění. Uvádí, že téměř nikdy nejsou faktory </w:t>
      </w:r>
      <w:r w:rsidR="00A5598F" w:rsidRPr="00026D3E">
        <w:rPr>
          <w:rFonts w:ascii="Times New Roman" w:hAnsi="Times New Roman" w:cs="Times New Roman"/>
          <w:sz w:val="24"/>
          <w:szCs w:val="24"/>
        </w:rPr>
        <w:t>ofensivní</w:t>
      </w:r>
      <w:r w:rsidR="00A2012D">
        <w:rPr>
          <w:rFonts w:ascii="Times New Roman" w:hAnsi="Times New Roman" w:cs="Times New Roman"/>
          <w:sz w:val="24"/>
          <w:szCs w:val="24"/>
        </w:rPr>
        <w:t xml:space="preserve"> </w:t>
      </w:r>
      <w:r w:rsidR="005C2F7F" w:rsidRPr="00026D3E">
        <w:rPr>
          <w:rFonts w:ascii="Times New Roman" w:hAnsi="Times New Roman" w:cs="Times New Roman"/>
          <w:sz w:val="24"/>
          <w:szCs w:val="24"/>
        </w:rPr>
        <w:t xml:space="preserve">kapacity a </w:t>
      </w:r>
      <w:r w:rsidR="00A5598F" w:rsidRPr="00026D3E">
        <w:rPr>
          <w:rFonts w:ascii="Times New Roman" w:hAnsi="Times New Roman" w:cs="Times New Roman"/>
          <w:sz w:val="24"/>
          <w:szCs w:val="24"/>
        </w:rPr>
        <w:t xml:space="preserve">agresivních </w:t>
      </w:r>
      <w:r w:rsidR="005C2F7F" w:rsidRPr="00026D3E">
        <w:rPr>
          <w:rFonts w:ascii="Times New Roman" w:hAnsi="Times New Roman" w:cs="Times New Roman"/>
          <w:sz w:val="24"/>
          <w:szCs w:val="24"/>
        </w:rPr>
        <w:t xml:space="preserve">úmyslů explicitně odděleny, čímž Walt </w:t>
      </w:r>
      <w:r w:rsidR="00A5598F" w:rsidRPr="00026D3E">
        <w:rPr>
          <w:rFonts w:ascii="Times New Roman" w:hAnsi="Times New Roman" w:cs="Times New Roman"/>
          <w:sz w:val="24"/>
          <w:szCs w:val="24"/>
        </w:rPr>
        <w:t>pomáhá objasnit</w:t>
      </w:r>
      <w:r w:rsidR="005C2F7F" w:rsidRPr="00026D3E">
        <w:rPr>
          <w:rFonts w:ascii="Times New Roman" w:hAnsi="Times New Roman" w:cs="Times New Roman"/>
          <w:sz w:val="24"/>
          <w:szCs w:val="24"/>
        </w:rPr>
        <w:t xml:space="preserve"> teorii mocenské rovnováhy. (Snyder 1991)</w:t>
      </w:r>
    </w:p>
    <w:p w:rsidR="009A7BAB" w:rsidRPr="00026D3E" w:rsidRDefault="009D23C1" w:rsidP="00A2012D">
      <w:pPr>
        <w:spacing w:line="360" w:lineRule="auto"/>
        <w:ind w:firstLine="360"/>
        <w:jc w:val="both"/>
        <w:rPr>
          <w:rFonts w:ascii="Times New Roman" w:hAnsi="Times New Roman" w:cs="Times New Roman"/>
          <w:sz w:val="24"/>
          <w:szCs w:val="24"/>
        </w:rPr>
      </w:pPr>
      <w:r w:rsidRPr="00026D3E">
        <w:rPr>
          <w:rFonts w:ascii="Times New Roman" w:hAnsi="Times New Roman" w:cs="Times New Roman"/>
          <w:sz w:val="24"/>
          <w:szCs w:val="24"/>
        </w:rPr>
        <w:lastRenderedPageBreak/>
        <w:t xml:space="preserve">Impulsem k velice intenzivní diskuzi byl také článek Johna Vasqueze, který ostrým způsobem kritizuje nejen teorii rovnováhy hrozeb, ale </w:t>
      </w:r>
      <w:r w:rsidR="001E6F38" w:rsidRPr="00026D3E">
        <w:rPr>
          <w:rFonts w:ascii="Times New Roman" w:hAnsi="Times New Roman" w:cs="Times New Roman"/>
          <w:sz w:val="24"/>
          <w:szCs w:val="24"/>
        </w:rPr>
        <w:t>i současnou podobu realistického paradigmatu jako takového. Opírajíce se o vědecký model Imre Lakatose, Vasquez se snaží</w:t>
      </w:r>
      <w:r w:rsidR="00106BCB" w:rsidRPr="00026D3E">
        <w:rPr>
          <w:rFonts w:ascii="Times New Roman" w:hAnsi="Times New Roman" w:cs="Times New Roman"/>
          <w:sz w:val="24"/>
          <w:szCs w:val="24"/>
        </w:rPr>
        <w:t xml:space="preserve"> na příklad</w:t>
      </w:r>
      <w:r w:rsidR="009066F9" w:rsidRPr="00026D3E">
        <w:rPr>
          <w:rFonts w:ascii="Times New Roman" w:hAnsi="Times New Roman" w:cs="Times New Roman"/>
          <w:sz w:val="24"/>
          <w:szCs w:val="24"/>
        </w:rPr>
        <w:t>ech</w:t>
      </w:r>
      <w:r w:rsidR="00106BCB" w:rsidRPr="00026D3E">
        <w:rPr>
          <w:rFonts w:ascii="Times New Roman" w:hAnsi="Times New Roman" w:cs="Times New Roman"/>
          <w:sz w:val="24"/>
          <w:szCs w:val="24"/>
        </w:rPr>
        <w:t xml:space="preserve"> </w:t>
      </w:r>
      <w:r w:rsidR="00503053" w:rsidRPr="00026D3E">
        <w:rPr>
          <w:rFonts w:ascii="Times New Roman" w:hAnsi="Times New Roman" w:cs="Times New Roman"/>
          <w:sz w:val="24"/>
          <w:szCs w:val="24"/>
        </w:rPr>
        <w:t>teorie vyvažování hrozeb a</w:t>
      </w:r>
      <w:r w:rsidR="009066F9" w:rsidRPr="00026D3E">
        <w:rPr>
          <w:rFonts w:ascii="Times New Roman" w:hAnsi="Times New Roman" w:cs="Times New Roman"/>
          <w:sz w:val="24"/>
          <w:szCs w:val="24"/>
        </w:rPr>
        <w:t xml:space="preserve"> </w:t>
      </w:r>
      <w:r w:rsidR="00503053" w:rsidRPr="00026D3E">
        <w:rPr>
          <w:rFonts w:ascii="Times New Roman" w:hAnsi="Times New Roman" w:cs="Times New Roman"/>
          <w:sz w:val="24"/>
          <w:szCs w:val="24"/>
        </w:rPr>
        <w:t>teorie vyvažování zájmů (</w:t>
      </w:r>
      <w:r w:rsidR="00503053" w:rsidRPr="00026D3E">
        <w:rPr>
          <w:rFonts w:ascii="Times New Roman" w:hAnsi="Times New Roman" w:cs="Times New Roman"/>
          <w:i/>
          <w:sz w:val="24"/>
          <w:szCs w:val="24"/>
        </w:rPr>
        <w:t>balance of interests</w:t>
      </w:r>
      <w:r w:rsidR="00503053" w:rsidRPr="00026D3E">
        <w:rPr>
          <w:rFonts w:ascii="Times New Roman" w:hAnsi="Times New Roman" w:cs="Times New Roman"/>
          <w:sz w:val="24"/>
          <w:szCs w:val="24"/>
        </w:rPr>
        <w:t>)</w:t>
      </w:r>
      <w:r w:rsidR="009066F9" w:rsidRPr="00026D3E">
        <w:rPr>
          <w:rFonts w:ascii="Times New Roman" w:hAnsi="Times New Roman" w:cs="Times New Roman"/>
          <w:sz w:val="24"/>
          <w:szCs w:val="24"/>
        </w:rPr>
        <w:t xml:space="preserve"> poukázat na degeneraci realismu. </w:t>
      </w:r>
      <w:r w:rsidR="005A084D" w:rsidRPr="00026D3E">
        <w:rPr>
          <w:rFonts w:ascii="Times New Roman" w:hAnsi="Times New Roman" w:cs="Times New Roman"/>
          <w:sz w:val="24"/>
          <w:szCs w:val="24"/>
        </w:rPr>
        <w:t xml:space="preserve">S Waltem se </w:t>
      </w:r>
      <w:r w:rsidR="00E93D81" w:rsidRPr="00026D3E">
        <w:rPr>
          <w:rFonts w:ascii="Times New Roman" w:hAnsi="Times New Roman" w:cs="Times New Roman"/>
          <w:sz w:val="24"/>
          <w:szCs w:val="24"/>
        </w:rPr>
        <w:t xml:space="preserve">přitom rozchází </w:t>
      </w:r>
      <w:r w:rsidR="005A084D" w:rsidRPr="00026D3E">
        <w:rPr>
          <w:rFonts w:ascii="Times New Roman" w:hAnsi="Times New Roman" w:cs="Times New Roman"/>
          <w:sz w:val="24"/>
          <w:szCs w:val="24"/>
        </w:rPr>
        <w:t>v jedné zásadní vě</w:t>
      </w:r>
      <w:r w:rsidR="00B83403" w:rsidRPr="00026D3E">
        <w:rPr>
          <w:rFonts w:ascii="Times New Roman" w:hAnsi="Times New Roman" w:cs="Times New Roman"/>
          <w:sz w:val="24"/>
          <w:szCs w:val="24"/>
        </w:rPr>
        <w:t>ci.  Walt svůj návrh rovnováhy hrozeb vnímá jako teorii, která, byť odvozena od Waltzovy teorie, obstojí sama o sobě</w:t>
      </w:r>
      <w:r w:rsidR="005F2CA4" w:rsidRPr="00026D3E">
        <w:rPr>
          <w:rFonts w:ascii="Times New Roman" w:hAnsi="Times New Roman" w:cs="Times New Roman"/>
          <w:sz w:val="24"/>
          <w:szCs w:val="24"/>
        </w:rPr>
        <w:t>. Naproti tomu Vasquez říká, že spíše než zdokon</w:t>
      </w:r>
      <w:r w:rsidR="00A2012D">
        <w:rPr>
          <w:rFonts w:ascii="Times New Roman" w:hAnsi="Times New Roman" w:cs="Times New Roman"/>
          <w:sz w:val="24"/>
          <w:szCs w:val="24"/>
        </w:rPr>
        <w:t xml:space="preserve">alení teorie mocenské rovnováhy </w:t>
      </w:r>
      <w:r w:rsidR="005F2CA4" w:rsidRPr="00026D3E">
        <w:rPr>
          <w:rFonts w:ascii="Times New Roman" w:hAnsi="Times New Roman" w:cs="Times New Roman"/>
          <w:sz w:val="24"/>
          <w:szCs w:val="24"/>
        </w:rPr>
        <w:t xml:space="preserve">demonstruje ve skutečnosti výskyt anomálií, které teorii mocenské rovnováhy zcela vyvracejí. </w:t>
      </w:r>
      <w:r w:rsidR="00DA1E0A" w:rsidRPr="00026D3E">
        <w:rPr>
          <w:rFonts w:ascii="Times New Roman" w:hAnsi="Times New Roman" w:cs="Times New Roman"/>
          <w:sz w:val="24"/>
          <w:szCs w:val="24"/>
        </w:rPr>
        <w:t>(Vasquez 1997:904)</w:t>
      </w:r>
      <w:r w:rsidR="00A2012D">
        <w:rPr>
          <w:rFonts w:ascii="Times New Roman" w:hAnsi="Times New Roman" w:cs="Times New Roman"/>
          <w:sz w:val="24"/>
          <w:szCs w:val="24"/>
        </w:rPr>
        <w:t xml:space="preserve"> </w:t>
      </w:r>
      <w:r w:rsidR="005F2CA4" w:rsidRPr="00026D3E">
        <w:rPr>
          <w:rFonts w:ascii="Times New Roman" w:hAnsi="Times New Roman" w:cs="Times New Roman"/>
          <w:sz w:val="24"/>
          <w:szCs w:val="24"/>
        </w:rPr>
        <w:t>Právě t</w:t>
      </w:r>
      <w:r w:rsidR="00BB1323" w:rsidRPr="00026D3E">
        <w:rPr>
          <w:rFonts w:ascii="Times New Roman" w:hAnsi="Times New Roman" w:cs="Times New Roman"/>
          <w:sz w:val="24"/>
          <w:szCs w:val="24"/>
        </w:rPr>
        <w:t>ento způsob jakési</w:t>
      </w:r>
      <w:r w:rsidR="005F2CA4" w:rsidRPr="00026D3E">
        <w:rPr>
          <w:rFonts w:ascii="Times New Roman" w:hAnsi="Times New Roman" w:cs="Times New Roman"/>
          <w:sz w:val="24"/>
          <w:szCs w:val="24"/>
        </w:rPr>
        <w:t xml:space="preserve"> Waltovy záplaty děr,</w:t>
      </w:r>
      <w:r w:rsidR="00240697" w:rsidRPr="00026D3E">
        <w:rPr>
          <w:rFonts w:ascii="Times New Roman" w:hAnsi="Times New Roman" w:cs="Times New Roman"/>
          <w:sz w:val="24"/>
          <w:szCs w:val="24"/>
        </w:rPr>
        <w:t xml:space="preserve"> </w:t>
      </w:r>
      <w:r w:rsidR="005F2CA4" w:rsidRPr="00026D3E">
        <w:rPr>
          <w:rFonts w:ascii="Times New Roman" w:hAnsi="Times New Roman" w:cs="Times New Roman"/>
          <w:sz w:val="24"/>
          <w:szCs w:val="24"/>
        </w:rPr>
        <w:t>které se nacházejí ve Waltzově teorii, vidí jako vedoucí k </w:t>
      </w:r>
      <w:r w:rsidR="00E93D81" w:rsidRPr="00026D3E">
        <w:rPr>
          <w:rFonts w:ascii="Times New Roman" w:hAnsi="Times New Roman" w:cs="Times New Roman"/>
          <w:sz w:val="24"/>
          <w:szCs w:val="24"/>
        </w:rPr>
        <w:t xml:space="preserve">degeneraci </w:t>
      </w:r>
      <w:r w:rsidR="008D401B">
        <w:rPr>
          <w:rFonts w:ascii="Times New Roman" w:hAnsi="Times New Roman" w:cs="Times New Roman"/>
          <w:sz w:val="24"/>
          <w:szCs w:val="24"/>
        </w:rPr>
        <w:t>paradigmatu</w:t>
      </w:r>
      <w:r w:rsidR="00E93D81" w:rsidRPr="00026D3E">
        <w:rPr>
          <w:rFonts w:ascii="Times New Roman" w:hAnsi="Times New Roman" w:cs="Times New Roman"/>
          <w:sz w:val="24"/>
          <w:szCs w:val="24"/>
        </w:rPr>
        <w:t xml:space="preserve">. </w:t>
      </w:r>
      <w:r w:rsidR="00E0708B" w:rsidRPr="00026D3E">
        <w:rPr>
          <w:rFonts w:ascii="Times New Roman" w:hAnsi="Times New Roman" w:cs="Times New Roman"/>
          <w:sz w:val="24"/>
          <w:szCs w:val="24"/>
        </w:rPr>
        <w:t xml:space="preserve">Neschopnost realismu vyprodukovat jednu kompaktní </w:t>
      </w:r>
      <w:r w:rsidR="00806D6D" w:rsidRPr="00026D3E">
        <w:rPr>
          <w:rFonts w:ascii="Times New Roman" w:hAnsi="Times New Roman" w:cs="Times New Roman"/>
          <w:sz w:val="24"/>
          <w:szCs w:val="24"/>
        </w:rPr>
        <w:t>teorii</w:t>
      </w:r>
      <w:r w:rsidR="0095158D" w:rsidRPr="00026D3E">
        <w:rPr>
          <w:rFonts w:ascii="Times New Roman" w:hAnsi="Times New Roman" w:cs="Times New Roman"/>
          <w:sz w:val="24"/>
          <w:szCs w:val="24"/>
        </w:rPr>
        <w:t xml:space="preserve"> prokazuje</w:t>
      </w:r>
      <w:r w:rsidR="00B5707B" w:rsidRPr="00026D3E">
        <w:rPr>
          <w:rFonts w:ascii="Times New Roman" w:hAnsi="Times New Roman" w:cs="Times New Roman"/>
          <w:sz w:val="24"/>
          <w:szCs w:val="24"/>
        </w:rPr>
        <w:t xml:space="preserve"> dále na příkladu teorie vyvažování zájmů, se kterou přichází </w:t>
      </w:r>
      <w:r w:rsidR="0095158D" w:rsidRPr="00026D3E">
        <w:rPr>
          <w:rFonts w:ascii="Times New Roman" w:hAnsi="Times New Roman" w:cs="Times New Roman"/>
          <w:sz w:val="24"/>
          <w:szCs w:val="24"/>
        </w:rPr>
        <w:t xml:space="preserve">Randall </w:t>
      </w:r>
      <w:r w:rsidR="00B5707B" w:rsidRPr="00026D3E">
        <w:rPr>
          <w:rFonts w:ascii="Times New Roman" w:hAnsi="Times New Roman" w:cs="Times New Roman"/>
          <w:sz w:val="24"/>
          <w:szCs w:val="24"/>
        </w:rPr>
        <w:t xml:space="preserve">Schweller. </w:t>
      </w:r>
    </w:p>
    <w:p w:rsidR="00892FAD" w:rsidRPr="00026D3E" w:rsidRDefault="00B5707B" w:rsidP="00B516A0">
      <w:pPr>
        <w:spacing w:line="360" w:lineRule="auto"/>
        <w:ind w:firstLine="360"/>
        <w:jc w:val="both"/>
        <w:rPr>
          <w:rFonts w:ascii="Times New Roman" w:hAnsi="Times New Roman" w:cs="Times New Roman"/>
          <w:sz w:val="24"/>
          <w:szCs w:val="24"/>
        </w:rPr>
      </w:pPr>
      <w:r w:rsidRPr="00026D3E">
        <w:rPr>
          <w:rFonts w:ascii="Times New Roman" w:hAnsi="Times New Roman" w:cs="Times New Roman"/>
          <w:sz w:val="24"/>
          <w:szCs w:val="24"/>
        </w:rPr>
        <w:t xml:space="preserve">Schweller dochází totiž k závěru, že </w:t>
      </w:r>
      <w:r w:rsidR="009A7BAB" w:rsidRPr="00026D3E">
        <w:rPr>
          <w:rFonts w:ascii="Times New Roman" w:hAnsi="Times New Roman" w:cs="Times New Roman"/>
          <w:sz w:val="24"/>
          <w:szCs w:val="24"/>
        </w:rPr>
        <w:t>Waltz a Walt podceňují četnost výskytu bandwagoningu, když věnují tolik pozornosti mocenské rovnováze</w:t>
      </w:r>
      <w:r w:rsidRPr="00026D3E">
        <w:rPr>
          <w:rFonts w:ascii="Times New Roman" w:hAnsi="Times New Roman" w:cs="Times New Roman"/>
          <w:sz w:val="24"/>
          <w:szCs w:val="24"/>
        </w:rPr>
        <w:t>.</w:t>
      </w:r>
      <w:r w:rsidR="009A7BAB" w:rsidRPr="00026D3E">
        <w:rPr>
          <w:rFonts w:ascii="Times New Roman" w:hAnsi="Times New Roman" w:cs="Times New Roman"/>
          <w:sz w:val="24"/>
          <w:szCs w:val="24"/>
        </w:rPr>
        <w:t>(Schweller 1997:929)</w:t>
      </w:r>
      <w:r w:rsidRPr="00026D3E">
        <w:rPr>
          <w:rFonts w:ascii="Times New Roman" w:hAnsi="Times New Roman" w:cs="Times New Roman"/>
          <w:sz w:val="24"/>
          <w:szCs w:val="24"/>
        </w:rPr>
        <w:t xml:space="preserve"> </w:t>
      </w:r>
      <w:r w:rsidR="00AC1E87" w:rsidRPr="00026D3E">
        <w:rPr>
          <w:rFonts w:ascii="Times New Roman" w:hAnsi="Times New Roman" w:cs="Times New Roman"/>
          <w:sz w:val="24"/>
          <w:szCs w:val="24"/>
        </w:rPr>
        <w:t xml:space="preserve">Právě v tomto kontextu </w:t>
      </w:r>
      <w:r w:rsidRPr="00026D3E">
        <w:rPr>
          <w:rFonts w:ascii="Times New Roman" w:hAnsi="Times New Roman" w:cs="Times New Roman"/>
          <w:sz w:val="24"/>
          <w:szCs w:val="24"/>
        </w:rPr>
        <w:t>Vasque</w:t>
      </w:r>
      <w:r w:rsidR="00AC1E87" w:rsidRPr="00026D3E">
        <w:rPr>
          <w:rFonts w:ascii="Times New Roman" w:hAnsi="Times New Roman" w:cs="Times New Roman"/>
          <w:sz w:val="24"/>
          <w:szCs w:val="24"/>
        </w:rPr>
        <w:t xml:space="preserve">z upozorňuje, že se </w:t>
      </w:r>
      <w:r w:rsidR="00EB2295" w:rsidRPr="00026D3E">
        <w:rPr>
          <w:rFonts w:ascii="Times New Roman" w:hAnsi="Times New Roman" w:cs="Times New Roman"/>
          <w:sz w:val="24"/>
          <w:szCs w:val="24"/>
        </w:rPr>
        <w:t xml:space="preserve">akademici </w:t>
      </w:r>
      <w:r w:rsidR="00AC1E87" w:rsidRPr="00026D3E">
        <w:rPr>
          <w:rFonts w:ascii="Times New Roman" w:hAnsi="Times New Roman" w:cs="Times New Roman"/>
          <w:sz w:val="24"/>
          <w:szCs w:val="24"/>
        </w:rPr>
        <w:t xml:space="preserve">snaží zamaskovat </w:t>
      </w:r>
      <w:r w:rsidR="000D6223" w:rsidRPr="00026D3E">
        <w:rPr>
          <w:rFonts w:ascii="Times New Roman" w:hAnsi="Times New Roman" w:cs="Times New Roman"/>
          <w:sz w:val="24"/>
          <w:szCs w:val="24"/>
        </w:rPr>
        <w:t xml:space="preserve">nedostatky současné podoby realismu formulováním svých myšlenek tak, aby to vyhovovalo paradigmatu. </w:t>
      </w:r>
      <w:r w:rsidR="00EB2295" w:rsidRPr="00026D3E">
        <w:rPr>
          <w:rFonts w:ascii="Times New Roman" w:hAnsi="Times New Roman" w:cs="Times New Roman"/>
          <w:sz w:val="24"/>
          <w:szCs w:val="24"/>
        </w:rPr>
        <w:t xml:space="preserve">Malý přínos těchto teorií reflektuje také </w:t>
      </w:r>
      <w:r w:rsidR="00B516A0">
        <w:rPr>
          <w:rFonts w:ascii="Times New Roman" w:hAnsi="Times New Roman" w:cs="Times New Roman"/>
          <w:sz w:val="24"/>
          <w:szCs w:val="24"/>
        </w:rPr>
        <w:t>skutečnost</w:t>
      </w:r>
      <w:r w:rsidR="00EB2295" w:rsidRPr="00026D3E">
        <w:rPr>
          <w:rFonts w:ascii="Times New Roman" w:hAnsi="Times New Roman" w:cs="Times New Roman"/>
          <w:sz w:val="24"/>
          <w:szCs w:val="24"/>
        </w:rPr>
        <w:t xml:space="preserve">, že nepřináší žádná nová teoretická fakta a teorii rovnováhy hrozeb </w:t>
      </w:r>
      <w:r w:rsidR="001C5009" w:rsidRPr="00026D3E">
        <w:rPr>
          <w:rFonts w:ascii="Times New Roman" w:hAnsi="Times New Roman" w:cs="Times New Roman"/>
          <w:sz w:val="24"/>
          <w:szCs w:val="24"/>
        </w:rPr>
        <w:t>tak</w:t>
      </w:r>
      <w:r w:rsidR="00EB2295" w:rsidRPr="00026D3E">
        <w:rPr>
          <w:rFonts w:ascii="Times New Roman" w:hAnsi="Times New Roman" w:cs="Times New Roman"/>
          <w:sz w:val="24"/>
          <w:szCs w:val="24"/>
        </w:rPr>
        <w:t xml:space="preserve"> hodnotí jako pouhou přího</w:t>
      </w:r>
      <w:r w:rsidR="001C5009" w:rsidRPr="00026D3E">
        <w:rPr>
          <w:rFonts w:ascii="Times New Roman" w:hAnsi="Times New Roman" w:cs="Times New Roman"/>
          <w:sz w:val="24"/>
          <w:szCs w:val="24"/>
        </w:rPr>
        <w:t>dnou frázi (</w:t>
      </w:r>
      <w:r w:rsidR="001C5009" w:rsidRPr="00026D3E">
        <w:rPr>
          <w:rFonts w:ascii="Times New Roman" w:hAnsi="Times New Roman" w:cs="Times New Roman"/>
          <w:i/>
          <w:sz w:val="24"/>
          <w:szCs w:val="24"/>
        </w:rPr>
        <w:t>felicitous phrase</w:t>
      </w:r>
      <w:r w:rsidR="001C5009" w:rsidRPr="00026D3E">
        <w:rPr>
          <w:rFonts w:ascii="Times New Roman" w:hAnsi="Times New Roman" w:cs="Times New Roman"/>
          <w:sz w:val="24"/>
          <w:szCs w:val="24"/>
        </w:rPr>
        <w:t>). Svůj příspěv</w:t>
      </w:r>
      <w:r w:rsidR="00BB1323" w:rsidRPr="00026D3E">
        <w:rPr>
          <w:rFonts w:ascii="Times New Roman" w:hAnsi="Times New Roman" w:cs="Times New Roman"/>
          <w:sz w:val="24"/>
          <w:szCs w:val="24"/>
        </w:rPr>
        <w:t xml:space="preserve">ek pak </w:t>
      </w:r>
      <w:r w:rsidR="00DB5776" w:rsidRPr="00026D3E">
        <w:rPr>
          <w:rFonts w:ascii="Times New Roman" w:hAnsi="Times New Roman" w:cs="Times New Roman"/>
          <w:sz w:val="24"/>
          <w:szCs w:val="24"/>
        </w:rPr>
        <w:t xml:space="preserve">Vasquez </w:t>
      </w:r>
      <w:r w:rsidR="00BB1323" w:rsidRPr="00026D3E">
        <w:rPr>
          <w:rFonts w:ascii="Times New Roman" w:hAnsi="Times New Roman" w:cs="Times New Roman"/>
          <w:sz w:val="24"/>
          <w:szCs w:val="24"/>
        </w:rPr>
        <w:t>zakončuje konstatováním,</w:t>
      </w:r>
      <w:r w:rsidR="00892FAD" w:rsidRPr="00026D3E">
        <w:rPr>
          <w:rFonts w:ascii="Times New Roman" w:hAnsi="Times New Roman" w:cs="Times New Roman"/>
          <w:sz w:val="24"/>
          <w:szCs w:val="24"/>
        </w:rPr>
        <w:t xml:space="preserve"> že </w:t>
      </w:r>
      <w:r w:rsidR="001C5009" w:rsidRPr="00026D3E">
        <w:rPr>
          <w:rFonts w:ascii="Times New Roman" w:hAnsi="Times New Roman" w:cs="Times New Roman"/>
          <w:sz w:val="24"/>
          <w:szCs w:val="24"/>
        </w:rPr>
        <w:t xml:space="preserve">v důsledku </w:t>
      </w:r>
      <w:r w:rsidR="00892FAD" w:rsidRPr="00026D3E">
        <w:rPr>
          <w:rFonts w:ascii="Times New Roman" w:hAnsi="Times New Roman" w:cs="Times New Roman"/>
          <w:sz w:val="24"/>
          <w:szCs w:val="24"/>
        </w:rPr>
        <w:t>neustále se měnící</w:t>
      </w:r>
      <w:r w:rsidR="001C5009" w:rsidRPr="00026D3E">
        <w:rPr>
          <w:rFonts w:ascii="Times New Roman" w:hAnsi="Times New Roman" w:cs="Times New Roman"/>
          <w:sz w:val="24"/>
          <w:szCs w:val="24"/>
        </w:rPr>
        <w:t>ho</w:t>
      </w:r>
      <w:r w:rsidR="00892FAD" w:rsidRPr="00026D3E">
        <w:rPr>
          <w:rFonts w:ascii="Times New Roman" w:hAnsi="Times New Roman" w:cs="Times New Roman"/>
          <w:sz w:val="24"/>
          <w:szCs w:val="24"/>
        </w:rPr>
        <w:t xml:space="preserve"> charakter</w:t>
      </w:r>
      <w:r w:rsidR="001C5009" w:rsidRPr="00026D3E">
        <w:rPr>
          <w:rFonts w:ascii="Times New Roman" w:hAnsi="Times New Roman" w:cs="Times New Roman"/>
          <w:sz w:val="24"/>
          <w:szCs w:val="24"/>
        </w:rPr>
        <w:t>u</w:t>
      </w:r>
      <w:r w:rsidR="00892FAD" w:rsidRPr="00026D3E">
        <w:rPr>
          <w:rFonts w:ascii="Times New Roman" w:hAnsi="Times New Roman" w:cs="Times New Roman"/>
          <w:sz w:val="24"/>
          <w:szCs w:val="24"/>
        </w:rPr>
        <w:t xml:space="preserve"> </w:t>
      </w:r>
      <w:r w:rsidR="001C5009" w:rsidRPr="00026D3E">
        <w:rPr>
          <w:rFonts w:ascii="Times New Roman" w:hAnsi="Times New Roman" w:cs="Times New Roman"/>
          <w:sz w:val="24"/>
          <w:szCs w:val="24"/>
        </w:rPr>
        <w:t>přestává být realistické paradigma falzifiko</w:t>
      </w:r>
      <w:r w:rsidR="00555E5B" w:rsidRPr="00026D3E">
        <w:rPr>
          <w:rFonts w:ascii="Times New Roman" w:hAnsi="Times New Roman" w:cs="Times New Roman"/>
          <w:sz w:val="24"/>
          <w:szCs w:val="24"/>
        </w:rPr>
        <w:t>v</w:t>
      </w:r>
      <w:r w:rsidR="001C5009" w:rsidRPr="00026D3E">
        <w:rPr>
          <w:rFonts w:ascii="Times New Roman" w:hAnsi="Times New Roman" w:cs="Times New Roman"/>
          <w:sz w:val="24"/>
          <w:szCs w:val="24"/>
        </w:rPr>
        <w:t>atelné</w:t>
      </w:r>
      <w:r w:rsidR="00892FAD" w:rsidRPr="00026D3E">
        <w:rPr>
          <w:rFonts w:ascii="Times New Roman" w:hAnsi="Times New Roman" w:cs="Times New Roman"/>
          <w:sz w:val="24"/>
          <w:szCs w:val="24"/>
        </w:rPr>
        <w:t>, protože jakmile jedna teoretická varianta je vyvrácena, objeví se d</w:t>
      </w:r>
      <w:r w:rsidR="001C5009" w:rsidRPr="00026D3E">
        <w:rPr>
          <w:rFonts w:ascii="Times New Roman" w:hAnsi="Times New Roman" w:cs="Times New Roman"/>
          <w:sz w:val="24"/>
          <w:szCs w:val="24"/>
        </w:rPr>
        <w:t>alší, aby nahradila „sku</w:t>
      </w:r>
      <w:r w:rsidR="00892FAD" w:rsidRPr="00026D3E">
        <w:rPr>
          <w:rFonts w:ascii="Times New Roman" w:hAnsi="Times New Roman" w:cs="Times New Roman"/>
          <w:sz w:val="24"/>
          <w:szCs w:val="24"/>
        </w:rPr>
        <w:t>tečný realismus“</w:t>
      </w:r>
      <w:r w:rsidR="001C5009" w:rsidRPr="00026D3E">
        <w:rPr>
          <w:rFonts w:ascii="Times New Roman" w:hAnsi="Times New Roman" w:cs="Times New Roman"/>
          <w:sz w:val="24"/>
          <w:szCs w:val="24"/>
        </w:rPr>
        <w:t>. (</w:t>
      </w:r>
      <w:r w:rsidR="00DA1E0A" w:rsidRPr="00026D3E">
        <w:rPr>
          <w:rFonts w:ascii="Times New Roman" w:hAnsi="Times New Roman" w:cs="Times New Roman"/>
          <w:sz w:val="24"/>
          <w:szCs w:val="24"/>
        </w:rPr>
        <w:t>Vasquez</w:t>
      </w:r>
      <w:r w:rsidR="00DB5776" w:rsidRPr="00026D3E">
        <w:rPr>
          <w:rFonts w:ascii="Times New Roman" w:hAnsi="Times New Roman" w:cs="Times New Roman"/>
          <w:sz w:val="24"/>
          <w:szCs w:val="24"/>
        </w:rPr>
        <w:t xml:space="preserve"> 1997:</w:t>
      </w:r>
      <w:r w:rsidR="00DA1E0A" w:rsidRPr="00026D3E">
        <w:rPr>
          <w:rFonts w:ascii="Times New Roman" w:hAnsi="Times New Roman" w:cs="Times New Roman"/>
          <w:sz w:val="24"/>
          <w:szCs w:val="24"/>
        </w:rPr>
        <w:t xml:space="preserve"> 904-906</w:t>
      </w:r>
      <w:r w:rsidR="001C5009" w:rsidRPr="00026D3E">
        <w:rPr>
          <w:rFonts w:ascii="Times New Roman" w:hAnsi="Times New Roman" w:cs="Times New Roman"/>
          <w:sz w:val="24"/>
          <w:szCs w:val="24"/>
        </w:rPr>
        <w:t>)</w:t>
      </w:r>
    </w:p>
    <w:p w:rsidR="001D331B" w:rsidRPr="00026D3E" w:rsidRDefault="00976961" w:rsidP="00580825">
      <w:pPr>
        <w:spacing w:line="360" w:lineRule="auto"/>
        <w:ind w:firstLine="360"/>
        <w:jc w:val="both"/>
        <w:rPr>
          <w:rFonts w:ascii="Times New Roman" w:hAnsi="Times New Roman" w:cs="Times New Roman"/>
          <w:sz w:val="24"/>
          <w:szCs w:val="24"/>
        </w:rPr>
      </w:pPr>
      <w:r w:rsidRPr="00026D3E">
        <w:rPr>
          <w:rFonts w:ascii="Times New Roman" w:hAnsi="Times New Roman" w:cs="Times New Roman"/>
          <w:sz w:val="24"/>
          <w:szCs w:val="24"/>
        </w:rPr>
        <w:t>Po této ostré kritice, jež byla realismu a jeho předním představitelům uštědřena</w:t>
      </w:r>
      <w:r w:rsidR="0086621C" w:rsidRPr="00026D3E">
        <w:rPr>
          <w:rFonts w:ascii="Times New Roman" w:hAnsi="Times New Roman" w:cs="Times New Roman"/>
          <w:sz w:val="24"/>
          <w:szCs w:val="24"/>
        </w:rPr>
        <w:t>,</w:t>
      </w:r>
      <w:r w:rsidRPr="00026D3E">
        <w:rPr>
          <w:rFonts w:ascii="Times New Roman" w:hAnsi="Times New Roman" w:cs="Times New Roman"/>
          <w:sz w:val="24"/>
          <w:szCs w:val="24"/>
        </w:rPr>
        <w:t xml:space="preserve"> následovala rychlá reakce Waltze, Schwellera a  Walta.  </w:t>
      </w:r>
      <w:r w:rsidR="00655AD5" w:rsidRPr="00026D3E">
        <w:rPr>
          <w:rFonts w:ascii="Times New Roman" w:hAnsi="Times New Roman" w:cs="Times New Roman"/>
          <w:sz w:val="24"/>
          <w:szCs w:val="24"/>
        </w:rPr>
        <w:t>Na Vasquezovu výtku roztříštěnosti paradigmatu se ho všichni tři zpětně snaží upozornit</w:t>
      </w:r>
      <w:r w:rsidR="0086621C" w:rsidRPr="00026D3E">
        <w:rPr>
          <w:rFonts w:ascii="Times New Roman" w:hAnsi="Times New Roman" w:cs="Times New Roman"/>
          <w:sz w:val="24"/>
          <w:szCs w:val="24"/>
        </w:rPr>
        <w:t>,</w:t>
      </w:r>
      <w:r w:rsidR="0095158D" w:rsidRPr="00026D3E">
        <w:rPr>
          <w:rFonts w:ascii="Times New Roman" w:hAnsi="Times New Roman" w:cs="Times New Roman"/>
          <w:sz w:val="24"/>
          <w:szCs w:val="24"/>
        </w:rPr>
        <w:t xml:space="preserve"> když tvrdí</w:t>
      </w:r>
      <w:r w:rsidR="00655AD5" w:rsidRPr="00026D3E">
        <w:rPr>
          <w:rFonts w:ascii="Times New Roman" w:hAnsi="Times New Roman" w:cs="Times New Roman"/>
          <w:sz w:val="24"/>
          <w:szCs w:val="24"/>
        </w:rPr>
        <w:t>, že jedn</w:t>
      </w:r>
      <w:r w:rsidR="00032754" w:rsidRPr="00026D3E">
        <w:rPr>
          <w:rFonts w:ascii="Times New Roman" w:hAnsi="Times New Roman" w:cs="Times New Roman"/>
          <w:sz w:val="24"/>
          <w:szCs w:val="24"/>
        </w:rPr>
        <w:t>a</w:t>
      </w:r>
      <w:r w:rsidR="00655AD5" w:rsidRPr="00026D3E">
        <w:rPr>
          <w:rFonts w:ascii="Times New Roman" w:hAnsi="Times New Roman" w:cs="Times New Roman"/>
          <w:sz w:val="24"/>
          <w:szCs w:val="24"/>
        </w:rPr>
        <w:t xml:space="preserve"> ucelená teorie politického realismu neexistuje. (Waltz</w:t>
      </w:r>
      <w:r w:rsidR="00394122" w:rsidRPr="00026D3E">
        <w:rPr>
          <w:rFonts w:ascii="Times New Roman" w:hAnsi="Times New Roman" w:cs="Times New Roman"/>
          <w:sz w:val="24"/>
          <w:szCs w:val="24"/>
        </w:rPr>
        <w:t xml:space="preserve"> 1997:</w:t>
      </w:r>
      <w:r w:rsidR="00655AD5" w:rsidRPr="00026D3E">
        <w:rPr>
          <w:rFonts w:ascii="Times New Roman" w:hAnsi="Times New Roman" w:cs="Times New Roman"/>
          <w:sz w:val="24"/>
          <w:szCs w:val="24"/>
        </w:rPr>
        <w:t xml:space="preserve"> 913, Schweller </w:t>
      </w:r>
      <w:r w:rsidR="00394122" w:rsidRPr="00026D3E">
        <w:rPr>
          <w:rFonts w:ascii="Times New Roman" w:hAnsi="Times New Roman" w:cs="Times New Roman"/>
          <w:sz w:val="24"/>
          <w:szCs w:val="24"/>
        </w:rPr>
        <w:t>1997:</w:t>
      </w:r>
      <w:r w:rsidR="00655AD5" w:rsidRPr="00026D3E">
        <w:rPr>
          <w:rFonts w:ascii="Times New Roman" w:hAnsi="Times New Roman" w:cs="Times New Roman"/>
          <w:sz w:val="24"/>
          <w:szCs w:val="24"/>
        </w:rPr>
        <w:t xml:space="preserve">927, Walt </w:t>
      </w:r>
      <w:r w:rsidR="00394122" w:rsidRPr="00026D3E">
        <w:rPr>
          <w:rFonts w:ascii="Times New Roman" w:hAnsi="Times New Roman" w:cs="Times New Roman"/>
          <w:sz w:val="24"/>
          <w:szCs w:val="24"/>
        </w:rPr>
        <w:t>1997:</w:t>
      </w:r>
      <w:r w:rsidR="00655AD5" w:rsidRPr="00026D3E">
        <w:rPr>
          <w:rFonts w:ascii="Times New Roman" w:hAnsi="Times New Roman" w:cs="Times New Roman"/>
          <w:sz w:val="24"/>
          <w:szCs w:val="24"/>
        </w:rPr>
        <w:t>932)</w:t>
      </w:r>
      <w:r w:rsidR="002A0A46">
        <w:rPr>
          <w:rFonts w:ascii="Times New Roman" w:hAnsi="Times New Roman" w:cs="Times New Roman"/>
          <w:sz w:val="24"/>
          <w:szCs w:val="24"/>
        </w:rPr>
        <w:t xml:space="preserve"> </w:t>
      </w:r>
      <w:r w:rsidR="00032754" w:rsidRPr="00026D3E">
        <w:rPr>
          <w:rFonts w:ascii="Times New Roman" w:hAnsi="Times New Roman" w:cs="Times New Roman"/>
          <w:sz w:val="24"/>
          <w:szCs w:val="24"/>
        </w:rPr>
        <w:t xml:space="preserve">Walt </w:t>
      </w:r>
      <w:r w:rsidR="00BD450C" w:rsidRPr="00026D3E">
        <w:rPr>
          <w:rFonts w:ascii="Times New Roman" w:hAnsi="Times New Roman" w:cs="Times New Roman"/>
          <w:sz w:val="24"/>
          <w:szCs w:val="24"/>
        </w:rPr>
        <w:t>tvrdí, že</w:t>
      </w:r>
      <w:r w:rsidR="006F307C" w:rsidRPr="00026D3E">
        <w:rPr>
          <w:rFonts w:ascii="Times New Roman" w:hAnsi="Times New Roman" w:cs="Times New Roman"/>
          <w:sz w:val="24"/>
          <w:szCs w:val="24"/>
        </w:rPr>
        <w:t xml:space="preserve"> model vědeckého růstu, podle kterého </w:t>
      </w:r>
      <w:r w:rsidR="00E07198" w:rsidRPr="00026D3E">
        <w:rPr>
          <w:rFonts w:ascii="Times New Roman" w:hAnsi="Times New Roman" w:cs="Times New Roman"/>
          <w:sz w:val="24"/>
          <w:szCs w:val="24"/>
        </w:rPr>
        <w:t xml:space="preserve">Vasquez </w:t>
      </w:r>
      <w:r w:rsidR="006F307C" w:rsidRPr="00026D3E">
        <w:rPr>
          <w:rFonts w:ascii="Times New Roman" w:hAnsi="Times New Roman" w:cs="Times New Roman"/>
          <w:sz w:val="24"/>
          <w:szCs w:val="24"/>
        </w:rPr>
        <w:t>sou</w:t>
      </w:r>
      <w:r w:rsidR="00BB1323" w:rsidRPr="00026D3E">
        <w:rPr>
          <w:rFonts w:ascii="Times New Roman" w:hAnsi="Times New Roman" w:cs="Times New Roman"/>
          <w:sz w:val="24"/>
          <w:szCs w:val="24"/>
        </w:rPr>
        <w:t>dí realismus jako degenerující,</w:t>
      </w:r>
      <w:r w:rsidR="00032754" w:rsidRPr="00026D3E">
        <w:rPr>
          <w:rFonts w:ascii="Times New Roman" w:hAnsi="Times New Roman" w:cs="Times New Roman"/>
          <w:sz w:val="24"/>
          <w:szCs w:val="24"/>
        </w:rPr>
        <w:t xml:space="preserve"> </w:t>
      </w:r>
      <w:r w:rsidR="006F307C" w:rsidRPr="00026D3E">
        <w:rPr>
          <w:rFonts w:ascii="Times New Roman" w:hAnsi="Times New Roman" w:cs="Times New Roman"/>
          <w:sz w:val="24"/>
          <w:szCs w:val="24"/>
        </w:rPr>
        <w:t xml:space="preserve">je chybný a experty v oboru zdiskreditovaný a opouští téměř všechny teorie společenských věd. Opírajíce se o irelevantní model, jeho kritika je podložena </w:t>
      </w:r>
      <w:r w:rsidR="00770607" w:rsidRPr="00026D3E">
        <w:rPr>
          <w:rFonts w:ascii="Times New Roman" w:hAnsi="Times New Roman" w:cs="Times New Roman"/>
          <w:sz w:val="24"/>
          <w:szCs w:val="24"/>
        </w:rPr>
        <w:t>velice úzkým vzorkem literatury, což nestačí na tak respektovanou intelektuální tradici</w:t>
      </w:r>
      <w:r w:rsidR="006F307C" w:rsidRPr="00026D3E">
        <w:rPr>
          <w:rFonts w:ascii="Times New Roman" w:hAnsi="Times New Roman" w:cs="Times New Roman"/>
          <w:sz w:val="24"/>
          <w:szCs w:val="24"/>
        </w:rPr>
        <w:t>, jakou</w:t>
      </w:r>
      <w:r w:rsidR="00AD407F" w:rsidRPr="00026D3E">
        <w:rPr>
          <w:rFonts w:ascii="Times New Roman" w:hAnsi="Times New Roman" w:cs="Times New Roman"/>
          <w:sz w:val="24"/>
          <w:szCs w:val="24"/>
        </w:rPr>
        <w:t xml:space="preserve"> je</w:t>
      </w:r>
      <w:r w:rsidR="006F307C" w:rsidRPr="00026D3E">
        <w:rPr>
          <w:rFonts w:ascii="Times New Roman" w:hAnsi="Times New Roman" w:cs="Times New Roman"/>
          <w:sz w:val="24"/>
          <w:szCs w:val="24"/>
        </w:rPr>
        <w:t xml:space="preserve"> rea</w:t>
      </w:r>
      <w:r w:rsidR="0086621C" w:rsidRPr="00026D3E">
        <w:rPr>
          <w:rFonts w:ascii="Times New Roman" w:hAnsi="Times New Roman" w:cs="Times New Roman"/>
          <w:sz w:val="24"/>
          <w:szCs w:val="24"/>
        </w:rPr>
        <w:t>lismus</w:t>
      </w:r>
      <w:r w:rsidR="006F307C" w:rsidRPr="00026D3E">
        <w:rPr>
          <w:rFonts w:ascii="Times New Roman" w:hAnsi="Times New Roman" w:cs="Times New Roman"/>
          <w:sz w:val="24"/>
          <w:szCs w:val="24"/>
        </w:rPr>
        <w:t>.</w:t>
      </w:r>
      <w:r w:rsidR="00770607" w:rsidRPr="00026D3E">
        <w:rPr>
          <w:rFonts w:ascii="Times New Roman" w:hAnsi="Times New Roman" w:cs="Times New Roman"/>
          <w:sz w:val="24"/>
          <w:szCs w:val="24"/>
        </w:rPr>
        <w:t xml:space="preserve"> </w:t>
      </w:r>
      <w:r w:rsidR="006F307C" w:rsidRPr="00026D3E">
        <w:rPr>
          <w:rFonts w:ascii="Times New Roman" w:hAnsi="Times New Roman" w:cs="Times New Roman"/>
          <w:sz w:val="24"/>
          <w:szCs w:val="24"/>
        </w:rPr>
        <w:t>(Walt 1997:931)</w:t>
      </w:r>
      <w:r w:rsidR="00B44938" w:rsidRPr="00026D3E">
        <w:rPr>
          <w:rFonts w:ascii="Times New Roman" w:hAnsi="Times New Roman" w:cs="Times New Roman"/>
          <w:sz w:val="24"/>
          <w:szCs w:val="24"/>
        </w:rPr>
        <w:t xml:space="preserve"> </w:t>
      </w:r>
      <w:r w:rsidR="00555E5B" w:rsidRPr="00026D3E">
        <w:rPr>
          <w:rFonts w:ascii="Times New Roman" w:hAnsi="Times New Roman" w:cs="Times New Roman"/>
          <w:sz w:val="24"/>
          <w:szCs w:val="24"/>
        </w:rPr>
        <w:t>Walt nesouhlasí s tvrzením, že teorie rovnováhy hrozeb se snaží pouze zamaskovat nedostatky teorie mocenské rovnováhy. Naopak, podle něj jsou úpravy teorií ad hoc v souladu s progresivním vědeckým postupem. (Walt 1997: 932)</w:t>
      </w:r>
    </w:p>
    <w:p w:rsidR="00BA19A3" w:rsidRPr="00026D3E" w:rsidRDefault="0089224D" w:rsidP="00580825">
      <w:pPr>
        <w:spacing w:line="360" w:lineRule="auto"/>
        <w:ind w:firstLine="360"/>
        <w:jc w:val="both"/>
        <w:rPr>
          <w:rFonts w:ascii="Times New Roman" w:hAnsi="Times New Roman" w:cs="Times New Roman"/>
          <w:sz w:val="24"/>
          <w:szCs w:val="24"/>
        </w:rPr>
      </w:pPr>
      <w:r w:rsidRPr="00026D3E">
        <w:rPr>
          <w:rFonts w:ascii="Times New Roman" w:hAnsi="Times New Roman" w:cs="Times New Roman"/>
          <w:sz w:val="24"/>
          <w:szCs w:val="24"/>
        </w:rPr>
        <w:lastRenderedPageBreak/>
        <w:t>Krom své odpovědi na Vasquezova slova komentuje Schweller  také teorii rovnováhy hrozeb. (Schweller 1997: 927-930)</w:t>
      </w:r>
      <w:r w:rsidR="00D8783A" w:rsidRPr="00026D3E">
        <w:rPr>
          <w:rFonts w:ascii="Times New Roman" w:hAnsi="Times New Roman" w:cs="Times New Roman"/>
          <w:sz w:val="24"/>
          <w:szCs w:val="24"/>
        </w:rPr>
        <w:t xml:space="preserve"> S Waltem souhlasí v tom, že </w:t>
      </w:r>
      <w:r w:rsidR="00526315" w:rsidRPr="00026D3E">
        <w:rPr>
          <w:rFonts w:ascii="Times New Roman" w:hAnsi="Times New Roman" w:cs="Times New Roman"/>
          <w:sz w:val="24"/>
          <w:szCs w:val="24"/>
        </w:rPr>
        <w:t xml:space="preserve">v případě </w:t>
      </w:r>
      <w:r w:rsidR="00D8783A" w:rsidRPr="00026D3E">
        <w:rPr>
          <w:rFonts w:ascii="Times New Roman" w:hAnsi="Times New Roman" w:cs="Times New Roman"/>
          <w:sz w:val="24"/>
          <w:szCs w:val="24"/>
        </w:rPr>
        <w:t>výskytu hrozby</w:t>
      </w:r>
      <w:r w:rsidR="00526315" w:rsidRPr="00026D3E">
        <w:rPr>
          <w:rFonts w:ascii="Times New Roman" w:hAnsi="Times New Roman" w:cs="Times New Roman"/>
          <w:sz w:val="24"/>
          <w:szCs w:val="24"/>
        </w:rPr>
        <w:t xml:space="preserve"> se u států projevuje čast</w:t>
      </w:r>
      <w:r w:rsidR="00FC0AC6">
        <w:rPr>
          <w:rFonts w:ascii="Times New Roman" w:hAnsi="Times New Roman" w:cs="Times New Roman"/>
          <w:sz w:val="24"/>
          <w:szCs w:val="24"/>
        </w:rPr>
        <w:t>ěji vyvažování než bandwagoning.</w:t>
      </w:r>
      <w:r w:rsidR="00526315" w:rsidRPr="00026D3E">
        <w:rPr>
          <w:rFonts w:ascii="Times New Roman" w:hAnsi="Times New Roman" w:cs="Times New Roman"/>
          <w:sz w:val="24"/>
          <w:szCs w:val="24"/>
        </w:rPr>
        <w:t xml:space="preserve"> </w:t>
      </w:r>
      <w:r w:rsidR="00D8783A" w:rsidRPr="00026D3E">
        <w:rPr>
          <w:rFonts w:ascii="Times New Roman" w:hAnsi="Times New Roman" w:cs="Times New Roman"/>
          <w:sz w:val="24"/>
          <w:szCs w:val="24"/>
        </w:rPr>
        <w:t>Dodává však,</w:t>
      </w:r>
      <w:r w:rsidR="00526315" w:rsidRPr="00026D3E">
        <w:rPr>
          <w:rFonts w:ascii="Times New Roman" w:hAnsi="Times New Roman" w:cs="Times New Roman"/>
          <w:sz w:val="24"/>
          <w:szCs w:val="24"/>
        </w:rPr>
        <w:t xml:space="preserve"> že státy formují aliance </w:t>
      </w:r>
      <w:r w:rsidR="0086621C" w:rsidRPr="00026D3E">
        <w:rPr>
          <w:rFonts w:ascii="Times New Roman" w:hAnsi="Times New Roman" w:cs="Times New Roman"/>
          <w:sz w:val="24"/>
          <w:szCs w:val="24"/>
        </w:rPr>
        <w:br/>
      </w:r>
      <w:r w:rsidR="00526315" w:rsidRPr="00026D3E">
        <w:rPr>
          <w:rFonts w:ascii="Times New Roman" w:hAnsi="Times New Roman" w:cs="Times New Roman"/>
          <w:sz w:val="24"/>
          <w:szCs w:val="24"/>
        </w:rPr>
        <w:t>i v jiných případec</w:t>
      </w:r>
      <w:r w:rsidR="00113C13">
        <w:rPr>
          <w:rFonts w:ascii="Times New Roman" w:hAnsi="Times New Roman" w:cs="Times New Roman"/>
          <w:sz w:val="24"/>
          <w:szCs w:val="24"/>
        </w:rPr>
        <w:t>h, než jen pokud jsou ohroženy</w:t>
      </w:r>
      <w:r w:rsidR="00D8783A" w:rsidRPr="00026D3E">
        <w:rPr>
          <w:rFonts w:ascii="Times New Roman" w:hAnsi="Times New Roman" w:cs="Times New Roman"/>
          <w:sz w:val="24"/>
          <w:szCs w:val="24"/>
        </w:rPr>
        <w:t xml:space="preserve"> a nesouhlasí tak s jeho obecným prohlášením,</w:t>
      </w:r>
      <w:r w:rsidR="00924FC7" w:rsidRPr="00026D3E">
        <w:rPr>
          <w:rFonts w:ascii="Times New Roman" w:hAnsi="Times New Roman" w:cs="Times New Roman"/>
          <w:sz w:val="24"/>
          <w:szCs w:val="24"/>
        </w:rPr>
        <w:t xml:space="preserve"> že státy </w:t>
      </w:r>
      <w:r w:rsidR="00D8783A" w:rsidRPr="00026D3E">
        <w:rPr>
          <w:rFonts w:ascii="Times New Roman" w:hAnsi="Times New Roman" w:cs="Times New Roman"/>
          <w:sz w:val="24"/>
          <w:szCs w:val="24"/>
        </w:rPr>
        <w:t xml:space="preserve">praktikují </w:t>
      </w:r>
      <w:r w:rsidR="00924FC7" w:rsidRPr="00026D3E">
        <w:rPr>
          <w:rFonts w:ascii="Times New Roman" w:hAnsi="Times New Roman" w:cs="Times New Roman"/>
          <w:sz w:val="24"/>
          <w:szCs w:val="24"/>
        </w:rPr>
        <w:t>mnohem v</w:t>
      </w:r>
      <w:r w:rsidR="00D8783A" w:rsidRPr="00026D3E">
        <w:rPr>
          <w:rFonts w:ascii="Times New Roman" w:hAnsi="Times New Roman" w:cs="Times New Roman"/>
          <w:sz w:val="24"/>
          <w:szCs w:val="24"/>
        </w:rPr>
        <w:t xml:space="preserve">íce vyvažování než li bandwagoning. V jeho podání nenabízí Walt ani </w:t>
      </w:r>
      <w:r w:rsidR="00924FC7" w:rsidRPr="00026D3E">
        <w:rPr>
          <w:rFonts w:ascii="Times New Roman" w:hAnsi="Times New Roman" w:cs="Times New Roman"/>
          <w:sz w:val="24"/>
          <w:szCs w:val="24"/>
        </w:rPr>
        <w:t xml:space="preserve">tak teorii aliancí jako spíše způsob, jakým státy reagují na </w:t>
      </w:r>
      <w:r w:rsidR="00D8783A" w:rsidRPr="00026D3E">
        <w:rPr>
          <w:rFonts w:ascii="Times New Roman" w:hAnsi="Times New Roman" w:cs="Times New Roman"/>
          <w:sz w:val="24"/>
          <w:szCs w:val="24"/>
        </w:rPr>
        <w:t>vnější hrozby.</w:t>
      </w:r>
      <w:r w:rsidR="0005052A" w:rsidRPr="00026D3E">
        <w:rPr>
          <w:rFonts w:ascii="Times New Roman" w:hAnsi="Times New Roman" w:cs="Times New Roman"/>
          <w:sz w:val="24"/>
          <w:szCs w:val="24"/>
        </w:rPr>
        <w:t xml:space="preserve"> (Schweller </w:t>
      </w:r>
      <w:r w:rsidR="00D8783A" w:rsidRPr="00026D3E">
        <w:rPr>
          <w:rFonts w:ascii="Times New Roman" w:hAnsi="Times New Roman" w:cs="Times New Roman"/>
          <w:sz w:val="24"/>
          <w:szCs w:val="24"/>
        </w:rPr>
        <w:t xml:space="preserve">1997: </w:t>
      </w:r>
      <w:r w:rsidR="0005052A" w:rsidRPr="00026D3E">
        <w:rPr>
          <w:rFonts w:ascii="Times New Roman" w:hAnsi="Times New Roman" w:cs="Times New Roman"/>
          <w:sz w:val="24"/>
          <w:szCs w:val="24"/>
        </w:rPr>
        <w:t>929)</w:t>
      </w:r>
      <w:r w:rsidR="00580825">
        <w:rPr>
          <w:rFonts w:ascii="Times New Roman" w:hAnsi="Times New Roman" w:cs="Times New Roman"/>
          <w:sz w:val="24"/>
          <w:szCs w:val="24"/>
        </w:rPr>
        <w:t xml:space="preserve"> </w:t>
      </w:r>
      <w:r w:rsidR="00ED0AAB" w:rsidRPr="00026D3E">
        <w:rPr>
          <w:rFonts w:ascii="Times New Roman" w:hAnsi="Times New Roman" w:cs="Times New Roman"/>
          <w:sz w:val="24"/>
          <w:szCs w:val="24"/>
        </w:rPr>
        <w:t>Sám Waltz se ve svém textu věnuje převážně Vasquezově kritice neor</w:t>
      </w:r>
      <w:r w:rsidR="00BA19A3" w:rsidRPr="00026D3E">
        <w:rPr>
          <w:rFonts w:ascii="Times New Roman" w:hAnsi="Times New Roman" w:cs="Times New Roman"/>
          <w:sz w:val="24"/>
          <w:szCs w:val="24"/>
        </w:rPr>
        <w:t xml:space="preserve">ealistického paradigmatu, v závěru však </w:t>
      </w:r>
      <w:r w:rsidR="0095158D" w:rsidRPr="00026D3E">
        <w:rPr>
          <w:rFonts w:ascii="Times New Roman" w:hAnsi="Times New Roman" w:cs="Times New Roman"/>
          <w:sz w:val="24"/>
          <w:szCs w:val="24"/>
        </w:rPr>
        <w:t>podává</w:t>
      </w:r>
      <w:r w:rsidR="00BA19A3" w:rsidRPr="00026D3E">
        <w:rPr>
          <w:rFonts w:ascii="Times New Roman" w:hAnsi="Times New Roman" w:cs="Times New Roman"/>
          <w:sz w:val="24"/>
          <w:szCs w:val="24"/>
        </w:rPr>
        <w:t xml:space="preserve"> něk</w:t>
      </w:r>
      <w:r w:rsidR="0095158D" w:rsidRPr="00026D3E">
        <w:rPr>
          <w:rFonts w:ascii="Times New Roman" w:hAnsi="Times New Roman" w:cs="Times New Roman"/>
          <w:sz w:val="24"/>
          <w:szCs w:val="24"/>
        </w:rPr>
        <w:t>olik slov k Waltovi. R</w:t>
      </w:r>
      <w:r w:rsidR="00BA19A3" w:rsidRPr="00026D3E">
        <w:rPr>
          <w:rFonts w:ascii="Times New Roman" w:hAnsi="Times New Roman" w:cs="Times New Roman"/>
          <w:sz w:val="24"/>
          <w:szCs w:val="24"/>
        </w:rPr>
        <w:t>ovnováhu hrozeb nepovažuje za teorii, ale spíše za částečný popis toho, jakým způsobem uvažují strůjci zahraniční politiky, pokud se rozhodují v otázkách aliancí.</w:t>
      </w:r>
      <w:r w:rsidR="00E07198" w:rsidRPr="00026D3E">
        <w:rPr>
          <w:rFonts w:ascii="Times New Roman" w:hAnsi="Times New Roman" w:cs="Times New Roman"/>
          <w:sz w:val="24"/>
          <w:szCs w:val="24"/>
        </w:rPr>
        <w:t xml:space="preserve"> </w:t>
      </w:r>
      <w:r w:rsidR="00BB5FCC">
        <w:rPr>
          <w:rFonts w:ascii="Times New Roman" w:hAnsi="Times New Roman" w:cs="Times New Roman"/>
          <w:sz w:val="24"/>
          <w:szCs w:val="24"/>
        </w:rPr>
        <w:t xml:space="preserve">Jak Waltz tvrdí, </w:t>
      </w:r>
      <w:r w:rsidR="00E07198" w:rsidRPr="00026D3E">
        <w:rPr>
          <w:rFonts w:ascii="Times New Roman" w:hAnsi="Times New Roman" w:cs="Times New Roman"/>
          <w:sz w:val="24"/>
          <w:szCs w:val="24"/>
        </w:rPr>
        <w:t>vskutku</w:t>
      </w:r>
      <w:r w:rsidR="00997997" w:rsidRPr="00026D3E">
        <w:rPr>
          <w:rFonts w:ascii="Times New Roman" w:hAnsi="Times New Roman" w:cs="Times New Roman"/>
          <w:sz w:val="24"/>
          <w:szCs w:val="24"/>
        </w:rPr>
        <w:t xml:space="preserve"> musíme brát v potaz způsob, jakým státníci vnímají hrozby, to z toho však ještě nečiní součást teorie. (Waltz 1997:916)</w:t>
      </w:r>
    </w:p>
    <w:p w:rsidR="00B252AA" w:rsidRPr="00026D3E" w:rsidRDefault="0011272A" w:rsidP="00CC2F2A">
      <w:pPr>
        <w:spacing w:line="360" w:lineRule="auto"/>
        <w:ind w:firstLine="360"/>
        <w:jc w:val="both"/>
        <w:rPr>
          <w:rFonts w:ascii="Times New Roman" w:hAnsi="Times New Roman" w:cs="Times New Roman"/>
          <w:sz w:val="24"/>
          <w:szCs w:val="24"/>
        </w:rPr>
      </w:pPr>
      <w:r w:rsidRPr="00026D3E">
        <w:rPr>
          <w:rFonts w:ascii="Times New Roman" w:hAnsi="Times New Roman" w:cs="Times New Roman"/>
          <w:sz w:val="24"/>
          <w:szCs w:val="24"/>
        </w:rPr>
        <w:t xml:space="preserve">Přestože se teorie rovnováhy hrozeb setkala v akademické obci se značnou kritikou, nedá se říci, že by byla </w:t>
      </w:r>
      <w:r w:rsidR="00501561" w:rsidRPr="00026D3E">
        <w:rPr>
          <w:rFonts w:ascii="Times New Roman" w:hAnsi="Times New Roman" w:cs="Times New Roman"/>
          <w:sz w:val="24"/>
          <w:szCs w:val="24"/>
        </w:rPr>
        <w:t>zcela</w:t>
      </w:r>
      <w:r w:rsidRPr="00026D3E">
        <w:rPr>
          <w:rFonts w:ascii="Times New Roman" w:hAnsi="Times New Roman" w:cs="Times New Roman"/>
          <w:sz w:val="24"/>
          <w:szCs w:val="24"/>
        </w:rPr>
        <w:t xml:space="preserve"> odmítnuta. </w:t>
      </w:r>
      <w:r w:rsidR="00501561" w:rsidRPr="00026D3E">
        <w:rPr>
          <w:rFonts w:ascii="Times New Roman" w:hAnsi="Times New Roman" w:cs="Times New Roman"/>
          <w:sz w:val="24"/>
          <w:szCs w:val="24"/>
        </w:rPr>
        <w:t>Faktem však zůstává, že ačkoliv jí někteří autoři</w:t>
      </w:r>
      <w:r w:rsidR="009E69A9" w:rsidRPr="00026D3E">
        <w:rPr>
          <w:rFonts w:ascii="Times New Roman" w:hAnsi="Times New Roman" w:cs="Times New Roman"/>
          <w:sz w:val="24"/>
          <w:szCs w:val="24"/>
        </w:rPr>
        <w:t xml:space="preserve"> </w:t>
      </w:r>
      <w:r w:rsidR="006177D9">
        <w:rPr>
          <w:rFonts w:ascii="Times New Roman" w:hAnsi="Times New Roman" w:cs="Times New Roman"/>
          <w:sz w:val="24"/>
          <w:szCs w:val="24"/>
        </w:rPr>
        <w:t>určitou hodnotu přisuzují</w:t>
      </w:r>
      <w:r w:rsidR="00BF2CD0" w:rsidRPr="00026D3E">
        <w:rPr>
          <w:rFonts w:ascii="Times New Roman" w:hAnsi="Times New Roman" w:cs="Times New Roman"/>
          <w:sz w:val="24"/>
          <w:szCs w:val="24"/>
        </w:rPr>
        <w:t>,</w:t>
      </w:r>
      <w:r w:rsidR="009E69A9" w:rsidRPr="00026D3E">
        <w:rPr>
          <w:rFonts w:ascii="Times New Roman" w:hAnsi="Times New Roman" w:cs="Times New Roman"/>
          <w:sz w:val="24"/>
          <w:szCs w:val="24"/>
        </w:rPr>
        <w:t xml:space="preserve"> </w:t>
      </w:r>
      <w:r w:rsidR="000C4307" w:rsidRPr="00026D3E">
        <w:rPr>
          <w:rFonts w:ascii="Times New Roman" w:hAnsi="Times New Roman" w:cs="Times New Roman"/>
          <w:sz w:val="24"/>
          <w:szCs w:val="24"/>
        </w:rPr>
        <w:t>ve srovnání s</w:t>
      </w:r>
      <w:r w:rsidR="00D125C0" w:rsidRPr="00026D3E">
        <w:rPr>
          <w:rFonts w:ascii="Times New Roman" w:hAnsi="Times New Roman" w:cs="Times New Roman"/>
          <w:sz w:val="24"/>
          <w:szCs w:val="24"/>
        </w:rPr>
        <w:t> </w:t>
      </w:r>
      <w:r w:rsidR="00501561" w:rsidRPr="00026D3E">
        <w:rPr>
          <w:rFonts w:ascii="Times New Roman" w:hAnsi="Times New Roman" w:cs="Times New Roman"/>
          <w:sz w:val="24"/>
          <w:szCs w:val="24"/>
        </w:rPr>
        <w:t xml:space="preserve">teorií mocenské rovnováhy, </w:t>
      </w:r>
      <w:r w:rsidR="009C6D95" w:rsidRPr="00026D3E">
        <w:rPr>
          <w:rFonts w:ascii="Times New Roman" w:hAnsi="Times New Roman" w:cs="Times New Roman"/>
          <w:sz w:val="24"/>
          <w:szCs w:val="24"/>
        </w:rPr>
        <w:t xml:space="preserve">na poli teorií </w:t>
      </w:r>
      <w:r w:rsidR="009E69A9" w:rsidRPr="00026D3E">
        <w:rPr>
          <w:rFonts w:ascii="Times New Roman" w:hAnsi="Times New Roman" w:cs="Times New Roman"/>
          <w:sz w:val="24"/>
          <w:szCs w:val="24"/>
        </w:rPr>
        <w:t>aliancí</w:t>
      </w:r>
      <w:r w:rsidR="00BF2CD0" w:rsidRPr="00026D3E">
        <w:rPr>
          <w:rFonts w:ascii="Times New Roman" w:hAnsi="Times New Roman" w:cs="Times New Roman"/>
          <w:sz w:val="24"/>
          <w:szCs w:val="24"/>
        </w:rPr>
        <w:t>,</w:t>
      </w:r>
      <w:r w:rsidR="009E69A9" w:rsidRPr="00026D3E">
        <w:rPr>
          <w:rFonts w:ascii="Times New Roman" w:hAnsi="Times New Roman" w:cs="Times New Roman"/>
          <w:sz w:val="24"/>
          <w:szCs w:val="24"/>
        </w:rPr>
        <w:t xml:space="preserve"> byla přijata </w:t>
      </w:r>
      <w:r w:rsidR="00501561" w:rsidRPr="00026D3E">
        <w:rPr>
          <w:rFonts w:ascii="Times New Roman" w:hAnsi="Times New Roman" w:cs="Times New Roman"/>
          <w:sz w:val="24"/>
          <w:szCs w:val="24"/>
        </w:rPr>
        <w:t>poněkud vlažně</w:t>
      </w:r>
      <w:r w:rsidR="009C6D95" w:rsidRPr="00026D3E">
        <w:rPr>
          <w:rFonts w:ascii="Times New Roman" w:hAnsi="Times New Roman" w:cs="Times New Roman"/>
          <w:sz w:val="24"/>
          <w:szCs w:val="24"/>
        </w:rPr>
        <w:t xml:space="preserve">. </w:t>
      </w:r>
    </w:p>
    <w:p w:rsidR="004E61D9" w:rsidRDefault="004E61D9" w:rsidP="00B84248">
      <w:pPr>
        <w:pStyle w:val="Nadpis2"/>
        <w:rPr>
          <w:rFonts w:ascii="Times New Roman" w:eastAsiaTheme="minorEastAsia" w:hAnsi="Times New Roman" w:cs="Times New Roman"/>
          <w:b w:val="0"/>
          <w:bCs w:val="0"/>
          <w:color w:val="auto"/>
          <w:sz w:val="24"/>
          <w:szCs w:val="24"/>
        </w:rPr>
      </w:pPr>
    </w:p>
    <w:p w:rsidR="004E61D9" w:rsidRDefault="004E61D9" w:rsidP="00B84248">
      <w:pPr>
        <w:pStyle w:val="Nadpis2"/>
        <w:rPr>
          <w:rFonts w:ascii="Times New Roman" w:eastAsiaTheme="minorEastAsia" w:hAnsi="Times New Roman" w:cs="Times New Roman"/>
          <w:b w:val="0"/>
          <w:bCs w:val="0"/>
          <w:color w:val="auto"/>
          <w:sz w:val="24"/>
          <w:szCs w:val="24"/>
        </w:rPr>
      </w:pPr>
    </w:p>
    <w:p w:rsidR="004E61D9" w:rsidRDefault="004E61D9" w:rsidP="00B84248">
      <w:pPr>
        <w:pStyle w:val="Nadpis2"/>
        <w:rPr>
          <w:rFonts w:ascii="Times New Roman" w:eastAsiaTheme="minorEastAsia" w:hAnsi="Times New Roman" w:cs="Times New Roman"/>
          <w:b w:val="0"/>
          <w:bCs w:val="0"/>
          <w:color w:val="auto"/>
          <w:sz w:val="24"/>
          <w:szCs w:val="24"/>
        </w:rPr>
      </w:pPr>
    </w:p>
    <w:p w:rsidR="004E61D9" w:rsidRDefault="004E61D9" w:rsidP="00B84248">
      <w:pPr>
        <w:pStyle w:val="Nadpis2"/>
        <w:rPr>
          <w:rFonts w:ascii="Times New Roman" w:eastAsiaTheme="minorEastAsia" w:hAnsi="Times New Roman" w:cs="Times New Roman"/>
          <w:b w:val="0"/>
          <w:bCs w:val="0"/>
          <w:color w:val="auto"/>
          <w:sz w:val="24"/>
          <w:szCs w:val="24"/>
        </w:rPr>
      </w:pPr>
    </w:p>
    <w:p w:rsidR="004E61D9" w:rsidRDefault="004E61D9" w:rsidP="00B84248">
      <w:pPr>
        <w:pStyle w:val="Nadpis2"/>
        <w:rPr>
          <w:rFonts w:ascii="Times New Roman" w:eastAsiaTheme="minorEastAsia" w:hAnsi="Times New Roman" w:cs="Times New Roman"/>
          <w:b w:val="0"/>
          <w:bCs w:val="0"/>
          <w:color w:val="auto"/>
          <w:sz w:val="24"/>
          <w:szCs w:val="24"/>
        </w:rPr>
      </w:pPr>
    </w:p>
    <w:p w:rsidR="004E61D9" w:rsidRDefault="004E61D9" w:rsidP="004E61D9"/>
    <w:p w:rsidR="004E61D9" w:rsidRDefault="004E61D9" w:rsidP="004E61D9"/>
    <w:p w:rsidR="004E61D9" w:rsidRDefault="004E61D9" w:rsidP="004E61D9"/>
    <w:p w:rsidR="004E61D9" w:rsidRPr="004E61D9" w:rsidRDefault="004E61D9" w:rsidP="004E61D9"/>
    <w:p w:rsidR="004E61D9" w:rsidRDefault="004E61D9" w:rsidP="00B84248">
      <w:pPr>
        <w:pStyle w:val="Nadpis2"/>
        <w:rPr>
          <w:rFonts w:ascii="Times New Roman" w:eastAsiaTheme="minorEastAsia" w:hAnsi="Times New Roman" w:cs="Times New Roman"/>
          <w:b w:val="0"/>
          <w:bCs w:val="0"/>
          <w:color w:val="auto"/>
          <w:sz w:val="24"/>
          <w:szCs w:val="24"/>
        </w:rPr>
      </w:pPr>
    </w:p>
    <w:p w:rsidR="007D5D17" w:rsidRDefault="007D5D17" w:rsidP="004B1043">
      <w:pPr>
        <w:spacing w:line="360" w:lineRule="auto"/>
        <w:jc w:val="both"/>
        <w:rPr>
          <w:rFonts w:ascii="Times New Roman" w:hAnsi="Times New Roman" w:cs="Times New Roman"/>
          <w:b/>
          <w:sz w:val="24"/>
          <w:szCs w:val="24"/>
        </w:rPr>
      </w:pPr>
    </w:p>
    <w:p w:rsidR="00580825" w:rsidRPr="00026D3E" w:rsidRDefault="00580825" w:rsidP="004B1043">
      <w:pPr>
        <w:spacing w:line="360" w:lineRule="auto"/>
        <w:jc w:val="both"/>
        <w:rPr>
          <w:rFonts w:ascii="Times New Roman" w:hAnsi="Times New Roman" w:cs="Times New Roman"/>
          <w:b/>
          <w:sz w:val="24"/>
          <w:szCs w:val="24"/>
        </w:rPr>
      </w:pPr>
    </w:p>
    <w:p w:rsidR="00E84373" w:rsidRPr="00026D3E" w:rsidRDefault="00B84248" w:rsidP="00B84248">
      <w:pPr>
        <w:pStyle w:val="Nadpis1"/>
      </w:pPr>
      <w:bookmarkStart w:id="2" w:name="_Toc354703576"/>
      <w:r>
        <w:lastRenderedPageBreak/>
        <w:t xml:space="preserve">2. </w:t>
      </w:r>
      <w:r w:rsidR="00FB7AC9" w:rsidRPr="00026D3E">
        <w:t>Postavení Sýrie a Íránu v mezinárodních vztazích</w:t>
      </w:r>
      <w:bookmarkEnd w:id="2"/>
      <w:r w:rsidR="00FB7AC9" w:rsidRPr="00026D3E">
        <w:t xml:space="preserve"> </w:t>
      </w:r>
    </w:p>
    <w:p w:rsidR="00DC763C" w:rsidRPr="00026D3E" w:rsidRDefault="00F43F01" w:rsidP="00BB6817">
      <w:pPr>
        <w:spacing w:line="360" w:lineRule="auto"/>
        <w:ind w:firstLine="708"/>
        <w:jc w:val="both"/>
        <w:rPr>
          <w:rFonts w:ascii="Times New Roman" w:hAnsi="Times New Roman" w:cs="Times New Roman"/>
          <w:sz w:val="24"/>
          <w:szCs w:val="24"/>
        </w:rPr>
      </w:pPr>
      <w:r w:rsidRPr="00026D3E">
        <w:rPr>
          <w:rFonts w:ascii="Times New Roman" w:hAnsi="Times New Roman" w:cs="Times New Roman"/>
          <w:sz w:val="24"/>
          <w:szCs w:val="24"/>
        </w:rPr>
        <w:t xml:space="preserve">Pro zkoumání výše </w:t>
      </w:r>
      <w:r w:rsidR="00F4203F" w:rsidRPr="00026D3E">
        <w:rPr>
          <w:rFonts w:ascii="Times New Roman" w:hAnsi="Times New Roman" w:cs="Times New Roman"/>
          <w:sz w:val="24"/>
          <w:szCs w:val="24"/>
        </w:rPr>
        <w:t>uvedených</w:t>
      </w:r>
      <w:r w:rsidRPr="00026D3E">
        <w:rPr>
          <w:rFonts w:ascii="Times New Roman" w:hAnsi="Times New Roman" w:cs="Times New Roman"/>
          <w:sz w:val="24"/>
          <w:szCs w:val="24"/>
        </w:rPr>
        <w:t xml:space="preserve"> nezávisle proměnných bude nutné </w:t>
      </w:r>
      <w:r w:rsidR="00F4203F" w:rsidRPr="00026D3E">
        <w:rPr>
          <w:rFonts w:ascii="Times New Roman" w:hAnsi="Times New Roman" w:cs="Times New Roman"/>
          <w:sz w:val="24"/>
          <w:szCs w:val="24"/>
        </w:rPr>
        <w:t xml:space="preserve">provést </w:t>
      </w:r>
      <w:r w:rsidR="00AF2754">
        <w:rPr>
          <w:rFonts w:ascii="Times New Roman" w:hAnsi="Times New Roman" w:cs="Times New Roman"/>
          <w:sz w:val="24"/>
          <w:szCs w:val="24"/>
        </w:rPr>
        <w:t>analýzu</w:t>
      </w:r>
      <w:r w:rsidR="00F4203F" w:rsidRPr="00026D3E">
        <w:rPr>
          <w:rFonts w:ascii="Times New Roman" w:hAnsi="Times New Roman" w:cs="Times New Roman"/>
          <w:sz w:val="24"/>
          <w:szCs w:val="24"/>
        </w:rPr>
        <w:t xml:space="preserve"> vývoje </w:t>
      </w:r>
      <w:r w:rsidR="00DC763C" w:rsidRPr="00026D3E">
        <w:rPr>
          <w:rFonts w:ascii="Times New Roman" w:hAnsi="Times New Roman" w:cs="Times New Roman"/>
          <w:sz w:val="24"/>
          <w:szCs w:val="24"/>
        </w:rPr>
        <w:t xml:space="preserve">mezinárodních vztahů Sýrie a Íránu na </w:t>
      </w:r>
      <w:r w:rsidR="00AF2754">
        <w:rPr>
          <w:rFonts w:ascii="Times New Roman" w:hAnsi="Times New Roman" w:cs="Times New Roman"/>
          <w:sz w:val="24"/>
          <w:szCs w:val="24"/>
        </w:rPr>
        <w:t>Blízkém východě</w:t>
      </w:r>
      <w:r w:rsidR="00DC763C" w:rsidRPr="00026D3E">
        <w:rPr>
          <w:rFonts w:ascii="Times New Roman" w:hAnsi="Times New Roman" w:cs="Times New Roman"/>
          <w:sz w:val="24"/>
          <w:szCs w:val="24"/>
        </w:rPr>
        <w:t xml:space="preserve"> </w:t>
      </w:r>
      <w:r w:rsidR="00C558E3" w:rsidRPr="00026D3E">
        <w:rPr>
          <w:rFonts w:ascii="Times New Roman" w:hAnsi="Times New Roman" w:cs="Times New Roman"/>
          <w:sz w:val="24"/>
          <w:szCs w:val="24"/>
        </w:rPr>
        <w:t>v kontextu studené války</w:t>
      </w:r>
      <w:r w:rsidR="00DC763C" w:rsidRPr="00026D3E">
        <w:rPr>
          <w:rFonts w:ascii="Times New Roman" w:hAnsi="Times New Roman" w:cs="Times New Roman"/>
          <w:sz w:val="24"/>
          <w:szCs w:val="24"/>
        </w:rPr>
        <w:t xml:space="preserve">. </w:t>
      </w:r>
      <w:r w:rsidR="00F4203F" w:rsidRPr="00026D3E">
        <w:rPr>
          <w:rFonts w:ascii="Times New Roman" w:hAnsi="Times New Roman" w:cs="Times New Roman"/>
          <w:sz w:val="24"/>
          <w:szCs w:val="24"/>
        </w:rPr>
        <w:t xml:space="preserve">Přestože hlavním cílem práce je </w:t>
      </w:r>
      <w:r w:rsidR="00AF2754">
        <w:rPr>
          <w:rFonts w:ascii="Times New Roman" w:hAnsi="Times New Roman" w:cs="Times New Roman"/>
          <w:sz w:val="24"/>
          <w:szCs w:val="24"/>
        </w:rPr>
        <w:t>vysvětlit vznik aliance mezi Íránem a Sýrií pomocí teorie rovnováhy hrozeb</w:t>
      </w:r>
      <w:r w:rsidR="00F4203F" w:rsidRPr="00026D3E">
        <w:rPr>
          <w:rFonts w:ascii="Times New Roman" w:hAnsi="Times New Roman" w:cs="Times New Roman"/>
          <w:sz w:val="24"/>
          <w:szCs w:val="24"/>
        </w:rPr>
        <w:t xml:space="preserve">, je rovněž nutné </w:t>
      </w:r>
      <w:r w:rsidR="002551FB" w:rsidRPr="00026D3E">
        <w:rPr>
          <w:rFonts w:ascii="Times New Roman" w:hAnsi="Times New Roman" w:cs="Times New Roman"/>
          <w:sz w:val="24"/>
          <w:szCs w:val="24"/>
        </w:rPr>
        <w:t xml:space="preserve">představit vztahy obou zemí s ostatními státy, </w:t>
      </w:r>
      <w:r w:rsidR="00350ED2" w:rsidRPr="00026D3E">
        <w:rPr>
          <w:rFonts w:ascii="Times New Roman" w:hAnsi="Times New Roman" w:cs="Times New Roman"/>
          <w:sz w:val="24"/>
          <w:szCs w:val="24"/>
        </w:rPr>
        <w:t>neboť to</w:t>
      </w:r>
      <w:r w:rsidR="002551FB" w:rsidRPr="00026D3E">
        <w:rPr>
          <w:rFonts w:ascii="Times New Roman" w:hAnsi="Times New Roman" w:cs="Times New Roman"/>
          <w:sz w:val="24"/>
          <w:szCs w:val="24"/>
        </w:rPr>
        <w:t xml:space="preserve"> pomůže autoru i čtenáři lépe se orientovat v tématu. </w:t>
      </w:r>
      <w:r w:rsidR="00DC763C" w:rsidRPr="00026D3E">
        <w:rPr>
          <w:rFonts w:ascii="Times New Roman" w:hAnsi="Times New Roman" w:cs="Times New Roman"/>
          <w:sz w:val="24"/>
          <w:szCs w:val="24"/>
        </w:rPr>
        <w:t xml:space="preserve">Autor se zaměří především na vývoj v druhé polovině sedmdesátých let, které přinesly řadu </w:t>
      </w:r>
      <w:r w:rsidR="00AF2754">
        <w:rPr>
          <w:rFonts w:ascii="Times New Roman" w:hAnsi="Times New Roman" w:cs="Times New Roman"/>
          <w:sz w:val="24"/>
          <w:szCs w:val="24"/>
        </w:rPr>
        <w:t>prudkých politických změn</w:t>
      </w:r>
      <w:r w:rsidR="00DC763C" w:rsidRPr="00026D3E">
        <w:rPr>
          <w:rFonts w:ascii="Times New Roman" w:hAnsi="Times New Roman" w:cs="Times New Roman"/>
          <w:sz w:val="24"/>
          <w:szCs w:val="24"/>
        </w:rPr>
        <w:t xml:space="preserve"> a na počátek let osmdesátých, kdy se zrodila aliance Sýrie a Íránu. </w:t>
      </w:r>
      <w:r w:rsidR="00576F57" w:rsidRPr="00026D3E">
        <w:rPr>
          <w:rFonts w:ascii="Times New Roman" w:hAnsi="Times New Roman" w:cs="Times New Roman"/>
          <w:sz w:val="24"/>
          <w:szCs w:val="24"/>
        </w:rPr>
        <w:t xml:space="preserve">Tato aliance je jednou z nejvíce fascinujících událostí v moderní blízkovýchodní politice.  </w:t>
      </w:r>
      <w:r w:rsidR="005D1441" w:rsidRPr="00026D3E">
        <w:rPr>
          <w:rFonts w:ascii="Times New Roman" w:hAnsi="Times New Roman" w:cs="Times New Roman"/>
          <w:sz w:val="24"/>
          <w:szCs w:val="24"/>
        </w:rPr>
        <w:t>I proto je nezbytné podat</w:t>
      </w:r>
      <w:r w:rsidR="00576F57" w:rsidRPr="00026D3E">
        <w:rPr>
          <w:rFonts w:ascii="Times New Roman" w:hAnsi="Times New Roman" w:cs="Times New Roman"/>
          <w:sz w:val="24"/>
          <w:szCs w:val="24"/>
        </w:rPr>
        <w:t xml:space="preserve"> přehled o tom, jaké bylo postavení těchto států v regionu až do jejího vzniku. </w:t>
      </w:r>
    </w:p>
    <w:p w:rsidR="00AF638B" w:rsidRDefault="00C558E3" w:rsidP="00BB6817">
      <w:pPr>
        <w:spacing w:line="360" w:lineRule="auto"/>
        <w:ind w:firstLine="708"/>
        <w:jc w:val="both"/>
        <w:rPr>
          <w:rFonts w:ascii="Times New Roman" w:hAnsi="Times New Roman" w:cs="Times New Roman"/>
          <w:sz w:val="24"/>
          <w:szCs w:val="24"/>
        </w:rPr>
      </w:pPr>
      <w:r w:rsidRPr="00026D3E">
        <w:rPr>
          <w:rFonts w:ascii="Times New Roman" w:hAnsi="Times New Roman" w:cs="Times New Roman"/>
          <w:sz w:val="24"/>
          <w:szCs w:val="24"/>
        </w:rPr>
        <w:t>Realistický model věnuje velkou pozornost tomu, jak státy vnímají svou bezpečnost.  E</w:t>
      </w:r>
      <w:r w:rsidR="00BA1096" w:rsidRPr="00026D3E">
        <w:rPr>
          <w:rFonts w:ascii="Times New Roman" w:hAnsi="Times New Roman" w:cs="Times New Roman"/>
          <w:sz w:val="24"/>
          <w:szCs w:val="24"/>
        </w:rPr>
        <w:t xml:space="preserve">hteshami a Hinnebusch výstižně </w:t>
      </w:r>
      <w:r w:rsidRPr="00026D3E">
        <w:rPr>
          <w:rFonts w:ascii="Times New Roman" w:hAnsi="Times New Roman" w:cs="Times New Roman"/>
          <w:sz w:val="24"/>
          <w:szCs w:val="24"/>
        </w:rPr>
        <w:t xml:space="preserve">upozorňují, že v porovnání s ostatními globálními subsystémy převažuje v tom blízkovýchodním poněkud přehnaná verze pocitu nebezpečí. Označují jej jako primitivní anarchický subsystém, který v důsledku nízkého stupně institucionalizace norem a pravidel vede k častým konfliktům. V takovém prostředí jsou </w:t>
      </w:r>
      <w:r w:rsidR="00200FBE" w:rsidRPr="00026D3E">
        <w:rPr>
          <w:rFonts w:ascii="Times New Roman" w:hAnsi="Times New Roman" w:cs="Times New Roman"/>
          <w:sz w:val="24"/>
          <w:szCs w:val="24"/>
        </w:rPr>
        <w:t xml:space="preserve">pak </w:t>
      </w:r>
      <w:r w:rsidRPr="00026D3E">
        <w:rPr>
          <w:rFonts w:ascii="Times New Roman" w:hAnsi="Times New Roman" w:cs="Times New Roman"/>
          <w:sz w:val="24"/>
          <w:szCs w:val="24"/>
        </w:rPr>
        <w:t>spojenecké svazky klíčové pro zabezpečení každého státu.</w:t>
      </w:r>
      <w:r w:rsidR="00200FBE" w:rsidRPr="00026D3E">
        <w:rPr>
          <w:rFonts w:ascii="Times New Roman" w:hAnsi="Times New Roman" w:cs="Times New Roman"/>
          <w:sz w:val="24"/>
          <w:szCs w:val="24"/>
        </w:rPr>
        <w:t xml:space="preserve">  (Ehteshami, Hinnebusch 1997:13</w:t>
      </w:r>
      <w:r w:rsidRPr="00026D3E">
        <w:rPr>
          <w:rFonts w:ascii="Times New Roman" w:hAnsi="Times New Roman" w:cs="Times New Roman"/>
          <w:sz w:val="24"/>
          <w:szCs w:val="24"/>
        </w:rPr>
        <w:t>)</w:t>
      </w:r>
      <w:r w:rsidR="00BB6817">
        <w:rPr>
          <w:rFonts w:ascii="Times New Roman" w:hAnsi="Times New Roman" w:cs="Times New Roman"/>
          <w:sz w:val="24"/>
          <w:szCs w:val="24"/>
        </w:rPr>
        <w:t xml:space="preserve"> </w:t>
      </w:r>
      <w:r w:rsidRPr="00026D3E">
        <w:rPr>
          <w:rFonts w:ascii="Times New Roman" w:hAnsi="Times New Roman" w:cs="Times New Roman"/>
          <w:sz w:val="24"/>
          <w:szCs w:val="24"/>
        </w:rPr>
        <w:t>Právě v takovém prostředí se nacházejí Sýrie a Írán. Dříve než utvořily oba státy alianci,</w:t>
      </w:r>
      <w:r w:rsidR="00BA1096" w:rsidRPr="00026D3E">
        <w:rPr>
          <w:rFonts w:ascii="Times New Roman" w:hAnsi="Times New Roman" w:cs="Times New Roman"/>
          <w:sz w:val="24"/>
          <w:szCs w:val="24"/>
        </w:rPr>
        <w:t xml:space="preserve"> byly jejich strategické zájmy </w:t>
      </w:r>
      <w:r w:rsidRPr="00026D3E">
        <w:rPr>
          <w:rFonts w:ascii="Times New Roman" w:hAnsi="Times New Roman" w:cs="Times New Roman"/>
          <w:sz w:val="24"/>
          <w:szCs w:val="24"/>
        </w:rPr>
        <w:t>výrazně odlišné. Kde byl jeden stát spojencem Sýrie, byl s největší pravd</w:t>
      </w:r>
      <w:r w:rsidR="00BA1096" w:rsidRPr="00026D3E">
        <w:rPr>
          <w:rFonts w:ascii="Times New Roman" w:hAnsi="Times New Roman" w:cs="Times New Roman"/>
          <w:sz w:val="24"/>
          <w:szCs w:val="24"/>
        </w:rPr>
        <w:t xml:space="preserve">ěpodobností zároveň nepřítelem </w:t>
      </w:r>
      <w:r w:rsidRPr="00026D3E">
        <w:rPr>
          <w:rFonts w:ascii="Times New Roman" w:hAnsi="Times New Roman" w:cs="Times New Roman"/>
          <w:sz w:val="24"/>
          <w:szCs w:val="24"/>
        </w:rPr>
        <w:t xml:space="preserve">Íránu a obráceně. </w:t>
      </w:r>
      <w:r w:rsidR="00200FBE" w:rsidRPr="00026D3E">
        <w:rPr>
          <w:rFonts w:ascii="Times New Roman" w:hAnsi="Times New Roman" w:cs="Times New Roman"/>
          <w:sz w:val="24"/>
          <w:szCs w:val="24"/>
        </w:rPr>
        <w:t>Stejně tak je ovšem třeba poznamenat</w:t>
      </w:r>
      <w:r w:rsidRPr="00026D3E">
        <w:rPr>
          <w:rFonts w:ascii="Times New Roman" w:hAnsi="Times New Roman" w:cs="Times New Roman"/>
          <w:sz w:val="24"/>
          <w:szCs w:val="24"/>
        </w:rPr>
        <w:t xml:space="preserve">, že oba dva státy se nacházejí, jak Ehteshami a Hinnebusch  říkají, v odlišných </w:t>
      </w:r>
      <w:r w:rsidR="00200FBE" w:rsidRPr="00026D3E">
        <w:rPr>
          <w:rFonts w:ascii="Times New Roman" w:hAnsi="Times New Roman" w:cs="Times New Roman"/>
          <w:sz w:val="24"/>
          <w:szCs w:val="24"/>
        </w:rPr>
        <w:t>sub</w:t>
      </w:r>
      <w:r w:rsidRPr="00026D3E">
        <w:rPr>
          <w:rFonts w:ascii="Times New Roman" w:hAnsi="Times New Roman" w:cs="Times New Roman"/>
          <w:sz w:val="24"/>
          <w:szCs w:val="24"/>
        </w:rPr>
        <w:t>systémech blízkého východu</w:t>
      </w:r>
      <w:r w:rsidR="00200FBE" w:rsidRPr="00026D3E">
        <w:rPr>
          <w:rFonts w:ascii="Times New Roman" w:hAnsi="Times New Roman" w:cs="Times New Roman"/>
          <w:sz w:val="24"/>
          <w:szCs w:val="24"/>
        </w:rPr>
        <w:t>. (Ehteshami, Hinnebusch 1997:13) Zatímco Sýrie</w:t>
      </w:r>
      <w:r w:rsidR="00C83862" w:rsidRPr="00026D3E">
        <w:rPr>
          <w:rFonts w:ascii="Times New Roman" w:hAnsi="Times New Roman" w:cs="Times New Roman"/>
          <w:sz w:val="24"/>
          <w:szCs w:val="24"/>
        </w:rPr>
        <w:t xml:space="preserve"> je součást</w:t>
      </w:r>
      <w:r w:rsidR="00AF2754">
        <w:rPr>
          <w:rFonts w:ascii="Times New Roman" w:hAnsi="Times New Roman" w:cs="Times New Roman"/>
          <w:sz w:val="24"/>
          <w:szCs w:val="24"/>
        </w:rPr>
        <w:t xml:space="preserve">í  arabsko – izraelského, Írán je </w:t>
      </w:r>
      <w:r w:rsidR="00C83862" w:rsidRPr="00026D3E">
        <w:rPr>
          <w:rFonts w:ascii="Times New Roman" w:hAnsi="Times New Roman" w:cs="Times New Roman"/>
          <w:sz w:val="24"/>
          <w:szCs w:val="24"/>
        </w:rPr>
        <w:t xml:space="preserve">součástí subsystému Perského zálivu. </w:t>
      </w:r>
    </w:p>
    <w:p w:rsidR="00BB6817" w:rsidRDefault="00BB6817" w:rsidP="00BB6817">
      <w:pPr>
        <w:spacing w:line="360" w:lineRule="auto"/>
        <w:ind w:firstLine="708"/>
        <w:jc w:val="both"/>
        <w:rPr>
          <w:rFonts w:ascii="Times New Roman" w:hAnsi="Times New Roman" w:cs="Times New Roman"/>
          <w:sz w:val="24"/>
          <w:szCs w:val="24"/>
        </w:rPr>
      </w:pPr>
    </w:p>
    <w:p w:rsidR="00BB6817" w:rsidRDefault="00BB6817" w:rsidP="00BB6817">
      <w:pPr>
        <w:spacing w:line="360" w:lineRule="auto"/>
        <w:ind w:firstLine="708"/>
        <w:jc w:val="both"/>
        <w:rPr>
          <w:rFonts w:ascii="Times New Roman" w:hAnsi="Times New Roman" w:cs="Times New Roman"/>
          <w:sz w:val="24"/>
          <w:szCs w:val="24"/>
        </w:rPr>
      </w:pPr>
    </w:p>
    <w:p w:rsidR="00BB6817" w:rsidRDefault="00BB6817" w:rsidP="00BB6817">
      <w:pPr>
        <w:spacing w:line="360" w:lineRule="auto"/>
        <w:ind w:firstLine="708"/>
        <w:jc w:val="both"/>
        <w:rPr>
          <w:rFonts w:ascii="Times New Roman" w:hAnsi="Times New Roman" w:cs="Times New Roman"/>
          <w:sz w:val="24"/>
          <w:szCs w:val="24"/>
        </w:rPr>
      </w:pPr>
    </w:p>
    <w:p w:rsidR="00BF161A" w:rsidRDefault="00BF161A" w:rsidP="00BB6817">
      <w:pPr>
        <w:spacing w:line="360" w:lineRule="auto"/>
        <w:ind w:firstLine="708"/>
        <w:jc w:val="both"/>
        <w:rPr>
          <w:rFonts w:ascii="Times New Roman" w:hAnsi="Times New Roman" w:cs="Times New Roman"/>
          <w:sz w:val="24"/>
          <w:szCs w:val="24"/>
        </w:rPr>
      </w:pPr>
    </w:p>
    <w:p w:rsidR="00BB6817" w:rsidRDefault="00BB6817" w:rsidP="00BB6817">
      <w:pPr>
        <w:spacing w:line="360" w:lineRule="auto"/>
        <w:ind w:firstLine="708"/>
        <w:jc w:val="both"/>
        <w:rPr>
          <w:rFonts w:ascii="Times New Roman" w:hAnsi="Times New Roman" w:cs="Times New Roman"/>
          <w:sz w:val="24"/>
          <w:szCs w:val="24"/>
        </w:rPr>
      </w:pPr>
    </w:p>
    <w:p w:rsidR="00BB6817" w:rsidRPr="00026D3E" w:rsidRDefault="00BB6817" w:rsidP="00BB6817">
      <w:pPr>
        <w:spacing w:line="360" w:lineRule="auto"/>
        <w:ind w:firstLine="708"/>
        <w:jc w:val="both"/>
        <w:rPr>
          <w:rFonts w:ascii="Times New Roman" w:hAnsi="Times New Roman" w:cs="Times New Roman"/>
          <w:sz w:val="24"/>
          <w:szCs w:val="24"/>
        </w:rPr>
      </w:pPr>
    </w:p>
    <w:p w:rsidR="00AF638B" w:rsidRPr="00B84248" w:rsidRDefault="00972DFD" w:rsidP="00B84248">
      <w:pPr>
        <w:pStyle w:val="Nadpis2"/>
      </w:pPr>
      <w:bookmarkStart w:id="3" w:name="_Toc354703577"/>
      <w:r w:rsidRPr="00B84248">
        <w:lastRenderedPageBreak/>
        <w:t xml:space="preserve">2.1 </w:t>
      </w:r>
      <w:r w:rsidR="00AF638B" w:rsidRPr="00B84248">
        <w:t xml:space="preserve">Sýrie a Írán </w:t>
      </w:r>
      <w:r w:rsidR="006E56E1" w:rsidRPr="00B84248">
        <w:t>v mezinárodních vztazích před Íránskou revolucí</w:t>
      </w:r>
      <w:bookmarkEnd w:id="3"/>
    </w:p>
    <w:p w:rsidR="00E9191A" w:rsidRPr="00026D3E" w:rsidRDefault="00966E5A" w:rsidP="009D3809">
      <w:pPr>
        <w:spacing w:line="360" w:lineRule="auto"/>
        <w:ind w:firstLine="708"/>
        <w:jc w:val="both"/>
        <w:rPr>
          <w:rFonts w:ascii="Times New Roman" w:hAnsi="Times New Roman" w:cs="Times New Roman"/>
          <w:sz w:val="24"/>
          <w:szCs w:val="24"/>
        </w:rPr>
      </w:pPr>
      <w:r w:rsidRPr="00026D3E">
        <w:rPr>
          <w:rFonts w:ascii="Times New Roman" w:hAnsi="Times New Roman" w:cs="Times New Roman"/>
          <w:sz w:val="24"/>
          <w:szCs w:val="24"/>
        </w:rPr>
        <w:t xml:space="preserve">Atmosféra počátku sedmdesátých let se na </w:t>
      </w:r>
      <w:r w:rsidR="009D3809">
        <w:rPr>
          <w:rFonts w:ascii="Times New Roman" w:hAnsi="Times New Roman" w:cs="Times New Roman"/>
          <w:sz w:val="24"/>
          <w:szCs w:val="24"/>
        </w:rPr>
        <w:t>Blízkém východě</w:t>
      </w:r>
      <w:r w:rsidRPr="00026D3E">
        <w:rPr>
          <w:rFonts w:ascii="Times New Roman" w:hAnsi="Times New Roman" w:cs="Times New Roman"/>
          <w:sz w:val="24"/>
          <w:szCs w:val="24"/>
        </w:rPr>
        <w:t xml:space="preserve"> nesla v duchu vyhroceného arabsko – izraelského konfliktu. </w:t>
      </w:r>
      <w:r w:rsidR="001B6311" w:rsidRPr="00026D3E">
        <w:rPr>
          <w:rFonts w:ascii="Times New Roman" w:hAnsi="Times New Roman" w:cs="Times New Roman"/>
          <w:sz w:val="24"/>
          <w:szCs w:val="24"/>
        </w:rPr>
        <w:t xml:space="preserve">Výsledky </w:t>
      </w:r>
      <w:r w:rsidR="008474FC" w:rsidRPr="00026D3E">
        <w:rPr>
          <w:rFonts w:ascii="Times New Roman" w:hAnsi="Times New Roman" w:cs="Times New Roman"/>
          <w:sz w:val="24"/>
          <w:szCs w:val="24"/>
        </w:rPr>
        <w:t>válečného konfliktu z roku 1967</w:t>
      </w:r>
      <w:r w:rsidR="009D3809">
        <w:rPr>
          <w:rFonts w:ascii="Times New Roman" w:hAnsi="Times New Roman" w:cs="Times New Roman"/>
          <w:sz w:val="24"/>
          <w:szCs w:val="24"/>
        </w:rPr>
        <w:t xml:space="preserve"> (tzv. Šestidenní války)</w:t>
      </w:r>
      <w:r w:rsidR="008474FC" w:rsidRPr="00026D3E">
        <w:rPr>
          <w:rFonts w:ascii="Times New Roman" w:hAnsi="Times New Roman" w:cs="Times New Roman"/>
          <w:sz w:val="24"/>
          <w:szCs w:val="24"/>
        </w:rPr>
        <w:t xml:space="preserve"> a na něj</w:t>
      </w:r>
      <w:r w:rsidR="001B6311" w:rsidRPr="00026D3E">
        <w:rPr>
          <w:rFonts w:ascii="Times New Roman" w:hAnsi="Times New Roman" w:cs="Times New Roman"/>
          <w:sz w:val="24"/>
          <w:szCs w:val="24"/>
        </w:rPr>
        <w:t xml:space="preserve"> navazující opotřebovací války zanechaly mezi arabskými vůdci značnou frustraci. V této situaci byl vznik efektivní arabské koalice proti židovskému státu nejen nutný, ale i proveditelný. (Walt 1987:104) Egypt a Sýrie, vedeni novými pragmatickými vůdci, byli svedeni dohromady díky společnému nepříteli. Spolu se Saudskou Arábií vytvořili „arabský trojúhelník“, který začal </w:t>
      </w:r>
      <w:r w:rsidR="009D3809">
        <w:rPr>
          <w:rFonts w:ascii="Times New Roman" w:hAnsi="Times New Roman" w:cs="Times New Roman"/>
          <w:sz w:val="24"/>
          <w:szCs w:val="24"/>
        </w:rPr>
        <w:t>intenzivně</w:t>
      </w:r>
      <w:r w:rsidR="001B6311" w:rsidRPr="00026D3E">
        <w:rPr>
          <w:rFonts w:ascii="Times New Roman" w:hAnsi="Times New Roman" w:cs="Times New Roman"/>
          <w:sz w:val="24"/>
          <w:szCs w:val="24"/>
        </w:rPr>
        <w:t xml:space="preserve"> pracovat na plánu</w:t>
      </w:r>
      <w:r w:rsidR="00C056AD" w:rsidRPr="00026D3E">
        <w:rPr>
          <w:rFonts w:ascii="Times New Roman" w:hAnsi="Times New Roman" w:cs="Times New Roman"/>
          <w:sz w:val="24"/>
          <w:szCs w:val="24"/>
        </w:rPr>
        <w:t xml:space="preserve"> odvety vůči Izraeli. (</w:t>
      </w:r>
      <w:r w:rsidR="00291540" w:rsidRPr="00026D3E">
        <w:rPr>
          <w:rFonts w:ascii="Times New Roman" w:hAnsi="Times New Roman" w:cs="Times New Roman"/>
          <w:sz w:val="24"/>
          <w:szCs w:val="24"/>
        </w:rPr>
        <w:t xml:space="preserve">Hinnebusch 2002:41) </w:t>
      </w:r>
      <w:r w:rsidR="00070B2D" w:rsidRPr="00026D3E">
        <w:rPr>
          <w:rFonts w:ascii="Times New Roman" w:hAnsi="Times New Roman" w:cs="Times New Roman"/>
          <w:sz w:val="24"/>
          <w:szCs w:val="24"/>
        </w:rPr>
        <w:t>Koordinovaný</w:t>
      </w:r>
      <w:r w:rsidR="00291540" w:rsidRPr="00026D3E">
        <w:rPr>
          <w:rFonts w:ascii="Times New Roman" w:hAnsi="Times New Roman" w:cs="Times New Roman"/>
          <w:sz w:val="24"/>
          <w:szCs w:val="24"/>
        </w:rPr>
        <w:t xml:space="preserve"> útok </w:t>
      </w:r>
      <w:r w:rsidR="009D3809">
        <w:rPr>
          <w:rFonts w:ascii="Times New Roman" w:hAnsi="Times New Roman" w:cs="Times New Roman"/>
          <w:sz w:val="24"/>
          <w:szCs w:val="24"/>
        </w:rPr>
        <w:t>Egypta</w:t>
      </w:r>
      <w:r w:rsidR="00C056AD" w:rsidRPr="00026D3E">
        <w:rPr>
          <w:rFonts w:ascii="Times New Roman" w:hAnsi="Times New Roman" w:cs="Times New Roman"/>
          <w:sz w:val="24"/>
          <w:szCs w:val="24"/>
        </w:rPr>
        <w:t xml:space="preserve"> a Sýrie na Izraelem okupovaná území v říjnu roku 1973 byl podpořen „ropnou zbraní“ Saudské Arábie, která odstartovala ropné embargo a v důsledku vyhnala ceny ropy několikanásobně výše. Ekonomická </w:t>
      </w:r>
      <w:r w:rsidR="00F4116D">
        <w:rPr>
          <w:rFonts w:ascii="Times New Roman" w:hAnsi="Times New Roman" w:cs="Times New Roman"/>
          <w:sz w:val="24"/>
          <w:szCs w:val="24"/>
        </w:rPr>
        <w:t xml:space="preserve">páka v podobě </w:t>
      </w:r>
      <w:r w:rsidR="00291540" w:rsidRPr="00026D3E">
        <w:rPr>
          <w:rFonts w:ascii="Times New Roman" w:hAnsi="Times New Roman" w:cs="Times New Roman"/>
          <w:sz w:val="24"/>
          <w:szCs w:val="24"/>
        </w:rPr>
        <w:t>ropy tak donutila</w:t>
      </w:r>
      <w:r w:rsidR="00177D4E" w:rsidRPr="00026D3E">
        <w:rPr>
          <w:rFonts w:ascii="Times New Roman" w:hAnsi="Times New Roman" w:cs="Times New Roman"/>
          <w:sz w:val="24"/>
          <w:szCs w:val="24"/>
        </w:rPr>
        <w:t xml:space="preserve"> zdráhající se </w:t>
      </w:r>
      <w:r w:rsidR="00C056AD" w:rsidRPr="00026D3E">
        <w:rPr>
          <w:rFonts w:ascii="Times New Roman" w:hAnsi="Times New Roman" w:cs="Times New Roman"/>
          <w:sz w:val="24"/>
          <w:szCs w:val="24"/>
        </w:rPr>
        <w:t xml:space="preserve">USA do konfliktu zasáhnout a zprostředkovat na půdě OSN příměří. Jednotný postup těchto tří důležitých aktérů </w:t>
      </w:r>
      <w:r w:rsidR="00166A06" w:rsidRPr="00026D3E">
        <w:rPr>
          <w:rFonts w:ascii="Times New Roman" w:hAnsi="Times New Roman" w:cs="Times New Roman"/>
          <w:sz w:val="24"/>
          <w:szCs w:val="24"/>
        </w:rPr>
        <w:t xml:space="preserve">v </w:t>
      </w:r>
      <w:r w:rsidR="00C056AD" w:rsidRPr="00026D3E">
        <w:rPr>
          <w:rFonts w:ascii="Times New Roman" w:hAnsi="Times New Roman" w:cs="Times New Roman"/>
          <w:sz w:val="24"/>
          <w:szCs w:val="24"/>
        </w:rPr>
        <w:t xml:space="preserve">nové arabsko – </w:t>
      </w:r>
      <w:r w:rsidR="00F4656D" w:rsidRPr="00026D3E">
        <w:rPr>
          <w:rFonts w:ascii="Times New Roman" w:hAnsi="Times New Roman" w:cs="Times New Roman"/>
          <w:sz w:val="24"/>
          <w:szCs w:val="24"/>
        </w:rPr>
        <w:t>izraelské válce vyvolal poslední záchvěv arabského nacional</w:t>
      </w:r>
      <w:r w:rsidR="006B415A" w:rsidRPr="00026D3E">
        <w:rPr>
          <w:rFonts w:ascii="Times New Roman" w:hAnsi="Times New Roman" w:cs="Times New Roman"/>
          <w:sz w:val="24"/>
          <w:szCs w:val="24"/>
        </w:rPr>
        <w:t>ismu mezi ostatními státy, které</w:t>
      </w:r>
      <w:r w:rsidR="00F4656D" w:rsidRPr="00026D3E">
        <w:rPr>
          <w:rFonts w:ascii="Times New Roman" w:hAnsi="Times New Roman" w:cs="Times New Roman"/>
          <w:sz w:val="24"/>
          <w:szCs w:val="24"/>
        </w:rPr>
        <w:t xml:space="preserve"> se pos</w:t>
      </w:r>
      <w:r w:rsidR="00BA1096" w:rsidRPr="00026D3E">
        <w:rPr>
          <w:rFonts w:ascii="Times New Roman" w:hAnsi="Times New Roman" w:cs="Times New Roman"/>
          <w:sz w:val="24"/>
          <w:szCs w:val="24"/>
        </w:rPr>
        <w:t>tavily</w:t>
      </w:r>
      <w:r w:rsidR="00F4656D" w:rsidRPr="00026D3E">
        <w:rPr>
          <w:rFonts w:ascii="Times New Roman" w:hAnsi="Times New Roman" w:cs="Times New Roman"/>
          <w:sz w:val="24"/>
          <w:szCs w:val="24"/>
        </w:rPr>
        <w:t xml:space="preserve"> na jejich stranu. </w:t>
      </w:r>
      <w:r w:rsidR="008D5086" w:rsidRPr="00026D3E">
        <w:rPr>
          <w:rFonts w:ascii="Times New Roman" w:hAnsi="Times New Roman" w:cs="Times New Roman"/>
          <w:sz w:val="24"/>
          <w:szCs w:val="24"/>
        </w:rPr>
        <w:t xml:space="preserve"> (Hinnebusch 2002:41) Paradoxem však je, že právě relativní úspěch arabských s</w:t>
      </w:r>
      <w:r w:rsidR="009D3809">
        <w:rPr>
          <w:rFonts w:ascii="Times New Roman" w:hAnsi="Times New Roman" w:cs="Times New Roman"/>
          <w:sz w:val="24"/>
          <w:szCs w:val="24"/>
        </w:rPr>
        <w:t>tátů v konfliktu vedl k násled</w:t>
      </w:r>
      <w:r w:rsidR="008D5086" w:rsidRPr="00026D3E">
        <w:rPr>
          <w:rFonts w:ascii="Times New Roman" w:hAnsi="Times New Roman" w:cs="Times New Roman"/>
          <w:sz w:val="24"/>
          <w:szCs w:val="24"/>
        </w:rPr>
        <w:t>ným rozporům. Po skončení konfliktu si žádný ze států nebyl jistý, zda někdo z nich nebude vyhledávat výhodnou jednostrannou dohodu</w:t>
      </w:r>
      <w:r w:rsidR="00166A06" w:rsidRPr="00026D3E">
        <w:rPr>
          <w:rFonts w:ascii="Times New Roman" w:hAnsi="Times New Roman" w:cs="Times New Roman"/>
          <w:sz w:val="24"/>
          <w:szCs w:val="24"/>
        </w:rPr>
        <w:t xml:space="preserve"> s Izraelem</w:t>
      </w:r>
      <w:r w:rsidR="008D5086" w:rsidRPr="00026D3E">
        <w:rPr>
          <w:rFonts w:ascii="Times New Roman" w:hAnsi="Times New Roman" w:cs="Times New Roman"/>
          <w:sz w:val="24"/>
          <w:szCs w:val="24"/>
        </w:rPr>
        <w:t>. Uplatnilo se tak klasické vězňovo dilema a Egypt byl první, kdo z něj hledal východisko. (Hinnebusch 2002:44)</w:t>
      </w:r>
      <w:r w:rsidR="000E14A3" w:rsidRPr="00026D3E">
        <w:rPr>
          <w:rFonts w:ascii="Times New Roman" w:hAnsi="Times New Roman" w:cs="Times New Roman"/>
          <w:sz w:val="24"/>
          <w:szCs w:val="24"/>
        </w:rPr>
        <w:t xml:space="preserve"> Přestože měli Arabové všechny výhody na své straně, ukázala říjnová</w:t>
      </w:r>
      <w:r w:rsidR="001553A3">
        <w:rPr>
          <w:rFonts w:ascii="Times New Roman" w:hAnsi="Times New Roman" w:cs="Times New Roman"/>
          <w:sz w:val="24"/>
          <w:szCs w:val="24"/>
        </w:rPr>
        <w:t xml:space="preserve"> (Jom Kippurská)</w:t>
      </w:r>
      <w:r w:rsidR="000E14A3" w:rsidRPr="00026D3E">
        <w:rPr>
          <w:rFonts w:ascii="Times New Roman" w:hAnsi="Times New Roman" w:cs="Times New Roman"/>
          <w:sz w:val="24"/>
          <w:szCs w:val="24"/>
        </w:rPr>
        <w:t xml:space="preserve"> válka, že nejsou schopni porazit Izrael vojensky. Sadat si toho byl vědom a byl přesvědčen, že klíč k</w:t>
      </w:r>
      <w:r w:rsidR="00BA1096" w:rsidRPr="00026D3E">
        <w:rPr>
          <w:rFonts w:ascii="Times New Roman" w:hAnsi="Times New Roman" w:cs="Times New Roman"/>
          <w:sz w:val="24"/>
          <w:szCs w:val="24"/>
        </w:rPr>
        <w:t>e</w:t>
      </w:r>
      <w:r w:rsidR="000E14A3" w:rsidRPr="00026D3E">
        <w:rPr>
          <w:rFonts w:ascii="Times New Roman" w:hAnsi="Times New Roman" w:cs="Times New Roman"/>
          <w:sz w:val="24"/>
          <w:szCs w:val="24"/>
        </w:rPr>
        <w:t> zpětnému navrácení Sin</w:t>
      </w:r>
      <w:r w:rsidR="00832F34" w:rsidRPr="00026D3E">
        <w:rPr>
          <w:rFonts w:ascii="Times New Roman" w:hAnsi="Times New Roman" w:cs="Times New Roman"/>
          <w:sz w:val="24"/>
          <w:szCs w:val="24"/>
        </w:rPr>
        <w:t>aje drží USA. (Walt 1987:126) Série</w:t>
      </w:r>
      <w:r w:rsidR="000E14A3" w:rsidRPr="00026D3E">
        <w:rPr>
          <w:rFonts w:ascii="Times New Roman" w:hAnsi="Times New Roman" w:cs="Times New Roman"/>
          <w:sz w:val="24"/>
          <w:szCs w:val="24"/>
        </w:rPr>
        <w:t xml:space="preserve"> dohod</w:t>
      </w:r>
      <w:r w:rsidR="00166A06" w:rsidRPr="00026D3E">
        <w:rPr>
          <w:rFonts w:ascii="Times New Roman" w:hAnsi="Times New Roman" w:cs="Times New Roman"/>
          <w:sz w:val="24"/>
          <w:szCs w:val="24"/>
        </w:rPr>
        <w:t>, kterou podstoupil po válce Egypt</w:t>
      </w:r>
      <w:r w:rsidR="000E14A3" w:rsidRPr="00026D3E">
        <w:rPr>
          <w:rFonts w:ascii="Times New Roman" w:hAnsi="Times New Roman" w:cs="Times New Roman"/>
          <w:sz w:val="24"/>
          <w:szCs w:val="24"/>
        </w:rPr>
        <w:t xml:space="preserve"> s</w:t>
      </w:r>
      <w:r w:rsidR="001553A3">
        <w:rPr>
          <w:rFonts w:ascii="Times New Roman" w:hAnsi="Times New Roman" w:cs="Times New Roman"/>
          <w:sz w:val="24"/>
          <w:szCs w:val="24"/>
        </w:rPr>
        <w:t> </w:t>
      </w:r>
      <w:r w:rsidR="000E14A3" w:rsidRPr="00026D3E">
        <w:rPr>
          <w:rFonts w:ascii="Times New Roman" w:hAnsi="Times New Roman" w:cs="Times New Roman"/>
          <w:sz w:val="24"/>
          <w:szCs w:val="24"/>
        </w:rPr>
        <w:t>Izraelem</w:t>
      </w:r>
      <w:r w:rsidR="001553A3">
        <w:rPr>
          <w:rFonts w:ascii="Times New Roman" w:hAnsi="Times New Roman" w:cs="Times New Roman"/>
          <w:sz w:val="24"/>
          <w:szCs w:val="24"/>
        </w:rPr>
        <w:t>,</w:t>
      </w:r>
      <w:r w:rsidR="000E14A3" w:rsidRPr="00026D3E">
        <w:rPr>
          <w:rFonts w:ascii="Times New Roman" w:hAnsi="Times New Roman" w:cs="Times New Roman"/>
          <w:sz w:val="24"/>
          <w:szCs w:val="24"/>
        </w:rPr>
        <w:t xml:space="preserve"> byla završena dohodou v</w:t>
      </w:r>
      <w:r w:rsidR="008B4D6A" w:rsidRPr="00026D3E">
        <w:rPr>
          <w:rFonts w:ascii="Times New Roman" w:hAnsi="Times New Roman" w:cs="Times New Roman"/>
          <w:sz w:val="24"/>
          <w:szCs w:val="24"/>
        </w:rPr>
        <w:t xml:space="preserve"> září </w:t>
      </w:r>
      <w:r w:rsidR="000E14A3" w:rsidRPr="00026D3E">
        <w:rPr>
          <w:rFonts w:ascii="Times New Roman" w:hAnsi="Times New Roman" w:cs="Times New Roman"/>
          <w:sz w:val="24"/>
          <w:szCs w:val="24"/>
        </w:rPr>
        <w:t>ro</w:t>
      </w:r>
      <w:r w:rsidR="008B4D6A" w:rsidRPr="00026D3E">
        <w:rPr>
          <w:rFonts w:ascii="Times New Roman" w:hAnsi="Times New Roman" w:cs="Times New Roman"/>
          <w:sz w:val="24"/>
          <w:szCs w:val="24"/>
        </w:rPr>
        <w:t>ku</w:t>
      </w:r>
      <w:r w:rsidR="000E14A3" w:rsidRPr="00026D3E">
        <w:rPr>
          <w:rFonts w:ascii="Times New Roman" w:hAnsi="Times New Roman" w:cs="Times New Roman"/>
          <w:sz w:val="24"/>
          <w:szCs w:val="24"/>
        </w:rPr>
        <w:t xml:space="preserve"> 1975 označovanou jako Sinaj II.</w:t>
      </w:r>
      <w:r w:rsidR="00E9191A" w:rsidRPr="00026D3E">
        <w:rPr>
          <w:rFonts w:ascii="Times New Roman" w:hAnsi="Times New Roman" w:cs="Times New Roman"/>
          <w:sz w:val="24"/>
          <w:szCs w:val="24"/>
        </w:rPr>
        <w:t xml:space="preserve"> Postup Egyptu tak příkladně demonstroval poslední hřebík do rakve arabskému nacionalismu a nástup pragmatičtější politiky. </w:t>
      </w:r>
    </w:p>
    <w:p w:rsidR="008D1A56" w:rsidRPr="00026D3E" w:rsidRDefault="00832F34" w:rsidP="000A18B1">
      <w:pPr>
        <w:spacing w:line="360" w:lineRule="auto"/>
        <w:ind w:firstLine="708"/>
        <w:jc w:val="both"/>
        <w:rPr>
          <w:rFonts w:ascii="Times New Roman" w:hAnsi="Times New Roman" w:cs="Times New Roman"/>
          <w:sz w:val="24"/>
          <w:szCs w:val="24"/>
        </w:rPr>
      </w:pPr>
      <w:r w:rsidRPr="00026D3E">
        <w:rPr>
          <w:rFonts w:ascii="Times New Roman" w:hAnsi="Times New Roman" w:cs="Times New Roman"/>
          <w:sz w:val="24"/>
          <w:szCs w:val="24"/>
        </w:rPr>
        <w:t>Pro Háfize al-Asada</w:t>
      </w:r>
      <w:r w:rsidR="00E9191A" w:rsidRPr="00026D3E">
        <w:rPr>
          <w:rFonts w:ascii="Times New Roman" w:hAnsi="Times New Roman" w:cs="Times New Roman"/>
          <w:sz w:val="24"/>
          <w:szCs w:val="24"/>
        </w:rPr>
        <w:t xml:space="preserve"> s</w:t>
      </w:r>
      <w:r w:rsidR="000A18B1">
        <w:rPr>
          <w:rFonts w:ascii="Times New Roman" w:hAnsi="Times New Roman" w:cs="Times New Roman"/>
          <w:sz w:val="24"/>
          <w:szCs w:val="24"/>
        </w:rPr>
        <w:t>bližování Egypta</w:t>
      </w:r>
      <w:r w:rsidR="00D9696A" w:rsidRPr="00026D3E">
        <w:rPr>
          <w:rFonts w:ascii="Times New Roman" w:hAnsi="Times New Roman" w:cs="Times New Roman"/>
          <w:sz w:val="24"/>
          <w:szCs w:val="24"/>
        </w:rPr>
        <w:t xml:space="preserve"> s Izraelem znamenalo pořádnou facku. </w:t>
      </w:r>
      <w:r w:rsidR="009B5A7A" w:rsidRPr="00026D3E">
        <w:rPr>
          <w:rFonts w:ascii="Times New Roman" w:hAnsi="Times New Roman" w:cs="Times New Roman"/>
          <w:sz w:val="24"/>
          <w:szCs w:val="24"/>
        </w:rPr>
        <w:t xml:space="preserve">Po </w:t>
      </w:r>
      <w:r w:rsidR="008D1A56" w:rsidRPr="00026D3E">
        <w:rPr>
          <w:rFonts w:ascii="Times New Roman" w:hAnsi="Times New Roman" w:cs="Times New Roman"/>
          <w:sz w:val="24"/>
          <w:szCs w:val="24"/>
        </w:rPr>
        <w:t xml:space="preserve">prohraném boji s Henry Kissingerem o přízeň Egyptu </w:t>
      </w:r>
      <w:r w:rsidR="00A578DE" w:rsidRPr="00026D3E">
        <w:rPr>
          <w:rFonts w:ascii="Times New Roman" w:hAnsi="Times New Roman" w:cs="Times New Roman"/>
          <w:sz w:val="24"/>
          <w:szCs w:val="24"/>
        </w:rPr>
        <w:t>ztra</w:t>
      </w:r>
      <w:r w:rsidR="009B5A7A" w:rsidRPr="00026D3E">
        <w:rPr>
          <w:rFonts w:ascii="Times New Roman" w:hAnsi="Times New Roman" w:cs="Times New Roman"/>
          <w:sz w:val="24"/>
          <w:szCs w:val="24"/>
        </w:rPr>
        <w:t>t</w:t>
      </w:r>
      <w:r w:rsidR="008D1A56" w:rsidRPr="00026D3E">
        <w:rPr>
          <w:rFonts w:ascii="Times New Roman" w:hAnsi="Times New Roman" w:cs="Times New Roman"/>
          <w:sz w:val="24"/>
          <w:szCs w:val="24"/>
        </w:rPr>
        <w:t>il</w:t>
      </w:r>
      <w:r w:rsidR="009B5A7A" w:rsidRPr="00026D3E">
        <w:rPr>
          <w:rFonts w:ascii="Times New Roman" w:hAnsi="Times New Roman" w:cs="Times New Roman"/>
          <w:sz w:val="24"/>
          <w:szCs w:val="24"/>
        </w:rPr>
        <w:t xml:space="preserve"> svého hlavního spojence v boji proti Izraeli</w:t>
      </w:r>
      <w:r w:rsidR="008B4D6A" w:rsidRPr="00026D3E">
        <w:rPr>
          <w:rFonts w:ascii="Times New Roman" w:hAnsi="Times New Roman" w:cs="Times New Roman"/>
          <w:sz w:val="24"/>
          <w:szCs w:val="24"/>
        </w:rPr>
        <w:t xml:space="preserve"> a byl přinucen </w:t>
      </w:r>
      <w:r w:rsidR="008D1A56" w:rsidRPr="00026D3E">
        <w:rPr>
          <w:rFonts w:ascii="Times New Roman" w:hAnsi="Times New Roman" w:cs="Times New Roman"/>
          <w:sz w:val="24"/>
          <w:szCs w:val="24"/>
        </w:rPr>
        <w:t xml:space="preserve">hledat nové spojence. Jeho místo mělo zaplnit budování nového spojeneckého bloku v Levantě, </w:t>
      </w:r>
      <w:r w:rsidR="001E6494" w:rsidRPr="00026D3E">
        <w:rPr>
          <w:rFonts w:ascii="Times New Roman" w:hAnsi="Times New Roman" w:cs="Times New Roman"/>
          <w:sz w:val="24"/>
          <w:szCs w:val="24"/>
        </w:rPr>
        <w:t xml:space="preserve">který by vedla Sýrie a </w:t>
      </w:r>
      <w:r w:rsidR="00277BB4" w:rsidRPr="00026D3E">
        <w:rPr>
          <w:rFonts w:ascii="Times New Roman" w:hAnsi="Times New Roman" w:cs="Times New Roman"/>
          <w:sz w:val="24"/>
          <w:szCs w:val="24"/>
        </w:rPr>
        <w:t xml:space="preserve">do kterého by se zapojili také </w:t>
      </w:r>
      <w:r w:rsidR="008D1A56" w:rsidRPr="00026D3E">
        <w:rPr>
          <w:rFonts w:ascii="Times New Roman" w:hAnsi="Times New Roman" w:cs="Times New Roman"/>
          <w:sz w:val="24"/>
          <w:szCs w:val="24"/>
        </w:rPr>
        <w:t>Libanon</w:t>
      </w:r>
      <w:r w:rsidR="001E6494" w:rsidRPr="00026D3E">
        <w:rPr>
          <w:rFonts w:ascii="Times New Roman" w:hAnsi="Times New Roman" w:cs="Times New Roman"/>
          <w:sz w:val="24"/>
          <w:szCs w:val="24"/>
        </w:rPr>
        <w:t>,</w:t>
      </w:r>
      <w:r w:rsidR="00C65D8D" w:rsidRPr="00026D3E">
        <w:rPr>
          <w:rFonts w:ascii="Times New Roman" w:hAnsi="Times New Roman" w:cs="Times New Roman"/>
          <w:sz w:val="24"/>
          <w:szCs w:val="24"/>
        </w:rPr>
        <w:t xml:space="preserve"> Jordánsko</w:t>
      </w:r>
      <w:r w:rsidR="001E6494" w:rsidRPr="00026D3E">
        <w:rPr>
          <w:rFonts w:ascii="Times New Roman" w:hAnsi="Times New Roman" w:cs="Times New Roman"/>
          <w:sz w:val="24"/>
          <w:szCs w:val="24"/>
        </w:rPr>
        <w:t xml:space="preserve"> </w:t>
      </w:r>
      <w:r w:rsidR="00277BB4" w:rsidRPr="00026D3E">
        <w:rPr>
          <w:rFonts w:ascii="Times New Roman" w:hAnsi="Times New Roman" w:cs="Times New Roman"/>
          <w:sz w:val="24"/>
          <w:szCs w:val="24"/>
        </w:rPr>
        <w:t xml:space="preserve">a Palestinci, </w:t>
      </w:r>
      <w:r w:rsidR="00C65D8D" w:rsidRPr="00026D3E">
        <w:rPr>
          <w:rFonts w:ascii="Times New Roman" w:hAnsi="Times New Roman" w:cs="Times New Roman"/>
          <w:sz w:val="24"/>
          <w:szCs w:val="24"/>
        </w:rPr>
        <w:t>kteří sdíleli se Sýrií nejistoty ohledně hranice s Izraelem.</w:t>
      </w:r>
      <w:r w:rsidR="005D5C7A" w:rsidRPr="00026D3E">
        <w:rPr>
          <w:rFonts w:ascii="Times New Roman" w:hAnsi="Times New Roman" w:cs="Times New Roman"/>
          <w:sz w:val="24"/>
          <w:szCs w:val="24"/>
        </w:rPr>
        <w:t xml:space="preserve"> </w:t>
      </w:r>
      <w:r w:rsidR="001E6494" w:rsidRPr="00026D3E">
        <w:rPr>
          <w:rFonts w:ascii="Times New Roman" w:hAnsi="Times New Roman" w:cs="Times New Roman"/>
          <w:sz w:val="24"/>
          <w:szCs w:val="24"/>
        </w:rPr>
        <w:t xml:space="preserve">(Ehteshami, Hinnebusch </w:t>
      </w:r>
      <w:r w:rsidR="007D3EA7" w:rsidRPr="00026D3E">
        <w:rPr>
          <w:rFonts w:ascii="Times New Roman" w:hAnsi="Times New Roman" w:cs="Times New Roman"/>
          <w:sz w:val="24"/>
          <w:szCs w:val="24"/>
        </w:rPr>
        <w:t>1997</w:t>
      </w:r>
      <w:r w:rsidR="001E6494" w:rsidRPr="00026D3E">
        <w:rPr>
          <w:rFonts w:ascii="Times New Roman" w:hAnsi="Times New Roman" w:cs="Times New Roman"/>
          <w:sz w:val="24"/>
          <w:szCs w:val="24"/>
        </w:rPr>
        <w:t>:70-71)</w:t>
      </w:r>
      <w:r w:rsidR="00277BB4" w:rsidRPr="00026D3E">
        <w:rPr>
          <w:rFonts w:ascii="Times New Roman" w:hAnsi="Times New Roman" w:cs="Times New Roman"/>
          <w:sz w:val="24"/>
          <w:szCs w:val="24"/>
        </w:rPr>
        <w:t xml:space="preserve"> </w:t>
      </w:r>
      <w:r w:rsidR="009D617D">
        <w:rPr>
          <w:rFonts w:ascii="Times New Roman" w:hAnsi="Times New Roman" w:cs="Times New Roman"/>
          <w:sz w:val="24"/>
          <w:szCs w:val="24"/>
        </w:rPr>
        <w:t xml:space="preserve">Al-Asad udržoval blízké spojenectví se Sovětským svazem kvůli potřebnému přísunu zbraní. </w:t>
      </w:r>
      <w:r w:rsidR="00BF09DE" w:rsidRPr="00026D3E">
        <w:rPr>
          <w:rFonts w:ascii="Times New Roman" w:hAnsi="Times New Roman" w:cs="Times New Roman"/>
          <w:sz w:val="24"/>
          <w:szCs w:val="24"/>
        </w:rPr>
        <w:t xml:space="preserve">(Ehteshami, Hinnebusch </w:t>
      </w:r>
      <w:r w:rsidR="009D617D">
        <w:rPr>
          <w:rFonts w:ascii="Times New Roman" w:hAnsi="Times New Roman" w:cs="Times New Roman"/>
          <w:sz w:val="24"/>
          <w:szCs w:val="24"/>
        </w:rPr>
        <w:t>1997:69)</w:t>
      </w:r>
      <w:r w:rsidR="00BF09DE" w:rsidRPr="00026D3E">
        <w:rPr>
          <w:rFonts w:ascii="Times New Roman" w:hAnsi="Times New Roman" w:cs="Times New Roman"/>
          <w:sz w:val="24"/>
          <w:szCs w:val="24"/>
        </w:rPr>
        <w:t xml:space="preserve"> </w:t>
      </w:r>
      <w:r w:rsidR="009D617D">
        <w:rPr>
          <w:rFonts w:ascii="Times New Roman" w:hAnsi="Times New Roman" w:cs="Times New Roman"/>
          <w:sz w:val="24"/>
          <w:szCs w:val="24"/>
        </w:rPr>
        <w:t xml:space="preserve">Přesto však bylo jeho </w:t>
      </w:r>
      <w:r w:rsidR="00BF09DE" w:rsidRPr="00026D3E">
        <w:rPr>
          <w:rFonts w:ascii="Times New Roman" w:hAnsi="Times New Roman" w:cs="Times New Roman"/>
          <w:sz w:val="24"/>
          <w:szCs w:val="24"/>
        </w:rPr>
        <w:t>h</w:t>
      </w:r>
      <w:r w:rsidR="009D617D">
        <w:rPr>
          <w:rFonts w:ascii="Times New Roman" w:hAnsi="Times New Roman" w:cs="Times New Roman"/>
          <w:sz w:val="24"/>
          <w:szCs w:val="24"/>
        </w:rPr>
        <w:t>lavním cílem</w:t>
      </w:r>
      <w:r w:rsidR="005D5C7A" w:rsidRPr="00026D3E">
        <w:rPr>
          <w:rFonts w:ascii="Times New Roman" w:hAnsi="Times New Roman" w:cs="Times New Roman"/>
          <w:sz w:val="24"/>
          <w:szCs w:val="24"/>
        </w:rPr>
        <w:t xml:space="preserve"> zabránit veškerým snahám některého z těchto států, aby podnikl</w:t>
      </w:r>
      <w:r w:rsidR="00586770" w:rsidRPr="00026D3E">
        <w:rPr>
          <w:rFonts w:ascii="Times New Roman" w:hAnsi="Times New Roman" w:cs="Times New Roman"/>
          <w:sz w:val="24"/>
          <w:szCs w:val="24"/>
        </w:rPr>
        <w:t xml:space="preserve">y </w:t>
      </w:r>
      <w:r w:rsidR="005D5C7A" w:rsidRPr="00026D3E">
        <w:rPr>
          <w:rFonts w:ascii="Times New Roman" w:hAnsi="Times New Roman" w:cs="Times New Roman"/>
          <w:sz w:val="24"/>
          <w:szCs w:val="24"/>
        </w:rPr>
        <w:t xml:space="preserve">separátní pokusy o </w:t>
      </w:r>
      <w:r w:rsidR="005D5C7A" w:rsidRPr="00026D3E">
        <w:rPr>
          <w:rFonts w:ascii="Times New Roman" w:hAnsi="Times New Roman" w:cs="Times New Roman"/>
          <w:sz w:val="24"/>
          <w:szCs w:val="24"/>
        </w:rPr>
        <w:lastRenderedPageBreak/>
        <w:t>uzavření dohody s Izraelem.</w:t>
      </w:r>
      <w:r w:rsidR="002A30E5" w:rsidRPr="00026D3E">
        <w:rPr>
          <w:rFonts w:ascii="Times New Roman" w:hAnsi="Times New Roman" w:cs="Times New Roman"/>
          <w:sz w:val="24"/>
          <w:szCs w:val="24"/>
        </w:rPr>
        <w:t xml:space="preserve"> (</w:t>
      </w:r>
      <w:r w:rsidR="00C65D8D" w:rsidRPr="00026D3E">
        <w:rPr>
          <w:rFonts w:ascii="Times New Roman" w:hAnsi="Times New Roman" w:cs="Times New Roman"/>
          <w:sz w:val="24"/>
          <w:szCs w:val="24"/>
        </w:rPr>
        <w:t>Hinnebusch 2002:</w:t>
      </w:r>
      <w:r w:rsidR="001E6494" w:rsidRPr="00026D3E">
        <w:rPr>
          <w:rFonts w:ascii="Times New Roman" w:hAnsi="Times New Roman" w:cs="Times New Roman"/>
          <w:sz w:val="24"/>
          <w:szCs w:val="24"/>
        </w:rPr>
        <w:t>154</w:t>
      </w:r>
      <w:r w:rsidR="00C65D8D" w:rsidRPr="00026D3E">
        <w:rPr>
          <w:rFonts w:ascii="Times New Roman" w:hAnsi="Times New Roman" w:cs="Times New Roman"/>
          <w:sz w:val="24"/>
          <w:szCs w:val="24"/>
        </w:rPr>
        <w:t>)</w:t>
      </w:r>
      <w:r w:rsidR="00BF09DE" w:rsidRPr="00026D3E">
        <w:rPr>
          <w:rFonts w:ascii="Times New Roman" w:hAnsi="Times New Roman" w:cs="Times New Roman"/>
          <w:sz w:val="24"/>
          <w:szCs w:val="24"/>
        </w:rPr>
        <w:t xml:space="preserve"> Levanta se </w:t>
      </w:r>
      <w:r w:rsidR="00A578DE" w:rsidRPr="00026D3E">
        <w:rPr>
          <w:rFonts w:ascii="Times New Roman" w:hAnsi="Times New Roman" w:cs="Times New Roman"/>
          <w:sz w:val="24"/>
          <w:szCs w:val="24"/>
        </w:rPr>
        <w:t>pro</w:t>
      </w:r>
      <w:r w:rsidR="00BF09DE" w:rsidRPr="00026D3E">
        <w:rPr>
          <w:rFonts w:ascii="Times New Roman" w:hAnsi="Times New Roman" w:cs="Times New Roman"/>
          <w:sz w:val="24"/>
          <w:szCs w:val="24"/>
        </w:rPr>
        <w:t xml:space="preserve"> něj stala novou arénou pro vzájemné soupeření</w:t>
      </w:r>
      <w:r w:rsidR="006A4954" w:rsidRPr="00026D3E">
        <w:rPr>
          <w:rFonts w:ascii="Times New Roman" w:hAnsi="Times New Roman" w:cs="Times New Roman"/>
          <w:sz w:val="24"/>
          <w:szCs w:val="24"/>
        </w:rPr>
        <w:t xml:space="preserve">. Do této logiky pak spadala také intervence Sýrie do probíhající občanské války v Libanonu na přelomu května a června roku 1976. Al-Asad bojoval v Libanonu proti Palestincům a podporoval křesťany, aby tak upřel Izraeli záminku pro jeho intervenci. Pouhý měsíc po syrské invazi se však konflikt dostal </w:t>
      </w:r>
      <w:r w:rsidR="00277BB4" w:rsidRPr="00026D3E">
        <w:rPr>
          <w:rFonts w:ascii="Times New Roman" w:hAnsi="Times New Roman" w:cs="Times New Roman"/>
          <w:sz w:val="24"/>
          <w:szCs w:val="24"/>
        </w:rPr>
        <w:br/>
      </w:r>
      <w:r w:rsidR="006A4954" w:rsidRPr="00026D3E">
        <w:rPr>
          <w:rFonts w:ascii="Times New Roman" w:hAnsi="Times New Roman" w:cs="Times New Roman"/>
          <w:sz w:val="24"/>
          <w:szCs w:val="24"/>
        </w:rPr>
        <w:t xml:space="preserve">do slepé uličky, al-Asadův primární cíl nebyl splněn a určitým způsobem se vzdálil </w:t>
      </w:r>
      <w:r w:rsidR="00277BB4" w:rsidRPr="00026D3E">
        <w:rPr>
          <w:rFonts w:ascii="Times New Roman" w:hAnsi="Times New Roman" w:cs="Times New Roman"/>
          <w:sz w:val="24"/>
          <w:szCs w:val="24"/>
        </w:rPr>
        <w:br/>
      </w:r>
      <w:r w:rsidR="006A4954" w:rsidRPr="00026D3E">
        <w:rPr>
          <w:rFonts w:ascii="Times New Roman" w:hAnsi="Times New Roman" w:cs="Times New Roman"/>
          <w:sz w:val="24"/>
          <w:szCs w:val="24"/>
        </w:rPr>
        <w:t>od hlavního proudu arabské politiky. (Seale 1988:288)</w:t>
      </w:r>
    </w:p>
    <w:p w:rsidR="003A546F" w:rsidRPr="00026D3E" w:rsidRDefault="001A0F71" w:rsidP="00451CB8">
      <w:pPr>
        <w:spacing w:line="360" w:lineRule="auto"/>
        <w:ind w:firstLine="708"/>
        <w:jc w:val="both"/>
        <w:rPr>
          <w:rFonts w:ascii="Times New Roman" w:hAnsi="Times New Roman" w:cs="Times New Roman"/>
          <w:sz w:val="24"/>
          <w:szCs w:val="24"/>
        </w:rPr>
      </w:pPr>
      <w:r w:rsidRPr="00026D3E">
        <w:rPr>
          <w:rFonts w:ascii="Times New Roman" w:hAnsi="Times New Roman" w:cs="Times New Roman"/>
          <w:sz w:val="24"/>
          <w:szCs w:val="24"/>
        </w:rPr>
        <w:t>Důležitou otázkou pro al-Asada bylo, jaký přístup k blízkovýchodní politice zvolí nově zvolený americký prezident Carter v listopadu 1976. (Seale 1988:290)</w:t>
      </w:r>
      <w:r w:rsidR="00AB6CA0" w:rsidRPr="00026D3E">
        <w:rPr>
          <w:rFonts w:ascii="Times New Roman" w:hAnsi="Times New Roman" w:cs="Times New Roman"/>
          <w:sz w:val="24"/>
          <w:szCs w:val="24"/>
        </w:rPr>
        <w:t xml:space="preserve"> Jejich sedmihodinový důkladný rozhovor na téma a</w:t>
      </w:r>
      <w:r w:rsidR="006749A0">
        <w:rPr>
          <w:rFonts w:ascii="Times New Roman" w:hAnsi="Times New Roman" w:cs="Times New Roman"/>
          <w:sz w:val="24"/>
          <w:szCs w:val="24"/>
        </w:rPr>
        <w:t xml:space="preserve">rabsko – izraelského konfliktu </w:t>
      </w:r>
      <w:r w:rsidR="00AB6CA0" w:rsidRPr="00026D3E">
        <w:rPr>
          <w:rFonts w:ascii="Times New Roman" w:hAnsi="Times New Roman" w:cs="Times New Roman"/>
          <w:sz w:val="24"/>
          <w:szCs w:val="24"/>
        </w:rPr>
        <w:t>v květnu 1977 se z počátku zdál být plodným, avšak v praktické rovině k</w:t>
      </w:r>
      <w:r w:rsidR="00A578DE" w:rsidRPr="00026D3E">
        <w:rPr>
          <w:rFonts w:ascii="Times New Roman" w:hAnsi="Times New Roman" w:cs="Times New Roman"/>
          <w:sz w:val="24"/>
          <w:szCs w:val="24"/>
        </w:rPr>
        <w:t>e skutečným</w:t>
      </w:r>
      <w:r w:rsidR="00AB6CA0" w:rsidRPr="00026D3E">
        <w:rPr>
          <w:rFonts w:ascii="Times New Roman" w:hAnsi="Times New Roman" w:cs="Times New Roman"/>
          <w:sz w:val="24"/>
          <w:szCs w:val="24"/>
        </w:rPr>
        <w:t xml:space="preserve"> vyjednáváním nikdy nedošlo. </w:t>
      </w:r>
      <w:r w:rsidR="00153E00">
        <w:rPr>
          <w:rFonts w:ascii="Times New Roman" w:hAnsi="Times New Roman" w:cs="Times New Roman"/>
          <w:sz w:val="24"/>
          <w:szCs w:val="24"/>
        </w:rPr>
        <w:t>Obratná</w:t>
      </w:r>
      <w:r w:rsidR="00AB6CA0" w:rsidRPr="00026D3E">
        <w:rPr>
          <w:rFonts w:ascii="Times New Roman" w:hAnsi="Times New Roman" w:cs="Times New Roman"/>
          <w:sz w:val="24"/>
          <w:szCs w:val="24"/>
        </w:rPr>
        <w:t xml:space="preserve"> politika izraelského ministerského předsedy Begina </w:t>
      </w:r>
      <w:r w:rsidR="00153E00">
        <w:rPr>
          <w:rFonts w:ascii="Times New Roman" w:hAnsi="Times New Roman" w:cs="Times New Roman"/>
          <w:sz w:val="24"/>
          <w:szCs w:val="24"/>
        </w:rPr>
        <w:t>překazila al-Asadovi</w:t>
      </w:r>
      <w:r w:rsidR="00AB6CA0" w:rsidRPr="00026D3E">
        <w:rPr>
          <w:rFonts w:ascii="Times New Roman" w:hAnsi="Times New Roman" w:cs="Times New Roman"/>
          <w:sz w:val="24"/>
          <w:szCs w:val="24"/>
        </w:rPr>
        <w:t xml:space="preserve"> </w:t>
      </w:r>
      <w:r w:rsidR="00153E00">
        <w:rPr>
          <w:rFonts w:ascii="Times New Roman" w:hAnsi="Times New Roman" w:cs="Times New Roman"/>
          <w:sz w:val="24"/>
          <w:szCs w:val="24"/>
        </w:rPr>
        <w:t>jeho snahu</w:t>
      </w:r>
      <w:r w:rsidR="00F712A3" w:rsidRPr="00026D3E">
        <w:rPr>
          <w:rFonts w:ascii="Times New Roman" w:hAnsi="Times New Roman" w:cs="Times New Roman"/>
          <w:sz w:val="24"/>
          <w:szCs w:val="24"/>
        </w:rPr>
        <w:t xml:space="preserve"> o sblížení se se Sadatem a skrze prostředníky si postupně </w:t>
      </w:r>
      <w:r w:rsidR="00A7711E" w:rsidRPr="00026D3E">
        <w:rPr>
          <w:rFonts w:ascii="Times New Roman" w:hAnsi="Times New Roman" w:cs="Times New Roman"/>
          <w:sz w:val="24"/>
          <w:szCs w:val="24"/>
        </w:rPr>
        <w:t>přisvojovala</w:t>
      </w:r>
      <w:r w:rsidR="00F712A3" w:rsidRPr="00026D3E">
        <w:rPr>
          <w:rFonts w:ascii="Times New Roman" w:hAnsi="Times New Roman" w:cs="Times New Roman"/>
          <w:sz w:val="24"/>
          <w:szCs w:val="24"/>
        </w:rPr>
        <w:t xml:space="preserve"> náklonnost egyptského prezidenta. </w:t>
      </w:r>
      <w:r w:rsidR="009C306F" w:rsidRPr="00026D3E">
        <w:rPr>
          <w:rFonts w:ascii="Times New Roman" w:hAnsi="Times New Roman" w:cs="Times New Roman"/>
          <w:sz w:val="24"/>
          <w:szCs w:val="24"/>
        </w:rPr>
        <w:t>Beginovy</w:t>
      </w:r>
      <w:r w:rsidR="00A7711E" w:rsidRPr="00026D3E">
        <w:rPr>
          <w:rFonts w:ascii="Times New Roman" w:hAnsi="Times New Roman" w:cs="Times New Roman"/>
          <w:sz w:val="24"/>
          <w:szCs w:val="24"/>
        </w:rPr>
        <w:t xml:space="preserve"> úmysly odstranit</w:t>
      </w:r>
      <w:r w:rsidR="009C306F" w:rsidRPr="00026D3E">
        <w:rPr>
          <w:rFonts w:ascii="Times New Roman" w:hAnsi="Times New Roman" w:cs="Times New Roman"/>
          <w:sz w:val="24"/>
          <w:szCs w:val="24"/>
        </w:rPr>
        <w:t xml:space="preserve"> svého</w:t>
      </w:r>
      <w:r w:rsidR="00A7711E" w:rsidRPr="00026D3E">
        <w:rPr>
          <w:rFonts w:ascii="Times New Roman" w:hAnsi="Times New Roman" w:cs="Times New Roman"/>
          <w:sz w:val="24"/>
          <w:szCs w:val="24"/>
        </w:rPr>
        <w:t xml:space="preserve"> hlavního nepř</w:t>
      </w:r>
      <w:r w:rsidR="006749A0">
        <w:rPr>
          <w:rFonts w:ascii="Times New Roman" w:hAnsi="Times New Roman" w:cs="Times New Roman"/>
          <w:sz w:val="24"/>
          <w:szCs w:val="24"/>
        </w:rPr>
        <w:t>ítele al-Asada ze hry, mu pomohl</w:t>
      </w:r>
      <w:r w:rsidR="00A7711E" w:rsidRPr="00026D3E">
        <w:rPr>
          <w:rFonts w:ascii="Times New Roman" w:hAnsi="Times New Roman" w:cs="Times New Roman"/>
          <w:sz w:val="24"/>
          <w:szCs w:val="24"/>
        </w:rPr>
        <w:t xml:space="preserve"> zprostředkovat rumunský prezident Nicolae Ceausescu, který se již delší dobu angažoval v mírovém procesu, marocký král Hasan a především jeho hlavní spojenec v regionu, íránský šáh Pahlaví. </w:t>
      </w:r>
      <w:r w:rsidR="00E6616D" w:rsidRPr="00026D3E">
        <w:rPr>
          <w:rFonts w:ascii="Times New Roman" w:hAnsi="Times New Roman" w:cs="Times New Roman"/>
          <w:sz w:val="24"/>
          <w:szCs w:val="24"/>
        </w:rPr>
        <w:t>(Seale 1988:303)</w:t>
      </w:r>
      <w:r w:rsidR="00A60B66" w:rsidRPr="00026D3E">
        <w:rPr>
          <w:rFonts w:ascii="Times New Roman" w:hAnsi="Times New Roman" w:cs="Times New Roman"/>
          <w:sz w:val="24"/>
          <w:szCs w:val="24"/>
        </w:rPr>
        <w:t xml:space="preserve"> </w:t>
      </w:r>
    </w:p>
    <w:p w:rsidR="00C53992" w:rsidRPr="00026D3E" w:rsidRDefault="00F34850" w:rsidP="00451CB8">
      <w:pPr>
        <w:spacing w:line="360" w:lineRule="auto"/>
        <w:ind w:firstLine="708"/>
        <w:jc w:val="both"/>
        <w:rPr>
          <w:rFonts w:ascii="Times New Roman" w:hAnsi="Times New Roman" w:cs="Times New Roman"/>
          <w:sz w:val="24"/>
          <w:szCs w:val="24"/>
        </w:rPr>
      </w:pPr>
      <w:r w:rsidRPr="00026D3E">
        <w:rPr>
          <w:rFonts w:ascii="Times New Roman" w:hAnsi="Times New Roman" w:cs="Times New Roman"/>
          <w:sz w:val="24"/>
          <w:szCs w:val="24"/>
        </w:rPr>
        <w:t>Počátek k</w:t>
      </w:r>
      <w:r w:rsidR="00153E00">
        <w:rPr>
          <w:rFonts w:ascii="Times New Roman" w:hAnsi="Times New Roman" w:cs="Times New Roman"/>
          <w:sz w:val="24"/>
          <w:szCs w:val="24"/>
        </w:rPr>
        <w:t>onečné fáze sbližování se Egypta</w:t>
      </w:r>
      <w:r w:rsidRPr="00026D3E">
        <w:rPr>
          <w:rFonts w:ascii="Times New Roman" w:hAnsi="Times New Roman" w:cs="Times New Roman"/>
          <w:sz w:val="24"/>
          <w:szCs w:val="24"/>
        </w:rPr>
        <w:t xml:space="preserve"> s Izraelem značila Sadatova cesta do Jeruzaléma v listopadu roku 1977. Prot</w:t>
      </w:r>
      <w:r w:rsidR="006749A0">
        <w:rPr>
          <w:rFonts w:ascii="Times New Roman" w:hAnsi="Times New Roman" w:cs="Times New Roman"/>
          <w:sz w:val="24"/>
          <w:szCs w:val="24"/>
        </w:rPr>
        <w:t>i tomuto kroku se ostře vymezila</w:t>
      </w:r>
      <w:r w:rsidRPr="00026D3E">
        <w:rPr>
          <w:rFonts w:ascii="Times New Roman" w:hAnsi="Times New Roman" w:cs="Times New Roman"/>
          <w:sz w:val="24"/>
          <w:szCs w:val="24"/>
        </w:rPr>
        <w:t xml:space="preserve"> především Sýrie, Lib</w:t>
      </w:r>
      <w:r w:rsidR="003A546F" w:rsidRPr="00026D3E">
        <w:rPr>
          <w:rFonts w:ascii="Times New Roman" w:hAnsi="Times New Roman" w:cs="Times New Roman"/>
          <w:sz w:val="24"/>
          <w:szCs w:val="24"/>
        </w:rPr>
        <w:t>ye, Jižní Jemen, Alžírsko a OOP a jako společné vyjádření odporu vůči Sadatovi z</w:t>
      </w:r>
      <w:r w:rsidRPr="00026D3E">
        <w:rPr>
          <w:rFonts w:ascii="Times New Roman" w:hAnsi="Times New Roman" w:cs="Times New Roman"/>
          <w:sz w:val="24"/>
          <w:szCs w:val="24"/>
        </w:rPr>
        <w:t>aložili</w:t>
      </w:r>
      <w:r w:rsidR="003A546F" w:rsidRPr="00026D3E">
        <w:rPr>
          <w:rFonts w:ascii="Times New Roman" w:hAnsi="Times New Roman" w:cs="Times New Roman"/>
          <w:sz w:val="24"/>
          <w:szCs w:val="24"/>
        </w:rPr>
        <w:t xml:space="preserve"> </w:t>
      </w:r>
      <w:r w:rsidR="006749A0">
        <w:rPr>
          <w:rFonts w:ascii="Times New Roman" w:hAnsi="Times New Roman" w:cs="Times New Roman"/>
          <w:sz w:val="24"/>
          <w:szCs w:val="24"/>
        </w:rPr>
        <w:t xml:space="preserve">o </w:t>
      </w:r>
      <w:r w:rsidR="003A546F" w:rsidRPr="00026D3E">
        <w:rPr>
          <w:rFonts w:ascii="Times New Roman" w:hAnsi="Times New Roman" w:cs="Times New Roman"/>
          <w:sz w:val="24"/>
          <w:szCs w:val="24"/>
        </w:rPr>
        <w:t xml:space="preserve">měsíc </w:t>
      </w:r>
      <w:r w:rsidR="006749A0">
        <w:rPr>
          <w:rFonts w:ascii="Times New Roman" w:hAnsi="Times New Roman" w:cs="Times New Roman"/>
          <w:sz w:val="24"/>
          <w:szCs w:val="24"/>
        </w:rPr>
        <w:t>později</w:t>
      </w:r>
      <w:r w:rsidRPr="00026D3E">
        <w:rPr>
          <w:rFonts w:ascii="Times New Roman" w:hAnsi="Times New Roman" w:cs="Times New Roman"/>
          <w:sz w:val="24"/>
          <w:szCs w:val="24"/>
        </w:rPr>
        <w:t xml:space="preserve"> </w:t>
      </w:r>
      <w:r w:rsidR="0070363E" w:rsidRPr="00026D3E">
        <w:rPr>
          <w:rFonts w:ascii="Times New Roman" w:hAnsi="Times New Roman" w:cs="Times New Roman"/>
          <w:sz w:val="24"/>
          <w:szCs w:val="24"/>
        </w:rPr>
        <w:t>Frontu pevného postoje</w:t>
      </w:r>
      <w:r w:rsidRPr="00026D3E">
        <w:rPr>
          <w:rFonts w:ascii="Times New Roman" w:hAnsi="Times New Roman" w:cs="Times New Roman"/>
          <w:sz w:val="24"/>
          <w:szCs w:val="24"/>
        </w:rPr>
        <w:t xml:space="preserve">. </w:t>
      </w:r>
      <w:r w:rsidR="00BD5BE9" w:rsidRPr="00026D3E">
        <w:rPr>
          <w:rFonts w:ascii="Times New Roman" w:hAnsi="Times New Roman" w:cs="Times New Roman"/>
          <w:sz w:val="24"/>
          <w:szCs w:val="24"/>
        </w:rPr>
        <w:t>Přestože Irák rovně</w:t>
      </w:r>
      <w:r w:rsidR="006749A0">
        <w:rPr>
          <w:rFonts w:ascii="Times New Roman" w:hAnsi="Times New Roman" w:cs="Times New Roman"/>
          <w:sz w:val="24"/>
          <w:szCs w:val="24"/>
        </w:rPr>
        <w:t>ž tvrdě kritizoval postup Egypta</w:t>
      </w:r>
      <w:r w:rsidR="00BD5BE9" w:rsidRPr="00026D3E">
        <w:rPr>
          <w:rFonts w:ascii="Times New Roman" w:hAnsi="Times New Roman" w:cs="Times New Roman"/>
          <w:sz w:val="24"/>
          <w:szCs w:val="24"/>
        </w:rPr>
        <w:t>, odmítl se k iniciativě přidat kvůli svému nepřátelskému postoji vůči Sýrii. Saudská Arábie</w:t>
      </w:r>
      <w:r w:rsidR="00A578DE" w:rsidRPr="00026D3E">
        <w:rPr>
          <w:rFonts w:ascii="Times New Roman" w:hAnsi="Times New Roman" w:cs="Times New Roman"/>
          <w:sz w:val="24"/>
          <w:szCs w:val="24"/>
        </w:rPr>
        <w:t xml:space="preserve"> však</w:t>
      </w:r>
      <w:r w:rsidR="00BD5BE9" w:rsidRPr="00026D3E">
        <w:rPr>
          <w:rFonts w:ascii="Times New Roman" w:hAnsi="Times New Roman" w:cs="Times New Roman"/>
          <w:sz w:val="24"/>
          <w:szCs w:val="24"/>
        </w:rPr>
        <w:t xml:space="preserve"> </w:t>
      </w:r>
      <w:r w:rsidR="008B0FD5" w:rsidRPr="00026D3E">
        <w:rPr>
          <w:rFonts w:ascii="Times New Roman" w:hAnsi="Times New Roman" w:cs="Times New Roman"/>
          <w:sz w:val="24"/>
          <w:szCs w:val="24"/>
        </w:rPr>
        <w:t xml:space="preserve">nadále poskytovala finanční podporu Egyptu až do jeho podpisu formální dohody s Izraelem. </w:t>
      </w:r>
      <w:r w:rsidR="00BD5BE9" w:rsidRPr="00026D3E">
        <w:rPr>
          <w:rFonts w:ascii="Times New Roman" w:hAnsi="Times New Roman" w:cs="Times New Roman"/>
          <w:sz w:val="24"/>
          <w:szCs w:val="24"/>
        </w:rPr>
        <w:t xml:space="preserve"> Jordánský král Husajn </w:t>
      </w:r>
      <w:r w:rsidR="00A578DE" w:rsidRPr="00026D3E">
        <w:rPr>
          <w:rFonts w:ascii="Times New Roman" w:hAnsi="Times New Roman" w:cs="Times New Roman"/>
          <w:sz w:val="24"/>
          <w:szCs w:val="24"/>
        </w:rPr>
        <w:t xml:space="preserve">také </w:t>
      </w:r>
      <w:r w:rsidR="003A546F" w:rsidRPr="00026D3E">
        <w:rPr>
          <w:rFonts w:ascii="Times New Roman" w:hAnsi="Times New Roman" w:cs="Times New Roman"/>
          <w:sz w:val="24"/>
          <w:szCs w:val="24"/>
        </w:rPr>
        <w:t xml:space="preserve">neodsoudil egyptského prezidenta okamžitě, snažil se manévrovat pro případ, že by z nové situace mohl nějak vytěžit, stejně tak ovšem nemohl podpořit mírový proces za absence širší arabské podpory. </w:t>
      </w:r>
      <w:r w:rsidR="007304D9" w:rsidRPr="00026D3E">
        <w:rPr>
          <w:rFonts w:ascii="Times New Roman" w:hAnsi="Times New Roman" w:cs="Times New Roman"/>
          <w:sz w:val="24"/>
          <w:szCs w:val="24"/>
        </w:rPr>
        <w:t xml:space="preserve">Odmítnutí krále Husajna přidat se jednoznačně na stranu Sýrie pak v důsledku zhoršilo jejich vzájemné vztahy. </w:t>
      </w:r>
      <w:r w:rsidR="00200C57" w:rsidRPr="00026D3E">
        <w:rPr>
          <w:rFonts w:ascii="Times New Roman" w:hAnsi="Times New Roman" w:cs="Times New Roman"/>
          <w:sz w:val="24"/>
          <w:szCs w:val="24"/>
        </w:rPr>
        <w:t>(Walt 1987:136</w:t>
      </w:r>
      <w:r w:rsidR="00C53992" w:rsidRPr="00026D3E">
        <w:rPr>
          <w:rFonts w:ascii="Times New Roman" w:hAnsi="Times New Roman" w:cs="Times New Roman"/>
          <w:sz w:val="24"/>
          <w:szCs w:val="24"/>
        </w:rPr>
        <w:t>)</w:t>
      </w:r>
    </w:p>
    <w:p w:rsidR="003E0BE9" w:rsidRPr="00026D3E" w:rsidRDefault="00EF5CC1" w:rsidP="00451CB8">
      <w:pPr>
        <w:spacing w:line="360" w:lineRule="auto"/>
        <w:ind w:firstLine="708"/>
        <w:jc w:val="both"/>
        <w:rPr>
          <w:rFonts w:ascii="Times New Roman" w:hAnsi="Times New Roman" w:cs="Times New Roman"/>
          <w:sz w:val="24"/>
          <w:szCs w:val="24"/>
        </w:rPr>
      </w:pPr>
      <w:r w:rsidRPr="00026D3E">
        <w:rPr>
          <w:rFonts w:ascii="Times New Roman" w:hAnsi="Times New Roman" w:cs="Times New Roman"/>
          <w:sz w:val="24"/>
          <w:szCs w:val="24"/>
        </w:rPr>
        <w:t>Celkový neúspěch syrského prezidenta v otázce spojenectví s Egyptem (a naopak úspěch pro íránského šáha) pak završil</w:t>
      </w:r>
      <w:r w:rsidR="003E0BE9" w:rsidRPr="00026D3E">
        <w:rPr>
          <w:rFonts w:ascii="Times New Roman" w:hAnsi="Times New Roman" w:cs="Times New Roman"/>
          <w:sz w:val="24"/>
          <w:szCs w:val="24"/>
        </w:rPr>
        <w:t xml:space="preserve">o téměř dvoutýdenní vyjednávání Sadata s Beginem </w:t>
      </w:r>
      <w:r w:rsidR="0050734D" w:rsidRPr="00026D3E">
        <w:rPr>
          <w:rFonts w:ascii="Times New Roman" w:hAnsi="Times New Roman" w:cs="Times New Roman"/>
          <w:sz w:val="24"/>
          <w:szCs w:val="24"/>
        </w:rPr>
        <w:br/>
      </w:r>
      <w:r w:rsidR="003E0BE9" w:rsidRPr="00026D3E">
        <w:rPr>
          <w:rFonts w:ascii="Times New Roman" w:hAnsi="Times New Roman" w:cs="Times New Roman"/>
          <w:sz w:val="24"/>
          <w:szCs w:val="24"/>
        </w:rPr>
        <w:t>a Carterem v americkém Camp David</w:t>
      </w:r>
      <w:r w:rsidR="00ED091A" w:rsidRPr="00026D3E">
        <w:rPr>
          <w:rFonts w:ascii="Times New Roman" w:hAnsi="Times New Roman" w:cs="Times New Roman"/>
          <w:sz w:val="24"/>
          <w:szCs w:val="24"/>
        </w:rPr>
        <w:t xml:space="preserve"> v září 1978</w:t>
      </w:r>
      <w:r w:rsidR="003E0BE9" w:rsidRPr="00026D3E">
        <w:rPr>
          <w:rFonts w:ascii="Times New Roman" w:hAnsi="Times New Roman" w:cs="Times New Roman"/>
          <w:sz w:val="24"/>
          <w:szCs w:val="24"/>
        </w:rPr>
        <w:t xml:space="preserve">, jehož výstupem byla memoranda </w:t>
      </w:r>
      <w:r w:rsidR="0050734D" w:rsidRPr="00026D3E">
        <w:rPr>
          <w:rFonts w:ascii="Times New Roman" w:hAnsi="Times New Roman" w:cs="Times New Roman"/>
          <w:sz w:val="24"/>
          <w:szCs w:val="24"/>
        </w:rPr>
        <w:br/>
      </w:r>
      <w:r w:rsidR="003E0BE9" w:rsidRPr="00026D3E">
        <w:rPr>
          <w:rFonts w:ascii="Times New Roman" w:hAnsi="Times New Roman" w:cs="Times New Roman"/>
          <w:sz w:val="24"/>
          <w:szCs w:val="24"/>
        </w:rPr>
        <w:t xml:space="preserve">o vzájemném porozumění v klíčových otázkách a jež bylo také přípravným krokem </w:t>
      </w:r>
      <w:r w:rsidR="0050734D" w:rsidRPr="00026D3E">
        <w:rPr>
          <w:rFonts w:ascii="Times New Roman" w:hAnsi="Times New Roman" w:cs="Times New Roman"/>
          <w:sz w:val="24"/>
          <w:szCs w:val="24"/>
        </w:rPr>
        <w:br/>
      </w:r>
      <w:r w:rsidR="003E0BE9" w:rsidRPr="00026D3E">
        <w:rPr>
          <w:rFonts w:ascii="Times New Roman" w:hAnsi="Times New Roman" w:cs="Times New Roman"/>
          <w:sz w:val="24"/>
          <w:szCs w:val="24"/>
        </w:rPr>
        <w:t xml:space="preserve">pro uzavření formální dohody v březnu následujícího roku 1979. </w:t>
      </w:r>
    </w:p>
    <w:p w:rsidR="00A4729B" w:rsidRPr="00026D3E" w:rsidRDefault="00C53992" w:rsidP="00451CB8">
      <w:pPr>
        <w:spacing w:line="360" w:lineRule="auto"/>
        <w:ind w:firstLine="708"/>
        <w:jc w:val="both"/>
        <w:rPr>
          <w:rFonts w:ascii="Times New Roman" w:hAnsi="Times New Roman" w:cs="Times New Roman"/>
          <w:sz w:val="24"/>
          <w:szCs w:val="24"/>
        </w:rPr>
      </w:pPr>
      <w:r w:rsidRPr="00026D3E">
        <w:rPr>
          <w:rFonts w:ascii="Times New Roman" w:hAnsi="Times New Roman" w:cs="Times New Roman"/>
          <w:sz w:val="24"/>
          <w:szCs w:val="24"/>
        </w:rPr>
        <w:lastRenderedPageBreak/>
        <w:t xml:space="preserve">Dynamičnost blízkovýchodního regionu lze </w:t>
      </w:r>
      <w:r w:rsidR="002752E2" w:rsidRPr="00026D3E">
        <w:rPr>
          <w:rFonts w:ascii="Times New Roman" w:hAnsi="Times New Roman" w:cs="Times New Roman"/>
          <w:sz w:val="24"/>
          <w:szCs w:val="24"/>
        </w:rPr>
        <w:t xml:space="preserve">také demonstrovat </w:t>
      </w:r>
      <w:r w:rsidRPr="00026D3E">
        <w:rPr>
          <w:rFonts w:ascii="Times New Roman" w:hAnsi="Times New Roman" w:cs="Times New Roman"/>
          <w:sz w:val="24"/>
          <w:szCs w:val="24"/>
        </w:rPr>
        <w:t>krátce na příkladu Sýrie a Iráku. Nakolik byly oba baasistické</w:t>
      </w:r>
      <w:r w:rsidR="003E6A1D">
        <w:rPr>
          <w:rFonts w:ascii="Times New Roman" w:hAnsi="Times New Roman" w:cs="Times New Roman"/>
          <w:sz w:val="24"/>
          <w:szCs w:val="24"/>
        </w:rPr>
        <w:t xml:space="preserve"> </w:t>
      </w:r>
      <w:r w:rsidR="0008719D">
        <w:rPr>
          <w:rStyle w:val="Znakapoznpodarou"/>
          <w:rFonts w:ascii="Times New Roman" w:hAnsi="Times New Roman" w:cs="Times New Roman"/>
          <w:sz w:val="24"/>
          <w:szCs w:val="24"/>
        </w:rPr>
        <w:footnoteReference w:id="9"/>
      </w:r>
      <w:r w:rsidRPr="00026D3E">
        <w:rPr>
          <w:rFonts w:ascii="Times New Roman" w:hAnsi="Times New Roman" w:cs="Times New Roman"/>
          <w:sz w:val="24"/>
          <w:szCs w:val="24"/>
        </w:rPr>
        <w:t xml:space="preserve"> režimy nepřátelské, </w:t>
      </w:r>
      <w:r w:rsidR="00A4729B" w:rsidRPr="00026D3E">
        <w:rPr>
          <w:rFonts w:ascii="Times New Roman" w:hAnsi="Times New Roman" w:cs="Times New Roman"/>
          <w:sz w:val="24"/>
          <w:szCs w:val="24"/>
        </w:rPr>
        <w:t xml:space="preserve">svedly je krátce dohromady okolnosti, jež oba vnímaly jako nebezpečné. Izraelská invaze do jižního Libanonu, především ale egyptská „kapitulace“ a vzestup radikálních šíitů v Íránu </w:t>
      </w:r>
      <w:r w:rsidR="003465DF" w:rsidRPr="00026D3E">
        <w:rPr>
          <w:rFonts w:ascii="Times New Roman" w:hAnsi="Times New Roman" w:cs="Times New Roman"/>
          <w:sz w:val="24"/>
          <w:szCs w:val="24"/>
        </w:rPr>
        <w:t>při</w:t>
      </w:r>
      <w:r w:rsidR="00A4729B" w:rsidRPr="00026D3E">
        <w:rPr>
          <w:rFonts w:ascii="Times New Roman" w:hAnsi="Times New Roman" w:cs="Times New Roman"/>
          <w:sz w:val="24"/>
          <w:szCs w:val="24"/>
        </w:rPr>
        <w:t xml:space="preserve">vedly oba režimy k diskuzím nad možnostmi vytvoření společné unie. (Walt 1987:136) Vedle syrského prezidenta podporoval tuto myšlenku irácký prezident al-Bakr.  Ten nyní už silně pociťoval rostoucí ambice svého zástupce Saddáma Husajna a projekt unie byl pro něj částečně pokusem o jeho přesunutí na vedlejší kolej, neboť v zamýšlené struktuře syrsko – irácké unie by se irácký prezident stal jejím předsedou a jeho pravou rukou by byl syrský prezident. Také zásluhou Husajna se však prakticky veškerá jednání setkala s neúspěchem a projekt </w:t>
      </w:r>
      <w:r w:rsidR="00135367" w:rsidRPr="00026D3E">
        <w:rPr>
          <w:rFonts w:ascii="Times New Roman" w:hAnsi="Times New Roman" w:cs="Times New Roman"/>
          <w:sz w:val="24"/>
          <w:szCs w:val="24"/>
        </w:rPr>
        <w:t xml:space="preserve">byl </w:t>
      </w:r>
      <w:r w:rsidR="00000D31" w:rsidRPr="00026D3E">
        <w:rPr>
          <w:rFonts w:ascii="Times New Roman" w:hAnsi="Times New Roman" w:cs="Times New Roman"/>
          <w:sz w:val="24"/>
          <w:szCs w:val="24"/>
        </w:rPr>
        <w:t xml:space="preserve">uložen definitivně k ledu okamžitě poté, co se Husajn v červenci 1979 stal prezidentem. </w:t>
      </w:r>
    </w:p>
    <w:p w:rsidR="00832F34" w:rsidRPr="00026D3E" w:rsidRDefault="002F54FE" w:rsidP="00C523A4">
      <w:pPr>
        <w:spacing w:line="360" w:lineRule="auto"/>
        <w:ind w:firstLine="708"/>
        <w:jc w:val="both"/>
        <w:rPr>
          <w:rFonts w:ascii="Times New Roman" w:hAnsi="Times New Roman" w:cs="Times New Roman"/>
          <w:sz w:val="24"/>
          <w:szCs w:val="24"/>
        </w:rPr>
      </w:pPr>
      <w:r w:rsidRPr="00026D3E">
        <w:rPr>
          <w:rFonts w:ascii="Times New Roman" w:hAnsi="Times New Roman" w:cs="Times New Roman"/>
          <w:sz w:val="24"/>
          <w:szCs w:val="24"/>
        </w:rPr>
        <w:t xml:space="preserve">Přes tyto neúspěchy lze konstatovat, že se al-Asad </w:t>
      </w:r>
      <w:r w:rsidR="008530B2" w:rsidRPr="00026D3E">
        <w:rPr>
          <w:rFonts w:ascii="Times New Roman" w:hAnsi="Times New Roman" w:cs="Times New Roman"/>
          <w:sz w:val="24"/>
          <w:szCs w:val="24"/>
        </w:rPr>
        <w:t xml:space="preserve"> výrazně zasloužil o zlepšení regionálního postavení Sýrie na aktéra, jehož zájmy nelze přehlížet. </w:t>
      </w:r>
      <w:r w:rsidR="00A27256" w:rsidRPr="00026D3E">
        <w:rPr>
          <w:rFonts w:ascii="Times New Roman" w:hAnsi="Times New Roman" w:cs="Times New Roman"/>
          <w:sz w:val="24"/>
          <w:szCs w:val="24"/>
        </w:rPr>
        <w:t xml:space="preserve">Sýrie na rozdíl od Íránu nedisponuje bohatými přírodními zdroji, nicméně skromné zásoby ropy, vnější pomoc a podpora v jejím boji proti Izraeli </w:t>
      </w:r>
      <w:r w:rsidR="00652EBF" w:rsidRPr="00026D3E">
        <w:rPr>
          <w:rFonts w:ascii="Times New Roman" w:hAnsi="Times New Roman" w:cs="Times New Roman"/>
          <w:sz w:val="24"/>
          <w:szCs w:val="24"/>
        </w:rPr>
        <w:t>a spojenectví se Sovětským svazem jí pomohli vybudovat vojenské síly, jež přesahovaly její domácí ekonomickou základnu. (Ehteshami, Hinnebusch 1997:200)</w:t>
      </w:r>
      <w:r w:rsidR="00C523A4">
        <w:rPr>
          <w:rFonts w:ascii="Times New Roman" w:hAnsi="Times New Roman" w:cs="Times New Roman"/>
          <w:sz w:val="24"/>
          <w:szCs w:val="24"/>
        </w:rPr>
        <w:t xml:space="preserve"> </w:t>
      </w:r>
      <w:r w:rsidR="009A3021" w:rsidRPr="00026D3E">
        <w:rPr>
          <w:rFonts w:ascii="Times New Roman" w:hAnsi="Times New Roman" w:cs="Times New Roman"/>
          <w:sz w:val="24"/>
          <w:szCs w:val="24"/>
        </w:rPr>
        <w:t xml:space="preserve">Region </w:t>
      </w:r>
      <w:r w:rsidR="00C523A4">
        <w:rPr>
          <w:rFonts w:ascii="Times New Roman" w:hAnsi="Times New Roman" w:cs="Times New Roman"/>
          <w:sz w:val="24"/>
          <w:szCs w:val="24"/>
        </w:rPr>
        <w:t>B</w:t>
      </w:r>
      <w:r w:rsidR="009A3021" w:rsidRPr="00026D3E">
        <w:rPr>
          <w:rFonts w:ascii="Times New Roman" w:hAnsi="Times New Roman" w:cs="Times New Roman"/>
          <w:sz w:val="24"/>
          <w:szCs w:val="24"/>
        </w:rPr>
        <w:t>lízkého východu byl</w:t>
      </w:r>
      <w:r w:rsidR="00A846BE" w:rsidRPr="00026D3E">
        <w:rPr>
          <w:rFonts w:ascii="Times New Roman" w:hAnsi="Times New Roman" w:cs="Times New Roman"/>
          <w:sz w:val="24"/>
          <w:szCs w:val="24"/>
        </w:rPr>
        <w:t xml:space="preserve"> (a zůstává)</w:t>
      </w:r>
      <w:r w:rsidR="009A3021" w:rsidRPr="00026D3E">
        <w:rPr>
          <w:rFonts w:ascii="Times New Roman" w:hAnsi="Times New Roman" w:cs="Times New Roman"/>
          <w:sz w:val="24"/>
          <w:szCs w:val="24"/>
        </w:rPr>
        <w:t xml:space="preserve"> oblastí velkého zájmu pro obě supervelmoci. </w:t>
      </w:r>
      <w:r w:rsidR="00AD0695" w:rsidRPr="00026D3E">
        <w:rPr>
          <w:rFonts w:ascii="Times New Roman" w:hAnsi="Times New Roman" w:cs="Times New Roman"/>
          <w:sz w:val="24"/>
          <w:szCs w:val="24"/>
        </w:rPr>
        <w:t xml:space="preserve">Vskutku, nelze opomenout jejich vliv v kontextu studené války. </w:t>
      </w:r>
      <w:r w:rsidR="00A846BE" w:rsidRPr="00026D3E">
        <w:rPr>
          <w:rFonts w:ascii="Times New Roman" w:hAnsi="Times New Roman" w:cs="Times New Roman"/>
          <w:sz w:val="24"/>
          <w:szCs w:val="24"/>
        </w:rPr>
        <w:t>Díky ropnému bohatství a strategické poloze se</w:t>
      </w:r>
      <w:r w:rsidR="00C523A4">
        <w:rPr>
          <w:rFonts w:ascii="Times New Roman" w:hAnsi="Times New Roman" w:cs="Times New Roman"/>
          <w:sz w:val="24"/>
          <w:szCs w:val="24"/>
        </w:rPr>
        <w:t xml:space="preserve"> v</w:t>
      </w:r>
      <w:r w:rsidR="00A846BE" w:rsidRPr="00026D3E">
        <w:rPr>
          <w:rFonts w:ascii="Times New Roman" w:hAnsi="Times New Roman" w:cs="Times New Roman"/>
          <w:sz w:val="24"/>
          <w:szCs w:val="24"/>
        </w:rPr>
        <w:t xml:space="preserve"> region</w:t>
      </w:r>
      <w:r w:rsidR="00C523A4">
        <w:rPr>
          <w:rFonts w:ascii="Times New Roman" w:hAnsi="Times New Roman" w:cs="Times New Roman"/>
          <w:sz w:val="24"/>
          <w:szCs w:val="24"/>
        </w:rPr>
        <w:t>u</w:t>
      </w:r>
      <w:r w:rsidR="00A846BE" w:rsidRPr="00026D3E">
        <w:rPr>
          <w:rFonts w:ascii="Times New Roman" w:hAnsi="Times New Roman" w:cs="Times New Roman"/>
          <w:sz w:val="24"/>
          <w:szCs w:val="24"/>
        </w:rPr>
        <w:t xml:space="preserve"> často </w:t>
      </w:r>
      <w:r w:rsidR="00C523A4">
        <w:rPr>
          <w:rFonts w:ascii="Times New Roman" w:hAnsi="Times New Roman" w:cs="Times New Roman"/>
          <w:sz w:val="24"/>
          <w:szCs w:val="24"/>
        </w:rPr>
        <w:t>koncentrovala soupeřivost</w:t>
      </w:r>
      <w:r w:rsidR="003465DF" w:rsidRPr="00026D3E">
        <w:rPr>
          <w:rFonts w:ascii="Times New Roman" w:hAnsi="Times New Roman" w:cs="Times New Roman"/>
          <w:sz w:val="24"/>
          <w:szCs w:val="24"/>
        </w:rPr>
        <w:t xml:space="preserve"> </w:t>
      </w:r>
      <w:r w:rsidR="00A846BE" w:rsidRPr="00026D3E">
        <w:rPr>
          <w:rFonts w:ascii="Times New Roman" w:hAnsi="Times New Roman" w:cs="Times New Roman"/>
          <w:sz w:val="24"/>
          <w:szCs w:val="24"/>
        </w:rPr>
        <w:t>Spojených států a Sovětského svazu.</w:t>
      </w:r>
      <w:r w:rsidR="00C523A4">
        <w:rPr>
          <w:rFonts w:ascii="Times New Roman" w:hAnsi="Times New Roman" w:cs="Times New Roman"/>
          <w:sz w:val="24"/>
          <w:szCs w:val="24"/>
        </w:rPr>
        <w:t xml:space="preserve"> Sbližování se Egypta</w:t>
      </w:r>
      <w:r w:rsidR="00A87452" w:rsidRPr="00026D3E">
        <w:rPr>
          <w:rFonts w:ascii="Times New Roman" w:hAnsi="Times New Roman" w:cs="Times New Roman"/>
          <w:sz w:val="24"/>
          <w:szCs w:val="24"/>
        </w:rPr>
        <w:t xml:space="preserve"> s Izraelem, které silně otřáslo poměrem sil na </w:t>
      </w:r>
      <w:r w:rsidR="00C523A4">
        <w:rPr>
          <w:rFonts w:ascii="Times New Roman" w:hAnsi="Times New Roman" w:cs="Times New Roman"/>
          <w:sz w:val="24"/>
          <w:szCs w:val="24"/>
        </w:rPr>
        <w:t>Blízkém východě</w:t>
      </w:r>
      <w:r w:rsidR="00A87452" w:rsidRPr="00026D3E">
        <w:rPr>
          <w:rFonts w:ascii="Times New Roman" w:hAnsi="Times New Roman" w:cs="Times New Roman"/>
          <w:sz w:val="24"/>
          <w:szCs w:val="24"/>
        </w:rPr>
        <w:t xml:space="preserve">, bylo ve skutečnosti silně ovlivněno diplomatickým soubojem dvou významných státníků.  </w:t>
      </w:r>
      <w:r w:rsidR="00227D6A">
        <w:rPr>
          <w:rFonts w:ascii="Times New Roman" w:hAnsi="Times New Roman" w:cs="Times New Roman"/>
          <w:sz w:val="24"/>
          <w:szCs w:val="24"/>
        </w:rPr>
        <w:t>V roce 1974 se střetnul</w:t>
      </w:r>
      <w:r w:rsidR="00DE1853" w:rsidRPr="00026D3E">
        <w:rPr>
          <w:rFonts w:ascii="Times New Roman" w:hAnsi="Times New Roman" w:cs="Times New Roman"/>
          <w:sz w:val="24"/>
          <w:szCs w:val="24"/>
        </w:rPr>
        <w:t xml:space="preserve"> </w:t>
      </w:r>
      <w:r w:rsidR="00A87452" w:rsidRPr="00026D3E">
        <w:rPr>
          <w:rFonts w:ascii="Times New Roman" w:hAnsi="Times New Roman" w:cs="Times New Roman"/>
          <w:sz w:val="24"/>
          <w:szCs w:val="24"/>
        </w:rPr>
        <w:t xml:space="preserve">Háfiz </w:t>
      </w:r>
      <w:r w:rsidR="00DE1853" w:rsidRPr="00026D3E">
        <w:rPr>
          <w:rFonts w:ascii="Times New Roman" w:hAnsi="Times New Roman" w:cs="Times New Roman"/>
          <w:sz w:val="24"/>
          <w:szCs w:val="24"/>
        </w:rPr>
        <w:t>al-Asad</w:t>
      </w:r>
      <w:r w:rsidR="00227D6A">
        <w:rPr>
          <w:rFonts w:ascii="Times New Roman" w:hAnsi="Times New Roman" w:cs="Times New Roman"/>
          <w:sz w:val="24"/>
          <w:szCs w:val="24"/>
        </w:rPr>
        <w:t xml:space="preserve"> v ostrém politickém souboji</w:t>
      </w:r>
      <w:r w:rsidR="00DE1853" w:rsidRPr="00026D3E">
        <w:rPr>
          <w:rFonts w:ascii="Times New Roman" w:hAnsi="Times New Roman" w:cs="Times New Roman"/>
          <w:sz w:val="24"/>
          <w:szCs w:val="24"/>
        </w:rPr>
        <w:t xml:space="preserve"> s Henry Kissengerem v otázce Golanských výšin, jejichž navrácení bylo dlouhodobým zájmem syrského prezidenta. Al-Asad souhlasil se zprostředkováním syrsko – izraelských vyjednávání Spojenými státy, a tak po dobu jednoho měsíce od konce dubna do konce května probíhaly intenzivní debaty mezi státníky.</w:t>
      </w:r>
      <w:r w:rsidR="008E7AD9" w:rsidRPr="00026D3E">
        <w:rPr>
          <w:rFonts w:ascii="Times New Roman" w:hAnsi="Times New Roman" w:cs="Times New Roman"/>
          <w:sz w:val="24"/>
          <w:szCs w:val="24"/>
        </w:rPr>
        <w:t xml:space="preserve"> (Seale 1988:244)</w:t>
      </w:r>
      <w:r w:rsidR="00DE1853" w:rsidRPr="00026D3E">
        <w:rPr>
          <w:rFonts w:ascii="Times New Roman" w:hAnsi="Times New Roman" w:cs="Times New Roman"/>
          <w:sz w:val="24"/>
          <w:szCs w:val="24"/>
        </w:rPr>
        <w:t xml:space="preserve"> Kissingerovy návštěvy Damašku byly sledovány s velkým zájme</w:t>
      </w:r>
      <w:r w:rsidR="00A87452" w:rsidRPr="00026D3E">
        <w:rPr>
          <w:rFonts w:ascii="Times New Roman" w:hAnsi="Times New Roman" w:cs="Times New Roman"/>
          <w:sz w:val="24"/>
          <w:szCs w:val="24"/>
        </w:rPr>
        <w:t>m médií –</w:t>
      </w:r>
      <w:r w:rsidR="00455FCA" w:rsidRPr="00026D3E">
        <w:rPr>
          <w:rFonts w:ascii="Times New Roman" w:hAnsi="Times New Roman" w:cs="Times New Roman"/>
          <w:sz w:val="24"/>
          <w:szCs w:val="24"/>
        </w:rPr>
        <w:t xml:space="preserve"> </w:t>
      </w:r>
      <w:r w:rsidR="00A87452" w:rsidRPr="00026D3E">
        <w:rPr>
          <w:rFonts w:ascii="Times New Roman" w:hAnsi="Times New Roman" w:cs="Times New Roman"/>
          <w:sz w:val="24"/>
          <w:szCs w:val="24"/>
        </w:rPr>
        <w:t xml:space="preserve">debaty </w:t>
      </w:r>
      <w:r w:rsidR="00455FCA" w:rsidRPr="00026D3E">
        <w:rPr>
          <w:rFonts w:ascii="Times New Roman" w:hAnsi="Times New Roman" w:cs="Times New Roman"/>
          <w:sz w:val="24"/>
          <w:szCs w:val="24"/>
        </w:rPr>
        <w:t xml:space="preserve">obou mužů byly především soubojem inteligence a diplomatických schopností, kterými </w:t>
      </w:r>
      <w:r w:rsidR="00A87452" w:rsidRPr="00026D3E">
        <w:rPr>
          <w:rFonts w:ascii="Times New Roman" w:hAnsi="Times New Roman" w:cs="Times New Roman"/>
          <w:sz w:val="24"/>
          <w:szCs w:val="24"/>
        </w:rPr>
        <w:t>oba dva oplývali</w:t>
      </w:r>
      <w:r w:rsidR="00455FCA" w:rsidRPr="00026D3E">
        <w:rPr>
          <w:rFonts w:ascii="Times New Roman" w:hAnsi="Times New Roman" w:cs="Times New Roman"/>
          <w:sz w:val="24"/>
          <w:szCs w:val="24"/>
        </w:rPr>
        <w:t xml:space="preserve">. </w:t>
      </w:r>
      <w:r w:rsidR="004B6FDC" w:rsidRPr="00026D3E">
        <w:rPr>
          <w:rFonts w:ascii="Times New Roman" w:hAnsi="Times New Roman" w:cs="Times New Roman"/>
          <w:sz w:val="24"/>
          <w:szCs w:val="24"/>
        </w:rPr>
        <w:t xml:space="preserve">Kissinger však nikdy neměl zájem o urovnání sporů mezi Sýrií a Izraelem, jeho skutečným cílem bylo sblížení Izraele s Egyptem, jehož vyřazení z proti izraelské koalice by </w:t>
      </w:r>
      <w:r w:rsidR="004307DB" w:rsidRPr="00026D3E">
        <w:rPr>
          <w:rFonts w:ascii="Times New Roman" w:hAnsi="Times New Roman" w:cs="Times New Roman"/>
          <w:sz w:val="24"/>
          <w:szCs w:val="24"/>
        </w:rPr>
        <w:t>zanechalo</w:t>
      </w:r>
      <w:r w:rsidR="004B6FDC" w:rsidRPr="00026D3E">
        <w:rPr>
          <w:rFonts w:ascii="Times New Roman" w:hAnsi="Times New Roman" w:cs="Times New Roman"/>
          <w:sz w:val="24"/>
          <w:szCs w:val="24"/>
        </w:rPr>
        <w:t xml:space="preserve"> </w:t>
      </w:r>
      <w:r w:rsidR="006A1235" w:rsidRPr="00026D3E">
        <w:rPr>
          <w:rFonts w:ascii="Times New Roman" w:hAnsi="Times New Roman" w:cs="Times New Roman"/>
          <w:sz w:val="24"/>
          <w:szCs w:val="24"/>
        </w:rPr>
        <w:t>Syřany, Palestince a Jordánce</w:t>
      </w:r>
      <w:r w:rsidR="004B6FDC" w:rsidRPr="00026D3E">
        <w:rPr>
          <w:rFonts w:ascii="Times New Roman" w:hAnsi="Times New Roman" w:cs="Times New Roman"/>
          <w:sz w:val="24"/>
          <w:szCs w:val="24"/>
        </w:rPr>
        <w:t xml:space="preserve"> značně oslabené. </w:t>
      </w:r>
      <w:r w:rsidR="008E7AD9" w:rsidRPr="00026D3E">
        <w:rPr>
          <w:rFonts w:ascii="Times New Roman" w:hAnsi="Times New Roman" w:cs="Times New Roman"/>
          <w:sz w:val="24"/>
          <w:szCs w:val="24"/>
        </w:rPr>
        <w:t xml:space="preserve">(Seale 1988:246) </w:t>
      </w:r>
      <w:r w:rsidR="004B6FDC" w:rsidRPr="00026D3E">
        <w:rPr>
          <w:rFonts w:ascii="Times New Roman" w:hAnsi="Times New Roman" w:cs="Times New Roman"/>
          <w:sz w:val="24"/>
          <w:szCs w:val="24"/>
        </w:rPr>
        <w:t xml:space="preserve">Toho se mu podařilo dosáhnout v roce 1975 dohodou Egyptu s Izraelem, která vešla ve známost jako Sinaj II. </w:t>
      </w:r>
    </w:p>
    <w:p w:rsidR="00DC0702" w:rsidRPr="00026D3E" w:rsidRDefault="00FE6341" w:rsidP="00B366B9">
      <w:pPr>
        <w:spacing w:line="360" w:lineRule="auto"/>
        <w:ind w:firstLine="708"/>
        <w:jc w:val="both"/>
        <w:rPr>
          <w:rFonts w:ascii="Times New Roman" w:hAnsi="Times New Roman" w:cs="Times New Roman"/>
          <w:sz w:val="24"/>
          <w:szCs w:val="24"/>
        </w:rPr>
      </w:pPr>
      <w:r w:rsidRPr="00026D3E">
        <w:rPr>
          <w:rFonts w:ascii="Times New Roman" w:hAnsi="Times New Roman" w:cs="Times New Roman"/>
          <w:sz w:val="24"/>
          <w:szCs w:val="24"/>
        </w:rPr>
        <w:lastRenderedPageBreak/>
        <w:t>S</w:t>
      </w:r>
      <w:r w:rsidR="00DC0702" w:rsidRPr="00026D3E">
        <w:rPr>
          <w:rFonts w:ascii="Times New Roman" w:hAnsi="Times New Roman" w:cs="Times New Roman"/>
          <w:sz w:val="24"/>
          <w:szCs w:val="24"/>
        </w:rPr>
        <w:t xml:space="preserve">yrský prezident zakusil </w:t>
      </w:r>
      <w:r w:rsidRPr="00026D3E">
        <w:rPr>
          <w:rFonts w:ascii="Times New Roman" w:hAnsi="Times New Roman" w:cs="Times New Roman"/>
          <w:sz w:val="24"/>
          <w:szCs w:val="24"/>
        </w:rPr>
        <w:t>silnou diplomatickou porážku. Jeho pragmatičnost ho však od počátku vedla k tomu, aby měl otevřená zadní vrátka, a tak i v průběhu sbližování se s Američany udržoval přátelské vztahy se Sověty. Al-Assadova už tak velmi opatrná důvěra v</w:t>
      </w:r>
      <w:r w:rsidR="00BC4643" w:rsidRPr="00026D3E">
        <w:rPr>
          <w:rFonts w:ascii="Times New Roman" w:hAnsi="Times New Roman" w:cs="Times New Roman"/>
          <w:sz w:val="24"/>
          <w:szCs w:val="24"/>
        </w:rPr>
        <w:t xml:space="preserve"> Američany nyní zcela zmizela a začal se </w:t>
      </w:r>
      <w:r w:rsidR="002449FE">
        <w:rPr>
          <w:rFonts w:ascii="Times New Roman" w:hAnsi="Times New Roman" w:cs="Times New Roman"/>
          <w:sz w:val="24"/>
          <w:szCs w:val="24"/>
        </w:rPr>
        <w:t xml:space="preserve">Sověty navazovat užší kontakty. </w:t>
      </w:r>
    </w:p>
    <w:p w:rsidR="00AF1DE9" w:rsidRPr="00026D3E" w:rsidRDefault="000C55B5" w:rsidP="00B366B9">
      <w:pPr>
        <w:spacing w:line="360" w:lineRule="auto"/>
        <w:ind w:firstLine="708"/>
        <w:jc w:val="both"/>
        <w:rPr>
          <w:rFonts w:ascii="Times New Roman" w:hAnsi="Times New Roman" w:cs="Times New Roman"/>
          <w:sz w:val="24"/>
          <w:szCs w:val="24"/>
        </w:rPr>
      </w:pPr>
      <w:r w:rsidRPr="00026D3E">
        <w:rPr>
          <w:rFonts w:ascii="Times New Roman" w:hAnsi="Times New Roman" w:cs="Times New Roman"/>
          <w:sz w:val="24"/>
          <w:szCs w:val="24"/>
        </w:rPr>
        <w:t>Spojenecké svazk</w:t>
      </w:r>
      <w:r w:rsidR="00B366B9">
        <w:rPr>
          <w:rFonts w:ascii="Times New Roman" w:hAnsi="Times New Roman" w:cs="Times New Roman"/>
          <w:sz w:val="24"/>
          <w:szCs w:val="24"/>
        </w:rPr>
        <w:t>y Íránu na Blízkém východě</w:t>
      </w:r>
      <w:r w:rsidRPr="00026D3E">
        <w:rPr>
          <w:rFonts w:ascii="Times New Roman" w:hAnsi="Times New Roman" w:cs="Times New Roman"/>
          <w:sz w:val="24"/>
          <w:szCs w:val="24"/>
        </w:rPr>
        <w:t xml:space="preserve"> i na globální úrovni byly podstatně stabilnější než ty syrské.  Š</w:t>
      </w:r>
      <w:r w:rsidR="00144EFB" w:rsidRPr="00026D3E">
        <w:rPr>
          <w:rFonts w:ascii="Times New Roman" w:hAnsi="Times New Roman" w:cs="Times New Roman"/>
          <w:sz w:val="24"/>
          <w:szCs w:val="24"/>
        </w:rPr>
        <w:t xml:space="preserve">áh byl </w:t>
      </w:r>
      <w:r w:rsidR="00E66355" w:rsidRPr="00026D3E">
        <w:rPr>
          <w:rFonts w:ascii="Times New Roman" w:hAnsi="Times New Roman" w:cs="Times New Roman"/>
          <w:sz w:val="24"/>
          <w:szCs w:val="24"/>
        </w:rPr>
        <w:t xml:space="preserve">od počátku své vlády </w:t>
      </w:r>
      <w:r w:rsidR="00144EFB" w:rsidRPr="00026D3E">
        <w:rPr>
          <w:rFonts w:ascii="Times New Roman" w:hAnsi="Times New Roman" w:cs="Times New Roman"/>
          <w:sz w:val="24"/>
          <w:szCs w:val="24"/>
        </w:rPr>
        <w:t xml:space="preserve">silně proamerický a proizraelský. Až do revoluce byl členem regionální </w:t>
      </w:r>
      <w:r w:rsidR="00E66355" w:rsidRPr="00026D3E">
        <w:rPr>
          <w:rFonts w:ascii="Times New Roman" w:hAnsi="Times New Roman" w:cs="Times New Roman"/>
          <w:sz w:val="24"/>
          <w:szCs w:val="24"/>
        </w:rPr>
        <w:t>organizace Bagdádský pakt, která</w:t>
      </w:r>
      <w:r w:rsidR="00144EFB" w:rsidRPr="00026D3E">
        <w:rPr>
          <w:rFonts w:ascii="Times New Roman" w:hAnsi="Times New Roman" w:cs="Times New Roman"/>
          <w:sz w:val="24"/>
          <w:szCs w:val="24"/>
        </w:rPr>
        <w:t xml:space="preserve"> </w:t>
      </w:r>
      <w:r w:rsidR="00B366B9">
        <w:rPr>
          <w:rFonts w:ascii="Times New Roman" w:hAnsi="Times New Roman" w:cs="Times New Roman"/>
          <w:sz w:val="24"/>
          <w:szCs w:val="24"/>
        </w:rPr>
        <w:t xml:space="preserve">představovala bariéru proti </w:t>
      </w:r>
      <w:r w:rsidRPr="00026D3E">
        <w:rPr>
          <w:rFonts w:ascii="Times New Roman" w:hAnsi="Times New Roman" w:cs="Times New Roman"/>
          <w:sz w:val="24"/>
          <w:szCs w:val="24"/>
        </w:rPr>
        <w:t>pronikání komunismu do regionu</w:t>
      </w:r>
      <w:r w:rsidR="0050734D" w:rsidRPr="00B366B9">
        <w:rPr>
          <w:rFonts w:ascii="Times New Roman" w:hAnsi="Times New Roman" w:cs="Times New Roman"/>
          <w:sz w:val="24"/>
          <w:szCs w:val="24"/>
        </w:rPr>
        <w:t>,</w:t>
      </w:r>
      <w:r w:rsidRPr="00026D3E">
        <w:rPr>
          <w:rFonts w:ascii="Times New Roman" w:hAnsi="Times New Roman" w:cs="Times New Roman"/>
          <w:sz w:val="24"/>
          <w:szCs w:val="24"/>
        </w:rPr>
        <w:t xml:space="preserve"> a která se po vystoupení Iráku přejmenovala n</w:t>
      </w:r>
      <w:r w:rsidR="00E31A50">
        <w:rPr>
          <w:rFonts w:ascii="Times New Roman" w:hAnsi="Times New Roman" w:cs="Times New Roman"/>
          <w:sz w:val="24"/>
          <w:szCs w:val="24"/>
        </w:rPr>
        <w:t xml:space="preserve">a Centrální smluvní organizaci. </w:t>
      </w:r>
      <w:r w:rsidR="00144EFB" w:rsidRPr="00026D3E">
        <w:rPr>
          <w:rFonts w:ascii="Times New Roman" w:hAnsi="Times New Roman" w:cs="Times New Roman"/>
          <w:sz w:val="24"/>
          <w:szCs w:val="24"/>
        </w:rPr>
        <w:t>Írán</w:t>
      </w:r>
      <w:r w:rsidR="00E31A50">
        <w:rPr>
          <w:rFonts w:ascii="Times New Roman" w:hAnsi="Times New Roman" w:cs="Times New Roman"/>
          <w:sz w:val="24"/>
          <w:szCs w:val="24"/>
        </w:rPr>
        <w:t xml:space="preserve"> udržoval na Blízkém východě</w:t>
      </w:r>
      <w:r w:rsidR="00144EFB" w:rsidRPr="00026D3E">
        <w:rPr>
          <w:rFonts w:ascii="Times New Roman" w:hAnsi="Times New Roman" w:cs="Times New Roman"/>
          <w:sz w:val="24"/>
          <w:szCs w:val="24"/>
        </w:rPr>
        <w:t xml:space="preserve"> velice podobnou síť spřátelených států té Americké</w:t>
      </w:r>
      <w:r w:rsidR="00FA59AD" w:rsidRPr="00026D3E">
        <w:rPr>
          <w:rFonts w:ascii="Times New Roman" w:hAnsi="Times New Roman" w:cs="Times New Roman"/>
          <w:sz w:val="24"/>
          <w:szCs w:val="24"/>
        </w:rPr>
        <w:t xml:space="preserve"> (vyjma Saudské Arábie)</w:t>
      </w:r>
      <w:r w:rsidR="00144EFB" w:rsidRPr="00026D3E">
        <w:rPr>
          <w:rFonts w:ascii="Times New Roman" w:hAnsi="Times New Roman" w:cs="Times New Roman"/>
          <w:sz w:val="24"/>
          <w:szCs w:val="24"/>
        </w:rPr>
        <w:t xml:space="preserve">. </w:t>
      </w:r>
      <w:r w:rsidR="000B7379" w:rsidRPr="00026D3E">
        <w:rPr>
          <w:rFonts w:ascii="Times New Roman" w:hAnsi="Times New Roman" w:cs="Times New Roman"/>
          <w:sz w:val="24"/>
          <w:szCs w:val="24"/>
        </w:rPr>
        <w:t xml:space="preserve">Díky odlišné zeměpisné poloze nebyl přímo vtažen do arabsko – izraelského konfliktu tak jako Sýrie, jeho strategické zájmy ležely především v oblasti Perského zálivu. </w:t>
      </w:r>
      <w:r w:rsidR="00FA59AD" w:rsidRPr="00026D3E">
        <w:rPr>
          <w:rFonts w:ascii="Times New Roman" w:hAnsi="Times New Roman" w:cs="Times New Roman"/>
          <w:sz w:val="24"/>
          <w:szCs w:val="24"/>
        </w:rPr>
        <w:t xml:space="preserve">Šáh </w:t>
      </w:r>
      <w:r w:rsidR="0008175C" w:rsidRPr="00026D3E">
        <w:rPr>
          <w:rFonts w:ascii="Times New Roman" w:hAnsi="Times New Roman" w:cs="Times New Roman"/>
          <w:sz w:val="24"/>
          <w:szCs w:val="24"/>
        </w:rPr>
        <w:t>usiloval v sedmdesátých letech o</w:t>
      </w:r>
      <w:r w:rsidR="00E66355" w:rsidRPr="00026D3E">
        <w:rPr>
          <w:rFonts w:ascii="Times New Roman" w:hAnsi="Times New Roman" w:cs="Times New Roman"/>
          <w:sz w:val="24"/>
          <w:szCs w:val="24"/>
        </w:rPr>
        <w:t xml:space="preserve"> status dominantního aktéra v Zálivu</w:t>
      </w:r>
      <w:r w:rsidR="00482D66" w:rsidRPr="00026D3E">
        <w:rPr>
          <w:rStyle w:val="Znakapoznpodarou"/>
          <w:rFonts w:ascii="Times New Roman" w:hAnsi="Times New Roman" w:cs="Times New Roman"/>
          <w:sz w:val="24"/>
          <w:szCs w:val="24"/>
        </w:rPr>
        <w:footnoteReference w:id="10"/>
      </w:r>
      <w:r w:rsidR="00E66355" w:rsidRPr="00026D3E">
        <w:rPr>
          <w:rFonts w:ascii="Times New Roman" w:hAnsi="Times New Roman" w:cs="Times New Roman"/>
          <w:sz w:val="24"/>
          <w:szCs w:val="24"/>
        </w:rPr>
        <w:t xml:space="preserve">, </w:t>
      </w:r>
      <w:r w:rsidR="0008175C" w:rsidRPr="00026D3E">
        <w:rPr>
          <w:rFonts w:ascii="Times New Roman" w:hAnsi="Times New Roman" w:cs="Times New Roman"/>
          <w:sz w:val="24"/>
          <w:szCs w:val="24"/>
        </w:rPr>
        <w:t>podporován Američany a Brity výměnou za dodáv</w:t>
      </w:r>
      <w:r w:rsidR="00E31A50">
        <w:rPr>
          <w:rFonts w:ascii="Times New Roman" w:hAnsi="Times New Roman" w:cs="Times New Roman"/>
          <w:sz w:val="24"/>
          <w:szCs w:val="24"/>
        </w:rPr>
        <w:t>ky ropy. Jeho vztahy se svým i</w:t>
      </w:r>
      <w:r w:rsidR="0008175C" w:rsidRPr="00026D3E">
        <w:rPr>
          <w:rFonts w:ascii="Times New Roman" w:hAnsi="Times New Roman" w:cs="Times New Roman"/>
          <w:sz w:val="24"/>
          <w:szCs w:val="24"/>
        </w:rPr>
        <w:t>ráckým sousedem provázely značné komplikace</w:t>
      </w:r>
      <w:r w:rsidR="000C6EAD" w:rsidRPr="00026D3E">
        <w:rPr>
          <w:rFonts w:ascii="Times New Roman" w:hAnsi="Times New Roman" w:cs="Times New Roman"/>
          <w:sz w:val="24"/>
          <w:szCs w:val="24"/>
        </w:rPr>
        <w:t xml:space="preserve"> zejména v Kurdské otázce a</w:t>
      </w:r>
      <w:r w:rsidR="0008175C" w:rsidRPr="00026D3E">
        <w:rPr>
          <w:rFonts w:ascii="Times New Roman" w:hAnsi="Times New Roman" w:cs="Times New Roman"/>
          <w:sz w:val="24"/>
          <w:szCs w:val="24"/>
        </w:rPr>
        <w:t xml:space="preserve"> hraničních sporech. Spory byly urovnány v roce 1975 Alžírskou dohodou, která mimo jiné neformálně potvrdila status Íránu jako dominantního </w:t>
      </w:r>
      <w:r w:rsidR="00775723">
        <w:rPr>
          <w:rFonts w:ascii="Times New Roman" w:hAnsi="Times New Roman" w:cs="Times New Roman"/>
          <w:sz w:val="24"/>
          <w:szCs w:val="24"/>
        </w:rPr>
        <w:t xml:space="preserve">hráče </w:t>
      </w:r>
      <w:r w:rsidR="0008175C" w:rsidRPr="00026D3E">
        <w:rPr>
          <w:rFonts w:ascii="Times New Roman" w:hAnsi="Times New Roman" w:cs="Times New Roman"/>
          <w:sz w:val="24"/>
          <w:szCs w:val="24"/>
        </w:rPr>
        <w:t xml:space="preserve">v regionu. V sedmdesátých letech se šáh </w:t>
      </w:r>
      <w:r w:rsidR="000C6EAD" w:rsidRPr="00026D3E">
        <w:rPr>
          <w:rFonts w:ascii="Times New Roman" w:hAnsi="Times New Roman" w:cs="Times New Roman"/>
          <w:sz w:val="24"/>
          <w:szCs w:val="24"/>
        </w:rPr>
        <w:t>v souladu s Američany a Izraelci sbližoval</w:t>
      </w:r>
      <w:r w:rsidR="0008175C" w:rsidRPr="00026D3E">
        <w:rPr>
          <w:rFonts w:ascii="Times New Roman" w:hAnsi="Times New Roman" w:cs="Times New Roman"/>
          <w:sz w:val="24"/>
          <w:szCs w:val="24"/>
        </w:rPr>
        <w:t xml:space="preserve"> se Sadatem</w:t>
      </w:r>
      <w:r w:rsidR="000C6EAD" w:rsidRPr="00026D3E">
        <w:rPr>
          <w:rFonts w:ascii="Times New Roman" w:hAnsi="Times New Roman" w:cs="Times New Roman"/>
          <w:sz w:val="24"/>
          <w:szCs w:val="24"/>
        </w:rPr>
        <w:t xml:space="preserve">. </w:t>
      </w:r>
      <w:r w:rsidR="00AF1DE9" w:rsidRPr="00026D3E">
        <w:rPr>
          <w:rFonts w:ascii="Times New Roman" w:hAnsi="Times New Roman" w:cs="Times New Roman"/>
          <w:sz w:val="24"/>
          <w:szCs w:val="24"/>
        </w:rPr>
        <w:t xml:space="preserve">Sýrie a Írán </w:t>
      </w:r>
      <w:r w:rsidR="00775723">
        <w:rPr>
          <w:rFonts w:ascii="Times New Roman" w:hAnsi="Times New Roman" w:cs="Times New Roman"/>
          <w:sz w:val="24"/>
          <w:szCs w:val="24"/>
        </w:rPr>
        <w:t>stáli</w:t>
      </w:r>
      <w:r w:rsidR="00C86878" w:rsidRPr="00026D3E">
        <w:rPr>
          <w:rFonts w:ascii="Times New Roman" w:hAnsi="Times New Roman" w:cs="Times New Roman"/>
          <w:sz w:val="24"/>
          <w:szCs w:val="24"/>
        </w:rPr>
        <w:t xml:space="preserve"> v</w:t>
      </w:r>
      <w:r w:rsidR="00775723">
        <w:rPr>
          <w:rFonts w:ascii="Times New Roman" w:hAnsi="Times New Roman" w:cs="Times New Roman"/>
          <w:sz w:val="24"/>
          <w:szCs w:val="24"/>
        </w:rPr>
        <w:t> arabsko – izraelském konfliktu každý na jiné straně</w:t>
      </w:r>
      <w:r w:rsidR="00A81B05" w:rsidRPr="00026D3E">
        <w:rPr>
          <w:rFonts w:ascii="Times New Roman" w:hAnsi="Times New Roman" w:cs="Times New Roman"/>
          <w:sz w:val="24"/>
          <w:szCs w:val="24"/>
        </w:rPr>
        <w:t xml:space="preserve"> a byly tak nepřátelskými státy. </w:t>
      </w:r>
      <w:r w:rsidR="00C86878" w:rsidRPr="00026D3E">
        <w:rPr>
          <w:rFonts w:ascii="Times New Roman" w:hAnsi="Times New Roman" w:cs="Times New Roman"/>
          <w:sz w:val="24"/>
          <w:szCs w:val="24"/>
        </w:rPr>
        <w:t xml:space="preserve">V roce 1979 se však situace změnila. </w:t>
      </w:r>
    </w:p>
    <w:p w:rsidR="00FE0903" w:rsidRDefault="00FE0903" w:rsidP="004B1043">
      <w:pPr>
        <w:spacing w:line="360" w:lineRule="auto"/>
        <w:jc w:val="both"/>
        <w:rPr>
          <w:rFonts w:ascii="Times New Roman" w:hAnsi="Times New Roman" w:cs="Times New Roman"/>
          <w:b/>
          <w:sz w:val="24"/>
          <w:szCs w:val="24"/>
        </w:rPr>
      </w:pPr>
    </w:p>
    <w:p w:rsidR="00775723" w:rsidRDefault="00775723" w:rsidP="004B1043">
      <w:pPr>
        <w:spacing w:line="360" w:lineRule="auto"/>
        <w:jc w:val="both"/>
        <w:rPr>
          <w:rFonts w:ascii="Times New Roman" w:hAnsi="Times New Roman" w:cs="Times New Roman"/>
          <w:b/>
          <w:sz w:val="24"/>
          <w:szCs w:val="24"/>
        </w:rPr>
      </w:pPr>
    </w:p>
    <w:p w:rsidR="00775723" w:rsidRDefault="00775723" w:rsidP="004B1043">
      <w:pPr>
        <w:spacing w:line="360" w:lineRule="auto"/>
        <w:jc w:val="both"/>
        <w:rPr>
          <w:rFonts w:ascii="Times New Roman" w:hAnsi="Times New Roman" w:cs="Times New Roman"/>
          <w:b/>
          <w:sz w:val="24"/>
          <w:szCs w:val="24"/>
        </w:rPr>
      </w:pPr>
    </w:p>
    <w:p w:rsidR="00775723" w:rsidRDefault="00775723" w:rsidP="004B1043">
      <w:pPr>
        <w:spacing w:line="360" w:lineRule="auto"/>
        <w:jc w:val="both"/>
        <w:rPr>
          <w:rFonts w:ascii="Times New Roman" w:hAnsi="Times New Roman" w:cs="Times New Roman"/>
          <w:b/>
          <w:sz w:val="24"/>
          <w:szCs w:val="24"/>
        </w:rPr>
      </w:pPr>
    </w:p>
    <w:p w:rsidR="00775723" w:rsidRDefault="00775723" w:rsidP="004B1043">
      <w:pPr>
        <w:spacing w:line="360" w:lineRule="auto"/>
        <w:jc w:val="both"/>
        <w:rPr>
          <w:rFonts w:ascii="Times New Roman" w:hAnsi="Times New Roman" w:cs="Times New Roman"/>
          <w:b/>
          <w:sz w:val="24"/>
          <w:szCs w:val="24"/>
        </w:rPr>
      </w:pPr>
    </w:p>
    <w:p w:rsidR="00775723" w:rsidRPr="00026D3E" w:rsidRDefault="00775723" w:rsidP="004B1043">
      <w:pPr>
        <w:spacing w:line="360" w:lineRule="auto"/>
        <w:jc w:val="both"/>
        <w:rPr>
          <w:rFonts w:ascii="Times New Roman" w:hAnsi="Times New Roman" w:cs="Times New Roman"/>
          <w:b/>
          <w:sz w:val="24"/>
          <w:szCs w:val="24"/>
        </w:rPr>
      </w:pPr>
    </w:p>
    <w:p w:rsidR="003B6873" w:rsidRPr="00B84248" w:rsidRDefault="00972DFD" w:rsidP="00B84248">
      <w:pPr>
        <w:pStyle w:val="Nadpis2"/>
      </w:pPr>
      <w:bookmarkStart w:id="4" w:name="_Toc354703578"/>
      <w:r w:rsidRPr="00B84248">
        <w:lastRenderedPageBreak/>
        <w:t xml:space="preserve">2.2 </w:t>
      </w:r>
      <w:r w:rsidR="00FE0903" w:rsidRPr="00B84248">
        <w:t>Mezinárodní vztahy Sýrie a Íránu po odchodu šáha</w:t>
      </w:r>
      <w:bookmarkEnd w:id="4"/>
    </w:p>
    <w:p w:rsidR="00FF0FEE" w:rsidRPr="00026D3E" w:rsidRDefault="00CE3F71" w:rsidP="006D0299">
      <w:pPr>
        <w:spacing w:line="360" w:lineRule="auto"/>
        <w:ind w:firstLine="708"/>
        <w:jc w:val="both"/>
        <w:rPr>
          <w:rFonts w:ascii="Times New Roman" w:hAnsi="Times New Roman" w:cs="Times New Roman"/>
          <w:sz w:val="24"/>
          <w:szCs w:val="24"/>
        </w:rPr>
      </w:pPr>
      <w:r w:rsidRPr="00026D3E">
        <w:rPr>
          <w:rFonts w:ascii="Times New Roman" w:hAnsi="Times New Roman" w:cs="Times New Roman"/>
          <w:sz w:val="24"/>
          <w:szCs w:val="24"/>
        </w:rPr>
        <w:t>V době, kdy v Írá</w:t>
      </w:r>
      <w:r w:rsidR="006D0299">
        <w:rPr>
          <w:rFonts w:ascii="Times New Roman" w:hAnsi="Times New Roman" w:cs="Times New Roman"/>
          <w:sz w:val="24"/>
          <w:szCs w:val="24"/>
        </w:rPr>
        <w:t>nu vypukla revoluce, se a</w:t>
      </w:r>
      <w:r w:rsidRPr="00026D3E">
        <w:rPr>
          <w:rFonts w:ascii="Times New Roman" w:hAnsi="Times New Roman" w:cs="Times New Roman"/>
          <w:sz w:val="24"/>
          <w:szCs w:val="24"/>
        </w:rPr>
        <w:t>rabský politický řád</w:t>
      </w:r>
      <w:r w:rsidR="006D0299">
        <w:rPr>
          <w:rFonts w:ascii="Times New Roman" w:hAnsi="Times New Roman" w:cs="Times New Roman"/>
          <w:sz w:val="24"/>
          <w:szCs w:val="24"/>
        </w:rPr>
        <w:t xml:space="preserve"> nacházel</w:t>
      </w:r>
      <w:r w:rsidRPr="00026D3E">
        <w:rPr>
          <w:rFonts w:ascii="Times New Roman" w:hAnsi="Times New Roman" w:cs="Times New Roman"/>
          <w:sz w:val="24"/>
          <w:szCs w:val="24"/>
        </w:rPr>
        <w:t xml:space="preserve"> značně oslabený. Neschopnost Arabsk</w:t>
      </w:r>
      <w:r w:rsidR="006D0299">
        <w:rPr>
          <w:rFonts w:ascii="Times New Roman" w:hAnsi="Times New Roman" w:cs="Times New Roman"/>
          <w:sz w:val="24"/>
          <w:szCs w:val="24"/>
        </w:rPr>
        <w:t>ých zemí jakkoli vytěžit z</w:t>
      </w:r>
      <w:r w:rsidRPr="00026D3E">
        <w:rPr>
          <w:rFonts w:ascii="Times New Roman" w:hAnsi="Times New Roman" w:cs="Times New Roman"/>
          <w:sz w:val="24"/>
          <w:szCs w:val="24"/>
        </w:rPr>
        <w:t xml:space="preserve"> částečného úspěchu říjnové arabsko – izraelské války z roku 1973, přetrvávající konflikt v Libanon</w:t>
      </w:r>
      <w:r w:rsidR="006D0299">
        <w:rPr>
          <w:rFonts w:ascii="Times New Roman" w:hAnsi="Times New Roman" w:cs="Times New Roman"/>
          <w:sz w:val="24"/>
          <w:szCs w:val="24"/>
        </w:rPr>
        <w:t>u a především usmíření se Egypta s Izraelem způsobilo mezi Araby zmatek</w:t>
      </w:r>
      <w:r w:rsidR="00316481" w:rsidRPr="00026D3E">
        <w:rPr>
          <w:rFonts w:ascii="Times New Roman" w:hAnsi="Times New Roman" w:cs="Times New Roman"/>
          <w:sz w:val="24"/>
          <w:szCs w:val="24"/>
        </w:rPr>
        <w:t>. (Goodarzi 2006:12)</w:t>
      </w:r>
      <w:r w:rsidR="006150CE" w:rsidRPr="00026D3E">
        <w:rPr>
          <w:rFonts w:ascii="Times New Roman" w:hAnsi="Times New Roman" w:cs="Times New Roman"/>
          <w:sz w:val="24"/>
          <w:szCs w:val="24"/>
        </w:rPr>
        <w:t xml:space="preserve"> </w:t>
      </w:r>
      <w:r w:rsidR="00FF0FEE" w:rsidRPr="00026D3E">
        <w:rPr>
          <w:rFonts w:ascii="Times New Roman" w:hAnsi="Times New Roman" w:cs="Times New Roman"/>
          <w:sz w:val="24"/>
          <w:szCs w:val="24"/>
        </w:rPr>
        <w:t xml:space="preserve">Překotné změny </w:t>
      </w:r>
      <w:r w:rsidR="0050734D" w:rsidRPr="00026D3E">
        <w:rPr>
          <w:rFonts w:ascii="Times New Roman" w:hAnsi="Times New Roman" w:cs="Times New Roman"/>
          <w:sz w:val="24"/>
          <w:szCs w:val="24"/>
        </w:rPr>
        <w:br/>
      </w:r>
      <w:r w:rsidR="006D0299">
        <w:rPr>
          <w:rFonts w:ascii="Times New Roman" w:hAnsi="Times New Roman" w:cs="Times New Roman"/>
          <w:sz w:val="24"/>
          <w:szCs w:val="24"/>
        </w:rPr>
        <w:t>ve vztazích na Blízkém východě</w:t>
      </w:r>
      <w:r w:rsidR="00FF0FEE" w:rsidRPr="00026D3E">
        <w:rPr>
          <w:rFonts w:ascii="Times New Roman" w:hAnsi="Times New Roman" w:cs="Times New Roman"/>
          <w:sz w:val="24"/>
          <w:szCs w:val="24"/>
        </w:rPr>
        <w:t xml:space="preserve"> na konci sedmdesátých let pak vyvrcholily revolucí v Íránu. </w:t>
      </w:r>
    </w:p>
    <w:p w:rsidR="0057373E" w:rsidRPr="00026D3E" w:rsidRDefault="00E94CC4" w:rsidP="006D0299">
      <w:pPr>
        <w:spacing w:line="360" w:lineRule="auto"/>
        <w:ind w:firstLine="708"/>
        <w:jc w:val="both"/>
        <w:rPr>
          <w:rFonts w:ascii="Times New Roman" w:hAnsi="Times New Roman" w:cs="Times New Roman"/>
          <w:sz w:val="24"/>
          <w:szCs w:val="24"/>
        </w:rPr>
      </w:pPr>
      <w:r w:rsidRPr="00026D3E">
        <w:rPr>
          <w:rFonts w:ascii="Times New Roman" w:hAnsi="Times New Roman" w:cs="Times New Roman"/>
          <w:sz w:val="24"/>
          <w:szCs w:val="24"/>
        </w:rPr>
        <w:t>Svrhnutí šáha bylo jedním z nejdůležitějších milníků v m</w:t>
      </w:r>
      <w:r w:rsidR="006D0299">
        <w:rPr>
          <w:rFonts w:ascii="Times New Roman" w:hAnsi="Times New Roman" w:cs="Times New Roman"/>
          <w:sz w:val="24"/>
          <w:szCs w:val="24"/>
        </w:rPr>
        <w:t>oderní historii B</w:t>
      </w:r>
      <w:r w:rsidRPr="00026D3E">
        <w:rPr>
          <w:rFonts w:ascii="Times New Roman" w:hAnsi="Times New Roman" w:cs="Times New Roman"/>
          <w:sz w:val="24"/>
          <w:szCs w:val="24"/>
        </w:rPr>
        <w:t xml:space="preserve">lízkého východu. Vedlo k zásadním změnám jak v Íránu, tak v celém regionu. Nový vůdce, ajatolláh Chomejní, začal směřovat íránskou politiku zcela opačným směrem než jeho předchůdce. </w:t>
      </w:r>
      <w:r w:rsidR="00336943" w:rsidRPr="00026D3E">
        <w:rPr>
          <w:rFonts w:ascii="Times New Roman" w:hAnsi="Times New Roman" w:cs="Times New Roman"/>
          <w:sz w:val="24"/>
          <w:szCs w:val="24"/>
        </w:rPr>
        <w:t xml:space="preserve">Vůči </w:t>
      </w:r>
      <w:r w:rsidR="004E7E20" w:rsidRPr="00026D3E">
        <w:rPr>
          <w:rFonts w:ascii="Times New Roman" w:hAnsi="Times New Roman" w:cs="Times New Roman"/>
          <w:sz w:val="24"/>
          <w:szCs w:val="24"/>
        </w:rPr>
        <w:t>hlavním</w:t>
      </w:r>
      <w:r w:rsidR="00336943" w:rsidRPr="00026D3E">
        <w:rPr>
          <w:rFonts w:ascii="Times New Roman" w:hAnsi="Times New Roman" w:cs="Times New Roman"/>
          <w:sz w:val="24"/>
          <w:szCs w:val="24"/>
        </w:rPr>
        <w:t xml:space="preserve"> spojencům šáha zaujal nový íránský režim nep</w:t>
      </w:r>
      <w:r w:rsidR="006D0299">
        <w:rPr>
          <w:rFonts w:ascii="Times New Roman" w:hAnsi="Times New Roman" w:cs="Times New Roman"/>
          <w:sz w:val="24"/>
          <w:szCs w:val="24"/>
        </w:rPr>
        <w:t>řátelský postoj. Na Blízkém východě</w:t>
      </w:r>
      <w:r w:rsidR="00336943" w:rsidRPr="00026D3E">
        <w:rPr>
          <w:rFonts w:ascii="Times New Roman" w:hAnsi="Times New Roman" w:cs="Times New Roman"/>
          <w:sz w:val="24"/>
          <w:szCs w:val="24"/>
        </w:rPr>
        <w:t xml:space="preserve"> zpřetrhal kontakty především s Izraelem a Egyptem, na globální úrovni pak se Spojenými státy. </w:t>
      </w:r>
      <w:r w:rsidR="008A0990" w:rsidRPr="00026D3E">
        <w:rPr>
          <w:rFonts w:ascii="Times New Roman" w:hAnsi="Times New Roman" w:cs="Times New Roman"/>
          <w:sz w:val="24"/>
          <w:szCs w:val="24"/>
        </w:rPr>
        <w:t xml:space="preserve">Arabské země byly událostmi v Íránu alarmovány. </w:t>
      </w:r>
      <w:r w:rsidR="00C949EA" w:rsidRPr="00026D3E">
        <w:rPr>
          <w:rFonts w:ascii="Times New Roman" w:hAnsi="Times New Roman" w:cs="Times New Roman"/>
          <w:sz w:val="24"/>
          <w:szCs w:val="24"/>
        </w:rPr>
        <w:t>Mnohé z nich, včetně Saudské Arábie, Jordánska, Egyptu a Iráku se cítily ohroženy novo</w:t>
      </w:r>
      <w:r w:rsidR="006D0299">
        <w:rPr>
          <w:rFonts w:ascii="Times New Roman" w:hAnsi="Times New Roman" w:cs="Times New Roman"/>
          <w:sz w:val="24"/>
          <w:szCs w:val="24"/>
        </w:rPr>
        <w:t>u rétorikou Teheránu a nesdílely</w:t>
      </w:r>
      <w:r w:rsidR="00C949EA" w:rsidRPr="00026D3E">
        <w:rPr>
          <w:rFonts w:ascii="Times New Roman" w:hAnsi="Times New Roman" w:cs="Times New Roman"/>
          <w:sz w:val="24"/>
          <w:szCs w:val="24"/>
        </w:rPr>
        <w:t xml:space="preserve"> tak syrský entusiasmus pro nový ír</w:t>
      </w:r>
      <w:r w:rsidR="006150CE" w:rsidRPr="00026D3E">
        <w:rPr>
          <w:rFonts w:ascii="Times New Roman" w:hAnsi="Times New Roman" w:cs="Times New Roman"/>
          <w:sz w:val="24"/>
          <w:szCs w:val="24"/>
        </w:rPr>
        <w:t xml:space="preserve">ánský režim. (Goodarzi 2006:22) </w:t>
      </w:r>
      <w:r w:rsidR="008A0990" w:rsidRPr="00026D3E">
        <w:rPr>
          <w:rFonts w:ascii="Times New Roman" w:hAnsi="Times New Roman" w:cs="Times New Roman"/>
          <w:sz w:val="24"/>
          <w:szCs w:val="24"/>
        </w:rPr>
        <w:t>Chomejní nejen</w:t>
      </w:r>
      <w:r w:rsidR="006D0299">
        <w:rPr>
          <w:rFonts w:ascii="Times New Roman" w:hAnsi="Times New Roman" w:cs="Times New Roman"/>
          <w:sz w:val="24"/>
          <w:szCs w:val="24"/>
        </w:rPr>
        <w:t>že</w:t>
      </w:r>
      <w:r w:rsidR="008A0990" w:rsidRPr="00026D3E">
        <w:rPr>
          <w:rFonts w:ascii="Times New Roman" w:hAnsi="Times New Roman" w:cs="Times New Roman"/>
          <w:sz w:val="24"/>
          <w:szCs w:val="24"/>
        </w:rPr>
        <w:t xml:space="preserve"> prosadil islamistický režim v Íránu, t</w:t>
      </w:r>
      <w:r w:rsidR="006D0299">
        <w:rPr>
          <w:rFonts w:ascii="Times New Roman" w:hAnsi="Times New Roman" w:cs="Times New Roman"/>
          <w:sz w:val="24"/>
          <w:szCs w:val="24"/>
        </w:rPr>
        <w:t>aké veřejně hlásal nutnost vyvéz</w:t>
      </w:r>
      <w:r w:rsidR="008A0990" w:rsidRPr="00026D3E">
        <w:rPr>
          <w:rFonts w:ascii="Times New Roman" w:hAnsi="Times New Roman" w:cs="Times New Roman"/>
          <w:sz w:val="24"/>
          <w:szCs w:val="24"/>
        </w:rPr>
        <w:t>t islámský fundamentalismus za hranice země. S ohledem na skladbu obyvatelstva byl důležitým cílem zejména</w:t>
      </w:r>
      <w:r w:rsidR="00275837" w:rsidRPr="00026D3E">
        <w:rPr>
          <w:rFonts w:ascii="Times New Roman" w:hAnsi="Times New Roman" w:cs="Times New Roman"/>
          <w:sz w:val="24"/>
          <w:szCs w:val="24"/>
        </w:rPr>
        <w:t xml:space="preserve"> sousední</w:t>
      </w:r>
      <w:r w:rsidR="008A0990" w:rsidRPr="00026D3E">
        <w:rPr>
          <w:rFonts w:ascii="Times New Roman" w:hAnsi="Times New Roman" w:cs="Times New Roman"/>
          <w:sz w:val="24"/>
          <w:szCs w:val="24"/>
        </w:rPr>
        <w:t xml:space="preserve"> Irák. F</w:t>
      </w:r>
      <w:r w:rsidR="006D0299">
        <w:rPr>
          <w:rFonts w:ascii="Times New Roman" w:hAnsi="Times New Roman" w:cs="Times New Roman"/>
          <w:sz w:val="24"/>
          <w:szCs w:val="24"/>
        </w:rPr>
        <w:t>akt, že zhruba šedesát procent I</w:t>
      </w:r>
      <w:r w:rsidR="008A0990" w:rsidRPr="00026D3E">
        <w:rPr>
          <w:rFonts w:ascii="Times New Roman" w:hAnsi="Times New Roman" w:cs="Times New Roman"/>
          <w:sz w:val="24"/>
          <w:szCs w:val="24"/>
        </w:rPr>
        <w:t>ráčanů se hlásilo k šíitské větvi islámu</w:t>
      </w:r>
      <w:r w:rsidR="0050734D" w:rsidRPr="00026D3E">
        <w:rPr>
          <w:rFonts w:ascii="Times New Roman" w:hAnsi="Times New Roman" w:cs="Times New Roman"/>
          <w:sz w:val="24"/>
          <w:szCs w:val="24"/>
        </w:rPr>
        <w:t>,</w:t>
      </w:r>
      <w:r w:rsidR="008A0990" w:rsidRPr="00026D3E">
        <w:rPr>
          <w:rFonts w:ascii="Times New Roman" w:hAnsi="Times New Roman" w:cs="Times New Roman"/>
          <w:sz w:val="24"/>
          <w:szCs w:val="24"/>
        </w:rPr>
        <w:t xml:space="preserve"> představoval obzvlášť lákavý cíl pro export </w:t>
      </w:r>
      <w:r w:rsidR="00275837" w:rsidRPr="00026D3E">
        <w:rPr>
          <w:rFonts w:ascii="Times New Roman" w:hAnsi="Times New Roman" w:cs="Times New Roman"/>
          <w:sz w:val="24"/>
          <w:szCs w:val="24"/>
        </w:rPr>
        <w:t xml:space="preserve">islámské revoluce. </w:t>
      </w:r>
      <w:r w:rsidR="008A0990" w:rsidRPr="00026D3E">
        <w:rPr>
          <w:rFonts w:ascii="Times New Roman" w:hAnsi="Times New Roman" w:cs="Times New Roman"/>
          <w:sz w:val="24"/>
          <w:szCs w:val="24"/>
        </w:rPr>
        <w:t xml:space="preserve"> </w:t>
      </w:r>
      <w:r w:rsidR="00EB216A" w:rsidRPr="00026D3E">
        <w:rPr>
          <w:rFonts w:ascii="Times New Roman" w:hAnsi="Times New Roman" w:cs="Times New Roman"/>
          <w:sz w:val="24"/>
          <w:szCs w:val="24"/>
        </w:rPr>
        <w:t>Ačkoliv</w:t>
      </w:r>
      <w:r w:rsidR="00C722B7" w:rsidRPr="00026D3E">
        <w:rPr>
          <w:rFonts w:ascii="Times New Roman" w:hAnsi="Times New Roman" w:cs="Times New Roman"/>
          <w:sz w:val="24"/>
          <w:szCs w:val="24"/>
        </w:rPr>
        <w:t xml:space="preserve"> se Saddám Husajn snažil udržet s</w:t>
      </w:r>
      <w:r w:rsidR="00EB216A" w:rsidRPr="00026D3E">
        <w:rPr>
          <w:rFonts w:ascii="Times New Roman" w:hAnsi="Times New Roman" w:cs="Times New Roman"/>
          <w:sz w:val="24"/>
          <w:szCs w:val="24"/>
        </w:rPr>
        <w:t> </w:t>
      </w:r>
      <w:r w:rsidR="00C722B7" w:rsidRPr="00026D3E">
        <w:rPr>
          <w:rFonts w:ascii="Times New Roman" w:hAnsi="Times New Roman" w:cs="Times New Roman"/>
          <w:sz w:val="24"/>
          <w:szCs w:val="24"/>
        </w:rPr>
        <w:t>Chomejním</w:t>
      </w:r>
      <w:r w:rsidR="00EB216A" w:rsidRPr="00026D3E">
        <w:rPr>
          <w:rFonts w:ascii="Times New Roman" w:hAnsi="Times New Roman" w:cs="Times New Roman"/>
          <w:sz w:val="24"/>
          <w:szCs w:val="24"/>
        </w:rPr>
        <w:t xml:space="preserve"> zpočátku dobré vztahy</w:t>
      </w:r>
      <w:r w:rsidR="00C722B7" w:rsidRPr="00026D3E">
        <w:rPr>
          <w:rFonts w:ascii="Times New Roman" w:hAnsi="Times New Roman" w:cs="Times New Roman"/>
          <w:sz w:val="24"/>
          <w:szCs w:val="24"/>
        </w:rPr>
        <w:t>, brzy zjistil, že vzájemná diskuze je vyloučena.</w:t>
      </w:r>
      <w:r w:rsidR="00CB7E82" w:rsidRPr="00026D3E">
        <w:rPr>
          <w:rFonts w:ascii="Times New Roman" w:hAnsi="Times New Roman" w:cs="Times New Roman"/>
          <w:sz w:val="24"/>
          <w:szCs w:val="24"/>
        </w:rPr>
        <w:t xml:space="preserve"> Íránská média již od června 1979 podnikala aktivní </w:t>
      </w:r>
      <w:r w:rsidR="00880576" w:rsidRPr="00026D3E">
        <w:rPr>
          <w:rFonts w:ascii="Times New Roman" w:hAnsi="Times New Roman" w:cs="Times New Roman"/>
          <w:sz w:val="24"/>
          <w:szCs w:val="24"/>
        </w:rPr>
        <w:t>proti-irá</w:t>
      </w:r>
      <w:r w:rsidR="006D0299">
        <w:rPr>
          <w:rFonts w:ascii="Times New Roman" w:hAnsi="Times New Roman" w:cs="Times New Roman"/>
          <w:sz w:val="24"/>
          <w:szCs w:val="24"/>
        </w:rPr>
        <w:t>ckou kampaň, ve které pobízela I</w:t>
      </w:r>
      <w:r w:rsidR="00880576" w:rsidRPr="00026D3E">
        <w:rPr>
          <w:rFonts w:ascii="Times New Roman" w:hAnsi="Times New Roman" w:cs="Times New Roman"/>
          <w:sz w:val="24"/>
          <w:szCs w:val="24"/>
        </w:rPr>
        <w:t xml:space="preserve">ráčany ke svrhnutí baasistického režimu. Mezi oběma zeměmi se rozhořely staré územní spory, </w:t>
      </w:r>
      <w:r w:rsidR="006D0299">
        <w:rPr>
          <w:rFonts w:ascii="Times New Roman" w:hAnsi="Times New Roman" w:cs="Times New Roman"/>
          <w:sz w:val="24"/>
          <w:szCs w:val="24"/>
        </w:rPr>
        <w:t>do</w:t>
      </w:r>
      <w:r w:rsidR="00880576" w:rsidRPr="00026D3E">
        <w:rPr>
          <w:rFonts w:ascii="Times New Roman" w:hAnsi="Times New Roman" w:cs="Times New Roman"/>
          <w:sz w:val="24"/>
          <w:szCs w:val="24"/>
        </w:rPr>
        <w:t>provázené pokusy o vz</w:t>
      </w:r>
      <w:r w:rsidR="006D0299">
        <w:rPr>
          <w:rFonts w:ascii="Times New Roman" w:hAnsi="Times New Roman" w:cs="Times New Roman"/>
          <w:sz w:val="24"/>
          <w:szCs w:val="24"/>
        </w:rPr>
        <w:t>ájemnou destabilizaci podporou k</w:t>
      </w:r>
      <w:r w:rsidR="00880576" w:rsidRPr="00026D3E">
        <w:rPr>
          <w:rFonts w:ascii="Times New Roman" w:hAnsi="Times New Roman" w:cs="Times New Roman"/>
          <w:sz w:val="24"/>
          <w:szCs w:val="24"/>
        </w:rPr>
        <w:t>u</w:t>
      </w:r>
      <w:r w:rsidR="006D0299">
        <w:rPr>
          <w:rFonts w:ascii="Times New Roman" w:hAnsi="Times New Roman" w:cs="Times New Roman"/>
          <w:sz w:val="24"/>
          <w:szCs w:val="24"/>
        </w:rPr>
        <w:t>rdského separatismu v Iráku či a</w:t>
      </w:r>
      <w:r w:rsidR="00880576" w:rsidRPr="00026D3E">
        <w:rPr>
          <w:rFonts w:ascii="Times New Roman" w:hAnsi="Times New Roman" w:cs="Times New Roman"/>
          <w:sz w:val="24"/>
          <w:szCs w:val="24"/>
        </w:rPr>
        <w:t xml:space="preserve">rabského etnika v íránské provincii Chúzistán. </w:t>
      </w:r>
    </w:p>
    <w:p w:rsidR="005C515C" w:rsidRPr="00026D3E" w:rsidRDefault="00FF658B" w:rsidP="006D0299">
      <w:pPr>
        <w:spacing w:line="360" w:lineRule="auto"/>
        <w:ind w:firstLine="708"/>
        <w:jc w:val="both"/>
        <w:rPr>
          <w:rFonts w:ascii="Times New Roman" w:hAnsi="Times New Roman" w:cs="Times New Roman"/>
          <w:sz w:val="24"/>
          <w:szCs w:val="24"/>
        </w:rPr>
      </w:pPr>
      <w:r w:rsidRPr="00026D3E">
        <w:rPr>
          <w:rFonts w:ascii="Times New Roman" w:hAnsi="Times New Roman" w:cs="Times New Roman"/>
          <w:sz w:val="24"/>
          <w:szCs w:val="24"/>
        </w:rPr>
        <w:t>Již od roku 1946, kdy byly navázány diplomatické styky mezi Sýrií a Íránem, provází tyto vztahy z</w:t>
      </w:r>
      <w:r w:rsidR="00BB617B" w:rsidRPr="00026D3E">
        <w:rPr>
          <w:rFonts w:ascii="Times New Roman" w:hAnsi="Times New Roman" w:cs="Times New Roman"/>
          <w:sz w:val="24"/>
          <w:szCs w:val="24"/>
        </w:rPr>
        <w:t xml:space="preserve">vláštní rys, kdy </w:t>
      </w:r>
      <w:r w:rsidRPr="00026D3E">
        <w:rPr>
          <w:rFonts w:ascii="Times New Roman" w:hAnsi="Times New Roman" w:cs="Times New Roman"/>
          <w:sz w:val="24"/>
          <w:szCs w:val="24"/>
        </w:rPr>
        <w:t>jejich zlepšení či zhoršení závisí na vztazích obou zemí s Irákem. (Goodarzi 2006:14)</w:t>
      </w:r>
      <w:r w:rsidR="00E67007" w:rsidRPr="00026D3E">
        <w:rPr>
          <w:rFonts w:ascii="Times New Roman" w:hAnsi="Times New Roman" w:cs="Times New Roman"/>
          <w:sz w:val="24"/>
          <w:szCs w:val="24"/>
        </w:rPr>
        <w:t xml:space="preserve"> </w:t>
      </w:r>
      <w:r w:rsidR="005C515C" w:rsidRPr="00026D3E">
        <w:rPr>
          <w:rFonts w:ascii="Times New Roman" w:hAnsi="Times New Roman" w:cs="Times New Roman"/>
          <w:sz w:val="24"/>
          <w:szCs w:val="24"/>
        </w:rPr>
        <w:t>Zatímco se od léta roku 1979 zhoršovaly vztahy Iráku s Íránem, souběžně se zhoršovaly vztahy Iráku se Sýrií. Odstranění al-Bakra Saddámem Husajnem a jeho jmenování novým iráckým prezidentem vnímal al-Asad jako krok namířený proti Sýrii, neboť al-Bakr byl na irácké straně hlavním protagonistou vytvoření unie</w:t>
      </w:r>
      <w:r w:rsidR="00001E45" w:rsidRPr="00026D3E">
        <w:rPr>
          <w:rFonts w:ascii="Times New Roman" w:hAnsi="Times New Roman" w:cs="Times New Roman"/>
          <w:sz w:val="24"/>
          <w:szCs w:val="24"/>
        </w:rPr>
        <w:t xml:space="preserve"> Sýrie a Iráku</w:t>
      </w:r>
      <w:r w:rsidR="005C515C" w:rsidRPr="00026D3E">
        <w:rPr>
          <w:rFonts w:ascii="Times New Roman" w:hAnsi="Times New Roman" w:cs="Times New Roman"/>
          <w:sz w:val="24"/>
          <w:szCs w:val="24"/>
        </w:rPr>
        <w:t>. (Gombár 2001:54)</w:t>
      </w:r>
    </w:p>
    <w:p w:rsidR="00135F34" w:rsidRPr="00026D3E" w:rsidRDefault="00135F34" w:rsidP="006D0299">
      <w:pPr>
        <w:spacing w:line="360" w:lineRule="auto"/>
        <w:ind w:firstLine="708"/>
        <w:jc w:val="both"/>
        <w:rPr>
          <w:rFonts w:ascii="Times New Roman" w:hAnsi="Times New Roman" w:cs="Times New Roman"/>
          <w:sz w:val="24"/>
          <w:szCs w:val="24"/>
        </w:rPr>
      </w:pPr>
      <w:r w:rsidRPr="00026D3E">
        <w:rPr>
          <w:rFonts w:ascii="Times New Roman" w:hAnsi="Times New Roman" w:cs="Times New Roman"/>
          <w:sz w:val="24"/>
          <w:szCs w:val="24"/>
        </w:rPr>
        <w:t>Přesto</w:t>
      </w:r>
      <w:r w:rsidR="006D0299">
        <w:rPr>
          <w:rFonts w:ascii="Times New Roman" w:hAnsi="Times New Roman" w:cs="Times New Roman"/>
          <w:sz w:val="24"/>
          <w:szCs w:val="24"/>
        </w:rPr>
        <w:t>že hlásal Chomejní potřebu vyvéz</w:t>
      </w:r>
      <w:r w:rsidRPr="00026D3E">
        <w:rPr>
          <w:rFonts w:ascii="Times New Roman" w:hAnsi="Times New Roman" w:cs="Times New Roman"/>
          <w:sz w:val="24"/>
          <w:szCs w:val="24"/>
        </w:rPr>
        <w:t xml:space="preserve">t islámskou revoluci do ostatních arabských zemí a zejména těch, které měly početné šíitské obyvatelstvo, stejně tak se </w:t>
      </w:r>
      <w:r w:rsidR="00A03653" w:rsidRPr="00026D3E">
        <w:rPr>
          <w:rFonts w:ascii="Times New Roman" w:hAnsi="Times New Roman" w:cs="Times New Roman"/>
          <w:sz w:val="24"/>
          <w:szCs w:val="24"/>
        </w:rPr>
        <w:t xml:space="preserve">snažil spřátelit </w:t>
      </w:r>
      <w:r w:rsidR="00BB617B" w:rsidRPr="00026D3E">
        <w:rPr>
          <w:rFonts w:ascii="Times New Roman" w:hAnsi="Times New Roman" w:cs="Times New Roman"/>
          <w:sz w:val="24"/>
          <w:szCs w:val="24"/>
        </w:rPr>
        <w:br/>
      </w:r>
      <w:r w:rsidR="00A03653" w:rsidRPr="00026D3E">
        <w:rPr>
          <w:rFonts w:ascii="Times New Roman" w:hAnsi="Times New Roman" w:cs="Times New Roman"/>
          <w:sz w:val="24"/>
          <w:szCs w:val="24"/>
        </w:rPr>
        <w:lastRenderedPageBreak/>
        <w:t>s</w:t>
      </w:r>
      <w:r w:rsidRPr="00026D3E">
        <w:rPr>
          <w:rFonts w:ascii="Times New Roman" w:hAnsi="Times New Roman" w:cs="Times New Roman"/>
          <w:sz w:val="24"/>
          <w:szCs w:val="24"/>
        </w:rPr>
        <w:t xml:space="preserve"> ostatními státy Perského zálivu. </w:t>
      </w:r>
      <w:r w:rsidR="00245CEF" w:rsidRPr="00026D3E">
        <w:rPr>
          <w:rFonts w:ascii="Times New Roman" w:hAnsi="Times New Roman" w:cs="Times New Roman"/>
          <w:sz w:val="24"/>
          <w:szCs w:val="24"/>
        </w:rPr>
        <w:t>Jeho p</w:t>
      </w:r>
      <w:r w:rsidRPr="00026D3E">
        <w:rPr>
          <w:rFonts w:ascii="Times New Roman" w:hAnsi="Times New Roman" w:cs="Times New Roman"/>
          <w:sz w:val="24"/>
          <w:szCs w:val="24"/>
        </w:rPr>
        <w:t xml:space="preserve">rozatímní vláda </w:t>
      </w:r>
      <w:r w:rsidR="003168A5" w:rsidRPr="00026D3E">
        <w:rPr>
          <w:rFonts w:ascii="Times New Roman" w:hAnsi="Times New Roman" w:cs="Times New Roman"/>
          <w:sz w:val="24"/>
          <w:szCs w:val="24"/>
        </w:rPr>
        <w:t xml:space="preserve">například </w:t>
      </w:r>
      <w:r w:rsidR="00245CEF" w:rsidRPr="00026D3E">
        <w:rPr>
          <w:rFonts w:ascii="Times New Roman" w:hAnsi="Times New Roman" w:cs="Times New Roman"/>
          <w:sz w:val="24"/>
          <w:szCs w:val="24"/>
        </w:rPr>
        <w:t xml:space="preserve">uvedla, že přehodnotí status tří strategicky položených ostrovů, které Írán okupoval již od roku 1971 a </w:t>
      </w:r>
      <w:r w:rsidR="003168A5" w:rsidRPr="00026D3E">
        <w:rPr>
          <w:rFonts w:ascii="Times New Roman" w:hAnsi="Times New Roman" w:cs="Times New Roman"/>
          <w:sz w:val="24"/>
          <w:szCs w:val="24"/>
        </w:rPr>
        <w:t xml:space="preserve">které pravděpodobně navrátí Spojeným Arabským Emirátům. Pokusy o navázání dobrých vztahů však skončily neúspěchem především kvůli roztříštěnosti názorového spektra v Íránu. Obzvláště provokativním byl výrok </w:t>
      </w:r>
      <w:r w:rsidR="00D718B9">
        <w:rPr>
          <w:rFonts w:ascii="Times New Roman" w:hAnsi="Times New Roman" w:cs="Times New Roman"/>
          <w:sz w:val="24"/>
          <w:szCs w:val="24"/>
        </w:rPr>
        <w:t>politika</w:t>
      </w:r>
      <w:r w:rsidR="003168A5" w:rsidRPr="00026D3E">
        <w:rPr>
          <w:rFonts w:ascii="Times New Roman" w:hAnsi="Times New Roman" w:cs="Times New Roman"/>
          <w:sz w:val="24"/>
          <w:szCs w:val="24"/>
        </w:rPr>
        <w:t xml:space="preserve"> Rouhaniho z 15.června 1979, kdy prohlásil, </w:t>
      </w:r>
      <w:r w:rsidR="00BB617B" w:rsidRPr="00026D3E">
        <w:rPr>
          <w:rFonts w:ascii="Times New Roman" w:hAnsi="Times New Roman" w:cs="Times New Roman"/>
          <w:sz w:val="24"/>
          <w:szCs w:val="24"/>
        </w:rPr>
        <w:br/>
      </w:r>
      <w:r w:rsidR="003168A5" w:rsidRPr="00026D3E">
        <w:rPr>
          <w:rFonts w:ascii="Times New Roman" w:hAnsi="Times New Roman" w:cs="Times New Roman"/>
          <w:sz w:val="24"/>
          <w:szCs w:val="24"/>
        </w:rPr>
        <w:t xml:space="preserve">že Bahrajn je integrální součástí Íránu. </w:t>
      </w:r>
      <w:r w:rsidR="007C620A" w:rsidRPr="00026D3E">
        <w:rPr>
          <w:rFonts w:ascii="Times New Roman" w:hAnsi="Times New Roman" w:cs="Times New Roman"/>
          <w:sz w:val="24"/>
          <w:szCs w:val="24"/>
        </w:rPr>
        <w:t>(Goodarzi 2006:20)</w:t>
      </w:r>
    </w:p>
    <w:p w:rsidR="007C620A" w:rsidRPr="00026D3E" w:rsidRDefault="00930A1F" w:rsidP="00D718B9">
      <w:pPr>
        <w:spacing w:line="360" w:lineRule="auto"/>
        <w:ind w:firstLine="708"/>
        <w:jc w:val="both"/>
        <w:rPr>
          <w:rFonts w:ascii="Times New Roman" w:hAnsi="Times New Roman" w:cs="Times New Roman"/>
          <w:sz w:val="24"/>
          <w:szCs w:val="24"/>
        </w:rPr>
      </w:pPr>
      <w:r w:rsidRPr="00026D3E">
        <w:rPr>
          <w:rFonts w:ascii="Times New Roman" w:hAnsi="Times New Roman" w:cs="Times New Roman"/>
          <w:sz w:val="24"/>
          <w:szCs w:val="24"/>
        </w:rPr>
        <w:t>Na rozdíl od ostatních arabských států přivítala Sýrie odstranění šáha nadšeně</w:t>
      </w:r>
      <w:r w:rsidR="0067087E" w:rsidRPr="00026D3E">
        <w:rPr>
          <w:rFonts w:ascii="Times New Roman" w:hAnsi="Times New Roman" w:cs="Times New Roman"/>
          <w:sz w:val="24"/>
          <w:szCs w:val="24"/>
        </w:rPr>
        <w:t xml:space="preserve"> (Ehteshami, Hinnebusch 1997:89)</w:t>
      </w:r>
      <w:r w:rsidR="00DD44D0" w:rsidRPr="00026D3E">
        <w:rPr>
          <w:rFonts w:ascii="Times New Roman" w:hAnsi="Times New Roman" w:cs="Times New Roman"/>
          <w:sz w:val="24"/>
          <w:szCs w:val="24"/>
        </w:rPr>
        <w:t>, samotnou revoluci označil syrský prezident jako „nejdůležitější událost naší moderní historie“</w:t>
      </w:r>
      <w:r w:rsidRPr="00026D3E">
        <w:rPr>
          <w:rFonts w:ascii="Times New Roman" w:hAnsi="Times New Roman" w:cs="Times New Roman"/>
          <w:sz w:val="24"/>
          <w:szCs w:val="24"/>
        </w:rPr>
        <w:t xml:space="preserve">. </w:t>
      </w:r>
      <w:r w:rsidR="00DD44D0" w:rsidRPr="00026D3E">
        <w:rPr>
          <w:rFonts w:ascii="Times New Roman" w:hAnsi="Times New Roman" w:cs="Times New Roman"/>
          <w:sz w:val="24"/>
          <w:szCs w:val="24"/>
        </w:rPr>
        <w:t>(Seale 1988:353, Goodarzi 2006:23)</w:t>
      </w:r>
      <w:r w:rsidR="007B3BE3" w:rsidRPr="00026D3E">
        <w:rPr>
          <w:rFonts w:ascii="Times New Roman" w:hAnsi="Times New Roman" w:cs="Times New Roman"/>
          <w:sz w:val="24"/>
          <w:szCs w:val="24"/>
        </w:rPr>
        <w:t xml:space="preserve"> </w:t>
      </w:r>
      <w:r w:rsidRPr="00026D3E">
        <w:rPr>
          <w:rFonts w:ascii="Times New Roman" w:hAnsi="Times New Roman" w:cs="Times New Roman"/>
          <w:sz w:val="24"/>
          <w:szCs w:val="24"/>
        </w:rPr>
        <w:t>Al-Asad zaslal do Teheránu vstřícný telegram s blahopřáním a pár týdnů na to poslal Chomejnímu jako dárek speciální vydání Koránu, které přinesl do posvátného města Qum člen syrského vládního kabinetu Ahmad. Chomejní toto gesto velice uvítal a poděkoval Sýrii za poskytnutí azylu po vyhoštění z Iráku na žádost šáha.</w:t>
      </w:r>
      <w:r w:rsidR="007B3BE3" w:rsidRPr="00026D3E">
        <w:rPr>
          <w:rFonts w:ascii="Times New Roman" w:hAnsi="Times New Roman" w:cs="Times New Roman"/>
          <w:sz w:val="24"/>
          <w:szCs w:val="24"/>
        </w:rPr>
        <w:t xml:space="preserve"> Syrsko – íránské vztahy se po revoluci začaly rapidně rozvíjet. </w:t>
      </w:r>
      <w:r w:rsidRPr="00026D3E">
        <w:rPr>
          <w:rFonts w:ascii="Times New Roman" w:hAnsi="Times New Roman" w:cs="Times New Roman"/>
          <w:sz w:val="24"/>
          <w:szCs w:val="24"/>
        </w:rPr>
        <w:t xml:space="preserve"> </w:t>
      </w:r>
      <w:r w:rsidR="00397809" w:rsidRPr="00026D3E">
        <w:rPr>
          <w:rFonts w:ascii="Times New Roman" w:hAnsi="Times New Roman" w:cs="Times New Roman"/>
          <w:sz w:val="24"/>
          <w:szCs w:val="24"/>
        </w:rPr>
        <w:t>(Seale 1988:353)</w:t>
      </w:r>
      <w:r w:rsidR="007B3BE3" w:rsidRPr="00026D3E">
        <w:rPr>
          <w:rFonts w:ascii="Times New Roman" w:hAnsi="Times New Roman" w:cs="Times New Roman"/>
          <w:sz w:val="24"/>
          <w:szCs w:val="24"/>
        </w:rPr>
        <w:t xml:space="preserve"> </w:t>
      </w:r>
      <w:r w:rsidR="00A87741" w:rsidRPr="00026D3E">
        <w:rPr>
          <w:rFonts w:ascii="Times New Roman" w:hAnsi="Times New Roman" w:cs="Times New Roman"/>
          <w:sz w:val="24"/>
          <w:szCs w:val="24"/>
        </w:rPr>
        <w:t xml:space="preserve">Teherán reagoval na iniciativu z Damašku pozitivně, neboť současně se </w:t>
      </w:r>
      <w:r w:rsidR="00096EC8" w:rsidRPr="00026D3E">
        <w:rPr>
          <w:rFonts w:ascii="Times New Roman" w:hAnsi="Times New Roman" w:cs="Times New Roman"/>
          <w:sz w:val="24"/>
          <w:szCs w:val="24"/>
        </w:rPr>
        <w:t>zhoršovaly jeho vztahy v Zálivu</w:t>
      </w:r>
      <w:r w:rsidR="00A87741" w:rsidRPr="00026D3E">
        <w:rPr>
          <w:rFonts w:ascii="Times New Roman" w:hAnsi="Times New Roman" w:cs="Times New Roman"/>
          <w:sz w:val="24"/>
          <w:szCs w:val="24"/>
        </w:rPr>
        <w:t xml:space="preserve"> (Goodarzi 2006:23)</w:t>
      </w:r>
      <w:r w:rsidR="00096EC8" w:rsidRPr="00026D3E">
        <w:rPr>
          <w:rFonts w:ascii="Times New Roman" w:hAnsi="Times New Roman" w:cs="Times New Roman"/>
          <w:sz w:val="24"/>
          <w:szCs w:val="24"/>
        </w:rPr>
        <w:t xml:space="preserve">, stejně jako jeho vztahy se Spojenými státy v důsledku zajetí pracovníků místní americké ambasády v listopadu 1979, které trvalo až do ledna 1981.  </w:t>
      </w:r>
      <w:r w:rsidR="00E8503E" w:rsidRPr="00026D3E">
        <w:rPr>
          <w:rFonts w:ascii="Times New Roman" w:hAnsi="Times New Roman" w:cs="Times New Roman"/>
          <w:sz w:val="24"/>
          <w:szCs w:val="24"/>
        </w:rPr>
        <w:t xml:space="preserve"> </w:t>
      </w:r>
      <w:r w:rsidR="007C620A" w:rsidRPr="00026D3E">
        <w:rPr>
          <w:rFonts w:ascii="Times New Roman" w:hAnsi="Times New Roman" w:cs="Times New Roman"/>
          <w:sz w:val="24"/>
          <w:szCs w:val="24"/>
        </w:rPr>
        <w:t xml:space="preserve">Írán se stával </w:t>
      </w:r>
      <w:r w:rsidR="009E141F">
        <w:rPr>
          <w:rFonts w:ascii="Times New Roman" w:hAnsi="Times New Roman" w:cs="Times New Roman"/>
          <w:sz w:val="24"/>
          <w:szCs w:val="24"/>
        </w:rPr>
        <w:t xml:space="preserve">v blízkovýchodním regionu </w:t>
      </w:r>
      <w:r w:rsidR="007C620A" w:rsidRPr="00026D3E">
        <w:rPr>
          <w:rFonts w:ascii="Times New Roman" w:hAnsi="Times New Roman" w:cs="Times New Roman"/>
          <w:sz w:val="24"/>
          <w:szCs w:val="24"/>
        </w:rPr>
        <w:t>stále více izolovaným</w:t>
      </w:r>
      <w:r w:rsidR="009E141F">
        <w:rPr>
          <w:rFonts w:ascii="Times New Roman" w:hAnsi="Times New Roman" w:cs="Times New Roman"/>
          <w:sz w:val="24"/>
          <w:szCs w:val="24"/>
        </w:rPr>
        <w:t xml:space="preserve"> státem</w:t>
      </w:r>
      <w:r w:rsidRPr="00026D3E">
        <w:rPr>
          <w:rFonts w:ascii="Times New Roman" w:hAnsi="Times New Roman" w:cs="Times New Roman"/>
          <w:sz w:val="24"/>
          <w:szCs w:val="24"/>
        </w:rPr>
        <w:t>.</w:t>
      </w:r>
    </w:p>
    <w:p w:rsidR="00E8503E" w:rsidRPr="00026D3E" w:rsidRDefault="00E8503E" w:rsidP="00625613">
      <w:pPr>
        <w:spacing w:line="360" w:lineRule="auto"/>
        <w:ind w:firstLine="708"/>
        <w:jc w:val="both"/>
        <w:rPr>
          <w:rFonts w:ascii="Times New Roman" w:hAnsi="Times New Roman" w:cs="Times New Roman"/>
          <w:sz w:val="24"/>
          <w:szCs w:val="24"/>
        </w:rPr>
      </w:pPr>
      <w:r w:rsidRPr="00026D3E">
        <w:rPr>
          <w:rFonts w:ascii="Times New Roman" w:hAnsi="Times New Roman" w:cs="Times New Roman"/>
          <w:sz w:val="24"/>
          <w:szCs w:val="24"/>
        </w:rPr>
        <w:t xml:space="preserve">Na konci roku 1979 </w:t>
      </w:r>
      <w:r w:rsidR="00BE4E20" w:rsidRPr="00026D3E">
        <w:rPr>
          <w:rFonts w:ascii="Times New Roman" w:hAnsi="Times New Roman" w:cs="Times New Roman"/>
          <w:sz w:val="24"/>
          <w:szCs w:val="24"/>
        </w:rPr>
        <w:t>měl</w:t>
      </w:r>
      <w:r w:rsidRPr="00026D3E">
        <w:rPr>
          <w:rFonts w:ascii="Times New Roman" w:hAnsi="Times New Roman" w:cs="Times New Roman"/>
          <w:sz w:val="24"/>
          <w:szCs w:val="24"/>
        </w:rPr>
        <w:t xml:space="preserve"> syrský prezident </w:t>
      </w:r>
      <w:r w:rsidR="0034024E" w:rsidRPr="00026D3E">
        <w:rPr>
          <w:rFonts w:ascii="Times New Roman" w:hAnsi="Times New Roman" w:cs="Times New Roman"/>
          <w:sz w:val="24"/>
          <w:szCs w:val="24"/>
        </w:rPr>
        <w:t>jen velice málo spojenců</w:t>
      </w:r>
      <w:r w:rsidRPr="00026D3E">
        <w:rPr>
          <w:rFonts w:ascii="Times New Roman" w:hAnsi="Times New Roman" w:cs="Times New Roman"/>
          <w:sz w:val="24"/>
          <w:szCs w:val="24"/>
        </w:rPr>
        <w:t xml:space="preserve">. V jeho boji proti „sionistickém nepříteli“ již nebyl po jeho boku egyptský prezident a co hůře, nepřátelské postoje ostatních arabských zemí byly nyní mnohem více zaměřeny na Írán a jeho radikální </w:t>
      </w:r>
      <w:r w:rsidR="00BE4E20" w:rsidRPr="00026D3E">
        <w:rPr>
          <w:rFonts w:ascii="Times New Roman" w:hAnsi="Times New Roman" w:cs="Times New Roman"/>
          <w:sz w:val="24"/>
          <w:szCs w:val="24"/>
        </w:rPr>
        <w:t>názory</w:t>
      </w:r>
      <w:r w:rsidRPr="00026D3E">
        <w:rPr>
          <w:rFonts w:ascii="Times New Roman" w:hAnsi="Times New Roman" w:cs="Times New Roman"/>
          <w:sz w:val="24"/>
          <w:szCs w:val="24"/>
        </w:rPr>
        <w:t xml:space="preserve">. </w:t>
      </w:r>
      <w:r w:rsidR="00220FA8">
        <w:rPr>
          <w:rFonts w:ascii="Times New Roman" w:hAnsi="Times New Roman" w:cs="Times New Roman"/>
          <w:sz w:val="24"/>
          <w:szCs w:val="24"/>
        </w:rPr>
        <w:t>Mezitím se i</w:t>
      </w:r>
      <w:r w:rsidR="00A07D0E" w:rsidRPr="00026D3E">
        <w:rPr>
          <w:rFonts w:ascii="Times New Roman" w:hAnsi="Times New Roman" w:cs="Times New Roman"/>
          <w:sz w:val="24"/>
          <w:szCs w:val="24"/>
        </w:rPr>
        <w:t xml:space="preserve">rácký prezident Husajn </w:t>
      </w:r>
      <w:r w:rsidR="00220FA8">
        <w:rPr>
          <w:rFonts w:ascii="Times New Roman" w:hAnsi="Times New Roman" w:cs="Times New Roman"/>
          <w:sz w:val="24"/>
          <w:szCs w:val="24"/>
        </w:rPr>
        <w:t xml:space="preserve">snažil </w:t>
      </w:r>
      <w:r w:rsidRPr="00026D3E">
        <w:rPr>
          <w:rFonts w:ascii="Times New Roman" w:hAnsi="Times New Roman" w:cs="Times New Roman"/>
          <w:sz w:val="24"/>
          <w:szCs w:val="24"/>
        </w:rPr>
        <w:t>stavět do čela arabských zemí</w:t>
      </w:r>
      <w:r w:rsidR="00E307DD" w:rsidRPr="00026D3E">
        <w:rPr>
          <w:rFonts w:ascii="Times New Roman" w:hAnsi="Times New Roman" w:cs="Times New Roman"/>
          <w:sz w:val="24"/>
          <w:szCs w:val="24"/>
        </w:rPr>
        <w:t>. Ú</w:t>
      </w:r>
      <w:r w:rsidR="00A55EB8" w:rsidRPr="00026D3E">
        <w:rPr>
          <w:rFonts w:ascii="Times New Roman" w:hAnsi="Times New Roman" w:cs="Times New Roman"/>
          <w:sz w:val="24"/>
          <w:szCs w:val="24"/>
        </w:rPr>
        <w:t xml:space="preserve">spěšně navazoval kontakty se Saúdskou Arábií a Jordánskem, </w:t>
      </w:r>
      <w:r w:rsidR="00E307DD" w:rsidRPr="00026D3E">
        <w:rPr>
          <w:rFonts w:ascii="Times New Roman" w:hAnsi="Times New Roman" w:cs="Times New Roman"/>
          <w:sz w:val="24"/>
          <w:szCs w:val="24"/>
        </w:rPr>
        <w:t>jež</w:t>
      </w:r>
      <w:r w:rsidR="00A55EB8" w:rsidRPr="00026D3E">
        <w:rPr>
          <w:rFonts w:ascii="Times New Roman" w:hAnsi="Times New Roman" w:cs="Times New Roman"/>
          <w:sz w:val="24"/>
          <w:szCs w:val="24"/>
        </w:rPr>
        <w:t xml:space="preserve"> </w:t>
      </w:r>
      <w:r w:rsidR="00E307DD" w:rsidRPr="00026D3E">
        <w:rPr>
          <w:rFonts w:ascii="Times New Roman" w:hAnsi="Times New Roman" w:cs="Times New Roman"/>
          <w:sz w:val="24"/>
          <w:szCs w:val="24"/>
        </w:rPr>
        <w:t xml:space="preserve">rovněž </w:t>
      </w:r>
      <w:r w:rsidR="00220FA8">
        <w:rPr>
          <w:rFonts w:ascii="Times New Roman" w:hAnsi="Times New Roman" w:cs="Times New Roman"/>
          <w:sz w:val="24"/>
          <w:szCs w:val="24"/>
        </w:rPr>
        <w:t>ostře vystupovaly</w:t>
      </w:r>
      <w:r w:rsidR="00A55EB8" w:rsidRPr="00026D3E">
        <w:rPr>
          <w:rFonts w:ascii="Times New Roman" w:hAnsi="Times New Roman" w:cs="Times New Roman"/>
          <w:sz w:val="24"/>
          <w:szCs w:val="24"/>
        </w:rPr>
        <w:t xml:space="preserve"> proti Íránu</w:t>
      </w:r>
      <w:r w:rsidR="00E307DD" w:rsidRPr="00026D3E">
        <w:rPr>
          <w:rFonts w:ascii="Times New Roman" w:hAnsi="Times New Roman" w:cs="Times New Roman"/>
          <w:sz w:val="24"/>
          <w:szCs w:val="24"/>
        </w:rPr>
        <w:t xml:space="preserve">. </w:t>
      </w:r>
      <w:r w:rsidR="00A55EB8" w:rsidRPr="00026D3E">
        <w:rPr>
          <w:rFonts w:ascii="Times New Roman" w:hAnsi="Times New Roman" w:cs="Times New Roman"/>
          <w:sz w:val="24"/>
          <w:szCs w:val="24"/>
        </w:rPr>
        <w:t xml:space="preserve"> </w:t>
      </w:r>
      <w:r w:rsidR="00D244F9" w:rsidRPr="00026D3E">
        <w:rPr>
          <w:rFonts w:ascii="Times New Roman" w:hAnsi="Times New Roman" w:cs="Times New Roman"/>
          <w:sz w:val="24"/>
          <w:szCs w:val="24"/>
        </w:rPr>
        <w:t>Syrské angažmá v Libanonu bylo stále bez</w:t>
      </w:r>
      <w:r w:rsidR="00D86C37" w:rsidRPr="00026D3E">
        <w:rPr>
          <w:rFonts w:ascii="Times New Roman" w:hAnsi="Times New Roman" w:cs="Times New Roman"/>
          <w:sz w:val="24"/>
          <w:szCs w:val="24"/>
        </w:rPr>
        <w:t xml:space="preserve"> úspěchu, </w:t>
      </w:r>
      <w:r w:rsidR="00220FA8">
        <w:rPr>
          <w:rFonts w:ascii="Times New Roman" w:hAnsi="Times New Roman" w:cs="Times New Roman"/>
          <w:sz w:val="24"/>
          <w:szCs w:val="24"/>
        </w:rPr>
        <w:t xml:space="preserve">Sýrie se </w:t>
      </w:r>
      <w:r w:rsidR="00D86C37" w:rsidRPr="00026D3E">
        <w:rPr>
          <w:rFonts w:ascii="Times New Roman" w:hAnsi="Times New Roman" w:cs="Times New Roman"/>
          <w:sz w:val="24"/>
          <w:szCs w:val="24"/>
        </w:rPr>
        <w:t>potýkal</w:t>
      </w:r>
      <w:r w:rsidR="00220FA8">
        <w:rPr>
          <w:rFonts w:ascii="Times New Roman" w:hAnsi="Times New Roman" w:cs="Times New Roman"/>
          <w:sz w:val="24"/>
          <w:szCs w:val="24"/>
        </w:rPr>
        <w:t>a</w:t>
      </w:r>
      <w:r w:rsidR="00CD02FA" w:rsidRPr="00026D3E">
        <w:rPr>
          <w:rFonts w:ascii="Times New Roman" w:hAnsi="Times New Roman" w:cs="Times New Roman"/>
          <w:sz w:val="24"/>
          <w:szCs w:val="24"/>
        </w:rPr>
        <w:t xml:space="preserve"> s rozsáhlými domácími nepokoji, které byly </w:t>
      </w:r>
      <w:r w:rsidR="00220FA8">
        <w:rPr>
          <w:rFonts w:ascii="Times New Roman" w:hAnsi="Times New Roman" w:cs="Times New Roman"/>
          <w:sz w:val="24"/>
          <w:szCs w:val="24"/>
        </w:rPr>
        <w:t>navíc podněcovány Irákem a jako jediná arabská země se nyní ocitla v</w:t>
      </w:r>
      <w:r w:rsidR="00392988">
        <w:rPr>
          <w:rFonts w:ascii="Times New Roman" w:hAnsi="Times New Roman" w:cs="Times New Roman"/>
          <w:sz w:val="24"/>
          <w:szCs w:val="24"/>
        </w:rPr>
        <w:t xml:space="preserve"> aktivním </w:t>
      </w:r>
      <w:r w:rsidR="00220FA8">
        <w:rPr>
          <w:rFonts w:ascii="Times New Roman" w:hAnsi="Times New Roman" w:cs="Times New Roman"/>
          <w:sz w:val="24"/>
          <w:szCs w:val="24"/>
        </w:rPr>
        <w:t>ohrožení</w:t>
      </w:r>
      <w:r w:rsidR="00CD02FA" w:rsidRPr="00026D3E">
        <w:rPr>
          <w:rFonts w:ascii="Times New Roman" w:hAnsi="Times New Roman" w:cs="Times New Roman"/>
          <w:sz w:val="24"/>
          <w:szCs w:val="24"/>
        </w:rPr>
        <w:t xml:space="preserve"> izraelskými vojenskými silami. </w:t>
      </w:r>
      <w:r w:rsidR="00DA270D" w:rsidRPr="00026D3E">
        <w:rPr>
          <w:rFonts w:ascii="Times New Roman" w:hAnsi="Times New Roman" w:cs="Times New Roman"/>
          <w:sz w:val="24"/>
          <w:szCs w:val="24"/>
        </w:rPr>
        <w:t>(Walt 1987:138)</w:t>
      </w:r>
      <w:r w:rsidR="001D32BD" w:rsidRPr="00026D3E">
        <w:rPr>
          <w:rFonts w:ascii="Times New Roman" w:hAnsi="Times New Roman" w:cs="Times New Roman"/>
          <w:sz w:val="24"/>
          <w:szCs w:val="24"/>
        </w:rPr>
        <w:t xml:space="preserve"> Aby udržel al-Asad </w:t>
      </w:r>
      <w:r w:rsidR="00520156" w:rsidRPr="00026D3E">
        <w:rPr>
          <w:rFonts w:ascii="Times New Roman" w:hAnsi="Times New Roman" w:cs="Times New Roman"/>
          <w:sz w:val="24"/>
          <w:szCs w:val="24"/>
        </w:rPr>
        <w:t>status Sýrie jako</w:t>
      </w:r>
      <w:r w:rsidR="001D32BD" w:rsidRPr="00026D3E">
        <w:rPr>
          <w:rFonts w:ascii="Times New Roman" w:hAnsi="Times New Roman" w:cs="Times New Roman"/>
          <w:sz w:val="24"/>
          <w:szCs w:val="24"/>
        </w:rPr>
        <w:t xml:space="preserve"> lokální mocnosti, jeho angažmá v Libanonu muselo nadále pokračovat. </w:t>
      </w:r>
      <w:r w:rsidR="00420BAF" w:rsidRPr="00026D3E">
        <w:rPr>
          <w:rFonts w:ascii="Times New Roman" w:hAnsi="Times New Roman" w:cs="Times New Roman"/>
          <w:sz w:val="24"/>
          <w:szCs w:val="24"/>
        </w:rPr>
        <w:t>Potřeba získat silného spojence byla o to větší, když se mu nepo</w:t>
      </w:r>
      <w:r w:rsidR="00392988">
        <w:rPr>
          <w:rFonts w:ascii="Times New Roman" w:hAnsi="Times New Roman" w:cs="Times New Roman"/>
          <w:sz w:val="24"/>
          <w:szCs w:val="24"/>
        </w:rPr>
        <w:t>dařilo</w:t>
      </w:r>
      <w:r w:rsidR="00420BAF" w:rsidRPr="00026D3E">
        <w:rPr>
          <w:rFonts w:ascii="Times New Roman" w:hAnsi="Times New Roman" w:cs="Times New Roman"/>
          <w:sz w:val="24"/>
          <w:szCs w:val="24"/>
        </w:rPr>
        <w:t xml:space="preserve"> získat hmatatelnou podporu od států Fronty pevného postoje v první půli roku 1980. </w:t>
      </w:r>
      <w:r w:rsidR="00AA4B38" w:rsidRPr="00026D3E">
        <w:rPr>
          <w:rFonts w:ascii="Times New Roman" w:hAnsi="Times New Roman" w:cs="Times New Roman"/>
          <w:sz w:val="24"/>
          <w:szCs w:val="24"/>
        </w:rPr>
        <w:t>Li</w:t>
      </w:r>
      <w:r w:rsidR="00D86C37" w:rsidRPr="00026D3E">
        <w:rPr>
          <w:rFonts w:ascii="Times New Roman" w:hAnsi="Times New Roman" w:cs="Times New Roman"/>
          <w:sz w:val="24"/>
          <w:szCs w:val="24"/>
        </w:rPr>
        <w:t>bye a Jižní Jemen sice vyjádřily</w:t>
      </w:r>
      <w:r w:rsidR="00AA4B38" w:rsidRPr="00026D3E">
        <w:rPr>
          <w:rFonts w:ascii="Times New Roman" w:hAnsi="Times New Roman" w:cs="Times New Roman"/>
          <w:sz w:val="24"/>
          <w:szCs w:val="24"/>
        </w:rPr>
        <w:t xml:space="preserve"> symbolickou podporu Sýrii, ta byla však sotva srovnatelná s opozicí Iráku, Saudské Arábie a Jordánska. (Walt 1987:139)</w:t>
      </w:r>
      <w:r w:rsidR="0016224C" w:rsidRPr="00026D3E">
        <w:rPr>
          <w:rFonts w:ascii="Times New Roman" w:hAnsi="Times New Roman" w:cs="Times New Roman"/>
          <w:sz w:val="24"/>
          <w:szCs w:val="24"/>
        </w:rPr>
        <w:t xml:space="preserve"> Al-Asad byl nucen opět navázat vztahy se Sovětským svazem. Vyšší dovoz vojenského materiálu a vůbec zlepšení vzájemných vztahů musel </w:t>
      </w:r>
      <w:r w:rsidR="001C7A44" w:rsidRPr="00026D3E">
        <w:rPr>
          <w:rFonts w:ascii="Times New Roman" w:hAnsi="Times New Roman" w:cs="Times New Roman"/>
          <w:sz w:val="24"/>
          <w:szCs w:val="24"/>
        </w:rPr>
        <w:t xml:space="preserve">podpořit několika politickými kroky. Sýrie </w:t>
      </w:r>
      <w:r w:rsidR="0016224C" w:rsidRPr="00026D3E">
        <w:rPr>
          <w:rFonts w:ascii="Times New Roman" w:hAnsi="Times New Roman" w:cs="Times New Roman"/>
          <w:sz w:val="24"/>
          <w:szCs w:val="24"/>
        </w:rPr>
        <w:t xml:space="preserve">tak </w:t>
      </w:r>
      <w:r w:rsidR="001C7A44" w:rsidRPr="00026D3E">
        <w:rPr>
          <w:rFonts w:ascii="Times New Roman" w:hAnsi="Times New Roman" w:cs="Times New Roman"/>
          <w:sz w:val="24"/>
          <w:szCs w:val="24"/>
        </w:rPr>
        <w:t xml:space="preserve">jednak neodsoudila sovětskou invazi do </w:t>
      </w:r>
      <w:r w:rsidR="001C674E">
        <w:rPr>
          <w:rFonts w:ascii="Times New Roman" w:hAnsi="Times New Roman" w:cs="Times New Roman"/>
          <w:sz w:val="24"/>
          <w:szCs w:val="24"/>
        </w:rPr>
        <w:lastRenderedPageBreak/>
        <w:t>Afghá</w:t>
      </w:r>
      <w:r w:rsidR="001C7A44" w:rsidRPr="00026D3E">
        <w:rPr>
          <w:rFonts w:ascii="Times New Roman" w:hAnsi="Times New Roman" w:cs="Times New Roman"/>
          <w:sz w:val="24"/>
          <w:szCs w:val="24"/>
        </w:rPr>
        <w:t>nistánu v prosinci 1979, především ale podepsala v říj</w:t>
      </w:r>
      <w:r w:rsidR="001C674E">
        <w:rPr>
          <w:rFonts w:ascii="Times New Roman" w:hAnsi="Times New Roman" w:cs="Times New Roman"/>
          <w:sz w:val="24"/>
          <w:szCs w:val="24"/>
        </w:rPr>
        <w:t>nu následujícího roku v Moskvě s</w:t>
      </w:r>
      <w:r w:rsidR="001C7A44" w:rsidRPr="00026D3E">
        <w:rPr>
          <w:rFonts w:ascii="Times New Roman" w:hAnsi="Times New Roman" w:cs="Times New Roman"/>
          <w:sz w:val="24"/>
          <w:szCs w:val="24"/>
        </w:rPr>
        <w:t>ovětsko – syrskou smlouvu o přátelství a vzájemné pomoci. (Gombár 2001:54)</w:t>
      </w:r>
      <w:r w:rsidR="00A97C83" w:rsidRPr="00026D3E">
        <w:rPr>
          <w:rFonts w:ascii="Times New Roman" w:hAnsi="Times New Roman" w:cs="Times New Roman"/>
          <w:sz w:val="24"/>
          <w:szCs w:val="24"/>
        </w:rPr>
        <w:t xml:space="preserve"> </w:t>
      </w:r>
    </w:p>
    <w:p w:rsidR="00B1775E" w:rsidRPr="00026D3E" w:rsidRDefault="00586C77" w:rsidP="00035C9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Nezanedbatelný vliv na vznik syrsko – í</w:t>
      </w:r>
      <w:r w:rsidR="002E29D7" w:rsidRPr="00026D3E">
        <w:rPr>
          <w:rFonts w:ascii="Times New Roman" w:hAnsi="Times New Roman" w:cs="Times New Roman"/>
          <w:sz w:val="24"/>
          <w:szCs w:val="24"/>
        </w:rPr>
        <w:t>ránské aliance mělo vypuknutí války Iráku s</w:t>
      </w:r>
      <w:r w:rsidR="00520156" w:rsidRPr="00026D3E">
        <w:rPr>
          <w:rFonts w:ascii="Times New Roman" w:hAnsi="Times New Roman" w:cs="Times New Roman"/>
          <w:sz w:val="24"/>
          <w:szCs w:val="24"/>
        </w:rPr>
        <w:t> </w:t>
      </w:r>
      <w:r w:rsidR="002E29D7" w:rsidRPr="00026D3E">
        <w:rPr>
          <w:rFonts w:ascii="Times New Roman" w:hAnsi="Times New Roman" w:cs="Times New Roman"/>
          <w:sz w:val="24"/>
          <w:szCs w:val="24"/>
        </w:rPr>
        <w:t>Íránem</w:t>
      </w:r>
      <w:r w:rsidR="00520156" w:rsidRPr="00026D3E">
        <w:rPr>
          <w:rFonts w:ascii="Times New Roman" w:hAnsi="Times New Roman" w:cs="Times New Roman"/>
          <w:sz w:val="24"/>
          <w:szCs w:val="24"/>
        </w:rPr>
        <w:t xml:space="preserve"> v září roku 1980</w:t>
      </w:r>
      <w:r w:rsidR="002E29D7" w:rsidRPr="00026D3E">
        <w:rPr>
          <w:rFonts w:ascii="Times New Roman" w:hAnsi="Times New Roman" w:cs="Times New Roman"/>
          <w:sz w:val="24"/>
          <w:szCs w:val="24"/>
        </w:rPr>
        <w:t xml:space="preserve">. </w:t>
      </w:r>
      <w:r w:rsidR="00037813" w:rsidRPr="00026D3E">
        <w:rPr>
          <w:rFonts w:ascii="Times New Roman" w:hAnsi="Times New Roman" w:cs="Times New Roman"/>
          <w:sz w:val="24"/>
          <w:szCs w:val="24"/>
        </w:rPr>
        <w:t>Prakticky ih</w:t>
      </w:r>
      <w:r w:rsidR="00370A18">
        <w:rPr>
          <w:rFonts w:ascii="Times New Roman" w:hAnsi="Times New Roman" w:cs="Times New Roman"/>
          <w:sz w:val="24"/>
          <w:szCs w:val="24"/>
        </w:rPr>
        <w:t>ned se na stranu Iráku postavila</w:t>
      </w:r>
      <w:r w:rsidR="00037813" w:rsidRPr="00026D3E">
        <w:rPr>
          <w:rFonts w:ascii="Times New Roman" w:hAnsi="Times New Roman" w:cs="Times New Roman"/>
          <w:sz w:val="24"/>
          <w:szCs w:val="24"/>
        </w:rPr>
        <w:t xml:space="preserve"> Saúdská Arábie a Jordánsko, okamžitou podporu Íránu vyjádřili pouze Arafat a Kaddáfí. Po dobu prvních dvou týdnů války zůstala Sýrie nestrannou, aby se sama přesvědčila, zda Írán zvládne první irácký nápor</w:t>
      </w:r>
      <w:r w:rsidR="00520156" w:rsidRPr="00026D3E">
        <w:rPr>
          <w:rFonts w:ascii="Times New Roman" w:hAnsi="Times New Roman" w:cs="Times New Roman"/>
          <w:sz w:val="24"/>
          <w:szCs w:val="24"/>
        </w:rPr>
        <w:t>, zároveň se snažila (neúspěšně)</w:t>
      </w:r>
      <w:r w:rsidR="00037813" w:rsidRPr="00026D3E">
        <w:rPr>
          <w:rFonts w:ascii="Times New Roman" w:hAnsi="Times New Roman" w:cs="Times New Roman"/>
          <w:sz w:val="24"/>
          <w:szCs w:val="24"/>
        </w:rPr>
        <w:t xml:space="preserve"> konflikt urovnat. (Goodarzi 2006:34)</w:t>
      </w:r>
      <w:r w:rsidR="00315ED5" w:rsidRPr="00026D3E">
        <w:rPr>
          <w:rFonts w:ascii="Times New Roman" w:hAnsi="Times New Roman" w:cs="Times New Roman"/>
          <w:sz w:val="24"/>
          <w:szCs w:val="24"/>
        </w:rPr>
        <w:t xml:space="preserve"> Poté, co Írán viditelně odolával</w:t>
      </w:r>
      <w:r w:rsidR="00FE4744">
        <w:rPr>
          <w:rFonts w:ascii="Times New Roman" w:hAnsi="Times New Roman" w:cs="Times New Roman"/>
          <w:sz w:val="24"/>
          <w:szCs w:val="24"/>
        </w:rPr>
        <w:t xml:space="preserve">, </w:t>
      </w:r>
      <w:r w:rsidR="00315ED5" w:rsidRPr="00026D3E">
        <w:rPr>
          <w:rFonts w:ascii="Times New Roman" w:hAnsi="Times New Roman" w:cs="Times New Roman"/>
          <w:sz w:val="24"/>
          <w:szCs w:val="24"/>
        </w:rPr>
        <w:t xml:space="preserve">Damašek </w:t>
      </w:r>
      <w:r w:rsidR="00FE4744">
        <w:rPr>
          <w:rFonts w:ascii="Times New Roman" w:hAnsi="Times New Roman" w:cs="Times New Roman"/>
          <w:sz w:val="24"/>
          <w:szCs w:val="24"/>
        </w:rPr>
        <w:t xml:space="preserve">se odhodlal </w:t>
      </w:r>
      <w:r w:rsidR="00315ED5" w:rsidRPr="00026D3E">
        <w:rPr>
          <w:rFonts w:ascii="Times New Roman" w:hAnsi="Times New Roman" w:cs="Times New Roman"/>
          <w:sz w:val="24"/>
          <w:szCs w:val="24"/>
        </w:rPr>
        <w:t xml:space="preserve">odsoudit iráckou invazi. </w:t>
      </w:r>
      <w:r w:rsidR="00037813" w:rsidRPr="00026D3E">
        <w:rPr>
          <w:rFonts w:ascii="Times New Roman" w:hAnsi="Times New Roman" w:cs="Times New Roman"/>
          <w:sz w:val="24"/>
          <w:szCs w:val="24"/>
        </w:rPr>
        <w:t xml:space="preserve"> </w:t>
      </w:r>
      <w:r w:rsidR="005B1EF6" w:rsidRPr="00026D3E">
        <w:rPr>
          <w:rFonts w:ascii="Times New Roman" w:hAnsi="Times New Roman" w:cs="Times New Roman"/>
          <w:sz w:val="24"/>
          <w:szCs w:val="24"/>
        </w:rPr>
        <w:t>Přes všechny spory, které spolu Irák se Sýrií měl</w:t>
      </w:r>
      <w:r w:rsidR="00F8134F" w:rsidRPr="00026D3E">
        <w:rPr>
          <w:rFonts w:ascii="Times New Roman" w:hAnsi="Times New Roman" w:cs="Times New Roman"/>
          <w:sz w:val="24"/>
          <w:szCs w:val="24"/>
        </w:rPr>
        <w:t>i</w:t>
      </w:r>
      <w:r w:rsidR="005B1EF6" w:rsidRPr="00026D3E">
        <w:rPr>
          <w:rFonts w:ascii="Times New Roman" w:hAnsi="Times New Roman" w:cs="Times New Roman"/>
          <w:sz w:val="24"/>
          <w:szCs w:val="24"/>
        </w:rPr>
        <w:t xml:space="preserve">, </w:t>
      </w:r>
      <w:r w:rsidR="00A648C3" w:rsidRPr="00026D3E">
        <w:rPr>
          <w:rFonts w:ascii="Times New Roman" w:hAnsi="Times New Roman" w:cs="Times New Roman"/>
          <w:sz w:val="24"/>
          <w:szCs w:val="24"/>
        </w:rPr>
        <w:t xml:space="preserve">způsobilo </w:t>
      </w:r>
      <w:r w:rsidR="005B1EF6" w:rsidRPr="00026D3E">
        <w:rPr>
          <w:rFonts w:ascii="Times New Roman" w:hAnsi="Times New Roman" w:cs="Times New Roman"/>
          <w:sz w:val="24"/>
          <w:szCs w:val="24"/>
        </w:rPr>
        <w:t>patrně největší roztržku mez</w:t>
      </w:r>
      <w:r w:rsidR="00A648C3" w:rsidRPr="00026D3E">
        <w:rPr>
          <w:rFonts w:ascii="Times New Roman" w:hAnsi="Times New Roman" w:cs="Times New Roman"/>
          <w:sz w:val="24"/>
          <w:szCs w:val="24"/>
        </w:rPr>
        <w:t>i Husajnem a al-Asadem právě</w:t>
      </w:r>
      <w:r w:rsidR="005B1EF6" w:rsidRPr="00026D3E">
        <w:rPr>
          <w:rFonts w:ascii="Times New Roman" w:hAnsi="Times New Roman" w:cs="Times New Roman"/>
          <w:sz w:val="24"/>
          <w:szCs w:val="24"/>
        </w:rPr>
        <w:t xml:space="preserve"> vypuknutí irácko – íránské války. Oba státníci měli zcela odlišnou představu o tom, kdo je </w:t>
      </w:r>
      <w:r w:rsidR="00276C4B" w:rsidRPr="00026D3E">
        <w:rPr>
          <w:rFonts w:ascii="Times New Roman" w:hAnsi="Times New Roman" w:cs="Times New Roman"/>
          <w:sz w:val="24"/>
          <w:szCs w:val="24"/>
        </w:rPr>
        <w:br/>
      </w:r>
      <w:r w:rsidR="005B1EF6" w:rsidRPr="00026D3E">
        <w:rPr>
          <w:rFonts w:ascii="Times New Roman" w:hAnsi="Times New Roman" w:cs="Times New Roman"/>
          <w:sz w:val="24"/>
          <w:szCs w:val="24"/>
        </w:rPr>
        <w:t>ve skutečnosti hlavním nepřítelem arabských zemí. Pro Husajna jím byl Írán, zatímco al-Asad neustále brojil proti Izraeli. (Seale 1988:357)</w:t>
      </w:r>
      <w:r w:rsidR="00C5179D" w:rsidRPr="00026D3E">
        <w:rPr>
          <w:rFonts w:ascii="Times New Roman" w:hAnsi="Times New Roman" w:cs="Times New Roman"/>
          <w:sz w:val="24"/>
          <w:szCs w:val="24"/>
        </w:rPr>
        <w:t xml:space="preserve"> Syrský prezident odsoudil iráckou akci jako nesprávnou válku vedenou proti nesprávnému nepříteli v nesprávný čas. Válčit proti Íránu bylo hloupé, neboť to vyčerpá Araby, roztrhá jejich jednotu a především odvede pozornost </w:t>
      </w:r>
      <w:r w:rsidR="004F4B6C" w:rsidRPr="00026D3E">
        <w:rPr>
          <w:rFonts w:ascii="Times New Roman" w:hAnsi="Times New Roman" w:cs="Times New Roman"/>
          <w:sz w:val="24"/>
          <w:szCs w:val="24"/>
        </w:rPr>
        <w:t xml:space="preserve">skutečné války, války s Izraelem. (Seale 1988:357, Goodarzi 2006:35) </w:t>
      </w:r>
      <w:r w:rsidR="00A25D5F" w:rsidRPr="00026D3E">
        <w:rPr>
          <w:rFonts w:ascii="Times New Roman" w:hAnsi="Times New Roman" w:cs="Times New Roman"/>
          <w:sz w:val="24"/>
          <w:szCs w:val="24"/>
        </w:rPr>
        <w:t>Přesto</w:t>
      </w:r>
      <w:r w:rsidR="00276C4B" w:rsidRPr="00026D3E">
        <w:rPr>
          <w:rFonts w:ascii="Times New Roman" w:hAnsi="Times New Roman" w:cs="Times New Roman"/>
          <w:sz w:val="24"/>
          <w:szCs w:val="24"/>
        </w:rPr>
        <w:t xml:space="preserve"> se</w:t>
      </w:r>
      <w:r w:rsidR="00A25D5F" w:rsidRPr="00026D3E">
        <w:rPr>
          <w:rFonts w:ascii="Times New Roman" w:hAnsi="Times New Roman" w:cs="Times New Roman"/>
          <w:sz w:val="24"/>
          <w:szCs w:val="24"/>
        </w:rPr>
        <w:t xml:space="preserve">, al-Asad obával případného vítězství Iráku, které by ho uvěznilo mezi </w:t>
      </w:r>
      <w:r w:rsidR="00F67FC9" w:rsidRPr="00026D3E">
        <w:rPr>
          <w:rFonts w:ascii="Times New Roman" w:hAnsi="Times New Roman" w:cs="Times New Roman"/>
          <w:sz w:val="24"/>
          <w:szCs w:val="24"/>
        </w:rPr>
        <w:t xml:space="preserve">ním a vítězným Izraelem </w:t>
      </w:r>
      <w:r w:rsidR="00A25D5F" w:rsidRPr="00026D3E">
        <w:rPr>
          <w:rFonts w:ascii="Times New Roman" w:hAnsi="Times New Roman" w:cs="Times New Roman"/>
          <w:sz w:val="24"/>
          <w:szCs w:val="24"/>
        </w:rPr>
        <w:t xml:space="preserve"> </w:t>
      </w:r>
      <w:r w:rsidR="00276C4B" w:rsidRPr="00026D3E">
        <w:rPr>
          <w:rFonts w:ascii="Times New Roman" w:hAnsi="Times New Roman" w:cs="Times New Roman"/>
          <w:sz w:val="24"/>
          <w:szCs w:val="24"/>
        </w:rPr>
        <w:br/>
      </w:r>
      <w:r w:rsidR="00A25D5F" w:rsidRPr="00026D3E">
        <w:rPr>
          <w:rFonts w:ascii="Times New Roman" w:hAnsi="Times New Roman" w:cs="Times New Roman"/>
          <w:sz w:val="24"/>
          <w:szCs w:val="24"/>
        </w:rPr>
        <w:t xml:space="preserve">a rozhodl se tak podpořit Írán naplno. </w:t>
      </w:r>
    </w:p>
    <w:p w:rsidR="005B1EF6" w:rsidRPr="00026D3E" w:rsidRDefault="00E747F5" w:rsidP="00FE4744">
      <w:pPr>
        <w:spacing w:line="360" w:lineRule="auto"/>
        <w:ind w:firstLine="708"/>
        <w:jc w:val="both"/>
        <w:rPr>
          <w:rFonts w:ascii="Times New Roman" w:hAnsi="Times New Roman" w:cs="Times New Roman"/>
          <w:sz w:val="24"/>
          <w:szCs w:val="24"/>
        </w:rPr>
      </w:pPr>
      <w:r w:rsidRPr="00026D3E">
        <w:rPr>
          <w:rFonts w:ascii="Times New Roman" w:hAnsi="Times New Roman" w:cs="Times New Roman"/>
          <w:sz w:val="24"/>
          <w:szCs w:val="24"/>
        </w:rPr>
        <w:t xml:space="preserve">Krátce po vypuknutí války odcestoval do Moskvy, kde spolu s Brežněvem vyjádřili oficiálně podporu Íránu a zároveň získal spolu s Libyí jeho souhlas s prodejem sovětských zbraní </w:t>
      </w:r>
      <w:r w:rsidR="00C9388B" w:rsidRPr="00026D3E">
        <w:rPr>
          <w:rFonts w:ascii="Times New Roman" w:hAnsi="Times New Roman" w:cs="Times New Roman"/>
          <w:sz w:val="24"/>
          <w:szCs w:val="24"/>
        </w:rPr>
        <w:t>Íránu</w:t>
      </w:r>
      <w:r w:rsidRPr="00026D3E">
        <w:rPr>
          <w:rFonts w:ascii="Times New Roman" w:hAnsi="Times New Roman" w:cs="Times New Roman"/>
          <w:sz w:val="24"/>
          <w:szCs w:val="24"/>
        </w:rPr>
        <w:t xml:space="preserve">. </w:t>
      </w:r>
      <w:r w:rsidR="00C17B44" w:rsidRPr="00026D3E">
        <w:rPr>
          <w:rFonts w:ascii="Times New Roman" w:hAnsi="Times New Roman" w:cs="Times New Roman"/>
          <w:sz w:val="24"/>
          <w:szCs w:val="24"/>
        </w:rPr>
        <w:t>(Seale 1988:358)</w:t>
      </w:r>
      <w:r w:rsidR="00AF7FC4" w:rsidRPr="00026D3E">
        <w:rPr>
          <w:rFonts w:ascii="Times New Roman" w:hAnsi="Times New Roman" w:cs="Times New Roman"/>
          <w:sz w:val="24"/>
          <w:szCs w:val="24"/>
        </w:rPr>
        <w:t xml:space="preserve"> Následně byly zavedeny </w:t>
      </w:r>
      <w:r w:rsidR="00B404B0">
        <w:rPr>
          <w:rFonts w:ascii="Times New Roman" w:hAnsi="Times New Roman" w:cs="Times New Roman"/>
          <w:sz w:val="24"/>
          <w:szCs w:val="24"/>
        </w:rPr>
        <w:t>nepřetržité</w:t>
      </w:r>
      <w:r w:rsidR="00AF7FC4" w:rsidRPr="00026D3E">
        <w:rPr>
          <w:rFonts w:ascii="Times New Roman" w:hAnsi="Times New Roman" w:cs="Times New Roman"/>
          <w:sz w:val="24"/>
          <w:szCs w:val="24"/>
        </w:rPr>
        <w:t xml:space="preserve"> lety íránských vojenských letadel do Sýrie a Libye, odkud </w:t>
      </w:r>
      <w:r w:rsidR="00B404B0">
        <w:rPr>
          <w:rFonts w:ascii="Times New Roman" w:hAnsi="Times New Roman" w:cs="Times New Roman"/>
          <w:sz w:val="24"/>
          <w:szCs w:val="24"/>
        </w:rPr>
        <w:t>transportovala</w:t>
      </w:r>
      <w:r w:rsidR="00AF7FC4" w:rsidRPr="00026D3E">
        <w:rPr>
          <w:rFonts w:ascii="Times New Roman" w:hAnsi="Times New Roman" w:cs="Times New Roman"/>
          <w:sz w:val="24"/>
          <w:szCs w:val="24"/>
        </w:rPr>
        <w:t xml:space="preserve"> zbraně sovětské výroby. </w:t>
      </w:r>
      <w:r w:rsidR="00CD77B4" w:rsidRPr="00026D3E">
        <w:rPr>
          <w:rFonts w:ascii="Times New Roman" w:hAnsi="Times New Roman" w:cs="Times New Roman"/>
          <w:sz w:val="24"/>
          <w:szCs w:val="24"/>
        </w:rPr>
        <w:t>(Goodarzi 2006:35-36)</w:t>
      </w:r>
      <w:r w:rsidR="00B46CB8" w:rsidRPr="00026D3E">
        <w:rPr>
          <w:rFonts w:ascii="Times New Roman" w:hAnsi="Times New Roman" w:cs="Times New Roman"/>
          <w:sz w:val="24"/>
          <w:szCs w:val="24"/>
        </w:rPr>
        <w:t xml:space="preserve"> </w:t>
      </w:r>
      <w:r w:rsidR="00276C4B" w:rsidRPr="00026D3E">
        <w:rPr>
          <w:rFonts w:ascii="Times New Roman" w:hAnsi="Times New Roman" w:cs="Times New Roman"/>
          <w:sz w:val="24"/>
          <w:szCs w:val="24"/>
        </w:rPr>
        <w:t xml:space="preserve">Výměnou začali do Libanonu, </w:t>
      </w:r>
      <w:r w:rsidR="00C4775A" w:rsidRPr="00026D3E">
        <w:rPr>
          <w:rFonts w:ascii="Times New Roman" w:hAnsi="Times New Roman" w:cs="Times New Roman"/>
          <w:sz w:val="24"/>
          <w:szCs w:val="24"/>
        </w:rPr>
        <w:t>skrze Sýrii proudit íránští dobrovolníci, aby podpořili</w:t>
      </w:r>
      <w:r w:rsidR="001C2E10" w:rsidRPr="00026D3E">
        <w:rPr>
          <w:rFonts w:ascii="Times New Roman" w:hAnsi="Times New Roman" w:cs="Times New Roman"/>
          <w:sz w:val="24"/>
          <w:szCs w:val="24"/>
        </w:rPr>
        <w:t xml:space="preserve"> tamní </w:t>
      </w:r>
      <w:r w:rsidR="00C4775A" w:rsidRPr="00026D3E">
        <w:rPr>
          <w:rFonts w:ascii="Times New Roman" w:hAnsi="Times New Roman" w:cs="Times New Roman"/>
          <w:sz w:val="24"/>
          <w:szCs w:val="24"/>
        </w:rPr>
        <w:t>syrské válečné úsilí.</w:t>
      </w:r>
      <w:r w:rsidR="00D97614" w:rsidRPr="00026D3E">
        <w:rPr>
          <w:rStyle w:val="Znakapoznpodarou"/>
          <w:rFonts w:ascii="Times New Roman" w:hAnsi="Times New Roman" w:cs="Times New Roman"/>
          <w:sz w:val="24"/>
          <w:szCs w:val="24"/>
        </w:rPr>
        <w:footnoteReference w:id="11"/>
      </w:r>
      <w:r w:rsidR="00C4775A" w:rsidRPr="00026D3E">
        <w:rPr>
          <w:rFonts w:ascii="Times New Roman" w:hAnsi="Times New Roman" w:cs="Times New Roman"/>
          <w:sz w:val="24"/>
          <w:szCs w:val="24"/>
        </w:rPr>
        <w:t xml:space="preserve"> Al-Asad byl přesvědčen, že Irák taj</w:t>
      </w:r>
      <w:r w:rsidR="00E72A24">
        <w:rPr>
          <w:rFonts w:ascii="Times New Roman" w:hAnsi="Times New Roman" w:cs="Times New Roman"/>
          <w:sz w:val="24"/>
          <w:szCs w:val="24"/>
        </w:rPr>
        <w:t>ně podporoval syrské Muslimské b</w:t>
      </w:r>
      <w:r w:rsidR="00C4775A" w:rsidRPr="00026D3E">
        <w:rPr>
          <w:rFonts w:ascii="Times New Roman" w:hAnsi="Times New Roman" w:cs="Times New Roman"/>
          <w:sz w:val="24"/>
          <w:szCs w:val="24"/>
        </w:rPr>
        <w:t>ratrstvo, nejsilnější opoziční sílu v Sýrii a na op</w:t>
      </w:r>
      <w:r w:rsidR="00DB7573" w:rsidRPr="00026D3E">
        <w:rPr>
          <w:rFonts w:ascii="Times New Roman" w:hAnsi="Times New Roman" w:cs="Times New Roman"/>
          <w:sz w:val="24"/>
          <w:szCs w:val="24"/>
        </w:rPr>
        <w:t>látku zapojil svou rozvědku do rozsáhlých íránských ofensivních akcí. (Seale 1988:358)</w:t>
      </w:r>
      <w:r w:rsidR="00B46CB8" w:rsidRPr="00026D3E">
        <w:rPr>
          <w:rFonts w:ascii="Times New Roman" w:hAnsi="Times New Roman" w:cs="Times New Roman"/>
          <w:sz w:val="24"/>
          <w:szCs w:val="24"/>
        </w:rPr>
        <w:t xml:space="preserve"> </w:t>
      </w:r>
      <w:r w:rsidR="00382345" w:rsidRPr="00026D3E">
        <w:rPr>
          <w:rFonts w:ascii="Times New Roman" w:hAnsi="Times New Roman" w:cs="Times New Roman"/>
          <w:sz w:val="24"/>
          <w:szCs w:val="24"/>
        </w:rPr>
        <w:t xml:space="preserve">Sýrie </w:t>
      </w:r>
      <w:r w:rsidR="00035377" w:rsidRPr="00026D3E">
        <w:rPr>
          <w:rFonts w:ascii="Times New Roman" w:hAnsi="Times New Roman" w:cs="Times New Roman"/>
          <w:sz w:val="24"/>
          <w:szCs w:val="24"/>
        </w:rPr>
        <w:t>již byla intenzivně zapojena do irácko – íránské války</w:t>
      </w:r>
      <w:r w:rsidR="00BB024D" w:rsidRPr="00026D3E">
        <w:rPr>
          <w:rFonts w:ascii="Times New Roman" w:hAnsi="Times New Roman" w:cs="Times New Roman"/>
          <w:sz w:val="24"/>
          <w:szCs w:val="24"/>
        </w:rPr>
        <w:t>. Irák v říjnu 1980 zcela přerušil veškeré diplomatické styky se Sýrií</w:t>
      </w:r>
      <w:r w:rsidR="003128B3" w:rsidRPr="00026D3E">
        <w:rPr>
          <w:rFonts w:ascii="Times New Roman" w:hAnsi="Times New Roman" w:cs="Times New Roman"/>
          <w:sz w:val="24"/>
          <w:szCs w:val="24"/>
        </w:rPr>
        <w:t xml:space="preserve"> a Libyí</w:t>
      </w:r>
      <w:r w:rsidR="00BB024D" w:rsidRPr="00026D3E">
        <w:rPr>
          <w:rFonts w:ascii="Times New Roman" w:hAnsi="Times New Roman" w:cs="Times New Roman"/>
          <w:sz w:val="24"/>
          <w:szCs w:val="24"/>
        </w:rPr>
        <w:t xml:space="preserve"> a za</w:t>
      </w:r>
      <w:r w:rsidR="00D92026" w:rsidRPr="00026D3E">
        <w:rPr>
          <w:rFonts w:ascii="Times New Roman" w:hAnsi="Times New Roman" w:cs="Times New Roman"/>
          <w:sz w:val="24"/>
          <w:szCs w:val="24"/>
        </w:rPr>
        <w:t xml:space="preserve">hájil </w:t>
      </w:r>
      <w:r w:rsidR="003128B3" w:rsidRPr="00026D3E">
        <w:rPr>
          <w:rFonts w:ascii="Times New Roman" w:hAnsi="Times New Roman" w:cs="Times New Roman"/>
          <w:sz w:val="24"/>
          <w:szCs w:val="24"/>
        </w:rPr>
        <w:t xml:space="preserve">proti nim </w:t>
      </w:r>
      <w:r w:rsidR="00D92026" w:rsidRPr="00026D3E">
        <w:rPr>
          <w:rFonts w:ascii="Times New Roman" w:hAnsi="Times New Roman" w:cs="Times New Roman"/>
          <w:sz w:val="24"/>
          <w:szCs w:val="24"/>
        </w:rPr>
        <w:t>značně vyhrocenou mediální kampa</w:t>
      </w:r>
      <w:r w:rsidR="003128B3" w:rsidRPr="00026D3E">
        <w:rPr>
          <w:rFonts w:ascii="Times New Roman" w:hAnsi="Times New Roman" w:cs="Times New Roman"/>
          <w:sz w:val="24"/>
          <w:szCs w:val="24"/>
        </w:rPr>
        <w:t>ň. (Goodarzi 2006:36)</w:t>
      </w:r>
    </w:p>
    <w:p w:rsidR="002173C5" w:rsidRPr="00026D3E" w:rsidRDefault="002B3F39" w:rsidP="0095357B">
      <w:pPr>
        <w:spacing w:line="360" w:lineRule="auto"/>
        <w:ind w:firstLine="708"/>
        <w:jc w:val="both"/>
        <w:rPr>
          <w:rFonts w:ascii="Times New Roman" w:hAnsi="Times New Roman" w:cs="Times New Roman"/>
          <w:sz w:val="24"/>
          <w:szCs w:val="24"/>
        </w:rPr>
      </w:pPr>
      <w:r w:rsidRPr="00026D3E">
        <w:rPr>
          <w:rFonts w:ascii="Times New Roman" w:hAnsi="Times New Roman" w:cs="Times New Roman"/>
          <w:sz w:val="24"/>
          <w:szCs w:val="24"/>
        </w:rPr>
        <w:t>V počáteční fá</w:t>
      </w:r>
      <w:r w:rsidR="009A0332">
        <w:rPr>
          <w:rFonts w:ascii="Times New Roman" w:hAnsi="Times New Roman" w:cs="Times New Roman"/>
          <w:sz w:val="24"/>
          <w:szCs w:val="24"/>
        </w:rPr>
        <w:t>zi irácko – íránské války</w:t>
      </w:r>
      <w:r w:rsidR="00C178BE" w:rsidRPr="00026D3E">
        <w:rPr>
          <w:rFonts w:ascii="Times New Roman" w:hAnsi="Times New Roman" w:cs="Times New Roman"/>
          <w:sz w:val="24"/>
          <w:szCs w:val="24"/>
        </w:rPr>
        <w:t xml:space="preserve"> </w:t>
      </w:r>
      <w:r w:rsidRPr="00026D3E">
        <w:rPr>
          <w:rFonts w:ascii="Times New Roman" w:hAnsi="Times New Roman" w:cs="Times New Roman"/>
          <w:sz w:val="24"/>
          <w:szCs w:val="24"/>
        </w:rPr>
        <w:t>vykrystalizovaly dva spojenecké bloky. Na jedné straně spolupracoval Irá</w:t>
      </w:r>
      <w:r w:rsidR="00C178BE" w:rsidRPr="00026D3E">
        <w:rPr>
          <w:rFonts w:ascii="Times New Roman" w:hAnsi="Times New Roman" w:cs="Times New Roman"/>
          <w:sz w:val="24"/>
          <w:szCs w:val="24"/>
        </w:rPr>
        <w:t>k se Saudskou Arábií a Jordánskem</w:t>
      </w:r>
      <w:r w:rsidRPr="00026D3E">
        <w:rPr>
          <w:rFonts w:ascii="Times New Roman" w:hAnsi="Times New Roman" w:cs="Times New Roman"/>
          <w:sz w:val="24"/>
          <w:szCs w:val="24"/>
        </w:rPr>
        <w:t xml:space="preserve">, na druhé straně pak Írán se Sýrií a Libyí. </w:t>
      </w:r>
      <w:r w:rsidR="0035064A" w:rsidRPr="00026D3E">
        <w:rPr>
          <w:rFonts w:ascii="Times New Roman" w:hAnsi="Times New Roman" w:cs="Times New Roman"/>
          <w:sz w:val="24"/>
          <w:szCs w:val="24"/>
        </w:rPr>
        <w:t xml:space="preserve">(Goodarzi 2006:34) </w:t>
      </w:r>
      <w:r w:rsidR="002D7AF4" w:rsidRPr="00026D3E">
        <w:rPr>
          <w:rFonts w:ascii="Times New Roman" w:hAnsi="Times New Roman" w:cs="Times New Roman"/>
          <w:sz w:val="24"/>
          <w:szCs w:val="24"/>
        </w:rPr>
        <w:t>V </w:t>
      </w:r>
      <w:r w:rsidR="00F72501" w:rsidRPr="00026D3E">
        <w:rPr>
          <w:rFonts w:ascii="Times New Roman" w:hAnsi="Times New Roman" w:cs="Times New Roman"/>
          <w:sz w:val="24"/>
          <w:szCs w:val="24"/>
        </w:rPr>
        <w:t>únoru</w:t>
      </w:r>
      <w:r w:rsidR="002D7AF4" w:rsidRPr="00026D3E">
        <w:rPr>
          <w:rFonts w:ascii="Times New Roman" w:hAnsi="Times New Roman" w:cs="Times New Roman"/>
          <w:sz w:val="24"/>
          <w:szCs w:val="24"/>
        </w:rPr>
        <w:t xml:space="preserve"> roku 1981 se </w:t>
      </w:r>
      <w:r w:rsidR="00F72501" w:rsidRPr="00026D3E">
        <w:rPr>
          <w:rFonts w:ascii="Times New Roman" w:hAnsi="Times New Roman" w:cs="Times New Roman"/>
          <w:sz w:val="24"/>
          <w:szCs w:val="24"/>
        </w:rPr>
        <w:t xml:space="preserve">vztahy Sýrie a Íránu utužily ještě </w:t>
      </w:r>
      <w:r w:rsidR="00F72501" w:rsidRPr="00026D3E">
        <w:rPr>
          <w:rFonts w:ascii="Times New Roman" w:hAnsi="Times New Roman" w:cs="Times New Roman"/>
          <w:sz w:val="24"/>
          <w:szCs w:val="24"/>
        </w:rPr>
        <w:lastRenderedPageBreak/>
        <w:t>více, když sebevědomý Kaddáfí, posílený masivními dodávkami sovětských zbraní a nedávnými zisky v africkém Čadu, požadoval od al-Asada rozpuštění syrské baasistické strany a její nahrazení lidovými komisemi libyjského střihu. (Goodarzi 2006:44)</w:t>
      </w:r>
      <w:r w:rsidR="00E966E8" w:rsidRPr="00026D3E">
        <w:rPr>
          <w:rFonts w:ascii="Times New Roman" w:hAnsi="Times New Roman" w:cs="Times New Roman"/>
          <w:sz w:val="24"/>
          <w:szCs w:val="24"/>
        </w:rPr>
        <w:t xml:space="preserve"> Přestože značně oslabená, libyjská vojenská spolupráce nadále pokračovala, Sýrie se však nyní více přimkla k Íránu. </w:t>
      </w:r>
      <w:r w:rsidR="002173C5" w:rsidRPr="00026D3E">
        <w:rPr>
          <w:rFonts w:ascii="Times New Roman" w:hAnsi="Times New Roman" w:cs="Times New Roman"/>
          <w:sz w:val="24"/>
          <w:szCs w:val="24"/>
        </w:rPr>
        <w:t xml:space="preserve">Al-Asad </w:t>
      </w:r>
      <w:r w:rsidR="00381C31" w:rsidRPr="00026D3E">
        <w:rPr>
          <w:rFonts w:ascii="Times New Roman" w:hAnsi="Times New Roman" w:cs="Times New Roman"/>
          <w:sz w:val="24"/>
          <w:szCs w:val="24"/>
        </w:rPr>
        <w:t>byl svědkem demonstrace íránské přízně při několika příležitostech, kdy Írán pomohl Sýrii stabilizovat domácí prostředí, jako když nepodpořil silné islamistické povstání v syrské Hamě v únoru roku 1982. (Gombár 2001:56)</w:t>
      </w:r>
    </w:p>
    <w:p w:rsidR="00CC514D" w:rsidRPr="00026D3E" w:rsidRDefault="00E966E8" w:rsidP="009F31C1">
      <w:pPr>
        <w:spacing w:line="360" w:lineRule="auto"/>
        <w:ind w:firstLine="708"/>
        <w:jc w:val="both"/>
        <w:rPr>
          <w:rFonts w:ascii="Times New Roman" w:hAnsi="Times New Roman" w:cs="Times New Roman"/>
          <w:sz w:val="24"/>
          <w:szCs w:val="24"/>
        </w:rPr>
      </w:pPr>
      <w:r w:rsidRPr="00026D3E">
        <w:rPr>
          <w:rFonts w:ascii="Times New Roman" w:hAnsi="Times New Roman" w:cs="Times New Roman"/>
          <w:sz w:val="24"/>
          <w:szCs w:val="24"/>
        </w:rPr>
        <w:t xml:space="preserve">Vytrvalá </w:t>
      </w:r>
      <w:r w:rsidR="002173C5" w:rsidRPr="00026D3E">
        <w:rPr>
          <w:rFonts w:ascii="Times New Roman" w:hAnsi="Times New Roman" w:cs="Times New Roman"/>
          <w:sz w:val="24"/>
          <w:szCs w:val="24"/>
        </w:rPr>
        <w:t>spolupráce Sýrie a Íránu</w:t>
      </w:r>
      <w:r w:rsidRPr="00026D3E">
        <w:rPr>
          <w:rFonts w:ascii="Times New Roman" w:hAnsi="Times New Roman" w:cs="Times New Roman"/>
          <w:sz w:val="24"/>
          <w:szCs w:val="24"/>
        </w:rPr>
        <w:t xml:space="preserve"> vyústila v březnu roku 1982 v sérii bilaterálních dohod, které jsou mnohými autory považovány za formální vznik aliance. </w:t>
      </w:r>
      <w:r w:rsidR="00495FCB" w:rsidRPr="00026D3E">
        <w:rPr>
          <w:rFonts w:ascii="Times New Roman" w:hAnsi="Times New Roman" w:cs="Times New Roman"/>
          <w:sz w:val="24"/>
          <w:szCs w:val="24"/>
        </w:rPr>
        <w:t xml:space="preserve"> (Seale 1988:359; Ehteshami, Hinnebusch 1997:93; Go</w:t>
      </w:r>
      <w:r w:rsidR="006C2947" w:rsidRPr="00026D3E">
        <w:rPr>
          <w:rFonts w:ascii="Times New Roman" w:hAnsi="Times New Roman" w:cs="Times New Roman"/>
          <w:sz w:val="24"/>
          <w:szCs w:val="24"/>
        </w:rPr>
        <w:t xml:space="preserve">mbár 2001:55; Goodarzi 2006:55) </w:t>
      </w:r>
      <w:r w:rsidR="00632282" w:rsidRPr="00026D3E">
        <w:rPr>
          <w:rFonts w:ascii="Times New Roman" w:hAnsi="Times New Roman" w:cs="Times New Roman"/>
          <w:sz w:val="24"/>
          <w:szCs w:val="24"/>
        </w:rPr>
        <w:t xml:space="preserve">Teherán navštívila </w:t>
      </w:r>
      <w:r w:rsidR="00CC514D" w:rsidRPr="00026D3E">
        <w:rPr>
          <w:rFonts w:ascii="Times New Roman" w:hAnsi="Times New Roman" w:cs="Times New Roman"/>
          <w:sz w:val="24"/>
          <w:szCs w:val="24"/>
        </w:rPr>
        <w:t>syrská delegace</w:t>
      </w:r>
      <w:r w:rsidR="009F31C1">
        <w:rPr>
          <w:rFonts w:ascii="Times New Roman" w:hAnsi="Times New Roman" w:cs="Times New Roman"/>
          <w:sz w:val="24"/>
          <w:szCs w:val="24"/>
        </w:rPr>
        <w:t xml:space="preserve"> čítající čtyřicet osm členů</w:t>
      </w:r>
      <w:r w:rsidR="00CC514D" w:rsidRPr="00026D3E">
        <w:rPr>
          <w:rFonts w:ascii="Times New Roman" w:hAnsi="Times New Roman" w:cs="Times New Roman"/>
          <w:sz w:val="24"/>
          <w:szCs w:val="24"/>
        </w:rPr>
        <w:t>, vedena místopředsedou vlády a minist</w:t>
      </w:r>
      <w:r w:rsidR="006C2947" w:rsidRPr="00026D3E">
        <w:rPr>
          <w:rFonts w:ascii="Times New Roman" w:hAnsi="Times New Roman" w:cs="Times New Roman"/>
          <w:sz w:val="24"/>
          <w:szCs w:val="24"/>
        </w:rPr>
        <w:t>rem zahraničí Chaddámem. Součástí dohod, které vedoucí delegace podepsal,</w:t>
      </w:r>
      <w:r w:rsidR="00CC514D" w:rsidRPr="00026D3E">
        <w:rPr>
          <w:rFonts w:ascii="Times New Roman" w:hAnsi="Times New Roman" w:cs="Times New Roman"/>
          <w:sz w:val="24"/>
          <w:szCs w:val="24"/>
        </w:rPr>
        <w:t xml:space="preserve"> bylo smluvené množství dovozu íránské ropy do Sýrie, které mělo plně nahradit irácké dodávky. Sýrie měla naopak dodávat smluvené množství fosfátů pro íránský petrochemický průmysl. Součástí dohod byly údajně také rozsáhlé zbrojní zakázky, které měly podpořit íránské válečné úsilí. V důsledku dohod pak Sýrie začátkem dubna uzavřela své hranice </w:t>
      </w:r>
      <w:r w:rsidR="00AF4712" w:rsidRPr="00026D3E">
        <w:rPr>
          <w:rFonts w:ascii="Times New Roman" w:hAnsi="Times New Roman" w:cs="Times New Roman"/>
          <w:sz w:val="24"/>
          <w:szCs w:val="24"/>
        </w:rPr>
        <w:t>s Irákem a zavřela také ropovod, je</w:t>
      </w:r>
      <w:r w:rsidR="00834490">
        <w:rPr>
          <w:rFonts w:ascii="Times New Roman" w:hAnsi="Times New Roman" w:cs="Times New Roman"/>
          <w:sz w:val="24"/>
          <w:szCs w:val="24"/>
        </w:rPr>
        <w:t>n</w:t>
      </w:r>
      <w:r w:rsidR="00AF4712" w:rsidRPr="00026D3E">
        <w:rPr>
          <w:rFonts w:ascii="Times New Roman" w:hAnsi="Times New Roman" w:cs="Times New Roman"/>
          <w:sz w:val="24"/>
          <w:szCs w:val="24"/>
        </w:rPr>
        <w:t>ž vedl přes její území z iráckého Kirkúku až ke Středozemnímu moři. (Goodarzi 2006:54-55)</w:t>
      </w:r>
    </w:p>
    <w:p w:rsidR="00F12DC7" w:rsidRDefault="001329DC" w:rsidP="00F12DC7">
      <w:pPr>
        <w:spacing w:line="360" w:lineRule="auto"/>
        <w:ind w:firstLine="708"/>
        <w:jc w:val="both"/>
        <w:rPr>
          <w:rFonts w:ascii="Times New Roman" w:hAnsi="Times New Roman" w:cs="Times New Roman"/>
          <w:sz w:val="24"/>
          <w:szCs w:val="24"/>
        </w:rPr>
      </w:pPr>
      <w:r w:rsidRPr="00026D3E">
        <w:rPr>
          <w:rFonts w:ascii="Times New Roman" w:hAnsi="Times New Roman" w:cs="Times New Roman"/>
          <w:sz w:val="24"/>
          <w:szCs w:val="24"/>
        </w:rPr>
        <w:t xml:space="preserve">Jaká byla tedy vlastně </w:t>
      </w:r>
      <w:r w:rsidR="00834490">
        <w:rPr>
          <w:rFonts w:ascii="Times New Roman" w:hAnsi="Times New Roman" w:cs="Times New Roman"/>
          <w:sz w:val="24"/>
          <w:szCs w:val="24"/>
        </w:rPr>
        <w:t>logika s</w:t>
      </w:r>
      <w:r w:rsidR="00E64393">
        <w:rPr>
          <w:rFonts w:ascii="Times New Roman" w:hAnsi="Times New Roman" w:cs="Times New Roman"/>
          <w:sz w:val="24"/>
          <w:szCs w:val="24"/>
        </w:rPr>
        <w:t xml:space="preserve">yrsko – </w:t>
      </w:r>
      <w:r w:rsidR="00834490">
        <w:rPr>
          <w:rFonts w:ascii="Times New Roman" w:hAnsi="Times New Roman" w:cs="Times New Roman"/>
          <w:sz w:val="24"/>
          <w:szCs w:val="24"/>
        </w:rPr>
        <w:t>í</w:t>
      </w:r>
      <w:r w:rsidR="002D3365" w:rsidRPr="00026D3E">
        <w:rPr>
          <w:rFonts w:ascii="Times New Roman" w:hAnsi="Times New Roman" w:cs="Times New Roman"/>
          <w:sz w:val="24"/>
          <w:szCs w:val="24"/>
        </w:rPr>
        <w:t>ránské aliance</w:t>
      </w:r>
      <w:r w:rsidR="00901B09">
        <w:rPr>
          <w:rFonts w:ascii="Times New Roman" w:hAnsi="Times New Roman" w:cs="Times New Roman"/>
          <w:sz w:val="24"/>
          <w:szCs w:val="24"/>
        </w:rPr>
        <w:t>?</w:t>
      </w:r>
      <w:r w:rsidR="00864211">
        <w:rPr>
          <w:rFonts w:ascii="Times New Roman" w:hAnsi="Times New Roman" w:cs="Times New Roman"/>
          <w:sz w:val="24"/>
          <w:szCs w:val="24"/>
        </w:rPr>
        <w:t xml:space="preserve"> Jaké </w:t>
      </w:r>
      <w:r w:rsidR="00E64393">
        <w:rPr>
          <w:rFonts w:ascii="Times New Roman" w:hAnsi="Times New Roman" w:cs="Times New Roman"/>
          <w:sz w:val="24"/>
          <w:szCs w:val="24"/>
        </w:rPr>
        <w:t>byly příčiny jejího vzniku</w:t>
      </w:r>
      <w:r w:rsidR="00FE01EE" w:rsidRPr="00026D3E">
        <w:rPr>
          <w:rFonts w:ascii="Times New Roman" w:hAnsi="Times New Roman" w:cs="Times New Roman"/>
          <w:sz w:val="24"/>
          <w:szCs w:val="24"/>
        </w:rPr>
        <w:t xml:space="preserve">? </w:t>
      </w:r>
      <w:r w:rsidR="00FD3550" w:rsidRPr="00026D3E">
        <w:rPr>
          <w:rFonts w:ascii="Times New Roman" w:hAnsi="Times New Roman" w:cs="Times New Roman"/>
          <w:sz w:val="24"/>
          <w:szCs w:val="24"/>
        </w:rPr>
        <w:t>Ehteshami a Hinnebusch (Ehteshami, Hinnebusch 1997:87-90)</w:t>
      </w:r>
      <w:r w:rsidR="00A20EEA" w:rsidRPr="00026D3E">
        <w:rPr>
          <w:rFonts w:ascii="Times New Roman" w:hAnsi="Times New Roman" w:cs="Times New Roman"/>
          <w:sz w:val="24"/>
          <w:szCs w:val="24"/>
        </w:rPr>
        <w:t xml:space="preserve"> argumentují, že </w:t>
      </w:r>
      <w:r w:rsidR="00995CA9" w:rsidRPr="00026D3E">
        <w:rPr>
          <w:rFonts w:ascii="Times New Roman" w:hAnsi="Times New Roman" w:cs="Times New Roman"/>
          <w:sz w:val="24"/>
          <w:szCs w:val="24"/>
        </w:rPr>
        <w:t xml:space="preserve">strach obou zemí z Iráku </w:t>
      </w:r>
      <w:r w:rsidR="00D72122" w:rsidRPr="00026D3E">
        <w:rPr>
          <w:rFonts w:ascii="Times New Roman" w:hAnsi="Times New Roman" w:cs="Times New Roman"/>
          <w:sz w:val="24"/>
          <w:szCs w:val="24"/>
        </w:rPr>
        <w:t>lze označit jako příčinu vzniku aliance</w:t>
      </w:r>
      <w:r w:rsidR="00670454" w:rsidRPr="00026D3E">
        <w:rPr>
          <w:rFonts w:ascii="Times New Roman" w:hAnsi="Times New Roman" w:cs="Times New Roman"/>
          <w:sz w:val="24"/>
          <w:szCs w:val="24"/>
        </w:rPr>
        <w:t>, avšak pouze částečnou</w:t>
      </w:r>
      <w:r w:rsidR="00995CA9" w:rsidRPr="00026D3E">
        <w:rPr>
          <w:rFonts w:ascii="Times New Roman" w:hAnsi="Times New Roman" w:cs="Times New Roman"/>
          <w:sz w:val="24"/>
          <w:szCs w:val="24"/>
        </w:rPr>
        <w:t xml:space="preserve">. Významnou roli přisuzují také anti-imperialistickému postoji, kdy koordinací </w:t>
      </w:r>
      <w:r w:rsidR="00BF1053" w:rsidRPr="00026D3E">
        <w:rPr>
          <w:rFonts w:ascii="Times New Roman" w:hAnsi="Times New Roman" w:cs="Times New Roman"/>
          <w:sz w:val="24"/>
          <w:szCs w:val="24"/>
        </w:rPr>
        <w:t>svých postupů</w:t>
      </w:r>
      <w:r w:rsidR="00995CA9" w:rsidRPr="00026D3E">
        <w:rPr>
          <w:rFonts w:ascii="Times New Roman" w:hAnsi="Times New Roman" w:cs="Times New Roman"/>
          <w:sz w:val="24"/>
          <w:szCs w:val="24"/>
        </w:rPr>
        <w:t xml:space="preserve"> měly být schopnější čelit </w:t>
      </w:r>
      <w:r w:rsidR="00BF1053" w:rsidRPr="00026D3E">
        <w:rPr>
          <w:rFonts w:ascii="Times New Roman" w:hAnsi="Times New Roman" w:cs="Times New Roman"/>
          <w:sz w:val="24"/>
          <w:szCs w:val="24"/>
        </w:rPr>
        <w:t>penetraci Spojených států v regionu</w:t>
      </w:r>
      <w:r w:rsidR="00995CA9" w:rsidRPr="00026D3E">
        <w:rPr>
          <w:rFonts w:ascii="Times New Roman" w:hAnsi="Times New Roman" w:cs="Times New Roman"/>
          <w:sz w:val="24"/>
          <w:szCs w:val="24"/>
        </w:rPr>
        <w:t xml:space="preserve"> a Izraeli, zejména v konfliktu v Libanonu. Goodarzi (Goodarzi 2006:13</w:t>
      </w:r>
      <w:r w:rsidR="00F12A0A" w:rsidRPr="00026D3E">
        <w:rPr>
          <w:rFonts w:ascii="Times New Roman" w:hAnsi="Times New Roman" w:cs="Times New Roman"/>
          <w:sz w:val="24"/>
          <w:szCs w:val="24"/>
        </w:rPr>
        <w:t>) rovněž zdůrazňuje společné antipatie vůči Iráku, avšak dodává, že zdůvodnit smysl aliance pouze takto by bylo přílišné zjednodušení. Připomíná, že je nutné na alianci nahlížet skrze prizma mezi-Arabské politiky, vůdcovských ambicí al-Asada a novou zahraničně politickou orientaci revolučního Íránu. Al-Asadův životopisec Patrick Seale opět vyzdvihuje důležitost irácké hrozby pro Sýrii, jež hledala podporu u Íránu. (Seale 1988:354) Stejně tak ovšem přisuzuje význam al-Asadových a</w:t>
      </w:r>
      <w:r w:rsidR="007757CD">
        <w:rPr>
          <w:rFonts w:ascii="Times New Roman" w:hAnsi="Times New Roman" w:cs="Times New Roman"/>
          <w:sz w:val="24"/>
          <w:szCs w:val="24"/>
        </w:rPr>
        <w:t>ntipatií vůči předchozímu šáhovu</w:t>
      </w:r>
      <w:r w:rsidR="00F12A0A" w:rsidRPr="00026D3E">
        <w:rPr>
          <w:rFonts w:ascii="Times New Roman" w:hAnsi="Times New Roman" w:cs="Times New Roman"/>
          <w:sz w:val="24"/>
          <w:szCs w:val="24"/>
        </w:rPr>
        <w:t xml:space="preserve"> režimu. (Seale 1988:353)</w:t>
      </w:r>
      <w:r w:rsidR="00F12DC7">
        <w:rPr>
          <w:rFonts w:ascii="Times New Roman" w:hAnsi="Times New Roman" w:cs="Times New Roman"/>
          <w:sz w:val="24"/>
          <w:szCs w:val="24"/>
        </w:rPr>
        <w:t xml:space="preserve"> </w:t>
      </w:r>
    </w:p>
    <w:p w:rsidR="00A87662" w:rsidRPr="00026D3E" w:rsidRDefault="00A87662" w:rsidP="00F12DC7">
      <w:pPr>
        <w:spacing w:line="360" w:lineRule="auto"/>
        <w:ind w:firstLine="708"/>
        <w:jc w:val="both"/>
        <w:rPr>
          <w:rFonts w:ascii="Times New Roman" w:hAnsi="Times New Roman" w:cs="Times New Roman"/>
          <w:sz w:val="24"/>
          <w:szCs w:val="24"/>
        </w:rPr>
      </w:pPr>
      <w:r w:rsidRPr="00026D3E">
        <w:rPr>
          <w:rFonts w:ascii="Times New Roman" w:hAnsi="Times New Roman" w:cs="Times New Roman"/>
          <w:sz w:val="24"/>
          <w:szCs w:val="24"/>
        </w:rPr>
        <w:t>Není tak bez zajímavosti</w:t>
      </w:r>
      <w:r w:rsidR="00F44E7D" w:rsidRPr="00026D3E">
        <w:rPr>
          <w:rFonts w:ascii="Times New Roman" w:hAnsi="Times New Roman" w:cs="Times New Roman"/>
          <w:sz w:val="24"/>
          <w:szCs w:val="24"/>
        </w:rPr>
        <w:t xml:space="preserve">, že klíčové zdroje, </w:t>
      </w:r>
      <w:r w:rsidR="00DB3918">
        <w:rPr>
          <w:rFonts w:ascii="Times New Roman" w:hAnsi="Times New Roman" w:cs="Times New Roman"/>
          <w:sz w:val="24"/>
          <w:szCs w:val="24"/>
        </w:rPr>
        <w:t xml:space="preserve">které </w:t>
      </w:r>
      <w:r w:rsidR="00F44E7D" w:rsidRPr="00026D3E">
        <w:rPr>
          <w:rFonts w:ascii="Times New Roman" w:hAnsi="Times New Roman" w:cs="Times New Roman"/>
          <w:sz w:val="24"/>
          <w:szCs w:val="24"/>
        </w:rPr>
        <w:t xml:space="preserve">autor </w:t>
      </w:r>
      <w:r w:rsidR="00DB3918">
        <w:rPr>
          <w:rFonts w:ascii="Times New Roman" w:hAnsi="Times New Roman" w:cs="Times New Roman"/>
          <w:sz w:val="24"/>
          <w:szCs w:val="24"/>
        </w:rPr>
        <w:t xml:space="preserve">použil k analýze </w:t>
      </w:r>
      <w:r w:rsidR="00F44E7D" w:rsidRPr="00026D3E">
        <w:rPr>
          <w:rFonts w:ascii="Times New Roman" w:hAnsi="Times New Roman" w:cs="Times New Roman"/>
          <w:sz w:val="24"/>
          <w:szCs w:val="24"/>
        </w:rPr>
        <w:t xml:space="preserve">zahraničních vztahů Sýrie a Íránu, shledává vznik aliance alespoň částečně jako reakci na hrozbu, kterou </w:t>
      </w:r>
      <w:r w:rsidR="00F44E7D" w:rsidRPr="00026D3E">
        <w:rPr>
          <w:rFonts w:ascii="Times New Roman" w:hAnsi="Times New Roman" w:cs="Times New Roman"/>
          <w:sz w:val="24"/>
          <w:szCs w:val="24"/>
        </w:rPr>
        <w:lastRenderedPageBreak/>
        <w:t xml:space="preserve">pro ně představoval Irák. V následujících kapitolách se tak autor pokusí zjistit, zda lze dojít k podobnému závěru za použití nezávisle proměnných Waltovy teorie. </w:t>
      </w:r>
    </w:p>
    <w:p w:rsidR="00593F8F" w:rsidRPr="00026D3E" w:rsidRDefault="00593F8F" w:rsidP="00801A41">
      <w:pPr>
        <w:rPr>
          <w:rFonts w:ascii="Times New Roman" w:hAnsi="Times New Roman" w:cs="Times New Roman"/>
          <w:sz w:val="24"/>
          <w:szCs w:val="24"/>
        </w:rPr>
      </w:pPr>
    </w:p>
    <w:p w:rsidR="00593F8F" w:rsidRPr="00026D3E" w:rsidRDefault="00593F8F" w:rsidP="00801A41">
      <w:pPr>
        <w:rPr>
          <w:rFonts w:ascii="Times New Roman" w:hAnsi="Times New Roman" w:cs="Times New Roman"/>
          <w:sz w:val="24"/>
          <w:szCs w:val="24"/>
        </w:rPr>
      </w:pPr>
    </w:p>
    <w:p w:rsidR="00C70F49" w:rsidRPr="00026D3E" w:rsidRDefault="00C70F49" w:rsidP="00801A41">
      <w:pPr>
        <w:rPr>
          <w:rFonts w:ascii="Times New Roman" w:hAnsi="Times New Roman" w:cs="Times New Roman"/>
          <w:sz w:val="24"/>
          <w:szCs w:val="24"/>
        </w:rPr>
      </w:pPr>
    </w:p>
    <w:p w:rsidR="00C70F49" w:rsidRPr="00026D3E" w:rsidRDefault="00C70F49" w:rsidP="00801A41">
      <w:pPr>
        <w:rPr>
          <w:rFonts w:ascii="Times New Roman" w:hAnsi="Times New Roman" w:cs="Times New Roman"/>
          <w:sz w:val="24"/>
          <w:szCs w:val="24"/>
        </w:rPr>
      </w:pPr>
    </w:p>
    <w:p w:rsidR="00C70F49" w:rsidRPr="00026D3E" w:rsidRDefault="00C70F49" w:rsidP="00801A41">
      <w:pPr>
        <w:rPr>
          <w:rFonts w:ascii="Times New Roman" w:hAnsi="Times New Roman" w:cs="Times New Roman"/>
          <w:sz w:val="24"/>
          <w:szCs w:val="24"/>
        </w:rPr>
      </w:pPr>
    </w:p>
    <w:p w:rsidR="00C70F49" w:rsidRPr="00026D3E" w:rsidRDefault="00C70F49" w:rsidP="00801A41">
      <w:pPr>
        <w:rPr>
          <w:rFonts w:ascii="Times New Roman" w:hAnsi="Times New Roman" w:cs="Times New Roman"/>
          <w:sz w:val="24"/>
          <w:szCs w:val="24"/>
        </w:rPr>
      </w:pPr>
    </w:p>
    <w:p w:rsidR="00C70F49" w:rsidRPr="00026D3E" w:rsidRDefault="00C70F49" w:rsidP="00801A41">
      <w:pPr>
        <w:rPr>
          <w:rFonts w:ascii="Times New Roman" w:hAnsi="Times New Roman" w:cs="Times New Roman"/>
          <w:sz w:val="24"/>
          <w:szCs w:val="24"/>
        </w:rPr>
      </w:pPr>
    </w:p>
    <w:p w:rsidR="00C70F49" w:rsidRPr="00026D3E" w:rsidRDefault="00C70F49" w:rsidP="00801A41">
      <w:pPr>
        <w:rPr>
          <w:rFonts w:ascii="Times New Roman" w:hAnsi="Times New Roman" w:cs="Times New Roman"/>
          <w:sz w:val="24"/>
          <w:szCs w:val="24"/>
        </w:rPr>
      </w:pPr>
    </w:p>
    <w:p w:rsidR="00C70F49" w:rsidRPr="00026D3E" w:rsidRDefault="00C70F49" w:rsidP="00801A41">
      <w:pPr>
        <w:rPr>
          <w:rFonts w:ascii="Times New Roman" w:hAnsi="Times New Roman" w:cs="Times New Roman"/>
          <w:sz w:val="24"/>
          <w:szCs w:val="24"/>
        </w:rPr>
      </w:pPr>
    </w:p>
    <w:p w:rsidR="00C70F49" w:rsidRDefault="00C70F49" w:rsidP="00801A41">
      <w:pPr>
        <w:rPr>
          <w:rFonts w:ascii="Times New Roman" w:hAnsi="Times New Roman" w:cs="Times New Roman"/>
          <w:sz w:val="24"/>
          <w:szCs w:val="24"/>
        </w:rPr>
      </w:pPr>
    </w:p>
    <w:p w:rsidR="004C1C49" w:rsidRDefault="004C1C49" w:rsidP="00801A41">
      <w:pPr>
        <w:rPr>
          <w:rFonts w:ascii="Times New Roman" w:hAnsi="Times New Roman" w:cs="Times New Roman"/>
          <w:sz w:val="24"/>
          <w:szCs w:val="24"/>
        </w:rPr>
      </w:pPr>
    </w:p>
    <w:p w:rsidR="004C1C49" w:rsidRDefault="004C1C49" w:rsidP="00801A41">
      <w:pPr>
        <w:rPr>
          <w:rFonts w:ascii="Times New Roman" w:hAnsi="Times New Roman" w:cs="Times New Roman"/>
          <w:sz w:val="24"/>
          <w:szCs w:val="24"/>
        </w:rPr>
      </w:pPr>
    </w:p>
    <w:p w:rsidR="004C1C49" w:rsidRDefault="004C1C49" w:rsidP="00801A41">
      <w:pPr>
        <w:rPr>
          <w:rFonts w:ascii="Times New Roman" w:hAnsi="Times New Roman" w:cs="Times New Roman"/>
          <w:sz w:val="24"/>
          <w:szCs w:val="24"/>
        </w:rPr>
      </w:pPr>
    </w:p>
    <w:p w:rsidR="004C1C49" w:rsidRDefault="004C1C49" w:rsidP="00801A41">
      <w:pPr>
        <w:rPr>
          <w:rFonts w:ascii="Times New Roman" w:hAnsi="Times New Roman" w:cs="Times New Roman"/>
          <w:sz w:val="24"/>
          <w:szCs w:val="24"/>
        </w:rPr>
      </w:pPr>
    </w:p>
    <w:p w:rsidR="004C1C49" w:rsidRDefault="004C1C49" w:rsidP="00801A41">
      <w:pPr>
        <w:rPr>
          <w:rFonts w:ascii="Times New Roman" w:hAnsi="Times New Roman" w:cs="Times New Roman"/>
          <w:sz w:val="24"/>
          <w:szCs w:val="24"/>
        </w:rPr>
      </w:pPr>
    </w:p>
    <w:p w:rsidR="004C1C49" w:rsidRDefault="004C1C49" w:rsidP="00801A41">
      <w:pPr>
        <w:rPr>
          <w:rFonts w:ascii="Times New Roman" w:hAnsi="Times New Roman" w:cs="Times New Roman"/>
          <w:sz w:val="24"/>
          <w:szCs w:val="24"/>
        </w:rPr>
      </w:pPr>
    </w:p>
    <w:p w:rsidR="004C1C49" w:rsidRDefault="004C1C49" w:rsidP="00801A41">
      <w:pPr>
        <w:rPr>
          <w:rFonts w:ascii="Times New Roman" w:hAnsi="Times New Roman" w:cs="Times New Roman"/>
          <w:sz w:val="24"/>
          <w:szCs w:val="24"/>
        </w:rPr>
      </w:pPr>
    </w:p>
    <w:p w:rsidR="004C1C49" w:rsidRDefault="004C1C49" w:rsidP="00801A41">
      <w:pPr>
        <w:rPr>
          <w:rFonts w:ascii="Times New Roman" w:hAnsi="Times New Roman" w:cs="Times New Roman"/>
          <w:sz w:val="24"/>
          <w:szCs w:val="24"/>
        </w:rPr>
      </w:pPr>
    </w:p>
    <w:p w:rsidR="004C1C49" w:rsidRDefault="004C1C49" w:rsidP="00801A41">
      <w:pPr>
        <w:rPr>
          <w:rFonts w:ascii="Times New Roman" w:hAnsi="Times New Roman" w:cs="Times New Roman"/>
          <w:sz w:val="24"/>
          <w:szCs w:val="24"/>
        </w:rPr>
      </w:pPr>
    </w:p>
    <w:p w:rsidR="004C1C49" w:rsidRDefault="004C1C49" w:rsidP="00801A41">
      <w:pPr>
        <w:rPr>
          <w:rFonts w:ascii="Times New Roman" w:hAnsi="Times New Roman" w:cs="Times New Roman"/>
          <w:sz w:val="24"/>
          <w:szCs w:val="24"/>
        </w:rPr>
      </w:pPr>
    </w:p>
    <w:p w:rsidR="004C1C49" w:rsidRDefault="004C1C49" w:rsidP="00801A41">
      <w:pPr>
        <w:rPr>
          <w:rFonts w:ascii="Times New Roman" w:hAnsi="Times New Roman" w:cs="Times New Roman"/>
          <w:sz w:val="24"/>
          <w:szCs w:val="24"/>
        </w:rPr>
      </w:pPr>
    </w:p>
    <w:p w:rsidR="004C1C49" w:rsidRPr="00026D3E" w:rsidRDefault="004C1C49" w:rsidP="00801A41">
      <w:pPr>
        <w:rPr>
          <w:rFonts w:ascii="Times New Roman" w:hAnsi="Times New Roman" w:cs="Times New Roman"/>
          <w:sz w:val="24"/>
          <w:szCs w:val="24"/>
        </w:rPr>
      </w:pPr>
    </w:p>
    <w:p w:rsidR="00C70F49" w:rsidRPr="00026D3E" w:rsidRDefault="00C70F49" w:rsidP="00801A41">
      <w:pPr>
        <w:rPr>
          <w:rFonts w:ascii="Times New Roman" w:hAnsi="Times New Roman" w:cs="Times New Roman"/>
          <w:sz w:val="24"/>
          <w:szCs w:val="24"/>
        </w:rPr>
      </w:pPr>
    </w:p>
    <w:p w:rsidR="00C70F49" w:rsidRPr="00026D3E" w:rsidRDefault="00C70F49" w:rsidP="00B84248">
      <w:pPr>
        <w:pStyle w:val="Nadpis1"/>
      </w:pPr>
      <w:bookmarkStart w:id="5" w:name="_Toc354703579"/>
      <w:r w:rsidRPr="00026D3E">
        <w:lastRenderedPageBreak/>
        <w:t>3. Poměr celkové moci Iráku oproti Sýrii a Íránu</w:t>
      </w:r>
      <w:bookmarkEnd w:id="5"/>
    </w:p>
    <w:p w:rsidR="00C70F49" w:rsidRPr="00026D3E" w:rsidRDefault="00C70F49" w:rsidP="002C6C4D">
      <w:pPr>
        <w:spacing w:line="360" w:lineRule="auto"/>
        <w:ind w:firstLine="708"/>
        <w:jc w:val="both"/>
        <w:rPr>
          <w:rFonts w:ascii="Times New Roman" w:hAnsi="Times New Roman" w:cs="Times New Roman"/>
          <w:sz w:val="24"/>
          <w:szCs w:val="24"/>
        </w:rPr>
      </w:pPr>
      <w:r w:rsidRPr="00026D3E">
        <w:rPr>
          <w:rFonts w:ascii="Times New Roman" w:hAnsi="Times New Roman" w:cs="Times New Roman"/>
          <w:sz w:val="24"/>
          <w:szCs w:val="24"/>
        </w:rPr>
        <w:t>Ja</w:t>
      </w:r>
      <w:r w:rsidR="00965A75" w:rsidRPr="00026D3E">
        <w:rPr>
          <w:rFonts w:ascii="Times New Roman" w:hAnsi="Times New Roman" w:cs="Times New Roman"/>
          <w:sz w:val="24"/>
          <w:szCs w:val="24"/>
        </w:rPr>
        <w:t xml:space="preserve">k lze změřit celkovou moc státu? Důkladná </w:t>
      </w:r>
      <w:r w:rsidRPr="00026D3E">
        <w:rPr>
          <w:rFonts w:ascii="Times New Roman" w:hAnsi="Times New Roman" w:cs="Times New Roman"/>
          <w:sz w:val="24"/>
          <w:szCs w:val="24"/>
        </w:rPr>
        <w:t xml:space="preserve">analýza by nepochybně musela zahrnout početné množství ukazatelů. Výmluvným argumentem autora textu je způsob měření moci státu Stephenem Waltem, </w:t>
      </w:r>
      <w:r w:rsidR="00430CF7">
        <w:rPr>
          <w:rFonts w:ascii="Times New Roman" w:hAnsi="Times New Roman" w:cs="Times New Roman"/>
          <w:sz w:val="24"/>
          <w:szCs w:val="24"/>
        </w:rPr>
        <w:t>z jehož pojetí vychází</w:t>
      </w:r>
      <w:r w:rsidRPr="00026D3E">
        <w:rPr>
          <w:rFonts w:ascii="Times New Roman" w:hAnsi="Times New Roman" w:cs="Times New Roman"/>
          <w:sz w:val="24"/>
          <w:szCs w:val="24"/>
        </w:rPr>
        <w:t>. Walt za účelem poměření sil mezi dvěma nejrozsáhlejšími</w:t>
      </w:r>
      <w:r w:rsidR="005A51B2">
        <w:rPr>
          <w:rFonts w:ascii="Times New Roman" w:hAnsi="Times New Roman" w:cs="Times New Roman"/>
          <w:sz w:val="24"/>
          <w:szCs w:val="24"/>
        </w:rPr>
        <w:t xml:space="preserve"> aliancemi v roce 1982, vedenými</w:t>
      </w:r>
      <w:r w:rsidRPr="00026D3E">
        <w:rPr>
          <w:rFonts w:ascii="Times New Roman" w:hAnsi="Times New Roman" w:cs="Times New Roman"/>
          <w:sz w:val="24"/>
          <w:szCs w:val="24"/>
        </w:rPr>
        <w:t xml:space="preserve"> Spojenými státy a Sovětským svazem, uvážil čtyři klíčové ukazatele: velikost obyvatelstva, hrubý národní produkt, velikost ozbrojených sil a výdajů na obranu. (Walt 1985:34) Výsledné hodnoty jednotlivých ukazatelů států obou aliancí sečetl a navzájem vydělil, aby tak získal přibližný poměr. Z uvedených považuje autor za problematický ukazatel velikosti ozbrojených sil, který vyjadřuje celkový p</w:t>
      </w:r>
      <w:r w:rsidR="00965A75" w:rsidRPr="00026D3E">
        <w:rPr>
          <w:rFonts w:ascii="Times New Roman" w:hAnsi="Times New Roman" w:cs="Times New Roman"/>
          <w:sz w:val="24"/>
          <w:szCs w:val="24"/>
        </w:rPr>
        <w:t>očet aktivních vojáků. Pomineme-</w:t>
      </w:r>
      <w:r w:rsidRPr="00026D3E">
        <w:rPr>
          <w:rFonts w:ascii="Times New Roman" w:hAnsi="Times New Roman" w:cs="Times New Roman"/>
          <w:sz w:val="24"/>
          <w:szCs w:val="24"/>
        </w:rPr>
        <w:t xml:space="preserve">li fakt, že </w:t>
      </w:r>
      <w:r w:rsidR="00DE6498" w:rsidRPr="00026D3E">
        <w:rPr>
          <w:rFonts w:ascii="Times New Roman" w:hAnsi="Times New Roman" w:cs="Times New Roman"/>
          <w:sz w:val="24"/>
          <w:szCs w:val="24"/>
        </w:rPr>
        <w:t xml:space="preserve">nebere v potaz </w:t>
      </w:r>
      <w:r w:rsidRPr="00026D3E">
        <w:rPr>
          <w:rFonts w:ascii="Times New Roman" w:hAnsi="Times New Roman" w:cs="Times New Roman"/>
          <w:sz w:val="24"/>
          <w:szCs w:val="24"/>
        </w:rPr>
        <w:t>důležitá data jako počet vojáků v záloze či velikost konvenčních zbraní, především nevypovídá o tom, zda stát disponu</w:t>
      </w:r>
      <w:r w:rsidR="00965A75" w:rsidRPr="00026D3E">
        <w:rPr>
          <w:rFonts w:ascii="Times New Roman" w:hAnsi="Times New Roman" w:cs="Times New Roman"/>
          <w:sz w:val="24"/>
          <w:szCs w:val="24"/>
        </w:rPr>
        <w:t xml:space="preserve">je zbraněmi hromadného ničení </w:t>
      </w:r>
      <w:r w:rsidR="00281EA7">
        <w:rPr>
          <w:rFonts w:ascii="Times New Roman" w:hAnsi="Times New Roman" w:cs="Times New Roman"/>
          <w:sz w:val="24"/>
          <w:szCs w:val="24"/>
        </w:rPr>
        <w:t>(jadernými, biologickými, chemickými</w:t>
      </w:r>
      <w:r w:rsidRPr="00026D3E">
        <w:rPr>
          <w:rFonts w:ascii="Times New Roman" w:hAnsi="Times New Roman" w:cs="Times New Roman"/>
          <w:sz w:val="24"/>
          <w:szCs w:val="24"/>
        </w:rPr>
        <w:t xml:space="preserve"> zbraně</w:t>
      </w:r>
      <w:r w:rsidR="00281EA7">
        <w:rPr>
          <w:rFonts w:ascii="Times New Roman" w:hAnsi="Times New Roman" w:cs="Times New Roman"/>
          <w:sz w:val="24"/>
          <w:szCs w:val="24"/>
        </w:rPr>
        <w:t>mi</w:t>
      </w:r>
      <w:r w:rsidRPr="00026D3E">
        <w:rPr>
          <w:rFonts w:ascii="Times New Roman" w:hAnsi="Times New Roman" w:cs="Times New Roman"/>
          <w:sz w:val="24"/>
          <w:szCs w:val="24"/>
        </w:rPr>
        <w:t xml:space="preserve"> aj.) či jaká je jejich velikost. Jejich případné vlastnictví má velký odstrašující účinek a měly by tak být </w:t>
      </w:r>
      <w:r w:rsidR="00652B94">
        <w:rPr>
          <w:rFonts w:ascii="Times New Roman" w:hAnsi="Times New Roman" w:cs="Times New Roman"/>
          <w:sz w:val="24"/>
          <w:szCs w:val="24"/>
        </w:rPr>
        <w:t>součástí analýzy</w:t>
      </w:r>
      <w:r w:rsidRPr="00026D3E">
        <w:rPr>
          <w:rFonts w:ascii="Times New Roman" w:hAnsi="Times New Roman" w:cs="Times New Roman"/>
          <w:sz w:val="24"/>
          <w:szCs w:val="24"/>
        </w:rPr>
        <w:t xml:space="preserve">. Přestože model zahrnující pouze tyto ukazatele může být brán s rezervou, pro přibližné odhadnutí celkové moci státu postačí.  V první řadě se však autor snaží navázat na stejné matematické postupy, kterých použil Stephen Walt. </w:t>
      </w:r>
    </w:p>
    <w:p w:rsidR="00C70F49" w:rsidRPr="00026D3E" w:rsidRDefault="00C137A5" w:rsidP="002C6C4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Graf č. 1 ilustruje kvantifikaci poměru celkové moci Iráku a kombinované moci Sýrie a Íránu.</w:t>
      </w:r>
      <w:r w:rsidR="00C70F49" w:rsidRPr="00026D3E">
        <w:rPr>
          <w:rStyle w:val="Znakapoznpodarou"/>
          <w:rFonts w:ascii="Times New Roman" w:hAnsi="Times New Roman" w:cs="Times New Roman"/>
          <w:sz w:val="24"/>
          <w:szCs w:val="24"/>
        </w:rPr>
        <w:footnoteReference w:id="12"/>
      </w:r>
      <w:r w:rsidR="00C70F49" w:rsidRPr="00026D3E">
        <w:rPr>
          <w:rFonts w:ascii="Times New Roman" w:hAnsi="Times New Roman" w:cs="Times New Roman"/>
          <w:sz w:val="24"/>
          <w:szCs w:val="24"/>
        </w:rPr>
        <w:t xml:space="preserve"> Autor vyhledal konkrétn</w:t>
      </w:r>
      <w:r>
        <w:rPr>
          <w:rFonts w:ascii="Times New Roman" w:hAnsi="Times New Roman" w:cs="Times New Roman"/>
          <w:sz w:val="24"/>
          <w:szCs w:val="24"/>
        </w:rPr>
        <w:t>í hodnoty všech čtyř ukazatelů v případě</w:t>
      </w:r>
      <w:r w:rsidR="00C70F49" w:rsidRPr="00026D3E">
        <w:rPr>
          <w:rFonts w:ascii="Times New Roman" w:hAnsi="Times New Roman" w:cs="Times New Roman"/>
          <w:sz w:val="24"/>
          <w:szCs w:val="24"/>
        </w:rPr>
        <w:t xml:space="preserve"> Iráku, Sýrie a Íránu v každém roce sledovaného období 1975-1985.  Nalezené hodnoty Sýrie a Íránu následně sečetl a vydělil </w:t>
      </w:r>
      <w:r>
        <w:rPr>
          <w:rFonts w:ascii="Times New Roman" w:hAnsi="Times New Roman" w:cs="Times New Roman"/>
          <w:sz w:val="24"/>
          <w:szCs w:val="24"/>
        </w:rPr>
        <w:t>hodnotami připadajícími</w:t>
      </w:r>
      <w:r w:rsidR="00C70F49" w:rsidRPr="00026D3E">
        <w:rPr>
          <w:rFonts w:ascii="Times New Roman" w:hAnsi="Times New Roman" w:cs="Times New Roman"/>
          <w:sz w:val="24"/>
          <w:szCs w:val="24"/>
        </w:rPr>
        <w:t xml:space="preserve"> Iráku, aby získal číselný poměr.</w:t>
      </w:r>
    </w:p>
    <w:p w:rsidR="00C70F49" w:rsidRPr="00026D3E" w:rsidRDefault="00C70F49" w:rsidP="00C70F49">
      <w:pPr>
        <w:spacing w:line="360" w:lineRule="auto"/>
        <w:jc w:val="both"/>
        <w:rPr>
          <w:rFonts w:ascii="Times New Roman" w:hAnsi="Times New Roman" w:cs="Times New Roman"/>
          <w:sz w:val="24"/>
          <w:szCs w:val="24"/>
        </w:rPr>
      </w:pPr>
    </w:p>
    <w:p w:rsidR="00C70F49" w:rsidRPr="00026D3E" w:rsidRDefault="00C70F49" w:rsidP="00C70F49">
      <w:pPr>
        <w:spacing w:line="360" w:lineRule="auto"/>
        <w:jc w:val="both"/>
        <w:rPr>
          <w:rFonts w:ascii="Times New Roman" w:hAnsi="Times New Roman" w:cs="Times New Roman"/>
          <w:sz w:val="24"/>
          <w:szCs w:val="24"/>
        </w:rPr>
      </w:pPr>
    </w:p>
    <w:p w:rsidR="00C70F49" w:rsidRPr="00026D3E" w:rsidRDefault="00C70F49" w:rsidP="00C70F49">
      <w:pPr>
        <w:spacing w:line="360" w:lineRule="auto"/>
        <w:jc w:val="both"/>
        <w:rPr>
          <w:rFonts w:ascii="Times New Roman" w:hAnsi="Times New Roman" w:cs="Times New Roman"/>
          <w:sz w:val="24"/>
          <w:szCs w:val="24"/>
        </w:rPr>
      </w:pPr>
    </w:p>
    <w:p w:rsidR="00C70F49" w:rsidRPr="00026D3E" w:rsidRDefault="00C70F49" w:rsidP="00C70F49">
      <w:pPr>
        <w:spacing w:line="360" w:lineRule="auto"/>
        <w:jc w:val="both"/>
        <w:rPr>
          <w:rFonts w:ascii="Times New Roman" w:hAnsi="Times New Roman" w:cs="Times New Roman"/>
          <w:sz w:val="24"/>
          <w:szCs w:val="24"/>
        </w:rPr>
      </w:pPr>
    </w:p>
    <w:p w:rsidR="00C70F49" w:rsidRPr="00026D3E" w:rsidRDefault="00C70F49" w:rsidP="00C70F49">
      <w:pPr>
        <w:spacing w:line="360" w:lineRule="auto"/>
        <w:jc w:val="both"/>
        <w:rPr>
          <w:rFonts w:ascii="Times New Roman" w:hAnsi="Times New Roman" w:cs="Times New Roman"/>
          <w:sz w:val="24"/>
          <w:szCs w:val="24"/>
        </w:rPr>
      </w:pPr>
    </w:p>
    <w:p w:rsidR="00C70F49" w:rsidRPr="00026D3E" w:rsidRDefault="00C70F49" w:rsidP="00C70F49">
      <w:pPr>
        <w:spacing w:line="360" w:lineRule="auto"/>
        <w:jc w:val="both"/>
        <w:rPr>
          <w:rFonts w:ascii="Times New Roman" w:hAnsi="Times New Roman" w:cs="Times New Roman"/>
          <w:sz w:val="24"/>
          <w:szCs w:val="24"/>
        </w:rPr>
      </w:pPr>
    </w:p>
    <w:p w:rsidR="00C70F49" w:rsidRPr="00026D3E" w:rsidRDefault="00C70F49" w:rsidP="00C70F49">
      <w:pPr>
        <w:spacing w:line="360" w:lineRule="auto"/>
        <w:jc w:val="both"/>
        <w:rPr>
          <w:rFonts w:ascii="Times New Roman" w:hAnsi="Times New Roman" w:cs="Times New Roman"/>
          <w:sz w:val="24"/>
          <w:szCs w:val="24"/>
        </w:rPr>
      </w:pPr>
    </w:p>
    <w:p w:rsidR="0005068D" w:rsidRDefault="0005068D" w:rsidP="00C70F49">
      <w:pPr>
        <w:spacing w:line="360" w:lineRule="auto"/>
        <w:jc w:val="both"/>
        <w:rPr>
          <w:rFonts w:ascii="Times New Roman" w:hAnsi="Times New Roman" w:cs="Times New Roman"/>
          <w:sz w:val="24"/>
          <w:szCs w:val="24"/>
        </w:rPr>
      </w:pPr>
    </w:p>
    <w:p w:rsidR="00C70F49" w:rsidRPr="00026D3E" w:rsidRDefault="00C70F49" w:rsidP="00C70F49">
      <w:pPr>
        <w:spacing w:line="360" w:lineRule="auto"/>
        <w:jc w:val="both"/>
        <w:rPr>
          <w:rFonts w:ascii="Times New Roman" w:hAnsi="Times New Roman" w:cs="Times New Roman"/>
          <w:sz w:val="24"/>
          <w:szCs w:val="24"/>
        </w:rPr>
      </w:pPr>
      <w:r w:rsidRPr="00026D3E">
        <w:rPr>
          <w:rFonts w:ascii="Times New Roman" w:hAnsi="Times New Roman" w:cs="Times New Roman"/>
          <w:sz w:val="24"/>
          <w:szCs w:val="24"/>
        </w:rPr>
        <w:lastRenderedPageBreak/>
        <w:t>Graf č.</w:t>
      </w:r>
      <w:r w:rsidR="001225BB">
        <w:rPr>
          <w:rFonts w:ascii="Times New Roman" w:hAnsi="Times New Roman" w:cs="Times New Roman"/>
          <w:sz w:val="24"/>
          <w:szCs w:val="24"/>
        </w:rPr>
        <w:t xml:space="preserve"> </w:t>
      </w:r>
      <w:r w:rsidRPr="00026D3E">
        <w:rPr>
          <w:rFonts w:ascii="Times New Roman" w:hAnsi="Times New Roman" w:cs="Times New Roman"/>
          <w:sz w:val="24"/>
          <w:szCs w:val="24"/>
        </w:rPr>
        <w:t xml:space="preserve">1. Vývoj poměru </w:t>
      </w:r>
      <w:r w:rsidR="00726C0C">
        <w:rPr>
          <w:rFonts w:ascii="Times New Roman" w:hAnsi="Times New Roman" w:cs="Times New Roman"/>
          <w:sz w:val="24"/>
          <w:szCs w:val="24"/>
        </w:rPr>
        <w:t>kombinované</w:t>
      </w:r>
      <w:r w:rsidRPr="00026D3E">
        <w:rPr>
          <w:rFonts w:ascii="Times New Roman" w:hAnsi="Times New Roman" w:cs="Times New Roman"/>
          <w:sz w:val="24"/>
          <w:szCs w:val="24"/>
        </w:rPr>
        <w:t xml:space="preserve"> moci Sýrie s Íránem oproti Iráku</w:t>
      </w:r>
      <w:r w:rsidR="00726C0C">
        <w:rPr>
          <w:rFonts w:ascii="Times New Roman" w:hAnsi="Times New Roman" w:cs="Times New Roman"/>
          <w:sz w:val="24"/>
          <w:szCs w:val="24"/>
        </w:rPr>
        <w:t xml:space="preserve"> (na základě čtyř stanovených proměnných)</w:t>
      </w:r>
    </w:p>
    <w:p w:rsidR="00C70F49" w:rsidRPr="00026D3E" w:rsidRDefault="00C70F49" w:rsidP="00C70F49">
      <w:pPr>
        <w:spacing w:line="360" w:lineRule="auto"/>
        <w:jc w:val="both"/>
        <w:rPr>
          <w:rFonts w:ascii="Times New Roman" w:hAnsi="Times New Roman" w:cs="Times New Roman"/>
          <w:sz w:val="24"/>
          <w:szCs w:val="24"/>
        </w:rPr>
      </w:pPr>
      <w:r w:rsidRPr="00026D3E">
        <w:rPr>
          <w:rFonts w:ascii="Times New Roman" w:hAnsi="Times New Roman" w:cs="Times New Roman"/>
          <w:noProof/>
          <w:sz w:val="24"/>
          <w:szCs w:val="24"/>
        </w:rPr>
        <w:drawing>
          <wp:inline distT="0" distB="0" distL="0" distR="0">
            <wp:extent cx="6305550" cy="3752850"/>
            <wp:effectExtent l="19050" t="0" r="19050" b="0"/>
            <wp:docPr id="1"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70F49" w:rsidRPr="00026D3E" w:rsidRDefault="00C70F49" w:rsidP="00C70F49">
      <w:pPr>
        <w:spacing w:line="360" w:lineRule="auto"/>
        <w:jc w:val="both"/>
        <w:rPr>
          <w:rFonts w:ascii="Times New Roman" w:hAnsi="Times New Roman" w:cs="Times New Roman"/>
          <w:sz w:val="24"/>
          <w:szCs w:val="24"/>
        </w:rPr>
      </w:pPr>
      <w:r w:rsidRPr="00026D3E">
        <w:rPr>
          <w:rFonts w:ascii="Times New Roman" w:hAnsi="Times New Roman" w:cs="Times New Roman"/>
          <w:sz w:val="24"/>
          <w:szCs w:val="24"/>
        </w:rPr>
        <w:t>Zdroj: Vlastní výpočet autora, provedený na základě dat získaných z ročenky World Military Expenditures and Arms Transfers 1987</w:t>
      </w:r>
    </w:p>
    <w:p w:rsidR="00C70F49" w:rsidRPr="00026D3E" w:rsidRDefault="00C70F49" w:rsidP="002C6C4D">
      <w:pPr>
        <w:spacing w:line="360" w:lineRule="auto"/>
        <w:ind w:firstLine="708"/>
        <w:jc w:val="both"/>
        <w:rPr>
          <w:rFonts w:ascii="Times New Roman" w:hAnsi="Times New Roman" w:cs="Times New Roman"/>
          <w:sz w:val="24"/>
          <w:szCs w:val="24"/>
        </w:rPr>
      </w:pPr>
      <w:r w:rsidRPr="00026D3E">
        <w:rPr>
          <w:rFonts w:ascii="Times New Roman" w:hAnsi="Times New Roman" w:cs="Times New Roman"/>
          <w:sz w:val="24"/>
          <w:szCs w:val="24"/>
        </w:rPr>
        <w:t>Na grafu pozorujeme trend zvyšování celkové moci Iráku oproti celkové moci Sýrii a Íránu v letech 1975 -1980. Zatímco v roce 1975 byl poměr celkové síly Sýrie a Íránu vůči Iráku přibližně 4:</w:t>
      </w:r>
      <w:r w:rsidR="00965A75" w:rsidRPr="00026D3E">
        <w:rPr>
          <w:rFonts w:ascii="Times New Roman" w:hAnsi="Times New Roman" w:cs="Times New Roman"/>
          <w:sz w:val="24"/>
          <w:szCs w:val="24"/>
        </w:rPr>
        <w:t xml:space="preserve">1, v roce 1980 se poměr snížil </w:t>
      </w:r>
      <w:r w:rsidRPr="00026D3E">
        <w:rPr>
          <w:rFonts w:ascii="Times New Roman" w:hAnsi="Times New Roman" w:cs="Times New Roman"/>
          <w:sz w:val="24"/>
          <w:szCs w:val="24"/>
        </w:rPr>
        <w:t>na přibližně 2:1. Trend snižování poměru v tomto období může být vysvětlen rostoucí iráckou ekonomikou, která zažívala v sedmdesátých letech nebývalou prosperitu. Důvodem byly především rapidně rostoucí ceny ropy po roce 1973 souběžně s její intenzivní těžbou, která v důsledku vedla k vysokým příjmům do státní pokladny Iráku. (Sluglett 2003:264-265) Tand</w:t>
      </w:r>
      <w:r w:rsidR="000D5FD5">
        <w:rPr>
          <w:rFonts w:ascii="Times New Roman" w:hAnsi="Times New Roman" w:cs="Times New Roman"/>
          <w:sz w:val="24"/>
          <w:szCs w:val="24"/>
        </w:rPr>
        <w:t xml:space="preserve">em al-Bakr – Husajn kladl velký </w:t>
      </w:r>
      <w:r w:rsidRPr="00026D3E">
        <w:rPr>
          <w:rFonts w:ascii="Times New Roman" w:hAnsi="Times New Roman" w:cs="Times New Roman"/>
          <w:sz w:val="24"/>
          <w:szCs w:val="24"/>
        </w:rPr>
        <w:t xml:space="preserve">důraz na zbrojní průmysl a zvyšoval dovoz zbraní ze zahraničí, především ze  spřáteleného Sovětského svazu. V grafu lze pozorovat zásadní zlom v roce 1980, kdy se poměr sil přestal rapidně snižovat a v následujícím roce se pak vyrovnával a začal velmi mírně stoupat v oblasti velikosti ozbrojených sil a výdajů na obranu. Především u poměru hrubého národního produktu došlo k náhlému zlomu v roce 1980 a po následující tři roky začal prudce stoupat ve prospěch Sýrie a Íránu, přičemž dosáhl sto procentního růstu v roce </w:t>
      </w:r>
      <w:r w:rsidRPr="00026D3E">
        <w:rPr>
          <w:rFonts w:ascii="Times New Roman" w:hAnsi="Times New Roman" w:cs="Times New Roman"/>
          <w:sz w:val="24"/>
          <w:szCs w:val="24"/>
        </w:rPr>
        <w:lastRenderedPageBreak/>
        <w:t xml:space="preserve">1983 oproti roku 1975. Prakticky beze změny zůstala křivka obyvatelstva v celém sledovaném období, dá se tak předpokládat její minimální role v poměru sil. </w:t>
      </w:r>
    </w:p>
    <w:p w:rsidR="00C70F49" w:rsidRPr="00026D3E" w:rsidRDefault="00C70F49" w:rsidP="000D5FD5">
      <w:pPr>
        <w:spacing w:line="360" w:lineRule="auto"/>
        <w:ind w:firstLine="708"/>
        <w:jc w:val="both"/>
        <w:rPr>
          <w:rFonts w:ascii="Times New Roman" w:hAnsi="Times New Roman" w:cs="Times New Roman"/>
          <w:sz w:val="24"/>
          <w:szCs w:val="24"/>
        </w:rPr>
      </w:pPr>
      <w:r w:rsidRPr="00026D3E">
        <w:rPr>
          <w:rFonts w:ascii="Times New Roman" w:hAnsi="Times New Roman" w:cs="Times New Roman"/>
          <w:sz w:val="24"/>
          <w:szCs w:val="24"/>
        </w:rPr>
        <w:t xml:space="preserve">Problémem však zůstává nejednotnost všech ukazatelů, kdy zejména po roce 1980 poměr sil v oblasti hrubého národního produktu prudce roste ve prospěch Sýrie a Íránu, zatímco poměr výdajů na obranu a velikosti ozbrojených sil se tak zásadním způsobem nemění. </w:t>
      </w:r>
    </w:p>
    <w:p w:rsidR="00C70F49" w:rsidRPr="00026D3E" w:rsidRDefault="00C70F49" w:rsidP="000D5FD5">
      <w:pPr>
        <w:spacing w:line="360" w:lineRule="auto"/>
        <w:ind w:firstLine="708"/>
        <w:jc w:val="both"/>
        <w:rPr>
          <w:rFonts w:ascii="Times New Roman" w:hAnsi="Times New Roman" w:cs="Times New Roman"/>
          <w:sz w:val="24"/>
          <w:szCs w:val="24"/>
        </w:rPr>
      </w:pPr>
      <w:r w:rsidRPr="00026D3E">
        <w:rPr>
          <w:rFonts w:ascii="Times New Roman" w:hAnsi="Times New Roman" w:cs="Times New Roman"/>
          <w:sz w:val="24"/>
          <w:szCs w:val="24"/>
        </w:rPr>
        <w:t xml:space="preserve">Autor </w:t>
      </w:r>
      <w:r w:rsidR="004D6D90">
        <w:rPr>
          <w:rFonts w:ascii="Times New Roman" w:hAnsi="Times New Roman" w:cs="Times New Roman"/>
          <w:sz w:val="24"/>
          <w:szCs w:val="24"/>
        </w:rPr>
        <w:t>navrhnul</w:t>
      </w:r>
      <w:r w:rsidRPr="00026D3E">
        <w:rPr>
          <w:rFonts w:ascii="Times New Roman" w:hAnsi="Times New Roman" w:cs="Times New Roman"/>
          <w:sz w:val="24"/>
          <w:szCs w:val="24"/>
        </w:rPr>
        <w:t xml:space="preserve"> koeficient</w:t>
      </w:r>
      <w:r w:rsidRPr="00026D3E">
        <w:rPr>
          <w:rStyle w:val="Znakapoznpodarou"/>
          <w:rFonts w:ascii="Times New Roman" w:hAnsi="Times New Roman" w:cs="Times New Roman"/>
          <w:sz w:val="24"/>
          <w:szCs w:val="24"/>
        </w:rPr>
        <w:footnoteReference w:id="13"/>
      </w:r>
      <w:r w:rsidRPr="00026D3E">
        <w:rPr>
          <w:rFonts w:ascii="Times New Roman" w:hAnsi="Times New Roman" w:cs="Times New Roman"/>
          <w:sz w:val="24"/>
          <w:szCs w:val="24"/>
        </w:rPr>
        <w:t xml:space="preserve">, který sjednocuje všechny čtyři ukazatele </w:t>
      </w:r>
      <w:r w:rsidR="008F72EA" w:rsidRPr="00026D3E">
        <w:rPr>
          <w:rFonts w:ascii="Times New Roman" w:hAnsi="Times New Roman" w:cs="Times New Roman"/>
          <w:sz w:val="24"/>
          <w:szCs w:val="24"/>
        </w:rPr>
        <w:br/>
      </w:r>
      <w:r w:rsidRPr="00026D3E">
        <w:rPr>
          <w:rFonts w:ascii="Times New Roman" w:hAnsi="Times New Roman" w:cs="Times New Roman"/>
          <w:sz w:val="24"/>
          <w:szCs w:val="24"/>
        </w:rPr>
        <w:t>a přehlednějším způsobem demonstruje zásadní zlom v poměru sil Sýri</w:t>
      </w:r>
      <w:r w:rsidR="001E6453">
        <w:rPr>
          <w:rFonts w:ascii="Times New Roman" w:hAnsi="Times New Roman" w:cs="Times New Roman"/>
          <w:sz w:val="24"/>
          <w:szCs w:val="24"/>
        </w:rPr>
        <w:t>e s Íránem a Iráku. Po procentuá</w:t>
      </w:r>
      <w:r w:rsidRPr="00026D3E">
        <w:rPr>
          <w:rFonts w:ascii="Times New Roman" w:hAnsi="Times New Roman" w:cs="Times New Roman"/>
          <w:sz w:val="24"/>
          <w:szCs w:val="24"/>
        </w:rPr>
        <w:t xml:space="preserve">lním rozdělení jednotlivých ukazatelů na základě jejich „důležitosti“ provedl vážený průměr a získal výsledný koeficient. Ukazateli výdajů na obranu </w:t>
      </w:r>
      <w:r w:rsidR="008A62A0">
        <w:rPr>
          <w:rFonts w:ascii="Times New Roman" w:hAnsi="Times New Roman" w:cs="Times New Roman"/>
          <w:sz w:val="24"/>
          <w:szCs w:val="24"/>
        </w:rPr>
        <w:t xml:space="preserve">autor </w:t>
      </w:r>
      <w:r w:rsidRPr="00026D3E">
        <w:rPr>
          <w:rFonts w:ascii="Times New Roman" w:hAnsi="Times New Roman" w:cs="Times New Roman"/>
          <w:sz w:val="24"/>
          <w:szCs w:val="24"/>
        </w:rPr>
        <w:t>přidělil váhu 40 % z důvodu jeho</w:t>
      </w:r>
      <w:r w:rsidR="008A62A0">
        <w:rPr>
          <w:rFonts w:ascii="Times New Roman" w:hAnsi="Times New Roman" w:cs="Times New Roman"/>
          <w:sz w:val="24"/>
          <w:szCs w:val="24"/>
        </w:rPr>
        <w:t xml:space="preserve"> největší proměnlivosti v grafu. Na </w:t>
      </w:r>
      <w:r w:rsidRPr="00026D3E">
        <w:rPr>
          <w:rFonts w:ascii="Times New Roman" w:hAnsi="Times New Roman" w:cs="Times New Roman"/>
          <w:sz w:val="24"/>
          <w:szCs w:val="24"/>
        </w:rPr>
        <w:t>podobné bázi přidělil 30</w:t>
      </w:r>
      <w:r w:rsidR="00354FAF">
        <w:rPr>
          <w:rFonts w:ascii="Times New Roman" w:hAnsi="Times New Roman" w:cs="Times New Roman"/>
          <w:sz w:val="24"/>
          <w:szCs w:val="24"/>
        </w:rPr>
        <w:t xml:space="preserve"> </w:t>
      </w:r>
      <w:r w:rsidRPr="00026D3E">
        <w:rPr>
          <w:rFonts w:ascii="Times New Roman" w:hAnsi="Times New Roman" w:cs="Times New Roman"/>
          <w:sz w:val="24"/>
          <w:szCs w:val="24"/>
        </w:rPr>
        <w:t>% ukazateli velikosti ozbrojených sil. Ukazateli hrubého národního produktu pak přidělil 20</w:t>
      </w:r>
      <w:r w:rsidR="00354FAF">
        <w:rPr>
          <w:rFonts w:ascii="Times New Roman" w:hAnsi="Times New Roman" w:cs="Times New Roman"/>
          <w:sz w:val="24"/>
          <w:szCs w:val="24"/>
        </w:rPr>
        <w:t xml:space="preserve"> </w:t>
      </w:r>
      <w:r w:rsidRPr="00026D3E">
        <w:rPr>
          <w:rFonts w:ascii="Times New Roman" w:hAnsi="Times New Roman" w:cs="Times New Roman"/>
          <w:sz w:val="24"/>
          <w:szCs w:val="24"/>
        </w:rPr>
        <w:t>% a obyvatelstvu pouhých 10</w:t>
      </w:r>
      <w:r w:rsidR="00354FAF">
        <w:rPr>
          <w:rFonts w:ascii="Times New Roman" w:hAnsi="Times New Roman" w:cs="Times New Roman"/>
          <w:sz w:val="24"/>
          <w:szCs w:val="24"/>
        </w:rPr>
        <w:t xml:space="preserve"> </w:t>
      </w:r>
      <w:r w:rsidRPr="00026D3E">
        <w:rPr>
          <w:rFonts w:ascii="Times New Roman" w:hAnsi="Times New Roman" w:cs="Times New Roman"/>
          <w:sz w:val="24"/>
          <w:szCs w:val="24"/>
        </w:rPr>
        <w:t xml:space="preserve">% z důvodu jeho téměř nulové proměnlivosti. </w:t>
      </w:r>
    </w:p>
    <w:p w:rsidR="00C70F49" w:rsidRPr="00026D3E" w:rsidRDefault="00C70F49" w:rsidP="00C70F49">
      <w:pPr>
        <w:spacing w:line="360" w:lineRule="auto"/>
        <w:jc w:val="both"/>
        <w:rPr>
          <w:rFonts w:ascii="Times New Roman" w:hAnsi="Times New Roman" w:cs="Times New Roman"/>
          <w:sz w:val="24"/>
          <w:szCs w:val="24"/>
        </w:rPr>
      </w:pPr>
      <w:r w:rsidRPr="00026D3E">
        <w:rPr>
          <w:rFonts w:ascii="Times New Roman" w:hAnsi="Times New Roman" w:cs="Times New Roman"/>
          <w:sz w:val="24"/>
          <w:szCs w:val="24"/>
        </w:rPr>
        <w:t>Graf č.</w:t>
      </w:r>
      <w:r w:rsidR="008F72EA" w:rsidRPr="00026D3E">
        <w:rPr>
          <w:rFonts w:ascii="Times New Roman" w:hAnsi="Times New Roman" w:cs="Times New Roman"/>
          <w:sz w:val="24"/>
          <w:szCs w:val="24"/>
        </w:rPr>
        <w:t xml:space="preserve"> </w:t>
      </w:r>
      <w:r w:rsidRPr="00026D3E">
        <w:rPr>
          <w:rFonts w:ascii="Times New Roman" w:hAnsi="Times New Roman" w:cs="Times New Roman"/>
          <w:sz w:val="24"/>
          <w:szCs w:val="24"/>
        </w:rPr>
        <w:t>2 Jednotící koeficient</w:t>
      </w:r>
    </w:p>
    <w:p w:rsidR="00C70F49" w:rsidRPr="00026D3E" w:rsidRDefault="00C70F49" w:rsidP="00C70F49">
      <w:pPr>
        <w:spacing w:line="360" w:lineRule="auto"/>
        <w:jc w:val="both"/>
        <w:rPr>
          <w:rFonts w:ascii="Times New Roman" w:hAnsi="Times New Roman" w:cs="Times New Roman"/>
          <w:sz w:val="24"/>
          <w:szCs w:val="24"/>
        </w:rPr>
      </w:pPr>
      <w:r w:rsidRPr="00026D3E">
        <w:rPr>
          <w:rFonts w:ascii="Times New Roman" w:hAnsi="Times New Roman" w:cs="Times New Roman"/>
          <w:noProof/>
          <w:sz w:val="24"/>
          <w:szCs w:val="24"/>
        </w:rPr>
        <w:drawing>
          <wp:inline distT="0" distB="0" distL="0" distR="0">
            <wp:extent cx="5705475" cy="3171825"/>
            <wp:effectExtent l="19050" t="0" r="9525" b="0"/>
            <wp:docPr id="2"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70F49" w:rsidRPr="00026D3E" w:rsidRDefault="00C70F49" w:rsidP="00C70F49">
      <w:pPr>
        <w:spacing w:line="360" w:lineRule="auto"/>
        <w:jc w:val="both"/>
        <w:rPr>
          <w:rFonts w:ascii="Times New Roman" w:hAnsi="Times New Roman" w:cs="Times New Roman"/>
          <w:sz w:val="24"/>
          <w:szCs w:val="24"/>
        </w:rPr>
      </w:pPr>
    </w:p>
    <w:p w:rsidR="00C70F49" w:rsidRPr="00026D3E" w:rsidRDefault="00C70F49" w:rsidP="000D5FD5">
      <w:pPr>
        <w:spacing w:line="360" w:lineRule="auto"/>
        <w:ind w:firstLine="708"/>
        <w:jc w:val="both"/>
        <w:rPr>
          <w:rFonts w:ascii="Times New Roman" w:hAnsi="Times New Roman" w:cs="Times New Roman"/>
          <w:sz w:val="24"/>
          <w:szCs w:val="24"/>
        </w:rPr>
      </w:pPr>
      <w:r w:rsidRPr="00026D3E">
        <w:rPr>
          <w:rFonts w:ascii="Times New Roman" w:hAnsi="Times New Roman" w:cs="Times New Roman"/>
          <w:sz w:val="24"/>
          <w:szCs w:val="24"/>
        </w:rPr>
        <w:t xml:space="preserve">Autor se domnívá, že onen zásadní zlom v roce 1980 lze interpretovat jako neformální vznik aliance Sýrie a Íránu. Sýrie po irácké invazi do Íránu 22. září 1980 se k překvapení </w:t>
      </w:r>
      <w:r w:rsidRPr="00026D3E">
        <w:rPr>
          <w:rFonts w:ascii="Times New Roman" w:hAnsi="Times New Roman" w:cs="Times New Roman"/>
          <w:sz w:val="24"/>
          <w:szCs w:val="24"/>
        </w:rPr>
        <w:lastRenderedPageBreak/>
        <w:t>arabských států přidala v konfliktu na stranu Íránu a dodávala mu vojenský materiál. V rámci identifikace Iráku jako hrozby pro Sýrii a Ír</w:t>
      </w:r>
      <w:r w:rsidR="00044043">
        <w:rPr>
          <w:rFonts w:ascii="Times New Roman" w:hAnsi="Times New Roman" w:cs="Times New Roman"/>
          <w:sz w:val="24"/>
          <w:szCs w:val="24"/>
        </w:rPr>
        <w:t>án tak autor usuzuje, že vznik syrsko – í</w:t>
      </w:r>
      <w:r w:rsidRPr="00026D3E">
        <w:rPr>
          <w:rFonts w:ascii="Times New Roman" w:hAnsi="Times New Roman" w:cs="Times New Roman"/>
          <w:sz w:val="24"/>
          <w:szCs w:val="24"/>
        </w:rPr>
        <w:t xml:space="preserve">ránské aliance byl z části důsledkem rostoucí moci celkové moci Iráku. </w:t>
      </w:r>
    </w:p>
    <w:p w:rsidR="00F87819" w:rsidRPr="00026D3E" w:rsidRDefault="00F87819" w:rsidP="00C70F49">
      <w:pPr>
        <w:spacing w:line="360" w:lineRule="auto"/>
        <w:jc w:val="both"/>
        <w:rPr>
          <w:rFonts w:ascii="Times New Roman" w:hAnsi="Times New Roman" w:cs="Times New Roman"/>
          <w:sz w:val="24"/>
          <w:szCs w:val="24"/>
        </w:rPr>
      </w:pPr>
    </w:p>
    <w:p w:rsidR="00F87819" w:rsidRPr="00026D3E" w:rsidRDefault="00F87819" w:rsidP="00C70F49">
      <w:pPr>
        <w:spacing w:line="360" w:lineRule="auto"/>
        <w:jc w:val="both"/>
        <w:rPr>
          <w:rFonts w:ascii="Times New Roman" w:hAnsi="Times New Roman" w:cs="Times New Roman"/>
          <w:sz w:val="24"/>
          <w:szCs w:val="24"/>
        </w:rPr>
      </w:pPr>
    </w:p>
    <w:p w:rsidR="00F87819" w:rsidRPr="00026D3E" w:rsidRDefault="00F87819" w:rsidP="00C70F49">
      <w:pPr>
        <w:spacing w:line="360" w:lineRule="auto"/>
        <w:jc w:val="both"/>
        <w:rPr>
          <w:rFonts w:ascii="Times New Roman" w:hAnsi="Times New Roman" w:cs="Times New Roman"/>
          <w:sz w:val="24"/>
          <w:szCs w:val="24"/>
        </w:rPr>
      </w:pPr>
    </w:p>
    <w:p w:rsidR="00F87819" w:rsidRPr="00026D3E" w:rsidRDefault="00F87819" w:rsidP="00C70F49">
      <w:pPr>
        <w:spacing w:line="360" w:lineRule="auto"/>
        <w:jc w:val="both"/>
        <w:rPr>
          <w:rFonts w:ascii="Times New Roman" w:hAnsi="Times New Roman" w:cs="Times New Roman"/>
          <w:sz w:val="24"/>
          <w:szCs w:val="24"/>
        </w:rPr>
      </w:pPr>
    </w:p>
    <w:p w:rsidR="00F87819" w:rsidRPr="00026D3E" w:rsidRDefault="00F87819" w:rsidP="00C70F49">
      <w:pPr>
        <w:spacing w:line="360" w:lineRule="auto"/>
        <w:jc w:val="both"/>
        <w:rPr>
          <w:rFonts w:ascii="Times New Roman" w:hAnsi="Times New Roman" w:cs="Times New Roman"/>
          <w:sz w:val="24"/>
          <w:szCs w:val="24"/>
        </w:rPr>
      </w:pPr>
    </w:p>
    <w:p w:rsidR="00F87819" w:rsidRPr="00026D3E" w:rsidRDefault="00F87819" w:rsidP="00C70F49">
      <w:pPr>
        <w:spacing w:line="360" w:lineRule="auto"/>
        <w:jc w:val="both"/>
        <w:rPr>
          <w:rFonts w:ascii="Times New Roman" w:hAnsi="Times New Roman" w:cs="Times New Roman"/>
          <w:sz w:val="24"/>
          <w:szCs w:val="24"/>
        </w:rPr>
      </w:pPr>
    </w:p>
    <w:p w:rsidR="00F87819" w:rsidRPr="00026D3E" w:rsidRDefault="00F87819" w:rsidP="00C70F49">
      <w:pPr>
        <w:spacing w:line="360" w:lineRule="auto"/>
        <w:jc w:val="both"/>
        <w:rPr>
          <w:rFonts w:ascii="Times New Roman" w:hAnsi="Times New Roman" w:cs="Times New Roman"/>
          <w:sz w:val="24"/>
          <w:szCs w:val="24"/>
        </w:rPr>
      </w:pPr>
    </w:p>
    <w:p w:rsidR="00F87819" w:rsidRPr="00026D3E" w:rsidRDefault="00F87819" w:rsidP="00C70F49">
      <w:pPr>
        <w:spacing w:line="360" w:lineRule="auto"/>
        <w:jc w:val="both"/>
        <w:rPr>
          <w:rFonts w:ascii="Times New Roman" w:hAnsi="Times New Roman" w:cs="Times New Roman"/>
          <w:sz w:val="24"/>
          <w:szCs w:val="24"/>
        </w:rPr>
      </w:pPr>
    </w:p>
    <w:p w:rsidR="00F87819" w:rsidRPr="00026D3E" w:rsidRDefault="00F87819" w:rsidP="00C70F49">
      <w:pPr>
        <w:spacing w:line="360" w:lineRule="auto"/>
        <w:jc w:val="both"/>
        <w:rPr>
          <w:rFonts w:ascii="Times New Roman" w:hAnsi="Times New Roman" w:cs="Times New Roman"/>
          <w:sz w:val="24"/>
          <w:szCs w:val="24"/>
        </w:rPr>
      </w:pPr>
    </w:p>
    <w:p w:rsidR="00F87819" w:rsidRPr="00026D3E" w:rsidRDefault="00F87819" w:rsidP="00C70F49">
      <w:pPr>
        <w:spacing w:line="360" w:lineRule="auto"/>
        <w:jc w:val="both"/>
        <w:rPr>
          <w:rFonts w:ascii="Times New Roman" w:hAnsi="Times New Roman" w:cs="Times New Roman"/>
          <w:sz w:val="24"/>
          <w:szCs w:val="24"/>
        </w:rPr>
      </w:pPr>
    </w:p>
    <w:p w:rsidR="00F87819" w:rsidRPr="00026D3E" w:rsidRDefault="00F87819" w:rsidP="00C70F49">
      <w:pPr>
        <w:spacing w:line="360" w:lineRule="auto"/>
        <w:jc w:val="both"/>
        <w:rPr>
          <w:rFonts w:ascii="Times New Roman" w:hAnsi="Times New Roman" w:cs="Times New Roman"/>
          <w:sz w:val="24"/>
          <w:szCs w:val="24"/>
        </w:rPr>
      </w:pPr>
    </w:p>
    <w:p w:rsidR="00F87819" w:rsidRPr="00026D3E" w:rsidRDefault="00F87819" w:rsidP="00C70F49">
      <w:pPr>
        <w:spacing w:line="360" w:lineRule="auto"/>
        <w:jc w:val="both"/>
        <w:rPr>
          <w:rFonts w:ascii="Times New Roman" w:hAnsi="Times New Roman" w:cs="Times New Roman"/>
          <w:sz w:val="24"/>
          <w:szCs w:val="24"/>
        </w:rPr>
      </w:pPr>
    </w:p>
    <w:p w:rsidR="00F87819" w:rsidRPr="00026D3E" w:rsidRDefault="00F87819" w:rsidP="00C70F49">
      <w:pPr>
        <w:spacing w:line="360" w:lineRule="auto"/>
        <w:jc w:val="both"/>
        <w:rPr>
          <w:rFonts w:ascii="Times New Roman" w:hAnsi="Times New Roman" w:cs="Times New Roman"/>
          <w:sz w:val="24"/>
          <w:szCs w:val="24"/>
        </w:rPr>
      </w:pPr>
    </w:p>
    <w:p w:rsidR="00F87819" w:rsidRPr="00026D3E" w:rsidRDefault="00F87819" w:rsidP="00C70F49">
      <w:pPr>
        <w:spacing w:line="360" w:lineRule="auto"/>
        <w:jc w:val="both"/>
        <w:rPr>
          <w:rFonts w:ascii="Times New Roman" w:hAnsi="Times New Roman" w:cs="Times New Roman"/>
          <w:sz w:val="24"/>
          <w:szCs w:val="24"/>
        </w:rPr>
      </w:pPr>
    </w:p>
    <w:p w:rsidR="00F87819" w:rsidRPr="00026D3E" w:rsidRDefault="00F87819" w:rsidP="00C70F49">
      <w:pPr>
        <w:spacing w:line="360" w:lineRule="auto"/>
        <w:jc w:val="both"/>
        <w:rPr>
          <w:rFonts w:ascii="Times New Roman" w:hAnsi="Times New Roman" w:cs="Times New Roman"/>
          <w:sz w:val="24"/>
          <w:szCs w:val="24"/>
        </w:rPr>
      </w:pPr>
    </w:p>
    <w:p w:rsidR="00F87819" w:rsidRPr="00026D3E" w:rsidRDefault="00F87819" w:rsidP="00C70F49">
      <w:pPr>
        <w:spacing w:line="360" w:lineRule="auto"/>
        <w:jc w:val="both"/>
        <w:rPr>
          <w:rFonts w:ascii="Times New Roman" w:hAnsi="Times New Roman" w:cs="Times New Roman"/>
          <w:sz w:val="24"/>
          <w:szCs w:val="24"/>
        </w:rPr>
      </w:pPr>
    </w:p>
    <w:p w:rsidR="00F87819" w:rsidRPr="00026D3E" w:rsidRDefault="00F87819" w:rsidP="00C70F49">
      <w:pPr>
        <w:spacing w:line="360" w:lineRule="auto"/>
        <w:jc w:val="both"/>
        <w:rPr>
          <w:rFonts w:ascii="Times New Roman" w:hAnsi="Times New Roman" w:cs="Times New Roman"/>
          <w:sz w:val="24"/>
          <w:szCs w:val="24"/>
        </w:rPr>
      </w:pPr>
    </w:p>
    <w:p w:rsidR="00F87819" w:rsidRPr="00026D3E" w:rsidRDefault="00F87819" w:rsidP="00C70F49">
      <w:pPr>
        <w:spacing w:line="360" w:lineRule="auto"/>
        <w:jc w:val="both"/>
        <w:rPr>
          <w:rFonts w:ascii="Times New Roman" w:hAnsi="Times New Roman" w:cs="Times New Roman"/>
          <w:sz w:val="24"/>
          <w:szCs w:val="24"/>
        </w:rPr>
      </w:pPr>
    </w:p>
    <w:p w:rsidR="00F87819" w:rsidRPr="00026D3E" w:rsidRDefault="00F87819" w:rsidP="00C70F49">
      <w:pPr>
        <w:spacing w:line="360" w:lineRule="auto"/>
        <w:jc w:val="both"/>
        <w:rPr>
          <w:rFonts w:ascii="Times New Roman" w:hAnsi="Times New Roman" w:cs="Times New Roman"/>
          <w:sz w:val="24"/>
          <w:szCs w:val="24"/>
        </w:rPr>
      </w:pPr>
    </w:p>
    <w:p w:rsidR="00F87819" w:rsidRPr="00026D3E" w:rsidRDefault="00F87819" w:rsidP="00C70F49">
      <w:pPr>
        <w:spacing w:line="360" w:lineRule="auto"/>
        <w:jc w:val="both"/>
        <w:rPr>
          <w:rFonts w:ascii="Times New Roman" w:hAnsi="Times New Roman" w:cs="Times New Roman"/>
          <w:sz w:val="24"/>
          <w:szCs w:val="24"/>
        </w:rPr>
      </w:pPr>
    </w:p>
    <w:p w:rsidR="00B84248" w:rsidRDefault="00B84248" w:rsidP="00A04775">
      <w:pPr>
        <w:spacing w:line="360" w:lineRule="auto"/>
        <w:jc w:val="both"/>
        <w:rPr>
          <w:rFonts w:ascii="Times New Roman" w:hAnsi="Times New Roman" w:cs="Times New Roman"/>
          <w:b/>
          <w:sz w:val="24"/>
          <w:szCs w:val="24"/>
        </w:rPr>
      </w:pPr>
    </w:p>
    <w:p w:rsidR="00A04775" w:rsidRPr="00026D3E" w:rsidRDefault="00A04775" w:rsidP="00B84248">
      <w:pPr>
        <w:pStyle w:val="Nadpis1"/>
      </w:pPr>
      <w:bookmarkStart w:id="6" w:name="_Toc354703580"/>
      <w:r w:rsidRPr="00026D3E">
        <w:lastRenderedPageBreak/>
        <w:t>4. Zeměpisná blízkost Iráku s Íránem a Sýrií</w:t>
      </w:r>
      <w:bookmarkEnd w:id="6"/>
    </w:p>
    <w:p w:rsidR="00A04775" w:rsidRPr="00026D3E" w:rsidRDefault="00A04775" w:rsidP="00BB49E2">
      <w:pPr>
        <w:spacing w:line="360" w:lineRule="auto"/>
        <w:ind w:firstLine="708"/>
        <w:jc w:val="both"/>
        <w:rPr>
          <w:rFonts w:ascii="Times New Roman" w:hAnsi="Times New Roman" w:cs="Times New Roman"/>
          <w:sz w:val="24"/>
          <w:szCs w:val="24"/>
        </w:rPr>
      </w:pPr>
      <w:r w:rsidRPr="00026D3E">
        <w:rPr>
          <w:rFonts w:ascii="Times New Roman" w:hAnsi="Times New Roman" w:cs="Times New Roman"/>
          <w:sz w:val="24"/>
          <w:szCs w:val="24"/>
        </w:rPr>
        <w:t xml:space="preserve">Walt říká, že studentům diplomacie bylo vždy vštěpováno, že sousedé sousedů jsou </w:t>
      </w:r>
      <w:r w:rsidR="00C733BE">
        <w:rPr>
          <w:rFonts w:ascii="Times New Roman" w:hAnsi="Times New Roman" w:cs="Times New Roman"/>
          <w:sz w:val="24"/>
          <w:szCs w:val="24"/>
        </w:rPr>
        <w:t>přátelé</w:t>
      </w:r>
      <w:r w:rsidRPr="00026D3E">
        <w:rPr>
          <w:rFonts w:ascii="Times New Roman" w:hAnsi="Times New Roman" w:cs="Times New Roman"/>
          <w:sz w:val="24"/>
          <w:szCs w:val="24"/>
        </w:rPr>
        <w:t xml:space="preserve"> a že pozorujeme dlouhodobou tendenci periferních států spolčovat se proti centrální mocnosti. (Walt 1985: 10) Takovýto výrok je do značné míry kompatibilní také s oblastí </w:t>
      </w:r>
      <w:r w:rsidR="00551FDB">
        <w:rPr>
          <w:rFonts w:ascii="Times New Roman" w:hAnsi="Times New Roman" w:cs="Times New Roman"/>
          <w:sz w:val="24"/>
          <w:szCs w:val="24"/>
        </w:rPr>
        <w:t>B</w:t>
      </w:r>
      <w:r w:rsidRPr="00026D3E">
        <w:rPr>
          <w:rFonts w:ascii="Times New Roman" w:hAnsi="Times New Roman" w:cs="Times New Roman"/>
          <w:sz w:val="24"/>
          <w:szCs w:val="24"/>
        </w:rPr>
        <w:t xml:space="preserve">lízkého východu, kde vztahy vzájemně sousedících států opakovaně provázely četné konflikty. Státy v sousedství představují podle Walta větší nebezpečí než ty, které se nacházejí </w:t>
      </w:r>
      <w:r w:rsidR="00551FDB">
        <w:rPr>
          <w:rFonts w:ascii="Times New Roman" w:hAnsi="Times New Roman" w:cs="Times New Roman"/>
          <w:sz w:val="24"/>
          <w:szCs w:val="24"/>
        </w:rPr>
        <w:t>ve větší vzdálenosti</w:t>
      </w:r>
      <w:r w:rsidRPr="00026D3E">
        <w:rPr>
          <w:rFonts w:ascii="Times New Roman" w:hAnsi="Times New Roman" w:cs="Times New Roman"/>
          <w:sz w:val="24"/>
          <w:szCs w:val="24"/>
        </w:rPr>
        <w:t xml:space="preserve">. (Walt 1985:10) Pokud je tomu tak, potom historicky by měl z pohledu Sýrie i Íránu představovat Irák trvale alespoň nějakou míru hrozby. Lze konstatovat, že hrozba byla natolik velká, </w:t>
      </w:r>
      <w:r w:rsidR="005F0F48">
        <w:rPr>
          <w:rFonts w:ascii="Times New Roman" w:hAnsi="Times New Roman" w:cs="Times New Roman"/>
          <w:sz w:val="24"/>
          <w:szCs w:val="24"/>
        </w:rPr>
        <w:t>že byla jedním z důvodů vzniku syrsko – íránské aliance</w:t>
      </w:r>
      <w:r w:rsidRPr="00026D3E">
        <w:rPr>
          <w:rFonts w:ascii="Times New Roman" w:hAnsi="Times New Roman" w:cs="Times New Roman"/>
          <w:sz w:val="24"/>
          <w:szCs w:val="24"/>
        </w:rPr>
        <w:t>? Na t</w:t>
      </w:r>
      <w:r w:rsidR="005F0F48">
        <w:rPr>
          <w:rFonts w:ascii="Times New Roman" w:hAnsi="Times New Roman" w:cs="Times New Roman"/>
          <w:sz w:val="24"/>
          <w:szCs w:val="24"/>
        </w:rPr>
        <w:t xml:space="preserve">uto otázku se bude snažit tato kapitola </w:t>
      </w:r>
      <w:r w:rsidRPr="00026D3E">
        <w:rPr>
          <w:rFonts w:ascii="Times New Roman" w:hAnsi="Times New Roman" w:cs="Times New Roman"/>
          <w:sz w:val="24"/>
          <w:szCs w:val="24"/>
        </w:rPr>
        <w:t xml:space="preserve">odpovědět. Autor si uvědomuje, že kvantifikovat míru hrozby na základě neshod sousedských států je přinejmenším velice </w:t>
      </w:r>
      <w:r w:rsidR="008819C8">
        <w:rPr>
          <w:rFonts w:ascii="Times New Roman" w:hAnsi="Times New Roman" w:cs="Times New Roman"/>
          <w:sz w:val="24"/>
          <w:szCs w:val="24"/>
        </w:rPr>
        <w:t xml:space="preserve">náročné. Na položenou otázku se pokusí odpovědět pomocí analýzy vybraných </w:t>
      </w:r>
      <w:r w:rsidRPr="00026D3E">
        <w:rPr>
          <w:rFonts w:ascii="Times New Roman" w:hAnsi="Times New Roman" w:cs="Times New Roman"/>
          <w:sz w:val="24"/>
          <w:szCs w:val="24"/>
        </w:rPr>
        <w:t>geopolitických faktorů,</w:t>
      </w:r>
      <w:r w:rsidR="008819C8">
        <w:rPr>
          <w:rFonts w:ascii="Times New Roman" w:hAnsi="Times New Roman" w:cs="Times New Roman"/>
          <w:sz w:val="24"/>
          <w:szCs w:val="24"/>
        </w:rPr>
        <w:t xml:space="preserve"> které mohou mít vliv na vztahy Iráku se Sýrií a Íránem. </w:t>
      </w:r>
    </w:p>
    <w:p w:rsidR="00A04775" w:rsidRPr="00026D3E" w:rsidRDefault="00A04775" w:rsidP="002406BB">
      <w:pPr>
        <w:spacing w:line="360" w:lineRule="auto"/>
        <w:ind w:firstLine="708"/>
        <w:jc w:val="both"/>
        <w:rPr>
          <w:rFonts w:ascii="Times New Roman" w:hAnsi="Times New Roman" w:cs="Times New Roman"/>
          <w:sz w:val="24"/>
          <w:szCs w:val="24"/>
        </w:rPr>
      </w:pPr>
      <w:r w:rsidRPr="00026D3E">
        <w:rPr>
          <w:rFonts w:ascii="Times New Roman" w:hAnsi="Times New Roman" w:cs="Times New Roman"/>
          <w:sz w:val="24"/>
          <w:szCs w:val="24"/>
        </w:rPr>
        <w:t>Ačkoliv se autor ztotožňuje s Waltovým tvrzením o potenciálně větší hrozbě ze strany sousedících států než těch geograficky vzdálených, zůstává zde zřejmá metodologická bariéra. Na základě čeho lze posoudit, že Irák představoval pro Sýrii a Írán hrozbu jako sousedící stát, pokud se celková moc, ofensivní kapacita a agresivní úmysly státu pos</w:t>
      </w:r>
      <w:r w:rsidR="006D319A" w:rsidRPr="00026D3E">
        <w:rPr>
          <w:rFonts w:ascii="Times New Roman" w:hAnsi="Times New Roman" w:cs="Times New Roman"/>
          <w:sz w:val="24"/>
          <w:szCs w:val="24"/>
        </w:rPr>
        <w:t xml:space="preserve">uzují v rámci teorie samostatně? </w:t>
      </w:r>
      <w:r w:rsidRPr="00026D3E">
        <w:rPr>
          <w:rFonts w:ascii="Times New Roman" w:hAnsi="Times New Roman" w:cs="Times New Roman"/>
          <w:sz w:val="24"/>
          <w:szCs w:val="24"/>
        </w:rPr>
        <w:t>Jakým způsobem se dá míra hrozby změřit z pohledu zeměpisné bl</w:t>
      </w:r>
      <w:r w:rsidR="006D319A" w:rsidRPr="00026D3E">
        <w:rPr>
          <w:rFonts w:ascii="Times New Roman" w:hAnsi="Times New Roman" w:cs="Times New Roman"/>
          <w:sz w:val="24"/>
          <w:szCs w:val="24"/>
        </w:rPr>
        <w:t>ízkosti jako nezávisle proměnné</w:t>
      </w:r>
      <w:r w:rsidRPr="00026D3E">
        <w:rPr>
          <w:rFonts w:ascii="Times New Roman" w:hAnsi="Times New Roman" w:cs="Times New Roman"/>
          <w:sz w:val="24"/>
          <w:szCs w:val="24"/>
        </w:rPr>
        <w:t xml:space="preserve">? Věnovat se ostatním třem zmíněným nezávisle proměnným a doplnit je konstatováním, že Irák byl hrozbou jednoduše proto, že je vůči Sýrii a Íránu položen nejblíže, by samozřejmě nebylo důslednou aplikací teorie rovnováhy hrozeb v celém jejím rozsahu. </w:t>
      </w:r>
    </w:p>
    <w:p w:rsidR="00A04775" w:rsidRPr="00026D3E" w:rsidRDefault="00A04775" w:rsidP="002406BB">
      <w:pPr>
        <w:spacing w:line="360" w:lineRule="auto"/>
        <w:ind w:firstLine="708"/>
        <w:jc w:val="both"/>
        <w:rPr>
          <w:rFonts w:ascii="Times New Roman" w:hAnsi="Times New Roman" w:cs="Times New Roman"/>
          <w:sz w:val="24"/>
          <w:szCs w:val="24"/>
        </w:rPr>
      </w:pPr>
      <w:r w:rsidRPr="00026D3E">
        <w:rPr>
          <w:rFonts w:ascii="Times New Roman" w:hAnsi="Times New Roman" w:cs="Times New Roman"/>
          <w:sz w:val="24"/>
          <w:szCs w:val="24"/>
        </w:rPr>
        <w:t>Autor se tak z pohledu politické geografie rozhodl zaměřit na roli těch aspektů, které jsou předmětem velkého zájmu každého z výše uvedených států a které byly ústředním prvkem jejich rozepří. Jedná se o oblast hraničních sporů, především zdrojů vody a ropovodu.</w:t>
      </w:r>
      <w:r w:rsidRPr="00026D3E">
        <w:rPr>
          <w:rStyle w:val="Znakapoznpodarou"/>
          <w:rFonts w:ascii="Times New Roman" w:hAnsi="Times New Roman" w:cs="Times New Roman"/>
          <w:sz w:val="24"/>
          <w:szCs w:val="24"/>
        </w:rPr>
        <w:footnoteReference w:id="14"/>
      </w:r>
    </w:p>
    <w:p w:rsidR="00A04775" w:rsidRPr="00026D3E" w:rsidRDefault="00A04775" w:rsidP="00A66955">
      <w:pPr>
        <w:spacing w:line="360" w:lineRule="auto"/>
        <w:ind w:firstLine="708"/>
        <w:jc w:val="both"/>
        <w:rPr>
          <w:rFonts w:ascii="Times New Roman" w:hAnsi="Times New Roman" w:cs="Times New Roman"/>
          <w:sz w:val="24"/>
          <w:szCs w:val="24"/>
        </w:rPr>
      </w:pPr>
      <w:r w:rsidRPr="00026D3E">
        <w:rPr>
          <w:rFonts w:ascii="Times New Roman" w:hAnsi="Times New Roman" w:cs="Times New Roman"/>
          <w:sz w:val="24"/>
          <w:szCs w:val="24"/>
        </w:rPr>
        <w:t xml:space="preserve">Podle Prescotta termín hraniční spor může představovat celkem čtyři odlišné typy neshod mezi státy.  (Prescott 2008: 94) První, který označuje jako teritoriální, vychází z určité míry kvality pohraničního území, které je atraktivní pro stát, jež spor iniciuje. Druhý spor, takzvaný poziční, se týká konkrétního umístění hranice a bývá často důsledkem odlišného </w:t>
      </w:r>
      <w:r w:rsidRPr="00026D3E">
        <w:rPr>
          <w:rFonts w:ascii="Times New Roman" w:hAnsi="Times New Roman" w:cs="Times New Roman"/>
          <w:sz w:val="24"/>
          <w:szCs w:val="24"/>
        </w:rPr>
        <w:lastRenderedPageBreak/>
        <w:t>výkladu podmínek, jež hranici průběžně definovaly. K uspokojení iniciátora se dají oba typy sporů vyřešit pouze tehdy, když se hranice posune. Naproti tomu druhé dva typy sporů jsou řešitelné, aniž by se musela hranice posunout. Za prvé je to spor funkční, kdy jedna strana příliš horlivě či naopak nedbale uplatňuje</w:t>
      </w:r>
      <w:r w:rsidR="006D319A" w:rsidRPr="00026D3E">
        <w:rPr>
          <w:rFonts w:ascii="Times New Roman" w:hAnsi="Times New Roman" w:cs="Times New Roman"/>
          <w:sz w:val="24"/>
          <w:szCs w:val="24"/>
        </w:rPr>
        <w:t xml:space="preserve"> pravidla hraničního přechodu.</w:t>
      </w:r>
      <w:r w:rsidR="00333778" w:rsidRPr="00026D3E">
        <w:rPr>
          <w:rFonts w:ascii="Times New Roman" w:hAnsi="Times New Roman" w:cs="Times New Roman"/>
          <w:sz w:val="24"/>
          <w:szCs w:val="24"/>
        </w:rPr>
        <w:t xml:space="preserve"> </w:t>
      </w:r>
      <w:r w:rsidR="006D319A" w:rsidRPr="00026D3E">
        <w:rPr>
          <w:rFonts w:ascii="Times New Roman" w:hAnsi="Times New Roman" w:cs="Times New Roman"/>
          <w:sz w:val="24"/>
          <w:szCs w:val="24"/>
        </w:rPr>
        <w:t>Z</w:t>
      </w:r>
      <w:r w:rsidRPr="00026D3E">
        <w:rPr>
          <w:rFonts w:ascii="Times New Roman" w:hAnsi="Times New Roman" w:cs="Times New Roman"/>
          <w:sz w:val="24"/>
          <w:szCs w:val="24"/>
        </w:rPr>
        <w:t xml:space="preserve">a druhé spor týkající se čerpání zdroje, jehož rozloha přesahuje hranice jednoho státu. </w:t>
      </w:r>
      <w:r w:rsidRPr="00026D3E">
        <w:rPr>
          <w:rStyle w:val="Znakapoznpodarou"/>
          <w:rFonts w:ascii="Times New Roman" w:hAnsi="Times New Roman" w:cs="Times New Roman"/>
          <w:sz w:val="24"/>
          <w:szCs w:val="24"/>
        </w:rPr>
        <w:footnoteReference w:id="15"/>
      </w:r>
      <w:r w:rsidRPr="00026D3E">
        <w:rPr>
          <w:rFonts w:ascii="Times New Roman" w:hAnsi="Times New Roman" w:cs="Times New Roman"/>
          <w:sz w:val="24"/>
          <w:szCs w:val="24"/>
        </w:rPr>
        <w:t xml:space="preserve"> </w:t>
      </w:r>
    </w:p>
    <w:p w:rsidR="00A04775" w:rsidRPr="00026D3E" w:rsidRDefault="00A04775" w:rsidP="00A946DB">
      <w:pPr>
        <w:spacing w:line="360" w:lineRule="auto"/>
        <w:ind w:firstLine="708"/>
        <w:jc w:val="both"/>
        <w:rPr>
          <w:rFonts w:ascii="Times New Roman" w:hAnsi="Times New Roman" w:cs="Times New Roman"/>
          <w:sz w:val="24"/>
          <w:szCs w:val="24"/>
        </w:rPr>
      </w:pPr>
      <w:r w:rsidRPr="00026D3E">
        <w:rPr>
          <w:rFonts w:ascii="Times New Roman" w:hAnsi="Times New Roman" w:cs="Times New Roman"/>
          <w:sz w:val="24"/>
          <w:szCs w:val="24"/>
        </w:rPr>
        <w:t xml:space="preserve">S přihlédnutím k této typologii lze konstatovat, že v irácko </w:t>
      </w:r>
      <w:r w:rsidR="00A66955">
        <w:rPr>
          <w:rFonts w:ascii="Times New Roman" w:hAnsi="Times New Roman" w:cs="Times New Roman"/>
          <w:sz w:val="24"/>
          <w:szCs w:val="24"/>
        </w:rPr>
        <w:t xml:space="preserve">– syrských a irácko – íránských vztazích </w:t>
      </w:r>
      <w:r w:rsidRPr="00026D3E">
        <w:rPr>
          <w:rFonts w:ascii="Times New Roman" w:hAnsi="Times New Roman" w:cs="Times New Roman"/>
          <w:sz w:val="24"/>
          <w:szCs w:val="24"/>
        </w:rPr>
        <w:t>lze některé z těchto typů sporu identifikovat. V případě Iráku a Sýrie lze hovořit o sporu týkajícího se veletoku Eufrat, jež je hlavním zdrojem pro čerpání vody pro oba st</w:t>
      </w:r>
      <w:r w:rsidR="006D319A" w:rsidRPr="00026D3E">
        <w:rPr>
          <w:rFonts w:ascii="Times New Roman" w:hAnsi="Times New Roman" w:cs="Times New Roman"/>
          <w:sz w:val="24"/>
          <w:szCs w:val="24"/>
        </w:rPr>
        <w:t xml:space="preserve">áty. Co se týče Iráku a Íránu, </w:t>
      </w:r>
      <w:r w:rsidRPr="00026D3E">
        <w:rPr>
          <w:rFonts w:ascii="Times New Roman" w:hAnsi="Times New Roman" w:cs="Times New Roman"/>
          <w:sz w:val="24"/>
          <w:szCs w:val="24"/>
        </w:rPr>
        <w:t>vztahy obou států i jejich historických předchůdců provázely (poziční) spory ohledně vodního toku Šatt al-Arab, jehož část mezi nimi tvoří hranici. Nezanedbatelným aspektem při zkoumání irácko – syrských vztahů je</w:t>
      </w:r>
      <w:r w:rsidR="00A946DB">
        <w:rPr>
          <w:rFonts w:ascii="Times New Roman" w:hAnsi="Times New Roman" w:cs="Times New Roman"/>
          <w:sz w:val="24"/>
          <w:szCs w:val="24"/>
        </w:rPr>
        <w:t xml:space="preserve"> rovněž</w:t>
      </w:r>
      <w:r w:rsidRPr="00026D3E">
        <w:rPr>
          <w:rFonts w:ascii="Times New Roman" w:hAnsi="Times New Roman" w:cs="Times New Roman"/>
          <w:sz w:val="24"/>
          <w:szCs w:val="24"/>
        </w:rPr>
        <w:t xml:space="preserve"> trasa ropovodu Kirkúk – Baniyas, v pří</w:t>
      </w:r>
      <w:r w:rsidR="006D319A" w:rsidRPr="00026D3E">
        <w:rPr>
          <w:rFonts w:ascii="Times New Roman" w:hAnsi="Times New Roman" w:cs="Times New Roman"/>
          <w:sz w:val="24"/>
          <w:szCs w:val="24"/>
        </w:rPr>
        <w:t xml:space="preserve">padě irácko – íránských vztahů </w:t>
      </w:r>
      <w:r w:rsidRPr="00026D3E">
        <w:rPr>
          <w:rFonts w:ascii="Times New Roman" w:hAnsi="Times New Roman" w:cs="Times New Roman"/>
          <w:sz w:val="24"/>
          <w:szCs w:val="24"/>
        </w:rPr>
        <w:t>je důležitá také otázka kurdského obyvatelstva.</w:t>
      </w:r>
    </w:p>
    <w:p w:rsidR="00A04775" w:rsidRPr="00026D3E" w:rsidRDefault="00F57025" w:rsidP="00B84248">
      <w:pPr>
        <w:pStyle w:val="Nadpis2"/>
      </w:pPr>
      <w:bookmarkStart w:id="7" w:name="_Toc354703581"/>
      <w:r>
        <w:t>4.1 Problémové aspekty syrsko – i</w:t>
      </w:r>
      <w:r w:rsidR="00A04775" w:rsidRPr="00026D3E">
        <w:t>ráckých vztahů</w:t>
      </w:r>
      <w:bookmarkEnd w:id="7"/>
    </w:p>
    <w:p w:rsidR="006D319A" w:rsidRPr="00026D3E" w:rsidRDefault="003C4FB2" w:rsidP="008C3EDB">
      <w:pPr>
        <w:tabs>
          <w:tab w:val="left" w:pos="1962"/>
        </w:tabs>
        <w:spacing w:line="360" w:lineRule="auto"/>
        <w:jc w:val="both"/>
        <w:rPr>
          <w:rFonts w:ascii="Times New Roman" w:hAnsi="Times New Roman" w:cs="Times New Roman"/>
          <w:sz w:val="24"/>
          <w:szCs w:val="24"/>
        </w:rPr>
      </w:pPr>
      <w:r w:rsidRPr="00026D3E">
        <w:rPr>
          <w:rFonts w:ascii="Times New Roman" w:hAnsi="Times New Roman" w:cs="Times New Roman"/>
          <w:sz w:val="24"/>
          <w:szCs w:val="24"/>
        </w:rPr>
        <w:t xml:space="preserve">Tuto podkapitolu rozčlenil autor na dvě části. První část se zabývá sporem Sýrie a Iráku ohledně čerpání vody z řeky Eufrat. Druhá část rozebírá spor těchto zemí ohledně ropovodu na trase Kirkúk – Baniyas. </w:t>
      </w:r>
    </w:p>
    <w:p w:rsidR="00A04775" w:rsidRPr="00026D3E" w:rsidRDefault="00A04775" w:rsidP="00B84248">
      <w:pPr>
        <w:pStyle w:val="Nadpis3"/>
      </w:pPr>
      <w:bookmarkStart w:id="8" w:name="_Toc354703582"/>
      <w:r w:rsidRPr="00026D3E">
        <w:t>4.1.1 Vodní zdroje - Eufrat</w:t>
      </w:r>
      <w:bookmarkEnd w:id="8"/>
    </w:p>
    <w:p w:rsidR="00A04775" w:rsidRPr="00026D3E" w:rsidRDefault="00A04775" w:rsidP="00DB46F0">
      <w:pPr>
        <w:spacing w:line="360" w:lineRule="auto"/>
        <w:ind w:firstLine="708"/>
        <w:jc w:val="both"/>
        <w:rPr>
          <w:rFonts w:ascii="Times New Roman" w:hAnsi="Times New Roman" w:cs="Times New Roman"/>
          <w:sz w:val="24"/>
          <w:szCs w:val="24"/>
        </w:rPr>
      </w:pPr>
      <w:r w:rsidRPr="00026D3E">
        <w:rPr>
          <w:rFonts w:ascii="Times New Roman" w:hAnsi="Times New Roman" w:cs="Times New Roman"/>
          <w:sz w:val="24"/>
          <w:szCs w:val="24"/>
        </w:rPr>
        <w:t xml:space="preserve">Vodní zdroje mají na podobu vztahů těchto tří státu značný vliv, neboť některé z nich musejí navzájem sdílet. Jejich obecný nedostatek na </w:t>
      </w:r>
      <w:r w:rsidR="002E086F">
        <w:rPr>
          <w:rFonts w:ascii="Times New Roman" w:hAnsi="Times New Roman" w:cs="Times New Roman"/>
          <w:sz w:val="24"/>
          <w:szCs w:val="24"/>
        </w:rPr>
        <w:t>Blízkém východě</w:t>
      </w:r>
      <w:r w:rsidRPr="00026D3E">
        <w:rPr>
          <w:rFonts w:ascii="Times New Roman" w:hAnsi="Times New Roman" w:cs="Times New Roman"/>
          <w:sz w:val="24"/>
          <w:szCs w:val="24"/>
        </w:rPr>
        <w:t xml:space="preserve"> byl opakovaně předmětem konfliktů, v některých případech dokonce vojenských.</w:t>
      </w:r>
      <w:r w:rsidRPr="00026D3E">
        <w:rPr>
          <w:rStyle w:val="Znakapoznpodarou"/>
          <w:rFonts w:ascii="Times New Roman" w:hAnsi="Times New Roman" w:cs="Times New Roman"/>
          <w:sz w:val="24"/>
          <w:szCs w:val="24"/>
        </w:rPr>
        <w:footnoteReference w:id="16"/>
      </w:r>
      <w:r w:rsidRPr="00026D3E">
        <w:rPr>
          <w:rFonts w:ascii="Times New Roman" w:hAnsi="Times New Roman" w:cs="Times New Roman"/>
          <w:sz w:val="24"/>
          <w:szCs w:val="24"/>
        </w:rPr>
        <w:t xml:space="preserve"> Jedny z nejdůležitějších vodních zdrojů na </w:t>
      </w:r>
      <w:r w:rsidR="00F03C3A">
        <w:rPr>
          <w:rFonts w:ascii="Times New Roman" w:hAnsi="Times New Roman" w:cs="Times New Roman"/>
          <w:sz w:val="24"/>
          <w:szCs w:val="24"/>
        </w:rPr>
        <w:t>B</w:t>
      </w:r>
      <w:r w:rsidRPr="00026D3E">
        <w:rPr>
          <w:rFonts w:ascii="Times New Roman" w:hAnsi="Times New Roman" w:cs="Times New Roman"/>
          <w:sz w:val="24"/>
          <w:szCs w:val="24"/>
        </w:rPr>
        <w:t xml:space="preserve">lízkém východě tvoří veletoky Eufrat a Tigris, jejichž prameny se nacházejí v Turecku a ústí vzájemným soutokem Šatt al-Arab do Perského zálivu.  Zatímco řeka Eufrat protéká </w:t>
      </w:r>
      <w:r w:rsidR="00F81F8E">
        <w:rPr>
          <w:rFonts w:ascii="Times New Roman" w:hAnsi="Times New Roman" w:cs="Times New Roman"/>
          <w:sz w:val="24"/>
          <w:szCs w:val="24"/>
        </w:rPr>
        <w:t>Tureckem, Sýrií a Irákem, Tigris</w:t>
      </w:r>
      <w:r w:rsidRPr="00026D3E">
        <w:rPr>
          <w:rFonts w:ascii="Times New Roman" w:hAnsi="Times New Roman" w:cs="Times New Roman"/>
          <w:sz w:val="24"/>
          <w:szCs w:val="24"/>
        </w:rPr>
        <w:t xml:space="preserve"> téměř výlučně Tureckem a Irákem, přičemž syrský přístup k jeho břehům tvoří pouze zhruba čtyřicet čtyři kilometrů dlouhá hranice s Tureckem. </w:t>
      </w:r>
    </w:p>
    <w:p w:rsidR="00A04775" w:rsidRPr="00026D3E" w:rsidRDefault="00A04775" w:rsidP="0013030E">
      <w:pPr>
        <w:spacing w:line="360" w:lineRule="auto"/>
        <w:ind w:firstLine="708"/>
        <w:jc w:val="both"/>
        <w:rPr>
          <w:rFonts w:ascii="Times New Roman" w:hAnsi="Times New Roman" w:cs="Times New Roman"/>
          <w:sz w:val="24"/>
          <w:szCs w:val="24"/>
        </w:rPr>
      </w:pPr>
      <w:r w:rsidRPr="00026D3E">
        <w:rPr>
          <w:rFonts w:ascii="Times New Roman" w:hAnsi="Times New Roman" w:cs="Times New Roman"/>
          <w:sz w:val="24"/>
          <w:szCs w:val="24"/>
        </w:rPr>
        <w:t>Čerpání vody z Eufratu je důležitým aspektem vztahů Iráku se Sýrií. Pro jejich vzájemné vztahy je však určující, v j</w:t>
      </w:r>
      <w:r w:rsidR="006D319A" w:rsidRPr="00026D3E">
        <w:rPr>
          <w:rFonts w:ascii="Times New Roman" w:hAnsi="Times New Roman" w:cs="Times New Roman"/>
          <w:sz w:val="24"/>
          <w:szCs w:val="24"/>
        </w:rPr>
        <w:t xml:space="preserve">akém pořadí států protéká řeka </w:t>
      </w:r>
      <w:r w:rsidRPr="00026D3E">
        <w:rPr>
          <w:rFonts w:ascii="Times New Roman" w:hAnsi="Times New Roman" w:cs="Times New Roman"/>
          <w:sz w:val="24"/>
          <w:szCs w:val="24"/>
        </w:rPr>
        <w:t xml:space="preserve">od svého pramene </w:t>
      </w:r>
      <w:r w:rsidRPr="00026D3E">
        <w:rPr>
          <w:rFonts w:ascii="Times New Roman" w:hAnsi="Times New Roman" w:cs="Times New Roman"/>
          <w:sz w:val="24"/>
          <w:szCs w:val="24"/>
        </w:rPr>
        <w:lastRenderedPageBreak/>
        <w:t>v Turecku až po ústí v Iráku. Sýrie, ale zejména Irák jsou v tomto ohledu znevýhodněni, neboť síla průtoku vody bude vždy ovlivněna tím, jak ji stát blíže k pramenu „nastaví“. Zásadním mezníkem v této otázce se stala stavba prvních velkých přehrad na území Turecka a Sýrie, která probíhala v obou zemích téměř simultánně. Stavba přehrady Keban v Turecku probíhala v letech 1966 – 1974, téměř souběžně probíhala stavby přehrady al-Taqba v Sýrii v letech 1968 – 1973. Prakticky ihned po jejich dokončení mělo být v roce 1974 započato napouštění nádrží, nejprve v T</w:t>
      </w:r>
      <w:r w:rsidR="008C35D7">
        <w:rPr>
          <w:rFonts w:ascii="Times New Roman" w:hAnsi="Times New Roman" w:cs="Times New Roman"/>
          <w:sz w:val="24"/>
          <w:szCs w:val="24"/>
        </w:rPr>
        <w:t>urecku a v zápětí v Sýrii. Irák</w:t>
      </w:r>
      <w:r w:rsidRPr="00026D3E">
        <w:rPr>
          <w:rFonts w:ascii="Times New Roman" w:hAnsi="Times New Roman" w:cs="Times New Roman"/>
          <w:sz w:val="24"/>
          <w:szCs w:val="24"/>
        </w:rPr>
        <w:t xml:space="preserve"> tuto akci očekával s obavami, neboť množství vody, které bylo potřeba k napuštění nádrží</w:t>
      </w:r>
      <w:r w:rsidR="008C35D7">
        <w:rPr>
          <w:rFonts w:ascii="Times New Roman" w:hAnsi="Times New Roman" w:cs="Times New Roman"/>
          <w:sz w:val="24"/>
          <w:szCs w:val="24"/>
        </w:rPr>
        <w:t>,</w:t>
      </w:r>
      <w:r w:rsidRPr="00026D3E">
        <w:rPr>
          <w:rFonts w:ascii="Times New Roman" w:hAnsi="Times New Roman" w:cs="Times New Roman"/>
          <w:sz w:val="24"/>
          <w:szCs w:val="24"/>
        </w:rPr>
        <w:t xml:space="preserve"> se nutně muselo odrazit na síle průtoku vody podél proudu. Tomuto kroku předcházelo celkem pět schůzí všech tří zúčastněných stran v letech 1972 – 1974, které odkryly vzrůstající napětí. (Daoudy 2009: 382) Veškerá diskuze dosáhla mrtvého bodu poté</w:t>
      </w:r>
      <w:r w:rsidR="008C35D7">
        <w:rPr>
          <w:rFonts w:ascii="Times New Roman" w:hAnsi="Times New Roman" w:cs="Times New Roman"/>
          <w:sz w:val="24"/>
          <w:szCs w:val="24"/>
        </w:rPr>
        <w:t xml:space="preserve">, co bylo v červenci roku 1974 </w:t>
      </w:r>
      <w:r w:rsidRPr="00026D3E">
        <w:rPr>
          <w:rFonts w:ascii="Times New Roman" w:hAnsi="Times New Roman" w:cs="Times New Roman"/>
          <w:sz w:val="24"/>
          <w:szCs w:val="24"/>
        </w:rPr>
        <w:t>započato napouštění nádrží Tureckem a Sýrií. Přes vyjednané podmínky minimálního objemu vod</w:t>
      </w:r>
      <w:r w:rsidR="00A60AF8">
        <w:rPr>
          <w:rFonts w:ascii="Times New Roman" w:hAnsi="Times New Roman" w:cs="Times New Roman"/>
          <w:sz w:val="24"/>
          <w:szCs w:val="24"/>
        </w:rPr>
        <w:t xml:space="preserve">y, který měl do Iráku protékat </w:t>
      </w:r>
      <w:r w:rsidRPr="00026D3E">
        <w:rPr>
          <w:rFonts w:ascii="Times New Roman" w:hAnsi="Times New Roman" w:cs="Times New Roman"/>
          <w:sz w:val="24"/>
          <w:szCs w:val="24"/>
        </w:rPr>
        <w:t>za průběžného napouštění obou nádrží</w:t>
      </w:r>
      <w:r w:rsidR="008563E5" w:rsidRPr="00A60AF8">
        <w:rPr>
          <w:rFonts w:ascii="Times New Roman" w:hAnsi="Times New Roman" w:cs="Times New Roman"/>
          <w:sz w:val="24"/>
          <w:szCs w:val="24"/>
        </w:rPr>
        <w:t>,</w:t>
      </w:r>
      <w:r w:rsidRPr="00026D3E">
        <w:rPr>
          <w:rFonts w:ascii="Times New Roman" w:hAnsi="Times New Roman" w:cs="Times New Roman"/>
          <w:sz w:val="24"/>
          <w:szCs w:val="24"/>
        </w:rPr>
        <w:t xml:space="preserve"> však došlo v roce 1974 k  první závažné hydro-politické krizi. Příčinou byl především neobvykle nízký počet srážek za celý r</w:t>
      </w:r>
      <w:r w:rsidR="0063174C">
        <w:rPr>
          <w:rFonts w:ascii="Times New Roman" w:hAnsi="Times New Roman" w:cs="Times New Roman"/>
          <w:sz w:val="24"/>
          <w:szCs w:val="24"/>
        </w:rPr>
        <w:t>ok, v důsledku čehož byl průtok</w:t>
      </w:r>
      <w:r w:rsidRPr="00026D3E">
        <w:rPr>
          <w:rFonts w:ascii="Times New Roman" w:hAnsi="Times New Roman" w:cs="Times New Roman"/>
          <w:sz w:val="24"/>
          <w:szCs w:val="24"/>
        </w:rPr>
        <w:t xml:space="preserve"> řeky do Iráku oslaben ještě více, než bylo očekáváno. V zimě roku 1974 tak byl Irák postižen kritickým nedostatkem vody. (Naff,Matson 1984: 94) Na vině byla podle něj Sýrie, která tak ohrozila životy třech milionů iráckých zemědělců. Nepřátelské postoje dvou </w:t>
      </w:r>
      <w:r w:rsidR="00672E37">
        <w:rPr>
          <w:rFonts w:ascii="Times New Roman" w:hAnsi="Times New Roman" w:cs="Times New Roman"/>
          <w:sz w:val="24"/>
          <w:szCs w:val="24"/>
        </w:rPr>
        <w:t>baasistických režimů, obviňujících</w:t>
      </w:r>
      <w:r w:rsidR="00422D5D" w:rsidRPr="00026D3E">
        <w:rPr>
          <w:rFonts w:ascii="Times New Roman" w:hAnsi="Times New Roman" w:cs="Times New Roman"/>
          <w:sz w:val="24"/>
          <w:szCs w:val="24"/>
        </w:rPr>
        <w:t xml:space="preserve"> se navzájem z pokrytectví, </w:t>
      </w:r>
      <w:r w:rsidRPr="00026D3E">
        <w:rPr>
          <w:rFonts w:ascii="Times New Roman" w:hAnsi="Times New Roman" w:cs="Times New Roman"/>
          <w:sz w:val="24"/>
          <w:szCs w:val="24"/>
        </w:rPr>
        <w:t>vyhrotily situaci téměř do válečného konfliktu. Sýrie odepřela přístup iráckých letadel do jejího vzdušného prostoru, zrušila veškeré lety syrských aerolinek do Iráku a přesunula vojenské oddíly z izraelské hranice na hranici s Irákem, kde se podle ní již hromadily irácké jednotky. (Morris 1997) Irák naopak vyhrožoval bombardováním přehrady al-Tabqa. Po neúspěšných snahách Ligy arabských států o mediaci konfliktu intervenovaly do situace Saudská Arábie a Sovětský svaz. Jejich an</w:t>
      </w:r>
      <w:r w:rsidR="00422D5D" w:rsidRPr="00026D3E">
        <w:rPr>
          <w:rFonts w:ascii="Times New Roman" w:hAnsi="Times New Roman" w:cs="Times New Roman"/>
          <w:sz w:val="24"/>
          <w:szCs w:val="24"/>
        </w:rPr>
        <w:t xml:space="preserve">gažmá, </w:t>
      </w:r>
      <w:r w:rsidR="009F237A">
        <w:rPr>
          <w:rFonts w:ascii="Times New Roman" w:hAnsi="Times New Roman" w:cs="Times New Roman"/>
          <w:sz w:val="24"/>
          <w:szCs w:val="24"/>
        </w:rPr>
        <w:t xml:space="preserve">jež se </w:t>
      </w:r>
      <w:r w:rsidRPr="00026D3E">
        <w:rPr>
          <w:rFonts w:ascii="Times New Roman" w:hAnsi="Times New Roman" w:cs="Times New Roman"/>
          <w:sz w:val="24"/>
          <w:szCs w:val="24"/>
        </w:rPr>
        <w:t xml:space="preserve">setkalo s úspěchem, bylo ulehčeno zejména díky podepsání Alžírské smlouvy v roce 1975 mezi Irákem a Íránem, ve které se Írán zavázal neposkytovat nadále finanční pomoc kurdským povstalcům v Iráku a která v důsledku značně odlehčila napětí.  </w:t>
      </w:r>
    </w:p>
    <w:p w:rsidR="00A04775" w:rsidRPr="00026D3E" w:rsidRDefault="00A04775" w:rsidP="00043317">
      <w:pPr>
        <w:spacing w:line="360" w:lineRule="auto"/>
        <w:ind w:firstLine="708"/>
        <w:jc w:val="both"/>
        <w:rPr>
          <w:rFonts w:ascii="Times New Roman" w:hAnsi="Times New Roman" w:cs="Times New Roman"/>
          <w:sz w:val="24"/>
          <w:szCs w:val="24"/>
        </w:rPr>
      </w:pPr>
      <w:r w:rsidRPr="00026D3E">
        <w:rPr>
          <w:rFonts w:ascii="Times New Roman" w:hAnsi="Times New Roman" w:cs="Times New Roman"/>
          <w:sz w:val="24"/>
          <w:szCs w:val="24"/>
        </w:rPr>
        <w:t xml:space="preserve">Tento hydro-politický konflikt nepochybně zůstal v paměti al-Asada stejně jako Husajna. Otázka čerpání vody z Eufratu zůstala pro oba nadále citlivá a ani v následujícím období nedošlo k jakékoli významnější koordinaci úsilí řešit problém dlouhodobě. Oba baasistické režimy setrvávaly v nepřátelství, zásadnější význam nemělo ani jejich krátké sblížení mezi listopadem roku 1978 a červencem roku 1979. Tato chvilková nálada byla zcela zapomenuta po vypuknutí války mezi Irákem a Íránem, ve které zaujala Sýrie jasné </w:t>
      </w:r>
      <w:r w:rsidRPr="00026D3E">
        <w:rPr>
          <w:rFonts w:ascii="Times New Roman" w:hAnsi="Times New Roman" w:cs="Times New Roman"/>
          <w:sz w:val="24"/>
          <w:szCs w:val="24"/>
        </w:rPr>
        <w:lastRenderedPageBreak/>
        <w:t>stanovisko. Další hydro-politická krize však přišla až během války v</w:t>
      </w:r>
      <w:r w:rsidR="00DB6393">
        <w:rPr>
          <w:rFonts w:ascii="Times New Roman" w:hAnsi="Times New Roman" w:cs="Times New Roman"/>
          <w:sz w:val="24"/>
          <w:szCs w:val="24"/>
        </w:rPr>
        <w:t> Perském z</w:t>
      </w:r>
      <w:r w:rsidRPr="00026D3E">
        <w:rPr>
          <w:rFonts w:ascii="Times New Roman" w:hAnsi="Times New Roman" w:cs="Times New Roman"/>
          <w:sz w:val="24"/>
          <w:szCs w:val="24"/>
        </w:rPr>
        <w:t xml:space="preserve">álivu a prakticky nic nenasvědčuje tomu, že by se Sýrie cítila ohrožena Irákem v rámci tohoto hraničního sporu. </w:t>
      </w:r>
    </w:p>
    <w:p w:rsidR="00A04775" w:rsidRPr="00026D3E" w:rsidRDefault="00A04775" w:rsidP="00B56169">
      <w:pPr>
        <w:spacing w:line="360" w:lineRule="auto"/>
        <w:ind w:firstLine="708"/>
        <w:jc w:val="both"/>
        <w:rPr>
          <w:rFonts w:ascii="Times New Roman" w:hAnsi="Times New Roman" w:cs="Times New Roman"/>
          <w:sz w:val="24"/>
          <w:szCs w:val="24"/>
        </w:rPr>
      </w:pPr>
      <w:r w:rsidRPr="00026D3E">
        <w:rPr>
          <w:rFonts w:ascii="Times New Roman" w:hAnsi="Times New Roman" w:cs="Times New Roman"/>
          <w:sz w:val="24"/>
          <w:szCs w:val="24"/>
        </w:rPr>
        <w:t xml:space="preserve">Je třeba zdůraznit, že se autor opírá pouze o </w:t>
      </w:r>
      <w:r w:rsidR="000B4A08">
        <w:rPr>
          <w:rFonts w:ascii="Times New Roman" w:hAnsi="Times New Roman" w:cs="Times New Roman"/>
          <w:sz w:val="24"/>
          <w:szCs w:val="24"/>
        </w:rPr>
        <w:t>dostupné</w:t>
      </w:r>
      <w:r w:rsidRPr="00026D3E">
        <w:rPr>
          <w:rFonts w:ascii="Times New Roman" w:hAnsi="Times New Roman" w:cs="Times New Roman"/>
          <w:sz w:val="24"/>
          <w:szCs w:val="24"/>
        </w:rPr>
        <w:t xml:space="preserve"> informace. V  titulech věnujících se problematice</w:t>
      </w:r>
      <w:r w:rsidR="00F714BB">
        <w:rPr>
          <w:rFonts w:ascii="Times New Roman" w:hAnsi="Times New Roman" w:cs="Times New Roman"/>
          <w:sz w:val="24"/>
          <w:szCs w:val="24"/>
        </w:rPr>
        <w:t xml:space="preserve"> syrsko – í</w:t>
      </w:r>
      <w:r w:rsidRPr="00026D3E">
        <w:rPr>
          <w:rFonts w:ascii="Times New Roman" w:hAnsi="Times New Roman" w:cs="Times New Roman"/>
          <w:sz w:val="24"/>
          <w:szCs w:val="24"/>
        </w:rPr>
        <w:t>ránské aliance</w:t>
      </w:r>
      <w:r w:rsidRPr="00026D3E">
        <w:rPr>
          <w:rStyle w:val="Znakapoznpodarou"/>
          <w:rFonts w:ascii="Times New Roman" w:hAnsi="Times New Roman" w:cs="Times New Roman"/>
          <w:sz w:val="24"/>
          <w:szCs w:val="24"/>
        </w:rPr>
        <w:footnoteReference w:id="17"/>
      </w:r>
      <w:r w:rsidR="00F714BB">
        <w:rPr>
          <w:rFonts w:ascii="Times New Roman" w:hAnsi="Times New Roman" w:cs="Times New Roman"/>
          <w:sz w:val="24"/>
          <w:szCs w:val="24"/>
        </w:rPr>
        <w:t xml:space="preserve">  je</w:t>
      </w:r>
      <w:r w:rsidRPr="00026D3E">
        <w:rPr>
          <w:rFonts w:ascii="Times New Roman" w:hAnsi="Times New Roman" w:cs="Times New Roman"/>
          <w:sz w:val="24"/>
          <w:szCs w:val="24"/>
        </w:rPr>
        <w:t xml:space="preserve"> otázka vodních zdrojů mezi Sýrií </w:t>
      </w:r>
      <w:r w:rsidR="00422D5D" w:rsidRPr="00026D3E">
        <w:rPr>
          <w:rFonts w:ascii="Times New Roman" w:hAnsi="Times New Roman" w:cs="Times New Roman"/>
          <w:sz w:val="24"/>
          <w:szCs w:val="24"/>
        </w:rPr>
        <w:br/>
      </w:r>
      <w:r w:rsidR="00F714BB">
        <w:rPr>
          <w:rFonts w:ascii="Times New Roman" w:hAnsi="Times New Roman" w:cs="Times New Roman"/>
          <w:sz w:val="24"/>
          <w:szCs w:val="24"/>
        </w:rPr>
        <w:t>a Íránem zmiňována</w:t>
      </w:r>
      <w:r w:rsidRPr="00026D3E">
        <w:rPr>
          <w:rFonts w:ascii="Times New Roman" w:hAnsi="Times New Roman" w:cs="Times New Roman"/>
          <w:sz w:val="24"/>
          <w:szCs w:val="24"/>
        </w:rPr>
        <w:t xml:space="preserve"> jen velice okrajově.  Stejně tak v přepisu tajných nahrávek konverzací Husajna s nejvýše postavenými představiteli iráckého režimu, mapujících období 1979-2001, nebyla problematika čerpání vody z</w:t>
      </w:r>
      <w:r w:rsidR="00F714BB">
        <w:rPr>
          <w:rFonts w:ascii="Times New Roman" w:hAnsi="Times New Roman" w:cs="Times New Roman"/>
          <w:sz w:val="24"/>
          <w:szCs w:val="24"/>
        </w:rPr>
        <w:t> </w:t>
      </w:r>
      <w:r w:rsidRPr="00026D3E">
        <w:rPr>
          <w:rFonts w:ascii="Times New Roman" w:hAnsi="Times New Roman" w:cs="Times New Roman"/>
          <w:sz w:val="24"/>
          <w:szCs w:val="24"/>
        </w:rPr>
        <w:t>Eufratu</w:t>
      </w:r>
      <w:r w:rsidR="00F714BB">
        <w:rPr>
          <w:rFonts w:ascii="Times New Roman" w:hAnsi="Times New Roman" w:cs="Times New Roman"/>
          <w:sz w:val="24"/>
          <w:szCs w:val="24"/>
        </w:rPr>
        <w:t xml:space="preserve"> diskutována</w:t>
      </w:r>
      <w:r w:rsidRPr="00026D3E">
        <w:rPr>
          <w:rFonts w:ascii="Times New Roman" w:hAnsi="Times New Roman" w:cs="Times New Roman"/>
          <w:sz w:val="24"/>
          <w:szCs w:val="24"/>
        </w:rPr>
        <w:t>. Autor se tak domnívá, že na základě jemu dostupných informací lze stěží hledat příčinný vztah mezi hydr</w:t>
      </w:r>
      <w:r w:rsidR="0000042A">
        <w:rPr>
          <w:rFonts w:ascii="Times New Roman" w:hAnsi="Times New Roman" w:cs="Times New Roman"/>
          <w:sz w:val="24"/>
          <w:szCs w:val="24"/>
        </w:rPr>
        <w:t xml:space="preserve">o-politickou krizí v roce 1975 </w:t>
      </w:r>
      <w:r w:rsidRPr="00026D3E">
        <w:rPr>
          <w:rFonts w:ascii="Times New Roman" w:hAnsi="Times New Roman" w:cs="Times New Roman"/>
          <w:sz w:val="24"/>
          <w:szCs w:val="24"/>
        </w:rPr>
        <w:t xml:space="preserve">a vznikem aliance v roce 1982. </w:t>
      </w:r>
    </w:p>
    <w:p w:rsidR="00A04775" w:rsidRPr="00026D3E" w:rsidRDefault="00A04775" w:rsidP="00B84248">
      <w:pPr>
        <w:pStyle w:val="Nadpis3"/>
      </w:pPr>
      <w:bookmarkStart w:id="9" w:name="_Toc354703583"/>
      <w:r w:rsidRPr="00026D3E">
        <w:t>4.1.2 Ropovod Kirkúk - Baniyas</w:t>
      </w:r>
      <w:bookmarkEnd w:id="9"/>
    </w:p>
    <w:p w:rsidR="00A04775" w:rsidRPr="00026D3E" w:rsidRDefault="00A04775" w:rsidP="00DB75BE">
      <w:pPr>
        <w:spacing w:line="360" w:lineRule="auto"/>
        <w:ind w:firstLine="708"/>
        <w:jc w:val="both"/>
        <w:rPr>
          <w:rFonts w:ascii="Times New Roman" w:hAnsi="Times New Roman" w:cs="Times New Roman"/>
          <w:sz w:val="24"/>
          <w:szCs w:val="24"/>
        </w:rPr>
      </w:pPr>
      <w:r w:rsidRPr="00026D3E">
        <w:rPr>
          <w:rFonts w:ascii="Times New Roman" w:hAnsi="Times New Roman" w:cs="Times New Roman"/>
          <w:sz w:val="24"/>
          <w:szCs w:val="24"/>
        </w:rPr>
        <w:t xml:space="preserve">Vedle nedostatku zásob vody se však Irák potýká s dalším specifickým problémem. </w:t>
      </w:r>
      <w:r w:rsidR="00D65FAC">
        <w:rPr>
          <w:rFonts w:ascii="Times New Roman" w:hAnsi="Times New Roman" w:cs="Times New Roman"/>
          <w:sz w:val="24"/>
          <w:szCs w:val="24"/>
        </w:rPr>
        <w:t>Z hlediska</w:t>
      </w:r>
      <w:r w:rsidRPr="00026D3E">
        <w:rPr>
          <w:rFonts w:ascii="Times New Roman" w:hAnsi="Times New Roman" w:cs="Times New Roman"/>
          <w:sz w:val="24"/>
          <w:szCs w:val="24"/>
        </w:rPr>
        <w:t xml:space="preserve"> exportu vlastní</w:t>
      </w:r>
      <w:r w:rsidR="001B60EB">
        <w:rPr>
          <w:rFonts w:ascii="Times New Roman" w:hAnsi="Times New Roman" w:cs="Times New Roman"/>
          <w:sz w:val="24"/>
          <w:szCs w:val="24"/>
        </w:rPr>
        <w:t xml:space="preserve"> ropy,</w:t>
      </w:r>
      <w:r w:rsidRPr="00026D3E">
        <w:rPr>
          <w:rFonts w:ascii="Times New Roman" w:hAnsi="Times New Roman" w:cs="Times New Roman"/>
          <w:sz w:val="24"/>
          <w:szCs w:val="24"/>
        </w:rPr>
        <w:t xml:space="preserve"> patří Irák mezi</w:t>
      </w:r>
      <w:r w:rsidR="001B60EB">
        <w:rPr>
          <w:rFonts w:ascii="Times New Roman" w:hAnsi="Times New Roman" w:cs="Times New Roman"/>
          <w:sz w:val="24"/>
          <w:szCs w:val="24"/>
        </w:rPr>
        <w:t xml:space="preserve"> státy Blízkého východu</w:t>
      </w:r>
      <w:r w:rsidRPr="00026D3E">
        <w:rPr>
          <w:rFonts w:ascii="Times New Roman" w:hAnsi="Times New Roman" w:cs="Times New Roman"/>
          <w:sz w:val="24"/>
          <w:szCs w:val="24"/>
        </w:rPr>
        <w:t xml:space="preserve"> nejvíce závislé </w:t>
      </w:r>
      <w:r w:rsidR="00422D5D" w:rsidRPr="00026D3E">
        <w:rPr>
          <w:rFonts w:ascii="Times New Roman" w:hAnsi="Times New Roman" w:cs="Times New Roman"/>
          <w:sz w:val="24"/>
          <w:szCs w:val="24"/>
        </w:rPr>
        <w:br/>
      </w:r>
      <w:r w:rsidRPr="00026D3E">
        <w:rPr>
          <w:rFonts w:ascii="Times New Roman" w:hAnsi="Times New Roman" w:cs="Times New Roman"/>
          <w:sz w:val="24"/>
          <w:szCs w:val="24"/>
        </w:rPr>
        <w:t xml:space="preserve">na mezinárodních ropovodech, neboť nedisponuje téměř žádným přístupem k pobřeží. Vzdálenost obrovských ropných polí </w:t>
      </w:r>
      <w:r w:rsidR="00E46B2B">
        <w:rPr>
          <w:rFonts w:ascii="Times New Roman" w:hAnsi="Times New Roman" w:cs="Times New Roman"/>
          <w:sz w:val="24"/>
          <w:szCs w:val="24"/>
        </w:rPr>
        <w:t>u Kirkúku je od Perského zálivu</w:t>
      </w:r>
      <w:r w:rsidRPr="00026D3E">
        <w:rPr>
          <w:rFonts w:ascii="Times New Roman" w:hAnsi="Times New Roman" w:cs="Times New Roman"/>
          <w:sz w:val="24"/>
          <w:szCs w:val="24"/>
        </w:rPr>
        <w:t xml:space="preserve"> přibližně stejná jako od Středozemního moře. (Blake,Drysdale 1985: 339) Klíčový ropovod, který zajišťoval vývoz irácké ropy do Středozemního moře a na evropské trhy, vedl z iráckého Kirkúku do syrského Homsu, kde se dělil </w:t>
      </w:r>
      <w:r w:rsidR="001B60EB">
        <w:rPr>
          <w:rFonts w:ascii="Times New Roman" w:hAnsi="Times New Roman" w:cs="Times New Roman"/>
          <w:sz w:val="24"/>
          <w:szCs w:val="24"/>
        </w:rPr>
        <w:t>na dvě větve</w:t>
      </w:r>
      <w:r w:rsidRPr="00026D3E">
        <w:rPr>
          <w:rFonts w:ascii="Times New Roman" w:hAnsi="Times New Roman" w:cs="Times New Roman"/>
          <w:sz w:val="24"/>
          <w:szCs w:val="24"/>
        </w:rPr>
        <w:t>, přičemž jedním směrem pokračoval do syrského přístavního města Baniyas, druhým pak do libanonského Tripoli. Sýrii jakožto státu s minimálními zásobami vlastní ropy poskytoval ropovod vedoucí přes její území značné výhody</w:t>
      </w:r>
      <w:r w:rsidR="009F3E25" w:rsidRPr="00026D3E">
        <w:rPr>
          <w:rFonts w:ascii="Times New Roman" w:hAnsi="Times New Roman" w:cs="Times New Roman"/>
          <w:sz w:val="24"/>
          <w:szCs w:val="24"/>
        </w:rPr>
        <w:t xml:space="preserve">, jež mohla využít jako </w:t>
      </w:r>
      <w:r w:rsidRPr="00026D3E">
        <w:rPr>
          <w:rFonts w:ascii="Times New Roman" w:hAnsi="Times New Roman" w:cs="Times New Roman"/>
          <w:sz w:val="24"/>
          <w:szCs w:val="24"/>
        </w:rPr>
        <w:t xml:space="preserve">páku na </w:t>
      </w:r>
      <w:r w:rsidR="009F3E25" w:rsidRPr="00026D3E">
        <w:rPr>
          <w:rFonts w:ascii="Times New Roman" w:hAnsi="Times New Roman" w:cs="Times New Roman"/>
          <w:sz w:val="24"/>
          <w:szCs w:val="24"/>
        </w:rPr>
        <w:t>svého souseda</w:t>
      </w:r>
      <w:r w:rsidRPr="00026D3E">
        <w:rPr>
          <w:rFonts w:ascii="Times New Roman" w:hAnsi="Times New Roman" w:cs="Times New Roman"/>
          <w:sz w:val="24"/>
          <w:szCs w:val="24"/>
        </w:rPr>
        <w:t>. Výhodu, jež jí strategická pozice pro vývoz irácké ro</w:t>
      </w:r>
      <w:r w:rsidR="00CC1A2B">
        <w:rPr>
          <w:rFonts w:ascii="Times New Roman" w:hAnsi="Times New Roman" w:cs="Times New Roman"/>
          <w:sz w:val="24"/>
          <w:szCs w:val="24"/>
        </w:rPr>
        <w:t>py poskytovala, dokázala využít</w:t>
      </w:r>
      <w:r w:rsidRPr="00026D3E">
        <w:rPr>
          <w:rFonts w:ascii="Times New Roman" w:hAnsi="Times New Roman" w:cs="Times New Roman"/>
          <w:sz w:val="24"/>
          <w:szCs w:val="24"/>
        </w:rPr>
        <w:t xml:space="preserve"> v letech 1966 a 1971, kdy pod hrozbou uzavření kohoutků dosáhla navýšení iráckých poplatků (tranzitních poplatků) za provoz ropovodu. (Blake, Drysdale 1985: 340) Přílišn</w:t>
      </w:r>
      <w:r w:rsidR="00422D5D" w:rsidRPr="00026D3E">
        <w:rPr>
          <w:rFonts w:ascii="Times New Roman" w:hAnsi="Times New Roman" w:cs="Times New Roman"/>
          <w:sz w:val="24"/>
          <w:szCs w:val="24"/>
        </w:rPr>
        <w:t xml:space="preserve">á závislost na manévrech Sýrie </w:t>
      </w:r>
      <w:r w:rsidRPr="00026D3E">
        <w:rPr>
          <w:rFonts w:ascii="Times New Roman" w:hAnsi="Times New Roman" w:cs="Times New Roman"/>
          <w:sz w:val="24"/>
          <w:szCs w:val="24"/>
        </w:rPr>
        <w:t>přinutila Irák k podniknutí taktických kroků. V odhodlání odstranit sy</w:t>
      </w:r>
      <w:r w:rsidR="00422D5D" w:rsidRPr="00026D3E">
        <w:rPr>
          <w:rFonts w:ascii="Times New Roman" w:hAnsi="Times New Roman" w:cs="Times New Roman"/>
          <w:sz w:val="24"/>
          <w:szCs w:val="24"/>
        </w:rPr>
        <w:t xml:space="preserve">rskou páku otevřel v roce 1975 </w:t>
      </w:r>
      <w:r w:rsidRPr="00026D3E">
        <w:rPr>
          <w:rFonts w:ascii="Times New Roman" w:hAnsi="Times New Roman" w:cs="Times New Roman"/>
          <w:sz w:val="24"/>
          <w:szCs w:val="24"/>
        </w:rPr>
        <w:t>nový ropovod, který se úze</w:t>
      </w:r>
      <w:r w:rsidR="00CC1A2B">
        <w:rPr>
          <w:rFonts w:ascii="Times New Roman" w:hAnsi="Times New Roman" w:cs="Times New Roman"/>
          <w:sz w:val="24"/>
          <w:szCs w:val="24"/>
        </w:rPr>
        <w:t>mně Sýrii zcela vyhýbal, vedouce</w:t>
      </w:r>
      <w:r w:rsidRPr="00026D3E">
        <w:rPr>
          <w:rFonts w:ascii="Times New Roman" w:hAnsi="Times New Roman" w:cs="Times New Roman"/>
          <w:sz w:val="24"/>
          <w:szCs w:val="24"/>
        </w:rPr>
        <w:t xml:space="preserve"> ze západoiráckého m</w:t>
      </w:r>
      <w:r w:rsidR="00CC1A2B">
        <w:rPr>
          <w:rFonts w:ascii="Times New Roman" w:hAnsi="Times New Roman" w:cs="Times New Roman"/>
          <w:sz w:val="24"/>
          <w:szCs w:val="24"/>
        </w:rPr>
        <w:t>ěsta Haditha na poloostrov Fao</w:t>
      </w:r>
      <w:r w:rsidRPr="00026D3E">
        <w:rPr>
          <w:rFonts w:ascii="Times New Roman" w:hAnsi="Times New Roman" w:cs="Times New Roman"/>
          <w:sz w:val="24"/>
          <w:szCs w:val="24"/>
        </w:rPr>
        <w:t xml:space="preserve"> tvořící strategický přístup do Perského zálivu. K patrně nejzávažnějšímu pozastavení vývozu ropy přes Sýrii došlo v dubnu roku 1976. Důvodem b</w:t>
      </w:r>
      <w:r w:rsidR="00422D5D" w:rsidRPr="00026D3E">
        <w:rPr>
          <w:rFonts w:ascii="Times New Roman" w:hAnsi="Times New Roman" w:cs="Times New Roman"/>
          <w:sz w:val="24"/>
          <w:szCs w:val="24"/>
        </w:rPr>
        <w:t xml:space="preserve">yly četné politické roztržky a </w:t>
      </w:r>
      <w:r w:rsidRPr="00026D3E">
        <w:rPr>
          <w:rFonts w:ascii="Times New Roman" w:hAnsi="Times New Roman" w:cs="Times New Roman"/>
          <w:sz w:val="24"/>
          <w:szCs w:val="24"/>
        </w:rPr>
        <w:t xml:space="preserve">opětovné neshody ohledně výše tranzitních poplatků. Od poslední krize spjaté s ropovodem v roce 1971 se však mnohé změnilo. </w:t>
      </w:r>
    </w:p>
    <w:p w:rsidR="00A04775" w:rsidRPr="00026D3E" w:rsidRDefault="00A04775" w:rsidP="001725D4">
      <w:pPr>
        <w:spacing w:line="360" w:lineRule="auto"/>
        <w:ind w:firstLine="708"/>
        <w:jc w:val="both"/>
        <w:rPr>
          <w:rFonts w:ascii="Times New Roman" w:hAnsi="Times New Roman" w:cs="Times New Roman"/>
          <w:sz w:val="24"/>
          <w:szCs w:val="24"/>
        </w:rPr>
      </w:pPr>
      <w:r w:rsidRPr="00026D3E">
        <w:rPr>
          <w:rFonts w:ascii="Times New Roman" w:hAnsi="Times New Roman" w:cs="Times New Roman"/>
          <w:sz w:val="24"/>
          <w:szCs w:val="24"/>
        </w:rPr>
        <w:lastRenderedPageBreak/>
        <w:t xml:space="preserve">Přestože byla zažehnána hydro-politická krize, </w:t>
      </w:r>
      <w:r w:rsidR="005E2F22" w:rsidRPr="00026D3E">
        <w:rPr>
          <w:rFonts w:ascii="Times New Roman" w:hAnsi="Times New Roman" w:cs="Times New Roman"/>
          <w:sz w:val="24"/>
          <w:szCs w:val="24"/>
        </w:rPr>
        <w:t>jež eskalovala</w:t>
      </w:r>
      <w:r w:rsidRPr="00026D3E">
        <w:rPr>
          <w:rFonts w:ascii="Times New Roman" w:hAnsi="Times New Roman" w:cs="Times New Roman"/>
          <w:sz w:val="24"/>
          <w:szCs w:val="24"/>
        </w:rPr>
        <w:t xml:space="preserve"> téměř k otevřenému vojenskému konflik</w:t>
      </w:r>
      <w:r w:rsidR="001725D4">
        <w:rPr>
          <w:rFonts w:ascii="Times New Roman" w:hAnsi="Times New Roman" w:cs="Times New Roman"/>
          <w:sz w:val="24"/>
          <w:szCs w:val="24"/>
        </w:rPr>
        <w:t xml:space="preserve">tu, ani podpis Alžírské dohody </w:t>
      </w:r>
      <w:r w:rsidRPr="00026D3E">
        <w:rPr>
          <w:rFonts w:ascii="Times New Roman" w:hAnsi="Times New Roman" w:cs="Times New Roman"/>
          <w:sz w:val="24"/>
          <w:szCs w:val="24"/>
        </w:rPr>
        <w:t>nesnížil napětí, jež v jejich vztazích přetrvalo. Sýrie se neostýchala obvinit po podpisu dohody „tikrítský režim“ z odstoupení „arabské země“. (Karsh, Rautsi 1995:111) Prezident al-Asad se ocitl téměř v politické izolaci, když byl zavražděn jeho blízký spojenec saúdský král Fajsal, zatímco egyptský prezident Sadat se nadále sbližoval s Izraelem. Situace přinutila prezidenta k nouzovému kroku hledat spojence proti Izraeli v oblasti Levanty.</w:t>
      </w:r>
      <w:r w:rsidR="001725D4">
        <w:rPr>
          <w:rFonts w:ascii="Times New Roman" w:hAnsi="Times New Roman" w:cs="Times New Roman"/>
          <w:sz w:val="24"/>
          <w:szCs w:val="24"/>
        </w:rPr>
        <w:t xml:space="preserve"> (Seale 1988:268</w:t>
      </w:r>
      <w:r w:rsidRPr="00026D3E">
        <w:rPr>
          <w:rFonts w:ascii="Times New Roman" w:hAnsi="Times New Roman" w:cs="Times New Roman"/>
          <w:sz w:val="24"/>
          <w:szCs w:val="24"/>
        </w:rPr>
        <w:t>)</w:t>
      </w:r>
      <w:r w:rsidRPr="00026D3E">
        <w:rPr>
          <w:rFonts w:ascii="Times New Roman" w:hAnsi="Times New Roman" w:cs="Times New Roman"/>
          <w:color w:val="FF0000"/>
          <w:sz w:val="24"/>
          <w:szCs w:val="24"/>
        </w:rPr>
        <w:t xml:space="preserve"> </w:t>
      </w:r>
      <w:r w:rsidR="001725D4">
        <w:rPr>
          <w:rFonts w:ascii="Times New Roman" w:hAnsi="Times New Roman" w:cs="Times New Roman"/>
          <w:sz w:val="24"/>
          <w:szCs w:val="24"/>
        </w:rPr>
        <w:t>Když s</w:t>
      </w:r>
      <w:r w:rsidRPr="00026D3E">
        <w:rPr>
          <w:rFonts w:ascii="Times New Roman" w:hAnsi="Times New Roman" w:cs="Times New Roman"/>
          <w:sz w:val="24"/>
          <w:szCs w:val="24"/>
        </w:rPr>
        <w:t>e Sýrie pokoušela ukončit občans</w:t>
      </w:r>
      <w:r w:rsidR="001725D4">
        <w:rPr>
          <w:rFonts w:ascii="Times New Roman" w:hAnsi="Times New Roman" w:cs="Times New Roman"/>
          <w:sz w:val="24"/>
          <w:szCs w:val="24"/>
        </w:rPr>
        <w:t xml:space="preserve">kou válku v Libanonu vojenskou intervencí, </w:t>
      </w:r>
      <w:r w:rsidRPr="00026D3E">
        <w:rPr>
          <w:rFonts w:ascii="Times New Roman" w:hAnsi="Times New Roman" w:cs="Times New Roman"/>
          <w:sz w:val="24"/>
          <w:szCs w:val="24"/>
        </w:rPr>
        <w:t>pod</w:t>
      </w:r>
      <w:r w:rsidR="001725D4">
        <w:rPr>
          <w:rFonts w:ascii="Times New Roman" w:hAnsi="Times New Roman" w:cs="Times New Roman"/>
          <w:sz w:val="24"/>
          <w:szCs w:val="24"/>
        </w:rPr>
        <w:t xml:space="preserve">pořil Irák syrské protivníky a </w:t>
      </w:r>
      <w:r w:rsidRPr="00026D3E">
        <w:rPr>
          <w:rFonts w:ascii="Times New Roman" w:hAnsi="Times New Roman" w:cs="Times New Roman"/>
          <w:sz w:val="24"/>
          <w:szCs w:val="24"/>
        </w:rPr>
        <w:t>označil syrské angažmá jako hlavní překážku dosažení míru. (Karsh, Rautsi 1995:</w:t>
      </w:r>
      <w:r w:rsidR="001725D4">
        <w:rPr>
          <w:rFonts w:ascii="Times New Roman" w:hAnsi="Times New Roman" w:cs="Times New Roman"/>
          <w:sz w:val="24"/>
          <w:szCs w:val="24"/>
        </w:rPr>
        <w:t xml:space="preserve"> 111) </w:t>
      </w:r>
      <w:r w:rsidRPr="00026D3E">
        <w:rPr>
          <w:rFonts w:ascii="Times New Roman" w:hAnsi="Times New Roman" w:cs="Times New Roman"/>
          <w:sz w:val="24"/>
          <w:szCs w:val="24"/>
        </w:rPr>
        <w:t xml:space="preserve">Aby zvýraznil svůj postoj, rozmístil podél své hranice se Sýrií vojenské síly, přičemž označil al-Asada </w:t>
      </w:r>
      <w:r w:rsidR="00792D87" w:rsidRPr="00026D3E">
        <w:rPr>
          <w:rFonts w:ascii="Times New Roman" w:hAnsi="Times New Roman" w:cs="Times New Roman"/>
          <w:sz w:val="24"/>
          <w:szCs w:val="24"/>
        </w:rPr>
        <w:br/>
      </w:r>
      <w:r w:rsidRPr="00026D3E">
        <w:rPr>
          <w:rFonts w:ascii="Times New Roman" w:hAnsi="Times New Roman" w:cs="Times New Roman"/>
          <w:sz w:val="24"/>
          <w:szCs w:val="24"/>
        </w:rPr>
        <w:t>za megal</w:t>
      </w:r>
      <w:r w:rsidR="00CB12C8">
        <w:rPr>
          <w:rFonts w:ascii="Times New Roman" w:hAnsi="Times New Roman" w:cs="Times New Roman"/>
          <w:sz w:val="24"/>
          <w:szCs w:val="24"/>
        </w:rPr>
        <w:t xml:space="preserve">omana, jehož potřeštěné ambice </w:t>
      </w:r>
      <w:r w:rsidRPr="00026D3E">
        <w:rPr>
          <w:rFonts w:ascii="Times New Roman" w:hAnsi="Times New Roman" w:cs="Times New Roman"/>
          <w:sz w:val="24"/>
          <w:szCs w:val="24"/>
        </w:rPr>
        <w:t>způsobovala jatka.  (Seale 1988: 285)</w:t>
      </w:r>
    </w:p>
    <w:p w:rsidR="00A04775" w:rsidRPr="00026D3E" w:rsidRDefault="00A04775" w:rsidP="00CB12C8">
      <w:pPr>
        <w:spacing w:line="360" w:lineRule="auto"/>
        <w:ind w:firstLine="708"/>
        <w:jc w:val="both"/>
        <w:rPr>
          <w:rFonts w:ascii="Times New Roman" w:hAnsi="Times New Roman" w:cs="Times New Roman"/>
          <w:sz w:val="24"/>
          <w:szCs w:val="24"/>
        </w:rPr>
      </w:pPr>
      <w:r w:rsidRPr="00026D3E">
        <w:rPr>
          <w:rFonts w:ascii="Times New Roman" w:hAnsi="Times New Roman" w:cs="Times New Roman"/>
          <w:sz w:val="24"/>
          <w:szCs w:val="24"/>
        </w:rPr>
        <w:t xml:space="preserve">Právě v této atmosféře </w:t>
      </w:r>
      <w:r w:rsidR="00781D42">
        <w:rPr>
          <w:rFonts w:ascii="Times New Roman" w:hAnsi="Times New Roman" w:cs="Times New Roman"/>
          <w:sz w:val="24"/>
          <w:szCs w:val="24"/>
        </w:rPr>
        <w:t>pozastavil</w:t>
      </w:r>
      <w:r w:rsidRPr="00026D3E">
        <w:rPr>
          <w:rFonts w:ascii="Times New Roman" w:hAnsi="Times New Roman" w:cs="Times New Roman"/>
          <w:sz w:val="24"/>
          <w:szCs w:val="24"/>
        </w:rPr>
        <w:t xml:space="preserve"> Irák v dubnu  roku 1976 </w:t>
      </w:r>
      <w:r w:rsidR="00781D42">
        <w:rPr>
          <w:rFonts w:ascii="Times New Roman" w:hAnsi="Times New Roman" w:cs="Times New Roman"/>
          <w:sz w:val="24"/>
          <w:szCs w:val="24"/>
        </w:rPr>
        <w:t>dodávky ropy vedoucí</w:t>
      </w:r>
      <w:r w:rsidRPr="00026D3E">
        <w:rPr>
          <w:rFonts w:ascii="Times New Roman" w:hAnsi="Times New Roman" w:cs="Times New Roman"/>
          <w:sz w:val="24"/>
          <w:szCs w:val="24"/>
        </w:rPr>
        <w:t xml:space="preserve"> </w:t>
      </w:r>
      <w:r w:rsidR="00792D87" w:rsidRPr="00026D3E">
        <w:rPr>
          <w:rFonts w:ascii="Times New Roman" w:hAnsi="Times New Roman" w:cs="Times New Roman"/>
          <w:sz w:val="24"/>
          <w:szCs w:val="24"/>
        </w:rPr>
        <w:t xml:space="preserve">do Sýrie. Ta byla nyní </w:t>
      </w:r>
      <w:r w:rsidRPr="00026D3E">
        <w:rPr>
          <w:rFonts w:ascii="Times New Roman" w:hAnsi="Times New Roman" w:cs="Times New Roman"/>
          <w:sz w:val="24"/>
          <w:szCs w:val="24"/>
        </w:rPr>
        <w:t>vmanévrována do pozice, ve které již nemohla podm</w:t>
      </w:r>
      <w:r w:rsidR="00792D87" w:rsidRPr="00026D3E">
        <w:rPr>
          <w:rFonts w:ascii="Times New Roman" w:hAnsi="Times New Roman" w:cs="Times New Roman"/>
          <w:sz w:val="24"/>
          <w:szCs w:val="24"/>
        </w:rPr>
        <w:t xml:space="preserve">ínky sama diktovat. Nemohla si </w:t>
      </w:r>
      <w:r w:rsidRPr="00026D3E">
        <w:rPr>
          <w:rFonts w:ascii="Times New Roman" w:hAnsi="Times New Roman" w:cs="Times New Roman"/>
          <w:sz w:val="24"/>
          <w:szCs w:val="24"/>
        </w:rPr>
        <w:t>dovolit ignorovat finanční dopad této rozepře, neboť již na počátku sedmdesátých let tvořily tranzitní poplatky zhruba čtvrtinu jejích celkových příjmů. (Blake, D</w:t>
      </w:r>
      <w:r w:rsidR="00792D87" w:rsidRPr="00026D3E">
        <w:rPr>
          <w:rFonts w:ascii="Times New Roman" w:hAnsi="Times New Roman" w:cs="Times New Roman"/>
          <w:sz w:val="24"/>
          <w:szCs w:val="24"/>
        </w:rPr>
        <w:t xml:space="preserve">rysdale 1985:340) Své dřívější </w:t>
      </w:r>
      <w:r w:rsidRPr="00026D3E">
        <w:rPr>
          <w:rFonts w:ascii="Times New Roman" w:hAnsi="Times New Roman" w:cs="Times New Roman"/>
          <w:sz w:val="24"/>
          <w:szCs w:val="24"/>
        </w:rPr>
        <w:t xml:space="preserve">úmysly snižovat nadále závislost na Sýrii potvrdil Irák podepsáním dohody s Tureckem v roce 1975, skrze jehož území měl být vybudován ropovod vedoucí ke Středozemnímu moři. Přestože ropa v něm začala proudit již v roce 1977, její dodávky se neobešly v budoucích letech bez problémů. Irák však dosáhl svého. Východní hranice s Íránem byla zabezpečena Alžírskou dohodou a jeho závislost na syrském ropovodu byla značně omezena. Když v únoru roku 1979 podepsal dohodu se Sýrií a znovuotevřel trasu Kirkúk-Homs-Baniyas (nikoliv však Homs-Tripoli), nechal ropovodem v příštích dvou letech </w:t>
      </w:r>
      <w:r w:rsidR="00792D87" w:rsidRPr="00026D3E">
        <w:rPr>
          <w:rFonts w:ascii="Times New Roman" w:hAnsi="Times New Roman" w:cs="Times New Roman"/>
          <w:sz w:val="24"/>
          <w:szCs w:val="24"/>
        </w:rPr>
        <w:t xml:space="preserve">demonstrativně </w:t>
      </w:r>
      <w:r w:rsidRPr="00026D3E">
        <w:rPr>
          <w:rFonts w:ascii="Times New Roman" w:hAnsi="Times New Roman" w:cs="Times New Roman"/>
          <w:sz w:val="24"/>
          <w:szCs w:val="24"/>
        </w:rPr>
        <w:t>proudit pouze množství 200 000 – 300 000 barelů za den</w:t>
      </w:r>
      <w:r w:rsidR="00CB3DBF">
        <w:rPr>
          <w:rFonts w:ascii="Times New Roman" w:hAnsi="Times New Roman" w:cs="Times New Roman"/>
          <w:sz w:val="24"/>
          <w:szCs w:val="24"/>
        </w:rPr>
        <w:t xml:space="preserve"> (b/d)</w:t>
      </w:r>
      <w:r w:rsidRPr="00026D3E">
        <w:rPr>
          <w:rFonts w:ascii="Times New Roman" w:hAnsi="Times New Roman" w:cs="Times New Roman"/>
          <w:sz w:val="24"/>
          <w:szCs w:val="24"/>
        </w:rPr>
        <w:t>, přestože celková kapacita obsáhla až 1.1 milion b/d</w:t>
      </w:r>
      <w:r w:rsidR="00CB3DBF">
        <w:rPr>
          <w:rFonts w:ascii="Times New Roman" w:hAnsi="Times New Roman" w:cs="Times New Roman"/>
          <w:sz w:val="24"/>
          <w:szCs w:val="24"/>
        </w:rPr>
        <w:t>.</w:t>
      </w:r>
      <w:r w:rsidRPr="00026D3E">
        <w:rPr>
          <w:rFonts w:ascii="Times New Roman" w:hAnsi="Times New Roman" w:cs="Times New Roman"/>
          <w:sz w:val="24"/>
          <w:szCs w:val="24"/>
        </w:rPr>
        <w:t xml:space="preserve"> (Blake, Drysdale 1985: 341)</w:t>
      </w:r>
    </w:p>
    <w:p w:rsidR="00A04775" w:rsidRPr="00026D3E" w:rsidRDefault="00A04775" w:rsidP="007D1B50">
      <w:pPr>
        <w:spacing w:line="360" w:lineRule="auto"/>
        <w:ind w:firstLine="708"/>
        <w:jc w:val="both"/>
        <w:rPr>
          <w:rFonts w:ascii="Times New Roman" w:hAnsi="Times New Roman" w:cs="Times New Roman"/>
          <w:sz w:val="24"/>
          <w:szCs w:val="24"/>
        </w:rPr>
      </w:pPr>
      <w:r w:rsidRPr="00026D3E">
        <w:rPr>
          <w:rFonts w:ascii="Times New Roman" w:hAnsi="Times New Roman" w:cs="Times New Roman"/>
          <w:sz w:val="24"/>
          <w:szCs w:val="24"/>
        </w:rPr>
        <w:t xml:space="preserve">Strategicky slibná pozice Iráku však neměla dlouhého trvání. Po vypuknutí války s Íránem byla přeprava ropy skrze irácké terminály v Zálivu znemožněna a Irák se musel opět spoléhat pouze na vývoz ke Středozemnímu moři. Znovuotevření ropovodu na trase Homs-Tripoli se mu podařilo vyjednat v prosinci roku 1981. Linka však byla dvakrát vyhozena do povětří, nejprve týden po jejím znovuotevření, podruhé pak v březnu roku 1982. Za oběma útoky stáli pravděpodobně šíitští stoupenci Chomejního. (Blake, Drysdale 1985:341) Sýrie se zprvu zdráhala podpořit otevřeně Írán v jeho válečném úsilí se svým sousedem kvůli vlastní finanční závislosti na irácké ropě. Zábrany však padly po jejím podpisu dohody v březnu </w:t>
      </w:r>
      <w:r w:rsidRPr="00026D3E">
        <w:rPr>
          <w:rFonts w:ascii="Times New Roman" w:hAnsi="Times New Roman" w:cs="Times New Roman"/>
          <w:sz w:val="24"/>
          <w:szCs w:val="24"/>
        </w:rPr>
        <w:lastRenderedPageBreak/>
        <w:t xml:space="preserve">1982, ve které se Írán zavázal nahradit iráckých 175 000 b/d výměnou za dodávky zbraní </w:t>
      </w:r>
      <w:r w:rsidR="00792D87" w:rsidRPr="00026D3E">
        <w:rPr>
          <w:rFonts w:ascii="Times New Roman" w:hAnsi="Times New Roman" w:cs="Times New Roman"/>
          <w:sz w:val="24"/>
          <w:szCs w:val="24"/>
        </w:rPr>
        <w:br/>
      </w:r>
      <w:r w:rsidRPr="00026D3E">
        <w:rPr>
          <w:rFonts w:ascii="Times New Roman" w:hAnsi="Times New Roman" w:cs="Times New Roman"/>
          <w:sz w:val="24"/>
          <w:szCs w:val="24"/>
        </w:rPr>
        <w:t xml:space="preserve">a především uzavření ropovodu Kirkúk – Baniyas. </w:t>
      </w:r>
    </w:p>
    <w:p w:rsidR="00A04775" w:rsidRPr="00026D3E" w:rsidRDefault="00A04775" w:rsidP="007D54AB">
      <w:pPr>
        <w:spacing w:line="360" w:lineRule="auto"/>
        <w:ind w:firstLine="708"/>
        <w:jc w:val="both"/>
        <w:rPr>
          <w:rFonts w:ascii="Times New Roman" w:hAnsi="Times New Roman" w:cs="Times New Roman"/>
          <w:sz w:val="24"/>
          <w:szCs w:val="24"/>
        </w:rPr>
      </w:pPr>
      <w:r w:rsidRPr="00026D3E">
        <w:rPr>
          <w:rFonts w:ascii="Times New Roman" w:hAnsi="Times New Roman" w:cs="Times New Roman"/>
          <w:sz w:val="24"/>
          <w:szCs w:val="24"/>
        </w:rPr>
        <w:t xml:space="preserve">Role ropovodu byla ve vztazích Iráku se Sýrií nezanedbatelná. Krize spjatá </w:t>
      </w:r>
      <w:r w:rsidR="004447C6" w:rsidRPr="00026D3E">
        <w:rPr>
          <w:rFonts w:ascii="Times New Roman" w:hAnsi="Times New Roman" w:cs="Times New Roman"/>
          <w:sz w:val="24"/>
          <w:szCs w:val="24"/>
        </w:rPr>
        <w:t>s výší</w:t>
      </w:r>
      <w:r w:rsidRPr="00026D3E">
        <w:rPr>
          <w:rFonts w:ascii="Times New Roman" w:hAnsi="Times New Roman" w:cs="Times New Roman"/>
          <w:sz w:val="24"/>
          <w:szCs w:val="24"/>
        </w:rPr>
        <w:t xml:space="preserve"> tranzitních poplatků v letech 1976-1979 však nebyla odděleným problémem, byla integrální částí především politických konfliktů, které vyvěraly z</w:t>
      </w:r>
      <w:r w:rsidR="00D606EE" w:rsidRPr="00026D3E">
        <w:rPr>
          <w:rFonts w:ascii="Times New Roman" w:hAnsi="Times New Roman" w:cs="Times New Roman"/>
          <w:sz w:val="24"/>
          <w:szCs w:val="24"/>
        </w:rPr>
        <w:t>e</w:t>
      </w:r>
      <w:r w:rsidRPr="00026D3E">
        <w:rPr>
          <w:rFonts w:ascii="Times New Roman" w:hAnsi="Times New Roman" w:cs="Times New Roman"/>
          <w:sz w:val="24"/>
          <w:szCs w:val="24"/>
        </w:rPr>
        <w:t> vzájemné nesnášenlivosti konkurenčních baasistických režimů. Jak uvádí Sluglett, mezi oběma stranami Baas</w:t>
      </w:r>
      <w:r w:rsidR="00D606EE" w:rsidRPr="00026D3E">
        <w:rPr>
          <w:rFonts w:ascii="Times New Roman" w:hAnsi="Times New Roman" w:cs="Times New Roman"/>
          <w:sz w:val="24"/>
          <w:szCs w:val="24"/>
        </w:rPr>
        <w:t>,</w:t>
      </w:r>
      <w:r w:rsidRPr="00026D3E">
        <w:rPr>
          <w:rFonts w:ascii="Times New Roman" w:hAnsi="Times New Roman" w:cs="Times New Roman"/>
          <w:sz w:val="24"/>
          <w:szCs w:val="24"/>
        </w:rPr>
        <w:t xml:space="preserve"> nefiguruje </w:t>
      </w:r>
      <w:r w:rsidR="007D54AB">
        <w:rPr>
          <w:rFonts w:ascii="Times New Roman" w:hAnsi="Times New Roman" w:cs="Times New Roman"/>
          <w:sz w:val="24"/>
          <w:szCs w:val="24"/>
        </w:rPr>
        <w:t xml:space="preserve">zásadnější ideologický rozdíl, a </w:t>
      </w:r>
      <w:r w:rsidRPr="00026D3E">
        <w:rPr>
          <w:rFonts w:ascii="Times New Roman" w:hAnsi="Times New Roman" w:cs="Times New Roman"/>
          <w:sz w:val="24"/>
          <w:szCs w:val="24"/>
        </w:rPr>
        <w:t xml:space="preserve">tudíž se legitimita jedné odvozuje z nelegitimnosti té druhé. (Sluglett 2003:233) Podle Karshe a Rautsiho (Karsh, Rautsi 1995:112) byla také důležitá osobní nevraživost Husajna vůči al-Asadovi, kterého považoval patrně </w:t>
      </w:r>
      <w:r w:rsidR="00651A32" w:rsidRPr="00026D3E">
        <w:rPr>
          <w:rFonts w:ascii="Times New Roman" w:hAnsi="Times New Roman" w:cs="Times New Roman"/>
          <w:sz w:val="24"/>
          <w:szCs w:val="24"/>
        </w:rPr>
        <w:br/>
      </w:r>
      <w:r w:rsidRPr="00026D3E">
        <w:rPr>
          <w:rFonts w:ascii="Times New Roman" w:hAnsi="Times New Roman" w:cs="Times New Roman"/>
          <w:sz w:val="24"/>
          <w:szCs w:val="24"/>
        </w:rPr>
        <w:t xml:space="preserve">za nejnebezpečnějšího arabského rivala. Stupňované napětí mezi oběma však bylo nečekaně přerušeno na konci roku 1978 po podepsání dohod z Camp David, které dočasně zastínily veškeré spory Sýrie a Iráku a vedly k chvilkové, avšak neefektivní spolupráci. Náhlý entusiasmus pro sjednocení obou států vyvrcholil vytvořením spojeného vyššího politického výboru. Jeho první zasedání v listopadu 1978 </w:t>
      </w:r>
      <w:r w:rsidR="0079058C">
        <w:rPr>
          <w:rFonts w:ascii="Times New Roman" w:hAnsi="Times New Roman" w:cs="Times New Roman"/>
          <w:sz w:val="24"/>
          <w:szCs w:val="24"/>
        </w:rPr>
        <w:t>se ještě neslo v dobré atmosféře</w:t>
      </w:r>
      <w:r w:rsidRPr="00026D3E">
        <w:rPr>
          <w:rFonts w:ascii="Times New Roman" w:hAnsi="Times New Roman" w:cs="Times New Roman"/>
          <w:sz w:val="24"/>
          <w:szCs w:val="24"/>
        </w:rPr>
        <w:t>, avšak už druhé zasedání v lednu 19</w:t>
      </w:r>
      <w:r w:rsidR="00651A32" w:rsidRPr="00026D3E">
        <w:rPr>
          <w:rFonts w:ascii="Times New Roman" w:hAnsi="Times New Roman" w:cs="Times New Roman"/>
          <w:sz w:val="24"/>
          <w:szCs w:val="24"/>
        </w:rPr>
        <w:t xml:space="preserve">79 bylo </w:t>
      </w:r>
      <w:r w:rsidRPr="00026D3E">
        <w:rPr>
          <w:rFonts w:ascii="Times New Roman" w:hAnsi="Times New Roman" w:cs="Times New Roman"/>
          <w:sz w:val="24"/>
          <w:szCs w:val="24"/>
        </w:rPr>
        <w:t xml:space="preserve">bezvýsledné a třetí v červnu </w:t>
      </w:r>
      <w:r w:rsidR="007C7A87">
        <w:rPr>
          <w:rFonts w:ascii="Times New Roman" w:hAnsi="Times New Roman" w:cs="Times New Roman"/>
          <w:sz w:val="24"/>
          <w:szCs w:val="24"/>
        </w:rPr>
        <w:t>skončilo fiaskem v důsledku Husajnova nezájmu</w:t>
      </w:r>
      <w:r w:rsidRPr="00026D3E">
        <w:rPr>
          <w:rFonts w:ascii="Times New Roman" w:hAnsi="Times New Roman" w:cs="Times New Roman"/>
          <w:sz w:val="24"/>
          <w:szCs w:val="24"/>
        </w:rPr>
        <w:t xml:space="preserve">. (Karsh, Rautsi 1995:113) </w:t>
      </w:r>
    </w:p>
    <w:p w:rsidR="00A04775" w:rsidRPr="00026D3E" w:rsidRDefault="00F4705F" w:rsidP="00B0770C">
      <w:pPr>
        <w:spacing w:line="360" w:lineRule="auto"/>
        <w:ind w:firstLine="708"/>
        <w:jc w:val="both"/>
        <w:rPr>
          <w:rFonts w:ascii="Times New Roman" w:hAnsi="Times New Roman" w:cs="Times New Roman"/>
          <w:sz w:val="24"/>
          <w:szCs w:val="24"/>
        </w:rPr>
      </w:pPr>
      <w:r w:rsidRPr="00026D3E">
        <w:rPr>
          <w:rFonts w:ascii="Times New Roman" w:hAnsi="Times New Roman" w:cs="Times New Roman"/>
          <w:sz w:val="24"/>
          <w:szCs w:val="24"/>
        </w:rPr>
        <w:t>Dvě velk</w:t>
      </w:r>
      <w:r w:rsidR="0027347B">
        <w:rPr>
          <w:rFonts w:ascii="Times New Roman" w:hAnsi="Times New Roman" w:cs="Times New Roman"/>
          <w:sz w:val="24"/>
          <w:szCs w:val="24"/>
        </w:rPr>
        <w:t>é</w:t>
      </w:r>
      <w:r w:rsidRPr="00026D3E">
        <w:rPr>
          <w:rFonts w:ascii="Times New Roman" w:hAnsi="Times New Roman" w:cs="Times New Roman"/>
          <w:sz w:val="24"/>
          <w:szCs w:val="24"/>
        </w:rPr>
        <w:t xml:space="preserve"> krize, týkající se čerpání vody z Eufratu a poskytování syrského území pro irácký ropovod byly postupně zažehnány</w:t>
      </w:r>
      <w:r w:rsidR="00A04775" w:rsidRPr="00026D3E">
        <w:rPr>
          <w:rFonts w:ascii="Times New Roman" w:hAnsi="Times New Roman" w:cs="Times New Roman"/>
          <w:sz w:val="24"/>
          <w:szCs w:val="24"/>
        </w:rPr>
        <w:t>, první v roce 1975, druhá pak v r</w:t>
      </w:r>
      <w:r w:rsidR="00B0770C">
        <w:rPr>
          <w:rFonts w:ascii="Times New Roman" w:hAnsi="Times New Roman" w:cs="Times New Roman"/>
          <w:sz w:val="24"/>
          <w:szCs w:val="24"/>
        </w:rPr>
        <w:t>oce 1979.  Autor nenalezl žádný</w:t>
      </w:r>
      <w:r w:rsidR="00A04775" w:rsidRPr="00026D3E">
        <w:rPr>
          <w:rFonts w:ascii="Times New Roman" w:hAnsi="Times New Roman" w:cs="Times New Roman"/>
          <w:sz w:val="24"/>
          <w:szCs w:val="24"/>
        </w:rPr>
        <w:t xml:space="preserve"> </w:t>
      </w:r>
      <w:r w:rsidR="00B0770C">
        <w:rPr>
          <w:rFonts w:ascii="Times New Roman" w:hAnsi="Times New Roman" w:cs="Times New Roman"/>
          <w:sz w:val="24"/>
          <w:szCs w:val="24"/>
        </w:rPr>
        <w:t>důkaz</w:t>
      </w:r>
      <w:r w:rsidR="00A04775" w:rsidRPr="00026D3E">
        <w:rPr>
          <w:rFonts w:ascii="Times New Roman" w:hAnsi="Times New Roman" w:cs="Times New Roman"/>
          <w:sz w:val="24"/>
          <w:szCs w:val="24"/>
        </w:rPr>
        <w:t xml:space="preserve"> toho, že by tyto spory hrály jakoukoli významnější roli v období mezi únorem roku 1979 (znovuotevření ropovodu Kirkúk-Baniyak) a březnem 1982 (obchodní dohoda s Íránem), tedy období, jež bylo pro vytvoření aliance Sýrie s Íránem klíčové. V nedávno zveřejněném přepisu nahrávek</w:t>
      </w:r>
      <w:r w:rsidR="002D368B">
        <w:rPr>
          <w:rFonts w:ascii="Times New Roman" w:hAnsi="Times New Roman" w:cs="Times New Roman"/>
          <w:sz w:val="24"/>
          <w:szCs w:val="24"/>
        </w:rPr>
        <w:t xml:space="preserve"> (Woods 2011) </w:t>
      </w:r>
      <w:r w:rsidR="00A04775" w:rsidRPr="00026D3E">
        <w:rPr>
          <w:rFonts w:ascii="Times New Roman" w:hAnsi="Times New Roman" w:cs="Times New Roman"/>
          <w:sz w:val="24"/>
          <w:szCs w:val="24"/>
        </w:rPr>
        <w:t>z let 1978-2001, které obsahují interní debaty mezi Saddámem Husajnem a jeho nejbližšími spolupracovníky, nepadla v klíčových letech 1979-1982 zmínka o problémech s čerpáním vody z Eufratu či ropovodem Kirkúk – Baniyas ani jedenkrát. Jen velice okrajově se o nich zmiňuje Patrick Seale, životopisec al-Asada, Efraim Karsh a Inari Rautsi, autoři politické biografie Husajna</w:t>
      </w:r>
      <w:r w:rsidR="00651A32" w:rsidRPr="00026D3E">
        <w:rPr>
          <w:rFonts w:ascii="Times New Roman" w:hAnsi="Times New Roman" w:cs="Times New Roman"/>
          <w:sz w:val="24"/>
          <w:szCs w:val="24"/>
        </w:rPr>
        <w:t xml:space="preserve">. </w:t>
      </w:r>
      <w:r w:rsidR="00E95D5F" w:rsidRPr="00026D3E">
        <w:rPr>
          <w:rFonts w:ascii="Times New Roman" w:hAnsi="Times New Roman" w:cs="Times New Roman"/>
          <w:sz w:val="24"/>
          <w:szCs w:val="24"/>
        </w:rPr>
        <w:t>Ani</w:t>
      </w:r>
      <w:r w:rsidR="00A04775" w:rsidRPr="00026D3E">
        <w:rPr>
          <w:rFonts w:ascii="Times New Roman" w:hAnsi="Times New Roman" w:cs="Times New Roman"/>
          <w:sz w:val="24"/>
          <w:szCs w:val="24"/>
        </w:rPr>
        <w:t xml:space="preserve"> dva titul</w:t>
      </w:r>
      <w:r w:rsidR="002D368B">
        <w:rPr>
          <w:rFonts w:ascii="Times New Roman" w:hAnsi="Times New Roman" w:cs="Times New Roman"/>
          <w:sz w:val="24"/>
          <w:szCs w:val="24"/>
        </w:rPr>
        <w:t>y, které podrobně mapují vývoj syrsko – í</w:t>
      </w:r>
      <w:r w:rsidR="00A04775" w:rsidRPr="00026D3E">
        <w:rPr>
          <w:rFonts w:ascii="Times New Roman" w:hAnsi="Times New Roman" w:cs="Times New Roman"/>
          <w:sz w:val="24"/>
          <w:szCs w:val="24"/>
        </w:rPr>
        <w:t>ránské aliance od svých počátků jim nepřikládají vetší důležitost.</w:t>
      </w:r>
      <w:r w:rsidR="002D368B">
        <w:rPr>
          <w:rFonts w:ascii="Times New Roman" w:hAnsi="Times New Roman" w:cs="Times New Roman"/>
          <w:sz w:val="24"/>
          <w:szCs w:val="24"/>
        </w:rPr>
        <w:t xml:space="preserve"> (Goodarzi 2006, Ehteshami, Hinnebusch 1997) </w:t>
      </w:r>
      <w:r w:rsidR="00A04775" w:rsidRPr="00026D3E">
        <w:rPr>
          <w:rFonts w:ascii="Times New Roman" w:hAnsi="Times New Roman" w:cs="Times New Roman"/>
          <w:sz w:val="24"/>
          <w:szCs w:val="24"/>
        </w:rPr>
        <w:t xml:space="preserve">Na druhou stranu, problémem zůstává </w:t>
      </w:r>
      <w:r w:rsidR="002D368B">
        <w:rPr>
          <w:rFonts w:ascii="Times New Roman" w:hAnsi="Times New Roman" w:cs="Times New Roman"/>
          <w:sz w:val="24"/>
          <w:szCs w:val="24"/>
        </w:rPr>
        <w:t>omezená</w:t>
      </w:r>
      <w:r w:rsidR="00A04775" w:rsidRPr="00026D3E">
        <w:rPr>
          <w:rFonts w:ascii="Times New Roman" w:hAnsi="Times New Roman" w:cs="Times New Roman"/>
          <w:sz w:val="24"/>
          <w:szCs w:val="24"/>
        </w:rPr>
        <w:t xml:space="preserve"> dostupnost zmíněných databází, archivů a mnohých zpravodajských médií, bez nichž je jakákoli analýza této problematiky předem značně </w:t>
      </w:r>
      <w:r w:rsidR="002D368B">
        <w:rPr>
          <w:rFonts w:ascii="Times New Roman" w:hAnsi="Times New Roman" w:cs="Times New Roman"/>
          <w:sz w:val="24"/>
          <w:szCs w:val="24"/>
        </w:rPr>
        <w:t>limitovaná</w:t>
      </w:r>
      <w:r w:rsidR="00A04775" w:rsidRPr="00026D3E">
        <w:rPr>
          <w:rFonts w:ascii="Times New Roman" w:hAnsi="Times New Roman" w:cs="Times New Roman"/>
          <w:sz w:val="24"/>
          <w:szCs w:val="24"/>
        </w:rPr>
        <w:t xml:space="preserve">. V rámci vybraných aspektů vodních a ropných zdrojů však autor </w:t>
      </w:r>
      <w:r w:rsidR="002D368B">
        <w:rPr>
          <w:rFonts w:ascii="Times New Roman" w:hAnsi="Times New Roman" w:cs="Times New Roman"/>
          <w:sz w:val="24"/>
          <w:szCs w:val="24"/>
        </w:rPr>
        <w:t xml:space="preserve">neidentifikoval </w:t>
      </w:r>
      <w:r w:rsidR="00A04775" w:rsidRPr="00026D3E">
        <w:rPr>
          <w:rFonts w:ascii="Times New Roman" w:hAnsi="Times New Roman" w:cs="Times New Roman"/>
          <w:sz w:val="24"/>
          <w:szCs w:val="24"/>
        </w:rPr>
        <w:t xml:space="preserve">Irák jako hrozbu </w:t>
      </w:r>
      <w:r w:rsidR="007C4D4E">
        <w:rPr>
          <w:rFonts w:ascii="Times New Roman" w:hAnsi="Times New Roman" w:cs="Times New Roman"/>
          <w:sz w:val="24"/>
          <w:szCs w:val="24"/>
        </w:rPr>
        <w:t xml:space="preserve">pro </w:t>
      </w:r>
      <w:r w:rsidR="00A04775" w:rsidRPr="00026D3E">
        <w:rPr>
          <w:rFonts w:ascii="Times New Roman" w:hAnsi="Times New Roman" w:cs="Times New Roman"/>
          <w:sz w:val="24"/>
          <w:szCs w:val="24"/>
        </w:rPr>
        <w:t xml:space="preserve">Sýrii.  </w:t>
      </w:r>
    </w:p>
    <w:p w:rsidR="003E1D91" w:rsidRDefault="00D90088" w:rsidP="003E1D91">
      <w:pPr>
        <w:pStyle w:val="Nadpis2"/>
        <w:numPr>
          <w:ilvl w:val="1"/>
          <w:numId w:val="8"/>
        </w:numPr>
      </w:pPr>
      <w:bookmarkStart w:id="10" w:name="_Toc354703584"/>
      <w:r>
        <w:lastRenderedPageBreak/>
        <w:t>Problémové aspekty i</w:t>
      </w:r>
      <w:r w:rsidR="00DE281B">
        <w:t>rácko – í</w:t>
      </w:r>
      <w:r w:rsidR="00A04775" w:rsidRPr="00026D3E">
        <w:t>ránských vztahů</w:t>
      </w:r>
      <w:bookmarkEnd w:id="10"/>
    </w:p>
    <w:p w:rsidR="003E1D91" w:rsidRPr="003E1D91" w:rsidRDefault="003E1D91" w:rsidP="00420420">
      <w:pPr>
        <w:pStyle w:val="Nadpis3"/>
        <w:numPr>
          <w:ilvl w:val="2"/>
          <w:numId w:val="10"/>
        </w:numPr>
      </w:pPr>
      <w:bookmarkStart w:id="11" w:name="_Toc354703585"/>
      <w:r>
        <w:t>Šatt al-Arab</w:t>
      </w:r>
      <w:bookmarkEnd w:id="11"/>
    </w:p>
    <w:p w:rsidR="00A04775" w:rsidRPr="00026D3E" w:rsidRDefault="00A04775" w:rsidP="00BB6FA3">
      <w:pPr>
        <w:spacing w:line="360" w:lineRule="auto"/>
        <w:ind w:firstLine="708"/>
        <w:jc w:val="both"/>
        <w:rPr>
          <w:rFonts w:ascii="Times New Roman" w:hAnsi="Times New Roman" w:cs="Times New Roman"/>
          <w:sz w:val="24"/>
          <w:szCs w:val="24"/>
        </w:rPr>
      </w:pPr>
      <w:r w:rsidRPr="00026D3E">
        <w:rPr>
          <w:rFonts w:ascii="Times New Roman" w:hAnsi="Times New Roman" w:cs="Times New Roman"/>
          <w:sz w:val="24"/>
          <w:szCs w:val="24"/>
        </w:rPr>
        <w:t>V případě Iráku a Íránu se bude autor zabývat rolí vodního kanálu Š</w:t>
      </w:r>
      <w:r w:rsidR="00250959">
        <w:rPr>
          <w:rFonts w:ascii="Times New Roman" w:hAnsi="Times New Roman" w:cs="Times New Roman"/>
          <w:sz w:val="24"/>
          <w:szCs w:val="24"/>
        </w:rPr>
        <w:t xml:space="preserve">att al-Arab v klíčovém období, </w:t>
      </w:r>
      <w:r w:rsidR="002C22E1">
        <w:rPr>
          <w:rFonts w:ascii="Times New Roman" w:hAnsi="Times New Roman" w:cs="Times New Roman"/>
          <w:sz w:val="24"/>
          <w:szCs w:val="24"/>
        </w:rPr>
        <w:t>jež předcházelo vzniku syrsko – í</w:t>
      </w:r>
      <w:r w:rsidRPr="00026D3E">
        <w:rPr>
          <w:rFonts w:ascii="Times New Roman" w:hAnsi="Times New Roman" w:cs="Times New Roman"/>
          <w:sz w:val="24"/>
          <w:szCs w:val="24"/>
        </w:rPr>
        <w:t xml:space="preserve">ránské aliance. </w:t>
      </w:r>
    </w:p>
    <w:p w:rsidR="00A04775" w:rsidRPr="00026D3E" w:rsidRDefault="00A04775" w:rsidP="00BB6FA3">
      <w:pPr>
        <w:spacing w:line="360" w:lineRule="auto"/>
        <w:ind w:firstLine="708"/>
        <w:jc w:val="both"/>
        <w:rPr>
          <w:rFonts w:ascii="Times New Roman" w:hAnsi="Times New Roman" w:cs="Times New Roman"/>
          <w:sz w:val="24"/>
          <w:szCs w:val="24"/>
        </w:rPr>
      </w:pPr>
      <w:r w:rsidRPr="00026D3E">
        <w:rPr>
          <w:rFonts w:ascii="Times New Roman" w:hAnsi="Times New Roman" w:cs="Times New Roman"/>
          <w:sz w:val="24"/>
          <w:szCs w:val="24"/>
        </w:rPr>
        <w:t>Sedmdesátá léta se v oblasti Zálivu nesla ve znamení šáhova úsilí o dosažení regionální dominance. Šáh byl alarmován oznámením o zamýšleném odchodu britských vojenských sil z regionu na konci šedesátých let, zároveň to však byla příležitost postavit se do role garanta bezp</w:t>
      </w:r>
      <w:r w:rsidR="00250959">
        <w:rPr>
          <w:rFonts w:ascii="Times New Roman" w:hAnsi="Times New Roman" w:cs="Times New Roman"/>
          <w:sz w:val="24"/>
          <w:szCs w:val="24"/>
        </w:rPr>
        <w:t xml:space="preserve">ečnosti Zálivu. (Karsh 1987:5) </w:t>
      </w:r>
      <w:r w:rsidRPr="00026D3E">
        <w:rPr>
          <w:rFonts w:ascii="Times New Roman" w:hAnsi="Times New Roman" w:cs="Times New Roman"/>
          <w:sz w:val="24"/>
          <w:szCs w:val="24"/>
        </w:rPr>
        <w:t xml:space="preserve">V této </w:t>
      </w:r>
      <w:r w:rsidR="00C54A32">
        <w:rPr>
          <w:rFonts w:ascii="Times New Roman" w:hAnsi="Times New Roman" w:cs="Times New Roman"/>
          <w:sz w:val="24"/>
          <w:szCs w:val="24"/>
        </w:rPr>
        <w:t>snaze ho podporovali také jeho z</w:t>
      </w:r>
      <w:r w:rsidRPr="00026D3E">
        <w:rPr>
          <w:rFonts w:ascii="Times New Roman" w:hAnsi="Times New Roman" w:cs="Times New Roman"/>
          <w:sz w:val="24"/>
          <w:szCs w:val="24"/>
        </w:rPr>
        <w:t>ápadní spojenci, především USA a Velká Británie, kteří měli hlavní zásluhy na expanzi jeho vojenských sil. Svým konceptem „strategické autarkie“ sledoval šáh dva cíle: zajistit obranyschopnost</w:t>
      </w:r>
      <w:r w:rsidR="00651A32" w:rsidRPr="00026D3E">
        <w:rPr>
          <w:rFonts w:ascii="Times New Roman" w:hAnsi="Times New Roman" w:cs="Times New Roman"/>
          <w:sz w:val="24"/>
          <w:szCs w:val="24"/>
        </w:rPr>
        <w:t xml:space="preserve"> státu proti vnějším hrozbám a </w:t>
      </w:r>
      <w:r w:rsidRPr="00026D3E">
        <w:rPr>
          <w:rFonts w:ascii="Times New Roman" w:hAnsi="Times New Roman" w:cs="Times New Roman"/>
          <w:sz w:val="24"/>
          <w:szCs w:val="24"/>
        </w:rPr>
        <w:t xml:space="preserve">zvyšovat jeho moc v regionu. </w:t>
      </w:r>
    </w:p>
    <w:p w:rsidR="00A04775" w:rsidRPr="00026D3E" w:rsidRDefault="00A04775" w:rsidP="00BB6FA3">
      <w:pPr>
        <w:spacing w:line="360" w:lineRule="auto"/>
        <w:ind w:firstLine="708"/>
        <w:jc w:val="both"/>
        <w:rPr>
          <w:rFonts w:ascii="Times New Roman" w:hAnsi="Times New Roman" w:cs="Times New Roman"/>
          <w:sz w:val="24"/>
          <w:szCs w:val="24"/>
          <w:highlight w:val="green"/>
        </w:rPr>
      </w:pPr>
      <w:r w:rsidRPr="00026D3E">
        <w:rPr>
          <w:rFonts w:ascii="Times New Roman" w:hAnsi="Times New Roman" w:cs="Times New Roman"/>
          <w:sz w:val="24"/>
          <w:szCs w:val="24"/>
        </w:rPr>
        <w:t>Do tohoto konceptu pak zapadal jeho krok v dubnu roku 1969, kdy jednostranně vypověděl smlouvu s Irákem z roku 1937 o pravidlech platby Šatt al-Arabu. Smlouva d</w:t>
      </w:r>
      <w:r w:rsidR="00651A32" w:rsidRPr="00026D3E">
        <w:rPr>
          <w:rFonts w:ascii="Times New Roman" w:hAnsi="Times New Roman" w:cs="Times New Roman"/>
          <w:sz w:val="24"/>
          <w:szCs w:val="24"/>
        </w:rPr>
        <w:t xml:space="preserve">efinovala hranici mezi státy na značce nejnižšího stavu </w:t>
      </w:r>
      <w:r w:rsidRPr="00026D3E">
        <w:rPr>
          <w:rFonts w:ascii="Times New Roman" w:hAnsi="Times New Roman" w:cs="Times New Roman"/>
          <w:sz w:val="24"/>
          <w:szCs w:val="24"/>
        </w:rPr>
        <w:t>vody na východním břehu řeky. (Karsh, Rautsi 1995:74-75) Irák díky ní získal kontrolu nad celým kanálem, neboť lodě, které v něm proplouvaly, musely mít irácké lodivody a nést iráckou vlajku, navíc musely platit průjezdní poplatky. Tyto podmínky Írán odmítl a zpochybnil tak stat</w:t>
      </w:r>
      <w:r w:rsidR="00161DA0">
        <w:rPr>
          <w:rFonts w:ascii="Times New Roman" w:hAnsi="Times New Roman" w:cs="Times New Roman"/>
          <w:sz w:val="24"/>
          <w:szCs w:val="24"/>
        </w:rPr>
        <w:t xml:space="preserve">us quo v okamžiku, kdy v dubnu </w:t>
      </w:r>
      <w:r w:rsidRPr="00026D3E">
        <w:rPr>
          <w:rFonts w:ascii="Times New Roman" w:hAnsi="Times New Roman" w:cs="Times New Roman"/>
          <w:sz w:val="24"/>
          <w:szCs w:val="24"/>
        </w:rPr>
        <w:t>proplula kanálem íránská obchodní loď, doprovázena námořnictvem a stíhačkami.(Karsh 1987:8) Irácká strana se odvolávala na mezinárodní normy, které byly podle ní porušeny a ve frustraci vyhostila zhruba 10 000 Íránců ze země a oživila starý nárok na provincii Chúzistán (Arabové ji označují jako Arabistán). V provincii totiž žije smíšené arabsko – perské obyvatelstvo a není náhodou, že se v něm nacházejí bohaté zásoby ropy. Jakmile Irák vytáhl toto bolestivé téma, vzájemné vztahy klesly na bod mrazu. (Karsh, Rautsi 1995:76) Saddám Husajn dobře věděl, že agresivní odpověď si Irák nemohl dovolit, neboť na něj byl vyvíjen tlak souběžně na dvou frontách, přičemž ta druhá byla na domácí půdě. Palčivá Kurdská otázka pronásledovala baasistický režim už od jeho příchodu k moci a teprve zdlouhavá tajná vyjednávání Saddáma s vůdcem povstalců Barzáním vedla k příměří v podobě Březnového programu roku 1970. Dalekosáhlé ústupky, mezi nimi zejména uznání Kurdů jako zvláštního národního celku a práva na autonomii</w:t>
      </w:r>
      <w:r w:rsidR="00333778" w:rsidRPr="00026D3E">
        <w:rPr>
          <w:rFonts w:ascii="Times New Roman" w:hAnsi="Times New Roman" w:cs="Times New Roman"/>
          <w:sz w:val="24"/>
          <w:szCs w:val="24"/>
        </w:rPr>
        <w:t>,</w:t>
      </w:r>
      <w:r w:rsidRPr="00026D3E">
        <w:rPr>
          <w:rFonts w:ascii="Times New Roman" w:hAnsi="Times New Roman" w:cs="Times New Roman"/>
          <w:sz w:val="24"/>
          <w:szCs w:val="24"/>
        </w:rPr>
        <w:t xml:space="preserve"> však Husajn nikdy </w:t>
      </w:r>
      <w:r w:rsidR="00256714" w:rsidRPr="00026D3E">
        <w:rPr>
          <w:rFonts w:ascii="Times New Roman" w:hAnsi="Times New Roman" w:cs="Times New Roman"/>
          <w:sz w:val="24"/>
          <w:szCs w:val="24"/>
        </w:rPr>
        <w:br/>
      </w:r>
      <w:r w:rsidRPr="00026D3E">
        <w:rPr>
          <w:rFonts w:ascii="Times New Roman" w:hAnsi="Times New Roman" w:cs="Times New Roman"/>
          <w:sz w:val="24"/>
          <w:szCs w:val="24"/>
        </w:rPr>
        <w:t xml:space="preserve">ve skutečnosti uskutečnit nechtěl. (Karsh, Rautsi 1995:80) Sever země, kde se toto etnikum nacházelo, představoval pro Irák důležitou hospodářskou oblast. Tamní zdroje ropy představovaly dvě třetiny celkových zásob a úrodná půda byla hlavní obilnicí země. </w:t>
      </w:r>
    </w:p>
    <w:p w:rsidR="00A04775" w:rsidRPr="00026D3E" w:rsidRDefault="00A04775" w:rsidP="00E34C84">
      <w:pPr>
        <w:spacing w:line="360" w:lineRule="auto"/>
        <w:ind w:firstLine="708"/>
        <w:jc w:val="both"/>
        <w:rPr>
          <w:rFonts w:ascii="Times New Roman" w:hAnsi="Times New Roman" w:cs="Times New Roman"/>
          <w:sz w:val="24"/>
          <w:szCs w:val="24"/>
        </w:rPr>
      </w:pPr>
      <w:r w:rsidRPr="00026D3E">
        <w:rPr>
          <w:rFonts w:ascii="Times New Roman" w:hAnsi="Times New Roman" w:cs="Times New Roman"/>
          <w:sz w:val="24"/>
          <w:szCs w:val="24"/>
        </w:rPr>
        <w:lastRenderedPageBreak/>
        <w:t>Přestože byl Saddám pl</w:t>
      </w:r>
      <w:r w:rsidR="00BB33DF">
        <w:rPr>
          <w:rFonts w:ascii="Times New Roman" w:hAnsi="Times New Roman" w:cs="Times New Roman"/>
          <w:sz w:val="24"/>
          <w:szCs w:val="24"/>
        </w:rPr>
        <w:t>ně zaměstnán v domácí politice k</w:t>
      </w:r>
      <w:r w:rsidRPr="00026D3E">
        <w:rPr>
          <w:rFonts w:ascii="Times New Roman" w:hAnsi="Times New Roman" w:cs="Times New Roman"/>
          <w:sz w:val="24"/>
          <w:szCs w:val="24"/>
        </w:rPr>
        <w:t>urdskou otázkou, stejně jako šáh měl ambice zaplnit mocenské vakuum, které vzniklo po odchodu britských vojsk z Perského zálivu v roce 1971. Jeho nepřá</w:t>
      </w:r>
      <w:r w:rsidR="00BB33DF">
        <w:rPr>
          <w:rFonts w:ascii="Times New Roman" w:hAnsi="Times New Roman" w:cs="Times New Roman"/>
          <w:sz w:val="24"/>
          <w:szCs w:val="24"/>
        </w:rPr>
        <w:t>telský postoj vůči svému sousedovi</w:t>
      </w:r>
      <w:r w:rsidRPr="00026D3E">
        <w:rPr>
          <w:rFonts w:ascii="Times New Roman" w:hAnsi="Times New Roman" w:cs="Times New Roman"/>
          <w:sz w:val="24"/>
          <w:szCs w:val="24"/>
        </w:rPr>
        <w:t xml:space="preserve"> se ještě více prohloubil poté, co šáh zabral tři strategicky položené ostrovy (Malý Tunb, Velký Tunb, Abu Musa) u Hormuzského průlivu a prohlásil je za součást Íránu. Irák okamžitě přerušil diplomatické vazby s Íránem.  Jeho stížnosti u OSN, stejně jako návrh na zasedání Ligy Arabských států, aby veškeré arabské země přerušily styky s Íránem, však nebyly vyslyšeny. Irák se tak uchýlil k vyhoštění více než 70 000 Íránců ze země. (Rajaee 1993:12-13)</w:t>
      </w:r>
    </w:p>
    <w:p w:rsidR="00A04775" w:rsidRPr="00026D3E" w:rsidRDefault="00A04775" w:rsidP="00E34C84">
      <w:pPr>
        <w:spacing w:line="360" w:lineRule="auto"/>
        <w:ind w:firstLine="708"/>
        <w:jc w:val="both"/>
        <w:rPr>
          <w:rFonts w:ascii="Times New Roman" w:hAnsi="Times New Roman" w:cs="Times New Roman"/>
          <w:sz w:val="24"/>
          <w:szCs w:val="24"/>
        </w:rPr>
      </w:pPr>
      <w:r w:rsidRPr="00026D3E">
        <w:rPr>
          <w:rFonts w:ascii="Times New Roman" w:hAnsi="Times New Roman" w:cs="Times New Roman"/>
          <w:sz w:val="24"/>
          <w:szCs w:val="24"/>
        </w:rPr>
        <w:t xml:space="preserve">Přestože říjnová arabsko – izraelská válka na chvíli přerušila srážky režimu s Kurdy </w:t>
      </w:r>
      <w:r w:rsidR="00256714" w:rsidRPr="00026D3E">
        <w:rPr>
          <w:rFonts w:ascii="Times New Roman" w:hAnsi="Times New Roman" w:cs="Times New Roman"/>
          <w:sz w:val="24"/>
          <w:szCs w:val="24"/>
        </w:rPr>
        <w:br/>
      </w:r>
      <w:r w:rsidRPr="00026D3E">
        <w:rPr>
          <w:rFonts w:ascii="Times New Roman" w:hAnsi="Times New Roman" w:cs="Times New Roman"/>
          <w:sz w:val="24"/>
          <w:szCs w:val="24"/>
        </w:rPr>
        <w:t>a dokonce vedla k dočasnému obnovení diplomatických vztahů s Íránem, stávala se situace v roce 1973 stále kritičtější. Baasistický režim stále nebyl konsolidován a Husajnova pozice byla soustavně ohrožována rostoucím vlivem šéfa bezpečnosti Kazzára. Po neúspěšném puči byl však s dalšími spojenci postaven před soud a následně popraven. Zatímco na domácí půdě se situace mírně zklidnila, Kurdové požívali stále větší technické pomoci od USA a Íránu a již v říjnu měl Barzání k dispozici protiletadlový systém, shromažďoval dezertéry z irácké armády a získal na svou stranu velkou část studentů a intelektuálů z Iráku i ze zahraničí. (Sluglett 2003:189)</w:t>
      </w:r>
    </w:p>
    <w:p w:rsidR="00A04775" w:rsidRPr="00026D3E" w:rsidRDefault="00006B6D" w:rsidP="00F56C3E">
      <w:pPr>
        <w:spacing w:line="360" w:lineRule="auto"/>
        <w:ind w:firstLine="708"/>
        <w:jc w:val="both"/>
        <w:rPr>
          <w:rFonts w:ascii="Times New Roman" w:hAnsi="Times New Roman" w:cs="Times New Roman"/>
          <w:sz w:val="24"/>
          <w:szCs w:val="24"/>
        </w:rPr>
      </w:pPr>
      <w:r w:rsidRPr="00026D3E">
        <w:rPr>
          <w:rFonts w:ascii="Times New Roman" w:hAnsi="Times New Roman" w:cs="Times New Roman"/>
          <w:sz w:val="24"/>
          <w:szCs w:val="24"/>
        </w:rPr>
        <w:t>V letech</w:t>
      </w:r>
      <w:r w:rsidR="00A04775" w:rsidRPr="00026D3E">
        <w:rPr>
          <w:rFonts w:ascii="Times New Roman" w:hAnsi="Times New Roman" w:cs="Times New Roman"/>
          <w:sz w:val="24"/>
          <w:szCs w:val="24"/>
        </w:rPr>
        <w:t xml:space="preserve"> 1971 – 1974 docházelo </w:t>
      </w:r>
      <w:r w:rsidR="00BB33DF">
        <w:rPr>
          <w:rFonts w:ascii="Times New Roman" w:hAnsi="Times New Roman" w:cs="Times New Roman"/>
          <w:sz w:val="24"/>
          <w:szCs w:val="24"/>
        </w:rPr>
        <w:t>často</w:t>
      </w:r>
      <w:r w:rsidR="00A04775" w:rsidRPr="00026D3E">
        <w:rPr>
          <w:rFonts w:ascii="Times New Roman" w:hAnsi="Times New Roman" w:cs="Times New Roman"/>
          <w:sz w:val="24"/>
          <w:szCs w:val="24"/>
        </w:rPr>
        <w:t xml:space="preserve"> k hraničním přestřelkám mezi Irákem </w:t>
      </w:r>
      <w:r w:rsidR="006E0239" w:rsidRPr="00026D3E">
        <w:rPr>
          <w:rFonts w:ascii="Times New Roman" w:hAnsi="Times New Roman" w:cs="Times New Roman"/>
          <w:sz w:val="24"/>
          <w:szCs w:val="24"/>
        </w:rPr>
        <w:br/>
      </w:r>
      <w:r w:rsidR="00A04775" w:rsidRPr="00026D3E">
        <w:rPr>
          <w:rFonts w:ascii="Times New Roman" w:hAnsi="Times New Roman" w:cs="Times New Roman"/>
          <w:sz w:val="24"/>
          <w:szCs w:val="24"/>
        </w:rPr>
        <w:t xml:space="preserve">a Íránem. Irák, byť měl v té době s Kurdy uzavřené příměří, byl nadále plně zaměstnán domácí politikou a vypuknutí otevřeného válečného konfliktu se snažil vyhnout. V zimě roku 1973, po četných úhybných manévrech Saddáma a žádného hmatatelného </w:t>
      </w:r>
      <w:r w:rsidR="006E0239" w:rsidRPr="00026D3E">
        <w:rPr>
          <w:rFonts w:ascii="Times New Roman" w:hAnsi="Times New Roman" w:cs="Times New Roman"/>
          <w:sz w:val="24"/>
          <w:szCs w:val="24"/>
        </w:rPr>
        <w:t xml:space="preserve">výsledku vyjednávání </w:t>
      </w:r>
      <w:r w:rsidR="00C26698">
        <w:rPr>
          <w:rFonts w:ascii="Times New Roman" w:hAnsi="Times New Roman" w:cs="Times New Roman"/>
          <w:sz w:val="24"/>
          <w:szCs w:val="24"/>
        </w:rPr>
        <w:t>vypuklo</w:t>
      </w:r>
      <w:r w:rsidR="006E0239" w:rsidRPr="00026D3E">
        <w:rPr>
          <w:rFonts w:ascii="Times New Roman" w:hAnsi="Times New Roman" w:cs="Times New Roman"/>
          <w:sz w:val="24"/>
          <w:szCs w:val="24"/>
        </w:rPr>
        <w:t xml:space="preserve"> </w:t>
      </w:r>
      <w:r w:rsidR="00A04775" w:rsidRPr="00026D3E">
        <w:rPr>
          <w:rFonts w:ascii="Times New Roman" w:hAnsi="Times New Roman" w:cs="Times New Roman"/>
          <w:sz w:val="24"/>
          <w:szCs w:val="24"/>
        </w:rPr>
        <w:t>povstání Kurdů znovu. (Karsh 2002:8) V únoru roku 1974 se snažil protlačit hraniční spory s Íránem na agendu Rady bezpečnosti OSN. Ani příměří sjednané OSN na jaře 1974 však nepřineslo uspokojivé kompromisní řešení a trvalo celý další rok, než bylo dosaženo dlouhodobějšího vyřešení konfliktu.</w:t>
      </w:r>
    </w:p>
    <w:p w:rsidR="00A04775" w:rsidRPr="00026D3E" w:rsidRDefault="00A04775" w:rsidP="007E3B7E">
      <w:pPr>
        <w:spacing w:line="360" w:lineRule="auto"/>
        <w:ind w:firstLine="708"/>
        <w:jc w:val="both"/>
        <w:rPr>
          <w:rFonts w:ascii="Times New Roman" w:hAnsi="Times New Roman" w:cs="Times New Roman"/>
          <w:sz w:val="24"/>
          <w:szCs w:val="24"/>
        </w:rPr>
      </w:pPr>
      <w:r w:rsidRPr="00026D3E">
        <w:rPr>
          <w:rFonts w:ascii="Times New Roman" w:hAnsi="Times New Roman" w:cs="Times New Roman"/>
          <w:sz w:val="24"/>
          <w:szCs w:val="24"/>
        </w:rPr>
        <w:t>Přes počáteční úspěchy se irácká armáda na podzim roku 1974 dostala do patové situace. Ta se pro Irák ještě více zkomplikovala, když na straně Kurdů vstoupila do bojů íránská armáda, která zašla dokonce tak daleko, že v lednu roku 1975 rozmístila v Iráku dva pluky. (Karsh 1987:</w:t>
      </w:r>
      <w:r w:rsidR="00913BEC">
        <w:rPr>
          <w:rFonts w:ascii="Times New Roman" w:hAnsi="Times New Roman" w:cs="Times New Roman"/>
          <w:sz w:val="24"/>
          <w:szCs w:val="24"/>
        </w:rPr>
        <w:t xml:space="preserve"> </w:t>
      </w:r>
      <w:r w:rsidRPr="00026D3E">
        <w:rPr>
          <w:rFonts w:ascii="Times New Roman" w:hAnsi="Times New Roman" w:cs="Times New Roman"/>
          <w:sz w:val="24"/>
          <w:szCs w:val="24"/>
        </w:rPr>
        <w:t>9</w:t>
      </w:r>
      <w:r w:rsidR="00F56C3E">
        <w:rPr>
          <w:rFonts w:ascii="Times New Roman" w:hAnsi="Times New Roman" w:cs="Times New Roman"/>
          <w:sz w:val="24"/>
          <w:szCs w:val="24"/>
        </w:rPr>
        <w:t xml:space="preserve">, </w:t>
      </w:r>
      <w:r w:rsidRPr="00026D3E">
        <w:rPr>
          <w:rFonts w:ascii="Times New Roman" w:hAnsi="Times New Roman" w:cs="Times New Roman"/>
          <w:sz w:val="24"/>
          <w:szCs w:val="24"/>
        </w:rPr>
        <w:t>Karsh, Rautsi 1995:87)</w:t>
      </w:r>
    </w:p>
    <w:p w:rsidR="00A04775" w:rsidRPr="00026D3E" w:rsidRDefault="00A04775" w:rsidP="006367CA">
      <w:pPr>
        <w:spacing w:line="360" w:lineRule="auto"/>
        <w:ind w:firstLine="708"/>
        <w:jc w:val="both"/>
        <w:rPr>
          <w:rFonts w:ascii="Times New Roman" w:hAnsi="Times New Roman" w:cs="Times New Roman"/>
          <w:sz w:val="24"/>
          <w:szCs w:val="24"/>
        </w:rPr>
      </w:pPr>
      <w:r w:rsidRPr="00026D3E">
        <w:rPr>
          <w:rFonts w:ascii="Times New Roman" w:hAnsi="Times New Roman" w:cs="Times New Roman"/>
          <w:sz w:val="24"/>
          <w:szCs w:val="24"/>
        </w:rPr>
        <w:t xml:space="preserve">Saddám Husajn byl pod obrovským tlakem. Konflikt stále nebyl u konce a armádní výdaje na válku se neustále šplhaly nahoru, z původních 102 milionů iráckých dolarů v roce 1972 na 236 milionů v roce 1974 a v roce 1975 dosáhly 356 milionů iráckých dolarů. </w:t>
      </w:r>
      <w:r w:rsidR="00F7030C" w:rsidRPr="00026D3E">
        <w:rPr>
          <w:rFonts w:ascii="Times New Roman" w:hAnsi="Times New Roman" w:cs="Times New Roman"/>
          <w:sz w:val="24"/>
          <w:szCs w:val="24"/>
        </w:rPr>
        <w:lastRenderedPageBreak/>
        <w:t>(Farouk-Sluglett</w:t>
      </w:r>
      <w:r w:rsidR="00BD0239" w:rsidRPr="00026D3E">
        <w:rPr>
          <w:rFonts w:ascii="Times New Roman" w:hAnsi="Times New Roman" w:cs="Times New Roman"/>
          <w:sz w:val="24"/>
          <w:szCs w:val="24"/>
        </w:rPr>
        <w:t xml:space="preserve">ová </w:t>
      </w:r>
      <w:r w:rsidR="00F7030C" w:rsidRPr="00026D3E">
        <w:rPr>
          <w:rFonts w:ascii="Times New Roman" w:hAnsi="Times New Roman" w:cs="Times New Roman"/>
          <w:sz w:val="24"/>
          <w:szCs w:val="24"/>
        </w:rPr>
        <w:t xml:space="preserve">,Sluglett 2003:194) </w:t>
      </w:r>
      <w:r w:rsidRPr="00026D3E">
        <w:rPr>
          <w:rFonts w:ascii="Times New Roman" w:hAnsi="Times New Roman" w:cs="Times New Roman"/>
          <w:sz w:val="24"/>
          <w:szCs w:val="24"/>
        </w:rPr>
        <w:t>Ztráty na lidských životech,</w:t>
      </w:r>
      <w:r w:rsidR="004C7A3E">
        <w:rPr>
          <w:rFonts w:ascii="Times New Roman" w:hAnsi="Times New Roman" w:cs="Times New Roman"/>
          <w:sz w:val="24"/>
          <w:szCs w:val="24"/>
        </w:rPr>
        <w:t xml:space="preserve"> jak později přiznal sám Husajn </w:t>
      </w:r>
      <w:r w:rsidRPr="00026D3E">
        <w:rPr>
          <w:rFonts w:ascii="Times New Roman" w:hAnsi="Times New Roman" w:cs="Times New Roman"/>
          <w:sz w:val="24"/>
          <w:szCs w:val="24"/>
        </w:rPr>
        <w:t>(Karsh, Rautsi 1995:88), převýšily na irácké straně mezi březnem 1974 a březnem 1975 počet 60 000. Byl tak nucen dosáhnout dohody se šáhem, která by přerušila podporu Kurdské straně. Toho se mu po několika jednáních podařilo na summitu OPECu  v Alžíru dne 6.</w:t>
      </w:r>
      <w:r w:rsidR="002D7E22">
        <w:rPr>
          <w:rFonts w:ascii="Times New Roman" w:hAnsi="Times New Roman" w:cs="Times New Roman"/>
          <w:sz w:val="24"/>
          <w:szCs w:val="24"/>
        </w:rPr>
        <w:t xml:space="preserve"> </w:t>
      </w:r>
      <w:r w:rsidRPr="00026D3E">
        <w:rPr>
          <w:rFonts w:ascii="Times New Roman" w:hAnsi="Times New Roman" w:cs="Times New Roman"/>
          <w:sz w:val="24"/>
          <w:szCs w:val="24"/>
        </w:rPr>
        <w:t>března 1975.</w:t>
      </w:r>
    </w:p>
    <w:p w:rsidR="00A04775" w:rsidRPr="00026D3E" w:rsidRDefault="00A04775" w:rsidP="0026392B">
      <w:pPr>
        <w:spacing w:line="360" w:lineRule="auto"/>
        <w:ind w:firstLine="708"/>
        <w:jc w:val="both"/>
        <w:rPr>
          <w:rFonts w:ascii="Times New Roman" w:hAnsi="Times New Roman" w:cs="Times New Roman"/>
          <w:sz w:val="24"/>
          <w:szCs w:val="24"/>
        </w:rPr>
      </w:pPr>
      <w:r w:rsidRPr="00026D3E">
        <w:rPr>
          <w:rFonts w:ascii="Times New Roman" w:hAnsi="Times New Roman" w:cs="Times New Roman"/>
          <w:sz w:val="24"/>
          <w:szCs w:val="24"/>
        </w:rPr>
        <w:t xml:space="preserve">Obsahem dohody bylo obnovit bezpečnost a vzájemnou důvěru podél společné hranice </w:t>
      </w:r>
      <w:r w:rsidR="00C36223" w:rsidRPr="00026D3E">
        <w:rPr>
          <w:rFonts w:ascii="Times New Roman" w:hAnsi="Times New Roman" w:cs="Times New Roman"/>
          <w:sz w:val="24"/>
          <w:szCs w:val="24"/>
        </w:rPr>
        <w:br/>
      </w:r>
      <w:r w:rsidRPr="00026D3E">
        <w:rPr>
          <w:rFonts w:ascii="Times New Roman" w:hAnsi="Times New Roman" w:cs="Times New Roman"/>
          <w:sz w:val="24"/>
          <w:szCs w:val="24"/>
        </w:rPr>
        <w:t>a ukončit tak veškeré akce podvratného charakteru. Dále byla vytyčena definitivní hranice mezi státy na základě Konstantinopolského protokolu z roku 1913 a následné ústní dohody z roku 1914. Především však byla vytyčena říční hranice po střed</w:t>
      </w:r>
      <w:r w:rsidR="006703D1">
        <w:rPr>
          <w:rFonts w:ascii="Times New Roman" w:hAnsi="Times New Roman" w:cs="Times New Roman"/>
          <w:sz w:val="24"/>
          <w:szCs w:val="24"/>
        </w:rPr>
        <w:t>ní oceánské linii</w:t>
      </w:r>
      <w:r w:rsidRPr="00026D3E">
        <w:rPr>
          <w:rFonts w:ascii="Times New Roman" w:hAnsi="Times New Roman" w:cs="Times New Roman"/>
          <w:sz w:val="24"/>
          <w:szCs w:val="24"/>
        </w:rPr>
        <w:t xml:space="preserve"> (tzv. princip </w:t>
      </w:r>
      <w:r w:rsidRPr="00026D3E">
        <w:rPr>
          <w:rFonts w:ascii="Times New Roman" w:hAnsi="Times New Roman" w:cs="Times New Roman"/>
          <w:i/>
          <w:sz w:val="24"/>
          <w:szCs w:val="24"/>
        </w:rPr>
        <w:t>Thalweg</w:t>
      </w:r>
      <w:r w:rsidRPr="00026D3E">
        <w:rPr>
          <w:rFonts w:ascii="Times New Roman" w:hAnsi="Times New Roman" w:cs="Times New Roman"/>
          <w:sz w:val="24"/>
          <w:szCs w:val="24"/>
        </w:rPr>
        <w:t>). (Rajaee 1993:14) V praktické rovině se tak šáh z</w:t>
      </w:r>
      <w:r w:rsidR="006703D1">
        <w:rPr>
          <w:rFonts w:ascii="Times New Roman" w:hAnsi="Times New Roman" w:cs="Times New Roman"/>
          <w:sz w:val="24"/>
          <w:szCs w:val="24"/>
        </w:rPr>
        <w:t>avázal zastavit veškerou pomoc k</w:t>
      </w:r>
      <w:r w:rsidRPr="00026D3E">
        <w:rPr>
          <w:rFonts w:ascii="Times New Roman" w:hAnsi="Times New Roman" w:cs="Times New Roman"/>
          <w:sz w:val="24"/>
          <w:szCs w:val="24"/>
        </w:rPr>
        <w:t xml:space="preserve">urdským povstalcům, výměnou však získal daleko více. Saddám přesunul polovinu kanálu Šatt al-Arab pod kontrolu Íránu a musel se vzdát nároku na provincii Chúzistán. Z neformálního hlediska tak byla potvrzena dominance Íránu v oblasti Perského zálivu. </w:t>
      </w:r>
      <w:r w:rsidR="00F424C8">
        <w:rPr>
          <w:rFonts w:ascii="Times New Roman" w:hAnsi="Times New Roman" w:cs="Times New Roman"/>
          <w:sz w:val="24"/>
          <w:szCs w:val="24"/>
        </w:rPr>
        <w:t>Dvě ohniska sporů, k</w:t>
      </w:r>
      <w:r w:rsidRPr="00026D3E">
        <w:rPr>
          <w:rFonts w:ascii="Times New Roman" w:hAnsi="Times New Roman" w:cs="Times New Roman"/>
          <w:sz w:val="24"/>
          <w:szCs w:val="24"/>
        </w:rPr>
        <w:t>ur</w:t>
      </w:r>
      <w:r w:rsidR="00F424C8">
        <w:rPr>
          <w:rFonts w:ascii="Times New Roman" w:hAnsi="Times New Roman" w:cs="Times New Roman"/>
          <w:sz w:val="24"/>
          <w:szCs w:val="24"/>
        </w:rPr>
        <w:t>dská otázka a Šatt al-Arab, byla tedy  urovnána</w:t>
      </w:r>
      <w:r w:rsidRPr="00026D3E">
        <w:rPr>
          <w:rFonts w:ascii="Times New Roman" w:hAnsi="Times New Roman" w:cs="Times New Roman"/>
          <w:sz w:val="24"/>
          <w:szCs w:val="24"/>
        </w:rPr>
        <w:t xml:space="preserve"> Alžírskou dohodou. Přestože Saddám Husajn musel př</w:t>
      </w:r>
      <w:r w:rsidR="00C36223" w:rsidRPr="00026D3E">
        <w:rPr>
          <w:rFonts w:ascii="Times New Roman" w:hAnsi="Times New Roman" w:cs="Times New Roman"/>
          <w:sz w:val="24"/>
          <w:szCs w:val="24"/>
        </w:rPr>
        <w:t xml:space="preserve">istoupit na značné kompromisy, </w:t>
      </w:r>
      <w:r w:rsidRPr="00026D3E">
        <w:rPr>
          <w:rFonts w:ascii="Times New Roman" w:hAnsi="Times New Roman" w:cs="Times New Roman"/>
          <w:sz w:val="24"/>
          <w:szCs w:val="24"/>
        </w:rPr>
        <w:t>byla to pro něj malá oběť oproti tomu, co bylo v sázce. Dohoda mu poskytla zoufale potřebný oddech, aby mohl zkonsolidovat své postavení a nachystat se na rozhodující skok vpřed. (Karsh, Rautsi 1995:115)</w:t>
      </w:r>
    </w:p>
    <w:p w:rsidR="00A04775" w:rsidRPr="00026D3E" w:rsidRDefault="00A04775" w:rsidP="00BA2381">
      <w:pPr>
        <w:spacing w:line="360" w:lineRule="auto"/>
        <w:ind w:firstLine="708"/>
        <w:jc w:val="both"/>
        <w:rPr>
          <w:rFonts w:ascii="Times New Roman" w:hAnsi="Times New Roman" w:cs="Times New Roman"/>
          <w:sz w:val="24"/>
          <w:szCs w:val="24"/>
        </w:rPr>
      </w:pPr>
      <w:r w:rsidRPr="00026D3E">
        <w:rPr>
          <w:rFonts w:ascii="Times New Roman" w:hAnsi="Times New Roman" w:cs="Times New Roman"/>
          <w:sz w:val="24"/>
          <w:szCs w:val="24"/>
        </w:rPr>
        <w:t>Mezník Alžírské dohody znamenal především rapidní zlepšení vztahů Iráku s Íránem, které zůstaly přátelské až do svrhnutí šáha začátkem roku 1979. Toto období, které Karsh nazývá trefně Pax Irana (Karsh 1987:9), charakterizuj</w:t>
      </w:r>
      <w:r w:rsidR="008A4D8B">
        <w:rPr>
          <w:rFonts w:ascii="Times New Roman" w:hAnsi="Times New Roman" w:cs="Times New Roman"/>
          <w:sz w:val="24"/>
          <w:szCs w:val="24"/>
        </w:rPr>
        <w:t>í dva významné trendy. Zaprvé, i</w:t>
      </w:r>
      <w:r w:rsidRPr="00026D3E">
        <w:rPr>
          <w:rFonts w:ascii="Times New Roman" w:hAnsi="Times New Roman" w:cs="Times New Roman"/>
          <w:sz w:val="24"/>
          <w:szCs w:val="24"/>
        </w:rPr>
        <w:t xml:space="preserve">rácký režim postupně rozvolňoval vztahy se socialistickými zeměmi, čímž sledoval přiblížení se v globálním měřítku Spojeným </w:t>
      </w:r>
      <w:r w:rsidR="008A4D8B">
        <w:rPr>
          <w:rFonts w:ascii="Times New Roman" w:hAnsi="Times New Roman" w:cs="Times New Roman"/>
          <w:sz w:val="24"/>
          <w:szCs w:val="24"/>
        </w:rPr>
        <w:t xml:space="preserve">státům a v regionálním měřítku </w:t>
      </w:r>
      <w:r w:rsidRPr="00026D3E">
        <w:rPr>
          <w:rFonts w:ascii="Times New Roman" w:hAnsi="Times New Roman" w:cs="Times New Roman"/>
          <w:sz w:val="24"/>
          <w:szCs w:val="24"/>
        </w:rPr>
        <w:t>umírněným arabským státům. Za druhé, výkonná moc se stále více soustřeďovala v rukou Saddáma Husajna. (</w:t>
      </w:r>
      <w:r w:rsidR="00BD0239" w:rsidRPr="00026D3E">
        <w:rPr>
          <w:rFonts w:ascii="Times New Roman" w:hAnsi="Times New Roman" w:cs="Times New Roman"/>
          <w:sz w:val="24"/>
          <w:szCs w:val="24"/>
        </w:rPr>
        <w:t>Farouk-</w:t>
      </w:r>
      <w:r w:rsidRPr="00026D3E">
        <w:rPr>
          <w:rFonts w:ascii="Times New Roman" w:hAnsi="Times New Roman" w:cs="Times New Roman"/>
          <w:sz w:val="24"/>
          <w:szCs w:val="24"/>
        </w:rPr>
        <w:t>Sluglett</w:t>
      </w:r>
      <w:r w:rsidR="00BD0239" w:rsidRPr="00026D3E">
        <w:rPr>
          <w:rFonts w:ascii="Times New Roman" w:hAnsi="Times New Roman" w:cs="Times New Roman"/>
          <w:sz w:val="24"/>
          <w:szCs w:val="24"/>
        </w:rPr>
        <w:t>ová, Sluglett</w:t>
      </w:r>
      <w:r w:rsidRPr="00026D3E">
        <w:rPr>
          <w:rFonts w:ascii="Times New Roman" w:hAnsi="Times New Roman" w:cs="Times New Roman"/>
          <w:sz w:val="24"/>
          <w:szCs w:val="24"/>
        </w:rPr>
        <w:t xml:space="preserve"> 2003:206) Již dříve bylo průvodním jevem, že v důležitých zahraničně politických otázkách zastupoval prezidenta al-Bakra jeho náměstek, tedy Husajn, nicméně nyní se al-Bakr stále více stával pouhou symbolickou figurou. O to více mohl Saddám pohodlně uskutečňovat své plány,</w:t>
      </w:r>
      <w:r w:rsidR="0026392B">
        <w:rPr>
          <w:rFonts w:ascii="Times New Roman" w:hAnsi="Times New Roman" w:cs="Times New Roman"/>
          <w:sz w:val="24"/>
          <w:szCs w:val="24"/>
        </w:rPr>
        <w:t xml:space="preserve"> jako zejména masivní zvýšení dovozu zbraní po roce 1977.</w:t>
      </w:r>
    </w:p>
    <w:p w:rsidR="00A04775" w:rsidRPr="00026D3E" w:rsidRDefault="00A04775" w:rsidP="00BB49E2">
      <w:pPr>
        <w:spacing w:line="360" w:lineRule="auto"/>
        <w:ind w:firstLine="708"/>
        <w:jc w:val="both"/>
        <w:rPr>
          <w:rFonts w:ascii="Times New Roman" w:hAnsi="Times New Roman" w:cs="Times New Roman"/>
          <w:sz w:val="24"/>
          <w:szCs w:val="24"/>
        </w:rPr>
      </w:pPr>
      <w:r w:rsidRPr="00026D3E">
        <w:rPr>
          <w:rFonts w:ascii="Times New Roman" w:hAnsi="Times New Roman" w:cs="Times New Roman"/>
          <w:sz w:val="24"/>
          <w:szCs w:val="24"/>
        </w:rPr>
        <w:t xml:space="preserve">Konec sedmdesátých let otřásl </w:t>
      </w:r>
      <w:r w:rsidR="0026392B">
        <w:rPr>
          <w:rFonts w:ascii="Times New Roman" w:hAnsi="Times New Roman" w:cs="Times New Roman"/>
          <w:sz w:val="24"/>
          <w:szCs w:val="24"/>
        </w:rPr>
        <w:t>B</w:t>
      </w:r>
      <w:r w:rsidRPr="00026D3E">
        <w:rPr>
          <w:rFonts w:ascii="Times New Roman" w:hAnsi="Times New Roman" w:cs="Times New Roman"/>
          <w:sz w:val="24"/>
          <w:szCs w:val="24"/>
        </w:rPr>
        <w:t xml:space="preserve">lízkým východem několika směry. Zatímco letité sbližování Egyptu s Izraelem vyvrcholilo podpisem dohod z Camp David na podzim roku 1978, v Íránu docházelo ke stále větším nepokojům obyvatelstva. Saddámovi obnovená nestabilita na východní hranici rozhodně nepřišla vhod. S velkým znepokojením sledoval </w:t>
      </w:r>
      <w:r w:rsidRPr="00026D3E">
        <w:rPr>
          <w:rFonts w:ascii="Times New Roman" w:hAnsi="Times New Roman" w:cs="Times New Roman"/>
          <w:sz w:val="24"/>
          <w:szCs w:val="24"/>
        </w:rPr>
        <w:lastRenderedPageBreak/>
        <w:t xml:space="preserve">postupný zánik moci bývalého nepřítele šáha, byl ochoten mu poskytnout veškerou možnou pomoc. Ještě v říjnu roku 1978 na šáhovu žádost vypověděl z Iráku ajatolláha Rúholláha Chomejního, který zde vedl ostrou kampaň proti šáhovi. (Karsh, Rautsi 1995:115) Avšak když íránské domácí nepokoje přerostly v lidovou vzpouru, </w:t>
      </w:r>
      <w:r w:rsidR="0026392B">
        <w:rPr>
          <w:rFonts w:ascii="Times New Roman" w:hAnsi="Times New Roman" w:cs="Times New Roman"/>
          <w:sz w:val="24"/>
          <w:szCs w:val="24"/>
        </w:rPr>
        <w:t xml:space="preserve">pragmatický Saddám se od něj distancoval. </w:t>
      </w:r>
      <w:r w:rsidRPr="00026D3E">
        <w:rPr>
          <w:rFonts w:ascii="Times New Roman" w:hAnsi="Times New Roman" w:cs="Times New Roman"/>
          <w:sz w:val="24"/>
          <w:szCs w:val="24"/>
        </w:rPr>
        <w:t xml:space="preserve">Mezitím vnitřní nepokoje obyvatel v Íránu, způsobené z velké části propastnými rozdíly mezi nižší třídou a bohatnoucí vyšší třídou, se stále stupňovaly. (Brož 2007:22) </w:t>
      </w:r>
      <w:r w:rsidR="00134371" w:rsidRPr="00026D3E">
        <w:rPr>
          <w:rFonts w:ascii="Times New Roman" w:hAnsi="Times New Roman" w:cs="Times New Roman"/>
          <w:sz w:val="24"/>
          <w:szCs w:val="24"/>
        </w:rPr>
        <w:t xml:space="preserve">Dne </w:t>
      </w:r>
      <w:r w:rsidRPr="00026D3E">
        <w:rPr>
          <w:rFonts w:ascii="Times New Roman" w:hAnsi="Times New Roman" w:cs="Times New Roman"/>
          <w:sz w:val="24"/>
          <w:szCs w:val="24"/>
        </w:rPr>
        <w:t>26. ledna následujícího</w:t>
      </w:r>
      <w:r w:rsidR="00A076CD" w:rsidRPr="00026D3E">
        <w:rPr>
          <w:rFonts w:ascii="Times New Roman" w:hAnsi="Times New Roman" w:cs="Times New Roman"/>
          <w:sz w:val="24"/>
          <w:szCs w:val="24"/>
        </w:rPr>
        <w:t xml:space="preserve"> roku vyústily </w:t>
      </w:r>
      <w:r w:rsidRPr="00026D3E">
        <w:rPr>
          <w:rFonts w:ascii="Times New Roman" w:hAnsi="Times New Roman" w:cs="Times New Roman"/>
          <w:sz w:val="24"/>
          <w:szCs w:val="24"/>
        </w:rPr>
        <w:t>v odc</w:t>
      </w:r>
      <w:r w:rsidR="00A076CD" w:rsidRPr="00026D3E">
        <w:rPr>
          <w:rFonts w:ascii="Times New Roman" w:hAnsi="Times New Roman" w:cs="Times New Roman"/>
          <w:sz w:val="24"/>
          <w:szCs w:val="24"/>
        </w:rPr>
        <w:t xml:space="preserve">hod šáha a jeho rodiny ze země </w:t>
      </w:r>
      <w:r w:rsidRPr="00026D3E">
        <w:rPr>
          <w:rFonts w:ascii="Times New Roman" w:hAnsi="Times New Roman" w:cs="Times New Roman"/>
          <w:sz w:val="24"/>
          <w:szCs w:val="24"/>
        </w:rPr>
        <w:t xml:space="preserve">a po dvou a půl tisíci letech tak byla spolu s ním odstraněna monarchie. Příchod ajatolláha Chomejního v únoru k moci a sním i islamizace Íránu znepokojilo mnohé arabské státy, zejména však svého západního souseda. </w:t>
      </w:r>
    </w:p>
    <w:p w:rsidR="00A04775" w:rsidRPr="00026D3E" w:rsidRDefault="0026392B" w:rsidP="00494CC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Přestože</w:t>
      </w:r>
      <w:r w:rsidR="00A04775" w:rsidRPr="00026D3E">
        <w:rPr>
          <w:rFonts w:ascii="Times New Roman" w:hAnsi="Times New Roman" w:cs="Times New Roman"/>
          <w:sz w:val="24"/>
          <w:szCs w:val="24"/>
        </w:rPr>
        <w:t xml:space="preserve"> vzájemné vztahy </w:t>
      </w:r>
      <w:r w:rsidR="005F12E2" w:rsidRPr="00026D3E">
        <w:rPr>
          <w:rFonts w:ascii="Times New Roman" w:hAnsi="Times New Roman" w:cs="Times New Roman"/>
          <w:sz w:val="24"/>
          <w:szCs w:val="24"/>
        </w:rPr>
        <w:t>zůstaly korektní</w:t>
      </w:r>
      <w:r w:rsidR="00A04775" w:rsidRPr="00026D3E">
        <w:rPr>
          <w:rFonts w:ascii="Times New Roman" w:hAnsi="Times New Roman" w:cs="Times New Roman"/>
          <w:sz w:val="24"/>
          <w:szCs w:val="24"/>
        </w:rPr>
        <w:t xml:space="preserve"> do ír</w:t>
      </w:r>
      <w:r w:rsidR="005F12E2" w:rsidRPr="00026D3E">
        <w:rPr>
          <w:rFonts w:ascii="Times New Roman" w:hAnsi="Times New Roman" w:cs="Times New Roman"/>
          <w:sz w:val="24"/>
          <w:szCs w:val="24"/>
        </w:rPr>
        <w:t xml:space="preserve">ánské revoluce, </w:t>
      </w:r>
      <w:r w:rsidR="00A04775" w:rsidRPr="00026D3E">
        <w:rPr>
          <w:rFonts w:ascii="Times New Roman" w:hAnsi="Times New Roman" w:cs="Times New Roman"/>
          <w:sz w:val="24"/>
          <w:szCs w:val="24"/>
        </w:rPr>
        <w:t xml:space="preserve">po lednu roku 1979 se situace zcela změnila. Chomejní jako by téměř všechna spojenectví či nepřátelství převrátil naruby. Saddámovi nezbylo nic jiného než legitimitu nového režimu uznat. Učinil tak den </w:t>
      </w:r>
      <w:r w:rsidR="00A076CD" w:rsidRPr="00026D3E">
        <w:rPr>
          <w:rFonts w:ascii="Times New Roman" w:hAnsi="Times New Roman" w:cs="Times New Roman"/>
          <w:sz w:val="24"/>
          <w:szCs w:val="24"/>
        </w:rPr>
        <w:br/>
      </w:r>
      <w:r w:rsidR="00A04775" w:rsidRPr="00026D3E">
        <w:rPr>
          <w:rFonts w:ascii="Times New Roman" w:hAnsi="Times New Roman" w:cs="Times New Roman"/>
          <w:sz w:val="24"/>
          <w:szCs w:val="24"/>
        </w:rPr>
        <w:t>po Sovětském svazu a Sýrii, 13. února. (Ehteshami,Hinnebusch 1997:207)</w:t>
      </w:r>
      <w:r w:rsidR="00A04775" w:rsidRPr="00026D3E">
        <w:rPr>
          <w:rStyle w:val="Znakapoznpodarou"/>
          <w:rFonts w:ascii="Times New Roman" w:hAnsi="Times New Roman" w:cs="Times New Roman"/>
          <w:sz w:val="24"/>
          <w:szCs w:val="24"/>
        </w:rPr>
        <w:footnoteReference w:id="18"/>
      </w:r>
      <w:r w:rsidR="00A076CD" w:rsidRPr="00026D3E">
        <w:rPr>
          <w:rFonts w:ascii="Times New Roman" w:hAnsi="Times New Roman" w:cs="Times New Roman"/>
          <w:sz w:val="24"/>
          <w:szCs w:val="24"/>
        </w:rPr>
        <w:t xml:space="preserve"> Chomejního politika </w:t>
      </w:r>
      <w:r w:rsidR="00A04775" w:rsidRPr="00026D3E">
        <w:rPr>
          <w:rFonts w:ascii="Times New Roman" w:hAnsi="Times New Roman" w:cs="Times New Roman"/>
          <w:sz w:val="24"/>
          <w:szCs w:val="24"/>
        </w:rPr>
        <w:t>byla přitom od počátku namířena proti baasistickému režimu. Jeho cílem bylo expandovat šíitský islámský fundamentalismus do ostatních arabských států a nijak se tím netajil. V tomto ohledu byl Saddám velmi znepokojený a měl k tomu pádný důvod. V zemi, kde zhruba šedesát procent</w:t>
      </w:r>
      <w:r>
        <w:rPr>
          <w:rFonts w:ascii="Times New Roman" w:hAnsi="Times New Roman" w:cs="Times New Roman"/>
          <w:sz w:val="24"/>
          <w:szCs w:val="24"/>
        </w:rPr>
        <w:t xml:space="preserve"> obyvatel jsou vyznáním šíité, </w:t>
      </w:r>
      <w:r w:rsidR="00A04775" w:rsidRPr="00026D3E">
        <w:rPr>
          <w:rFonts w:ascii="Times New Roman" w:hAnsi="Times New Roman" w:cs="Times New Roman"/>
          <w:sz w:val="24"/>
          <w:szCs w:val="24"/>
        </w:rPr>
        <w:t>kterým je systematicky odmítána jakákoli větší účast na vládnutí</w:t>
      </w:r>
      <w:r w:rsidR="00A076CD" w:rsidRPr="00026D3E">
        <w:rPr>
          <w:rFonts w:ascii="Times New Roman" w:hAnsi="Times New Roman" w:cs="Times New Roman"/>
          <w:sz w:val="24"/>
          <w:szCs w:val="24"/>
        </w:rPr>
        <w:t>,</w:t>
      </w:r>
      <w:r w:rsidR="00927907">
        <w:rPr>
          <w:rFonts w:ascii="Times New Roman" w:hAnsi="Times New Roman" w:cs="Times New Roman"/>
          <w:sz w:val="24"/>
          <w:szCs w:val="24"/>
        </w:rPr>
        <w:t xml:space="preserve"> je výskyt rozsáhlých nepokojů</w:t>
      </w:r>
      <w:r w:rsidR="00A04775" w:rsidRPr="00026D3E">
        <w:rPr>
          <w:rFonts w:ascii="Times New Roman" w:hAnsi="Times New Roman" w:cs="Times New Roman"/>
          <w:sz w:val="24"/>
          <w:szCs w:val="24"/>
        </w:rPr>
        <w:t xml:space="preserve"> pravděpodobný o to více, pokud jsou k tomu otevřeně vyzýváni. </w:t>
      </w:r>
    </w:p>
    <w:p w:rsidR="00A04775" w:rsidRPr="00026D3E" w:rsidRDefault="00494CC3" w:rsidP="00494CC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Vztahy obou zemí byly velice napjaté. </w:t>
      </w:r>
      <w:r w:rsidR="00A04775" w:rsidRPr="00026D3E">
        <w:rPr>
          <w:rFonts w:ascii="Times New Roman" w:hAnsi="Times New Roman" w:cs="Times New Roman"/>
          <w:sz w:val="24"/>
          <w:szCs w:val="24"/>
        </w:rPr>
        <w:t>Do popředí se dostaly staronové územní spory</w:t>
      </w:r>
      <w:r w:rsidR="0012230A">
        <w:rPr>
          <w:rFonts w:ascii="Times New Roman" w:hAnsi="Times New Roman" w:cs="Times New Roman"/>
          <w:sz w:val="24"/>
          <w:szCs w:val="24"/>
        </w:rPr>
        <w:t>, např. o</w:t>
      </w:r>
      <w:r w:rsidR="00A04775" w:rsidRPr="00026D3E">
        <w:rPr>
          <w:rFonts w:ascii="Times New Roman" w:hAnsi="Times New Roman" w:cs="Times New Roman"/>
          <w:sz w:val="24"/>
          <w:szCs w:val="24"/>
        </w:rPr>
        <w:t xml:space="preserve"> strategicky položené ostrovy u Hormuzského průlivu, provincie Chúzistán a především kanál Šatt al-Arab. Iráčané poukazovali na skutečnost, že Írán vyzývá iráckou šíitskou opozici, aby povstala a chopila se moci, a Íránci si stěžovali, že Iráčané podněcují nepokoje v Chúzistánu. (</w:t>
      </w:r>
      <w:r w:rsidR="000A7F35" w:rsidRPr="00026D3E">
        <w:rPr>
          <w:rFonts w:ascii="Times New Roman" w:hAnsi="Times New Roman" w:cs="Times New Roman"/>
          <w:sz w:val="24"/>
          <w:szCs w:val="24"/>
        </w:rPr>
        <w:t>Farouk-</w:t>
      </w:r>
      <w:r w:rsidR="00A04775" w:rsidRPr="00026D3E">
        <w:rPr>
          <w:rFonts w:ascii="Times New Roman" w:hAnsi="Times New Roman" w:cs="Times New Roman"/>
          <w:sz w:val="24"/>
          <w:szCs w:val="24"/>
        </w:rPr>
        <w:t>Sluglett</w:t>
      </w:r>
      <w:r w:rsidR="000A7F35" w:rsidRPr="00026D3E">
        <w:rPr>
          <w:rFonts w:ascii="Times New Roman" w:hAnsi="Times New Roman" w:cs="Times New Roman"/>
          <w:sz w:val="24"/>
          <w:szCs w:val="24"/>
        </w:rPr>
        <w:t>ová,Sluglett</w:t>
      </w:r>
      <w:r w:rsidR="00927907">
        <w:rPr>
          <w:rFonts w:ascii="Times New Roman" w:hAnsi="Times New Roman" w:cs="Times New Roman"/>
          <w:sz w:val="24"/>
          <w:szCs w:val="24"/>
        </w:rPr>
        <w:t xml:space="preserve"> 2003:292) </w:t>
      </w:r>
      <w:r w:rsidR="00A04775" w:rsidRPr="00026D3E">
        <w:rPr>
          <w:rFonts w:ascii="Times New Roman" w:hAnsi="Times New Roman" w:cs="Times New Roman"/>
          <w:sz w:val="24"/>
          <w:szCs w:val="24"/>
        </w:rPr>
        <w:t>Zejména část hranice, kterou tvoří Šatt al-Arab, se stala hlavním symbolem jejich nepřátelství. Znovu se objevovaly pohraniční srážky. Irácký letecký výpad na íránské území v červnu 1979 zabil šest lidí</w:t>
      </w:r>
      <w:r w:rsidR="00970C79" w:rsidRPr="00026D3E">
        <w:rPr>
          <w:rFonts w:ascii="Times New Roman" w:hAnsi="Times New Roman" w:cs="Times New Roman"/>
          <w:sz w:val="24"/>
          <w:szCs w:val="24"/>
        </w:rPr>
        <w:t>,</w:t>
      </w:r>
      <w:r w:rsidR="00A04775" w:rsidRPr="00026D3E">
        <w:rPr>
          <w:rFonts w:ascii="Times New Roman" w:hAnsi="Times New Roman" w:cs="Times New Roman"/>
          <w:sz w:val="24"/>
          <w:szCs w:val="24"/>
        </w:rPr>
        <w:t xml:space="preserve"> a přestože týden po útoku následovala formální omluva, docházelo k podobným incidentům pravidelně a od února do září 1980 byly na denním pořádku. (</w:t>
      </w:r>
      <w:r w:rsidR="000A7F35" w:rsidRPr="00026D3E">
        <w:rPr>
          <w:rFonts w:ascii="Times New Roman" w:hAnsi="Times New Roman" w:cs="Times New Roman"/>
          <w:sz w:val="24"/>
          <w:szCs w:val="24"/>
        </w:rPr>
        <w:t>Farouk-Sluglettová,</w:t>
      </w:r>
      <w:r w:rsidR="00A04775" w:rsidRPr="00026D3E">
        <w:rPr>
          <w:rFonts w:ascii="Times New Roman" w:hAnsi="Times New Roman" w:cs="Times New Roman"/>
          <w:sz w:val="24"/>
          <w:szCs w:val="24"/>
        </w:rPr>
        <w:t xml:space="preserve">Sluglett </w:t>
      </w:r>
      <w:r w:rsidR="00A04775" w:rsidRPr="00026D3E">
        <w:rPr>
          <w:rFonts w:ascii="Times New Roman" w:hAnsi="Times New Roman" w:cs="Times New Roman"/>
          <w:sz w:val="24"/>
          <w:szCs w:val="24"/>
        </w:rPr>
        <w:lastRenderedPageBreak/>
        <w:t>2003:292) Husajn později uvedl, že pouze v letech 1979 a 1980 došlo k celk</w:t>
      </w:r>
      <w:r w:rsidR="00970C79" w:rsidRPr="00026D3E">
        <w:rPr>
          <w:rFonts w:ascii="Times New Roman" w:hAnsi="Times New Roman" w:cs="Times New Roman"/>
          <w:sz w:val="24"/>
          <w:szCs w:val="24"/>
        </w:rPr>
        <w:t xml:space="preserve">em 560 pohraničním incidentům. </w:t>
      </w:r>
      <w:r w:rsidR="00A04775" w:rsidRPr="00026D3E">
        <w:rPr>
          <w:rFonts w:ascii="Times New Roman" w:hAnsi="Times New Roman" w:cs="Times New Roman"/>
          <w:sz w:val="24"/>
          <w:szCs w:val="24"/>
        </w:rPr>
        <w:t xml:space="preserve"> (Drysdale 1985:86)</w:t>
      </w:r>
    </w:p>
    <w:p w:rsidR="008F74FD" w:rsidRDefault="00A04775" w:rsidP="001A4E3F">
      <w:pPr>
        <w:spacing w:line="360" w:lineRule="auto"/>
        <w:ind w:firstLine="708"/>
        <w:jc w:val="both"/>
        <w:rPr>
          <w:rFonts w:ascii="Times New Roman" w:hAnsi="Times New Roman" w:cs="Times New Roman"/>
          <w:sz w:val="24"/>
          <w:szCs w:val="24"/>
        </w:rPr>
      </w:pPr>
      <w:r w:rsidRPr="00026D3E">
        <w:rPr>
          <w:rFonts w:ascii="Times New Roman" w:hAnsi="Times New Roman" w:cs="Times New Roman"/>
          <w:sz w:val="24"/>
          <w:szCs w:val="24"/>
        </w:rPr>
        <w:t xml:space="preserve">Stejně tak docházelo </w:t>
      </w:r>
      <w:r w:rsidR="008A3646" w:rsidRPr="00026D3E">
        <w:rPr>
          <w:rFonts w:ascii="Times New Roman" w:hAnsi="Times New Roman" w:cs="Times New Roman"/>
          <w:sz w:val="24"/>
          <w:szCs w:val="24"/>
        </w:rPr>
        <w:t>v červnu</w:t>
      </w:r>
      <w:r w:rsidR="0012230A">
        <w:rPr>
          <w:rFonts w:ascii="Times New Roman" w:hAnsi="Times New Roman" w:cs="Times New Roman"/>
          <w:sz w:val="24"/>
          <w:szCs w:val="24"/>
        </w:rPr>
        <w:t xml:space="preserve"> 1979 </w:t>
      </w:r>
      <w:r w:rsidRPr="00026D3E">
        <w:rPr>
          <w:rFonts w:ascii="Times New Roman" w:hAnsi="Times New Roman" w:cs="Times New Roman"/>
          <w:sz w:val="24"/>
          <w:szCs w:val="24"/>
        </w:rPr>
        <w:t xml:space="preserve">k pravidelným anti-baasisitickým demonstracím, z nichž některé zahrnovaly útoky na </w:t>
      </w:r>
      <w:r w:rsidR="0012230A">
        <w:rPr>
          <w:rFonts w:ascii="Times New Roman" w:hAnsi="Times New Roman" w:cs="Times New Roman"/>
          <w:sz w:val="24"/>
          <w:szCs w:val="24"/>
        </w:rPr>
        <w:t>Iráčany či jimi vlastněná zařízení</w:t>
      </w:r>
      <w:r w:rsidRPr="00026D3E">
        <w:rPr>
          <w:rFonts w:ascii="Times New Roman" w:hAnsi="Times New Roman" w:cs="Times New Roman"/>
          <w:sz w:val="24"/>
          <w:szCs w:val="24"/>
        </w:rPr>
        <w:t xml:space="preserve"> v Iráku. Demonstrace byly přitom doprovázeny agresivní mediální kampaní, která vyzývala k povstání iráckého lidu a svrhnutí baasisitického režimu. (Karsh 1987:12)</w:t>
      </w:r>
      <w:r w:rsidR="008F74FD">
        <w:rPr>
          <w:rFonts w:ascii="Times New Roman" w:hAnsi="Times New Roman" w:cs="Times New Roman"/>
          <w:sz w:val="24"/>
          <w:szCs w:val="24"/>
        </w:rPr>
        <w:t xml:space="preserve"> </w:t>
      </w:r>
      <w:r w:rsidRPr="00026D3E">
        <w:rPr>
          <w:rFonts w:ascii="Times New Roman" w:hAnsi="Times New Roman" w:cs="Times New Roman"/>
          <w:sz w:val="24"/>
          <w:szCs w:val="24"/>
        </w:rPr>
        <w:t>Na konci roku 1979 Írán vyhrotil svou anti-baasistickou kampaň obnovením podpory pro irácké Kurdy. Také poskytl morální a materiální podporu šíitským podzemním hnutím, zejména pak straně al-Daawa. Revoluční režim podnikal četné teroristické útoky proti prominentním iráckým úředníkům, z nichž nejvýznamnější byl neúspěšný pokus o atentát na místopředsedu vlády Tárika Azíze prvního dubna 1980. (Karsh 1987:12) Napětí stupňovaly časté vzájemné verbální útoky obou vůdců.</w:t>
      </w:r>
      <w:r w:rsidR="0069561A">
        <w:rPr>
          <w:rFonts w:ascii="Times New Roman" w:hAnsi="Times New Roman" w:cs="Times New Roman"/>
          <w:sz w:val="24"/>
          <w:szCs w:val="24"/>
        </w:rPr>
        <w:t xml:space="preserve"> </w:t>
      </w:r>
    </w:p>
    <w:p w:rsidR="00A04775" w:rsidRPr="00026D3E" w:rsidRDefault="0069561A" w:rsidP="001A4E3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 dubnu</w:t>
      </w:r>
      <w:r w:rsidR="00A04775" w:rsidRPr="00026D3E">
        <w:rPr>
          <w:rFonts w:ascii="Times New Roman" w:hAnsi="Times New Roman" w:cs="Times New Roman"/>
          <w:sz w:val="24"/>
          <w:szCs w:val="24"/>
        </w:rPr>
        <w:t xml:space="preserve">1980 se situace na hranici zhoršila ještě více, když se ozbrojené útoky rozšířily podél celé hranice a na takovéto úrovni zůstaly až do srpna 1980, kdy obě strany započaly těžké boje, ve kterých se již používala těžká </w:t>
      </w:r>
      <w:r w:rsidR="008F74FD">
        <w:rPr>
          <w:rFonts w:ascii="Times New Roman" w:hAnsi="Times New Roman" w:cs="Times New Roman"/>
          <w:sz w:val="24"/>
          <w:szCs w:val="24"/>
        </w:rPr>
        <w:t>vojenská technika</w:t>
      </w:r>
      <w:r w:rsidR="00A04775" w:rsidRPr="00026D3E">
        <w:rPr>
          <w:rFonts w:ascii="Times New Roman" w:hAnsi="Times New Roman" w:cs="Times New Roman"/>
          <w:sz w:val="24"/>
          <w:szCs w:val="24"/>
        </w:rPr>
        <w:t>. (Karsh 1987: 12) Boje na hranici mezi oběma státy se tentokrát zásadně lišily od těch předcho</w:t>
      </w:r>
      <w:r>
        <w:rPr>
          <w:rFonts w:ascii="Times New Roman" w:hAnsi="Times New Roman" w:cs="Times New Roman"/>
          <w:sz w:val="24"/>
          <w:szCs w:val="24"/>
        </w:rPr>
        <w:t xml:space="preserve">zích za šáhova režimu. Šáh byl </w:t>
      </w:r>
      <w:r w:rsidR="00A04775" w:rsidRPr="00026D3E">
        <w:rPr>
          <w:rFonts w:ascii="Times New Roman" w:hAnsi="Times New Roman" w:cs="Times New Roman"/>
          <w:sz w:val="24"/>
          <w:szCs w:val="24"/>
        </w:rPr>
        <w:t xml:space="preserve">považován za protivníka racionálního, byť nepříjemného a </w:t>
      </w:r>
      <w:r w:rsidR="00CE4652" w:rsidRPr="00026D3E">
        <w:rPr>
          <w:rFonts w:ascii="Times New Roman" w:hAnsi="Times New Roman" w:cs="Times New Roman"/>
          <w:sz w:val="24"/>
          <w:szCs w:val="24"/>
        </w:rPr>
        <w:t>n</w:t>
      </w:r>
      <w:r w:rsidR="00A04775" w:rsidRPr="00026D3E">
        <w:rPr>
          <w:rFonts w:ascii="Times New Roman" w:hAnsi="Times New Roman" w:cs="Times New Roman"/>
          <w:sz w:val="24"/>
          <w:szCs w:val="24"/>
        </w:rPr>
        <w:t xml:space="preserve">esnažil se svrhnout baasistický režim, ale pouze ho oslabit. Naproti tomu revoluční režim byl považován za iracionálního aktéra, který pronásleduje nekompromisní ideologii a nelze se s ním dohodnout. (Karsh 1987:13) </w:t>
      </w:r>
    </w:p>
    <w:p w:rsidR="0078216B" w:rsidRPr="00026D3E" w:rsidRDefault="00A04775" w:rsidP="00E55282">
      <w:pPr>
        <w:spacing w:line="360" w:lineRule="auto"/>
        <w:ind w:firstLine="708"/>
        <w:jc w:val="both"/>
        <w:rPr>
          <w:rFonts w:ascii="Times New Roman" w:hAnsi="Times New Roman" w:cs="Times New Roman"/>
          <w:sz w:val="24"/>
          <w:szCs w:val="24"/>
        </w:rPr>
      </w:pPr>
      <w:r w:rsidRPr="00026D3E">
        <w:rPr>
          <w:rFonts w:ascii="Times New Roman" w:hAnsi="Times New Roman" w:cs="Times New Roman"/>
          <w:sz w:val="24"/>
          <w:szCs w:val="24"/>
        </w:rPr>
        <w:t xml:space="preserve">Přínosným může být pro objasnění situace záznam schůze Saddáma Husajna s Radou </w:t>
      </w:r>
      <w:r w:rsidR="00614170">
        <w:rPr>
          <w:rFonts w:ascii="Times New Roman" w:hAnsi="Times New Roman" w:cs="Times New Roman"/>
          <w:sz w:val="24"/>
          <w:szCs w:val="24"/>
        </w:rPr>
        <w:t>r</w:t>
      </w:r>
      <w:r w:rsidRPr="00026D3E">
        <w:rPr>
          <w:rFonts w:ascii="Times New Roman" w:hAnsi="Times New Roman" w:cs="Times New Roman"/>
          <w:sz w:val="24"/>
          <w:szCs w:val="24"/>
        </w:rPr>
        <w:t xml:space="preserve">evolučního </w:t>
      </w:r>
      <w:r w:rsidR="00614170">
        <w:rPr>
          <w:rFonts w:ascii="Times New Roman" w:hAnsi="Times New Roman" w:cs="Times New Roman"/>
          <w:sz w:val="24"/>
          <w:szCs w:val="24"/>
        </w:rPr>
        <w:t>v</w:t>
      </w:r>
      <w:r w:rsidRPr="00026D3E">
        <w:rPr>
          <w:rFonts w:ascii="Times New Roman" w:hAnsi="Times New Roman" w:cs="Times New Roman"/>
          <w:sz w:val="24"/>
          <w:szCs w:val="24"/>
        </w:rPr>
        <w:t>elení dne 16.</w:t>
      </w:r>
      <w:r w:rsidR="004F6FC2" w:rsidRPr="00026D3E">
        <w:rPr>
          <w:rFonts w:ascii="Times New Roman" w:hAnsi="Times New Roman" w:cs="Times New Roman"/>
          <w:sz w:val="24"/>
          <w:szCs w:val="24"/>
        </w:rPr>
        <w:t xml:space="preserve"> </w:t>
      </w:r>
      <w:r w:rsidRPr="00026D3E">
        <w:rPr>
          <w:rFonts w:ascii="Times New Roman" w:hAnsi="Times New Roman" w:cs="Times New Roman"/>
          <w:sz w:val="24"/>
          <w:szCs w:val="24"/>
        </w:rPr>
        <w:t xml:space="preserve">září 1980, tedy těsně před počátkem války. </w:t>
      </w:r>
      <w:r w:rsidR="0049036F">
        <w:rPr>
          <w:rFonts w:ascii="Times New Roman" w:hAnsi="Times New Roman" w:cs="Times New Roman"/>
          <w:sz w:val="24"/>
          <w:szCs w:val="24"/>
        </w:rPr>
        <w:t>Schůze</w:t>
      </w:r>
      <w:r w:rsidR="004F5AB3">
        <w:rPr>
          <w:rFonts w:ascii="Times New Roman" w:hAnsi="Times New Roman" w:cs="Times New Roman"/>
          <w:sz w:val="24"/>
          <w:szCs w:val="24"/>
        </w:rPr>
        <w:t xml:space="preserve"> se </w:t>
      </w:r>
      <w:r w:rsidR="0049036F">
        <w:rPr>
          <w:rFonts w:ascii="Times New Roman" w:hAnsi="Times New Roman" w:cs="Times New Roman"/>
          <w:sz w:val="24"/>
          <w:szCs w:val="24"/>
        </w:rPr>
        <w:t>zabývala</w:t>
      </w:r>
      <w:r w:rsidR="00A24C37">
        <w:rPr>
          <w:rFonts w:ascii="Times New Roman" w:hAnsi="Times New Roman" w:cs="Times New Roman"/>
          <w:sz w:val="24"/>
          <w:szCs w:val="24"/>
        </w:rPr>
        <w:t xml:space="preserve"> poslední</w:t>
      </w:r>
      <w:r w:rsidR="0049036F">
        <w:rPr>
          <w:rFonts w:ascii="Times New Roman" w:hAnsi="Times New Roman" w:cs="Times New Roman"/>
          <w:sz w:val="24"/>
          <w:szCs w:val="24"/>
        </w:rPr>
        <w:t>m</w:t>
      </w:r>
      <w:r w:rsidR="00A24C37">
        <w:rPr>
          <w:rFonts w:ascii="Times New Roman" w:hAnsi="Times New Roman" w:cs="Times New Roman"/>
          <w:sz w:val="24"/>
          <w:szCs w:val="24"/>
        </w:rPr>
        <w:t xml:space="preserve"> vývoj</w:t>
      </w:r>
      <w:r w:rsidR="0049036F">
        <w:rPr>
          <w:rFonts w:ascii="Times New Roman" w:hAnsi="Times New Roman" w:cs="Times New Roman"/>
          <w:sz w:val="24"/>
          <w:szCs w:val="24"/>
        </w:rPr>
        <w:t>em bojů v pohraničí a stanovenými vojenskými cíli</w:t>
      </w:r>
      <w:r w:rsidR="00A24C37">
        <w:rPr>
          <w:rFonts w:ascii="Times New Roman" w:hAnsi="Times New Roman" w:cs="Times New Roman"/>
          <w:sz w:val="24"/>
          <w:szCs w:val="24"/>
        </w:rPr>
        <w:t>, diskutoval se rovněž kanál</w:t>
      </w:r>
      <w:r w:rsidRPr="00026D3E">
        <w:rPr>
          <w:rFonts w:ascii="Times New Roman" w:hAnsi="Times New Roman" w:cs="Times New Roman"/>
          <w:sz w:val="24"/>
          <w:szCs w:val="24"/>
        </w:rPr>
        <w:t xml:space="preserve"> Šatt al-Arab a provincie Chúzistán, kterou </w:t>
      </w:r>
      <w:r w:rsidR="00BF3E2F">
        <w:rPr>
          <w:rFonts w:ascii="Times New Roman" w:hAnsi="Times New Roman" w:cs="Times New Roman"/>
          <w:sz w:val="24"/>
          <w:szCs w:val="24"/>
        </w:rPr>
        <w:t>Husajn</w:t>
      </w:r>
      <w:r w:rsidRPr="00026D3E">
        <w:rPr>
          <w:rFonts w:ascii="Times New Roman" w:hAnsi="Times New Roman" w:cs="Times New Roman"/>
          <w:sz w:val="24"/>
          <w:szCs w:val="24"/>
        </w:rPr>
        <w:t xml:space="preserve"> označil jako území odcize</w:t>
      </w:r>
      <w:r w:rsidR="0050040D">
        <w:rPr>
          <w:rFonts w:ascii="Times New Roman" w:hAnsi="Times New Roman" w:cs="Times New Roman"/>
          <w:sz w:val="24"/>
          <w:szCs w:val="24"/>
        </w:rPr>
        <w:t>né Iráku. (Woods 2011:132) Uvedl</w:t>
      </w:r>
      <w:r w:rsidRPr="00026D3E">
        <w:rPr>
          <w:rFonts w:ascii="Times New Roman" w:hAnsi="Times New Roman" w:cs="Times New Roman"/>
          <w:sz w:val="24"/>
          <w:szCs w:val="24"/>
        </w:rPr>
        <w:t>, že íránský revoluční režim od počátku ignoruje požadavek postoupit úplnou kontrolu Šatt al-Arabu Iráku.</w:t>
      </w:r>
      <w:r w:rsidR="00E55282">
        <w:rPr>
          <w:rFonts w:ascii="Times New Roman" w:hAnsi="Times New Roman" w:cs="Times New Roman"/>
          <w:sz w:val="24"/>
          <w:szCs w:val="24"/>
        </w:rPr>
        <w:t xml:space="preserve"> </w:t>
      </w:r>
      <w:r w:rsidR="0078216B" w:rsidRPr="00026D3E">
        <w:rPr>
          <w:rFonts w:ascii="Times New Roman" w:hAnsi="Times New Roman" w:cs="Times New Roman"/>
          <w:sz w:val="24"/>
          <w:szCs w:val="24"/>
        </w:rPr>
        <w:t>Jako již dřív</w:t>
      </w:r>
      <w:r w:rsidR="00E55282">
        <w:rPr>
          <w:rFonts w:ascii="Times New Roman" w:hAnsi="Times New Roman" w:cs="Times New Roman"/>
          <w:sz w:val="24"/>
          <w:szCs w:val="24"/>
        </w:rPr>
        <w:t>e, i nyní obhajoval svůj postup</w:t>
      </w:r>
      <w:r w:rsidR="0078216B" w:rsidRPr="00026D3E">
        <w:rPr>
          <w:rFonts w:ascii="Times New Roman" w:hAnsi="Times New Roman" w:cs="Times New Roman"/>
          <w:sz w:val="24"/>
          <w:szCs w:val="24"/>
        </w:rPr>
        <w:t xml:space="preserve"> jako kroky ve prospěch lidu. O odcizeném území části Šatt al-Arab hovořil jako o území odcizené iráckému lidu, který je schopen získat území zpět. </w:t>
      </w:r>
      <w:r w:rsidRPr="00026D3E">
        <w:rPr>
          <w:rFonts w:ascii="Times New Roman" w:hAnsi="Times New Roman" w:cs="Times New Roman"/>
          <w:sz w:val="24"/>
          <w:szCs w:val="24"/>
        </w:rPr>
        <w:t xml:space="preserve">(Woods 2011:133-134) </w:t>
      </w:r>
    </w:p>
    <w:p w:rsidR="00A04775" w:rsidRPr="00026D3E" w:rsidRDefault="00A04775" w:rsidP="00504009">
      <w:pPr>
        <w:spacing w:line="360" w:lineRule="auto"/>
        <w:ind w:firstLine="708"/>
        <w:jc w:val="both"/>
        <w:rPr>
          <w:rFonts w:ascii="Times New Roman" w:hAnsi="Times New Roman" w:cs="Times New Roman"/>
          <w:sz w:val="24"/>
          <w:szCs w:val="24"/>
        </w:rPr>
      </w:pPr>
      <w:r w:rsidRPr="00026D3E">
        <w:rPr>
          <w:rFonts w:ascii="Times New Roman" w:hAnsi="Times New Roman" w:cs="Times New Roman"/>
          <w:sz w:val="24"/>
          <w:szCs w:val="24"/>
        </w:rPr>
        <w:t xml:space="preserve">Záhy záležitost vodního kanálu </w:t>
      </w:r>
      <w:r w:rsidR="0078029B">
        <w:rPr>
          <w:rFonts w:ascii="Times New Roman" w:hAnsi="Times New Roman" w:cs="Times New Roman"/>
          <w:sz w:val="24"/>
          <w:szCs w:val="24"/>
        </w:rPr>
        <w:t>více stupňoval, když uvedl</w:t>
      </w:r>
      <w:r w:rsidRPr="00026D3E">
        <w:rPr>
          <w:rFonts w:ascii="Times New Roman" w:hAnsi="Times New Roman" w:cs="Times New Roman"/>
          <w:sz w:val="24"/>
          <w:szCs w:val="24"/>
        </w:rPr>
        <w:t xml:space="preserve">, že Irák musí využít této historické příležitosti získat zpět celý kanál pod svou kontrolu, neboť jindy už to nemusí být možné.  Právě zde také dodává, že není třeba se obávat významnější reakce ze strany Íránu, neboť bude omezená (Woods 2011:135). V závěru konverzace Saddám dokonce říká, že tohoto cíle nelze dosáhnout jinak než vojenskými prostředky, stejně jako dalších případných </w:t>
      </w:r>
      <w:r w:rsidRPr="00026D3E">
        <w:rPr>
          <w:rFonts w:ascii="Times New Roman" w:hAnsi="Times New Roman" w:cs="Times New Roman"/>
          <w:sz w:val="24"/>
          <w:szCs w:val="24"/>
        </w:rPr>
        <w:lastRenderedPageBreak/>
        <w:t>cílů položených v samém nitru Íránu. (Woods 2011:137-138) Po této schůzi měl následující den projev před Národním shromáždění</w:t>
      </w:r>
      <w:r w:rsidR="0083060A" w:rsidRPr="00026D3E">
        <w:rPr>
          <w:rFonts w:ascii="Times New Roman" w:hAnsi="Times New Roman" w:cs="Times New Roman"/>
          <w:sz w:val="24"/>
          <w:szCs w:val="24"/>
        </w:rPr>
        <w:t>m</w:t>
      </w:r>
      <w:r w:rsidRPr="00026D3E">
        <w:rPr>
          <w:rFonts w:ascii="Times New Roman" w:hAnsi="Times New Roman" w:cs="Times New Roman"/>
          <w:sz w:val="24"/>
          <w:szCs w:val="24"/>
        </w:rPr>
        <w:t>, ve kterém vypověděl Alžírskou dohodu. Pár dní na to, 22.</w:t>
      </w:r>
      <w:r w:rsidR="0083060A" w:rsidRPr="00026D3E">
        <w:rPr>
          <w:rFonts w:ascii="Times New Roman" w:hAnsi="Times New Roman" w:cs="Times New Roman"/>
          <w:sz w:val="24"/>
          <w:szCs w:val="24"/>
        </w:rPr>
        <w:t xml:space="preserve"> </w:t>
      </w:r>
      <w:r w:rsidRPr="00026D3E">
        <w:rPr>
          <w:rFonts w:ascii="Times New Roman" w:hAnsi="Times New Roman" w:cs="Times New Roman"/>
          <w:sz w:val="24"/>
          <w:szCs w:val="24"/>
        </w:rPr>
        <w:t xml:space="preserve">září pak zahájil válku proti Íránu. </w:t>
      </w:r>
    </w:p>
    <w:p w:rsidR="00BA4503" w:rsidRPr="00026D3E" w:rsidRDefault="00A04775" w:rsidP="0057767C">
      <w:pPr>
        <w:spacing w:line="360" w:lineRule="auto"/>
        <w:ind w:firstLine="708"/>
        <w:jc w:val="both"/>
        <w:rPr>
          <w:rFonts w:ascii="Times New Roman" w:hAnsi="Times New Roman" w:cs="Times New Roman"/>
          <w:sz w:val="24"/>
          <w:szCs w:val="24"/>
        </w:rPr>
      </w:pPr>
      <w:r w:rsidRPr="00026D3E">
        <w:rPr>
          <w:rFonts w:ascii="Times New Roman" w:hAnsi="Times New Roman" w:cs="Times New Roman"/>
          <w:sz w:val="24"/>
          <w:szCs w:val="24"/>
        </w:rPr>
        <w:t xml:space="preserve">Při zkoumání vztahů Sýrie a Iráku byly objeveny dva zásadní body. Prvním byla hydropolitická krize z roku 1975, která v důsledku vedla ke značnému zhoršení jejich vztahů, druhým pak uzavření ropovodu Kirkúk-Baniyas v letech 1976-1979. </w:t>
      </w:r>
      <w:r w:rsidR="00090A6A">
        <w:rPr>
          <w:rFonts w:ascii="Times New Roman" w:hAnsi="Times New Roman" w:cs="Times New Roman"/>
          <w:sz w:val="24"/>
          <w:szCs w:val="24"/>
        </w:rPr>
        <w:t>Nelze však předpokládat, že by tyto události z Iráku činily bezprostřední hrozbu pro Sýrii</w:t>
      </w:r>
      <w:r w:rsidR="00B75F1E">
        <w:rPr>
          <w:rFonts w:ascii="Times New Roman" w:hAnsi="Times New Roman" w:cs="Times New Roman"/>
          <w:sz w:val="24"/>
          <w:szCs w:val="24"/>
        </w:rPr>
        <w:t>.</w:t>
      </w:r>
      <w:r w:rsidR="00090A6A">
        <w:rPr>
          <w:rFonts w:ascii="Times New Roman" w:hAnsi="Times New Roman" w:cs="Times New Roman"/>
          <w:sz w:val="24"/>
          <w:szCs w:val="24"/>
        </w:rPr>
        <w:t xml:space="preserve"> </w:t>
      </w:r>
      <w:r w:rsidRPr="00026D3E">
        <w:rPr>
          <w:rFonts w:ascii="Times New Roman" w:hAnsi="Times New Roman" w:cs="Times New Roman"/>
          <w:sz w:val="24"/>
          <w:szCs w:val="24"/>
        </w:rPr>
        <w:t xml:space="preserve">Již těsně </w:t>
      </w:r>
      <w:r w:rsidR="0083060A" w:rsidRPr="00026D3E">
        <w:rPr>
          <w:rFonts w:ascii="Times New Roman" w:hAnsi="Times New Roman" w:cs="Times New Roman"/>
          <w:sz w:val="24"/>
          <w:szCs w:val="24"/>
        </w:rPr>
        <w:br/>
      </w:r>
      <w:r w:rsidRPr="00026D3E">
        <w:rPr>
          <w:rFonts w:ascii="Times New Roman" w:hAnsi="Times New Roman" w:cs="Times New Roman"/>
          <w:sz w:val="24"/>
          <w:szCs w:val="24"/>
        </w:rPr>
        <w:t>před faktickým odchodem šáha z</w:t>
      </w:r>
      <w:r w:rsidR="0083060A" w:rsidRPr="00026D3E">
        <w:rPr>
          <w:rFonts w:ascii="Times New Roman" w:hAnsi="Times New Roman" w:cs="Times New Roman"/>
          <w:sz w:val="24"/>
          <w:szCs w:val="24"/>
        </w:rPr>
        <w:t> </w:t>
      </w:r>
      <w:r w:rsidR="00090A6A">
        <w:rPr>
          <w:rFonts w:ascii="Times New Roman" w:hAnsi="Times New Roman" w:cs="Times New Roman"/>
          <w:sz w:val="24"/>
          <w:szCs w:val="24"/>
        </w:rPr>
        <w:t xml:space="preserve">Íránu se obě země </w:t>
      </w:r>
      <w:r w:rsidRPr="00026D3E">
        <w:rPr>
          <w:rFonts w:ascii="Times New Roman" w:hAnsi="Times New Roman" w:cs="Times New Roman"/>
          <w:sz w:val="24"/>
          <w:szCs w:val="24"/>
        </w:rPr>
        <w:t>sbližovaly, přestože to byla pouze záležitost několika měsíců. Nicméně ani v období ochlazení jejich vztahů, tedy mezi jmenování Saddáma p</w:t>
      </w:r>
      <w:r w:rsidR="00090A6A">
        <w:rPr>
          <w:rFonts w:ascii="Times New Roman" w:hAnsi="Times New Roman" w:cs="Times New Roman"/>
          <w:sz w:val="24"/>
          <w:szCs w:val="24"/>
        </w:rPr>
        <w:t>rezidentem a faktickým vznikem syrsko – í</w:t>
      </w:r>
      <w:r w:rsidRPr="00026D3E">
        <w:rPr>
          <w:rFonts w:ascii="Times New Roman" w:hAnsi="Times New Roman" w:cs="Times New Roman"/>
          <w:sz w:val="24"/>
          <w:szCs w:val="24"/>
        </w:rPr>
        <w:t>ránské aliance nenalezl autor příčinu pro označení Iráku jako hrozby pro Sýrii. Naproti tomu ve vztazích Iráku a Íránu autor takovou příčinu nalezl. V roce 1980 byla otázka vodního zdroje Šatt al-Arab značně vyhrocena a byla zásadním důvodem vypuknutí otevřeného válečného konfliktu mezi těmito státy. Lze tak konstatovat, že Irák v roce 198</w:t>
      </w:r>
      <w:r w:rsidR="00234DD4" w:rsidRPr="00026D3E">
        <w:rPr>
          <w:rFonts w:ascii="Times New Roman" w:hAnsi="Times New Roman" w:cs="Times New Roman"/>
          <w:sz w:val="24"/>
          <w:szCs w:val="24"/>
        </w:rPr>
        <w:t xml:space="preserve">0 představoval hrozbu pro Írán v souvislosti se zeměpisnou blízkostí. </w:t>
      </w:r>
    </w:p>
    <w:p w:rsidR="00A04775" w:rsidRPr="00026D3E" w:rsidRDefault="00BA4503" w:rsidP="00515628">
      <w:pPr>
        <w:spacing w:line="360" w:lineRule="auto"/>
        <w:ind w:firstLine="708"/>
        <w:jc w:val="both"/>
        <w:rPr>
          <w:rFonts w:ascii="Times New Roman" w:hAnsi="Times New Roman" w:cs="Times New Roman"/>
          <w:sz w:val="24"/>
          <w:szCs w:val="24"/>
        </w:rPr>
      </w:pPr>
      <w:r w:rsidRPr="00026D3E">
        <w:rPr>
          <w:rFonts w:ascii="Times New Roman" w:hAnsi="Times New Roman" w:cs="Times New Roman"/>
          <w:sz w:val="24"/>
          <w:szCs w:val="24"/>
        </w:rPr>
        <w:t>A</w:t>
      </w:r>
      <w:r w:rsidR="00A04775" w:rsidRPr="00026D3E">
        <w:rPr>
          <w:rFonts w:ascii="Times New Roman" w:hAnsi="Times New Roman" w:cs="Times New Roman"/>
          <w:sz w:val="24"/>
          <w:szCs w:val="24"/>
        </w:rPr>
        <w:t>utor v této kapitole pracoval s omezenými zdroji a bylo jeho volbou zkoumat vybrané aspekty sousedských vztahů těchto tří států</w:t>
      </w:r>
      <w:r w:rsidRPr="00026D3E">
        <w:rPr>
          <w:rFonts w:ascii="Times New Roman" w:hAnsi="Times New Roman" w:cs="Times New Roman"/>
          <w:sz w:val="24"/>
          <w:szCs w:val="24"/>
        </w:rPr>
        <w:t>. Na základě tohot</w:t>
      </w:r>
      <w:r w:rsidR="00515628">
        <w:rPr>
          <w:rFonts w:ascii="Times New Roman" w:hAnsi="Times New Roman" w:cs="Times New Roman"/>
          <w:sz w:val="24"/>
          <w:szCs w:val="24"/>
        </w:rPr>
        <w:t xml:space="preserve">o postupu se </w:t>
      </w:r>
      <w:r w:rsidRPr="00026D3E">
        <w:rPr>
          <w:rFonts w:ascii="Times New Roman" w:hAnsi="Times New Roman" w:cs="Times New Roman"/>
          <w:sz w:val="24"/>
          <w:szCs w:val="24"/>
        </w:rPr>
        <w:t xml:space="preserve">však </w:t>
      </w:r>
      <w:r w:rsidR="00A04775" w:rsidRPr="00026D3E">
        <w:rPr>
          <w:rFonts w:ascii="Times New Roman" w:hAnsi="Times New Roman" w:cs="Times New Roman"/>
          <w:sz w:val="24"/>
          <w:szCs w:val="24"/>
        </w:rPr>
        <w:t>do</w:t>
      </w:r>
      <w:r w:rsidRPr="00026D3E">
        <w:rPr>
          <w:rFonts w:ascii="Times New Roman" w:hAnsi="Times New Roman" w:cs="Times New Roman"/>
          <w:sz w:val="24"/>
          <w:szCs w:val="24"/>
        </w:rPr>
        <w:t>mnívá</w:t>
      </w:r>
      <w:r w:rsidR="0083060A" w:rsidRPr="00026D3E">
        <w:rPr>
          <w:rFonts w:ascii="Times New Roman" w:hAnsi="Times New Roman" w:cs="Times New Roman"/>
          <w:sz w:val="24"/>
          <w:szCs w:val="24"/>
        </w:rPr>
        <w:t xml:space="preserve">, že nezávisle proměnná zeměpisné blízkosti </w:t>
      </w:r>
      <w:r w:rsidRPr="00026D3E">
        <w:rPr>
          <w:rFonts w:ascii="Times New Roman" w:hAnsi="Times New Roman" w:cs="Times New Roman"/>
          <w:sz w:val="24"/>
          <w:szCs w:val="24"/>
        </w:rPr>
        <w:t xml:space="preserve">není </w:t>
      </w:r>
      <w:r w:rsidR="00A04775" w:rsidRPr="00026D3E">
        <w:rPr>
          <w:rFonts w:ascii="Times New Roman" w:hAnsi="Times New Roman" w:cs="Times New Roman"/>
          <w:sz w:val="24"/>
          <w:szCs w:val="24"/>
        </w:rPr>
        <w:t>prokazatelná jako příčina v</w:t>
      </w:r>
      <w:r w:rsidR="00515628">
        <w:rPr>
          <w:rFonts w:ascii="Times New Roman" w:hAnsi="Times New Roman" w:cs="Times New Roman"/>
          <w:sz w:val="24"/>
          <w:szCs w:val="24"/>
        </w:rPr>
        <w:t>zniku syrsko – í</w:t>
      </w:r>
      <w:r w:rsidRPr="00026D3E">
        <w:rPr>
          <w:rFonts w:ascii="Times New Roman" w:hAnsi="Times New Roman" w:cs="Times New Roman"/>
          <w:sz w:val="24"/>
          <w:szCs w:val="24"/>
        </w:rPr>
        <w:t xml:space="preserve">ránské aliance. V klíčovém roce 1980 totiž autor nezaznamenal ve vztazích Iráku a Sýrie přítomný ani spor ohledně vodního zdroje či ropovodu. </w:t>
      </w:r>
    </w:p>
    <w:p w:rsidR="00C70F49" w:rsidRPr="00026D3E" w:rsidRDefault="00C70F49" w:rsidP="00801A41">
      <w:pPr>
        <w:rPr>
          <w:rFonts w:ascii="Times New Roman" w:hAnsi="Times New Roman" w:cs="Times New Roman"/>
          <w:sz w:val="24"/>
          <w:szCs w:val="24"/>
        </w:rPr>
      </w:pPr>
    </w:p>
    <w:p w:rsidR="003E213E" w:rsidRPr="00026D3E" w:rsidRDefault="003E213E" w:rsidP="00801A41">
      <w:pPr>
        <w:rPr>
          <w:rFonts w:ascii="Times New Roman" w:hAnsi="Times New Roman" w:cs="Times New Roman"/>
          <w:sz w:val="24"/>
          <w:szCs w:val="24"/>
        </w:rPr>
      </w:pPr>
    </w:p>
    <w:p w:rsidR="003E213E" w:rsidRPr="00026D3E" w:rsidRDefault="003E213E" w:rsidP="00801A41">
      <w:pPr>
        <w:rPr>
          <w:rFonts w:ascii="Times New Roman" w:hAnsi="Times New Roman" w:cs="Times New Roman"/>
          <w:sz w:val="24"/>
          <w:szCs w:val="24"/>
        </w:rPr>
      </w:pPr>
    </w:p>
    <w:p w:rsidR="00B84248" w:rsidRDefault="00B84248" w:rsidP="00801A41">
      <w:pPr>
        <w:rPr>
          <w:rFonts w:ascii="Times New Roman" w:hAnsi="Times New Roman" w:cs="Times New Roman"/>
          <w:sz w:val="24"/>
          <w:szCs w:val="24"/>
        </w:rPr>
      </w:pPr>
    </w:p>
    <w:p w:rsidR="00BB49E2" w:rsidRDefault="00BB49E2" w:rsidP="00801A41">
      <w:pPr>
        <w:rPr>
          <w:rFonts w:ascii="Times New Roman" w:hAnsi="Times New Roman" w:cs="Times New Roman"/>
          <w:sz w:val="24"/>
          <w:szCs w:val="24"/>
        </w:rPr>
      </w:pPr>
    </w:p>
    <w:p w:rsidR="00BB49E2" w:rsidRDefault="00BB49E2" w:rsidP="00801A41">
      <w:pPr>
        <w:rPr>
          <w:rFonts w:ascii="Times New Roman" w:hAnsi="Times New Roman" w:cs="Times New Roman"/>
          <w:sz w:val="24"/>
          <w:szCs w:val="24"/>
        </w:rPr>
      </w:pPr>
    </w:p>
    <w:p w:rsidR="00BB49E2" w:rsidRDefault="00BB49E2" w:rsidP="00801A41">
      <w:pPr>
        <w:rPr>
          <w:rFonts w:ascii="Times New Roman" w:hAnsi="Times New Roman" w:cs="Times New Roman"/>
          <w:sz w:val="24"/>
          <w:szCs w:val="24"/>
        </w:rPr>
      </w:pPr>
    </w:p>
    <w:p w:rsidR="00BB49E2" w:rsidRPr="00026D3E" w:rsidRDefault="00BB49E2" w:rsidP="00801A41">
      <w:pPr>
        <w:rPr>
          <w:rFonts w:ascii="Times New Roman" w:hAnsi="Times New Roman" w:cs="Times New Roman"/>
          <w:sz w:val="24"/>
          <w:szCs w:val="24"/>
        </w:rPr>
      </w:pPr>
    </w:p>
    <w:p w:rsidR="003E213E" w:rsidRPr="00026D3E" w:rsidRDefault="003E213E" w:rsidP="00AD25AC">
      <w:pPr>
        <w:pStyle w:val="Nadpis1"/>
      </w:pPr>
      <w:bookmarkStart w:id="12" w:name="_Toc354703586"/>
      <w:r w:rsidRPr="00026D3E">
        <w:lastRenderedPageBreak/>
        <w:t>5. Ofensivní kapacita Iráku</w:t>
      </w:r>
      <w:bookmarkEnd w:id="12"/>
    </w:p>
    <w:p w:rsidR="003E213E" w:rsidRPr="00026D3E" w:rsidRDefault="003E213E" w:rsidP="00D22B8F">
      <w:pPr>
        <w:spacing w:line="360" w:lineRule="auto"/>
        <w:ind w:firstLine="708"/>
        <w:jc w:val="both"/>
        <w:rPr>
          <w:rFonts w:ascii="Times New Roman" w:hAnsi="Times New Roman" w:cs="Times New Roman"/>
          <w:sz w:val="24"/>
          <w:szCs w:val="24"/>
        </w:rPr>
      </w:pPr>
      <w:r w:rsidRPr="00026D3E">
        <w:rPr>
          <w:rFonts w:ascii="Times New Roman" w:hAnsi="Times New Roman" w:cs="Times New Roman"/>
          <w:sz w:val="24"/>
          <w:szCs w:val="24"/>
        </w:rPr>
        <w:t xml:space="preserve">Podle Walta </w:t>
      </w:r>
      <w:r w:rsidR="00D22B8F">
        <w:rPr>
          <w:rFonts w:ascii="Times New Roman" w:hAnsi="Times New Roman" w:cs="Times New Roman"/>
          <w:sz w:val="24"/>
          <w:szCs w:val="24"/>
        </w:rPr>
        <w:t>iniciují</w:t>
      </w:r>
      <w:r w:rsidRPr="00026D3E">
        <w:rPr>
          <w:rFonts w:ascii="Times New Roman" w:hAnsi="Times New Roman" w:cs="Times New Roman"/>
          <w:sz w:val="24"/>
          <w:szCs w:val="24"/>
        </w:rPr>
        <w:t xml:space="preserve"> státy s velkou ofensivní kapacitou alianci spíše</w:t>
      </w:r>
      <w:r w:rsidR="0083060A" w:rsidRPr="00026D3E">
        <w:rPr>
          <w:rFonts w:ascii="Times New Roman" w:hAnsi="Times New Roman" w:cs="Times New Roman"/>
          <w:sz w:val="24"/>
          <w:szCs w:val="24"/>
        </w:rPr>
        <w:t>,</w:t>
      </w:r>
      <w:r w:rsidRPr="00026D3E">
        <w:rPr>
          <w:rFonts w:ascii="Times New Roman" w:hAnsi="Times New Roman" w:cs="Times New Roman"/>
          <w:sz w:val="24"/>
          <w:szCs w:val="24"/>
        </w:rPr>
        <w:t xml:space="preserve"> než ty státy, které jsou vojensky slabé či jsou schopny pouze obrany. (Walt 1985:11) Zároveň však upozorňuje, </w:t>
      </w:r>
      <w:r w:rsidR="0083060A" w:rsidRPr="00026D3E">
        <w:rPr>
          <w:rFonts w:ascii="Times New Roman" w:hAnsi="Times New Roman" w:cs="Times New Roman"/>
          <w:sz w:val="24"/>
          <w:szCs w:val="24"/>
        </w:rPr>
        <w:br/>
      </w:r>
      <w:r w:rsidRPr="00026D3E">
        <w:rPr>
          <w:rFonts w:ascii="Times New Roman" w:hAnsi="Times New Roman" w:cs="Times New Roman"/>
          <w:sz w:val="24"/>
          <w:szCs w:val="24"/>
        </w:rPr>
        <w:t>že efekty ofensivní kapacity se mohou lišit. Na jednu stranu se může okamžitá hrozba, kterou ofensivní kapacita představuje, stát podnětem pro ostatní k založení aliance, na druhou stranu pokud ofensivní kapacita nabízí možnost rychlého vítězství, mohou být ostatní státy náchylné k bandwagoningu. (Walt 1987:24-25)</w:t>
      </w:r>
    </w:p>
    <w:p w:rsidR="003E213E" w:rsidRPr="00026D3E" w:rsidRDefault="003E213E" w:rsidP="00D22B8F">
      <w:pPr>
        <w:spacing w:line="360" w:lineRule="auto"/>
        <w:ind w:firstLine="708"/>
        <w:jc w:val="both"/>
        <w:rPr>
          <w:rFonts w:ascii="Times New Roman" w:hAnsi="Times New Roman" w:cs="Times New Roman"/>
          <w:sz w:val="24"/>
          <w:szCs w:val="24"/>
        </w:rPr>
      </w:pPr>
      <w:r w:rsidRPr="00026D3E">
        <w:rPr>
          <w:rFonts w:ascii="Times New Roman" w:hAnsi="Times New Roman" w:cs="Times New Roman"/>
          <w:sz w:val="24"/>
          <w:szCs w:val="24"/>
        </w:rPr>
        <w:t>Tak či onak, faktor ofensivní kap</w:t>
      </w:r>
      <w:r w:rsidR="0083060A" w:rsidRPr="00026D3E">
        <w:rPr>
          <w:rFonts w:ascii="Times New Roman" w:hAnsi="Times New Roman" w:cs="Times New Roman"/>
          <w:sz w:val="24"/>
          <w:szCs w:val="24"/>
        </w:rPr>
        <w:t xml:space="preserve">acity je nevyhnutelně propojen </w:t>
      </w:r>
      <w:r w:rsidRPr="00026D3E">
        <w:rPr>
          <w:rFonts w:ascii="Times New Roman" w:hAnsi="Times New Roman" w:cs="Times New Roman"/>
          <w:sz w:val="24"/>
          <w:szCs w:val="24"/>
        </w:rPr>
        <w:t>s faktorem zeměpisné blízkosti stejně jako faktorem celkové moci státu. Autorovi se proto jeví obtížnější tyto faktory oddělit a zkoumat jednotli</w:t>
      </w:r>
      <w:r w:rsidR="00D22B8F">
        <w:rPr>
          <w:rFonts w:ascii="Times New Roman" w:hAnsi="Times New Roman" w:cs="Times New Roman"/>
          <w:sz w:val="24"/>
          <w:szCs w:val="24"/>
        </w:rPr>
        <w:t xml:space="preserve">vě. Walt </w:t>
      </w:r>
      <w:r w:rsidRPr="00026D3E">
        <w:rPr>
          <w:rFonts w:ascii="Times New Roman" w:hAnsi="Times New Roman" w:cs="Times New Roman"/>
          <w:sz w:val="24"/>
          <w:szCs w:val="24"/>
        </w:rPr>
        <w:t xml:space="preserve">naznačuje, že ofensivní kapacita se dá vnímat </w:t>
      </w:r>
      <w:r w:rsidR="0083060A" w:rsidRPr="00026D3E">
        <w:rPr>
          <w:rFonts w:ascii="Times New Roman" w:hAnsi="Times New Roman" w:cs="Times New Roman"/>
          <w:sz w:val="24"/>
          <w:szCs w:val="24"/>
        </w:rPr>
        <w:br/>
      </w:r>
      <w:r w:rsidRPr="00026D3E">
        <w:rPr>
          <w:rFonts w:ascii="Times New Roman" w:hAnsi="Times New Roman" w:cs="Times New Roman"/>
          <w:sz w:val="24"/>
          <w:szCs w:val="24"/>
        </w:rPr>
        <w:t xml:space="preserve">ve smyslu rozsáhlých vojenských sil. (Walt 1987:24) Většina států </w:t>
      </w:r>
      <w:r w:rsidR="00D22B8F">
        <w:rPr>
          <w:rFonts w:ascii="Times New Roman" w:hAnsi="Times New Roman" w:cs="Times New Roman"/>
          <w:sz w:val="24"/>
          <w:szCs w:val="24"/>
        </w:rPr>
        <w:t>B</w:t>
      </w:r>
      <w:r w:rsidRPr="00026D3E">
        <w:rPr>
          <w:rFonts w:ascii="Times New Roman" w:hAnsi="Times New Roman" w:cs="Times New Roman"/>
          <w:sz w:val="24"/>
          <w:szCs w:val="24"/>
        </w:rPr>
        <w:t>lízkého východu je v otázce vojenských sil závislá na dovozu moderních zbraní ze zahraničí. Toto je rovně</w:t>
      </w:r>
      <w:r w:rsidR="0083060A" w:rsidRPr="00026D3E">
        <w:rPr>
          <w:rFonts w:ascii="Times New Roman" w:hAnsi="Times New Roman" w:cs="Times New Roman"/>
          <w:sz w:val="24"/>
          <w:szCs w:val="24"/>
        </w:rPr>
        <w:t xml:space="preserve">ž případ Sýrie, Iráku a Íránu. </w:t>
      </w:r>
      <w:r w:rsidRPr="00026D3E">
        <w:rPr>
          <w:rFonts w:ascii="Times New Roman" w:hAnsi="Times New Roman" w:cs="Times New Roman"/>
          <w:sz w:val="24"/>
          <w:szCs w:val="24"/>
        </w:rPr>
        <w:t xml:space="preserve">Autor proto bude věnovat pozornost především dovozu zbraní </w:t>
      </w:r>
      <w:r w:rsidR="0083060A" w:rsidRPr="00026D3E">
        <w:rPr>
          <w:rFonts w:ascii="Times New Roman" w:hAnsi="Times New Roman" w:cs="Times New Roman"/>
          <w:sz w:val="24"/>
          <w:szCs w:val="24"/>
        </w:rPr>
        <w:br/>
      </w:r>
      <w:r w:rsidRPr="00026D3E">
        <w:rPr>
          <w:rFonts w:ascii="Times New Roman" w:hAnsi="Times New Roman" w:cs="Times New Roman"/>
          <w:sz w:val="24"/>
          <w:szCs w:val="24"/>
        </w:rPr>
        <w:t xml:space="preserve">do těchto států. Pokud má představovat Irák hrozbu jak pro Sýrii, tak pro Írán a být důvodem k jejich </w:t>
      </w:r>
      <w:r w:rsidR="007B655C">
        <w:rPr>
          <w:rFonts w:ascii="Times New Roman" w:hAnsi="Times New Roman" w:cs="Times New Roman"/>
          <w:sz w:val="24"/>
          <w:szCs w:val="24"/>
        </w:rPr>
        <w:t>spojenectví</w:t>
      </w:r>
      <w:r w:rsidRPr="00026D3E">
        <w:rPr>
          <w:rFonts w:ascii="Times New Roman" w:hAnsi="Times New Roman" w:cs="Times New Roman"/>
          <w:sz w:val="24"/>
          <w:szCs w:val="24"/>
        </w:rPr>
        <w:t>, bude nutné prokázat, že v klíčovém období formování aliance v letech 1979-1982 měl Irák velkou ofensivní kapacitu. Pokud tomu tak bylo, bude nutné rovněž sledovat, zda Sýrie a Írán na tento faktor nějakým z</w:t>
      </w:r>
      <w:r w:rsidR="0083060A" w:rsidRPr="00026D3E">
        <w:rPr>
          <w:rFonts w:ascii="Times New Roman" w:hAnsi="Times New Roman" w:cs="Times New Roman"/>
          <w:sz w:val="24"/>
          <w:szCs w:val="24"/>
        </w:rPr>
        <w:t xml:space="preserve">působem reagovala, například </w:t>
      </w:r>
      <w:r w:rsidRPr="00026D3E">
        <w:rPr>
          <w:rFonts w:ascii="Times New Roman" w:hAnsi="Times New Roman" w:cs="Times New Roman"/>
          <w:sz w:val="24"/>
          <w:szCs w:val="24"/>
        </w:rPr>
        <w:t>zvýšením jejich dovozu zbraní. Dovoz zbraní d</w:t>
      </w:r>
      <w:r w:rsidR="007B655C">
        <w:rPr>
          <w:rFonts w:ascii="Times New Roman" w:hAnsi="Times New Roman" w:cs="Times New Roman"/>
          <w:sz w:val="24"/>
          <w:szCs w:val="24"/>
        </w:rPr>
        <w:t xml:space="preserve">o těchto  zemí autor vyobrazil </w:t>
      </w:r>
      <w:r w:rsidRPr="00026D3E">
        <w:rPr>
          <w:rFonts w:ascii="Times New Roman" w:hAnsi="Times New Roman" w:cs="Times New Roman"/>
          <w:sz w:val="24"/>
          <w:szCs w:val="24"/>
        </w:rPr>
        <w:t>v Grafu č.</w:t>
      </w:r>
      <w:r w:rsidR="007B655C">
        <w:rPr>
          <w:rFonts w:ascii="Times New Roman" w:hAnsi="Times New Roman" w:cs="Times New Roman"/>
          <w:sz w:val="24"/>
          <w:szCs w:val="24"/>
        </w:rPr>
        <w:t xml:space="preserve"> </w:t>
      </w:r>
      <w:r w:rsidRPr="00026D3E">
        <w:rPr>
          <w:rFonts w:ascii="Times New Roman" w:hAnsi="Times New Roman" w:cs="Times New Roman"/>
          <w:sz w:val="24"/>
          <w:szCs w:val="24"/>
        </w:rPr>
        <w:t>3 na základě dat získaných z databáze Světové Banky.</w:t>
      </w:r>
      <w:r w:rsidRPr="00026D3E">
        <w:rPr>
          <w:rStyle w:val="Znakapoznpodarou"/>
          <w:rFonts w:ascii="Times New Roman" w:hAnsi="Times New Roman" w:cs="Times New Roman"/>
          <w:sz w:val="24"/>
          <w:szCs w:val="24"/>
        </w:rPr>
        <w:footnoteReference w:id="19"/>
      </w:r>
    </w:p>
    <w:p w:rsidR="003E213E" w:rsidRPr="00026D3E" w:rsidRDefault="003E213E" w:rsidP="003E213E">
      <w:pPr>
        <w:spacing w:line="360" w:lineRule="auto"/>
        <w:jc w:val="both"/>
        <w:rPr>
          <w:rFonts w:ascii="Times New Roman" w:hAnsi="Times New Roman" w:cs="Times New Roman"/>
          <w:sz w:val="24"/>
          <w:szCs w:val="24"/>
        </w:rPr>
      </w:pPr>
    </w:p>
    <w:p w:rsidR="00E32076" w:rsidRPr="00026D3E" w:rsidRDefault="00E32076" w:rsidP="003E213E">
      <w:pPr>
        <w:spacing w:line="360" w:lineRule="auto"/>
        <w:jc w:val="both"/>
        <w:rPr>
          <w:rFonts w:ascii="Times New Roman" w:hAnsi="Times New Roman" w:cs="Times New Roman"/>
          <w:sz w:val="24"/>
          <w:szCs w:val="24"/>
        </w:rPr>
      </w:pPr>
    </w:p>
    <w:p w:rsidR="00E32076" w:rsidRPr="00026D3E" w:rsidRDefault="00E32076" w:rsidP="003E213E">
      <w:pPr>
        <w:spacing w:line="360" w:lineRule="auto"/>
        <w:jc w:val="both"/>
        <w:rPr>
          <w:rFonts w:ascii="Times New Roman" w:hAnsi="Times New Roman" w:cs="Times New Roman"/>
          <w:sz w:val="24"/>
          <w:szCs w:val="24"/>
        </w:rPr>
      </w:pPr>
    </w:p>
    <w:p w:rsidR="00E32076" w:rsidRPr="00026D3E" w:rsidRDefault="00E32076" w:rsidP="003E213E">
      <w:pPr>
        <w:spacing w:line="360" w:lineRule="auto"/>
        <w:jc w:val="both"/>
        <w:rPr>
          <w:rFonts w:ascii="Times New Roman" w:hAnsi="Times New Roman" w:cs="Times New Roman"/>
          <w:sz w:val="24"/>
          <w:szCs w:val="24"/>
        </w:rPr>
      </w:pPr>
    </w:p>
    <w:p w:rsidR="00E32076" w:rsidRPr="00026D3E" w:rsidRDefault="00E32076" w:rsidP="003E213E">
      <w:pPr>
        <w:spacing w:line="360" w:lineRule="auto"/>
        <w:jc w:val="both"/>
        <w:rPr>
          <w:rFonts w:ascii="Times New Roman" w:hAnsi="Times New Roman" w:cs="Times New Roman"/>
          <w:sz w:val="24"/>
          <w:szCs w:val="24"/>
        </w:rPr>
      </w:pPr>
    </w:p>
    <w:p w:rsidR="00E32076" w:rsidRPr="00026D3E" w:rsidRDefault="00E32076" w:rsidP="003E213E">
      <w:pPr>
        <w:spacing w:line="360" w:lineRule="auto"/>
        <w:jc w:val="both"/>
        <w:rPr>
          <w:rFonts w:ascii="Times New Roman" w:hAnsi="Times New Roman" w:cs="Times New Roman"/>
          <w:sz w:val="24"/>
          <w:szCs w:val="24"/>
        </w:rPr>
      </w:pPr>
    </w:p>
    <w:p w:rsidR="00E32076" w:rsidRPr="00026D3E" w:rsidRDefault="00E32076" w:rsidP="003E213E">
      <w:pPr>
        <w:spacing w:line="360" w:lineRule="auto"/>
        <w:jc w:val="both"/>
        <w:rPr>
          <w:rFonts w:ascii="Times New Roman" w:hAnsi="Times New Roman" w:cs="Times New Roman"/>
          <w:sz w:val="24"/>
          <w:szCs w:val="24"/>
        </w:rPr>
      </w:pPr>
    </w:p>
    <w:p w:rsidR="00E32076" w:rsidRPr="00026D3E" w:rsidRDefault="00E32076" w:rsidP="003E213E">
      <w:pPr>
        <w:spacing w:line="360" w:lineRule="auto"/>
        <w:jc w:val="both"/>
        <w:rPr>
          <w:rFonts w:ascii="Times New Roman" w:hAnsi="Times New Roman" w:cs="Times New Roman"/>
          <w:sz w:val="24"/>
          <w:szCs w:val="24"/>
        </w:rPr>
      </w:pPr>
    </w:p>
    <w:p w:rsidR="003E213E" w:rsidRPr="00026D3E" w:rsidRDefault="003E213E" w:rsidP="003E213E">
      <w:pPr>
        <w:spacing w:line="360" w:lineRule="auto"/>
        <w:jc w:val="both"/>
        <w:rPr>
          <w:rFonts w:ascii="Times New Roman" w:hAnsi="Times New Roman" w:cs="Times New Roman"/>
          <w:sz w:val="24"/>
          <w:szCs w:val="24"/>
        </w:rPr>
      </w:pPr>
      <w:r w:rsidRPr="00026D3E">
        <w:rPr>
          <w:rFonts w:ascii="Times New Roman" w:hAnsi="Times New Roman" w:cs="Times New Roman"/>
          <w:sz w:val="24"/>
          <w:szCs w:val="24"/>
        </w:rPr>
        <w:lastRenderedPageBreak/>
        <w:t>Graf č.</w:t>
      </w:r>
      <w:r w:rsidR="004153B4">
        <w:rPr>
          <w:rFonts w:ascii="Times New Roman" w:hAnsi="Times New Roman" w:cs="Times New Roman"/>
          <w:sz w:val="24"/>
          <w:szCs w:val="24"/>
        </w:rPr>
        <w:t xml:space="preserve"> </w:t>
      </w:r>
      <w:r w:rsidRPr="00026D3E">
        <w:rPr>
          <w:rFonts w:ascii="Times New Roman" w:hAnsi="Times New Roman" w:cs="Times New Roman"/>
          <w:sz w:val="24"/>
          <w:szCs w:val="24"/>
        </w:rPr>
        <w:t>3</w:t>
      </w:r>
      <w:r w:rsidR="004153B4">
        <w:rPr>
          <w:rFonts w:ascii="Times New Roman" w:hAnsi="Times New Roman" w:cs="Times New Roman"/>
          <w:sz w:val="24"/>
          <w:szCs w:val="24"/>
        </w:rPr>
        <w:t xml:space="preserve">: </w:t>
      </w:r>
      <w:r w:rsidRPr="00026D3E">
        <w:rPr>
          <w:rFonts w:ascii="Times New Roman" w:hAnsi="Times New Roman" w:cs="Times New Roman"/>
          <w:sz w:val="24"/>
          <w:szCs w:val="24"/>
        </w:rPr>
        <w:t>Dovoz zbraní do Íránu, Iráku a Sýrii ve sledovaném období 1975-1985</w:t>
      </w:r>
    </w:p>
    <w:p w:rsidR="003E213E" w:rsidRPr="00026D3E" w:rsidRDefault="003E213E" w:rsidP="003E213E">
      <w:pPr>
        <w:spacing w:line="360" w:lineRule="auto"/>
        <w:jc w:val="both"/>
        <w:rPr>
          <w:rFonts w:ascii="Times New Roman" w:hAnsi="Times New Roman" w:cs="Times New Roman"/>
          <w:sz w:val="24"/>
          <w:szCs w:val="24"/>
        </w:rPr>
      </w:pPr>
      <w:r w:rsidRPr="00026D3E">
        <w:rPr>
          <w:rFonts w:ascii="Times New Roman" w:hAnsi="Times New Roman" w:cs="Times New Roman"/>
          <w:noProof/>
          <w:sz w:val="24"/>
          <w:szCs w:val="24"/>
        </w:rPr>
        <w:drawing>
          <wp:inline distT="0" distB="0" distL="0" distR="0">
            <wp:extent cx="5760720" cy="3522209"/>
            <wp:effectExtent l="19050" t="0" r="11430" b="2041"/>
            <wp:docPr id="3"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E213E" w:rsidRPr="00026D3E" w:rsidRDefault="003E213E" w:rsidP="003E213E">
      <w:pPr>
        <w:spacing w:line="360" w:lineRule="auto"/>
        <w:jc w:val="both"/>
        <w:rPr>
          <w:rFonts w:ascii="Times New Roman" w:hAnsi="Times New Roman" w:cs="Times New Roman"/>
          <w:sz w:val="24"/>
          <w:szCs w:val="24"/>
        </w:rPr>
      </w:pPr>
      <w:r w:rsidRPr="00026D3E">
        <w:rPr>
          <w:rFonts w:ascii="Times New Roman" w:hAnsi="Times New Roman" w:cs="Times New Roman"/>
          <w:sz w:val="24"/>
          <w:szCs w:val="24"/>
        </w:rPr>
        <w:t xml:space="preserve">Zdroj: Vygenerováno z databáze Světové Banky </w:t>
      </w:r>
    </w:p>
    <w:p w:rsidR="003E213E" w:rsidRPr="00026D3E" w:rsidRDefault="003E213E" w:rsidP="003E213E">
      <w:pPr>
        <w:spacing w:line="360" w:lineRule="auto"/>
        <w:jc w:val="both"/>
        <w:rPr>
          <w:rFonts w:ascii="Times New Roman" w:hAnsi="Times New Roman" w:cs="Times New Roman"/>
          <w:sz w:val="24"/>
          <w:szCs w:val="24"/>
        </w:rPr>
      </w:pPr>
    </w:p>
    <w:p w:rsidR="003E213E" w:rsidRPr="00026D3E" w:rsidRDefault="003E213E" w:rsidP="003E213E">
      <w:pPr>
        <w:spacing w:line="360" w:lineRule="auto"/>
        <w:jc w:val="both"/>
        <w:rPr>
          <w:rFonts w:ascii="Times New Roman" w:hAnsi="Times New Roman" w:cs="Times New Roman"/>
          <w:sz w:val="24"/>
          <w:szCs w:val="24"/>
        </w:rPr>
      </w:pPr>
      <w:r w:rsidRPr="00026D3E">
        <w:rPr>
          <w:rFonts w:ascii="Times New Roman" w:hAnsi="Times New Roman" w:cs="Times New Roman"/>
          <w:sz w:val="24"/>
          <w:szCs w:val="24"/>
        </w:rPr>
        <w:t xml:space="preserve">Graf znázorňuje import zbraní do Íránu, Iráku a Sýrie. Na ose x jsou zaznamenány jednotlivé roky období 1975 – 1985. Osa y představuje hodnotu dovezených zbraní v milionech amerických dolarů. </w:t>
      </w:r>
    </w:p>
    <w:p w:rsidR="003E213E" w:rsidRPr="00026D3E" w:rsidRDefault="003E213E" w:rsidP="008A422A">
      <w:pPr>
        <w:spacing w:line="360" w:lineRule="auto"/>
        <w:ind w:firstLine="708"/>
        <w:jc w:val="both"/>
        <w:rPr>
          <w:rFonts w:ascii="Times New Roman" w:hAnsi="Times New Roman" w:cs="Times New Roman"/>
          <w:sz w:val="24"/>
          <w:szCs w:val="24"/>
        </w:rPr>
      </w:pPr>
      <w:r w:rsidRPr="00026D3E">
        <w:rPr>
          <w:rFonts w:ascii="Times New Roman" w:hAnsi="Times New Roman" w:cs="Times New Roman"/>
          <w:sz w:val="24"/>
          <w:szCs w:val="24"/>
        </w:rPr>
        <w:t xml:space="preserve">Z grafu lze vysledovat několik zásadních údajů. V letech 1975 – 1978 byl dovoz zbraní </w:t>
      </w:r>
      <w:r w:rsidR="00915101">
        <w:rPr>
          <w:rFonts w:ascii="Times New Roman" w:hAnsi="Times New Roman" w:cs="Times New Roman"/>
          <w:sz w:val="24"/>
          <w:szCs w:val="24"/>
        </w:rPr>
        <w:t>do</w:t>
      </w:r>
      <w:r w:rsidRPr="00026D3E">
        <w:rPr>
          <w:rFonts w:ascii="Times New Roman" w:hAnsi="Times New Roman" w:cs="Times New Roman"/>
          <w:sz w:val="24"/>
          <w:szCs w:val="24"/>
        </w:rPr>
        <w:t xml:space="preserve"> Íránu několikanásobně vyšší než </w:t>
      </w:r>
      <w:r w:rsidR="00915101">
        <w:rPr>
          <w:rFonts w:ascii="Times New Roman" w:hAnsi="Times New Roman" w:cs="Times New Roman"/>
          <w:sz w:val="24"/>
          <w:szCs w:val="24"/>
        </w:rPr>
        <w:t>do Sýrie</w:t>
      </w:r>
      <w:r w:rsidRPr="00026D3E">
        <w:rPr>
          <w:rFonts w:ascii="Times New Roman" w:hAnsi="Times New Roman" w:cs="Times New Roman"/>
          <w:sz w:val="24"/>
          <w:szCs w:val="24"/>
        </w:rPr>
        <w:t xml:space="preserve"> a</w:t>
      </w:r>
      <w:r w:rsidR="0083060A" w:rsidRPr="00026D3E">
        <w:rPr>
          <w:rFonts w:ascii="Times New Roman" w:hAnsi="Times New Roman" w:cs="Times New Roman"/>
          <w:sz w:val="24"/>
          <w:szCs w:val="24"/>
        </w:rPr>
        <w:t xml:space="preserve"> Iráku. Tento fakt lze zasadit d</w:t>
      </w:r>
      <w:r w:rsidRPr="00026D3E">
        <w:rPr>
          <w:rFonts w:ascii="Times New Roman" w:hAnsi="Times New Roman" w:cs="Times New Roman"/>
          <w:sz w:val="24"/>
          <w:szCs w:val="24"/>
        </w:rPr>
        <w:t>o kontextu rostoucích ambicí šáha, který se v sedmdesátých letech snažil stavět Írán do role dominantního aktéra Perského zálivu. (Karsh 1987:10) Tento cíl podporovali jeho hlavní spojenci Spojené státy a Velká Británie masivním dovozem svých zbraní. Již v roce 1975 zahájil šáh dlouhodobý pl</w:t>
      </w:r>
      <w:r w:rsidR="00B261FF">
        <w:rPr>
          <w:rFonts w:ascii="Times New Roman" w:hAnsi="Times New Roman" w:cs="Times New Roman"/>
          <w:sz w:val="24"/>
          <w:szCs w:val="24"/>
        </w:rPr>
        <w:t>án</w:t>
      </w:r>
      <w:r w:rsidRPr="00026D3E">
        <w:rPr>
          <w:rFonts w:ascii="Times New Roman" w:hAnsi="Times New Roman" w:cs="Times New Roman"/>
          <w:sz w:val="24"/>
          <w:szCs w:val="24"/>
        </w:rPr>
        <w:t xml:space="preserve"> zdvojnásobit vojenské síly pěchoty, letectva a námořnictva. (Karsh 1987:10) </w:t>
      </w:r>
      <w:r w:rsidR="003F6AA4">
        <w:rPr>
          <w:rFonts w:ascii="Times New Roman" w:hAnsi="Times New Roman" w:cs="Times New Roman"/>
          <w:sz w:val="24"/>
          <w:szCs w:val="24"/>
        </w:rPr>
        <w:t>V letech</w:t>
      </w:r>
      <w:r w:rsidRPr="00026D3E">
        <w:rPr>
          <w:rFonts w:ascii="Times New Roman" w:hAnsi="Times New Roman" w:cs="Times New Roman"/>
          <w:sz w:val="24"/>
          <w:szCs w:val="24"/>
        </w:rPr>
        <w:t xml:space="preserve"> 1975-1977 </w:t>
      </w:r>
      <w:r w:rsidR="00B261FF">
        <w:rPr>
          <w:rFonts w:ascii="Times New Roman" w:hAnsi="Times New Roman" w:cs="Times New Roman"/>
          <w:sz w:val="24"/>
          <w:szCs w:val="24"/>
        </w:rPr>
        <w:t xml:space="preserve">pozorujeme ostrý kontrast </w:t>
      </w:r>
      <w:r w:rsidRPr="00026D3E">
        <w:rPr>
          <w:rFonts w:ascii="Times New Roman" w:hAnsi="Times New Roman" w:cs="Times New Roman"/>
          <w:sz w:val="24"/>
          <w:szCs w:val="24"/>
        </w:rPr>
        <w:t xml:space="preserve">mezi masivním dovozem zbraní do Íránu a nízkým dovozem do Iráku. Po roce 1977 však začal dovoz zbraní do Íránu klesat. V roce 1978 se jeho hodnota snížila o téměř dvě miliardy amerických dolarů, avšak stále byla zhruba dvojnásobně vyšší než v případě Iráku a zhruba čtyřnásobně vyšší než v Sýrii. Zásadním zlomem se stal rok 1979, kdy hodnota dovozu zbraní v Íránu téměř sedminásobně klesla oproti předchozímu roku. Důvodem byla revoluce v Íránu, která </w:t>
      </w:r>
      <w:r w:rsidRPr="00026D3E">
        <w:rPr>
          <w:rFonts w:ascii="Times New Roman" w:hAnsi="Times New Roman" w:cs="Times New Roman"/>
          <w:sz w:val="24"/>
          <w:szCs w:val="24"/>
        </w:rPr>
        <w:lastRenderedPageBreak/>
        <w:t>odstranila šáha. Novým vůdcem Íránu se stal Chomejní, k</w:t>
      </w:r>
      <w:r w:rsidR="0083060A" w:rsidRPr="00026D3E">
        <w:rPr>
          <w:rFonts w:ascii="Times New Roman" w:hAnsi="Times New Roman" w:cs="Times New Roman"/>
          <w:sz w:val="24"/>
          <w:szCs w:val="24"/>
        </w:rPr>
        <w:t xml:space="preserve">terý zaujal nepřátelský postoj </w:t>
      </w:r>
      <w:r w:rsidRPr="00026D3E">
        <w:rPr>
          <w:rFonts w:ascii="Times New Roman" w:hAnsi="Times New Roman" w:cs="Times New Roman"/>
          <w:sz w:val="24"/>
          <w:szCs w:val="24"/>
        </w:rPr>
        <w:t xml:space="preserve">vůči hlavnímu dovozci zbraní, Spojeným státům. V tomto postoji setrval i následující léta ve sledovaném období. </w:t>
      </w:r>
    </w:p>
    <w:p w:rsidR="003E213E" w:rsidRPr="00026D3E" w:rsidRDefault="003E213E" w:rsidP="0057767C">
      <w:pPr>
        <w:spacing w:line="360" w:lineRule="auto"/>
        <w:ind w:firstLine="708"/>
        <w:jc w:val="both"/>
        <w:rPr>
          <w:rFonts w:ascii="Times New Roman" w:hAnsi="Times New Roman" w:cs="Times New Roman"/>
          <w:sz w:val="24"/>
          <w:szCs w:val="24"/>
        </w:rPr>
      </w:pPr>
      <w:r w:rsidRPr="00026D3E">
        <w:rPr>
          <w:rFonts w:ascii="Times New Roman" w:hAnsi="Times New Roman" w:cs="Times New Roman"/>
          <w:sz w:val="24"/>
          <w:szCs w:val="24"/>
        </w:rPr>
        <w:t>V případě Iráku pozorujeme v letech 1975-1977 nízký dovoz zbraní v porovnání s Íránem. Saddám Husajn měl v této době málo prostoru pro rozvoj zbrojního průmyslu, pozornost věnoval především upevnění svého postavení a zklidňování domácí scény po dramatických bojíc</w:t>
      </w:r>
      <w:r w:rsidR="00DA105B">
        <w:rPr>
          <w:rFonts w:ascii="Times New Roman" w:hAnsi="Times New Roman" w:cs="Times New Roman"/>
          <w:sz w:val="24"/>
          <w:szCs w:val="24"/>
        </w:rPr>
        <w:t>h s </w:t>
      </w:r>
      <w:r w:rsidR="00B261FF">
        <w:rPr>
          <w:rFonts w:ascii="Times New Roman" w:hAnsi="Times New Roman" w:cs="Times New Roman"/>
          <w:sz w:val="24"/>
          <w:szCs w:val="24"/>
        </w:rPr>
        <w:t>k</w:t>
      </w:r>
      <w:r w:rsidR="00DA105B">
        <w:rPr>
          <w:rFonts w:ascii="Times New Roman" w:hAnsi="Times New Roman" w:cs="Times New Roman"/>
          <w:sz w:val="24"/>
          <w:szCs w:val="24"/>
        </w:rPr>
        <w:t>urdskými povstalci a šáhem</w:t>
      </w:r>
      <w:r w:rsidRPr="00026D3E">
        <w:rPr>
          <w:rFonts w:ascii="Times New Roman" w:hAnsi="Times New Roman" w:cs="Times New Roman"/>
          <w:sz w:val="24"/>
          <w:szCs w:val="24"/>
        </w:rPr>
        <w:t xml:space="preserve">.(Karsh 1987:10) </w:t>
      </w:r>
      <w:r w:rsidR="00DA105B">
        <w:rPr>
          <w:rFonts w:ascii="Times New Roman" w:hAnsi="Times New Roman" w:cs="Times New Roman"/>
          <w:sz w:val="24"/>
          <w:szCs w:val="24"/>
        </w:rPr>
        <w:t>Svou pozornost začal obracet na zvýšení dovozu v roce 1977</w:t>
      </w:r>
      <w:r w:rsidRPr="00026D3E">
        <w:rPr>
          <w:rFonts w:ascii="Times New Roman" w:hAnsi="Times New Roman" w:cs="Times New Roman"/>
          <w:sz w:val="24"/>
          <w:szCs w:val="24"/>
        </w:rPr>
        <w:t>. Od roku 1979 již zaznamenáváme jeho rapidní růst, neboť Saddám zintenzivnil budování armády. Mezi Saddámovým příchodem k moci v červenci 1979 a invazí do Íránu v září 1980, tedy v době počáteční</w:t>
      </w:r>
      <w:r w:rsidR="007367D2" w:rsidRPr="00026D3E">
        <w:rPr>
          <w:rFonts w:ascii="Times New Roman" w:hAnsi="Times New Roman" w:cs="Times New Roman"/>
          <w:sz w:val="24"/>
          <w:szCs w:val="24"/>
        </w:rPr>
        <w:t xml:space="preserve"> fáze vzniku aliance, </w:t>
      </w:r>
      <w:r w:rsidRPr="00026D3E">
        <w:rPr>
          <w:rFonts w:ascii="Times New Roman" w:hAnsi="Times New Roman" w:cs="Times New Roman"/>
          <w:sz w:val="24"/>
          <w:szCs w:val="24"/>
        </w:rPr>
        <w:t>byla irácká pozemní armáda zvětšena o přibližně 800 tanků, 600 obrněných transportérů a asi 100 děl, většinou samohybných.  Tato výzbroj umožnila armádě, aby zvýšila bojovou sestavu z 10 na 12 divizí. Irácké letectvo se v tomto období tolik nezvětšilo, pokud nepo</w:t>
      </w:r>
      <w:r w:rsidR="008245A4" w:rsidRPr="00026D3E">
        <w:rPr>
          <w:rFonts w:ascii="Times New Roman" w:hAnsi="Times New Roman" w:cs="Times New Roman"/>
          <w:sz w:val="24"/>
          <w:szCs w:val="24"/>
        </w:rPr>
        <w:t xml:space="preserve">čítáme nákup 40 helikoptér, </w:t>
      </w:r>
      <w:r w:rsidRPr="00026D3E">
        <w:rPr>
          <w:rFonts w:ascii="Times New Roman" w:hAnsi="Times New Roman" w:cs="Times New Roman"/>
          <w:sz w:val="24"/>
          <w:szCs w:val="24"/>
        </w:rPr>
        <w:t>byla</w:t>
      </w:r>
      <w:r w:rsidR="008245A4" w:rsidRPr="00026D3E">
        <w:rPr>
          <w:rFonts w:ascii="Times New Roman" w:hAnsi="Times New Roman" w:cs="Times New Roman"/>
          <w:sz w:val="24"/>
          <w:szCs w:val="24"/>
        </w:rPr>
        <w:t xml:space="preserve"> však</w:t>
      </w:r>
      <w:r w:rsidRPr="00026D3E">
        <w:rPr>
          <w:rFonts w:ascii="Times New Roman" w:hAnsi="Times New Roman" w:cs="Times New Roman"/>
          <w:sz w:val="24"/>
          <w:szCs w:val="24"/>
        </w:rPr>
        <w:t xml:space="preserve"> urychlena jeho modernizace. (Karsh 1987:12)</w:t>
      </w:r>
      <w:r w:rsidR="008A422A">
        <w:rPr>
          <w:rFonts w:ascii="Times New Roman" w:hAnsi="Times New Roman" w:cs="Times New Roman"/>
          <w:sz w:val="24"/>
          <w:szCs w:val="24"/>
        </w:rPr>
        <w:t xml:space="preserve"> </w:t>
      </w:r>
      <w:r w:rsidRPr="00026D3E">
        <w:rPr>
          <w:rFonts w:ascii="Times New Roman" w:hAnsi="Times New Roman" w:cs="Times New Roman"/>
          <w:sz w:val="24"/>
          <w:szCs w:val="24"/>
        </w:rPr>
        <w:t xml:space="preserve">Na počátku irácko – íránské války byl Irák největším dovozcem ze všech tří států a již v době formování </w:t>
      </w:r>
      <w:r w:rsidR="00F95CB3">
        <w:rPr>
          <w:rFonts w:ascii="Times New Roman" w:hAnsi="Times New Roman" w:cs="Times New Roman"/>
          <w:sz w:val="24"/>
          <w:szCs w:val="24"/>
        </w:rPr>
        <w:t>syrsko – í</w:t>
      </w:r>
      <w:r w:rsidRPr="00026D3E">
        <w:rPr>
          <w:rFonts w:ascii="Times New Roman" w:hAnsi="Times New Roman" w:cs="Times New Roman"/>
          <w:sz w:val="24"/>
          <w:szCs w:val="24"/>
        </w:rPr>
        <w:t>ránské aliance v letech 1980 – 1982 převýšil jejich společnou hodnotu. Na</w:t>
      </w:r>
      <w:r w:rsidR="00F95CB3">
        <w:rPr>
          <w:rFonts w:ascii="Times New Roman" w:hAnsi="Times New Roman" w:cs="Times New Roman"/>
          <w:sz w:val="24"/>
          <w:szCs w:val="24"/>
        </w:rPr>
        <w:t xml:space="preserve"> tento graf je třeba upozornit </w:t>
      </w:r>
      <w:r w:rsidRPr="00026D3E">
        <w:rPr>
          <w:rFonts w:ascii="Times New Roman" w:hAnsi="Times New Roman" w:cs="Times New Roman"/>
          <w:sz w:val="24"/>
          <w:szCs w:val="24"/>
        </w:rPr>
        <w:t>v  souvislosti se zlomovým rokem 1980, kdy se přestal vyvíjet poměr celkové moci Iráku oproti Sýrii s Íránem v jeho prospěch a kdy vznikala aliance</w:t>
      </w:r>
      <w:r w:rsidR="007367D2" w:rsidRPr="00026D3E">
        <w:rPr>
          <w:rFonts w:ascii="Times New Roman" w:hAnsi="Times New Roman" w:cs="Times New Roman"/>
          <w:sz w:val="24"/>
          <w:szCs w:val="24"/>
        </w:rPr>
        <w:t xml:space="preserve">. </w:t>
      </w:r>
      <w:r w:rsidRPr="00026D3E">
        <w:rPr>
          <w:rFonts w:ascii="Times New Roman" w:hAnsi="Times New Roman" w:cs="Times New Roman"/>
          <w:sz w:val="24"/>
          <w:szCs w:val="24"/>
        </w:rPr>
        <w:t xml:space="preserve">Jak uvádí Karsh (Karsh 1987:13), z čistě vojenského hlediska nemohla být </w:t>
      </w:r>
      <w:r w:rsidR="00CE4652" w:rsidRPr="00026D3E">
        <w:rPr>
          <w:rFonts w:ascii="Times New Roman" w:hAnsi="Times New Roman" w:cs="Times New Roman"/>
          <w:sz w:val="24"/>
          <w:szCs w:val="24"/>
        </w:rPr>
        <w:t>irácká</w:t>
      </w:r>
      <w:r w:rsidRPr="00026D3E">
        <w:rPr>
          <w:rFonts w:ascii="Times New Roman" w:hAnsi="Times New Roman" w:cs="Times New Roman"/>
          <w:sz w:val="24"/>
          <w:szCs w:val="24"/>
        </w:rPr>
        <w:t xml:space="preserve"> invaze v roce 1980 načasována lépe. </w:t>
      </w:r>
    </w:p>
    <w:p w:rsidR="003E213E" w:rsidRDefault="003E213E" w:rsidP="0057767C">
      <w:pPr>
        <w:spacing w:line="360" w:lineRule="auto"/>
        <w:ind w:firstLine="708"/>
        <w:jc w:val="both"/>
        <w:rPr>
          <w:rFonts w:ascii="Times New Roman" w:hAnsi="Times New Roman" w:cs="Times New Roman"/>
          <w:sz w:val="24"/>
          <w:szCs w:val="24"/>
        </w:rPr>
      </w:pPr>
      <w:r w:rsidRPr="00026D3E">
        <w:rPr>
          <w:rFonts w:ascii="Times New Roman" w:hAnsi="Times New Roman" w:cs="Times New Roman"/>
          <w:sz w:val="24"/>
          <w:szCs w:val="24"/>
        </w:rPr>
        <w:t xml:space="preserve">Je tedy závěrem třeba upozornit na dvě věci. Za </w:t>
      </w:r>
      <w:r w:rsidR="007367D2" w:rsidRPr="00026D3E">
        <w:rPr>
          <w:rFonts w:ascii="Times New Roman" w:hAnsi="Times New Roman" w:cs="Times New Roman"/>
          <w:sz w:val="24"/>
          <w:szCs w:val="24"/>
        </w:rPr>
        <w:t xml:space="preserve">prvé, ofensivní kapacita Iráku </w:t>
      </w:r>
      <w:r w:rsidRPr="00026D3E">
        <w:rPr>
          <w:rFonts w:ascii="Times New Roman" w:hAnsi="Times New Roman" w:cs="Times New Roman"/>
          <w:sz w:val="24"/>
          <w:szCs w:val="24"/>
        </w:rPr>
        <w:t xml:space="preserve">převážila ve sledovaném období poprvé ve prospěch Iráku právě v roce 1980. Naproti tomu však nelze z grafu vypozorovat jakoukoliv reakci Sýrie a Íránu v oblasti dovozu zbraní. Jejich hodnota zůstala přibližně stejná či v případě Sýrie dokonce klesla. </w:t>
      </w:r>
      <w:r w:rsidR="00C564CE" w:rsidRPr="00026D3E">
        <w:rPr>
          <w:rFonts w:ascii="Times New Roman" w:hAnsi="Times New Roman" w:cs="Times New Roman"/>
          <w:sz w:val="24"/>
          <w:szCs w:val="24"/>
        </w:rPr>
        <w:t xml:space="preserve">Autor tedy prokázal </w:t>
      </w:r>
      <w:r w:rsidRPr="00026D3E">
        <w:rPr>
          <w:rFonts w:ascii="Times New Roman" w:hAnsi="Times New Roman" w:cs="Times New Roman"/>
          <w:sz w:val="24"/>
          <w:szCs w:val="24"/>
        </w:rPr>
        <w:t xml:space="preserve">vyšší ofensivní kapacitu Iráku než li v případě Sýrie či Íránu, </w:t>
      </w:r>
      <w:r w:rsidR="00C564CE" w:rsidRPr="00026D3E">
        <w:rPr>
          <w:rFonts w:ascii="Times New Roman" w:hAnsi="Times New Roman" w:cs="Times New Roman"/>
          <w:sz w:val="24"/>
          <w:szCs w:val="24"/>
        </w:rPr>
        <w:t>avšak nepodařilo se mu prokázat</w:t>
      </w:r>
      <w:r w:rsidRPr="00026D3E">
        <w:rPr>
          <w:rFonts w:ascii="Times New Roman" w:hAnsi="Times New Roman" w:cs="Times New Roman"/>
          <w:sz w:val="24"/>
          <w:szCs w:val="24"/>
        </w:rPr>
        <w:t xml:space="preserve">, že se v tomto ohledu cítila Sýrie či Írán nějak ohrožena. Trend dovozu zbraní v letech 1978-1981 je v Sýrii a Iráku zcela opačný a logice hrozby neodpovídá. Jednoznačné stanovisko, zda představoval pro oba státy Irák hrozbu z pohledu ofensivní kapacity jako nezávisle proměnné, z této kapitoly nevyplývá. Důkladné zkoumání této proměnné vyžaduje podstatně širší prostor, než jakým je tato práce vymezena. </w:t>
      </w:r>
    </w:p>
    <w:p w:rsidR="0057767C" w:rsidRPr="00026D3E" w:rsidRDefault="0057767C" w:rsidP="0057767C">
      <w:pPr>
        <w:spacing w:line="360" w:lineRule="auto"/>
        <w:ind w:firstLine="708"/>
        <w:jc w:val="both"/>
        <w:rPr>
          <w:rFonts w:ascii="Times New Roman" w:hAnsi="Times New Roman" w:cs="Times New Roman"/>
          <w:sz w:val="24"/>
          <w:szCs w:val="24"/>
        </w:rPr>
      </w:pPr>
    </w:p>
    <w:p w:rsidR="00D41107" w:rsidRPr="00026D3E" w:rsidRDefault="00D41107" w:rsidP="00AD25AC">
      <w:pPr>
        <w:pStyle w:val="Nadpis1"/>
      </w:pPr>
      <w:bookmarkStart w:id="13" w:name="_Toc354703587"/>
      <w:r w:rsidRPr="00026D3E">
        <w:lastRenderedPageBreak/>
        <w:t>6. Agresivní úmysly Iráku</w:t>
      </w:r>
      <w:bookmarkEnd w:id="13"/>
    </w:p>
    <w:p w:rsidR="00D41107" w:rsidRPr="00026D3E" w:rsidRDefault="00D41107" w:rsidP="00BE31C7">
      <w:pPr>
        <w:spacing w:line="360" w:lineRule="auto"/>
        <w:ind w:firstLine="708"/>
        <w:jc w:val="both"/>
        <w:rPr>
          <w:rFonts w:ascii="Times New Roman" w:hAnsi="Times New Roman" w:cs="Times New Roman"/>
          <w:sz w:val="24"/>
          <w:szCs w:val="24"/>
        </w:rPr>
      </w:pPr>
      <w:r w:rsidRPr="00026D3E">
        <w:rPr>
          <w:rFonts w:ascii="Times New Roman" w:hAnsi="Times New Roman" w:cs="Times New Roman"/>
          <w:sz w:val="24"/>
          <w:szCs w:val="24"/>
        </w:rPr>
        <w:t xml:space="preserve">Prokázat přítomnost proměnné agresivních úmyslů v případě Iráku je úkolem zdaleka nejnáročnějším. Náročné je za prvé zkoumat </w:t>
      </w:r>
      <w:r w:rsidR="00597863" w:rsidRPr="00026D3E">
        <w:rPr>
          <w:rFonts w:ascii="Times New Roman" w:hAnsi="Times New Roman" w:cs="Times New Roman"/>
          <w:sz w:val="24"/>
          <w:szCs w:val="24"/>
        </w:rPr>
        <w:t>tento faktor</w:t>
      </w:r>
      <w:r w:rsidRPr="00026D3E">
        <w:rPr>
          <w:rFonts w:ascii="Times New Roman" w:hAnsi="Times New Roman" w:cs="Times New Roman"/>
          <w:sz w:val="24"/>
          <w:szCs w:val="24"/>
        </w:rPr>
        <w:t xml:space="preserve"> odděleně od faktoru zeměpisné blízkosti, který je s</w:t>
      </w:r>
      <w:r w:rsidR="003E1BD9" w:rsidRPr="00026D3E">
        <w:rPr>
          <w:rFonts w:ascii="Times New Roman" w:hAnsi="Times New Roman" w:cs="Times New Roman"/>
          <w:sz w:val="24"/>
          <w:szCs w:val="24"/>
        </w:rPr>
        <w:t xml:space="preserve"> ním úzce propojen.  Za druhé, </w:t>
      </w:r>
      <w:r w:rsidRPr="00026D3E">
        <w:rPr>
          <w:rFonts w:ascii="Times New Roman" w:hAnsi="Times New Roman" w:cs="Times New Roman"/>
          <w:sz w:val="24"/>
          <w:szCs w:val="24"/>
        </w:rPr>
        <w:t xml:space="preserve">je otázkou, jakou podobu musí mít úmysly státu (Iráku), aby se daly označit za agresivní. </w:t>
      </w:r>
      <w:r w:rsidR="00B91122" w:rsidRPr="00026D3E">
        <w:rPr>
          <w:rFonts w:ascii="Times New Roman" w:hAnsi="Times New Roman" w:cs="Times New Roman"/>
          <w:sz w:val="24"/>
          <w:szCs w:val="24"/>
        </w:rPr>
        <w:t>Jakým způsobem by se</w:t>
      </w:r>
      <w:r w:rsidR="00E579E3">
        <w:rPr>
          <w:rFonts w:ascii="Times New Roman" w:hAnsi="Times New Roman" w:cs="Times New Roman"/>
          <w:sz w:val="24"/>
          <w:szCs w:val="24"/>
        </w:rPr>
        <w:t xml:space="preserve"> dala míra agrese kvantifikovat</w:t>
      </w:r>
      <w:r w:rsidR="00B91122" w:rsidRPr="00026D3E">
        <w:rPr>
          <w:rFonts w:ascii="Times New Roman" w:hAnsi="Times New Roman" w:cs="Times New Roman"/>
          <w:sz w:val="24"/>
          <w:szCs w:val="24"/>
        </w:rPr>
        <w:t>?</w:t>
      </w:r>
      <w:r w:rsidR="00E579E3">
        <w:rPr>
          <w:rFonts w:ascii="Times New Roman" w:hAnsi="Times New Roman" w:cs="Times New Roman"/>
          <w:sz w:val="24"/>
          <w:szCs w:val="24"/>
        </w:rPr>
        <w:t xml:space="preserve"> </w:t>
      </w:r>
      <w:r w:rsidRPr="00026D3E">
        <w:rPr>
          <w:rFonts w:ascii="Times New Roman" w:hAnsi="Times New Roman" w:cs="Times New Roman"/>
          <w:sz w:val="24"/>
          <w:szCs w:val="24"/>
        </w:rPr>
        <w:t xml:space="preserve">Situaci dále komplikuje fakt, že státy na </w:t>
      </w:r>
      <w:r w:rsidR="00E579E3">
        <w:rPr>
          <w:rFonts w:ascii="Times New Roman" w:hAnsi="Times New Roman" w:cs="Times New Roman"/>
          <w:sz w:val="24"/>
          <w:szCs w:val="24"/>
        </w:rPr>
        <w:t>B</w:t>
      </w:r>
      <w:r w:rsidRPr="00026D3E">
        <w:rPr>
          <w:rFonts w:ascii="Times New Roman" w:hAnsi="Times New Roman" w:cs="Times New Roman"/>
          <w:sz w:val="24"/>
          <w:szCs w:val="24"/>
        </w:rPr>
        <w:t xml:space="preserve">lízkém východu často používají agresivní rétoriku vůči ostatním, jež je jakousi specifičností tohoto regionu. Komplexnosti tohoto úkolu pak </w:t>
      </w:r>
      <w:r w:rsidR="00622BE9">
        <w:rPr>
          <w:rFonts w:ascii="Times New Roman" w:hAnsi="Times New Roman" w:cs="Times New Roman"/>
          <w:sz w:val="24"/>
          <w:szCs w:val="24"/>
        </w:rPr>
        <w:t>dominuje</w:t>
      </w:r>
      <w:r w:rsidRPr="00026D3E">
        <w:rPr>
          <w:rFonts w:ascii="Times New Roman" w:hAnsi="Times New Roman" w:cs="Times New Roman"/>
          <w:sz w:val="24"/>
          <w:szCs w:val="24"/>
        </w:rPr>
        <w:t xml:space="preserve"> postava Saddáma Husajna. Zdánlivě by </w:t>
      </w:r>
      <w:r w:rsidR="003E1BD9" w:rsidRPr="00026D3E">
        <w:rPr>
          <w:rFonts w:ascii="Times New Roman" w:hAnsi="Times New Roman" w:cs="Times New Roman"/>
          <w:sz w:val="24"/>
          <w:szCs w:val="24"/>
        </w:rPr>
        <w:t xml:space="preserve">mohl být </w:t>
      </w:r>
      <w:r w:rsidRPr="00026D3E">
        <w:rPr>
          <w:rFonts w:ascii="Times New Roman" w:hAnsi="Times New Roman" w:cs="Times New Roman"/>
          <w:sz w:val="24"/>
          <w:szCs w:val="24"/>
        </w:rPr>
        <w:t xml:space="preserve">tento úkol jednodušší, pokud všechny klíčové oblasti politiky státu ovládá jeden subjekt (Husajn), u kterého se dají zkoumat agresivní úmysly. Potíž je však v tom, že Saddám Husajn byla osoba značně komplikovaná a porozumět jí dostatečně na to, aby se daly u ní hledat agresivní úmysly, znamená provést velice důkladnou analýzu její politické praxe stejně jako psychologického profilu. </w:t>
      </w:r>
    </w:p>
    <w:p w:rsidR="00D41107" w:rsidRPr="00026D3E" w:rsidRDefault="00D41107" w:rsidP="00BE31C7">
      <w:pPr>
        <w:spacing w:line="360" w:lineRule="auto"/>
        <w:ind w:firstLine="708"/>
        <w:jc w:val="both"/>
        <w:rPr>
          <w:rFonts w:ascii="Times New Roman" w:hAnsi="Times New Roman" w:cs="Times New Roman"/>
          <w:sz w:val="24"/>
          <w:szCs w:val="24"/>
        </w:rPr>
      </w:pPr>
      <w:r w:rsidRPr="00026D3E">
        <w:rPr>
          <w:rFonts w:ascii="Times New Roman" w:hAnsi="Times New Roman" w:cs="Times New Roman"/>
          <w:sz w:val="24"/>
          <w:szCs w:val="24"/>
        </w:rPr>
        <w:t xml:space="preserve">Nakolik rozsáhlou analýzu vyžaduje proměnná zeměpisné blízkosti, proměnná agresivních úmyslů, zvláště pak Saddáma Husajna, vyžaduje mnohem důkladnější pozornost. Je naprosto nezbytné </w:t>
      </w:r>
      <w:r w:rsidR="00647F2F">
        <w:rPr>
          <w:rFonts w:ascii="Times New Roman" w:hAnsi="Times New Roman" w:cs="Times New Roman"/>
          <w:sz w:val="24"/>
          <w:szCs w:val="24"/>
        </w:rPr>
        <w:t>obezřetné</w:t>
      </w:r>
      <w:r w:rsidRPr="00026D3E">
        <w:rPr>
          <w:rFonts w:ascii="Times New Roman" w:hAnsi="Times New Roman" w:cs="Times New Roman"/>
          <w:sz w:val="24"/>
          <w:szCs w:val="24"/>
        </w:rPr>
        <w:t xml:space="preserve"> zacházení s početným množstv</w:t>
      </w:r>
      <w:r w:rsidR="00647F2F">
        <w:rPr>
          <w:rFonts w:ascii="Times New Roman" w:hAnsi="Times New Roman" w:cs="Times New Roman"/>
          <w:sz w:val="24"/>
          <w:szCs w:val="24"/>
        </w:rPr>
        <w:t>ím zdrojů, především Saddámovými rozhovory</w:t>
      </w:r>
      <w:r w:rsidRPr="00026D3E">
        <w:rPr>
          <w:rFonts w:ascii="Times New Roman" w:hAnsi="Times New Roman" w:cs="Times New Roman"/>
          <w:sz w:val="24"/>
          <w:szCs w:val="24"/>
        </w:rPr>
        <w:t>, prohlášení</w:t>
      </w:r>
      <w:r w:rsidR="00647F2F">
        <w:rPr>
          <w:rFonts w:ascii="Times New Roman" w:hAnsi="Times New Roman" w:cs="Times New Roman"/>
          <w:sz w:val="24"/>
          <w:szCs w:val="24"/>
        </w:rPr>
        <w:t>mi</w:t>
      </w:r>
      <w:r w:rsidRPr="00026D3E">
        <w:rPr>
          <w:rFonts w:ascii="Times New Roman" w:hAnsi="Times New Roman" w:cs="Times New Roman"/>
          <w:sz w:val="24"/>
          <w:szCs w:val="24"/>
        </w:rPr>
        <w:t xml:space="preserve"> a jeho bio</w:t>
      </w:r>
      <w:r w:rsidR="00647F2F">
        <w:rPr>
          <w:rFonts w:ascii="Times New Roman" w:hAnsi="Times New Roman" w:cs="Times New Roman"/>
          <w:sz w:val="24"/>
          <w:szCs w:val="24"/>
        </w:rPr>
        <w:t>grafiemi (případně publikacemi</w:t>
      </w:r>
      <w:r w:rsidRPr="00026D3E">
        <w:rPr>
          <w:rFonts w:ascii="Times New Roman" w:hAnsi="Times New Roman" w:cs="Times New Roman"/>
          <w:sz w:val="24"/>
          <w:szCs w:val="24"/>
        </w:rPr>
        <w:t xml:space="preserve"> typu The Saddam Tapes</w:t>
      </w:r>
      <w:r w:rsidR="00647F2F">
        <w:rPr>
          <w:rFonts w:ascii="Times New Roman" w:hAnsi="Times New Roman" w:cs="Times New Roman"/>
          <w:sz w:val="24"/>
          <w:szCs w:val="24"/>
        </w:rPr>
        <w:t xml:space="preserve">) </w:t>
      </w:r>
      <w:r w:rsidRPr="00026D3E">
        <w:rPr>
          <w:rFonts w:ascii="Times New Roman" w:hAnsi="Times New Roman" w:cs="Times New Roman"/>
          <w:sz w:val="24"/>
          <w:szCs w:val="24"/>
        </w:rPr>
        <w:t>pro skutečné vykreslení jeho postojů. Právě rozlišení Saddámovy osoby veřejné od osoby soukromé je v tomto případě klíčové. Pro tento účel budou zapotřebí především primární zdroje, které však autor nemá k dispozici. Neschopnost odhadnout jeho skutečné úmysly ani</w:t>
      </w:r>
      <w:r w:rsidR="00994ECE">
        <w:rPr>
          <w:rFonts w:ascii="Times New Roman" w:hAnsi="Times New Roman" w:cs="Times New Roman"/>
          <w:sz w:val="24"/>
          <w:szCs w:val="24"/>
        </w:rPr>
        <w:t xml:space="preserve"> mezi</w:t>
      </w:r>
      <w:r w:rsidRPr="00026D3E">
        <w:rPr>
          <w:rFonts w:ascii="Times New Roman" w:hAnsi="Times New Roman" w:cs="Times New Roman"/>
          <w:sz w:val="24"/>
          <w:szCs w:val="24"/>
        </w:rPr>
        <w:t xml:space="preserve"> jeho nejbližšími lze velice dobře (byť poněkud extrémně) demonstrovat na</w:t>
      </w:r>
      <w:r w:rsidR="00B34B1B" w:rsidRPr="00026D3E">
        <w:rPr>
          <w:rFonts w:ascii="Times New Roman" w:hAnsi="Times New Roman" w:cs="Times New Roman"/>
          <w:sz w:val="24"/>
          <w:szCs w:val="24"/>
        </w:rPr>
        <w:t xml:space="preserve"> dvou</w:t>
      </w:r>
      <w:r w:rsidRPr="00026D3E">
        <w:rPr>
          <w:rFonts w:ascii="Times New Roman" w:hAnsi="Times New Roman" w:cs="Times New Roman"/>
          <w:sz w:val="24"/>
          <w:szCs w:val="24"/>
        </w:rPr>
        <w:t xml:space="preserve"> příkladech</w:t>
      </w:r>
      <w:r w:rsidR="00B34B1B" w:rsidRPr="00026D3E">
        <w:rPr>
          <w:rFonts w:ascii="Times New Roman" w:hAnsi="Times New Roman" w:cs="Times New Roman"/>
          <w:sz w:val="24"/>
          <w:szCs w:val="24"/>
        </w:rPr>
        <w:t>:</w:t>
      </w:r>
      <w:r w:rsidRPr="00026D3E">
        <w:rPr>
          <w:rFonts w:ascii="Times New Roman" w:hAnsi="Times New Roman" w:cs="Times New Roman"/>
          <w:sz w:val="24"/>
          <w:szCs w:val="24"/>
        </w:rPr>
        <w:t xml:space="preserve"> jeho nevlastního bratra a někdejšího šéfa bezpečnosti Barzána al-Tikritího a jeho švagra a zároveň ministra obrany Adnana Khairalláha. Aniž by cokoli předem tušili, byli oba dva odstraněni ihned</w:t>
      </w:r>
      <w:r w:rsidR="003F4DDA">
        <w:rPr>
          <w:rFonts w:ascii="Times New Roman" w:hAnsi="Times New Roman" w:cs="Times New Roman"/>
          <w:sz w:val="24"/>
          <w:szCs w:val="24"/>
        </w:rPr>
        <w:t>,</w:t>
      </w:r>
      <w:r w:rsidRPr="00026D3E">
        <w:rPr>
          <w:rFonts w:ascii="Times New Roman" w:hAnsi="Times New Roman" w:cs="Times New Roman"/>
          <w:sz w:val="24"/>
          <w:szCs w:val="24"/>
        </w:rPr>
        <w:t xml:space="preserve"> jakmile je Saddám podezíral z vedlejších úmyslů (Barzána) či ho zastiňovala jejich popularita (případ Adnana). </w:t>
      </w:r>
    </w:p>
    <w:p w:rsidR="00D41107" w:rsidRPr="00026D3E" w:rsidRDefault="00D41107" w:rsidP="003F4DDA">
      <w:pPr>
        <w:spacing w:line="360" w:lineRule="auto"/>
        <w:ind w:firstLine="708"/>
        <w:jc w:val="both"/>
        <w:rPr>
          <w:rFonts w:ascii="Times New Roman" w:hAnsi="Times New Roman" w:cs="Times New Roman"/>
          <w:sz w:val="24"/>
          <w:szCs w:val="24"/>
        </w:rPr>
      </w:pPr>
      <w:r w:rsidRPr="00026D3E">
        <w:rPr>
          <w:rFonts w:ascii="Times New Roman" w:hAnsi="Times New Roman" w:cs="Times New Roman"/>
          <w:sz w:val="24"/>
          <w:szCs w:val="24"/>
        </w:rPr>
        <w:t xml:space="preserve">Tato práce však v důsledku svého omezeného rozsahu nemůže aspirovat na takovéto cíle, proto ponechává autor tuto kapitolu otevřenou. Tato proměnná vyžaduje komplexní přístup, který je lákavý pro práci širšího rozsahu, jakou je například práce diplomová. </w:t>
      </w:r>
    </w:p>
    <w:p w:rsidR="00D41107" w:rsidRPr="00026D3E" w:rsidRDefault="00D41107" w:rsidP="00D41107">
      <w:pPr>
        <w:rPr>
          <w:rFonts w:ascii="Times New Roman" w:hAnsi="Times New Roman" w:cs="Times New Roman"/>
          <w:sz w:val="24"/>
          <w:szCs w:val="24"/>
        </w:rPr>
      </w:pPr>
    </w:p>
    <w:p w:rsidR="00D41107" w:rsidRPr="00026D3E" w:rsidRDefault="00D41107" w:rsidP="00801A41">
      <w:pPr>
        <w:rPr>
          <w:rFonts w:ascii="Times New Roman" w:hAnsi="Times New Roman" w:cs="Times New Roman"/>
          <w:sz w:val="24"/>
          <w:szCs w:val="24"/>
        </w:rPr>
      </w:pPr>
    </w:p>
    <w:p w:rsidR="00D40092" w:rsidRPr="00026D3E" w:rsidRDefault="00D40092" w:rsidP="00794F84">
      <w:pPr>
        <w:spacing w:line="360" w:lineRule="auto"/>
        <w:jc w:val="both"/>
        <w:rPr>
          <w:rFonts w:ascii="Times New Roman" w:hAnsi="Times New Roman" w:cs="Times New Roman"/>
          <w:sz w:val="24"/>
          <w:szCs w:val="24"/>
        </w:rPr>
      </w:pPr>
    </w:p>
    <w:p w:rsidR="007F65D9" w:rsidRPr="00026D3E" w:rsidRDefault="007F65D9" w:rsidP="00AD25AC">
      <w:pPr>
        <w:pStyle w:val="Nadpis1"/>
      </w:pPr>
      <w:bookmarkStart w:id="14" w:name="_Toc354703588"/>
      <w:r w:rsidRPr="00026D3E">
        <w:lastRenderedPageBreak/>
        <w:t>Závěr</w:t>
      </w:r>
      <w:bookmarkEnd w:id="14"/>
    </w:p>
    <w:p w:rsidR="007F65D9" w:rsidRPr="00026D3E" w:rsidRDefault="007A4962" w:rsidP="008F298A">
      <w:pPr>
        <w:spacing w:line="360" w:lineRule="auto"/>
        <w:ind w:firstLine="708"/>
        <w:jc w:val="both"/>
        <w:rPr>
          <w:rFonts w:ascii="Times New Roman" w:hAnsi="Times New Roman" w:cs="Times New Roman"/>
          <w:sz w:val="24"/>
          <w:szCs w:val="24"/>
        </w:rPr>
      </w:pPr>
      <w:r w:rsidRPr="00026D3E">
        <w:rPr>
          <w:rFonts w:ascii="Times New Roman" w:hAnsi="Times New Roman" w:cs="Times New Roman"/>
          <w:sz w:val="24"/>
          <w:szCs w:val="24"/>
        </w:rPr>
        <w:t>Text měl</w:t>
      </w:r>
      <w:r w:rsidR="007F65D9" w:rsidRPr="00026D3E">
        <w:rPr>
          <w:rFonts w:ascii="Times New Roman" w:hAnsi="Times New Roman" w:cs="Times New Roman"/>
          <w:sz w:val="24"/>
          <w:szCs w:val="24"/>
        </w:rPr>
        <w:t xml:space="preserve"> za úkol zj</w:t>
      </w:r>
      <w:r w:rsidR="005903E9">
        <w:rPr>
          <w:rFonts w:ascii="Times New Roman" w:hAnsi="Times New Roman" w:cs="Times New Roman"/>
          <w:sz w:val="24"/>
          <w:szCs w:val="24"/>
        </w:rPr>
        <w:t>istit, zda lze vysvětlit vznik syrsko – í</w:t>
      </w:r>
      <w:r w:rsidR="007F65D9" w:rsidRPr="00026D3E">
        <w:rPr>
          <w:rFonts w:ascii="Times New Roman" w:hAnsi="Times New Roman" w:cs="Times New Roman"/>
          <w:sz w:val="24"/>
          <w:szCs w:val="24"/>
        </w:rPr>
        <w:t xml:space="preserve">ránské strategické aliance jako reakci na vnější hrozbu ze strany Iráku. Pomocným nástrojem měla být teorie rovnováhy hrozeb, která v obecné rovině předpovídá, že státy se budou spolčovat vždy proti vnější hrozbě. Aby mohl být stát považován za hrozbu, musí splňovat čtyři </w:t>
      </w:r>
      <w:r w:rsidR="00D20038" w:rsidRPr="00026D3E">
        <w:rPr>
          <w:rFonts w:ascii="Times New Roman" w:hAnsi="Times New Roman" w:cs="Times New Roman"/>
          <w:sz w:val="24"/>
          <w:szCs w:val="24"/>
        </w:rPr>
        <w:t>podmínky</w:t>
      </w:r>
      <w:r w:rsidR="007F65D9" w:rsidRPr="00026D3E">
        <w:rPr>
          <w:rFonts w:ascii="Times New Roman" w:hAnsi="Times New Roman" w:cs="Times New Roman"/>
          <w:sz w:val="24"/>
          <w:szCs w:val="24"/>
        </w:rPr>
        <w:t xml:space="preserve">, v tomto textu nezávisle proměnné. Autor pracoval s těmito proměnnými: celková moc, zeměpisná blízkost, ofensivní kapacita a agresivní úmysly. </w:t>
      </w:r>
    </w:p>
    <w:p w:rsidR="001E2C67" w:rsidRPr="00026D3E" w:rsidRDefault="007F65D9" w:rsidP="009916AD">
      <w:pPr>
        <w:spacing w:line="360" w:lineRule="auto"/>
        <w:ind w:firstLine="708"/>
        <w:jc w:val="both"/>
        <w:rPr>
          <w:rFonts w:ascii="Times New Roman" w:hAnsi="Times New Roman" w:cs="Times New Roman"/>
          <w:sz w:val="24"/>
          <w:szCs w:val="24"/>
        </w:rPr>
      </w:pPr>
      <w:r w:rsidRPr="00026D3E">
        <w:rPr>
          <w:rFonts w:ascii="Times New Roman" w:hAnsi="Times New Roman" w:cs="Times New Roman"/>
          <w:sz w:val="24"/>
          <w:szCs w:val="24"/>
        </w:rPr>
        <w:t xml:space="preserve">Autor provedl v druhé kapitole </w:t>
      </w:r>
      <w:r w:rsidR="005903E9">
        <w:rPr>
          <w:rFonts w:ascii="Times New Roman" w:hAnsi="Times New Roman" w:cs="Times New Roman"/>
          <w:sz w:val="24"/>
          <w:szCs w:val="24"/>
        </w:rPr>
        <w:t>analýzu</w:t>
      </w:r>
      <w:r w:rsidRPr="00026D3E">
        <w:rPr>
          <w:rFonts w:ascii="Times New Roman" w:hAnsi="Times New Roman" w:cs="Times New Roman"/>
          <w:sz w:val="24"/>
          <w:szCs w:val="24"/>
        </w:rPr>
        <w:t xml:space="preserve"> postavení obou států na poli mezinárodních vztahů p</w:t>
      </w:r>
      <w:r w:rsidR="005903E9">
        <w:rPr>
          <w:rFonts w:ascii="Times New Roman" w:hAnsi="Times New Roman" w:cs="Times New Roman"/>
          <w:sz w:val="24"/>
          <w:szCs w:val="24"/>
        </w:rPr>
        <w:t xml:space="preserve">řed a po odchodu šáha, aby tak </w:t>
      </w:r>
      <w:r w:rsidRPr="00026D3E">
        <w:rPr>
          <w:rFonts w:ascii="Times New Roman" w:hAnsi="Times New Roman" w:cs="Times New Roman"/>
          <w:sz w:val="24"/>
          <w:szCs w:val="24"/>
        </w:rPr>
        <w:t xml:space="preserve">získal přehled o průběhu formování aliance. Z diskuze vyplynulo, že ač formální vznik aliance je datován do počátku roku 1982, došlo k rapidnímu rozvoji vztahů ji ž v roce 1980 poté, co Sýrie jako </w:t>
      </w:r>
      <w:r w:rsidR="003978AA" w:rsidRPr="00026D3E">
        <w:rPr>
          <w:rFonts w:ascii="Times New Roman" w:hAnsi="Times New Roman" w:cs="Times New Roman"/>
          <w:sz w:val="24"/>
          <w:szCs w:val="24"/>
        </w:rPr>
        <w:t>jeden</w:t>
      </w:r>
      <w:r w:rsidR="00A34A4B" w:rsidRPr="00026D3E">
        <w:rPr>
          <w:rFonts w:ascii="Times New Roman" w:hAnsi="Times New Roman" w:cs="Times New Roman"/>
          <w:sz w:val="24"/>
          <w:szCs w:val="24"/>
        </w:rPr>
        <w:t xml:space="preserve"> z</w:t>
      </w:r>
      <w:r w:rsidR="003978AA" w:rsidRPr="00026D3E">
        <w:rPr>
          <w:rFonts w:ascii="Times New Roman" w:hAnsi="Times New Roman" w:cs="Times New Roman"/>
          <w:sz w:val="24"/>
          <w:szCs w:val="24"/>
        </w:rPr>
        <w:t> </w:t>
      </w:r>
      <w:r w:rsidR="00A34A4B" w:rsidRPr="00026D3E">
        <w:rPr>
          <w:rFonts w:ascii="Times New Roman" w:hAnsi="Times New Roman" w:cs="Times New Roman"/>
          <w:sz w:val="24"/>
          <w:szCs w:val="24"/>
        </w:rPr>
        <w:t>mála</w:t>
      </w:r>
      <w:r w:rsidR="003978AA" w:rsidRPr="00026D3E">
        <w:rPr>
          <w:rFonts w:ascii="Times New Roman" w:hAnsi="Times New Roman" w:cs="Times New Roman"/>
          <w:sz w:val="24"/>
          <w:szCs w:val="24"/>
        </w:rPr>
        <w:t xml:space="preserve"> států</w:t>
      </w:r>
      <w:r w:rsidR="00A34A4B" w:rsidRPr="00026D3E">
        <w:rPr>
          <w:rFonts w:ascii="Times New Roman" w:hAnsi="Times New Roman" w:cs="Times New Roman"/>
          <w:sz w:val="24"/>
          <w:szCs w:val="24"/>
        </w:rPr>
        <w:t xml:space="preserve"> pod</w:t>
      </w:r>
      <w:r w:rsidR="003978AA" w:rsidRPr="00026D3E">
        <w:rPr>
          <w:rFonts w:ascii="Times New Roman" w:hAnsi="Times New Roman" w:cs="Times New Roman"/>
          <w:sz w:val="24"/>
          <w:szCs w:val="24"/>
        </w:rPr>
        <w:t>pořil</w:t>
      </w:r>
      <w:r w:rsidR="00325AA6">
        <w:rPr>
          <w:rFonts w:ascii="Times New Roman" w:hAnsi="Times New Roman" w:cs="Times New Roman"/>
          <w:sz w:val="24"/>
          <w:szCs w:val="24"/>
        </w:rPr>
        <w:t>a</w:t>
      </w:r>
      <w:r w:rsidR="00A34A4B" w:rsidRPr="00026D3E">
        <w:rPr>
          <w:rFonts w:ascii="Times New Roman" w:hAnsi="Times New Roman" w:cs="Times New Roman"/>
          <w:sz w:val="24"/>
          <w:szCs w:val="24"/>
        </w:rPr>
        <w:t xml:space="preserve"> </w:t>
      </w:r>
      <w:r w:rsidRPr="00026D3E">
        <w:rPr>
          <w:rFonts w:ascii="Times New Roman" w:hAnsi="Times New Roman" w:cs="Times New Roman"/>
          <w:sz w:val="24"/>
          <w:szCs w:val="24"/>
        </w:rPr>
        <w:t>Írán p</w:t>
      </w:r>
      <w:r w:rsidR="003978AA" w:rsidRPr="00026D3E">
        <w:rPr>
          <w:rFonts w:ascii="Times New Roman" w:hAnsi="Times New Roman" w:cs="Times New Roman"/>
          <w:sz w:val="24"/>
          <w:szCs w:val="24"/>
        </w:rPr>
        <w:t>ři</w:t>
      </w:r>
      <w:r w:rsidRPr="00026D3E">
        <w:rPr>
          <w:rFonts w:ascii="Times New Roman" w:hAnsi="Times New Roman" w:cs="Times New Roman"/>
          <w:sz w:val="24"/>
          <w:szCs w:val="24"/>
        </w:rPr>
        <w:t xml:space="preserve"> </w:t>
      </w:r>
      <w:r w:rsidR="003978AA" w:rsidRPr="00026D3E">
        <w:rPr>
          <w:rFonts w:ascii="Times New Roman" w:hAnsi="Times New Roman" w:cs="Times New Roman"/>
          <w:sz w:val="24"/>
          <w:szCs w:val="24"/>
        </w:rPr>
        <w:t xml:space="preserve">irácké invazi. </w:t>
      </w:r>
      <w:r w:rsidRPr="00026D3E">
        <w:rPr>
          <w:rFonts w:ascii="Times New Roman" w:hAnsi="Times New Roman" w:cs="Times New Roman"/>
          <w:sz w:val="24"/>
          <w:szCs w:val="24"/>
        </w:rPr>
        <w:t xml:space="preserve">V této souvislosti </w:t>
      </w:r>
      <w:r w:rsidR="00A34A4B" w:rsidRPr="00026D3E">
        <w:rPr>
          <w:rFonts w:ascii="Times New Roman" w:hAnsi="Times New Roman" w:cs="Times New Roman"/>
          <w:sz w:val="24"/>
          <w:szCs w:val="24"/>
        </w:rPr>
        <w:t>autor</w:t>
      </w:r>
      <w:r w:rsidRPr="00026D3E">
        <w:rPr>
          <w:rFonts w:ascii="Times New Roman" w:hAnsi="Times New Roman" w:cs="Times New Roman"/>
          <w:sz w:val="24"/>
          <w:szCs w:val="24"/>
        </w:rPr>
        <w:t xml:space="preserve"> zjišťoval, zda u Iráku byly přítomny nezávisle proměnné, přičemž se zamě</w:t>
      </w:r>
      <w:r w:rsidR="007A4962" w:rsidRPr="00026D3E">
        <w:rPr>
          <w:rFonts w:ascii="Times New Roman" w:hAnsi="Times New Roman" w:cs="Times New Roman"/>
          <w:sz w:val="24"/>
          <w:szCs w:val="24"/>
        </w:rPr>
        <w:t>řil právě na rok 1980. V případě</w:t>
      </w:r>
      <w:r w:rsidRPr="00026D3E">
        <w:rPr>
          <w:rFonts w:ascii="Times New Roman" w:hAnsi="Times New Roman" w:cs="Times New Roman"/>
          <w:sz w:val="24"/>
          <w:szCs w:val="24"/>
        </w:rPr>
        <w:t xml:space="preserve"> první proměnné</w:t>
      </w:r>
      <w:r w:rsidR="009916AD">
        <w:rPr>
          <w:rFonts w:ascii="Times New Roman" w:hAnsi="Times New Roman" w:cs="Times New Roman"/>
          <w:sz w:val="24"/>
          <w:szCs w:val="24"/>
        </w:rPr>
        <w:t xml:space="preserve"> (třetí kapitola)</w:t>
      </w:r>
      <w:r w:rsidRPr="00026D3E">
        <w:rPr>
          <w:rFonts w:ascii="Times New Roman" w:hAnsi="Times New Roman" w:cs="Times New Roman"/>
          <w:sz w:val="24"/>
          <w:szCs w:val="24"/>
        </w:rPr>
        <w:t xml:space="preserve">, celkové moci státu, </w:t>
      </w:r>
      <w:r w:rsidR="00CE6A17" w:rsidRPr="00026D3E">
        <w:rPr>
          <w:rFonts w:ascii="Times New Roman" w:hAnsi="Times New Roman" w:cs="Times New Roman"/>
          <w:sz w:val="24"/>
          <w:szCs w:val="24"/>
        </w:rPr>
        <w:t>kopíroval</w:t>
      </w:r>
      <w:r w:rsidRPr="00026D3E">
        <w:rPr>
          <w:rFonts w:ascii="Times New Roman" w:hAnsi="Times New Roman" w:cs="Times New Roman"/>
          <w:sz w:val="24"/>
          <w:szCs w:val="24"/>
        </w:rPr>
        <w:t xml:space="preserve"> </w:t>
      </w:r>
      <w:r w:rsidR="00CE6A17" w:rsidRPr="00026D3E">
        <w:rPr>
          <w:rFonts w:ascii="Times New Roman" w:hAnsi="Times New Roman" w:cs="Times New Roman"/>
          <w:sz w:val="24"/>
          <w:szCs w:val="24"/>
        </w:rPr>
        <w:t>matematický výpočet</w:t>
      </w:r>
      <w:r w:rsidRPr="00026D3E">
        <w:rPr>
          <w:rFonts w:ascii="Times New Roman" w:hAnsi="Times New Roman" w:cs="Times New Roman"/>
          <w:sz w:val="24"/>
          <w:szCs w:val="24"/>
        </w:rPr>
        <w:t xml:space="preserve"> samotného Walta</w:t>
      </w:r>
      <w:r w:rsidR="00CE6A17" w:rsidRPr="00026D3E">
        <w:rPr>
          <w:rFonts w:ascii="Times New Roman" w:hAnsi="Times New Roman" w:cs="Times New Roman"/>
          <w:sz w:val="24"/>
          <w:szCs w:val="24"/>
        </w:rPr>
        <w:t xml:space="preserve">. </w:t>
      </w:r>
      <w:r w:rsidRPr="00026D3E">
        <w:rPr>
          <w:rFonts w:ascii="Times New Roman" w:hAnsi="Times New Roman" w:cs="Times New Roman"/>
          <w:sz w:val="24"/>
          <w:szCs w:val="24"/>
        </w:rPr>
        <w:t xml:space="preserve"> </w:t>
      </w:r>
      <w:r w:rsidR="005B646A">
        <w:rPr>
          <w:rFonts w:ascii="Times New Roman" w:hAnsi="Times New Roman" w:cs="Times New Roman"/>
          <w:sz w:val="24"/>
          <w:szCs w:val="24"/>
        </w:rPr>
        <w:t>Autor tak získal</w:t>
      </w:r>
      <w:r w:rsidR="00CE6A17" w:rsidRPr="00026D3E">
        <w:rPr>
          <w:rFonts w:ascii="Times New Roman" w:hAnsi="Times New Roman" w:cs="Times New Roman"/>
          <w:sz w:val="24"/>
          <w:szCs w:val="24"/>
        </w:rPr>
        <w:t xml:space="preserve"> poměr mezi celkovou mocí Sýrie a Íránu a celkovou mocí Iráku v každém roce období 1975-1985. Autor pozoroval trend, kdy se v období 1975-1980 zvyšovala celková moc Iráku oproti Sýrii a Íránu. V roce 1980 byl tento trend narušen a v období 1980-1985 se naopak zvyšovala celková moc Sýrie a Íránu oproti Iráku.   Onen zlomový rok 1980 považuje autor za počátek sbližování se Sýrie s Íránem. V důsledku tak potv</w:t>
      </w:r>
      <w:r w:rsidR="007A4962" w:rsidRPr="00026D3E">
        <w:rPr>
          <w:rFonts w:ascii="Times New Roman" w:hAnsi="Times New Roman" w:cs="Times New Roman"/>
          <w:sz w:val="24"/>
          <w:szCs w:val="24"/>
        </w:rPr>
        <w:t>rdil přítomnost proměnné celkové</w:t>
      </w:r>
      <w:r w:rsidR="00CE6A17" w:rsidRPr="00026D3E">
        <w:rPr>
          <w:rFonts w:ascii="Times New Roman" w:hAnsi="Times New Roman" w:cs="Times New Roman"/>
          <w:sz w:val="24"/>
          <w:szCs w:val="24"/>
        </w:rPr>
        <w:t xml:space="preserve"> moc</w:t>
      </w:r>
      <w:r w:rsidR="007A4962" w:rsidRPr="00026D3E">
        <w:rPr>
          <w:rFonts w:ascii="Times New Roman" w:hAnsi="Times New Roman" w:cs="Times New Roman"/>
          <w:sz w:val="24"/>
          <w:szCs w:val="24"/>
        </w:rPr>
        <w:t>i</w:t>
      </w:r>
      <w:r w:rsidR="00CE6A17" w:rsidRPr="00026D3E">
        <w:rPr>
          <w:rFonts w:ascii="Times New Roman" w:hAnsi="Times New Roman" w:cs="Times New Roman"/>
          <w:sz w:val="24"/>
          <w:szCs w:val="24"/>
        </w:rPr>
        <w:t xml:space="preserve"> u Iráku a chápe ji jako částečnou příčinu vzniku aliance. </w:t>
      </w:r>
      <w:r w:rsidR="00C367BC" w:rsidRPr="00026D3E">
        <w:rPr>
          <w:rFonts w:ascii="Times New Roman" w:hAnsi="Times New Roman" w:cs="Times New Roman"/>
          <w:sz w:val="24"/>
          <w:szCs w:val="24"/>
        </w:rPr>
        <w:t>V</w:t>
      </w:r>
      <w:r w:rsidR="009916AD">
        <w:rPr>
          <w:rFonts w:ascii="Times New Roman" w:hAnsi="Times New Roman" w:cs="Times New Roman"/>
          <w:sz w:val="24"/>
          <w:szCs w:val="24"/>
        </w:rPr>
        <w:t>e</w:t>
      </w:r>
      <w:r w:rsidR="00C367BC" w:rsidRPr="00026D3E">
        <w:rPr>
          <w:rFonts w:ascii="Times New Roman" w:hAnsi="Times New Roman" w:cs="Times New Roman"/>
          <w:sz w:val="24"/>
          <w:szCs w:val="24"/>
        </w:rPr>
        <w:t> </w:t>
      </w:r>
      <w:r w:rsidR="009916AD">
        <w:rPr>
          <w:rFonts w:ascii="Times New Roman" w:hAnsi="Times New Roman" w:cs="Times New Roman"/>
          <w:sz w:val="24"/>
          <w:szCs w:val="24"/>
        </w:rPr>
        <w:t>čtvrté</w:t>
      </w:r>
      <w:r w:rsidR="00C367BC" w:rsidRPr="00026D3E">
        <w:rPr>
          <w:rFonts w:ascii="Times New Roman" w:hAnsi="Times New Roman" w:cs="Times New Roman"/>
          <w:sz w:val="24"/>
          <w:szCs w:val="24"/>
        </w:rPr>
        <w:t xml:space="preserve"> kapitole sledoval vztahy </w:t>
      </w:r>
      <w:r w:rsidR="00A077B6" w:rsidRPr="00026D3E">
        <w:rPr>
          <w:rFonts w:ascii="Times New Roman" w:hAnsi="Times New Roman" w:cs="Times New Roman"/>
          <w:sz w:val="24"/>
          <w:szCs w:val="24"/>
        </w:rPr>
        <w:t>Iráku se Sýrií a Íránem z pohledu zeměpisné blízkosti. Bezprostřední iráckou</w:t>
      </w:r>
      <w:r w:rsidR="00827A2B" w:rsidRPr="00026D3E">
        <w:rPr>
          <w:rFonts w:ascii="Times New Roman" w:hAnsi="Times New Roman" w:cs="Times New Roman"/>
          <w:sz w:val="24"/>
          <w:szCs w:val="24"/>
        </w:rPr>
        <w:t xml:space="preserve"> hrozbu</w:t>
      </w:r>
      <w:r w:rsidR="00A077B6" w:rsidRPr="00026D3E">
        <w:rPr>
          <w:rFonts w:ascii="Times New Roman" w:hAnsi="Times New Roman" w:cs="Times New Roman"/>
          <w:sz w:val="24"/>
          <w:szCs w:val="24"/>
        </w:rPr>
        <w:t xml:space="preserve"> v roce 1980 byl schopen potvrdit ve vztazích Iráku s Íránem, nikoliv však ve vztazích Iráku se Sýrií. V komplexním zhodnocení tak nelze potvrdit přítomnost irácké hrozby z pohledu zeměpisné blízkosti</w:t>
      </w:r>
      <w:r w:rsidR="00827A2B" w:rsidRPr="00026D3E">
        <w:rPr>
          <w:rFonts w:ascii="Times New Roman" w:hAnsi="Times New Roman" w:cs="Times New Roman"/>
          <w:sz w:val="24"/>
          <w:szCs w:val="24"/>
        </w:rPr>
        <w:t xml:space="preserve">, neboť z pohledu této proměnné neměla Sýrie důvod k alianci s Íránem. </w:t>
      </w:r>
      <w:r w:rsidR="009916AD">
        <w:rPr>
          <w:rFonts w:ascii="Times New Roman" w:hAnsi="Times New Roman" w:cs="Times New Roman"/>
          <w:sz w:val="24"/>
          <w:szCs w:val="24"/>
        </w:rPr>
        <w:t>V</w:t>
      </w:r>
      <w:r w:rsidR="0054552E" w:rsidRPr="00026D3E">
        <w:rPr>
          <w:rFonts w:ascii="Times New Roman" w:hAnsi="Times New Roman" w:cs="Times New Roman"/>
          <w:sz w:val="24"/>
          <w:szCs w:val="24"/>
        </w:rPr>
        <w:t xml:space="preserve"> </w:t>
      </w:r>
      <w:r w:rsidR="009916AD">
        <w:rPr>
          <w:rFonts w:ascii="Times New Roman" w:hAnsi="Times New Roman" w:cs="Times New Roman"/>
          <w:sz w:val="24"/>
          <w:szCs w:val="24"/>
        </w:rPr>
        <w:t>kapitole</w:t>
      </w:r>
      <w:r w:rsidR="0054552E" w:rsidRPr="00026D3E">
        <w:rPr>
          <w:rFonts w:ascii="Times New Roman" w:hAnsi="Times New Roman" w:cs="Times New Roman"/>
          <w:sz w:val="24"/>
          <w:szCs w:val="24"/>
        </w:rPr>
        <w:t xml:space="preserve"> </w:t>
      </w:r>
      <w:r w:rsidR="009916AD">
        <w:rPr>
          <w:rFonts w:ascii="Times New Roman" w:hAnsi="Times New Roman" w:cs="Times New Roman"/>
          <w:sz w:val="24"/>
          <w:szCs w:val="24"/>
        </w:rPr>
        <w:t>páté</w:t>
      </w:r>
      <w:r w:rsidR="0054552E" w:rsidRPr="00026D3E">
        <w:rPr>
          <w:rFonts w:ascii="Times New Roman" w:hAnsi="Times New Roman" w:cs="Times New Roman"/>
          <w:sz w:val="24"/>
          <w:szCs w:val="24"/>
        </w:rPr>
        <w:t xml:space="preserve"> sledoval autor masivní růst dovozu zbraní do Iráku v klíčových letech 1978-1981 a tedy růst jeho ofensivní kapacity, nicméně </w:t>
      </w:r>
      <w:r w:rsidR="004E146E" w:rsidRPr="00026D3E">
        <w:rPr>
          <w:rFonts w:ascii="Times New Roman" w:hAnsi="Times New Roman" w:cs="Times New Roman"/>
          <w:sz w:val="24"/>
          <w:szCs w:val="24"/>
        </w:rPr>
        <w:t>nezpozoroval žádnou reakci na tento vývoj ze strany Sýrie či Íránu</w:t>
      </w:r>
      <w:r w:rsidR="001E2C67" w:rsidRPr="00026D3E">
        <w:rPr>
          <w:rFonts w:ascii="Times New Roman" w:hAnsi="Times New Roman" w:cs="Times New Roman"/>
          <w:sz w:val="24"/>
          <w:szCs w:val="24"/>
        </w:rPr>
        <w:t xml:space="preserve">. S více primárními zdroji by bylo takové hodnocení jistě kvalitnější, proměnnou by se autor mohl více zabývat v diplomové práci. </w:t>
      </w:r>
    </w:p>
    <w:p w:rsidR="000555CF" w:rsidRDefault="00C8599B" w:rsidP="00794F84">
      <w:pPr>
        <w:spacing w:line="360" w:lineRule="auto"/>
        <w:jc w:val="both"/>
        <w:rPr>
          <w:rFonts w:ascii="Times New Roman" w:hAnsi="Times New Roman" w:cs="Times New Roman"/>
          <w:sz w:val="24"/>
          <w:szCs w:val="24"/>
        </w:rPr>
      </w:pPr>
      <w:r>
        <w:rPr>
          <w:rFonts w:ascii="Times New Roman" w:hAnsi="Times New Roman" w:cs="Times New Roman"/>
          <w:sz w:val="24"/>
          <w:szCs w:val="24"/>
        </w:rPr>
        <w:t>Z hlediska metodologické bariéry se práce potýkala s problémem, jak lze kvantifikovat některé z nezávisle proměnných, především proměnnou zeměpisná blízkost a proměnnou agresivní úmysly</w:t>
      </w:r>
      <w:r w:rsidR="00032201">
        <w:rPr>
          <w:rFonts w:ascii="Times New Roman" w:hAnsi="Times New Roman" w:cs="Times New Roman"/>
          <w:sz w:val="24"/>
          <w:szCs w:val="24"/>
        </w:rPr>
        <w:t xml:space="preserve"> (třetí a šestá kapitola)</w:t>
      </w:r>
      <w:r>
        <w:rPr>
          <w:rFonts w:ascii="Times New Roman" w:hAnsi="Times New Roman" w:cs="Times New Roman"/>
          <w:sz w:val="24"/>
          <w:szCs w:val="24"/>
        </w:rPr>
        <w:t>.</w:t>
      </w:r>
      <w:r w:rsidR="00032201">
        <w:rPr>
          <w:rFonts w:ascii="Times New Roman" w:hAnsi="Times New Roman" w:cs="Times New Roman"/>
          <w:sz w:val="24"/>
          <w:szCs w:val="24"/>
        </w:rPr>
        <w:t xml:space="preserve"> </w:t>
      </w:r>
      <w:r w:rsidR="00876460">
        <w:rPr>
          <w:rFonts w:ascii="Times New Roman" w:hAnsi="Times New Roman" w:cs="Times New Roman"/>
          <w:sz w:val="24"/>
          <w:szCs w:val="24"/>
        </w:rPr>
        <w:t>P</w:t>
      </w:r>
      <w:r w:rsidR="00876460" w:rsidRPr="00026D3E">
        <w:rPr>
          <w:rFonts w:ascii="Times New Roman" w:hAnsi="Times New Roman" w:cs="Times New Roman"/>
          <w:sz w:val="24"/>
          <w:szCs w:val="24"/>
        </w:rPr>
        <w:t xml:space="preserve">okud se </w:t>
      </w:r>
      <w:r w:rsidR="00876460">
        <w:rPr>
          <w:rFonts w:ascii="Times New Roman" w:hAnsi="Times New Roman" w:cs="Times New Roman"/>
          <w:sz w:val="24"/>
          <w:szCs w:val="24"/>
        </w:rPr>
        <w:t>pokoušíme</w:t>
      </w:r>
      <w:r w:rsidR="00876460" w:rsidRPr="00026D3E">
        <w:rPr>
          <w:rFonts w:ascii="Times New Roman" w:hAnsi="Times New Roman" w:cs="Times New Roman"/>
          <w:sz w:val="24"/>
          <w:szCs w:val="24"/>
        </w:rPr>
        <w:t xml:space="preserve"> identifikovat stát jako hrozbu z pohledu zeměpisné blízkosti, jakým způsobem lze změřit a prokázat, že hrozba je či není přítomna?</w:t>
      </w:r>
      <w:r w:rsidR="00876460">
        <w:rPr>
          <w:rFonts w:ascii="Times New Roman" w:hAnsi="Times New Roman" w:cs="Times New Roman"/>
          <w:sz w:val="24"/>
          <w:szCs w:val="24"/>
        </w:rPr>
        <w:t xml:space="preserve"> </w:t>
      </w:r>
      <w:r w:rsidR="00876460" w:rsidRPr="00026D3E">
        <w:rPr>
          <w:rFonts w:ascii="Times New Roman" w:hAnsi="Times New Roman" w:cs="Times New Roman"/>
          <w:sz w:val="24"/>
          <w:szCs w:val="24"/>
        </w:rPr>
        <w:t xml:space="preserve">Podle jakých kritérií lze usoudit, že agresivní úmysly státu jsou natolik evidentní, </w:t>
      </w:r>
      <w:r w:rsidR="00876460" w:rsidRPr="00026D3E">
        <w:rPr>
          <w:rFonts w:ascii="Times New Roman" w:hAnsi="Times New Roman" w:cs="Times New Roman"/>
          <w:sz w:val="24"/>
          <w:szCs w:val="24"/>
        </w:rPr>
        <w:lastRenderedPageBreak/>
        <w:t>že je lze považovat za hrozbu?</w:t>
      </w:r>
      <w:r w:rsidR="00876460">
        <w:rPr>
          <w:rFonts w:ascii="Times New Roman" w:hAnsi="Times New Roman" w:cs="Times New Roman"/>
          <w:sz w:val="24"/>
          <w:szCs w:val="24"/>
        </w:rPr>
        <w:t xml:space="preserve"> </w:t>
      </w:r>
      <w:r w:rsidR="00876460" w:rsidRPr="00026D3E">
        <w:rPr>
          <w:rFonts w:ascii="Times New Roman" w:hAnsi="Times New Roman" w:cs="Times New Roman"/>
          <w:sz w:val="24"/>
          <w:szCs w:val="24"/>
        </w:rPr>
        <w:t>Problematické je to zvláště pak v blízkovýchodním regionu, kde skutečné zájmy státu jsou zahaleny do specifické arabské rétoriky.</w:t>
      </w:r>
      <w:r w:rsidR="000555CF">
        <w:rPr>
          <w:rFonts w:ascii="Times New Roman" w:hAnsi="Times New Roman" w:cs="Times New Roman"/>
          <w:sz w:val="24"/>
          <w:szCs w:val="24"/>
        </w:rPr>
        <w:t xml:space="preserve"> </w:t>
      </w:r>
      <w:r w:rsidR="00E61B29">
        <w:rPr>
          <w:rFonts w:ascii="Times New Roman" w:hAnsi="Times New Roman" w:cs="Times New Roman"/>
          <w:sz w:val="24"/>
          <w:szCs w:val="24"/>
        </w:rPr>
        <w:t>Identifikovat</w:t>
      </w:r>
      <w:r w:rsidR="000555CF" w:rsidRPr="00026D3E">
        <w:rPr>
          <w:rFonts w:ascii="Times New Roman" w:hAnsi="Times New Roman" w:cs="Times New Roman"/>
          <w:sz w:val="24"/>
          <w:szCs w:val="24"/>
        </w:rPr>
        <w:t xml:space="preserve"> prokazatelně příčinný vztah mezi těmi nezávisle proměnnými, které autor nekvantifikuje a samotným vznikem aliance </w:t>
      </w:r>
      <w:r w:rsidR="00E61B29">
        <w:rPr>
          <w:rFonts w:ascii="Times New Roman" w:hAnsi="Times New Roman" w:cs="Times New Roman"/>
          <w:sz w:val="24"/>
          <w:szCs w:val="24"/>
        </w:rPr>
        <w:t>je</w:t>
      </w:r>
      <w:r w:rsidR="000555CF" w:rsidRPr="00026D3E">
        <w:rPr>
          <w:rFonts w:ascii="Times New Roman" w:hAnsi="Times New Roman" w:cs="Times New Roman"/>
          <w:sz w:val="24"/>
          <w:szCs w:val="24"/>
        </w:rPr>
        <w:t xml:space="preserve"> přinejmenším </w:t>
      </w:r>
      <w:r w:rsidR="00E61B29">
        <w:rPr>
          <w:rFonts w:ascii="Times New Roman" w:hAnsi="Times New Roman" w:cs="Times New Roman"/>
          <w:sz w:val="24"/>
          <w:szCs w:val="24"/>
        </w:rPr>
        <w:t xml:space="preserve">velice </w:t>
      </w:r>
      <w:r w:rsidR="000555CF" w:rsidRPr="00026D3E">
        <w:rPr>
          <w:rFonts w:ascii="Times New Roman" w:hAnsi="Times New Roman" w:cs="Times New Roman"/>
          <w:sz w:val="24"/>
          <w:szCs w:val="24"/>
        </w:rPr>
        <w:t>náročné.</w:t>
      </w:r>
      <w:r w:rsidR="00710EAC">
        <w:rPr>
          <w:rFonts w:ascii="Times New Roman" w:hAnsi="Times New Roman" w:cs="Times New Roman"/>
          <w:sz w:val="24"/>
          <w:szCs w:val="24"/>
        </w:rPr>
        <w:t xml:space="preserve"> Pro účely výzkumné práce jsou tak tyto proměnné formulované poněkud vágně. Na případu aliance Sýrie a Íránu se autorovi podařilo ověřit Waltovu hypotézu pouze částečně</w:t>
      </w:r>
      <w:r w:rsidR="00DE7EAA">
        <w:rPr>
          <w:rFonts w:ascii="Times New Roman" w:hAnsi="Times New Roman" w:cs="Times New Roman"/>
          <w:sz w:val="24"/>
          <w:szCs w:val="24"/>
        </w:rPr>
        <w:t xml:space="preserve">. </w:t>
      </w:r>
      <w:r w:rsidR="00060104">
        <w:rPr>
          <w:rFonts w:ascii="Times New Roman" w:hAnsi="Times New Roman" w:cs="Times New Roman"/>
          <w:sz w:val="24"/>
          <w:szCs w:val="24"/>
        </w:rPr>
        <w:t>Nálezy v</w:t>
      </w:r>
      <w:r w:rsidR="00DE7EAA">
        <w:rPr>
          <w:rFonts w:ascii="Times New Roman" w:hAnsi="Times New Roman" w:cs="Times New Roman"/>
          <w:sz w:val="24"/>
          <w:szCs w:val="24"/>
        </w:rPr>
        <w:t> případě poměřování vývoje celkové moci Iráku a kombinované celkové</w:t>
      </w:r>
      <w:r w:rsidR="00060104">
        <w:rPr>
          <w:rFonts w:ascii="Times New Roman" w:hAnsi="Times New Roman" w:cs="Times New Roman"/>
          <w:sz w:val="24"/>
          <w:szCs w:val="24"/>
        </w:rPr>
        <w:t xml:space="preserve"> moci Sýrie a Íránu potvrzuje, že vznik syrsko – íránské aliance můžeme chápat přinejmenším </w:t>
      </w:r>
      <w:r w:rsidR="00060104" w:rsidRPr="00026D3E">
        <w:rPr>
          <w:rFonts w:ascii="Times New Roman" w:hAnsi="Times New Roman" w:cs="Times New Roman"/>
          <w:sz w:val="24"/>
          <w:szCs w:val="24"/>
        </w:rPr>
        <w:t xml:space="preserve">v kontextu teorie mocenské rovnováhy, podle které se státy spolčují, aby vyvážily vysoký růst moci státu. </w:t>
      </w:r>
      <w:r w:rsidR="009A4878">
        <w:rPr>
          <w:rFonts w:ascii="Times New Roman" w:hAnsi="Times New Roman" w:cs="Times New Roman"/>
          <w:sz w:val="24"/>
          <w:szCs w:val="24"/>
        </w:rPr>
        <w:t>S</w:t>
      </w:r>
      <w:r w:rsidR="00060104">
        <w:rPr>
          <w:rFonts w:ascii="Times New Roman" w:hAnsi="Times New Roman" w:cs="Times New Roman"/>
          <w:sz w:val="24"/>
          <w:szCs w:val="24"/>
        </w:rPr>
        <w:t xml:space="preserve">amotnou výzkumnou otázku </w:t>
      </w:r>
      <w:r w:rsidR="009A4878">
        <w:rPr>
          <w:rFonts w:ascii="Times New Roman" w:hAnsi="Times New Roman" w:cs="Times New Roman"/>
          <w:sz w:val="24"/>
          <w:szCs w:val="24"/>
        </w:rPr>
        <w:t xml:space="preserve">však nelze uspokojivě zodpovědět. </w:t>
      </w:r>
      <w:r w:rsidR="00DE7EAA">
        <w:rPr>
          <w:rFonts w:ascii="Times New Roman" w:hAnsi="Times New Roman" w:cs="Times New Roman"/>
          <w:sz w:val="24"/>
          <w:szCs w:val="24"/>
        </w:rPr>
        <w:t>V souhrnu lze konstatovat, že kapacity ve svém oboru nepřisoudily teorii rovnováhy hrozeb jakousi vyšší přidanou hodnotu, neschopnou lépe osvětlit tak důležit</w:t>
      </w:r>
      <w:r w:rsidR="009A4878">
        <w:rPr>
          <w:rFonts w:ascii="Times New Roman" w:hAnsi="Times New Roman" w:cs="Times New Roman"/>
          <w:sz w:val="24"/>
          <w:szCs w:val="24"/>
        </w:rPr>
        <w:t xml:space="preserve">ý fenomén, jakými jsou aliance. </w:t>
      </w:r>
      <w:r w:rsidR="00DE7EAA">
        <w:rPr>
          <w:rFonts w:ascii="Times New Roman" w:hAnsi="Times New Roman" w:cs="Times New Roman"/>
          <w:sz w:val="24"/>
          <w:szCs w:val="24"/>
        </w:rPr>
        <w:t xml:space="preserve">Odlišná formulace nezávisle proměnných tak, aby se daly využít pro matematický </w:t>
      </w:r>
      <w:r w:rsidR="009A4878">
        <w:rPr>
          <w:rFonts w:ascii="Times New Roman" w:hAnsi="Times New Roman" w:cs="Times New Roman"/>
          <w:sz w:val="24"/>
          <w:szCs w:val="24"/>
        </w:rPr>
        <w:t>postup, by však mohla</w:t>
      </w:r>
      <w:r w:rsidR="00DE7EAA">
        <w:rPr>
          <w:rFonts w:ascii="Times New Roman" w:hAnsi="Times New Roman" w:cs="Times New Roman"/>
          <w:sz w:val="24"/>
          <w:szCs w:val="24"/>
        </w:rPr>
        <w:t xml:space="preserve"> vést k přehodnocení pohledu na teorii rovnováhy hrozeb. </w:t>
      </w:r>
    </w:p>
    <w:p w:rsidR="005C286B" w:rsidRDefault="005C286B" w:rsidP="00794F84">
      <w:pPr>
        <w:spacing w:line="360" w:lineRule="auto"/>
        <w:jc w:val="both"/>
        <w:rPr>
          <w:rFonts w:ascii="Times New Roman" w:hAnsi="Times New Roman" w:cs="Times New Roman"/>
          <w:sz w:val="24"/>
          <w:szCs w:val="24"/>
        </w:rPr>
      </w:pPr>
    </w:p>
    <w:p w:rsidR="00337D46" w:rsidRDefault="00337D46" w:rsidP="00794F84">
      <w:pPr>
        <w:spacing w:line="360" w:lineRule="auto"/>
        <w:jc w:val="both"/>
        <w:rPr>
          <w:rFonts w:ascii="Times New Roman" w:hAnsi="Times New Roman" w:cs="Times New Roman"/>
          <w:sz w:val="24"/>
          <w:szCs w:val="24"/>
        </w:rPr>
      </w:pPr>
    </w:p>
    <w:p w:rsidR="00337D46" w:rsidRDefault="00337D46" w:rsidP="00794F84">
      <w:pPr>
        <w:spacing w:line="360" w:lineRule="auto"/>
        <w:jc w:val="both"/>
        <w:rPr>
          <w:rFonts w:ascii="Times New Roman" w:hAnsi="Times New Roman" w:cs="Times New Roman"/>
          <w:sz w:val="24"/>
          <w:szCs w:val="24"/>
        </w:rPr>
      </w:pPr>
    </w:p>
    <w:p w:rsidR="00337D46" w:rsidRDefault="00337D46" w:rsidP="00794F84">
      <w:pPr>
        <w:spacing w:line="360" w:lineRule="auto"/>
        <w:jc w:val="both"/>
        <w:rPr>
          <w:rFonts w:ascii="Times New Roman" w:hAnsi="Times New Roman" w:cs="Times New Roman"/>
          <w:sz w:val="24"/>
          <w:szCs w:val="24"/>
        </w:rPr>
      </w:pPr>
    </w:p>
    <w:p w:rsidR="00337D46" w:rsidRDefault="00337D46" w:rsidP="00794F84">
      <w:pPr>
        <w:spacing w:line="360" w:lineRule="auto"/>
        <w:jc w:val="both"/>
        <w:rPr>
          <w:rFonts w:ascii="Times New Roman" w:hAnsi="Times New Roman" w:cs="Times New Roman"/>
          <w:sz w:val="24"/>
          <w:szCs w:val="24"/>
        </w:rPr>
      </w:pPr>
    </w:p>
    <w:p w:rsidR="00337D46" w:rsidRDefault="00337D46" w:rsidP="00794F84">
      <w:pPr>
        <w:spacing w:line="360" w:lineRule="auto"/>
        <w:jc w:val="both"/>
        <w:rPr>
          <w:rFonts w:ascii="Times New Roman" w:hAnsi="Times New Roman" w:cs="Times New Roman"/>
          <w:sz w:val="24"/>
          <w:szCs w:val="24"/>
        </w:rPr>
      </w:pPr>
    </w:p>
    <w:p w:rsidR="00337D46" w:rsidRPr="00026D3E" w:rsidRDefault="00337D46" w:rsidP="00794F84">
      <w:pPr>
        <w:spacing w:line="360" w:lineRule="auto"/>
        <w:jc w:val="both"/>
        <w:rPr>
          <w:rFonts w:ascii="Times New Roman" w:hAnsi="Times New Roman" w:cs="Times New Roman"/>
          <w:sz w:val="24"/>
          <w:szCs w:val="24"/>
        </w:rPr>
      </w:pPr>
    </w:p>
    <w:p w:rsidR="005C286B" w:rsidRPr="00026D3E" w:rsidRDefault="005C286B" w:rsidP="00794F84">
      <w:pPr>
        <w:spacing w:line="360" w:lineRule="auto"/>
        <w:jc w:val="both"/>
        <w:rPr>
          <w:rFonts w:ascii="Times New Roman" w:hAnsi="Times New Roman" w:cs="Times New Roman"/>
          <w:sz w:val="24"/>
          <w:szCs w:val="24"/>
        </w:rPr>
      </w:pPr>
    </w:p>
    <w:p w:rsidR="005C286B" w:rsidRPr="00026D3E" w:rsidRDefault="005C286B" w:rsidP="00794F84">
      <w:pPr>
        <w:spacing w:line="360" w:lineRule="auto"/>
        <w:jc w:val="both"/>
        <w:rPr>
          <w:rFonts w:ascii="Times New Roman" w:hAnsi="Times New Roman" w:cs="Times New Roman"/>
          <w:sz w:val="24"/>
          <w:szCs w:val="24"/>
        </w:rPr>
      </w:pPr>
    </w:p>
    <w:p w:rsidR="005C286B" w:rsidRPr="00026D3E" w:rsidRDefault="005C286B" w:rsidP="00794F84">
      <w:pPr>
        <w:spacing w:line="360" w:lineRule="auto"/>
        <w:jc w:val="both"/>
        <w:rPr>
          <w:rFonts w:ascii="Times New Roman" w:hAnsi="Times New Roman" w:cs="Times New Roman"/>
          <w:sz w:val="24"/>
          <w:szCs w:val="24"/>
        </w:rPr>
      </w:pPr>
    </w:p>
    <w:p w:rsidR="005C286B" w:rsidRPr="00461DFA" w:rsidRDefault="00461DFA" w:rsidP="00461DFA">
      <w:pPr>
        <w:pStyle w:val="Nadpis1"/>
        <w:numPr>
          <w:ilvl w:val="0"/>
          <w:numId w:val="12"/>
        </w:numPr>
      </w:pPr>
      <w:bookmarkStart w:id="15" w:name="_Toc354703589"/>
      <w:r>
        <w:lastRenderedPageBreak/>
        <w:t>Prameny a literatura</w:t>
      </w:r>
      <w:bookmarkEnd w:id="15"/>
    </w:p>
    <w:p w:rsidR="005C286B" w:rsidRPr="00026D3E" w:rsidRDefault="005C286B" w:rsidP="00461DFA">
      <w:pPr>
        <w:pStyle w:val="Nadpis2"/>
        <w:numPr>
          <w:ilvl w:val="1"/>
          <w:numId w:val="20"/>
        </w:numPr>
      </w:pPr>
      <w:bookmarkStart w:id="16" w:name="_Toc354703590"/>
      <w:r w:rsidRPr="00026D3E">
        <w:t>Prameny</w:t>
      </w:r>
      <w:bookmarkEnd w:id="16"/>
    </w:p>
    <w:p w:rsidR="003E3254" w:rsidRPr="006735D7" w:rsidRDefault="003E3254" w:rsidP="006735D7">
      <w:pPr>
        <w:spacing w:line="360" w:lineRule="auto"/>
        <w:rPr>
          <w:rFonts w:ascii="Times New Roman" w:hAnsi="Times New Roman" w:cs="Times New Roman"/>
          <w:color w:val="000000"/>
          <w:sz w:val="24"/>
          <w:szCs w:val="24"/>
          <w:shd w:val="clear" w:color="auto" w:fill="FFFFFF"/>
        </w:rPr>
      </w:pPr>
      <w:r w:rsidRPr="006735D7">
        <w:rPr>
          <w:rFonts w:ascii="Times New Roman" w:hAnsi="Times New Roman" w:cs="Times New Roman"/>
          <w:color w:val="000000"/>
          <w:sz w:val="24"/>
          <w:szCs w:val="24"/>
          <w:shd w:val="clear" w:color="auto" w:fill="FFFFFF"/>
        </w:rPr>
        <w:t>Byman, Daniel. 2006.  „Strange Bedfellows: What's Behind the Enduring Alliance between Syria and Iran?“</w:t>
      </w:r>
      <w:r w:rsidRPr="006735D7">
        <w:rPr>
          <w:rStyle w:val="apple-converted-space"/>
          <w:rFonts w:ascii="Times New Roman" w:hAnsi="Times New Roman" w:cs="Times New Roman"/>
          <w:color w:val="000000"/>
          <w:sz w:val="24"/>
          <w:szCs w:val="24"/>
          <w:shd w:val="clear" w:color="auto" w:fill="FFFFFF"/>
        </w:rPr>
        <w:t> </w:t>
      </w:r>
      <w:r w:rsidR="00C91395" w:rsidRPr="006735D7">
        <w:rPr>
          <w:rStyle w:val="Zvraznn"/>
          <w:rFonts w:ascii="Times New Roman" w:hAnsi="Times New Roman" w:cs="Times New Roman"/>
          <w:color w:val="000000"/>
          <w:sz w:val="24"/>
          <w:szCs w:val="24"/>
          <w:shd w:val="clear" w:color="auto" w:fill="FFFFFF"/>
        </w:rPr>
        <w:t>Slate Magazine</w:t>
      </w:r>
      <w:r w:rsidRPr="006735D7">
        <w:rPr>
          <w:rFonts w:ascii="Times New Roman" w:hAnsi="Times New Roman" w:cs="Times New Roman"/>
          <w:color w:val="000000"/>
          <w:sz w:val="24"/>
          <w:szCs w:val="24"/>
          <w:shd w:val="clear" w:color="auto" w:fill="FFFFFF"/>
        </w:rPr>
        <w:t xml:space="preserve">, 19. 7. 2006 (online). Dostupné z: </w:t>
      </w:r>
      <w:r w:rsidR="00135B44" w:rsidRPr="006735D7">
        <w:rPr>
          <w:rFonts w:ascii="Times New Roman" w:hAnsi="Times New Roman" w:cs="Times New Roman"/>
          <w:color w:val="000000"/>
          <w:sz w:val="24"/>
          <w:szCs w:val="24"/>
          <w:shd w:val="clear" w:color="auto" w:fill="FFFFFF"/>
          <w:lang w:val="en-US"/>
        </w:rPr>
        <w:t>&lt;</w:t>
      </w:r>
      <w:hyperlink r:id="rId12" w:history="1">
        <w:r w:rsidR="00135B44" w:rsidRPr="006735D7">
          <w:rPr>
            <w:rStyle w:val="Hypertextovodkaz"/>
            <w:rFonts w:ascii="Times New Roman" w:hAnsi="Times New Roman" w:cs="Times New Roman"/>
            <w:color w:val="auto"/>
            <w:sz w:val="24"/>
            <w:szCs w:val="24"/>
            <w:u w:val="none"/>
            <w:shd w:val="clear" w:color="auto" w:fill="FFFFFF"/>
          </w:rPr>
          <w:t>http://www.slate.com/id/2146139/</w:t>
        </w:r>
      </w:hyperlink>
      <w:r w:rsidR="00135B44" w:rsidRPr="006735D7">
        <w:rPr>
          <w:rFonts w:ascii="Times New Roman" w:hAnsi="Times New Roman" w:cs="Times New Roman"/>
          <w:sz w:val="24"/>
          <w:szCs w:val="24"/>
          <w:lang w:val="en-US"/>
        </w:rPr>
        <w:t>&gt;</w:t>
      </w:r>
      <w:r w:rsidR="00E01F5C" w:rsidRPr="006735D7">
        <w:rPr>
          <w:rFonts w:ascii="Times New Roman" w:hAnsi="Times New Roman" w:cs="Times New Roman"/>
          <w:sz w:val="24"/>
          <w:szCs w:val="24"/>
          <w:lang w:val="en-US"/>
        </w:rPr>
        <w:t xml:space="preserve"> (21.4.2013)</w:t>
      </w:r>
    </w:p>
    <w:p w:rsidR="005C286B" w:rsidRPr="006735D7" w:rsidRDefault="005C286B" w:rsidP="006735D7">
      <w:pPr>
        <w:spacing w:line="360" w:lineRule="auto"/>
        <w:jc w:val="both"/>
        <w:rPr>
          <w:rFonts w:ascii="Times New Roman" w:hAnsi="Times New Roman" w:cs="Times New Roman"/>
          <w:sz w:val="24"/>
          <w:szCs w:val="24"/>
        </w:rPr>
      </w:pPr>
      <w:r w:rsidRPr="006735D7">
        <w:rPr>
          <w:rFonts w:ascii="Times New Roman" w:hAnsi="Times New Roman" w:cs="Times New Roman"/>
          <w:sz w:val="24"/>
          <w:szCs w:val="24"/>
        </w:rPr>
        <w:t xml:space="preserve">Daoudy, Marwa.2009. „Asymmetric Power: Negotiating Water in the Euphrates and Tigris.“ </w:t>
      </w:r>
      <w:r w:rsidR="00C91395" w:rsidRPr="006735D7">
        <w:rPr>
          <w:rFonts w:ascii="Times New Roman" w:hAnsi="Times New Roman" w:cs="Times New Roman"/>
          <w:i/>
          <w:sz w:val="24"/>
          <w:szCs w:val="24"/>
        </w:rPr>
        <w:t>International</w:t>
      </w:r>
      <w:r w:rsidRPr="006735D7">
        <w:rPr>
          <w:rFonts w:ascii="Times New Roman" w:hAnsi="Times New Roman" w:cs="Times New Roman"/>
          <w:i/>
          <w:sz w:val="24"/>
          <w:szCs w:val="24"/>
        </w:rPr>
        <w:t>Negotiation,</w:t>
      </w:r>
      <w:r w:rsidR="0015089B" w:rsidRPr="006735D7">
        <w:rPr>
          <w:rFonts w:ascii="Times New Roman" w:hAnsi="Times New Roman" w:cs="Times New Roman"/>
          <w:sz w:val="24"/>
          <w:szCs w:val="24"/>
        </w:rPr>
        <w:t>14:359–389(online).</w:t>
      </w:r>
      <w:r w:rsidR="002C0022" w:rsidRPr="006735D7">
        <w:rPr>
          <w:rFonts w:ascii="Times New Roman" w:hAnsi="Times New Roman" w:cs="Times New Roman"/>
          <w:sz w:val="24"/>
          <w:szCs w:val="24"/>
        </w:rPr>
        <w:t xml:space="preserve"> </w:t>
      </w:r>
      <w:r w:rsidR="0015089B" w:rsidRPr="006735D7">
        <w:rPr>
          <w:rFonts w:ascii="Times New Roman" w:hAnsi="Times New Roman" w:cs="Times New Roman"/>
          <w:sz w:val="24"/>
          <w:szCs w:val="24"/>
        </w:rPr>
        <w:t>Dostupné</w:t>
      </w:r>
      <w:r w:rsidRPr="006735D7">
        <w:rPr>
          <w:rFonts w:ascii="Times New Roman" w:hAnsi="Times New Roman" w:cs="Times New Roman"/>
          <w:sz w:val="24"/>
          <w:szCs w:val="24"/>
        </w:rPr>
        <w:t>z:</w:t>
      </w:r>
      <w:r w:rsidR="0015089B" w:rsidRPr="006735D7">
        <w:rPr>
          <w:rFonts w:ascii="Times New Roman" w:hAnsi="Times New Roman" w:cs="Times New Roman"/>
          <w:sz w:val="24"/>
          <w:szCs w:val="24"/>
        </w:rPr>
        <w:t>&lt;</w:t>
      </w:r>
      <w:hyperlink r:id="rId13" w:history="1">
        <w:r w:rsidRPr="006735D7">
          <w:rPr>
            <w:rStyle w:val="Hypertextovodkaz"/>
            <w:rFonts w:ascii="Times New Roman" w:hAnsi="Times New Roman" w:cs="Times New Roman"/>
            <w:color w:val="auto"/>
            <w:sz w:val="24"/>
            <w:szCs w:val="24"/>
            <w:u w:val="none"/>
          </w:rPr>
          <w:t>http://graduateinstitute.ch/webdav/site/political_science/shared/political_science/4958/InternationalNegotiation-Daoudy.pdf</w:t>
        </w:r>
      </w:hyperlink>
      <w:r w:rsidR="0015089B" w:rsidRPr="006735D7">
        <w:rPr>
          <w:rFonts w:ascii="Times New Roman" w:hAnsi="Times New Roman" w:cs="Times New Roman"/>
          <w:sz w:val="24"/>
          <w:szCs w:val="24"/>
        </w:rPr>
        <w:t xml:space="preserve"> &gt; </w:t>
      </w:r>
      <w:r w:rsidRPr="006735D7">
        <w:rPr>
          <w:rFonts w:ascii="Times New Roman" w:hAnsi="Times New Roman" w:cs="Times New Roman"/>
          <w:sz w:val="24"/>
          <w:szCs w:val="24"/>
        </w:rPr>
        <w:t>(3.</w:t>
      </w:r>
      <w:r w:rsidR="00C91395" w:rsidRPr="006735D7">
        <w:rPr>
          <w:rFonts w:ascii="Times New Roman" w:hAnsi="Times New Roman" w:cs="Times New Roman"/>
          <w:sz w:val="24"/>
          <w:szCs w:val="24"/>
        </w:rPr>
        <w:t xml:space="preserve"> </w:t>
      </w:r>
      <w:r w:rsidRPr="006735D7">
        <w:rPr>
          <w:rFonts w:ascii="Times New Roman" w:hAnsi="Times New Roman" w:cs="Times New Roman"/>
          <w:sz w:val="24"/>
          <w:szCs w:val="24"/>
        </w:rPr>
        <w:t>12.</w:t>
      </w:r>
      <w:r w:rsidR="00C91395" w:rsidRPr="006735D7">
        <w:rPr>
          <w:rFonts w:ascii="Times New Roman" w:hAnsi="Times New Roman" w:cs="Times New Roman"/>
          <w:sz w:val="24"/>
          <w:szCs w:val="24"/>
        </w:rPr>
        <w:t xml:space="preserve"> </w:t>
      </w:r>
      <w:r w:rsidRPr="006735D7">
        <w:rPr>
          <w:rFonts w:ascii="Times New Roman" w:hAnsi="Times New Roman" w:cs="Times New Roman"/>
          <w:sz w:val="24"/>
          <w:szCs w:val="24"/>
        </w:rPr>
        <w:t>2012)</w:t>
      </w:r>
    </w:p>
    <w:p w:rsidR="005C286B" w:rsidRPr="006735D7" w:rsidRDefault="005C286B" w:rsidP="006735D7">
      <w:pPr>
        <w:spacing w:line="360" w:lineRule="auto"/>
        <w:jc w:val="both"/>
        <w:rPr>
          <w:rFonts w:ascii="Times New Roman" w:hAnsi="Times New Roman" w:cs="Times New Roman"/>
          <w:sz w:val="24"/>
          <w:szCs w:val="24"/>
        </w:rPr>
      </w:pPr>
      <w:r w:rsidRPr="006735D7">
        <w:rPr>
          <w:rFonts w:ascii="Times New Roman" w:hAnsi="Times New Roman" w:cs="Times New Roman"/>
          <w:sz w:val="24"/>
          <w:szCs w:val="24"/>
        </w:rPr>
        <w:t>Keohane, Robert O.</w:t>
      </w:r>
      <w:r w:rsidR="00C91395" w:rsidRPr="006735D7">
        <w:rPr>
          <w:rFonts w:ascii="Times New Roman" w:hAnsi="Times New Roman" w:cs="Times New Roman"/>
          <w:sz w:val="24"/>
          <w:szCs w:val="24"/>
        </w:rPr>
        <w:t xml:space="preserve"> </w:t>
      </w:r>
      <w:r w:rsidRPr="006735D7">
        <w:rPr>
          <w:rFonts w:ascii="Times New Roman" w:hAnsi="Times New Roman" w:cs="Times New Roman"/>
          <w:sz w:val="24"/>
          <w:szCs w:val="24"/>
        </w:rPr>
        <w:t xml:space="preserve">1988. „Alliances, Threats, and the Uses of Neorealism. The Origins of Alliances by Stephen M. Walt.“ </w:t>
      </w:r>
      <w:r w:rsidRPr="006735D7">
        <w:rPr>
          <w:rFonts w:ascii="Times New Roman" w:hAnsi="Times New Roman" w:cs="Times New Roman"/>
          <w:i/>
          <w:sz w:val="24"/>
          <w:szCs w:val="24"/>
        </w:rPr>
        <w:t>International Security</w:t>
      </w:r>
      <w:r w:rsidRPr="006735D7">
        <w:rPr>
          <w:rFonts w:ascii="Times New Roman" w:hAnsi="Times New Roman" w:cs="Times New Roman"/>
          <w:sz w:val="24"/>
          <w:szCs w:val="24"/>
        </w:rPr>
        <w:t xml:space="preserve"> 13 (1): 169-176.</w:t>
      </w:r>
    </w:p>
    <w:p w:rsidR="005C286B" w:rsidRPr="006735D7" w:rsidRDefault="005C286B" w:rsidP="006735D7">
      <w:pPr>
        <w:shd w:val="clear" w:color="auto" w:fill="FFFFFF"/>
        <w:spacing w:after="150" w:line="360" w:lineRule="auto"/>
        <w:outlineLvl w:val="0"/>
        <w:rPr>
          <w:rFonts w:ascii="Times New Roman" w:hAnsi="Times New Roman" w:cs="Times New Roman"/>
          <w:sz w:val="24"/>
          <w:szCs w:val="24"/>
        </w:rPr>
      </w:pPr>
      <w:bookmarkStart w:id="17" w:name="_Toc343257926"/>
      <w:bookmarkStart w:id="18" w:name="_Toc354699783"/>
      <w:bookmarkStart w:id="19" w:name="_Toc354703591"/>
      <w:r w:rsidRPr="006735D7">
        <w:rPr>
          <w:rFonts w:ascii="Times New Roman" w:eastAsia="Times New Roman" w:hAnsi="Times New Roman" w:cs="Times New Roman"/>
          <w:bCs/>
          <w:kern w:val="36"/>
          <w:sz w:val="24"/>
          <w:szCs w:val="24"/>
        </w:rPr>
        <w:t>Morris, Mary E. 1997. „Water and conflict in the Middle East: Threats and opportunities</w:t>
      </w:r>
      <w:r w:rsidRPr="006735D7">
        <w:rPr>
          <w:rFonts w:ascii="Times New Roman" w:hAnsi="Times New Roman" w:cs="Times New Roman"/>
          <w:sz w:val="24"/>
          <w:szCs w:val="24"/>
          <w:shd w:val="clear" w:color="auto" w:fill="FFFFFF"/>
        </w:rPr>
        <w:t xml:space="preserve">.“ </w:t>
      </w:r>
      <w:r w:rsidRPr="006735D7">
        <w:rPr>
          <w:rFonts w:ascii="Times New Roman" w:hAnsi="Times New Roman" w:cs="Times New Roman"/>
          <w:i/>
          <w:sz w:val="24"/>
          <w:szCs w:val="24"/>
          <w:shd w:val="clear" w:color="auto" w:fill="FFFFFF"/>
        </w:rPr>
        <w:t xml:space="preserve">Studies in Conflict and Terrorism </w:t>
      </w:r>
      <w:r w:rsidRPr="006735D7">
        <w:rPr>
          <w:rFonts w:ascii="Times New Roman" w:hAnsi="Times New Roman" w:cs="Times New Roman"/>
          <w:sz w:val="24"/>
          <w:szCs w:val="24"/>
          <w:shd w:val="clear" w:color="auto" w:fill="FFFFFF"/>
        </w:rPr>
        <w:t>20 (1):1-13</w:t>
      </w:r>
      <w:r w:rsidR="00A742D5" w:rsidRPr="006735D7">
        <w:rPr>
          <w:rFonts w:ascii="Times New Roman" w:hAnsi="Times New Roman" w:cs="Times New Roman"/>
          <w:color w:val="000000"/>
          <w:sz w:val="24"/>
          <w:szCs w:val="24"/>
        </w:rPr>
        <w:t>. Dostupné</w:t>
      </w:r>
      <w:r w:rsidRPr="006735D7">
        <w:rPr>
          <w:rFonts w:ascii="Times New Roman" w:hAnsi="Times New Roman" w:cs="Times New Roman"/>
          <w:color w:val="000000"/>
          <w:sz w:val="24"/>
          <w:szCs w:val="24"/>
        </w:rPr>
        <w:t>z</w:t>
      </w:r>
      <w:r w:rsidRPr="006735D7">
        <w:rPr>
          <w:rFonts w:ascii="Times New Roman" w:hAnsi="Times New Roman" w:cs="Times New Roman"/>
          <w:sz w:val="24"/>
          <w:szCs w:val="24"/>
        </w:rPr>
        <w:t>:</w:t>
      </w:r>
      <w:r w:rsidR="004C1BA3" w:rsidRPr="006735D7">
        <w:rPr>
          <w:rFonts w:ascii="Times New Roman" w:hAnsi="Times New Roman" w:cs="Times New Roman"/>
          <w:sz w:val="24"/>
          <w:szCs w:val="24"/>
        </w:rPr>
        <w:t>&lt;</w:t>
      </w:r>
      <w:hyperlink r:id="rId14" w:history="1">
        <w:r w:rsidRPr="006735D7">
          <w:rPr>
            <w:rStyle w:val="Hypertextovodkaz"/>
            <w:rFonts w:ascii="Times New Roman" w:hAnsi="Times New Roman" w:cs="Times New Roman"/>
            <w:color w:val="auto"/>
            <w:sz w:val="24"/>
            <w:szCs w:val="24"/>
            <w:u w:val="none"/>
          </w:rPr>
          <w:t>http://web.macam.ac.il/~arnon/Int-ME/water/WATER%20AND%20CONFLICT%20IN%20THE%20MIDDLE%20EAST%20.htm</w:t>
        </w:r>
      </w:hyperlink>
      <w:r w:rsidR="004C1BA3" w:rsidRPr="006735D7">
        <w:rPr>
          <w:rFonts w:ascii="Times New Roman" w:hAnsi="Times New Roman" w:cs="Times New Roman"/>
          <w:sz w:val="24"/>
          <w:szCs w:val="24"/>
        </w:rPr>
        <w:t>&gt;</w:t>
      </w:r>
      <w:r w:rsidRPr="006735D7">
        <w:rPr>
          <w:rFonts w:ascii="Times New Roman" w:hAnsi="Times New Roman" w:cs="Times New Roman"/>
          <w:color w:val="000000"/>
          <w:sz w:val="24"/>
          <w:szCs w:val="24"/>
        </w:rPr>
        <w:t xml:space="preserve"> (3.</w:t>
      </w:r>
      <w:r w:rsidR="0015089B" w:rsidRPr="006735D7">
        <w:rPr>
          <w:rFonts w:ascii="Times New Roman" w:hAnsi="Times New Roman" w:cs="Times New Roman"/>
          <w:color w:val="000000"/>
          <w:sz w:val="24"/>
          <w:szCs w:val="24"/>
        </w:rPr>
        <w:t xml:space="preserve"> </w:t>
      </w:r>
      <w:r w:rsidRPr="006735D7">
        <w:rPr>
          <w:rFonts w:ascii="Times New Roman" w:hAnsi="Times New Roman" w:cs="Times New Roman"/>
          <w:color w:val="000000"/>
          <w:sz w:val="24"/>
          <w:szCs w:val="24"/>
        </w:rPr>
        <w:t>12.</w:t>
      </w:r>
      <w:r w:rsidR="0015089B" w:rsidRPr="006735D7">
        <w:rPr>
          <w:rFonts w:ascii="Times New Roman" w:hAnsi="Times New Roman" w:cs="Times New Roman"/>
          <w:color w:val="000000"/>
          <w:sz w:val="24"/>
          <w:szCs w:val="24"/>
        </w:rPr>
        <w:t xml:space="preserve"> </w:t>
      </w:r>
      <w:r w:rsidRPr="006735D7">
        <w:rPr>
          <w:rFonts w:ascii="Times New Roman" w:hAnsi="Times New Roman" w:cs="Times New Roman"/>
          <w:color w:val="000000"/>
          <w:sz w:val="24"/>
          <w:szCs w:val="24"/>
        </w:rPr>
        <w:t>2012)</w:t>
      </w:r>
      <w:bookmarkEnd w:id="17"/>
      <w:bookmarkEnd w:id="18"/>
      <w:bookmarkEnd w:id="19"/>
    </w:p>
    <w:p w:rsidR="005C286B" w:rsidRPr="006735D7" w:rsidRDefault="005C286B" w:rsidP="006735D7">
      <w:pPr>
        <w:pStyle w:val="Default"/>
        <w:spacing w:line="360" w:lineRule="auto"/>
        <w:jc w:val="both"/>
        <w:rPr>
          <w:rFonts w:ascii="Times New Roman" w:hAnsi="Times New Roman" w:cs="Times New Roman"/>
        </w:rPr>
      </w:pPr>
      <w:r w:rsidRPr="006735D7">
        <w:rPr>
          <w:rFonts w:ascii="Times New Roman" w:hAnsi="Times New Roman" w:cs="Times New Roman"/>
        </w:rPr>
        <w:t xml:space="preserve">Schweller, Randall L. 1997. „New Realist Research on Alliances: Refining, Not Refuting, Waltz's Balancing Proposition.“  </w:t>
      </w:r>
      <w:r w:rsidRPr="006735D7">
        <w:rPr>
          <w:rFonts w:ascii="Times New Roman" w:hAnsi="Times New Roman" w:cs="Times New Roman"/>
          <w:i/>
        </w:rPr>
        <w:t>The American Political Science Review</w:t>
      </w:r>
      <w:r w:rsidRPr="006735D7">
        <w:rPr>
          <w:rFonts w:ascii="Times New Roman" w:hAnsi="Times New Roman" w:cs="Times New Roman"/>
        </w:rPr>
        <w:t xml:space="preserve"> 91 (4) : 927-930.</w:t>
      </w:r>
    </w:p>
    <w:p w:rsidR="005C286B" w:rsidRPr="006735D7" w:rsidRDefault="005C286B" w:rsidP="006735D7">
      <w:pPr>
        <w:spacing w:line="360" w:lineRule="auto"/>
        <w:jc w:val="both"/>
        <w:rPr>
          <w:rFonts w:ascii="Times New Roman" w:hAnsi="Times New Roman" w:cs="Times New Roman"/>
          <w:sz w:val="24"/>
          <w:szCs w:val="24"/>
        </w:rPr>
      </w:pPr>
      <w:r w:rsidRPr="006735D7">
        <w:rPr>
          <w:rFonts w:ascii="Times New Roman" w:hAnsi="Times New Roman" w:cs="Times New Roman"/>
          <w:sz w:val="24"/>
          <w:szCs w:val="24"/>
        </w:rPr>
        <w:t xml:space="preserve">Snyder, Glenn H. 1991. „Alliances, Balance, and Stability. The Origins of Alliances. by Stephen M. Walt.“ </w:t>
      </w:r>
      <w:r w:rsidRPr="006735D7">
        <w:rPr>
          <w:rFonts w:ascii="Times New Roman" w:hAnsi="Times New Roman" w:cs="Times New Roman"/>
          <w:i/>
          <w:sz w:val="24"/>
          <w:szCs w:val="24"/>
        </w:rPr>
        <w:t>International Organization</w:t>
      </w:r>
      <w:r w:rsidRPr="006735D7">
        <w:rPr>
          <w:rFonts w:ascii="Times New Roman" w:hAnsi="Times New Roman" w:cs="Times New Roman"/>
          <w:sz w:val="24"/>
          <w:szCs w:val="24"/>
        </w:rPr>
        <w:t xml:space="preserve"> 45 (1): 121-142. </w:t>
      </w:r>
    </w:p>
    <w:p w:rsidR="005C286B" w:rsidRPr="006735D7" w:rsidRDefault="005C286B" w:rsidP="006735D7">
      <w:pPr>
        <w:shd w:val="clear" w:color="auto" w:fill="FFFFFF"/>
        <w:spacing w:after="150" w:line="360" w:lineRule="auto"/>
        <w:jc w:val="both"/>
        <w:outlineLvl w:val="0"/>
        <w:rPr>
          <w:rFonts w:ascii="Times New Roman" w:hAnsi="Times New Roman" w:cs="Times New Roman"/>
          <w:color w:val="000000"/>
          <w:sz w:val="24"/>
          <w:szCs w:val="24"/>
          <w:shd w:val="clear" w:color="auto" w:fill="FFFFFF"/>
        </w:rPr>
      </w:pPr>
      <w:bookmarkStart w:id="20" w:name="_Toc343257927"/>
      <w:bookmarkStart w:id="21" w:name="_Toc354699784"/>
      <w:bookmarkStart w:id="22" w:name="_Toc354703592"/>
      <w:r w:rsidRPr="006735D7">
        <w:rPr>
          <w:rFonts w:ascii="Times New Roman" w:hAnsi="Times New Roman" w:cs="Times New Roman"/>
          <w:sz w:val="24"/>
          <w:szCs w:val="24"/>
        </w:rPr>
        <w:t>Stephen Walt interview.</w:t>
      </w:r>
      <w:r w:rsidR="003442D8" w:rsidRPr="006735D7">
        <w:rPr>
          <w:rFonts w:ascii="Times New Roman" w:hAnsi="Times New Roman" w:cs="Times New Roman"/>
          <w:sz w:val="24"/>
          <w:szCs w:val="24"/>
        </w:rPr>
        <w:t xml:space="preserve"> 2010</w:t>
      </w:r>
      <w:r w:rsidRPr="006735D7">
        <w:rPr>
          <w:rFonts w:ascii="Times New Roman" w:hAnsi="Times New Roman" w:cs="Times New Roman"/>
          <w:sz w:val="24"/>
          <w:szCs w:val="24"/>
        </w:rPr>
        <w:t xml:space="preserve"> „</w:t>
      </w:r>
      <w:r w:rsidRPr="006735D7">
        <w:rPr>
          <w:rFonts w:ascii="Times New Roman" w:hAnsi="Times New Roman" w:cs="Times New Roman"/>
          <w:i/>
          <w:sz w:val="24"/>
          <w:szCs w:val="24"/>
        </w:rPr>
        <w:t>Yale Journal of International Affairs</w:t>
      </w:r>
      <w:r w:rsidRPr="006735D7">
        <w:rPr>
          <w:rFonts w:ascii="Times New Roman" w:hAnsi="Times New Roman" w:cs="Times New Roman"/>
          <w:sz w:val="24"/>
          <w:szCs w:val="24"/>
        </w:rPr>
        <w:t xml:space="preserve">.“ </w:t>
      </w:r>
      <w:r w:rsidRPr="006735D7">
        <w:rPr>
          <w:rFonts w:ascii="Times New Roman" w:hAnsi="Times New Roman" w:cs="Times New Roman"/>
          <w:color w:val="000000"/>
          <w:sz w:val="24"/>
          <w:szCs w:val="24"/>
          <w:shd w:val="clear" w:color="auto" w:fill="FFFFFF"/>
        </w:rPr>
        <w:t xml:space="preserve">5 (2) Spotlight on Security. Dostupné z: </w:t>
      </w:r>
      <w:hyperlink r:id="rId15" w:history="1">
        <w:r w:rsidRPr="006735D7">
          <w:rPr>
            <w:rStyle w:val="Hypertextovodkaz"/>
            <w:rFonts w:ascii="Times New Roman" w:hAnsi="Times New Roman" w:cs="Times New Roman"/>
            <w:color w:val="auto"/>
            <w:sz w:val="24"/>
            <w:szCs w:val="24"/>
            <w:u w:val="none"/>
            <w:shd w:val="clear" w:color="auto" w:fill="FFFFFF"/>
          </w:rPr>
          <w:t>http://yalejournal.org/2010/07/balancing-threat-the-united-states-and-the-middle-east/</w:t>
        </w:r>
      </w:hyperlink>
      <w:r w:rsidRPr="006735D7">
        <w:rPr>
          <w:rFonts w:ascii="Times New Roman" w:hAnsi="Times New Roman" w:cs="Times New Roman"/>
          <w:color w:val="000000"/>
          <w:sz w:val="24"/>
          <w:szCs w:val="24"/>
          <w:shd w:val="clear" w:color="auto" w:fill="FFFFFF"/>
        </w:rPr>
        <w:t xml:space="preserve"> (27.</w:t>
      </w:r>
      <w:r w:rsidR="003442D8" w:rsidRPr="006735D7">
        <w:rPr>
          <w:rFonts w:ascii="Times New Roman" w:hAnsi="Times New Roman" w:cs="Times New Roman"/>
          <w:color w:val="000000"/>
          <w:sz w:val="24"/>
          <w:szCs w:val="24"/>
          <w:shd w:val="clear" w:color="auto" w:fill="FFFFFF"/>
        </w:rPr>
        <w:t xml:space="preserve"> </w:t>
      </w:r>
      <w:r w:rsidRPr="006735D7">
        <w:rPr>
          <w:rFonts w:ascii="Times New Roman" w:hAnsi="Times New Roman" w:cs="Times New Roman"/>
          <w:color w:val="000000"/>
          <w:sz w:val="24"/>
          <w:szCs w:val="24"/>
          <w:shd w:val="clear" w:color="auto" w:fill="FFFFFF"/>
        </w:rPr>
        <w:t>11.</w:t>
      </w:r>
      <w:r w:rsidR="003442D8" w:rsidRPr="006735D7">
        <w:rPr>
          <w:rFonts w:ascii="Times New Roman" w:hAnsi="Times New Roman" w:cs="Times New Roman"/>
          <w:color w:val="000000"/>
          <w:sz w:val="24"/>
          <w:szCs w:val="24"/>
          <w:shd w:val="clear" w:color="auto" w:fill="FFFFFF"/>
        </w:rPr>
        <w:t xml:space="preserve"> </w:t>
      </w:r>
      <w:r w:rsidRPr="006735D7">
        <w:rPr>
          <w:rFonts w:ascii="Times New Roman" w:hAnsi="Times New Roman" w:cs="Times New Roman"/>
          <w:color w:val="000000"/>
          <w:sz w:val="24"/>
          <w:szCs w:val="24"/>
          <w:shd w:val="clear" w:color="auto" w:fill="FFFFFF"/>
        </w:rPr>
        <w:t>2012)</w:t>
      </w:r>
      <w:bookmarkEnd w:id="20"/>
      <w:bookmarkEnd w:id="21"/>
      <w:bookmarkEnd w:id="22"/>
    </w:p>
    <w:p w:rsidR="005C286B" w:rsidRPr="006735D7" w:rsidRDefault="003442D8" w:rsidP="006735D7">
      <w:pPr>
        <w:pStyle w:val="Default"/>
        <w:spacing w:line="360" w:lineRule="auto"/>
        <w:jc w:val="both"/>
        <w:rPr>
          <w:rFonts w:ascii="Times New Roman" w:hAnsi="Times New Roman" w:cs="Times New Roman"/>
        </w:rPr>
      </w:pPr>
      <w:r w:rsidRPr="006735D7">
        <w:rPr>
          <w:rFonts w:ascii="Times New Roman" w:hAnsi="Times New Roman" w:cs="Times New Roman"/>
        </w:rPr>
        <w:t xml:space="preserve">Vasquez, John A. </w:t>
      </w:r>
      <w:r w:rsidR="005C286B" w:rsidRPr="006735D7">
        <w:rPr>
          <w:rFonts w:ascii="Times New Roman" w:hAnsi="Times New Roman" w:cs="Times New Roman"/>
        </w:rPr>
        <w:t xml:space="preserve">1997. „The Realist Paradigm and Degenerative versus Progressive Research Programs: An Appraisal of Neotraditional Research on Waltz's Balancing Proposition.“ </w:t>
      </w:r>
      <w:r w:rsidR="005C286B" w:rsidRPr="006735D7">
        <w:rPr>
          <w:rFonts w:ascii="Times New Roman" w:hAnsi="Times New Roman" w:cs="Times New Roman"/>
          <w:i/>
        </w:rPr>
        <w:t>The American Political Science Review</w:t>
      </w:r>
      <w:r w:rsidR="005C286B" w:rsidRPr="006735D7">
        <w:rPr>
          <w:rFonts w:ascii="Times New Roman" w:hAnsi="Times New Roman" w:cs="Times New Roman"/>
        </w:rPr>
        <w:t xml:space="preserve"> 91 (4): 899-912.</w:t>
      </w:r>
    </w:p>
    <w:p w:rsidR="00D62210" w:rsidRPr="006735D7" w:rsidRDefault="00D62210" w:rsidP="006735D7">
      <w:pPr>
        <w:pStyle w:val="Default"/>
        <w:spacing w:line="360" w:lineRule="auto"/>
        <w:jc w:val="both"/>
        <w:rPr>
          <w:rFonts w:ascii="Times New Roman" w:hAnsi="Times New Roman" w:cs="Times New Roman"/>
        </w:rPr>
      </w:pPr>
    </w:p>
    <w:p w:rsidR="005C286B" w:rsidRPr="006735D7" w:rsidRDefault="005C286B" w:rsidP="006735D7">
      <w:pPr>
        <w:pStyle w:val="Default"/>
        <w:spacing w:line="360" w:lineRule="auto"/>
        <w:jc w:val="both"/>
        <w:rPr>
          <w:rFonts w:ascii="Times New Roman" w:hAnsi="Times New Roman" w:cs="Times New Roman"/>
        </w:rPr>
      </w:pPr>
      <w:r w:rsidRPr="006735D7">
        <w:rPr>
          <w:rFonts w:ascii="Times New Roman" w:hAnsi="Times New Roman" w:cs="Times New Roman"/>
        </w:rPr>
        <w:t>Walt, Stephen M. 1985. „Alliance Formation and the Balance of World Power</w:t>
      </w:r>
      <w:r w:rsidRPr="006735D7">
        <w:rPr>
          <w:rFonts w:ascii="Times New Roman" w:hAnsi="Times New Roman" w:cs="Times New Roman"/>
          <w:i/>
        </w:rPr>
        <w:t>.</w:t>
      </w:r>
      <w:r w:rsidRPr="006735D7">
        <w:rPr>
          <w:rFonts w:ascii="Times New Roman" w:hAnsi="Times New Roman" w:cs="Times New Roman"/>
        </w:rPr>
        <w:t>“</w:t>
      </w:r>
      <w:r w:rsidRPr="006735D7">
        <w:rPr>
          <w:rFonts w:ascii="Times New Roman" w:hAnsi="Times New Roman" w:cs="Times New Roman"/>
          <w:i/>
        </w:rPr>
        <w:t xml:space="preserve"> International Securit</w:t>
      </w:r>
      <w:r w:rsidRPr="006735D7">
        <w:rPr>
          <w:rFonts w:ascii="Times New Roman" w:hAnsi="Times New Roman" w:cs="Times New Roman"/>
        </w:rPr>
        <w:t xml:space="preserve">y  9 (4): 3-43. </w:t>
      </w:r>
    </w:p>
    <w:p w:rsidR="005C286B" w:rsidRPr="006735D7" w:rsidRDefault="005C286B" w:rsidP="006735D7">
      <w:pPr>
        <w:pStyle w:val="Default"/>
        <w:spacing w:line="360" w:lineRule="auto"/>
        <w:jc w:val="both"/>
        <w:rPr>
          <w:rFonts w:ascii="Times New Roman" w:hAnsi="Times New Roman" w:cs="Times New Roman"/>
        </w:rPr>
      </w:pPr>
    </w:p>
    <w:p w:rsidR="005C286B" w:rsidRPr="006735D7" w:rsidRDefault="005C286B" w:rsidP="006735D7">
      <w:pPr>
        <w:pStyle w:val="Default"/>
        <w:spacing w:line="360" w:lineRule="auto"/>
        <w:jc w:val="both"/>
        <w:rPr>
          <w:rFonts w:ascii="Times New Roman" w:hAnsi="Times New Roman" w:cs="Times New Roman"/>
        </w:rPr>
      </w:pPr>
      <w:r w:rsidRPr="006735D7">
        <w:rPr>
          <w:rFonts w:ascii="Times New Roman" w:hAnsi="Times New Roman" w:cs="Times New Roman"/>
        </w:rPr>
        <w:t xml:space="preserve">Walt, Stephen M. 1997. „The Progressive Power of Realism.“ </w:t>
      </w:r>
      <w:r w:rsidRPr="006735D7">
        <w:rPr>
          <w:rFonts w:ascii="Times New Roman" w:hAnsi="Times New Roman" w:cs="Times New Roman"/>
          <w:i/>
        </w:rPr>
        <w:t>The American Political Science Review</w:t>
      </w:r>
      <w:r w:rsidRPr="006735D7">
        <w:rPr>
          <w:rFonts w:ascii="Times New Roman" w:hAnsi="Times New Roman" w:cs="Times New Roman"/>
        </w:rPr>
        <w:t xml:space="preserve"> 91 (4): 931-935.</w:t>
      </w:r>
    </w:p>
    <w:p w:rsidR="005C286B" w:rsidRPr="006735D7" w:rsidRDefault="005C286B" w:rsidP="006735D7">
      <w:pPr>
        <w:pStyle w:val="Default"/>
        <w:spacing w:line="360" w:lineRule="auto"/>
        <w:jc w:val="both"/>
        <w:rPr>
          <w:rFonts w:ascii="Times New Roman" w:hAnsi="Times New Roman" w:cs="Times New Roman"/>
        </w:rPr>
      </w:pPr>
    </w:p>
    <w:p w:rsidR="005C286B" w:rsidRPr="006735D7" w:rsidRDefault="005C286B" w:rsidP="006735D7">
      <w:pPr>
        <w:pStyle w:val="Default"/>
        <w:spacing w:line="360" w:lineRule="auto"/>
        <w:jc w:val="both"/>
        <w:rPr>
          <w:rFonts w:ascii="Times New Roman" w:hAnsi="Times New Roman" w:cs="Times New Roman"/>
        </w:rPr>
      </w:pPr>
      <w:r w:rsidRPr="006735D7">
        <w:rPr>
          <w:rFonts w:ascii="Times New Roman" w:hAnsi="Times New Roman" w:cs="Times New Roman"/>
        </w:rPr>
        <w:t xml:space="preserve">Waltz, Kenneth N. 1997. „Evaluating Theories.“ </w:t>
      </w:r>
      <w:r w:rsidRPr="006735D7">
        <w:rPr>
          <w:rFonts w:ascii="Times New Roman" w:hAnsi="Times New Roman" w:cs="Times New Roman"/>
          <w:i/>
        </w:rPr>
        <w:t>The American Political Science Review</w:t>
      </w:r>
      <w:r w:rsidRPr="006735D7">
        <w:rPr>
          <w:rFonts w:ascii="Times New Roman" w:hAnsi="Times New Roman" w:cs="Times New Roman"/>
        </w:rPr>
        <w:t xml:space="preserve">, 91 (4): 913-917. </w:t>
      </w:r>
    </w:p>
    <w:p w:rsidR="005C286B" w:rsidRPr="006735D7" w:rsidRDefault="005C286B" w:rsidP="006735D7">
      <w:pPr>
        <w:pStyle w:val="Default"/>
        <w:spacing w:line="360" w:lineRule="auto"/>
        <w:jc w:val="both"/>
        <w:rPr>
          <w:rFonts w:ascii="Times New Roman" w:hAnsi="Times New Roman" w:cs="Times New Roman"/>
        </w:rPr>
      </w:pPr>
    </w:p>
    <w:p w:rsidR="005C286B" w:rsidRDefault="00B51CC0" w:rsidP="006735D7">
      <w:pPr>
        <w:pStyle w:val="Default"/>
        <w:spacing w:line="360" w:lineRule="auto"/>
        <w:jc w:val="both"/>
        <w:rPr>
          <w:rFonts w:ascii="Times New Roman" w:hAnsi="Times New Roman" w:cs="Times New Roman"/>
          <w:color w:val="auto"/>
        </w:rPr>
      </w:pPr>
      <w:hyperlink r:id="rId16" w:history="1">
        <w:r w:rsidR="00C01D3B" w:rsidRPr="006735D7">
          <w:rPr>
            <w:rStyle w:val="Hypertextovodkaz"/>
            <w:rFonts w:ascii="Times New Roman" w:hAnsi="Times New Roman" w:cs="Times New Roman"/>
            <w:color w:val="auto"/>
            <w:u w:val="none"/>
          </w:rPr>
          <w:t>http://databank.worldbank.org/data/views/reports/chart.aspx</w:t>
        </w:r>
      </w:hyperlink>
      <w:r w:rsidR="00C01D3B" w:rsidRPr="006735D7">
        <w:rPr>
          <w:rFonts w:ascii="Times New Roman" w:hAnsi="Times New Roman" w:cs="Times New Roman"/>
          <w:color w:val="auto"/>
        </w:rPr>
        <w:t xml:space="preserve"> (20.4.2013) </w:t>
      </w:r>
    </w:p>
    <w:p w:rsidR="00C57EAD" w:rsidRDefault="00C57EAD" w:rsidP="006735D7">
      <w:pPr>
        <w:pStyle w:val="Default"/>
        <w:spacing w:line="360" w:lineRule="auto"/>
        <w:jc w:val="both"/>
        <w:rPr>
          <w:rFonts w:ascii="Times New Roman" w:hAnsi="Times New Roman" w:cs="Times New Roman"/>
          <w:color w:val="auto"/>
        </w:rPr>
      </w:pPr>
    </w:p>
    <w:p w:rsidR="00C57EAD" w:rsidRDefault="00C57EAD" w:rsidP="006735D7">
      <w:pPr>
        <w:pStyle w:val="Default"/>
        <w:spacing w:line="360" w:lineRule="auto"/>
        <w:jc w:val="both"/>
        <w:rPr>
          <w:rFonts w:ascii="Times New Roman" w:hAnsi="Times New Roman" w:cs="Times New Roman"/>
          <w:color w:val="auto"/>
        </w:rPr>
      </w:pPr>
    </w:p>
    <w:p w:rsidR="00C57EAD" w:rsidRDefault="00C57EAD" w:rsidP="006735D7">
      <w:pPr>
        <w:pStyle w:val="Default"/>
        <w:spacing w:line="360" w:lineRule="auto"/>
        <w:jc w:val="both"/>
        <w:rPr>
          <w:rFonts w:ascii="Times New Roman" w:hAnsi="Times New Roman" w:cs="Times New Roman"/>
          <w:color w:val="auto"/>
        </w:rPr>
      </w:pPr>
    </w:p>
    <w:p w:rsidR="00C57EAD" w:rsidRDefault="00C57EAD" w:rsidP="006735D7">
      <w:pPr>
        <w:pStyle w:val="Default"/>
        <w:spacing w:line="360" w:lineRule="auto"/>
        <w:jc w:val="both"/>
        <w:rPr>
          <w:rFonts w:ascii="Times New Roman" w:hAnsi="Times New Roman" w:cs="Times New Roman"/>
          <w:color w:val="auto"/>
        </w:rPr>
      </w:pPr>
    </w:p>
    <w:p w:rsidR="00C57EAD" w:rsidRDefault="00C57EAD" w:rsidP="006735D7">
      <w:pPr>
        <w:pStyle w:val="Default"/>
        <w:spacing w:line="360" w:lineRule="auto"/>
        <w:jc w:val="both"/>
        <w:rPr>
          <w:rFonts w:ascii="Times New Roman" w:hAnsi="Times New Roman" w:cs="Times New Roman"/>
          <w:color w:val="auto"/>
        </w:rPr>
      </w:pPr>
    </w:p>
    <w:p w:rsidR="00C57EAD" w:rsidRDefault="00C57EAD" w:rsidP="006735D7">
      <w:pPr>
        <w:pStyle w:val="Default"/>
        <w:spacing w:line="360" w:lineRule="auto"/>
        <w:jc w:val="both"/>
        <w:rPr>
          <w:rFonts w:ascii="Times New Roman" w:hAnsi="Times New Roman" w:cs="Times New Roman"/>
          <w:color w:val="auto"/>
        </w:rPr>
      </w:pPr>
    </w:p>
    <w:p w:rsidR="00C57EAD" w:rsidRDefault="00C57EAD" w:rsidP="006735D7">
      <w:pPr>
        <w:pStyle w:val="Default"/>
        <w:spacing w:line="360" w:lineRule="auto"/>
        <w:jc w:val="both"/>
        <w:rPr>
          <w:rFonts w:ascii="Times New Roman" w:hAnsi="Times New Roman" w:cs="Times New Roman"/>
          <w:color w:val="auto"/>
        </w:rPr>
      </w:pPr>
    </w:p>
    <w:p w:rsidR="00C57EAD" w:rsidRDefault="00C57EAD" w:rsidP="006735D7">
      <w:pPr>
        <w:pStyle w:val="Default"/>
        <w:spacing w:line="360" w:lineRule="auto"/>
        <w:jc w:val="both"/>
        <w:rPr>
          <w:rFonts w:ascii="Times New Roman" w:hAnsi="Times New Roman" w:cs="Times New Roman"/>
          <w:color w:val="auto"/>
        </w:rPr>
      </w:pPr>
    </w:p>
    <w:p w:rsidR="00C57EAD" w:rsidRDefault="00C57EAD" w:rsidP="006735D7">
      <w:pPr>
        <w:pStyle w:val="Default"/>
        <w:spacing w:line="360" w:lineRule="auto"/>
        <w:jc w:val="both"/>
        <w:rPr>
          <w:rFonts w:ascii="Times New Roman" w:hAnsi="Times New Roman" w:cs="Times New Roman"/>
          <w:color w:val="auto"/>
        </w:rPr>
      </w:pPr>
    </w:p>
    <w:p w:rsidR="00C57EAD" w:rsidRDefault="00C57EAD" w:rsidP="006735D7">
      <w:pPr>
        <w:pStyle w:val="Default"/>
        <w:spacing w:line="360" w:lineRule="auto"/>
        <w:jc w:val="both"/>
        <w:rPr>
          <w:rFonts w:ascii="Times New Roman" w:hAnsi="Times New Roman" w:cs="Times New Roman"/>
          <w:color w:val="auto"/>
        </w:rPr>
      </w:pPr>
    </w:p>
    <w:p w:rsidR="00C57EAD" w:rsidRDefault="00C57EAD" w:rsidP="006735D7">
      <w:pPr>
        <w:pStyle w:val="Default"/>
        <w:spacing w:line="360" w:lineRule="auto"/>
        <w:jc w:val="both"/>
        <w:rPr>
          <w:rFonts w:ascii="Times New Roman" w:hAnsi="Times New Roman" w:cs="Times New Roman"/>
          <w:color w:val="auto"/>
        </w:rPr>
      </w:pPr>
    </w:p>
    <w:p w:rsidR="00C57EAD" w:rsidRDefault="00C57EAD" w:rsidP="006735D7">
      <w:pPr>
        <w:pStyle w:val="Default"/>
        <w:spacing w:line="360" w:lineRule="auto"/>
        <w:jc w:val="both"/>
        <w:rPr>
          <w:rFonts w:ascii="Times New Roman" w:hAnsi="Times New Roman" w:cs="Times New Roman"/>
          <w:color w:val="auto"/>
        </w:rPr>
      </w:pPr>
    </w:p>
    <w:p w:rsidR="00C57EAD" w:rsidRDefault="00C57EAD" w:rsidP="006735D7">
      <w:pPr>
        <w:pStyle w:val="Default"/>
        <w:spacing w:line="360" w:lineRule="auto"/>
        <w:jc w:val="both"/>
        <w:rPr>
          <w:rFonts w:ascii="Times New Roman" w:hAnsi="Times New Roman" w:cs="Times New Roman"/>
          <w:color w:val="auto"/>
        </w:rPr>
      </w:pPr>
    </w:p>
    <w:p w:rsidR="006B6A06" w:rsidRDefault="006B6A06" w:rsidP="006735D7">
      <w:pPr>
        <w:pStyle w:val="Default"/>
        <w:spacing w:line="360" w:lineRule="auto"/>
        <w:jc w:val="both"/>
        <w:rPr>
          <w:rFonts w:ascii="Times New Roman" w:hAnsi="Times New Roman" w:cs="Times New Roman"/>
          <w:color w:val="auto"/>
        </w:rPr>
      </w:pPr>
    </w:p>
    <w:p w:rsidR="006B6A06" w:rsidRDefault="006B6A06" w:rsidP="006735D7">
      <w:pPr>
        <w:pStyle w:val="Default"/>
        <w:spacing w:line="360" w:lineRule="auto"/>
        <w:jc w:val="both"/>
        <w:rPr>
          <w:rFonts w:ascii="Times New Roman" w:hAnsi="Times New Roman" w:cs="Times New Roman"/>
          <w:color w:val="auto"/>
        </w:rPr>
      </w:pPr>
    </w:p>
    <w:p w:rsidR="006B6A06" w:rsidRDefault="006B6A06" w:rsidP="006735D7">
      <w:pPr>
        <w:pStyle w:val="Default"/>
        <w:spacing w:line="360" w:lineRule="auto"/>
        <w:jc w:val="both"/>
        <w:rPr>
          <w:rFonts w:ascii="Times New Roman" w:hAnsi="Times New Roman" w:cs="Times New Roman"/>
          <w:color w:val="auto"/>
        </w:rPr>
      </w:pPr>
    </w:p>
    <w:p w:rsidR="006B6A06" w:rsidRDefault="006B6A06" w:rsidP="006735D7">
      <w:pPr>
        <w:pStyle w:val="Default"/>
        <w:spacing w:line="360" w:lineRule="auto"/>
        <w:jc w:val="both"/>
        <w:rPr>
          <w:rFonts w:ascii="Times New Roman" w:hAnsi="Times New Roman" w:cs="Times New Roman"/>
          <w:color w:val="auto"/>
        </w:rPr>
      </w:pPr>
    </w:p>
    <w:p w:rsidR="006B6A06" w:rsidRDefault="006B6A06" w:rsidP="006735D7">
      <w:pPr>
        <w:pStyle w:val="Default"/>
        <w:spacing w:line="360" w:lineRule="auto"/>
        <w:jc w:val="both"/>
        <w:rPr>
          <w:rFonts w:ascii="Times New Roman" w:hAnsi="Times New Roman" w:cs="Times New Roman"/>
          <w:color w:val="auto"/>
        </w:rPr>
      </w:pPr>
    </w:p>
    <w:p w:rsidR="006B6A06" w:rsidRDefault="006B6A06" w:rsidP="006735D7">
      <w:pPr>
        <w:pStyle w:val="Default"/>
        <w:spacing w:line="360" w:lineRule="auto"/>
        <w:jc w:val="both"/>
        <w:rPr>
          <w:rFonts w:ascii="Times New Roman" w:hAnsi="Times New Roman" w:cs="Times New Roman"/>
          <w:color w:val="auto"/>
        </w:rPr>
      </w:pPr>
    </w:p>
    <w:p w:rsidR="006B6A06" w:rsidRDefault="006B6A06" w:rsidP="006735D7">
      <w:pPr>
        <w:pStyle w:val="Default"/>
        <w:spacing w:line="360" w:lineRule="auto"/>
        <w:jc w:val="both"/>
        <w:rPr>
          <w:rFonts w:ascii="Times New Roman" w:hAnsi="Times New Roman" w:cs="Times New Roman"/>
          <w:color w:val="auto"/>
        </w:rPr>
      </w:pPr>
    </w:p>
    <w:p w:rsidR="006B6A06" w:rsidRDefault="006B6A06" w:rsidP="006735D7">
      <w:pPr>
        <w:pStyle w:val="Default"/>
        <w:spacing w:line="360" w:lineRule="auto"/>
        <w:jc w:val="both"/>
        <w:rPr>
          <w:rFonts w:ascii="Times New Roman" w:hAnsi="Times New Roman" w:cs="Times New Roman"/>
          <w:color w:val="auto"/>
        </w:rPr>
      </w:pPr>
    </w:p>
    <w:p w:rsidR="006B6A06" w:rsidRDefault="006B6A06" w:rsidP="006735D7">
      <w:pPr>
        <w:pStyle w:val="Default"/>
        <w:spacing w:line="360" w:lineRule="auto"/>
        <w:jc w:val="both"/>
        <w:rPr>
          <w:rFonts w:ascii="Times New Roman" w:hAnsi="Times New Roman" w:cs="Times New Roman"/>
          <w:color w:val="auto"/>
        </w:rPr>
      </w:pPr>
    </w:p>
    <w:p w:rsidR="006B6A06" w:rsidRDefault="006B6A06" w:rsidP="006735D7">
      <w:pPr>
        <w:pStyle w:val="Default"/>
        <w:spacing w:line="360" w:lineRule="auto"/>
        <w:jc w:val="both"/>
        <w:rPr>
          <w:rFonts w:ascii="Times New Roman" w:hAnsi="Times New Roman" w:cs="Times New Roman"/>
          <w:color w:val="auto"/>
        </w:rPr>
      </w:pPr>
    </w:p>
    <w:p w:rsidR="006B6A06" w:rsidRDefault="006B6A06" w:rsidP="006735D7">
      <w:pPr>
        <w:pStyle w:val="Default"/>
        <w:spacing w:line="360" w:lineRule="auto"/>
        <w:jc w:val="both"/>
        <w:rPr>
          <w:rFonts w:ascii="Times New Roman" w:hAnsi="Times New Roman" w:cs="Times New Roman"/>
          <w:color w:val="auto"/>
        </w:rPr>
      </w:pPr>
    </w:p>
    <w:p w:rsidR="006B6A06" w:rsidRDefault="006B6A06" w:rsidP="006735D7">
      <w:pPr>
        <w:pStyle w:val="Default"/>
        <w:spacing w:line="360" w:lineRule="auto"/>
        <w:jc w:val="both"/>
        <w:rPr>
          <w:rFonts w:ascii="Times New Roman" w:hAnsi="Times New Roman" w:cs="Times New Roman"/>
          <w:color w:val="auto"/>
        </w:rPr>
      </w:pPr>
    </w:p>
    <w:p w:rsidR="006B6A06" w:rsidRPr="006735D7" w:rsidRDefault="006B6A06" w:rsidP="006735D7">
      <w:pPr>
        <w:pStyle w:val="Default"/>
        <w:spacing w:line="360" w:lineRule="auto"/>
        <w:jc w:val="both"/>
        <w:rPr>
          <w:rFonts w:ascii="Times New Roman" w:hAnsi="Times New Roman" w:cs="Times New Roman"/>
          <w:color w:val="auto"/>
        </w:rPr>
      </w:pPr>
    </w:p>
    <w:p w:rsidR="005C286B" w:rsidRPr="00026D3E" w:rsidRDefault="005C286B" w:rsidP="00461DFA">
      <w:pPr>
        <w:pStyle w:val="Nadpis2"/>
        <w:numPr>
          <w:ilvl w:val="1"/>
          <w:numId w:val="18"/>
        </w:numPr>
      </w:pPr>
      <w:bookmarkStart w:id="23" w:name="_Toc354703593"/>
      <w:r w:rsidRPr="00026D3E">
        <w:lastRenderedPageBreak/>
        <w:t>Literatura</w:t>
      </w:r>
      <w:bookmarkEnd w:id="23"/>
    </w:p>
    <w:p w:rsidR="005C286B" w:rsidRPr="00026D3E" w:rsidRDefault="005C286B" w:rsidP="005C286B">
      <w:pPr>
        <w:spacing w:line="360" w:lineRule="auto"/>
        <w:jc w:val="both"/>
        <w:rPr>
          <w:rFonts w:ascii="Times New Roman" w:hAnsi="Times New Roman" w:cs="Times New Roman"/>
          <w:sz w:val="24"/>
          <w:szCs w:val="24"/>
        </w:rPr>
      </w:pPr>
      <w:r w:rsidRPr="00026D3E">
        <w:rPr>
          <w:rFonts w:ascii="Times New Roman" w:hAnsi="Times New Roman" w:cs="Times New Roman"/>
          <w:sz w:val="24"/>
          <w:szCs w:val="24"/>
        </w:rPr>
        <w:t>Brož, Ivan.</w:t>
      </w:r>
      <w:r w:rsidR="00D62210">
        <w:rPr>
          <w:rFonts w:ascii="Times New Roman" w:hAnsi="Times New Roman" w:cs="Times New Roman"/>
          <w:sz w:val="24"/>
          <w:szCs w:val="24"/>
        </w:rPr>
        <w:t xml:space="preserve"> </w:t>
      </w:r>
      <w:r w:rsidRPr="00026D3E">
        <w:rPr>
          <w:rFonts w:ascii="Times New Roman" w:hAnsi="Times New Roman" w:cs="Times New Roman"/>
          <w:sz w:val="24"/>
          <w:szCs w:val="24"/>
        </w:rPr>
        <w:t>2007.</w:t>
      </w:r>
      <w:r w:rsidR="00D62210">
        <w:rPr>
          <w:rFonts w:ascii="Times New Roman" w:hAnsi="Times New Roman" w:cs="Times New Roman"/>
          <w:sz w:val="24"/>
          <w:szCs w:val="24"/>
        </w:rPr>
        <w:t xml:space="preserve"> </w:t>
      </w:r>
      <w:r w:rsidRPr="00026D3E">
        <w:rPr>
          <w:rFonts w:ascii="Times New Roman" w:hAnsi="Times New Roman" w:cs="Times New Roman"/>
          <w:i/>
          <w:sz w:val="24"/>
          <w:szCs w:val="24"/>
        </w:rPr>
        <w:t>Husajn kontra Chomejní. Irácko – Íránská válka 1980-1988</w:t>
      </w:r>
      <w:r w:rsidRPr="00026D3E">
        <w:rPr>
          <w:rFonts w:ascii="Times New Roman" w:hAnsi="Times New Roman" w:cs="Times New Roman"/>
          <w:sz w:val="24"/>
          <w:szCs w:val="24"/>
        </w:rPr>
        <w:t>. Praha: Epocha.</w:t>
      </w:r>
    </w:p>
    <w:p w:rsidR="005C286B" w:rsidRPr="00026D3E" w:rsidRDefault="005C286B" w:rsidP="005C286B">
      <w:pPr>
        <w:spacing w:line="360" w:lineRule="auto"/>
        <w:jc w:val="both"/>
        <w:rPr>
          <w:rFonts w:ascii="Times New Roman" w:hAnsi="Times New Roman" w:cs="Times New Roman"/>
          <w:sz w:val="24"/>
          <w:szCs w:val="24"/>
        </w:rPr>
      </w:pPr>
      <w:r w:rsidRPr="00026D3E">
        <w:rPr>
          <w:rFonts w:ascii="Times New Roman" w:hAnsi="Times New Roman" w:cs="Times New Roman"/>
          <w:sz w:val="24"/>
          <w:szCs w:val="24"/>
        </w:rPr>
        <w:t xml:space="preserve">Drulák, Petr. </w:t>
      </w:r>
      <w:r w:rsidR="00D62210">
        <w:rPr>
          <w:rFonts w:ascii="Times New Roman" w:hAnsi="Times New Roman" w:cs="Times New Roman"/>
          <w:sz w:val="24"/>
          <w:szCs w:val="24"/>
        </w:rPr>
        <w:t xml:space="preserve"> </w:t>
      </w:r>
      <w:r w:rsidRPr="00026D3E">
        <w:rPr>
          <w:rFonts w:ascii="Times New Roman" w:hAnsi="Times New Roman" w:cs="Times New Roman"/>
          <w:sz w:val="24"/>
          <w:szCs w:val="24"/>
        </w:rPr>
        <w:t>2003.</w:t>
      </w:r>
      <w:r w:rsidR="00D62210">
        <w:rPr>
          <w:rFonts w:ascii="Times New Roman" w:hAnsi="Times New Roman" w:cs="Times New Roman"/>
          <w:sz w:val="24"/>
          <w:szCs w:val="24"/>
        </w:rPr>
        <w:t xml:space="preserve"> </w:t>
      </w:r>
      <w:r w:rsidRPr="00026D3E">
        <w:rPr>
          <w:rFonts w:ascii="Times New Roman" w:hAnsi="Times New Roman" w:cs="Times New Roman"/>
          <w:i/>
          <w:sz w:val="24"/>
          <w:szCs w:val="24"/>
        </w:rPr>
        <w:t>Teorie</w:t>
      </w:r>
      <w:r w:rsidR="00D62210">
        <w:rPr>
          <w:rFonts w:ascii="Times New Roman" w:hAnsi="Times New Roman" w:cs="Times New Roman"/>
          <w:i/>
          <w:sz w:val="24"/>
          <w:szCs w:val="24"/>
        </w:rPr>
        <w:t xml:space="preserve"> </w:t>
      </w:r>
      <w:r w:rsidRPr="00026D3E">
        <w:rPr>
          <w:rFonts w:ascii="Times New Roman" w:hAnsi="Times New Roman" w:cs="Times New Roman"/>
          <w:i/>
          <w:sz w:val="24"/>
          <w:szCs w:val="24"/>
        </w:rPr>
        <w:t>mezinárodních vztahů</w:t>
      </w:r>
      <w:r w:rsidRPr="00026D3E">
        <w:rPr>
          <w:rFonts w:ascii="Times New Roman" w:hAnsi="Times New Roman" w:cs="Times New Roman"/>
          <w:sz w:val="24"/>
          <w:szCs w:val="24"/>
        </w:rPr>
        <w:t>. Praha:Portál.</w:t>
      </w:r>
    </w:p>
    <w:p w:rsidR="005C286B" w:rsidRPr="00026D3E" w:rsidRDefault="005C286B" w:rsidP="005C286B">
      <w:pPr>
        <w:spacing w:line="360" w:lineRule="auto"/>
        <w:jc w:val="both"/>
        <w:rPr>
          <w:rFonts w:ascii="Times New Roman" w:hAnsi="Times New Roman" w:cs="Times New Roman"/>
          <w:sz w:val="24"/>
          <w:szCs w:val="24"/>
        </w:rPr>
      </w:pPr>
      <w:r w:rsidRPr="00026D3E">
        <w:rPr>
          <w:rFonts w:ascii="Times New Roman" w:hAnsi="Times New Roman" w:cs="Times New Roman"/>
          <w:sz w:val="24"/>
          <w:szCs w:val="24"/>
        </w:rPr>
        <w:t>Drysdale, Alastair. Blake, Gerald H.</w:t>
      </w:r>
      <w:r w:rsidR="00D62210">
        <w:rPr>
          <w:rFonts w:ascii="Times New Roman" w:hAnsi="Times New Roman" w:cs="Times New Roman"/>
          <w:sz w:val="24"/>
          <w:szCs w:val="24"/>
        </w:rPr>
        <w:t xml:space="preserve"> </w:t>
      </w:r>
      <w:r w:rsidRPr="00026D3E">
        <w:rPr>
          <w:rFonts w:ascii="Times New Roman" w:hAnsi="Times New Roman" w:cs="Times New Roman"/>
          <w:sz w:val="24"/>
          <w:szCs w:val="24"/>
        </w:rPr>
        <w:t xml:space="preserve">1985. </w:t>
      </w:r>
      <w:r w:rsidRPr="00026D3E">
        <w:rPr>
          <w:rFonts w:ascii="Times New Roman" w:hAnsi="Times New Roman" w:cs="Times New Roman"/>
          <w:i/>
          <w:sz w:val="24"/>
          <w:szCs w:val="24"/>
        </w:rPr>
        <w:t>The Middle East and North Africa. A Political Geography</w:t>
      </w:r>
      <w:r w:rsidRPr="00026D3E">
        <w:rPr>
          <w:rFonts w:ascii="Times New Roman" w:hAnsi="Times New Roman" w:cs="Times New Roman"/>
          <w:sz w:val="24"/>
          <w:szCs w:val="24"/>
        </w:rPr>
        <w:t>. New York: Oxford University Press.</w:t>
      </w:r>
    </w:p>
    <w:p w:rsidR="005C286B" w:rsidRPr="00026D3E" w:rsidRDefault="005C286B" w:rsidP="005C286B">
      <w:pPr>
        <w:spacing w:line="360" w:lineRule="auto"/>
        <w:jc w:val="both"/>
        <w:rPr>
          <w:rFonts w:ascii="Times New Roman" w:hAnsi="Times New Roman" w:cs="Times New Roman"/>
          <w:sz w:val="24"/>
          <w:szCs w:val="24"/>
        </w:rPr>
      </w:pPr>
      <w:r w:rsidRPr="00026D3E">
        <w:rPr>
          <w:rFonts w:ascii="Times New Roman" w:hAnsi="Times New Roman" w:cs="Times New Roman"/>
          <w:sz w:val="24"/>
          <w:szCs w:val="24"/>
        </w:rPr>
        <w:t>Ehteshami, Anoushiravan, Hinnebusch, Raymond A.</w:t>
      </w:r>
      <w:r w:rsidR="00B53F01">
        <w:rPr>
          <w:rFonts w:ascii="Times New Roman" w:hAnsi="Times New Roman" w:cs="Times New Roman"/>
          <w:sz w:val="24"/>
          <w:szCs w:val="24"/>
        </w:rPr>
        <w:t xml:space="preserve"> </w:t>
      </w:r>
      <w:r w:rsidRPr="00026D3E">
        <w:rPr>
          <w:rFonts w:ascii="Times New Roman" w:hAnsi="Times New Roman" w:cs="Times New Roman"/>
          <w:sz w:val="24"/>
          <w:szCs w:val="24"/>
        </w:rPr>
        <w:t xml:space="preserve">1997. </w:t>
      </w:r>
      <w:r w:rsidRPr="00026D3E">
        <w:rPr>
          <w:rFonts w:ascii="Times New Roman" w:hAnsi="Times New Roman" w:cs="Times New Roman"/>
          <w:i/>
          <w:sz w:val="24"/>
          <w:szCs w:val="24"/>
        </w:rPr>
        <w:t>Syria and Iran.Middle Powers in a penetrated regional system</w:t>
      </w:r>
      <w:r w:rsidRPr="00026D3E">
        <w:rPr>
          <w:rFonts w:ascii="Times New Roman" w:hAnsi="Times New Roman" w:cs="Times New Roman"/>
          <w:sz w:val="24"/>
          <w:szCs w:val="24"/>
        </w:rPr>
        <w:t xml:space="preserve">. London and New York: Routledge. </w:t>
      </w:r>
    </w:p>
    <w:p w:rsidR="005C286B" w:rsidRPr="00026D3E" w:rsidRDefault="005C286B" w:rsidP="005C286B">
      <w:pPr>
        <w:pStyle w:val="Default"/>
        <w:spacing w:line="360" w:lineRule="auto"/>
        <w:jc w:val="both"/>
        <w:rPr>
          <w:rFonts w:ascii="Times New Roman" w:hAnsi="Times New Roman" w:cs="Times New Roman"/>
        </w:rPr>
      </w:pPr>
      <w:r w:rsidRPr="00026D3E">
        <w:rPr>
          <w:rFonts w:ascii="Times New Roman" w:hAnsi="Times New Roman" w:cs="Times New Roman"/>
        </w:rPr>
        <w:t xml:space="preserve">Evans, Graham, Newnham, Richard. (1998). </w:t>
      </w:r>
      <w:r w:rsidRPr="00026D3E">
        <w:rPr>
          <w:rFonts w:ascii="Times New Roman" w:hAnsi="Times New Roman" w:cs="Times New Roman"/>
          <w:i/>
        </w:rPr>
        <w:t>Dictionary of International Relations</w:t>
      </w:r>
      <w:r w:rsidRPr="00026D3E">
        <w:rPr>
          <w:rFonts w:ascii="Times New Roman" w:hAnsi="Times New Roman" w:cs="Times New Roman"/>
        </w:rPr>
        <w:t>. London:Penguin.</w:t>
      </w:r>
    </w:p>
    <w:p w:rsidR="005C286B" w:rsidRPr="00026D3E" w:rsidRDefault="005C286B" w:rsidP="005C286B">
      <w:pPr>
        <w:spacing w:line="360" w:lineRule="auto"/>
        <w:jc w:val="both"/>
        <w:rPr>
          <w:rFonts w:ascii="Times New Roman" w:hAnsi="Times New Roman" w:cs="Times New Roman"/>
          <w:sz w:val="24"/>
          <w:szCs w:val="24"/>
        </w:rPr>
      </w:pPr>
      <w:r w:rsidRPr="00026D3E">
        <w:rPr>
          <w:rFonts w:ascii="Times New Roman" w:hAnsi="Times New Roman" w:cs="Times New Roman"/>
          <w:sz w:val="24"/>
          <w:szCs w:val="24"/>
        </w:rPr>
        <w:t>Farouk - Sluglettová, Marion, Sluglett, Peter.</w:t>
      </w:r>
      <w:r w:rsidR="00B53F01">
        <w:rPr>
          <w:rFonts w:ascii="Times New Roman" w:hAnsi="Times New Roman" w:cs="Times New Roman"/>
          <w:sz w:val="24"/>
          <w:szCs w:val="24"/>
        </w:rPr>
        <w:t xml:space="preserve"> </w:t>
      </w:r>
      <w:r w:rsidRPr="00026D3E">
        <w:rPr>
          <w:rFonts w:ascii="Times New Roman" w:hAnsi="Times New Roman" w:cs="Times New Roman"/>
          <w:sz w:val="24"/>
          <w:szCs w:val="24"/>
        </w:rPr>
        <w:t>2003.</w:t>
      </w:r>
      <w:r w:rsidR="00B53F01">
        <w:rPr>
          <w:rFonts w:ascii="Times New Roman" w:hAnsi="Times New Roman" w:cs="Times New Roman"/>
          <w:sz w:val="24"/>
          <w:szCs w:val="24"/>
        </w:rPr>
        <w:t xml:space="preserve"> </w:t>
      </w:r>
      <w:r w:rsidRPr="00026D3E">
        <w:rPr>
          <w:rFonts w:ascii="Times New Roman" w:hAnsi="Times New Roman" w:cs="Times New Roman"/>
          <w:i/>
          <w:sz w:val="24"/>
          <w:szCs w:val="24"/>
        </w:rPr>
        <w:t>Irák od roku 1958. Od revoluce k diktatuře</w:t>
      </w:r>
      <w:r w:rsidRPr="00026D3E">
        <w:rPr>
          <w:rFonts w:ascii="Times New Roman" w:hAnsi="Times New Roman" w:cs="Times New Roman"/>
          <w:sz w:val="24"/>
          <w:szCs w:val="24"/>
        </w:rPr>
        <w:t>.</w:t>
      </w:r>
      <w:r w:rsidR="00B53F01">
        <w:rPr>
          <w:rFonts w:ascii="Times New Roman" w:hAnsi="Times New Roman" w:cs="Times New Roman"/>
          <w:sz w:val="24"/>
          <w:szCs w:val="24"/>
        </w:rPr>
        <w:t xml:space="preserve"> </w:t>
      </w:r>
      <w:r w:rsidRPr="00026D3E">
        <w:rPr>
          <w:rFonts w:ascii="Times New Roman" w:hAnsi="Times New Roman" w:cs="Times New Roman"/>
          <w:sz w:val="24"/>
          <w:szCs w:val="24"/>
        </w:rPr>
        <w:t>Praha</w:t>
      </w:r>
      <w:r w:rsidR="00B53F01">
        <w:rPr>
          <w:rFonts w:ascii="Times New Roman" w:hAnsi="Times New Roman" w:cs="Times New Roman"/>
          <w:sz w:val="24"/>
          <w:szCs w:val="24"/>
        </w:rPr>
        <w:t xml:space="preserve"> </w:t>
      </w:r>
      <w:r w:rsidRPr="00026D3E">
        <w:rPr>
          <w:rFonts w:ascii="Times New Roman" w:hAnsi="Times New Roman" w:cs="Times New Roman"/>
          <w:sz w:val="24"/>
          <w:szCs w:val="24"/>
        </w:rPr>
        <w:t xml:space="preserve">: </w:t>
      </w:r>
      <w:r w:rsidR="00B53F01">
        <w:rPr>
          <w:rFonts w:ascii="Times New Roman" w:hAnsi="Times New Roman" w:cs="Times New Roman"/>
          <w:sz w:val="24"/>
          <w:szCs w:val="24"/>
        </w:rPr>
        <w:t xml:space="preserve"> </w:t>
      </w:r>
      <w:r w:rsidRPr="00026D3E">
        <w:rPr>
          <w:rFonts w:ascii="Times New Roman" w:hAnsi="Times New Roman" w:cs="Times New Roman"/>
          <w:sz w:val="24"/>
          <w:szCs w:val="24"/>
        </w:rPr>
        <w:t>Volvox Globator.</w:t>
      </w:r>
    </w:p>
    <w:p w:rsidR="005C286B" w:rsidRPr="00B53F01" w:rsidRDefault="005C286B" w:rsidP="005C286B">
      <w:pPr>
        <w:spacing w:line="360" w:lineRule="auto"/>
        <w:jc w:val="both"/>
        <w:rPr>
          <w:rFonts w:ascii="Times New Roman" w:hAnsi="Times New Roman" w:cs="Times New Roman"/>
          <w:sz w:val="24"/>
          <w:szCs w:val="24"/>
        </w:rPr>
      </w:pPr>
      <w:r w:rsidRPr="00B53F01">
        <w:rPr>
          <w:rFonts w:ascii="Times New Roman" w:hAnsi="Times New Roman" w:cs="Times New Roman"/>
          <w:sz w:val="24"/>
          <w:szCs w:val="24"/>
        </w:rPr>
        <w:t>Gallik, Daniel (ed.).</w:t>
      </w:r>
      <w:r w:rsidR="00B53F01" w:rsidRPr="00B53F01">
        <w:rPr>
          <w:rFonts w:ascii="Times New Roman" w:hAnsi="Times New Roman" w:cs="Times New Roman"/>
          <w:sz w:val="24"/>
          <w:szCs w:val="24"/>
        </w:rPr>
        <w:t xml:space="preserve"> </w:t>
      </w:r>
      <w:r w:rsidRPr="00B53F01">
        <w:rPr>
          <w:rFonts w:ascii="Times New Roman" w:hAnsi="Times New Roman" w:cs="Times New Roman"/>
          <w:sz w:val="24"/>
          <w:szCs w:val="24"/>
        </w:rPr>
        <w:t>1988.</w:t>
      </w:r>
      <w:r w:rsidR="00B53F01" w:rsidRPr="00B53F01">
        <w:rPr>
          <w:rFonts w:ascii="Times New Roman" w:hAnsi="Times New Roman" w:cs="Times New Roman"/>
          <w:sz w:val="24"/>
          <w:szCs w:val="24"/>
        </w:rPr>
        <w:t xml:space="preserve"> </w:t>
      </w:r>
      <w:r w:rsidRPr="00B53F01">
        <w:rPr>
          <w:rFonts w:ascii="Times New Roman" w:hAnsi="Times New Roman" w:cs="Times New Roman"/>
          <w:i/>
          <w:sz w:val="24"/>
          <w:szCs w:val="24"/>
        </w:rPr>
        <w:t>World Military Expenditures and Arms Transfers 1987</w:t>
      </w:r>
      <w:r w:rsidRPr="00B53F01">
        <w:rPr>
          <w:rFonts w:ascii="Times New Roman" w:hAnsi="Times New Roman" w:cs="Times New Roman"/>
          <w:sz w:val="24"/>
          <w:szCs w:val="24"/>
        </w:rPr>
        <w:t xml:space="preserve">. Washington: US Arms Control and Disarmament Agency. Dostupné z: </w:t>
      </w:r>
      <w:r w:rsidR="00B53F01" w:rsidRPr="00430CF7">
        <w:rPr>
          <w:rFonts w:ascii="Times New Roman" w:hAnsi="Times New Roman" w:cs="Times New Roman"/>
          <w:sz w:val="24"/>
          <w:szCs w:val="24"/>
          <w:lang w:val="en-US"/>
        </w:rPr>
        <w:t>&lt;</w:t>
      </w:r>
      <w:hyperlink r:id="rId17" w:history="1">
        <w:r w:rsidR="00B53F01" w:rsidRPr="00B53F01">
          <w:rPr>
            <w:rStyle w:val="Hypertextovodkaz"/>
            <w:rFonts w:ascii="Times New Roman" w:hAnsi="Times New Roman" w:cs="Times New Roman"/>
            <w:color w:val="auto"/>
            <w:sz w:val="24"/>
            <w:szCs w:val="24"/>
            <w:u w:val="none"/>
          </w:rPr>
          <w:t>http://www.state.gov/t/avc/rls/rpt/wmeat/c50834.htm&gt;  (30</w:t>
        </w:r>
      </w:hyperlink>
      <w:r w:rsidRPr="00B53F01">
        <w:rPr>
          <w:rFonts w:ascii="Times New Roman" w:hAnsi="Times New Roman" w:cs="Times New Roman"/>
          <w:sz w:val="24"/>
          <w:szCs w:val="24"/>
        </w:rPr>
        <w:t>.</w:t>
      </w:r>
      <w:r w:rsidR="00B53F01" w:rsidRPr="00B53F01">
        <w:rPr>
          <w:rFonts w:ascii="Times New Roman" w:hAnsi="Times New Roman" w:cs="Times New Roman"/>
          <w:sz w:val="24"/>
          <w:szCs w:val="24"/>
        </w:rPr>
        <w:t xml:space="preserve"> </w:t>
      </w:r>
      <w:r w:rsidRPr="00B53F01">
        <w:rPr>
          <w:rFonts w:ascii="Times New Roman" w:hAnsi="Times New Roman" w:cs="Times New Roman"/>
          <w:sz w:val="24"/>
          <w:szCs w:val="24"/>
        </w:rPr>
        <w:t>11.</w:t>
      </w:r>
      <w:r w:rsidR="00B53F01" w:rsidRPr="00B53F01">
        <w:rPr>
          <w:rFonts w:ascii="Times New Roman" w:hAnsi="Times New Roman" w:cs="Times New Roman"/>
          <w:sz w:val="24"/>
          <w:szCs w:val="24"/>
        </w:rPr>
        <w:t xml:space="preserve"> </w:t>
      </w:r>
      <w:r w:rsidRPr="00B53F01">
        <w:rPr>
          <w:rFonts w:ascii="Times New Roman" w:hAnsi="Times New Roman" w:cs="Times New Roman"/>
          <w:sz w:val="24"/>
          <w:szCs w:val="24"/>
        </w:rPr>
        <w:t>2012)</w:t>
      </w:r>
    </w:p>
    <w:p w:rsidR="005C286B" w:rsidRPr="00026D3E" w:rsidRDefault="005C286B" w:rsidP="005C286B">
      <w:pPr>
        <w:spacing w:line="360" w:lineRule="auto"/>
        <w:jc w:val="both"/>
        <w:rPr>
          <w:rFonts w:ascii="Times New Roman" w:hAnsi="Times New Roman" w:cs="Times New Roman"/>
          <w:sz w:val="24"/>
          <w:szCs w:val="24"/>
        </w:rPr>
      </w:pPr>
      <w:r w:rsidRPr="00026D3E">
        <w:rPr>
          <w:rFonts w:ascii="Times New Roman" w:hAnsi="Times New Roman" w:cs="Times New Roman"/>
          <w:sz w:val="24"/>
          <w:szCs w:val="24"/>
        </w:rPr>
        <w:t>Gombár, Eduard.</w:t>
      </w:r>
      <w:r w:rsidR="00B53F01">
        <w:rPr>
          <w:rFonts w:ascii="Times New Roman" w:hAnsi="Times New Roman" w:cs="Times New Roman"/>
          <w:sz w:val="24"/>
          <w:szCs w:val="24"/>
        </w:rPr>
        <w:t xml:space="preserve"> </w:t>
      </w:r>
      <w:r w:rsidRPr="00026D3E">
        <w:rPr>
          <w:rFonts w:ascii="Times New Roman" w:hAnsi="Times New Roman" w:cs="Times New Roman"/>
          <w:sz w:val="24"/>
          <w:szCs w:val="24"/>
        </w:rPr>
        <w:t xml:space="preserve">2001. </w:t>
      </w:r>
      <w:r w:rsidRPr="00026D3E">
        <w:rPr>
          <w:rFonts w:ascii="Times New Roman" w:hAnsi="Times New Roman" w:cs="Times New Roman"/>
          <w:i/>
          <w:sz w:val="24"/>
          <w:szCs w:val="24"/>
        </w:rPr>
        <w:t>Dramatický Půlměsíc. Sýrie, Libye a Írán v procesu transformace</w:t>
      </w:r>
      <w:r w:rsidRPr="00026D3E">
        <w:rPr>
          <w:rFonts w:ascii="Times New Roman" w:hAnsi="Times New Roman" w:cs="Times New Roman"/>
          <w:sz w:val="24"/>
          <w:szCs w:val="24"/>
        </w:rPr>
        <w:t>. Praha: Karolinum.</w:t>
      </w:r>
    </w:p>
    <w:p w:rsidR="005C286B" w:rsidRPr="00026D3E" w:rsidRDefault="005C286B" w:rsidP="005C286B">
      <w:pPr>
        <w:spacing w:line="360" w:lineRule="auto"/>
        <w:jc w:val="both"/>
        <w:rPr>
          <w:rFonts w:ascii="Times New Roman" w:hAnsi="Times New Roman" w:cs="Times New Roman"/>
          <w:sz w:val="24"/>
          <w:szCs w:val="24"/>
        </w:rPr>
      </w:pPr>
      <w:r w:rsidRPr="00026D3E">
        <w:rPr>
          <w:rFonts w:ascii="Times New Roman" w:hAnsi="Times New Roman" w:cs="Times New Roman"/>
          <w:sz w:val="24"/>
          <w:szCs w:val="24"/>
        </w:rPr>
        <w:t>Goodarzi, Jubin M.</w:t>
      </w:r>
      <w:r w:rsidR="00B53F01">
        <w:rPr>
          <w:rFonts w:ascii="Times New Roman" w:hAnsi="Times New Roman" w:cs="Times New Roman"/>
          <w:sz w:val="24"/>
          <w:szCs w:val="24"/>
        </w:rPr>
        <w:t xml:space="preserve"> </w:t>
      </w:r>
      <w:r w:rsidRPr="00026D3E">
        <w:rPr>
          <w:rFonts w:ascii="Times New Roman" w:hAnsi="Times New Roman" w:cs="Times New Roman"/>
          <w:sz w:val="24"/>
          <w:szCs w:val="24"/>
        </w:rPr>
        <w:t xml:space="preserve">2006. </w:t>
      </w:r>
      <w:r w:rsidRPr="00026D3E">
        <w:rPr>
          <w:rFonts w:ascii="Times New Roman" w:hAnsi="Times New Roman" w:cs="Times New Roman"/>
          <w:i/>
          <w:sz w:val="24"/>
          <w:szCs w:val="24"/>
        </w:rPr>
        <w:t>Syria and Iran:Diplomatic Alliance and Power Politics in the Middle East</w:t>
      </w:r>
      <w:r w:rsidRPr="00026D3E">
        <w:rPr>
          <w:rFonts w:ascii="Times New Roman" w:hAnsi="Times New Roman" w:cs="Times New Roman"/>
          <w:sz w:val="24"/>
          <w:szCs w:val="24"/>
        </w:rPr>
        <w:t>. New York,</w:t>
      </w:r>
      <w:r w:rsidR="00B53F01">
        <w:rPr>
          <w:rFonts w:ascii="Times New Roman" w:hAnsi="Times New Roman" w:cs="Times New Roman"/>
          <w:sz w:val="24"/>
          <w:szCs w:val="24"/>
        </w:rPr>
        <w:t xml:space="preserve"> </w:t>
      </w:r>
      <w:r w:rsidRPr="00026D3E">
        <w:rPr>
          <w:rFonts w:ascii="Times New Roman" w:hAnsi="Times New Roman" w:cs="Times New Roman"/>
          <w:sz w:val="24"/>
          <w:szCs w:val="24"/>
        </w:rPr>
        <w:t xml:space="preserve"> London: . Tauris Academic Studies.</w:t>
      </w:r>
    </w:p>
    <w:p w:rsidR="005C286B" w:rsidRPr="00026D3E" w:rsidRDefault="005C286B" w:rsidP="005C286B">
      <w:pPr>
        <w:spacing w:line="360" w:lineRule="auto"/>
        <w:ind w:left="30"/>
        <w:jc w:val="both"/>
        <w:rPr>
          <w:rFonts w:ascii="Times New Roman" w:hAnsi="Times New Roman" w:cs="Times New Roman"/>
          <w:sz w:val="24"/>
          <w:szCs w:val="24"/>
        </w:rPr>
      </w:pPr>
      <w:r w:rsidRPr="00026D3E">
        <w:rPr>
          <w:rFonts w:ascii="Times New Roman" w:hAnsi="Times New Roman" w:cs="Times New Roman"/>
          <w:sz w:val="24"/>
          <w:szCs w:val="24"/>
        </w:rPr>
        <w:t>Hinnebusch, Raymond A.</w:t>
      </w:r>
      <w:r w:rsidR="007F488D">
        <w:rPr>
          <w:rFonts w:ascii="Times New Roman" w:hAnsi="Times New Roman" w:cs="Times New Roman"/>
          <w:sz w:val="24"/>
          <w:szCs w:val="24"/>
        </w:rPr>
        <w:t xml:space="preserve"> </w:t>
      </w:r>
      <w:r w:rsidRPr="00026D3E">
        <w:rPr>
          <w:rFonts w:ascii="Times New Roman" w:hAnsi="Times New Roman" w:cs="Times New Roman"/>
          <w:sz w:val="24"/>
          <w:szCs w:val="24"/>
        </w:rPr>
        <w:t>2002.“The Middle East Regional System.“ Pp.</w:t>
      </w:r>
      <w:r w:rsidR="00FA7809">
        <w:rPr>
          <w:rFonts w:ascii="Times New Roman" w:hAnsi="Times New Roman" w:cs="Times New Roman"/>
          <w:sz w:val="24"/>
          <w:szCs w:val="24"/>
        </w:rPr>
        <w:t xml:space="preserve"> </w:t>
      </w:r>
      <w:r w:rsidRPr="00026D3E">
        <w:rPr>
          <w:rFonts w:ascii="Times New Roman" w:hAnsi="Times New Roman" w:cs="Times New Roman"/>
          <w:sz w:val="24"/>
          <w:szCs w:val="24"/>
        </w:rPr>
        <w:t xml:space="preserve">29-53 in Ehteshami, Anoushiravan, Hinnebusch, Raymond A. (eds.). </w:t>
      </w:r>
      <w:r w:rsidRPr="00026D3E">
        <w:rPr>
          <w:rFonts w:ascii="Times New Roman" w:hAnsi="Times New Roman" w:cs="Times New Roman"/>
          <w:i/>
          <w:sz w:val="24"/>
          <w:szCs w:val="24"/>
        </w:rPr>
        <w:t>The Foreign Policies of Middle East States</w:t>
      </w:r>
      <w:r w:rsidRPr="00026D3E">
        <w:rPr>
          <w:rFonts w:ascii="Times New Roman" w:hAnsi="Times New Roman" w:cs="Times New Roman"/>
          <w:sz w:val="24"/>
          <w:szCs w:val="24"/>
        </w:rPr>
        <w:t xml:space="preserve">. London: Lynne Rienner Publishers. </w:t>
      </w:r>
    </w:p>
    <w:p w:rsidR="005C286B" w:rsidRDefault="005C286B" w:rsidP="005C286B">
      <w:pPr>
        <w:spacing w:line="360" w:lineRule="auto"/>
        <w:ind w:left="30"/>
        <w:jc w:val="both"/>
        <w:rPr>
          <w:rFonts w:ascii="Times New Roman" w:hAnsi="Times New Roman" w:cs="Times New Roman"/>
          <w:sz w:val="24"/>
          <w:szCs w:val="24"/>
        </w:rPr>
      </w:pPr>
      <w:r w:rsidRPr="00026D3E">
        <w:rPr>
          <w:rFonts w:ascii="Times New Roman" w:hAnsi="Times New Roman" w:cs="Times New Roman"/>
          <w:sz w:val="24"/>
          <w:szCs w:val="24"/>
        </w:rPr>
        <w:t>Hinnebusch, Raymond A.</w:t>
      </w:r>
      <w:r w:rsidR="007F488D">
        <w:rPr>
          <w:rFonts w:ascii="Times New Roman" w:hAnsi="Times New Roman" w:cs="Times New Roman"/>
          <w:sz w:val="24"/>
          <w:szCs w:val="24"/>
        </w:rPr>
        <w:t xml:space="preserve"> </w:t>
      </w:r>
      <w:r w:rsidRPr="00026D3E">
        <w:rPr>
          <w:rFonts w:ascii="Times New Roman" w:hAnsi="Times New Roman" w:cs="Times New Roman"/>
          <w:sz w:val="24"/>
          <w:szCs w:val="24"/>
        </w:rPr>
        <w:t>2002.“ The Foreign Policy of Syria.“ Pp.</w:t>
      </w:r>
      <w:r w:rsidR="00FA7809">
        <w:rPr>
          <w:rFonts w:ascii="Times New Roman" w:hAnsi="Times New Roman" w:cs="Times New Roman"/>
          <w:sz w:val="24"/>
          <w:szCs w:val="24"/>
        </w:rPr>
        <w:t xml:space="preserve"> </w:t>
      </w:r>
      <w:r w:rsidRPr="00026D3E">
        <w:rPr>
          <w:rFonts w:ascii="Times New Roman" w:hAnsi="Times New Roman" w:cs="Times New Roman"/>
          <w:sz w:val="24"/>
          <w:szCs w:val="24"/>
        </w:rPr>
        <w:t xml:space="preserve">141-155 in Ehteshami, Anoushiravan, Hinnebusch, Raymond A. (eds.). </w:t>
      </w:r>
      <w:r w:rsidRPr="00026D3E">
        <w:rPr>
          <w:rFonts w:ascii="Times New Roman" w:hAnsi="Times New Roman" w:cs="Times New Roman"/>
          <w:i/>
          <w:sz w:val="24"/>
          <w:szCs w:val="24"/>
        </w:rPr>
        <w:t>The Foreign Policies of Middle East States</w:t>
      </w:r>
      <w:r w:rsidRPr="00026D3E">
        <w:rPr>
          <w:rFonts w:ascii="Times New Roman" w:hAnsi="Times New Roman" w:cs="Times New Roman"/>
          <w:sz w:val="24"/>
          <w:szCs w:val="24"/>
        </w:rPr>
        <w:t xml:space="preserve">. London: Lynne Rienner Publishers. </w:t>
      </w:r>
    </w:p>
    <w:p w:rsidR="007F488D" w:rsidRPr="007F488D" w:rsidRDefault="007F488D" w:rsidP="005C286B">
      <w:pPr>
        <w:spacing w:line="360" w:lineRule="auto"/>
        <w:ind w:left="30"/>
        <w:jc w:val="both"/>
        <w:rPr>
          <w:rFonts w:ascii="Times New Roman" w:hAnsi="Times New Roman" w:cs="Times New Roman"/>
          <w:sz w:val="24"/>
          <w:szCs w:val="24"/>
        </w:rPr>
      </w:pPr>
      <w:r>
        <w:rPr>
          <w:rFonts w:ascii="Times New Roman" w:hAnsi="Times New Roman" w:cs="Times New Roman"/>
          <w:sz w:val="24"/>
          <w:szCs w:val="24"/>
        </w:rPr>
        <w:t>Hirschfeld, Yair. 1986. „The Odd couple:Ba´thist Syria and Khomeini´s Iran.“</w:t>
      </w:r>
      <w:r w:rsidR="00FA7809">
        <w:rPr>
          <w:rFonts w:ascii="Times New Roman" w:hAnsi="Times New Roman" w:cs="Times New Roman"/>
          <w:sz w:val="24"/>
          <w:szCs w:val="24"/>
        </w:rPr>
        <w:t xml:space="preserve"> </w:t>
      </w:r>
      <w:r>
        <w:rPr>
          <w:rFonts w:ascii="Times New Roman" w:hAnsi="Times New Roman" w:cs="Times New Roman"/>
          <w:sz w:val="24"/>
          <w:szCs w:val="24"/>
        </w:rPr>
        <w:t xml:space="preserve">in </w:t>
      </w:r>
      <w:r w:rsidRPr="001A179B">
        <w:rPr>
          <w:rFonts w:ascii="Times New Roman" w:hAnsi="Times New Roman" w:cs="Times New Roman"/>
          <w:sz w:val="24"/>
          <w:szCs w:val="24"/>
        </w:rPr>
        <w:t>Avner</w:t>
      </w:r>
      <w:r>
        <w:rPr>
          <w:rFonts w:ascii="Times New Roman" w:hAnsi="Times New Roman" w:cs="Times New Roman"/>
          <w:sz w:val="24"/>
          <w:szCs w:val="24"/>
        </w:rPr>
        <w:t>,</w:t>
      </w:r>
      <w:r w:rsidRPr="001A179B">
        <w:rPr>
          <w:rFonts w:ascii="Times New Roman" w:hAnsi="Times New Roman" w:cs="Times New Roman"/>
          <w:sz w:val="24"/>
          <w:szCs w:val="24"/>
        </w:rPr>
        <w:t xml:space="preserve"> Yaniv</w:t>
      </w:r>
      <w:r>
        <w:rPr>
          <w:rFonts w:ascii="Times New Roman" w:hAnsi="Times New Roman" w:cs="Times New Roman"/>
          <w:sz w:val="24"/>
          <w:szCs w:val="24"/>
        </w:rPr>
        <w:t xml:space="preserve">, </w:t>
      </w:r>
      <w:r w:rsidRPr="001A179B">
        <w:rPr>
          <w:rFonts w:ascii="Times New Roman" w:hAnsi="Times New Roman" w:cs="Times New Roman"/>
          <w:sz w:val="24"/>
          <w:szCs w:val="24"/>
        </w:rPr>
        <w:t>Moshe</w:t>
      </w:r>
      <w:r>
        <w:rPr>
          <w:rFonts w:ascii="Times New Roman" w:hAnsi="Times New Roman" w:cs="Times New Roman"/>
          <w:sz w:val="24"/>
          <w:szCs w:val="24"/>
        </w:rPr>
        <w:t xml:space="preserve"> Ma’oz (eds.). </w:t>
      </w:r>
      <w:r w:rsidRPr="007F488D">
        <w:rPr>
          <w:rFonts w:ascii="Times New Roman" w:hAnsi="Times New Roman" w:cs="Times New Roman"/>
          <w:i/>
          <w:sz w:val="24"/>
          <w:szCs w:val="24"/>
        </w:rPr>
        <w:t>Syria Under Assad: Domestic Constraints and Regional Risks</w:t>
      </w:r>
      <w:r>
        <w:rPr>
          <w:rFonts w:ascii="Times New Roman" w:hAnsi="Times New Roman" w:cs="Times New Roman"/>
          <w:sz w:val="24"/>
          <w:szCs w:val="24"/>
        </w:rPr>
        <w:t>. New York: St. Martin´s Press.</w:t>
      </w:r>
    </w:p>
    <w:p w:rsidR="005C286B" w:rsidRPr="00026D3E" w:rsidRDefault="005C286B" w:rsidP="005C286B">
      <w:pPr>
        <w:spacing w:line="360" w:lineRule="auto"/>
        <w:jc w:val="both"/>
        <w:rPr>
          <w:rFonts w:ascii="Times New Roman" w:hAnsi="Times New Roman" w:cs="Times New Roman"/>
          <w:sz w:val="24"/>
          <w:szCs w:val="24"/>
        </w:rPr>
      </w:pPr>
      <w:r w:rsidRPr="00026D3E">
        <w:rPr>
          <w:rFonts w:ascii="Times New Roman" w:hAnsi="Times New Roman" w:cs="Times New Roman"/>
          <w:sz w:val="24"/>
          <w:szCs w:val="24"/>
        </w:rPr>
        <w:lastRenderedPageBreak/>
        <w:t>Muller, David. 2005. „Realismus.“ Pp.</w:t>
      </w:r>
      <w:r w:rsidR="00FA7809">
        <w:rPr>
          <w:rFonts w:ascii="Times New Roman" w:hAnsi="Times New Roman" w:cs="Times New Roman"/>
          <w:sz w:val="24"/>
          <w:szCs w:val="24"/>
        </w:rPr>
        <w:t xml:space="preserve"> </w:t>
      </w:r>
      <w:r w:rsidRPr="00026D3E">
        <w:rPr>
          <w:rFonts w:ascii="Times New Roman" w:hAnsi="Times New Roman" w:cs="Times New Roman"/>
          <w:sz w:val="24"/>
          <w:szCs w:val="24"/>
        </w:rPr>
        <w:t xml:space="preserve">24-42 in Pšeja Pavel (ed.). </w:t>
      </w:r>
      <w:r w:rsidRPr="00026D3E">
        <w:rPr>
          <w:rFonts w:ascii="Times New Roman" w:hAnsi="Times New Roman" w:cs="Times New Roman"/>
          <w:i/>
          <w:sz w:val="24"/>
          <w:szCs w:val="24"/>
        </w:rPr>
        <w:t>Přehled Teorií mezinárodních vztahů.</w:t>
      </w:r>
      <w:r w:rsidR="00FA7809">
        <w:rPr>
          <w:rFonts w:ascii="Times New Roman" w:hAnsi="Times New Roman" w:cs="Times New Roman"/>
          <w:i/>
          <w:sz w:val="24"/>
          <w:szCs w:val="24"/>
        </w:rPr>
        <w:t xml:space="preserve">  </w:t>
      </w:r>
      <w:r w:rsidRPr="00026D3E">
        <w:rPr>
          <w:rFonts w:ascii="Times New Roman" w:hAnsi="Times New Roman" w:cs="Times New Roman"/>
          <w:sz w:val="24"/>
          <w:szCs w:val="24"/>
        </w:rPr>
        <w:t>Brno: Mezinárodní Politologický Ústav.</w:t>
      </w:r>
    </w:p>
    <w:p w:rsidR="005C286B" w:rsidRPr="00026D3E" w:rsidRDefault="005C286B" w:rsidP="005C286B">
      <w:pPr>
        <w:spacing w:line="360" w:lineRule="auto"/>
        <w:jc w:val="both"/>
        <w:rPr>
          <w:rFonts w:ascii="Times New Roman" w:hAnsi="Times New Roman" w:cs="Times New Roman"/>
          <w:sz w:val="24"/>
          <w:szCs w:val="24"/>
        </w:rPr>
      </w:pPr>
      <w:r w:rsidRPr="00026D3E">
        <w:rPr>
          <w:rFonts w:ascii="Times New Roman" w:hAnsi="Times New Roman" w:cs="Times New Roman"/>
          <w:sz w:val="24"/>
          <w:szCs w:val="24"/>
        </w:rPr>
        <w:t>Karsh, Efraim.</w:t>
      </w:r>
      <w:r w:rsidR="00FA7809">
        <w:rPr>
          <w:rFonts w:ascii="Times New Roman" w:hAnsi="Times New Roman" w:cs="Times New Roman"/>
          <w:sz w:val="24"/>
          <w:szCs w:val="24"/>
        </w:rPr>
        <w:t xml:space="preserve"> </w:t>
      </w:r>
      <w:r w:rsidRPr="00026D3E">
        <w:rPr>
          <w:rFonts w:ascii="Times New Roman" w:hAnsi="Times New Roman" w:cs="Times New Roman"/>
          <w:sz w:val="24"/>
          <w:szCs w:val="24"/>
        </w:rPr>
        <w:t xml:space="preserve">1987. </w:t>
      </w:r>
      <w:r w:rsidR="00FA7809">
        <w:rPr>
          <w:rFonts w:ascii="Times New Roman" w:hAnsi="Times New Roman" w:cs="Times New Roman"/>
          <w:sz w:val="24"/>
          <w:szCs w:val="24"/>
        </w:rPr>
        <w:t xml:space="preserve"> </w:t>
      </w:r>
      <w:r w:rsidRPr="00026D3E">
        <w:rPr>
          <w:rFonts w:ascii="Times New Roman" w:hAnsi="Times New Roman" w:cs="Times New Roman"/>
          <w:i/>
          <w:sz w:val="24"/>
          <w:szCs w:val="24"/>
        </w:rPr>
        <w:t>The Iran – Iraq War: A Military Analysis</w:t>
      </w:r>
      <w:r w:rsidRPr="00026D3E">
        <w:rPr>
          <w:rFonts w:ascii="Times New Roman" w:hAnsi="Times New Roman" w:cs="Times New Roman"/>
          <w:sz w:val="24"/>
          <w:szCs w:val="24"/>
        </w:rPr>
        <w:t>. London: The International Institute for Strategic Studies.</w:t>
      </w:r>
    </w:p>
    <w:p w:rsidR="005C286B" w:rsidRPr="00026D3E" w:rsidRDefault="005C286B" w:rsidP="005C286B">
      <w:pPr>
        <w:spacing w:line="360" w:lineRule="auto"/>
        <w:jc w:val="both"/>
        <w:rPr>
          <w:rFonts w:ascii="Times New Roman" w:hAnsi="Times New Roman" w:cs="Times New Roman"/>
          <w:sz w:val="24"/>
          <w:szCs w:val="24"/>
        </w:rPr>
      </w:pPr>
      <w:r w:rsidRPr="00026D3E">
        <w:rPr>
          <w:rFonts w:ascii="Times New Roman" w:hAnsi="Times New Roman" w:cs="Times New Roman"/>
          <w:sz w:val="24"/>
          <w:szCs w:val="24"/>
        </w:rPr>
        <w:t>Karsh, Efraim.</w:t>
      </w:r>
      <w:r w:rsidR="00B53F01">
        <w:rPr>
          <w:rFonts w:ascii="Times New Roman" w:hAnsi="Times New Roman" w:cs="Times New Roman"/>
          <w:sz w:val="24"/>
          <w:szCs w:val="24"/>
        </w:rPr>
        <w:t xml:space="preserve"> </w:t>
      </w:r>
      <w:r w:rsidRPr="00026D3E">
        <w:rPr>
          <w:rFonts w:ascii="Times New Roman" w:hAnsi="Times New Roman" w:cs="Times New Roman"/>
          <w:sz w:val="24"/>
          <w:szCs w:val="24"/>
        </w:rPr>
        <w:t>2002</w:t>
      </w:r>
      <w:r w:rsidRPr="00026D3E">
        <w:rPr>
          <w:rFonts w:ascii="Times New Roman" w:hAnsi="Times New Roman" w:cs="Times New Roman"/>
          <w:i/>
          <w:sz w:val="24"/>
          <w:szCs w:val="24"/>
        </w:rPr>
        <w:t>.  The Iran – Iraq War. 1980-1988</w:t>
      </w:r>
      <w:r w:rsidRPr="00026D3E">
        <w:rPr>
          <w:rFonts w:ascii="Times New Roman" w:hAnsi="Times New Roman" w:cs="Times New Roman"/>
          <w:sz w:val="24"/>
          <w:szCs w:val="24"/>
        </w:rPr>
        <w:t>. Osprey Publishing.</w:t>
      </w:r>
    </w:p>
    <w:p w:rsidR="005C286B" w:rsidRPr="00026D3E" w:rsidRDefault="005C286B" w:rsidP="005C286B">
      <w:pPr>
        <w:spacing w:line="360" w:lineRule="auto"/>
        <w:jc w:val="both"/>
        <w:rPr>
          <w:rFonts w:ascii="Times New Roman" w:hAnsi="Times New Roman" w:cs="Times New Roman"/>
          <w:sz w:val="24"/>
          <w:szCs w:val="24"/>
        </w:rPr>
      </w:pPr>
      <w:r w:rsidRPr="00026D3E">
        <w:rPr>
          <w:rFonts w:ascii="Times New Roman" w:hAnsi="Times New Roman" w:cs="Times New Roman"/>
          <w:sz w:val="24"/>
          <w:szCs w:val="24"/>
        </w:rPr>
        <w:t>Karsh, Efraim, Rautsi, Inari.</w:t>
      </w:r>
      <w:r w:rsidR="00B53F01">
        <w:rPr>
          <w:rFonts w:ascii="Times New Roman" w:hAnsi="Times New Roman" w:cs="Times New Roman"/>
          <w:sz w:val="24"/>
          <w:szCs w:val="24"/>
        </w:rPr>
        <w:t xml:space="preserve"> </w:t>
      </w:r>
      <w:r w:rsidRPr="00026D3E">
        <w:rPr>
          <w:rFonts w:ascii="Times New Roman" w:hAnsi="Times New Roman" w:cs="Times New Roman"/>
          <w:sz w:val="24"/>
          <w:szCs w:val="24"/>
        </w:rPr>
        <w:t xml:space="preserve">1995. </w:t>
      </w:r>
      <w:r w:rsidRPr="00026D3E">
        <w:rPr>
          <w:rFonts w:ascii="Times New Roman" w:hAnsi="Times New Roman" w:cs="Times New Roman"/>
          <w:i/>
          <w:sz w:val="24"/>
          <w:szCs w:val="24"/>
        </w:rPr>
        <w:t>Saddám Husajn. Politická Biografie</w:t>
      </w:r>
      <w:r w:rsidRPr="00026D3E">
        <w:rPr>
          <w:rFonts w:ascii="Times New Roman" w:hAnsi="Times New Roman" w:cs="Times New Roman"/>
          <w:sz w:val="24"/>
          <w:szCs w:val="24"/>
        </w:rPr>
        <w:t>. Praha:Melantrich.</w:t>
      </w:r>
    </w:p>
    <w:p w:rsidR="005C286B" w:rsidRPr="00026D3E" w:rsidRDefault="005C286B" w:rsidP="005C286B">
      <w:pPr>
        <w:spacing w:line="360" w:lineRule="auto"/>
        <w:jc w:val="both"/>
        <w:rPr>
          <w:rFonts w:ascii="Times New Roman" w:hAnsi="Times New Roman" w:cs="Times New Roman"/>
          <w:sz w:val="24"/>
          <w:szCs w:val="24"/>
        </w:rPr>
      </w:pPr>
      <w:r w:rsidRPr="00026D3E">
        <w:rPr>
          <w:rFonts w:ascii="Times New Roman" w:hAnsi="Times New Roman" w:cs="Times New Roman"/>
          <w:sz w:val="24"/>
          <w:szCs w:val="24"/>
        </w:rPr>
        <w:t xml:space="preserve">Kolman, Jiří. 2005. „Neorealismus.“ Pp. 63-77 in Pšeja Pavel (ed.). </w:t>
      </w:r>
      <w:r w:rsidRPr="00026D3E">
        <w:rPr>
          <w:rFonts w:ascii="Times New Roman" w:hAnsi="Times New Roman" w:cs="Times New Roman"/>
          <w:i/>
          <w:sz w:val="24"/>
          <w:szCs w:val="24"/>
        </w:rPr>
        <w:t>Přehled Teorií mezinárodních vztahů.</w:t>
      </w:r>
      <w:r w:rsidR="00B53F01">
        <w:rPr>
          <w:rFonts w:ascii="Times New Roman" w:hAnsi="Times New Roman" w:cs="Times New Roman"/>
          <w:i/>
          <w:sz w:val="24"/>
          <w:szCs w:val="24"/>
        </w:rPr>
        <w:t xml:space="preserve"> </w:t>
      </w:r>
      <w:r w:rsidRPr="00026D3E">
        <w:rPr>
          <w:rFonts w:ascii="Times New Roman" w:hAnsi="Times New Roman" w:cs="Times New Roman"/>
          <w:sz w:val="24"/>
          <w:szCs w:val="24"/>
        </w:rPr>
        <w:t>Brno: Mezinárodní Politologický Ústav.</w:t>
      </w:r>
    </w:p>
    <w:p w:rsidR="005C286B" w:rsidRPr="00026D3E" w:rsidRDefault="005C286B" w:rsidP="005C286B">
      <w:pPr>
        <w:spacing w:line="360" w:lineRule="auto"/>
        <w:jc w:val="both"/>
        <w:rPr>
          <w:rFonts w:ascii="Times New Roman" w:hAnsi="Times New Roman" w:cs="Times New Roman"/>
          <w:sz w:val="24"/>
          <w:szCs w:val="24"/>
        </w:rPr>
      </w:pPr>
      <w:r w:rsidRPr="00026D3E">
        <w:rPr>
          <w:rFonts w:ascii="Times New Roman" w:hAnsi="Times New Roman" w:cs="Times New Roman"/>
          <w:sz w:val="24"/>
          <w:szCs w:val="24"/>
        </w:rPr>
        <w:t>Kratochvíl, Petr.2007.</w:t>
      </w:r>
      <w:r w:rsidR="00B53F01">
        <w:rPr>
          <w:rFonts w:ascii="Times New Roman" w:hAnsi="Times New Roman" w:cs="Times New Roman"/>
          <w:sz w:val="24"/>
          <w:szCs w:val="24"/>
        </w:rPr>
        <w:t xml:space="preserve"> </w:t>
      </w:r>
      <w:r w:rsidRPr="00026D3E">
        <w:rPr>
          <w:rFonts w:ascii="Times New Roman" w:hAnsi="Times New Roman" w:cs="Times New Roman"/>
          <w:i/>
          <w:sz w:val="24"/>
          <w:szCs w:val="24"/>
        </w:rPr>
        <w:t>Slovník teorie mezinárodních vztahů</w:t>
      </w:r>
      <w:r w:rsidRPr="00026D3E">
        <w:rPr>
          <w:rFonts w:ascii="Times New Roman" w:hAnsi="Times New Roman" w:cs="Times New Roman"/>
          <w:sz w:val="24"/>
          <w:szCs w:val="24"/>
        </w:rPr>
        <w:t>. Praha: Oeconomia.</w:t>
      </w:r>
    </w:p>
    <w:p w:rsidR="005C286B" w:rsidRPr="00026D3E" w:rsidRDefault="005C286B" w:rsidP="005C286B">
      <w:pPr>
        <w:spacing w:line="360" w:lineRule="auto"/>
        <w:jc w:val="both"/>
        <w:rPr>
          <w:rFonts w:ascii="Times New Roman" w:hAnsi="Times New Roman" w:cs="Times New Roman"/>
          <w:sz w:val="24"/>
          <w:szCs w:val="24"/>
        </w:rPr>
      </w:pPr>
      <w:r w:rsidRPr="00026D3E">
        <w:rPr>
          <w:rFonts w:ascii="Times New Roman" w:hAnsi="Times New Roman" w:cs="Times New Roman"/>
          <w:sz w:val="24"/>
          <w:szCs w:val="24"/>
        </w:rPr>
        <w:t>Naff, Thomas, Matson, Ruth C. 1984.</w:t>
      </w:r>
      <w:r w:rsidRPr="00026D3E">
        <w:rPr>
          <w:rFonts w:ascii="Times New Roman" w:hAnsi="Times New Roman" w:cs="Times New Roman"/>
          <w:i/>
          <w:sz w:val="24"/>
          <w:szCs w:val="24"/>
        </w:rPr>
        <w:t>Water in the Middle East: Conflict or Cooperation</w:t>
      </w:r>
      <w:r w:rsidRPr="00026D3E">
        <w:rPr>
          <w:rFonts w:ascii="Times New Roman" w:hAnsi="Times New Roman" w:cs="Times New Roman"/>
          <w:sz w:val="24"/>
          <w:szCs w:val="24"/>
        </w:rPr>
        <w:t xml:space="preserve"> . Westview Press.</w:t>
      </w:r>
    </w:p>
    <w:p w:rsidR="005C286B" w:rsidRPr="00026D3E" w:rsidRDefault="005C286B" w:rsidP="005C286B">
      <w:pPr>
        <w:spacing w:line="360" w:lineRule="auto"/>
        <w:jc w:val="both"/>
        <w:rPr>
          <w:rFonts w:ascii="Times New Roman" w:hAnsi="Times New Roman" w:cs="Times New Roman"/>
          <w:sz w:val="24"/>
          <w:szCs w:val="24"/>
        </w:rPr>
      </w:pPr>
      <w:r w:rsidRPr="00026D3E">
        <w:rPr>
          <w:rFonts w:ascii="Times New Roman" w:hAnsi="Times New Roman" w:cs="Times New Roman"/>
          <w:sz w:val="24"/>
          <w:szCs w:val="24"/>
        </w:rPr>
        <w:t xml:space="preserve">Prescott, Victor, Triggs, Gillian D. 2008. </w:t>
      </w:r>
      <w:r w:rsidRPr="00026D3E">
        <w:rPr>
          <w:rFonts w:ascii="Times New Roman" w:hAnsi="Times New Roman" w:cs="Times New Roman"/>
          <w:i/>
          <w:sz w:val="24"/>
          <w:szCs w:val="24"/>
        </w:rPr>
        <w:t>International Frontiers and Boundaries. Law, Politics and Geography</w:t>
      </w:r>
      <w:r w:rsidRPr="00026D3E">
        <w:rPr>
          <w:rFonts w:ascii="Times New Roman" w:hAnsi="Times New Roman" w:cs="Times New Roman"/>
          <w:sz w:val="24"/>
          <w:szCs w:val="24"/>
        </w:rPr>
        <w:t>. Leiden: Martinus Nijhoff Publishers.</w:t>
      </w:r>
    </w:p>
    <w:p w:rsidR="005C286B" w:rsidRPr="00026D3E" w:rsidRDefault="005C286B" w:rsidP="005C286B">
      <w:pPr>
        <w:spacing w:line="360" w:lineRule="auto"/>
        <w:jc w:val="both"/>
        <w:rPr>
          <w:rFonts w:ascii="Times New Roman" w:hAnsi="Times New Roman" w:cs="Times New Roman"/>
          <w:sz w:val="24"/>
          <w:szCs w:val="24"/>
        </w:rPr>
      </w:pPr>
      <w:r w:rsidRPr="00026D3E">
        <w:rPr>
          <w:rFonts w:ascii="Times New Roman" w:hAnsi="Times New Roman" w:cs="Times New Roman"/>
          <w:sz w:val="24"/>
          <w:szCs w:val="24"/>
        </w:rPr>
        <w:t xml:space="preserve">Rajaee, Farhang.1993. </w:t>
      </w:r>
      <w:r w:rsidRPr="00026D3E">
        <w:rPr>
          <w:rFonts w:ascii="Times New Roman" w:hAnsi="Times New Roman" w:cs="Times New Roman"/>
          <w:i/>
          <w:sz w:val="24"/>
          <w:szCs w:val="24"/>
        </w:rPr>
        <w:t>The Iran – Iraq War. The Politics of Aggression</w:t>
      </w:r>
      <w:r w:rsidRPr="00026D3E">
        <w:rPr>
          <w:rFonts w:ascii="Times New Roman" w:hAnsi="Times New Roman" w:cs="Times New Roman"/>
          <w:sz w:val="24"/>
          <w:szCs w:val="24"/>
        </w:rPr>
        <w:t>. Gainesville :University Press of Florida.</w:t>
      </w:r>
    </w:p>
    <w:p w:rsidR="005C286B" w:rsidRPr="00026D3E" w:rsidRDefault="005C286B" w:rsidP="005C286B">
      <w:pPr>
        <w:spacing w:line="360" w:lineRule="auto"/>
        <w:jc w:val="both"/>
        <w:rPr>
          <w:rFonts w:ascii="Times New Roman" w:hAnsi="Times New Roman" w:cs="Times New Roman"/>
          <w:sz w:val="24"/>
          <w:szCs w:val="24"/>
        </w:rPr>
      </w:pPr>
      <w:r w:rsidRPr="00026D3E">
        <w:rPr>
          <w:rFonts w:ascii="Times New Roman" w:hAnsi="Times New Roman" w:cs="Times New Roman"/>
          <w:sz w:val="24"/>
          <w:szCs w:val="24"/>
        </w:rPr>
        <w:t>Seale, Patrick.</w:t>
      </w:r>
      <w:r w:rsidR="00B53F01">
        <w:rPr>
          <w:rFonts w:ascii="Times New Roman" w:hAnsi="Times New Roman" w:cs="Times New Roman"/>
          <w:sz w:val="24"/>
          <w:szCs w:val="24"/>
        </w:rPr>
        <w:t xml:space="preserve"> </w:t>
      </w:r>
      <w:r w:rsidRPr="00026D3E">
        <w:rPr>
          <w:rFonts w:ascii="Times New Roman" w:hAnsi="Times New Roman" w:cs="Times New Roman"/>
          <w:sz w:val="24"/>
          <w:szCs w:val="24"/>
        </w:rPr>
        <w:t xml:space="preserve">1989. </w:t>
      </w:r>
      <w:r w:rsidRPr="00026D3E">
        <w:rPr>
          <w:rFonts w:ascii="Times New Roman" w:hAnsi="Times New Roman" w:cs="Times New Roman"/>
          <w:i/>
          <w:sz w:val="24"/>
          <w:szCs w:val="24"/>
        </w:rPr>
        <w:t>Asad of Syria:The Struggle for the Middle East</w:t>
      </w:r>
      <w:r w:rsidRPr="00026D3E">
        <w:rPr>
          <w:rFonts w:ascii="Times New Roman" w:hAnsi="Times New Roman" w:cs="Times New Roman"/>
          <w:sz w:val="24"/>
          <w:szCs w:val="24"/>
        </w:rPr>
        <w:t>. Berkeley and Los Angeles :</w:t>
      </w:r>
      <w:r w:rsidR="00B53F01">
        <w:rPr>
          <w:rFonts w:ascii="Times New Roman" w:hAnsi="Times New Roman" w:cs="Times New Roman"/>
          <w:sz w:val="24"/>
          <w:szCs w:val="24"/>
        </w:rPr>
        <w:t xml:space="preserve"> </w:t>
      </w:r>
      <w:r w:rsidRPr="00026D3E">
        <w:rPr>
          <w:rFonts w:ascii="Times New Roman" w:hAnsi="Times New Roman" w:cs="Times New Roman"/>
          <w:sz w:val="24"/>
          <w:szCs w:val="24"/>
        </w:rPr>
        <w:t>University of California Press.</w:t>
      </w:r>
    </w:p>
    <w:p w:rsidR="005C286B" w:rsidRPr="00026D3E" w:rsidRDefault="005C286B" w:rsidP="005C286B">
      <w:pPr>
        <w:spacing w:line="360" w:lineRule="auto"/>
        <w:jc w:val="both"/>
        <w:rPr>
          <w:rFonts w:ascii="Times New Roman" w:hAnsi="Times New Roman" w:cs="Times New Roman"/>
          <w:sz w:val="24"/>
          <w:szCs w:val="24"/>
        </w:rPr>
      </w:pPr>
      <w:r w:rsidRPr="00026D3E">
        <w:rPr>
          <w:rFonts w:ascii="Times New Roman" w:hAnsi="Times New Roman" w:cs="Times New Roman"/>
          <w:sz w:val="24"/>
          <w:szCs w:val="24"/>
        </w:rPr>
        <w:t xml:space="preserve">Walt, Stephen M.1987. </w:t>
      </w:r>
      <w:r w:rsidRPr="00026D3E">
        <w:rPr>
          <w:rFonts w:ascii="Times New Roman" w:hAnsi="Times New Roman" w:cs="Times New Roman"/>
          <w:i/>
          <w:sz w:val="24"/>
          <w:szCs w:val="24"/>
        </w:rPr>
        <w:t>The origins of alliances</w:t>
      </w:r>
      <w:r w:rsidRPr="00026D3E">
        <w:rPr>
          <w:rFonts w:ascii="Times New Roman" w:hAnsi="Times New Roman" w:cs="Times New Roman"/>
          <w:sz w:val="24"/>
          <w:szCs w:val="24"/>
        </w:rPr>
        <w:t>. New York : Cornell University Press.</w:t>
      </w:r>
    </w:p>
    <w:p w:rsidR="005C286B" w:rsidRPr="00026D3E" w:rsidRDefault="005C286B" w:rsidP="005C286B">
      <w:pPr>
        <w:spacing w:line="360" w:lineRule="auto"/>
        <w:jc w:val="both"/>
        <w:rPr>
          <w:rFonts w:ascii="Times New Roman" w:hAnsi="Times New Roman" w:cs="Times New Roman"/>
          <w:sz w:val="24"/>
          <w:szCs w:val="24"/>
        </w:rPr>
      </w:pPr>
      <w:r w:rsidRPr="00026D3E">
        <w:rPr>
          <w:rFonts w:ascii="Times New Roman" w:hAnsi="Times New Roman" w:cs="Times New Roman"/>
          <w:sz w:val="24"/>
          <w:szCs w:val="24"/>
        </w:rPr>
        <w:t>Woods, Kevin M., Palkki, David D., Stout, Mark E. 2011.</w:t>
      </w:r>
      <w:r w:rsidR="00B53F01">
        <w:rPr>
          <w:rFonts w:ascii="Times New Roman" w:hAnsi="Times New Roman" w:cs="Times New Roman"/>
          <w:sz w:val="24"/>
          <w:szCs w:val="24"/>
        </w:rPr>
        <w:t xml:space="preserve"> </w:t>
      </w:r>
      <w:r w:rsidRPr="00026D3E">
        <w:rPr>
          <w:rFonts w:ascii="Times New Roman" w:hAnsi="Times New Roman" w:cs="Times New Roman"/>
          <w:i/>
          <w:sz w:val="24"/>
          <w:szCs w:val="24"/>
        </w:rPr>
        <w:t>The Saddam Tapes:The Inner Workings of a Tyrant´s Regime 1978-2001</w:t>
      </w:r>
      <w:r w:rsidRPr="00026D3E">
        <w:rPr>
          <w:rFonts w:ascii="Times New Roman" w:hAnsi="Times New Roman" w:cs="Times New Roman"/>
          <w:sz w:val="24"/>
          <w:szCs w:val="24"/>
        </w:rPr>
        <w:t xml:space="preserve">.New York: Cambridge University Press. </w:t>
      </w:r>
    </w:p>
    <w:p w:rsidR="005C286B" w:rsidRPr="00026D3E" w:rsidRDefault="005C286B" w:rsidP="005C286B">
      <w:pPr>
        <w:spacing w:line="360" w:lineRule="auto"/>
        <w:jc w:val="both"/>
        <w:rPr>
          <w:rFonts w:ascii="Times New Roman" w:hAnsi="Times New Roman" w:cs="Times New Roman"/>
          <w:sz w:val="24"/>
          <w:szCs w:val="24"/>
        </w:rPr>
      </w:pPr>
    </w:p>
    <w:p w:rsidR="005C286B" w:rsidRPr="00026D3E" w:rsidRDefault="005C286B" w:rsidP="00794F84">
      <w:pPr>
        <w:spacing w:line="360" w:lineRule="auto"/>
        <w:jc w:val="both"/>
        <w:rPr>
          <w:rFonts w:ascii="Times New Roman" w:hAnsi="Times New Roman" w:cs="Times New Roman"/>
          <w:sz w:val="24"/>
          <w:szCs w:val="24"/>
        </w:rPr>
      </w:pPr>
    </w:p>
    <w:p w:rsidR="00A47F5D" w:rsidRDefault="00A47F5D" w:rsidP="00794F84">
      <w:pPr>
        <w:spacing w:line="360" w:lineRule="auto"/>
        <w:jc w:val="both"/>
        <w:rPr>
          <w:rFonts w:ascii="Times New Roman" w:hAnsi="Times New Roman" w:cs="Times New Roman"/>
          <w:sz w:val="24"/>
          <w:szCs w:val="24"/>
        </w:rPr>
      </w:pPr>
    </w:p>
    <w:p w:rsidR="00D75D58" w:rsidRPr="00026D3E" w:rsidRDefault="00D75D58" w:rsidP="00794F84">
      <w:pPr>
        <w:spacing w:line="360" w:lineRule="auto"/>
        <w:jc w:val="both"/>
        <w:rPr>
          <w:rFonts w:ascii="Times New Roman" w:hAnsi="Times New Roman" w:cs="Times New Roman"/>
          <w:sz w:val="24"/>
          <w:szCs w:val="24"/>
        </w:rPr>
      </w:pPr>
    </w:p>
    <w:p w:rsidR="00A47F5D" w:rsidRPr="00146D26" w:rsidRDefault="00A47F5D" w:rsidP="00146D26">
      <w:pPr>
        <w:pStyle w:val="Nadpis1"/>
      </w:pPr>
      <w:bookmarkStart w:id="24" w:name="_Toc354703594"/>
      <w:r w:rsidRPr="00026D3E">
        <w:lastRenderedPageBreak/>
        <w:t>Přílohy</w:t>
      </w:r>
      <w:bookmarkEnd w:id="24"/>
    </w:p>
    <w:p w:rsidR="00A47F5D" w:rsidRPr="00026D3E" w:rsidRDefault="00A47F5D" w:rsidP="00A47F5D">
      <w:pPr>
        <w:spacing w:line="360" w:lineRule="auto"/>
        <w:rPr>
          <w:rFonts w:ascii="Times New Roman" w:hAnsi="Times New Roman" w:cs="Times New Roman"/>
          <w:sz w:val="24"/>
          <w:szCs w:val="24"/>
        </w:rPr>
      </w:pPr>
      <w:r w:rsidRPr="00026D3E">
        <w:rPr>
          <w:rFonts w:ascii="Times New Roman" w:hAnsi="Times New Roman" w:cs="Times New Roman"/>
          <w:sz w:val="24"/>
          <w:szCs w:val="24"/>
        </w:rPr>
        <w:t>Tabulka č.1 Írán, Sýrie – Vývoj obyvatelstva, HNP, velikosti ozbrojených sil a výdajů na obranu v letech 1975-1985</w:t>
      </w:r>
    </w:p>
    <w:tbl>
      <w:tblPr>
        <w:tblW w:w="9420" w:type="dxa"/>
        <w:tblInd w:w="55" w:type="dxa"/>
        <w:tblCellMar>
          <w:left w:w="70" w:type="dxa"/>
          <w:right w:w="70" w:type="dxa"/>
        </w:tblCellMar>
        <w:tblLook w:val="04A0"/>
      </w:tblPr>
      <w:tblGrid>
        <w:gridCol w:w="960"/>
        <w:gridCol w:w="960"/>
        <w:gridCol w:w="2020"/>
        <w:gridCol w:w="1680"/>
        <w:gridCol w:w="2380"/>
        <w:gridCol w:w="1420"/>
      </w:tblGrid>
      <w:tr w:rsidR="00A47F5D" w:rsidRPr="00026D3E" w:rsidTr="00B84248">
        <w:trPr>
          <w:trHeight w:val="300"/>
        </w:trPr>
        <w:tc>
          <w:tcPr>
            <w:tcW w:w="960" w:type="dxa"/>
            <w:tcBorders>
              <w:top w:val="single" w:sz="8" w:space="0" w:color="auto"/>
              <w:left w:val="single" w:sz="8" w:space="0" w:color="auto"/>
              <w:bottom w:val="single" w:sz="4" w:space="0" w:color="auto"/>
              <w:right w:val="nil"/>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 </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 </w:t>
            </w:r>
          </w:p>
        </w:tc>
        <w:tc>
          <w:tcPr>
            <w:tcW w:w="2020" w:type="dxa"/>
            <w:tcBorders>
              <w:top w:val="single" w:sz="8" w:space="0" w:color="auto"/>
              <w:left w:val="nil"/>
              <w:bottom w:val="single" w:sz="4" w:space="0" w:color="auto"/>
              <w:right w:val="nil"/>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Obyvatelstvo (mil.)</w:t>
            </w:r>
          </w:p>
        </w:tc>
        <w:tc>
          <w:tcPr>
            <w:tcW w:w="16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HNP ($mil)</w:t>
            </w:r>
          </w:p>
        </w:tc>
        <w:tc>
          <w:tcPr>
            <w:tcW w:w="2380" w:type="dxa"/>
            <w:tcBorders>
              <w:top w:val="single" w:sz="8" w:space="0" w:color="auto"/>
              <w:left w:val="nil"/>
              <w:bottom w:val="single" w:sz="4" w:space="0" w:color="auto"/>
              <w:right w:val="nil"/>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 Ozbrojené síly (tis.)</w:t>
            </w:r>
          </w:p>
        </w:tc>
        <w:tc>
          <w:tcPr>
            <w:tcW w:w="1420" w:type="dxa"/>
            <w:tcBorders>
              <w:top w:val="single" w:sz="8" w:space="0" w:color="auto"/>
              <w:left w:val="nil"/>
              <w:bottom w:val="single" w:sz="4" w:space="0" w:color="auto"/>
              <w:right w:val="single" w:sz="8"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Obrana ($)</w:t>
            </w:r>
          </w:p>
        </w:tc>
      </w:tr>
      <w:tr w:rsidR="00A47F5D" w:rsidRPr="00026D3E" w:rsidTr="00B84248">
        <w:trPr>
          <w:trHeight w:val="300"/>
        </w:trPr>
        <w:tc>
          <w:tcPr>
            <w:tcW w:w="96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1975</w:t>
            </w:r>
          </w:p>
        </w:tc>
        <w:tc>
          <w:tcPr>
            <w:tcW w:w="960" w:type="dxa"/>
            <w:tcBorders>
              <w:top w:val="nil"/>
              <w:left w:val="nil"/>
              <w:bottom w:val="nil"/>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ÍRÁN</w:t>
            </w:r>
          </w:p>
        </w:tc>
        <w:tc>
          <w:tcPr>
            <w:tcW w:w="2020" w:type="dxa"/>
            <w:tcBorders>
              <w:top w:val="nil"/>
              <w:left w:val="nil"/>
              <w:bottom w:val="nil"/>
              <w:right w:val="nil"/>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33.4</w:t>
            </w:r>
          </w:p>
        </w:tc>
        <w:tc>
          <w:tcPr>
            <w:tcW w:w="1680" w:type="dxa"/>
            <w:tcBorders>
              <w:top w:val="nil"/>
              <w:left w:val="single" w:sz="4" w:space="0" w:color="auto"/>
              <w:bottom w:val="nil"/>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76440</w:t>
            </w:r>
          </w:p>
        </w:tc>
        <w:tc>
          <w:tcPr>
            <w:tcW w:w="2380" w:type="dxa"/>
            <w:tcBorders>
              <w:top w:val="nil"/>
              <w:left w:val="nil"/>
              <w:bottom w:val="nil"/>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385</w:t>
            </w:r>
          </w:p>
        </w:tc>
        <w:tc>
          <w:tcPr>
            <w:tcW w:w="1420" w:type="dxa"/>
            <w:tcBorders>
              <w:top w:val="nil"/>
              <w:left w:val="nil"/>
              <w:bottom w:val="nil"/>
              <w:right w:val="single" w:sz="8"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13440</w:t>
            </w:r>
          </w:p>
        </w:tc>
      </w:tr>
      <w:tr w:rsidR="00A47F5D" w:rsidRPr="00026D3E" w:rsidTr="00B84248">
        <w:trPr>
          <w:trHeight w:val="300"/>
        </w:trPr>
        <w:tc>
          <w:tcPr>
            <w:tcW w:w="960" w:type="dxa"/>
            <w:vMerge/>
            <w:tcBorders>
              <w:top w:val="nil"/>
              <w:left w:val="single" w:sz="8" w:space="0" w:color="auto"/>
              <w:bottom w:val="single" w:sz="8" w:space="0" w:color="000000"/>
              <w:right w:val="single" w:sz="4" w:space="0" w:color="auto"/>
            </w:tcBorders>
            <w:vAlign w:val="center"/>
            <w:hideMark/>
          </w:tcPr>
          <w:p w:rsidR="00A47F5D" w:rsidRPr="00026D3E" w:rsidRDefault="00A47F5D" w:rsidP="00B8424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SÝRIE</w:t>
            </w:r>
          </w:p>
        </w:tc>
        <w:tc>
          <w:tcPr>
            <w:tcW w:w="2020" w:type="dxa"/>
            <w:tcBorders>
              <w:top w:val="nil"/>
              <w:left w:val="nil"/>
              <w:bottom w:val="single" w:sz="4" w:space="0" w:color="auto"/>
              <w:right w:val="nil"/>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7.4</w:t>
            </w:r>
          </w:p>
        </w:tc>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7397</w:t>
            </w:r>
          </w:p>
        </w:tc>
        <w:tc>
          <w:tcPr>
            <w:tcW w:w="2380" w:type="dxa"/>
            <w:tcBorders>
              <w:top w:val="nil"/>
              <w:left w:val="nil"/>
              <w:bottom w:val="single" w:sz="4" w:space="0" w:color="auto"/>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230</w:t>
            </w:r>
          </w:p>
        </w:tc>
        <w:tc>
          <w:tcPr>
            <w:tcW w:w="1420" w:type="dxa"/>
            <w:tcBorders>
              <w:top w:val="nil"/>
              <w:left w:val="nil"/>
              <w:bottom w:val="single" w:sz="4" w:space="0" w:color="auto"/>
              <w:right w:val="single" w:sz="8"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1171</w:t>
            </w:r>
          </w:p>
        </w:tc>
      </w:tr>
      <w:tr w:rsidR="00A47F5D" w:rsidRPr="00026D3E" w:rsidTr="00B84248">
        <w:trPr>
          <w:trHeight w:val="315"/>
        </w:trPr>
        <w:tc>
          <w:tcPr>
            <w:tcW w:w="960" w:type="dxa"/>
            <w:vMerge/>
            <w:tcBorders>
              <w:top w:val="nil"/>
              <w:left w:val="single" w:sz="8" w:space="0" w:color="auto"/>
              <w:bottom w:val="single" w:sz="8" w:space="0" w:color="000000"/>
              <w:right w:val="single" w:sz="4" w:space="0" w:color="auto"/>
            </w:tcBorders>
            <w:vAlign w:val="center"/>
            <w:hideMark/>
          </w:tcPr>
          <w:p w:rsidR="00A47F5D" w:rsidRPr="00026D3E" w:rsidRDefault="00A47F5D" w:rsidP="00B8424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single" w:sz="8" w:space="0" w:color="auto"/>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Součet</w:t>
            </w:r>
          </w:p>
        </w:tc>
        <w:tc>
          <w:tcPr>
            <w:tcW w:w="2020" w:type="dxa"/>
            <w:tcBorders>
              <w:top w:val="nil"/>
              <w:left w:val="nil"/>
              <w:bottom w:val="single" w:sz="8" w:space="0" w:color="auto"/>
              <w:right w:val="nil"/>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40.8</w:t>
            </w:r>
          </w:p>
        </w:tc>
        <w:tc>
          <w:tcPr>
            <w:tcW w:w="1680" w:type="dxa"/>
            <w:tcBorders>
              <w:top w:val="nil"/>
              <w:left w:val="single" w:sz="4" w:space="0" w:color="auto"/>
              <w:bottom w:val="single" w:sz="8" w:space="0" w:color="auto"/>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83837</w:t>
            </w:r>
          </w:p>
        </w:tc>
        <w:tc>
          <w:tcPr>
            <w:tcW w:w="2380" w:type="dxa"/>
            <w:tcBorders>
              <w:top w:val="nil"/>
              <w:left w:val="nil"/>
              <w:bottom w:val="single" w:sz="8" w:space="0" w:color="auto"/>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615</w:t>
            </w:r>
          </w:p>
        </w:tc>
        <w:tc>
          <w:tcPr>
            <w:tcW w:w="1420" w:type="dxa"/>
            <w:tcBorders>
              <w:top w:val="nil"/>
              <w:left w:val="nil"/>
              <w:bottom w:val="single" w:sz="8" w:space="0" w:color="auto"/>
              <w:right w:val="single" w:sz="8"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14611</w:t>
            </w:r>
          </w:p>
        </w:tc>
      </w:tr>
      <w:tr w:rsidR="00A47F5D" w:rsidRPr="00026D3E" w:rsidTr="00B84248">
        <w:trPr>
          <w:trHeight w:val="300"/>
        </w:trPr>
        <w:tc>
          <w:tcPr>
            <w:tcW w:w="96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1976</w:t>
            </w:r>
          </w:p>
        </w:tc>
        <w:tc>
          <w:tcPr>
            <w:tcW w:w="960" w:type="dxa"/>
            <w:tcBorders>
              <w:top w:val="nil"/>
              <w:left w:val="nil"/>
              <w:bottom w:val="nil"/>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ÍRÁN</w:t>
            </w:r>
          </w:p>
        </w:tc>
        <w:tc>
          <w:tcPr>
            <w:tcW w:w="2020" w:type="dxa"/>
            <w:tcBorders>
              <w:top w:val="nil"/>
              <w:left w:val="nil"/>
              <w:bottom w:val="nil"/>
              <w:right w:val="nil"/>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34.4</w:t>
            </w:r>
          </w:p>
        </w:tc>
        <w:tc>
          <w:tcPr>
            <w:tcW w:w="1680" w:type="dxa"/>
            <w:tcBorders>
              <w:top w:val="nil"/>
              <w:left w:val="single" w:sz="4" w:space="0" w:color="auto"/>
              <w:bottom w:val="nil"/>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94110</w:t>
            </w:r>
          </w:p>
        </w:tc>
        <w:tc>
          <w:tcPr>
            <w:tcW w:w="2380" w:type="dxa"/>
            <w:tcBorders>
              <w:top w:val="nil"/>
              <w:left w:val="nil"/>
              <w:bottom w:val="nil"/>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420</w:t>
            </w:r>
          </w:p>
        </w:tc>
        <w:tc>
          <w:tcPr>
            <w:tcW w:w="1420" w:type="dxa"/>
            <w:tcBorders>
              <w:top w:val="nil"/>
              <w:left w:val="nil"/>
              <w:bottom w:val="nil"/>
              <w:right w:val="single" w:sz="8"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14720</w:t>
            </w:r>
          </w:p>
        </w:tc>
      </w:tr>
      <w:tr w:rsidR="00A47F5D" w:rsidRPr="00026D3E" w:rsidTr="00B84248">
        <w:trPr>
          <w:trHeight w:val="300"/>
        </w:trPr>
        <w:tc>
          <w:tcPr>
            <w:tcW w:w="960" w:type="dxa"/>
            <w:vMerge/>
            <w:tcBorders>
              <w:top w:val="nil"/>
              <w:left w:val="single" w:sz="8" w:space="0" w:color="auto"/>
              <w:bottom w:val="single" w:sz="8" w:space="0" w:color="000000"/>
              <w:right w:val="single" w:sz="4" w:space="0" w:color="auto"/>
            </w:tcBorders>
            <w:vAlign w:val="center"/>
            <w:hideMark/>
          </w:tcPr>
          <w:p w:rsidR="00A47F5D" w:rsidRPr="00026D3E" w:rsidRDefault="00A47F5D" w:rsidP="00B8424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SÝRIE</w:t>
            </w:r>
          </w:p>
        </w:tc>
        <w:tc>
          <w:tcPr>
            <w:tcW w:w="2020" w:type="dxa"/>
            <w:tcBorders>
              <w:top w:val="nil"/>
              <w:left w:val="nil"/>
              <w:bottom w:val="single" w:sz="4" w:space="0" w:color="auto"/>
              <w:right w:val="nil"/>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7.6</w:t>
            </w:r>
          </w:p>
        </w:tc>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8482</w:t>
            </w:r>
          </w:p>
        </w:tc>
        <w:tc>
          <w:tcPr>
            <w:tcW w:w="2380" w:type="dxa"/>
            <w:tcBorders>
              <w:top w:val="nil"/>
              <w:left w:val="nil"/>
              <w:bottom w:val="single" w:sz="4" w:space="0" w:color="auto"/>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240</w:t>
            </w:r>
          </w:p>
        </w:tc>
        <w:tc>
          <w:tcPr>
            <w:tcW w:w="1420" w:type="dxa"/>
            <w:tcBorders>
              <w:top w:val="nil"/>
              <w:left w:val="nil"/>
              <w:bottom w:val="single" w:sz="4" w:space="0" w:color="auto"/>
              <w:right w:val="single" w:sz="8"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1241</w:t>
            </w:r>
          </w:p>
        </w:tc>
      </w:tr>
      <w:tr w:rsidR="00A47F5D" w:rsidRPr="00026D3E" w:rsidTr="00B84248">
        <w:trPr>
          <w:trHeight w:val="315"/>
        </w:trPr>
        <w:tc>
          <w:tcPr>
            <w:tcW w:w="960" w:type="dxa"/>
            <w:vMerge/>
            <w:tcBorders>
              <w:top w:val="nil"/>
              <w:left w:val="single" w:sz="8" w:space="0" w:color="auto"/>
              <w:bottom w:val="single" w:sz="8" w:space="0" w:color="000000"/>
              <w:right w:val="single" w:sz="4" w:space="0" w:color="auto"/>
            </w:tcBorders>
            <w:vAlign w:val="center"/>
            <w:hideMark/>
          </w:tcPr>
          <w:p w:rsidR="00A47F5D" w:rsidRPr="00026D3E" w:rsidRDefault="00A47F5D" w:rsidP="00B8424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Součet</w:t>
            </w:r>
          </w:p>
        </w:tc>
        <w:tc>
          <w:tcPr>
            <w:tcW w:w="2020" w:type="dxa"/>
            <w:tcBorders>
              <w:top w:val="nil"/>
              <w:left w:val="nil"/>
              <w:bottom w:val="nil"/>
              <w:right w:val="nil"/>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42.0</w:t>
            </w:r>
          </w:p>
        </w:tc>
        <w:tc>
          <w:tcPr>
            <w:tcW w:w="1680" w:type="dxa"/>
            <w:tcBorders>
              <w:top w:val="nil"/>
              <w:left w:val="single" w:sz="4" w:space="0" w:color="auto"/>
              <w:bottom w:val="nil"/>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102592</w:t>
            </w:r>
          </w:p>
        </w:tc>
        <w:tc>
          <w:tcPr>
            <w:tcW w:w="2380" w:type="dxa"/>
            <w:tcBorders>
              <w:top w:val="nil"/>
              <w:left w:val="nil"/>
              <w:bottom w:val="nil"/>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660</w:t>
            </w:r>
          </w:p>
        </w:tc>
        <w:tc>
          <w:tcPr>
            <w:tcW w:w="1420" w:type="dxa"/>
            <w:tcBorders>
              <w:top w:val="nil"/>
              <w:left w:val="nil"/>
              <w:bottom w:val="nil"/>
              <w:right w:val="single" w:sz="8"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15961</w:t>
            </w:r>
          </w:p>
        </w:tc>
      </w:tr>
      <w:tr w:rsidR="00A47F5D" w:rsidRPr="00026D3E" w:rsidTr="00B84248">
        <w:trPr>
          <w:trHeight w:val="300"/>
        </w:trPr>
        <w:tc>
          <w:tcPr>
            <w:tcW w:w="96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1977</w:t>
            </w:r>
          </w:p>
        </w:tc>
        <w:tc>
          <w:tcPr>
            <w:tcW w:w="960" w:type="dxa"/>
            <w:tcBorders>
              <w:top w:val="single" w:sz="8" w:space="0" w:color="auto"/>
              <w:left w:val="nil"/>
              <w:bottom w:val="nil"/>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ÍRÁN</w:t>
            </w:r>
          </w:p>
        </w:tc>
        <w:tc>
          <w:tcPr>
            <w:tcW w:w="2020" w:type="dxa"/>
            <w:tcBorders>
              <w:top w:val="single" w:sz="8" w:space="0" w:color="auto"/>
              <w:left w:val="nil"/>
              <w:bottom w:val="nil"/>
              <w:right w:val="nil"/>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35.4</w:t>
            </w:r>
          </w:p>
        </w:tc>
        <w:tc>
          <w:tcPr>
            <w:tcW w:w="1680" w:type="dxa"/>
            <w:tcBorders>
              <w:top w:val="single" w:sz="8" w:space="0" w:color="auto"/>
              <w:left w:val="single" w:sz="4" w:space="0" w:color="auto"/>
              <w:bottom w:val="nil"/>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100400</w:t>
            </w:r>
          </w:p>
        </w:tc>
        <w:tc>
          <w:tcPr>
            <w:tcW w:w="2380" w:type="dxa"/>
            <w:tcBorders>
              <w:top w:val="single" w:sz="8" w:space="0" w:color="auto"/>
              <w:left w:val="nil"/>
              <w:bottom w:val="nil"/>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350</w:t>
            </w:r>
          </w:p>
        </w:tc>
        <w:tc>
          <w:tcPr>
            <w:tcW w:w="1420" w:type="dxa"/>
            <w:tcBorders>
              <w:top w:val="single" w:sz="8" w:space="0" w:color="auto"/>
              <w:left w:val="nil"/>
              <w:bottom w:val="nil"/>
              <w:right w:val="single" w:sz="8"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11910</w:t>
            </w:r>
          </w:p>
        </w:tc>
      </w:tr>
      <w:tr w:rsidR="00A47F5D" w:rsidRPr="00026D3E" w:rsidTr="00B84248">
        <w:trPr>
          <w:trHeight w:val="300"/>
        </w:trPr>
        <w:tc>
          <w:tcPr>
            <w:tcW w:w="960" w:type="dxa"/>
            <w:vMerge/>
            <w:tcBorders>
              <w:top w:val="nil"/>
              <w:left w:val="single" w:sz="8" w:space="0" w:color="auto"/>
              <w:bottom w:val="single" w:sz="8" w:space="0" w:color="000000"/>
              <w:right w:val="single" w:sz="4" w:space="0" w:color="auto"/>
            </w:tcBorders>
            <w:vAlign w:val="center"/>
            <w:hideMark/>
          </w:tcPr>
          <w:p w:rsidR="00A47F5D" w:rsidRPr="00026D3E" w:rsidRDefault="00A47F5D" w:rsidP="00B8424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SÝRIE</w:t>
            </w:r>
          </w:p>
        </w:tc>
        <w:tc>
          <w:tcPr>
            <w:tcW w:w="2020" w:type="dxa"/>
            <w:tcBorders>
              <w:top w:val="nil"/>
              <w:left w:val="nil"/>
              <w:bottom w:val="single" w:sz="4" w:space="0" w:color="auto"/>
              <w:right w:val="nil"/>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7.9</w:t>
            </w:r>
          </w:p>
        </w:tc>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8848</w:t>
            </w:r>
          </w:p>
        </w:tc>
        <w:tc>
          <w:tcPr>
            <w:tcW w:w="2380" w:type="dxa"/>
            <w:tcBorders>
              <w:top w:val="nil"/>
              <w:left w:val="nil"/>
              <w:bottom w:val="single" w:sz="4" w:space="0" w:color="auto"/>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250</w:t>
            </w:r>
          </w:p>
        </w:tc>
        <w:tc>
          <w:tcPr>
            <w:tcW w:w="1420" w:type="dxa"/>
            <w:tcBorders>
              <w:top w:val="nil"/>
              <w:left w:val="nil"/>
              <w:bottom w:val="single" w:sz="4" w:space="0" w:color="auto"/>
              <w:right w:val="single" w:sz="8"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1268</w:t>
            </w:r>
          </w:p>
        </w:tc>
      </w:tr>
      <w:tr w:rsidR="00A47F5D" w:rsidRPr="00026D3E" w:rsidTr="00B84248">
        <w:trPr>
          <w:trHeight w:val="315"/>
        </w:trPr>
        <w:tc>
          <w:tcPr>
            <w:tcW w:w="960" w:type="dxa"/>
            <w:vMerge/>
            <w:tcBorders>
              <w:top w:val="nil"/>
              <w:left w:val="single" w:sz="8" w:space="0" w:color="auto"/>
              <w:bottom w:val="single" w:sz="8" w:space="0" w:color="000000"/>
              <w:right w:val="single" w:sz="4" w:space="0" w:color="auto"/>
            </w:tcBorders>
            <w:vAlign w:val="center"/>
            <w:hideMark/>
          </w:tcPr>
          <w:p w:rsidR="00A47F5D" w:rsidRPr="00026D3E" w:rsidRDefault="00A47F5D" w:rsidP="00B8424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single" w:sz="8" w:space="0" w:color="auto"/>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Součet</w:t>
            </w:r>
          </w:p>
        </w:tc>
        <w:tc>
          <w:tcPr>
            <w:tcW w:w="2020" w:type="dxa"/>
            <w:tcBorders>
              <w:top w:val="nil"/>
              <w:left w:val="nil"/>
              <w:bottom w:val="single" w:sz="8" w:space="0" w:color="auto"/>
              <w:right w:val="nil"/>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43.3</w:t>
            </w:r>
          </w:p>
        </w:tc>
        <w:tc>
          <w:tcPr>
            <w:tcW w:w="1680" w:type="dxa"/>
            <w:tcBorders>
              <w:top w:val="nil"/>
              <w:left w:val="single" w:sz="4" w:space="0" w:color="auto"/>
              <w:bottom w:val="single" w:sz="8" w:space="0" w:color="auto"/>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109248</w:t>
            </w:r>
          </w:p>
        </w:tc>
        <w:tc>
          <w:tcPr>
            <w:tcW w:w="2380" w:type="dxa"/>
            <w:tcBorders>
              <w:top w:val="nil"/>
              <w:left w:val="nil"/>
              <w:bottom w:val="single" w:sz="8" w:space="0" w:color="auto"/>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600</w:t>
            </w:r>
          </w:p>
        </w:tc>
        <w:tc>
          <w:tcPr>
            <w:tcW w:w="1420" w:type="dxa"/>
            <w:tcBorders>
              <w:top w:val="nil"/>
              <w:left w:val="nil"/>
              <w:bottom w:val="single" w:sz="8" w:space="0" w:color="auto"/>
              <w:right w:val="single" w:sz="8"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13178</w:t>
            </w:r>
          </w:p>
        </w:tc>
      </w:tr>
      <w:tr w:rsidR="00A47F5D" w:rsidRPr="00026D3E" w:rsidTr="00B84248">
        <w:trPr>
          <w:trHeight w:val="300"/>
        </w:trPr>
        <w:tc>
          <w:tcPr>
            <w:tcW w:w="96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1978</w:t>
            </w:r>
          </w:p>
        </w:tc>
        <w:tc>
          <w:tcPr>
            <w:tcW w:w="960" w:type="dxa"/>
            <w:tcBorders>
              <w:top w:val="nil"/>
              <w:left w:val="nil"/>
              <w:bottom w:val="nil"/>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ÍRÁN</w:t>
            </w:r>
          </w:p>
        </w:tc>
        <w:tc>
          <w:tcPr>
            <w:tcW w:w="2020" w:type="dxa"/>
            <w:tcBorders>
              <w:top w:val="nil"/>
              <w:left w:val="nil"/>
              <w:bottom w:val="nil"/>
              <w:right w:val="nil"/>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36.5</w:t>
            </w:r>
          </w:p>
        </w:tc>
        <w:tc>
          <w:tcPr>
            <w:tcW w:w="1680" w:type="dxa"/>
            <w:tcBorders>
              <w:top w:val="nil"/>
              <w:left w:val="single" w:sz="4" w:space="0" w:color="auto"/>
              <w:bottom w:val="nil"/>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87090</w:t>
            </w:r>
          </w:p>
        </w:tc>
        <w:tc>
          <w:tcPr>
            <w:tcW w:w="2380" w:type="dxa"/>
            <w:tcBorders>
              <w:top w:val="nil"/>
              <w:left w:val="nil"/>
              <w:bottom w:val="nil"/>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350</w:t>
            </w:r>
          </w:p>
        </w:tc>
        <w:tc>
          <w:tcPr>
            <w:tcW w:w="1420" w:type="dxa"/>
            <w:tcBorders>
              <w:top w:val="nil"/>
              <w:left w:val="nil"/>
              <w:bottom w:val="nil"/>
              <w:right w:val="single" w:sz="8"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14490</w:t>
            </w:r>
          </w:p>
        </w:tc>
      </w:tr>
      <w:tr w:rsidR="00A47F5D" w:rsidRPr="00026D3E" w:rsidTr="00B84248">
        <w:trPr>
          <w:trHeight w:val="300"/>
        </w:trPr>
        <w:tc>
          <w:tcPr>
            <w:tcW w:w="960" w:type="dxa"/>
            <w:vMerge/>
            <w:tcBorders>
              <w:top w:val="nil"/>
              <w:left w:val="single" w:sz="8" w:space="0" w:color="auto"/>
              <w:bottom w:val="single" w:sz="8" w:space="0" w:color="000000"/>
              <w:right w:val="single" w:sz="4" w:space="0" w:color="auto"/>
            </w:tcBorders>
            <w:vAlign w:val="center"/>
            <w:hideMark/>
          </w:tcPr>
          <w:p w:rsidR="00A47F5D" w:rsidRPr="00026D3E" w:rsidRDefault="00A47F5D" w:rsidP="00B8424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SÝRIE</w:t>
            </w:r>
          </w:p>
        </w:tc>
        <w:tc>
          <w:tcPr>
            <w:tcW w:w="2020" w:type="dxa"/>
            <w:tcBorders>
              <w:top w:val="nil"/>
              <w:left w:val="nil"/>
              <w:bottom w:val="single" w:sz="4" w:space="0" w:color="auto"/>
              <w:right w:val="nil"/>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8.1</w:t>
            </w:r>
          </w:p>
        </w:tc>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10350</w:t>
            </w:r>
          </w:p>
        </w:tc>
        <w:tc>
          <w:tcPr>
            <w:tcW w:w="2380" w:type="dxa"/>
            <w:tcBorders>
              <w:top w:val="nil"/>
              <w:left w:val="nil"/>
              <w:bottom w:val="single" w:sz="4" w:space="0" w:color="auto"/>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220</w:t>
            </w:r>
          </w:p>
        </w:tc>
        <w:tc>
          <w:tcPr>
            <w:tcW w:w="1420" w:type="dxa"/>
            <w:tcBorders>
              <w:top w:val="nil"/>
              <w:left w:val="nil"/>
              <w:bottom w:val="single" w:sz="4" w:space="0" w:color="auto"/>
              <w:right w:val="single" w:sz="8"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1500</w:t>
            </w:r>
          </w:p>
        </w:tc>
      </w:tr>
      <w:tr w:rsidR="00A47F5D" w:rsidRPr="00026D3E" w:rsidTr="00B84248">
        <w:trPr>
          <w:trHeight w:val="315"/>
        </w:trPr>
        <w:tc>
          <w:tcPr>
            <w:tcW w:w="960" w:type="dxa"/>
            <w:vMerge/>
            <w:tcBorders>
              <w:top w:val="nil"/>
              <w:left w:val="single" w:sz="8" w:space="0" w:color="auto"/>
              <w:bottom w:val="single" w:sz="8" w:space="0" w:color="000000"/>
              <w:right w:val="single" w:sz="4" w:space="0" w:color="auto"/>
            </w:tcBorders>
            <w:vAlign w:val="center"/>
            <w:hideMark/>
          </w:tcPr>
          <w:p w:rsidR="00A47F5D" w:rsidRPr="00026D3E" w:rsidRDefault="00A47F5D" w:rsidP="00B8424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Součet</w:t>
            </w:r>
          </w:p>
        </w:tc>
        <w:tc>
          <w:tcPr>
            <w:tcW w:w="2020" w:type="dxa"/>
            <w:tcBorders>
              <w:top w:val="nil"/>
              <w:left w:val="nil"/>
              <w:bottom w:val="nil"/>
              <w:right w:val="nil"/>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44.6</w:t>
            </w:r>
          </w:p>
        </w:tc>
        <w:tc>
          <w:tcPr>
            <w:tcW w:w="1680" w:type="dxa"/>
            <w:tcBorders>
              <w:top w:val="nil"/>
              <w:left w:val="single" w:sz="4" w:space="0" w:color="auto"/>
              <w:bottom w:val="nil"/>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97440</w:t>
            </w:r>
          </w:p>
        </w:tc>
        <w:tc>
          <w:tcPr>
            <w:tcW w:w="2380" w:type="dxa"/>
            <w:tcBorders>
              <w:top w:val="nil"/>
              <w:left w:val="nil"/>
              <w:bottom w:val="nil"/>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570</w:t>
            </w:r>
          </w:p>
        </w:tc>
        <w:tc>
          <w:tcPr>
            <w:tcW w:w="1420" w:type="dxa"/>
            <w:tcBorders>
              <w:top w:val="nil"/>
              <w:left w:val="nil"/>
              <w:bottom w:val="nil"/>
              <w:right w:val="single" w:sz="8"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15990</w:t>
            </w:r>
          </w:p>
        </w:tc>
      </w:tr>
      <w:tr w:rsidR="00A47F5D" w:rsidRPr="00026D3E" w:rsidTr="00B84248">
        <w:trPr>
          <w:trHeight w:val="300"/>
        </w:trPr>
        <w:tc>
          <w:tcPr>
            <w:tcW w:w="96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1979</w:t>
            </w:r>
          </w:p>
        </w:tc>
        <w:tc>
          <w:tcPr>
            <w:tcW w:w="960" w:type="dxa"/>
            <w:tcBorders>
              <w:top w:val="single" w:sz="8" w:space="0" w:color="auto"/>
              <w:left w:val="nil"/>
              <w:bottom w:val="nil"/>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ÍRÁN</w:t>
            </w:r>
          </w:p>
        </w:tc>
        <w:tc>
          <w:tcPr>
            <w:tcW w:w="2020" w:type="dxa"/>
            <w:tcBorders>
              <w:top w:val="single" w:sz="8" w:space="0" w:color="auto"/>
              <w:left w:val="nil"/>
              <w:bottom w:val="nil"/>
              <w:right w:val="nil"/>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37.7</w:t>
            </w:r>
          </w:p>
        </w:tc>
        <w:tc>
          <w:tcPr>
            <w:tcW w:w="1680" w:type="dxa"/>
            <w:tcBorders>
              <w:top w:val="single" w:sz="8" w:space="0" w:color="auto"/>
              <w:left w:val="single" w:sz="4" w:space="0" w:color="auto"/>
              <w:bottom w:val="nil"/>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110500</w:t>
            </w:r>
          </w:p>
        </w:tc>
        <w:tc>
          <w:tcPr>
            <w:tcW w:w="2380" w:type="dxa"/>
            <w:tcBorders>
              <w:top w:val="single" w:sz="8" w:space="0" w:color="auto"/>
              <w:left w:val="nil"/>
              <w:bottom w:val="nil"/>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415</w:t>
            </w:r>
          </w:p>
        </w:tc>
        <w:tc>
          <w:tcPr>
            <w:tcW w:w="1420" w:type="dxa"/>
            <w:tcBorders>
              <w:top w:val="single" w:sz="8" w:space="0" w:color="auto"/>
              <w:left w:val="nil"/>
              <w:bottom w:val="nil"/>
              <w:right w:val="single" w:sz="8"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9058</w:t>
            </w:r>
          </w:p>
        </w:tc>
      </w:tr>
      <w:tr w:rsidR="00A47F5D" w:rsidRPr="00026D3E" w:rsidTr="00B84248">
        <w:trPr>
          <w:trHeight w:val="300"/>
        </w:trPr>
        <w:tc>
          <w:tcPr>
            <w:tcW w:w="960" w:type="dxa"/>
            <w:vMerge/>
            <w:tcBorders>
              <w:top w:val="nil"/>
              <w:left w:val="single" w:sz="8" w:space="0" w:color="auto"/>
              <w:bottom w:val="single" w:sz="8" w:space="0" w:color="000000"/>
              <w:right w:val="single" w:sz="4" w:space="0" w:color="auto"/>
            </w:tcBorders>
            <w:vAlign w:val="center"/>
            <w:hideMark/>
          </w:tcPr>
          <w:p w:rsidR="00A47F5D" w:rsidRPr="00026D3E" w:rsidRDefault="00A47F5D" w:rsidP="00B8424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SÝRIE</w:t>
            </w:r>
          </w:p>
        </w:tc>
        <w:tc>
          <w:tcPr>
            <w:tcW w:w="2020" w:type="dxa"/>
            <w:tcBorders>
              <w:top w:val="nil"/>
              <w:left w:val="nil"/>
              <w:bottom w:val="single" w:sz="4" w:space="0" w:color="auto"/>
              <w:right w:val="nil"/>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8.4</w:t>
            </w:r>
          </w:p>
        </w:tc>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11860</w:t>
            </w:r>
          </w:p>
        </w:tc>
        <w:tc>
          <w:tcPr>
            <w:tcW w:w="2380" w:type="dxa"/>
            <w:tcBorders>
              <w:top w:val="nil"/>
              <w:left w:val="nil"/>
              <w:bottom w:val="single" w:sz="4" w:space="0" w:color="auto"/>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220</w:t>
            </w:r>
          </w:p>
        </w:tc>
        <w:tc>
          <w:tcPr>
            <w:tcW w:w="1420" w:type="dxa"/>
            <w:tcBorders>
              <w:top w:val="nil"/>
              <w:left w:val="nil"/>
              <w:bottom w:val="single" w:sz="4" w:space="0" w:color="auto"/>
              <w:right w:val="single" w:sz="8"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1864</w:t>
            </w:r>
          </w:p>
        </w:tc>
      </w:tr>
      <w:tr w:rsidR="00A47F5D" w:rsidRPr="00026D3E" w:rsidTr="00B84248">
        <w:trPr>
          <w:trHeight w:val="315"/>
        </w:trPr>
        <w:tc>
          <w:tcPr>
            <w:tcW w:w="960" w:type="dxa"/>
            <w:vMerge/>
            <w:tcBorders>
              <w:top w:val="nil"/>
              <w:left w:val="single" w:sz="8" w:space="0" w:color="auto"/>
              <w:bottom w:val="single" w:sz="8" w:space="0" w:color="000000"/>
              <w:right w:val="single" w:sz="4" w:space="0" w:color="auto"/>
            </w:tcBorders>
            <w:vAlign w:val="center"/>
            <w:hideMark/>
          </w:tcPr>
          <w:p w:rsidR="00A47F5D" w:rsidRPr="00026D3E" w:rsidRDefault="00A47F5D" w:rsidP="00B8424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single" w:sz="8" w:space="0" w:color="auto"/>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Součet</w:t>
            </w:r>
          </w:p>
        </w:tc>
        <w:tc>
          <w:tcPr>
            <w:tcW w:w="2020" w:type="dxa"/>
            <w:tcBorders>
              <w:top w:val="nil"/>
              <w:left w:val="nil"/>
              <w:bottom w:val="single" w:sz="8" w:space="0" w:color="auto"/>
              <w:right w:val="nil"/>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46.1</w:t>
            </w:r>
          </w:p>
        </w:tc>
        <w:tc>
          <w:tcPr>
            <w:tcW w:w="1680" w:type="dxa"/>
            <w:tcBorders>
              <w:top w:val="nil"/>
              <w:left w:val="single" w:sz="4" w:space="0" w:color="auto"/>
              <w:bottom w:val="single" w:sz="8" w:space="0" w:color="auto"/>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122360</w:t>
            </w:r>
          </w:p>
        </w:tc>
        <w:tc>
          <w:tcPr>
            <w:tcW w:w="2380" w:type="dxa"/>
            <w:tcBorders>
              <w:top w:val="nil"/>
              <w:left w:val="nil"/>
              <w:bottom w:val="single" w:sz="8" w:space="0" w:color="auto"/>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635</w:t>
            </w:r>
          </w:p>
        </w:tc>
        <w:tc>
          <w:tcPr>
            <w:tcW w:w="1420" w:type="dxa"/>
            <w:tcBorders>
              <w:top w:val="nil"/>
              <w:left w:val="nil"/>
              <w:bottom w:val="single" w:sz="8" w:space="0" w:color="auto"/>
              <w:right w:val="single" w:sz="8"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10922</w:t>
            </w:r>
          </w:p>
        </w:tc>
      </w:tr>
      <w:tr w:rsidR="00A47F5D" w:rsidRPr="00026D3E" w:rsidTr="00B84248">
        <w:trPr>
          <w:trHeight w:val="300"/>
        </w:trPr>
        <w:tc>
          <w:tcPr>
            <w:tcW w:w="96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1980</w:t>
            </w:r>
          </w:p>
        </w:tc>
        <w:tc>
          <w:tcPr>
            <w:tcW w:w="960" w:type="dxa"/>
            <w:tcBorders>
              <w:top w:val="nil"/>
              <w:left w:val="nil"/>
              <w:bottom w:val="nil"/>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ÍRÁN</w:t>
            </w:r>
          </w:p>
        </w:tc>
        <w:tc>
          <w:tcPr>
            <w:tcW w:w="2020" w:type="dxa"/>
            <w:tcBorders>
              <w:top w:val="nil"/>
              <w:left w:val="nil"/>
              <w:bottom w:val="nil"/>
              <w:right w:val="nil"/>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39.2</w:t>
            </w:r>
          </w:p>
        </w:tc>
        <w:tc>
          <w:tcPr>
            <w:tcW w:w="1680" w:type="dxa"/>
            <w:tcBorders>
              <w:top w:val="nil"/>
              <w:left w:val="single" w:sz="4" w:space="0" w:color="auto"/>
              <w:bottom w:val="nil"/>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116200</w:t>
            </w:r>
          </w:p>
        </w:tc>
        <w:tc>
          <w:tcPr>
            <w:tcW w:w="2380" w:type="dxa"/>
            <w:tcBorders>
              <w:top w:val="nil"/>
              <w:left w:val="nil"/>
              <w:bottom w:val="nil"/>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305</w:t>
            </w:r>
          </w:p>
        </w:tc>
        <w:tc>
          <w:tcPr>
            <w:tcW w:w="1420" w:type="dxa"/>
            <w:tcBorders>
              <w:top w:val="nil"/>
              <w:left w:val="nil"/>
              <w:bottom w:val="nil"/>
              <w:right w:val="single" w:sz="8"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7725</w:t>
            </w:r>
          </w:p>
        </w:tc>
      </w:tr>
      <w:tr w:rsidR="00A47F5D" w:rsidRPr="00026D3E" w:rsidTr="00B84248">
        <w:trPr>
          <w:trHeight w:val="300"/>
        </w:trPr>
        <w:tc>
          <w:tcPr>
            <w:tcW w:w="960" w:type="dxa"/>
            <w:vMerge/>
            <w:tcBorders>
              <w:top w:val="nil"/>
              <w:left w:val="single" w:sz="8" w:space="0" w:color="auto"/>
              <w:bottom w:val="single" w:sz="8" w:space="0" w:color="000000"/>
              <w:right w:val="single" w:sz="4" w:space="0" w:color="auto"/>
            </w:tcBorders>
            <w:vAlign w:val="center"/>
            <w:hideMark/>
          </w:tcPr>
          <w:p w:rsidR="00A47F5D" w:rsidRPr="00026D3E" w:rsidRDefault="00A47F5D" w:rsidP="00B8424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SÝRIE</w:t>
            </w:r>
          </w:p>
        </w:tc>
        <w:tc>
          <w:tcPr>
            <w:tcW w:w="2020" w:type="dxa"/>
            <w:tcBorders>
              <w:top w:val="nil"/>
              <w:left w:val="nil"/>
              <w:bottom w:val="single" w:sz="4" w:space="0" w:color="auto"/>
              <w:right w:val="nil"/>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8.7</w:t>
            </w:r>
          </w:p>
        </w:tc>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13970</w:t>
            </w:r>
          </w:p>
        </w:tc>
        <w:tc>
          <w:tcPr>
            <w:tcW w:w="2380" w:type="dxa"/>
            <w:tcBorders>
              <w:top w:val="nil"/>
              <w:left w:val="nil"/>
              <w:bottom w:val="single" w:sz="4" w:space="0" w:color="auto"/>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250</w:t>
            </w:r>
          </w:p>
        </w:tc>
        <w:tc>
          <w:tcPr>
            <w:tcW w:w="1420" w:type="dxa"/>
            <w:tcBorders>
              <w:top w:val="nil"/>
              <w:left w:val="nil"/>
              <w:bottom w:val="single" w:sz="4" w:space="0" w:color="auto"/>
              <w:right w:val="single" w:sz="8"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2383</w:t>
            </w:r>
          </w:p>
        </w:tc>
      </w:tr>
      <w:tr w:rsidR="00A47F5D" w:rsidRPr="00026D3E" w:rsidTr="00B84248">
        <w:trPr>
          <w:trHeight w:val="315"/>
        </w:trPr>
        <w:tc>
          <w:tcPr>
            <w:tcW w:w="960" w:type="dxa"/>
            <w:vMerge/>
            <w:tcBorders>
              <w:top w:val="nil"/>
              <w:left w:val="single" w:sz="8" w:space="0" w:color="auto"/>
              <w:bottom w:val="single" w:sz="8" w:space="0" w:color="000000"/>
              <w:right w:val="single" w:sz="4" w:space="0" w:color="auto"/>
            </w:tcBorders>
            <w:vAlign w:val="center"/>
            <w:hideMark/>
          </w:tcPr>
          <w:p w:rsidR="00A47F5D" w:rsidRPr="00026D3E" w:rsidRDefault="00A47F5D" w:rsidP="00B8424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Součet</w:t>
            </w:r>
          </w:p>
        </w:tc>
        <w:tc>
          <w:tcPr>
            <w:tcW w:w="2020" w:type="dxa"/>
            <w:tcBorders>
              <w:top w:val="nil"/>
              <w:left w:val="nil"/>
              <w:bottom w:val="nil"/>
              <w:right w:val="nil"/>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47.9</w:t>
            </w:r>
          </w:p>
        </w:tc>
        <w:tc>
          <w:tcPr>
            <w:tcW w:w="1680" w:type="dxa"/>
            <w:tcBorders>
              <w:top w:val="nil"/>
              <w:left w:val="single" w:sz="4" w:space="0" w:color="auto"/>
              <w:bottom w:val="nil"/>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130170</w:t>
            </w:r>
          </w:p>
        </w:tc>
        <w:tc>
          <w:tcPr>
            <w:tcW w:w="2380" w:type="dxa"/>
            <w:tcBorders>
              <w:top w:val="nil"/>
              <w:left w:val="nil"/>
              <w:bottom w:val="nil"/>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555</w:t>
            </w:r>
          </w:p>
        </w:tc>
        <w:tc>
          <w:tcPr>
            <w:tcW w:w="1420" w:type="dxa"/>
            <w:tcBorders>
              <w:top w:val="nil"/>
              <w:left w:val="nil"/>
              <w:bottom w:val="nil"/>
              <w:right w:val="single" w:sz="8"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10108</w:t>
            </w:r>
          </w:p>
        </w:tc>
      </w:tr>
      <w:tr w:rsidR="00A47F5D" w:rsidRPr="00026D3E" w:rsidTr="00B84248">
        <w:trPr>
          <w:trHeight w:val="300"/>
        </w:trPr>
        <w:tc>
          <w:tcPr>
            <w:tcW w:w="96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1981</w:t>
            </w:r>
          </w:p>
        </w:tc>
        <w:tc>
          <w:tcPr>
            <w:tcW w:w="960" w:type="dxa"/>
            <w:tcBorders>
              <w:top w:val="single" w:sz="8" w:space="0" w:color="auto"/>
              <w:left w:val="nil"/>
              <w:bottom w:val="nil"/>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ÍRÁN</w:t>
            </w:r>
          </w:p>
        </w:tc>
        <w:tc>
          <w:tcPr>
            <w:tcW w:w="2020" w:type="dxa"/>
            <w:tcBorders>
              <w:top w:val="single" w:sz="8" w:space="0" w:color="auto"/>
              <w:left w:val="nil"/>
              <w:bottom w:val="nil"/>
              <w:right w:val="nil"/>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40.7</w:t>
            </w:r>
          </w:p>
        </w:tc>
        <w:tc>
          <w:tcPr>
            <w:tcW w:w="1680" w:type="dxa"/>
            <w:tcBorders>
              <w:top w:val="single" w:sz="8" w:space="0" w:color="auto"/>
              <w:left w:val="single" w:sz="4" w:space="0" w:color="auto"/>
              <w:bottom w:val="nil"/>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124500</w:t>
            </w:r>
          </w:p>
        </w:tc>
        <w:tc>
          <w:tcPr>
            <w:tcW w:w="2380" w:type="dxa"/>
            <w:tcBorders>
              <w:top w:val="single" w:sz="8" w:space="0" w:color="auto"/>
              <w:left w:val="nil"/>
              <w:bottom w:val="nil"/>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260</w:t>
            </w:r>
          </w:p>
        </w:tc>
        <w:tc>
          <w:tcPr>
            <w:tcW w:w="1420" w:type="dxa"/>
            <w:tcBorders>
              <w:top w:val="single" w:sz="8" w:space="0" w:color="auto"/>
              <w:left w:val="nil"/>
              <w:bottom w:val="nil"/>
              <w:right w:val="single" w:sz="8"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8519</w:t>
            </w:r>
          </w:p>
        </w:tc>
      </w:tr>
      <w:tr w:rsidR="00A47F5D" w:rsidRPr="00026D3E" w:rsidTr="00B84248">
        <w:trPr>
          <w:trHeight w:val="300"/>
        </w:trPr>
        <w:tc>
          <w:tcPr>
            <w:tcW w:w="960" w:type="dxa"/>
            <w:vMerge/>
            <w:tcBorders>
              <w:top w:val="nil"/>
              <w:left w:val="single" w:sz="8" w:space="0" w:color="auto"/>
              <w:bottom w:val="single" w:sz="8" w:space="0" w:color="000000"/>
              <w:right w:val="single" w:sz="4" w:space="0" w:color="auto"/>
            </w:tcBorders>
            <w:vAlign w:val="center"/>
            <w:hideMark/>
          </w:tcPr>
          <w:p w:rsidR="00A47F5D" w:rsidRPr="00026D3E" w:rsidRDefault="00A47F5D" w:rsidP="00B8424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SÝRIE</w:t>
            </w:r>
          </w:p>
        </w:tc>
        <w:tc>
          <w:tcPr>
            <w:tcW w:w="2020" w:type="dxa"/>
            <w:tcBorders>
              <w:top w:val="nil"/>
              <w:left w:val="nil"/>
              <w:bottom w:val="single" w:sz="4" w:space="0" w:color="auto"/>
              <w:right w:val="nil"/>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9.0</w:t>
            </w:r>
          </w:p>
        </w:tc>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16560</w:t>
            </w:r>
          </w:p>
        </w:tc>
        <w:tc>
          <w:tcPr>
            <w:tcW w:w="2380" w:type="dxa"/>
            <w:tcBorders>
              <w:top w:val="nil"/>
              <w:left w:val="nil"/>
              <w:bottom w:val="single" w:sz="4" w:space="0" w:color="auto"/>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270</w:t>
            </w:r>
          </w:p>
        </w:tc>
        <w:tc>
          <w:tcPr>
            <w:tcW w:w="1420" w:type="dxa"/>
            <w:tcBorders>
              <w:top w:val="nil"/>
              <w:left w:val="nil"/>
              <w:bottom w:val="single" w:sz="4" w:space="0" w:color="auto"/>
              <w:right w:val="single" w:sz="8"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2412</w:t>
            </w:r>
          </w:p>
        </w:tc>
      </w:tr>
      <w:tr w:rsidR="00A47F5D" w:rsidRPr="00026D3E" w:rsidTr="00B84248">
        <w:trPr>
          <w:trHeight w:val="315"/>
        </w:trPr>
        <w:tc>
          <w:tcPr>
            <w:tcW w:w="960" w:type="dxa"/>
            <w:vMerge/>
            <w:tcBorders>
              <w:top w:val="nil"/>
              <w:left w:val="single" w:sz="8" w:space="0" w:color="auto"/>
              <w:bottom w:val="single" w:sz="8" w:space="0" w:color="000000"/>
              <w:right w:val="single" w:sz="4" w:space="0" w:color="auto"/>
            </w:tcBorders>
            <w:vAlign w:val="center"/>
            <w:hideMark/>
          </w:tcPr>
          <w:p w:rsidR="00A47F5D" w:rsidRPr="00026D3E" w:rsidRDefault="00A47F5D" w:rsidP="00B8424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single" w:sz="8" w:space="0" w:color="auto"/>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Součet</w:t>
            </w:r>
          </w:p>
        </w:tc>
        <w:tc>
          <w:tcPr>
            <w:tcW w:w="2020" w:type="dxa"/>
            <w:tcBorders>
              <w:top w:val="nil"/>
              <w:left w:val="nil"/>
              <w:bottom w:val="single" w:sz="8" w:space="0" w:color="auto"/>
              <w:right w:val="nil"/>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49.7</w:t>
            </w:r>
          </w:p>
        </w:tc>
        <w:tc>
          <w:tcPr>
            <w:tcW w:w="1680" w:type="dxa"/>
            <w:tcBorders>
              <w:top w:val="nil"/>
              <w:left w:val="single" w:sz="4" w:space="0" w:color="auto"/>
              <w:bottom w:val="single" w:sz="8" w:space="0" w:color="auto"/>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141060</w:t>
            </w:r>
          </w:p>
        </w:tc>
        <w:tc>
          <w:tcPr>
            <w:tcW w:w="2380" w:type="dxa"/>
            <w:tcBorders>
              <w:top w:val="nil"/>
              <w:left w:val="nil"/>
              <w:bottom w:val="single" w:sz="8" w:space="0" w:color="auto"/>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530</w:t>
            </w:r>
          </w:p>
        </w:tc>
        <w:tc>
          <w:tcPr>
            <w:tcW w:w="1420" w:type="dxa"/>
            <w:tcBorders>
              <w:top w:val="nil"/>
              <w:left w:val="nil"/>
              <w:bottom w:val="single" w:sz="8" w:space="0" w:color="auto"/>
              <w:right w:val="single" w:sz="8"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10931</w:t>
            </w:r>
          </w:p>
        </w:tc>
      </w:tr>
      <w:tr w:rsidR="00A47F5D" w:rsidRPr="00026D3E" w:rsidTr="00B84248">
        <w:trPr>
          <w:trHeight w:val="300"/>
        </w:trPr>
        <w:tc>
          <w:tcPr>
            <w:tcW w:w="96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1982</w:t>
            </w:r>
          </w:p>
        </w:tc>
        <w:tc>
          <w:tcPr>
            <w:tcW w:w="960" w:type="dxa"/>
            <w:tcBorders>
              <w:top w:val="nil"/>
              <w:left w:val="nil"/>
              <w:bottom w:val="nil"/>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ÍRÁN</w:t>
            </w:r>
          </w:p>
        </w:tc>
        <w:tc>
          <w:tcPr>
            <w:tcW w:w="2020" w:type="dxa"/>
            <w:tcBorders>
              <w:top w:val="nil"/>
              <w:left w:val="nil"/>
              <w:bottom w:val="nil"/>
              <w:right w:val="nil"/>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42.2</w:t>
            </w:r>
          </w:p>
        </w:tc>
        <w:tc>
          <w:tcPr>
            <w:tcW w:w="1680" w:type="dxa"/>
            <w:tcBorders>
              <w:top w:val="nil"/>
              <w:left w:val="single" w:sz="4" w:space="0" w:color="auto"/>
              <w:bottom w:val="nil"/>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143700</w:t>
            </w:r>
          </w:p>
        </w:tc>
        <w:tc>
          <w:tcPr>
            <w:tcW w:w="2380" w:type="dxa"/>
            <w:tcBorders>
              <w:top w:val="nil"/>
              <w:left w:val="nil"/>
              <w:bottom w:val="nil"/>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240</w:t>
            </w:r>
          </w:p>
        </w:tc>
        <w:tc>
          <w:tcPr>
            <w:tcW w:w="1420" w:type="dxa"/>
            <w:tcBorders>
              <w:top w:val="nil"/>
              <w:left w:val="nil"/>
              <w:bottom w:val="nil"/>
              <w:right w:val="single" w:sz="8"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9593</w:t>
            </w:r>
          </w:p>
        </w:tc>
      </w:tr>
      <w:tr w:rsidR="00A47F5D" w:rsidRPr="00026D3E" w:rsidTr="00B84248">
        <w:trPr>
          <w:trHeight w:val="300"/>
        </w:trPr>
        <w:tc>
          <w:tcPr>
            <w:tcW w:w="960" w:type="dxa"/>
            <w:vMerge/>
            <w:tcBorders>
              <w:top w:val="nil"/>
              <w:left w:val="single" w:sz="8" w:space="0" w:color="auto"/>
              <w:bottom w:val="single" w:sz="8" w:space="0" w:color="000000"/>
              <w:right w:val="single" w:sz="4" w:space="0" w:color="auto"/>
            </w:tcBorders>
            <w:vAlign w:val="center"/>
            <w:hideMark/>
          </w:tcPr>
          <w:p w:rsidR="00A47F5D" w:rsidRPr="00026D3E" w:rsidRDefault="00A47F5D" w:rsidP="00B8424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SÝRIE</w:t>
            </w:r>
          </w:p>
        </w:tc>
        <w:tc>
          <w:tcPr>
            <w:tcW w:w="2020" w:type="dxa"/>
            <w:tcBorders>
              <w:top w:val="nil"/>
              <w:left w:val="nil"/>
              <w:bottom w:val="single" w:sz="4" w:space="0" w:color="auto"/>
              <w:right w:val="nil"/>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9.3</w:t>
            </w:r>
          </w:p>
        </w:tc>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17980</w:t>
            </w:r>
          </w:p>
        </w:tc>
        <w:tc>
          <w:tcPr>
            <w:tcW w:w="2380" w:type="dxa"/>
            <w:tcBorders>
              <w:top w:val="nil"/>
              <w:left w:val="nil"/>
              <w:bottom w:val="single" w:sz="4" w:space="0" w:color="auto"/>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300</w:t>
            </w:r>
          </w:p>
        </w:tc>
        <w:tc>
          <w:tcPr>
            <w:tcW w:w="1420" w:type="dxa"/>
            <w:tcBorders>
              <w:top w:val="nil"/>
              <w:left w:val="nil"/>
              <w:bottom w:val="single" w:sz="4" w:space="0" w:color="auto"/>
              <w:right w:val="single" w:sz="8"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2839</w:t>
            </w:r>
          </w:p>
        </w:tc>
      </w:tr>
      <w:tr w:rsidR="00A47F5D" w:rsidRPr="00026D3E" w:rsidTr="00B84248">
        <w:trPr>
          <w:trHeight w:val="315"/>
        </w:trPr>
        <w:tc>
          <w:tcPr>
            <w:tcW w:w="960" w:type="dxa"/>
            <w:vMerge/>
            <w:tcBorders>
              <w:top w:val="nil"/>
              <w:left w:val="single" w:sz="8" w:space="0" w:color="auto"/>
              <w:bottom w:val="single" w:sz="8" w:space="0" w:color="000000"/>
              <w:right w:val="single" w:sz="4" w:space="0" w:color="auto"/>
            </w:tcBorders>
            <w:vAlign w:val="center"/>
            <w:hideMark/>
          </w:tcPr>
          <w:p w:rsidR="00A47F5D" w:rsidRPr="00026D3E" w:rsidRDefault="00A47F5D" w:rsidP="00B8424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single" w:sz="8" w:space="0" w:color="auto"/>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Součet</w:t>
            </w:r>
          </w:p>
        </w:tc>
        <w:tc>
          <w:tcPr>
            <w:tcW w:w="2020" w:type="dxa"/>
            <w:tcBorders>
              <w:top w:val="nil"/>
              <w:left w:val="nil"/>
              <w:bottom w:val="single" w:sz="8" w:space="0" w:color="auto"/>
              <w:right w:val="nil"/>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51.5</w:t>
            </w:r>
          </w:p>
        </w:tc>
        <w:tc>
          <w:tcPr>
            <w:tcW w:w="1680" w:type="dxa"/>
            <w:tcBorders>
              <w:top w:val="nil"/>
              <w:left w:val="single" w:sz="4" w:space="0" w:color="auto"/>
              <w:bottom w:val="single" w:sz="8" w:space="0" w:color="auto"/>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161680</w:t>
            </w:r>
          </w:p>
        </w:tc>
        <w:tc>
          <w:tcPr>
            <w:tcW w:w="2380" w:type="dxa"/>
            <w:tcBorders>
              <w:top w:val="nil"/>
              <w:left w:val="nil"/>
              <w:bottom w:val="single" w:sz="8" w:space="0" w:color="auto"/>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540</w:t>
            </w:r>
          </w:p>
        </w:tc>
        <w:tc>
          <w:tcPr>
            <w:tcW w:w="1420" w:type="dxa"/>
            <w:tcBorders>
              <w:top w:val="nil"/>
              <w:left w:val="nil"/>
              <w:bottom w:val="single" w:sz="8" w:space="0" w:color="auto"/>
              <w:right w:val="single" w:sz="8"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12432</w:t>
            </w:r>
          </w:p>
        </w:tc>
      </w:tr>
      <w:tr w:rsidR="00A47F5D" w:rsidRPr="00026D3E" w:rsidTr="00B84248">
        <w:trPr>
          <w:trHeight w:val="300"/>
        </w:trPr>
        <w:tc>
          <w:tcPr>
            <w:tcW w:w="96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1983</w:t>
            </w:r>
          </w:p>
        </w:tc>
        <w:tc>
          <w:tcPr>
            <w:tcW w:w="960" w:type="dxa"/>
            <w:tcBorders>
              <w:top w:val="nil"/>
              <w:left w:val="nil"/>
              <w:bottom w:val="nil"/>
              <w:right w:val="nil"/>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ÍRÁN</w:t>
            </w:r>
          </w:p>
        </w:tc>
        <w:tc>
          <w:tcPr>
            <w:tcW w:w="2020" w:type="dxa"/>
            <w:tcBorders>
              <w:top w:val="nil"/>
              <w:left w:val="single" w:sz="4" w:space="0" w:color="auto"/>
              <w:bottom w:val="nil"/>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43.8</w:t>
            </w:r>
          </w:p>
        </w:tc>
        <w:tc>
          <w:tcPr>
            <w:tcW w:w="1680" w:type="dxa"/>
            <w:tcBorders>
              <w:top w:val="nil"/>
              <w:left w:val="nil"/>
              <w:bottom w:val="nil"/>
              <w:right w:val="nil"/>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161700</w:t>
            </w:r>
          </w:p>
        </w:tc>
        <w:tc>
          <w:tcPr>
            <w:tcW w:w="2380" w:type="dxa"/>
            <w:tcBorders>
              <w:top w:val="nil"/>
              <w:left w:val="single" w:sz="4" w:space="0" w:color="auto"/>
              <w:bottom w:val="nil"/>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240</w:t>
            </w:r>
          </w:p>
        </w:tc>
        <w:tc>
          <w:tcPr>
            <w:tcW w:w="1420" w:type="dxa"/>
            <w:tcBorders>
              <w:top w:val="nil"/>
              <w:left w:val="nil"/>
              <w:bottom w:val="nil"/>
              <w:right w:val="single" w:sz="8"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8376</w:t>
            </w:r>
          </w:p>
        </w:tc>
      </w:tr>
      <w:tr w:rsidR="00A47F5D" w:rsidRPr="00026D3E" w:rsidTr="00B84248">
        <w:trPr>
          <w:trHeight w:val="300"/>
        </w:trPr>
        <w:tc>
          <w:tcPr>
            <w:tcW w:w="960" w:type="dxa"/>
            <w:vMerge/>
            <w:tcBorders>
              <w:top w:val="nil"/>
              <w:left w:val="single" w:sz="8" w:space="0" w:color="auto"/>
              <w:bottom w:val="single" w:sz="8" w:space="0" w:color="000000"/>
              <w:right w:val="single" w:sz="4" w:space="0" w:color="auto"/>
            </w:tcBorders>
            <w:vAlign w:val="center"/>
            <w:hideMark/>
          </w:tcPr>
          <w:p w:rsidR="00A47F5D" w:rsidRPr="00026D3E" w:rsidRDefault="00A47F5D" w:rsidP="00B8424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SÝRIE</w:t>
            </w:r>
          </w:p>
        </w:tc>
        <w:tc>
          <w:tcPr>
            <w:tcW w:w="2020" w:type="dxa"/>
            <w:tcBorders>
              <w:top w:val="nil"/>
              <w:left w:val="single" w:sz="4" w:space="0" w:color="auto"/>
              <w:bottom w:val="nil"/>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9.6</w:t>
            </w:r>
          </w:p>
        </w:tc>
        <w:tc>
          <w:tcPr>
            <w:tcW w:w="1680" w:type="dxa"/>
            <w:tcBorders>
              <w:top w:val="nil"/>
              <w:left w:val="nil"/>
              <w:bottom w:val="nil"/>
              <w:right w:val="nil"/>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19050</w:t>
            </w:r>
          </w:p>
        </w:tc>
        <w:tc>
          <w:tcPr>
            <w:tcW w:w="2380" w:type="dxa"/>
            <w:tcBorders>
              <w:top w:val="nil"/>
              <w:left w:val="single" w:sz="4" w:space="0" w:color="auto"/>
              <w:bottom w:val="nil"/>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400</w:t>
            </w:r>
          </w:p>
        </w:tc>
        <w:tc>
          <w:tcPr>
            <w:tcW w:w="1420" w:type="dxa"/>
            <w:tcBorders>
              <w:top w:val="nil"/>
              <w:left w:val="nil"/>
              <w:bottom w:val="nil"/>
              <w:right w:val="single" w:sz="8"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4159</w:t>
            </w:r>
          </w:p>
        </w:tc>
      </w:tr>
      <w:tr w:rsidR="00A47F5D" w:rsidRPr="00026D3E" w:rsidTr="00B84248">
        <w:trPr>
          <w:trHeight w:val="315"/>
        </w:trPr>
        <w:tc>
          <w:tcPr>
            <w:tcW w:w="960" w:type="dxa"/>
            <w:vMerge/>
            <w:tcBorders>
              <w:top w:val="nil"/>
              <w:left w:val="single" w:sz="8" w:space="0" w:color="auto"/>
              <w:bottom w:val="single" w:sz="8" w:space="0" w:color="000000"/>
              <w:right w:val="single" w:sz="4" w:space="0" w:color="auto"/>
            </w:tcBorders>
            <w:vAlign w:val="center"/>
            <w:hideMark/>
          </w:tcPr>
          <w:p w:rsidR="00A47F5D" w:rsidRPr="00026D3E" w:rsidRDefault="00A47F5D" w:rsidP="00B84248">
            <w:pPr>
              <w:spacing w:after="0" w:line="240" w:lineRule="auto"/>
              <w:rPr>
                <w:rFonts w:ascii="Times New Roman" w:eastAsia="Times New Roman" w:hAnsi="Times New Roman" w:cs="Times New Roman"/>
                <w:color w:val="000000"/>
                <w:sz w:val="24"/>
                <w:szCs w:val="24"/>
              </w:rPr>
            </w:pPr>
          </w:p>
        </w:tc>
        <w:tc>
          <w:tcPr>
            <w:tcW w:w="960" w:type="dxa"/>
            <w:tcBorders>
              <w:top w:val="single" w:sz="4" w:space="0" w:color="auto"/>
              <w:left w:val="nil"/>
              <w:bottom w:val="single" w:sz="8" w:space="0" w:color="auto"/>
              <w:right w:val="nil"/>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Součet</w:t>
            </w:r>
          </w:p>
        </w:tc>
        <w:tc>
          <w:tcPr>
            <w:tcW w:w="202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53.4</w:t>
            </w:r>
          </w:p>
        </w:tc>
        <w:tc>
          <w:tcPr>
            <w:tcW w:w="1680" w:type="dxa"/>
            <w:tcBorders>
              <w:top w:val="single" w:sz="4" w:space="0" w:color="auto"/>
              <w:left w:val="nil"/>
              <w:bottom w:val="single" w:sz="8" w:space="0" w:color="auto"/>
              <w:right w:val="nil"/>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180750</w:t>
            </w:r>
          </w:p>
        </w:tc>
        <w:tc>
          <w:tcPr>
            <w:tcW w:w="238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640</w:t>
            </w:r>
          </w:p>
        </w:tc>
        <w:tc>
          <w:tcPr>
            <w:tcW w:w="1420" w:type="dxa"/>
            <w:tcBorders>
              <w:top w:val="single" w:sz="4" w:space="0" w:color="auto"/>
              <w:left w:val="nil"/>
              <w:bottom w:val="single" w:sz="8" w:space="0" w:color="auto"/>
              <w:right w:val="single" w:sz="8"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12535</w:t>
            </w:r>
          </w:p>
        </w:tc>
      </w:tr>
      <w:tr w:rsidR="00A47F5D" w:rsidRPr="00026D3E" w:rsidTr="00B84248">
        <w:trPr>
          <w:trHeight w:val="300"/>
        </w:trPr>
        <w:tc>
          <w:tcPr>
            <w:tcW w:w="96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1984</w:t>
            </w:r>
          </w:p>
        </w:tc>
        <w:tc>
          <w:tcPr>
            <w:tcW w:w="960" w:type="dxa"/>
            <w:tcBorders>
              <w:top w:val="nil"/>
              <w:left w:val="nil"/>
              <w:bottom w:val="nil"/>
              <w:right w:val="nil"/>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ÍRÁN</w:t>
            </w:r>
          </w:p>
        </w:tc>
        <w:tc>
          <w:tcPr>
            <w:tcW w:w="2020" w:type="dxa"/>
            <w:tcBorders>
              <w:top w:val="nil"/>
              <w:left w:val="single" w:sz="4" w:space="0" w:color="auto"/>
              <w:bottom w:val="nil"/>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45.4</w:t>
            </w:r>
          </w:p>
        </w:tc>
        <w:tc>
          <w:tcPr>
            <w:tcW w:w="1680" w:type="dxa"/>
            <w:tcBorders>
              <w:top w:val="nil"/>
              <w:left w:val="nil"/>
              <w:bottom w:val="nil"/>
              <w:right w:val="nil"/>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163400</w:t>
            </w:r>
          </w:p>
        </w:tc>
        <w:tc>
          <w:tcPr>
            <w:tcW w:w="2380" w:type="dxa"/>
            <w:tcBorders>
              <w:top w:val="nil"/>
              <w:left w:val="single" w:sz="4" w:space="0" w:color="auto"/>
              <w:bottom w:val="nil"/>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335</w:t>
            </w:r>
          </w:p>
        </w:tc>
        <w:tc>
          <w:tcPr>
            <w:tcW w:w="1420" w:type="dxa"/>
            <w:tcBorders>
              <w:top w:val="nil"/>
              <w:left w:val="nil"/>
              <w:bottom w:val="nil"/>
              <w:right w:val="single" w:sz="8"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11690</w:t>
            </w:r>
          </w:p>
        </w:tc>
      </w:tr>
      <w:tr w:rsidR="00A47F5D" w:rsidRPr="00026D3E" w:rsidTr="00B84248">
        <w:trPr>
          <w:trHeight w:val="300"/>
        </w:trPr>
        <w:tc>
          <w:tcPr>
            <w:tcW w:w="960" w:type="dxa"/>
            <w:vMerge/>
            <w:tcBorders>
              <w:top w:val="nil"/>
              <w:left w:val="single" w:sz="8" w:space="0" w:color="auto"/>
              <w:bottom w:val="single" w:sz="8" w:space="0" w:color="000000"/>
              <w:right w:val="single" w:sz="4" w:space="0" w:color="auto"/>
            </w:tcBorders>
            <w:vAlign w:val="center"/>
            <w:hideMark/>
          </w:tcPr>
          <w:p w:rsidR="00A47F5D" w:rsidRPr="00026D3E" w:rsidRDefault="00A47F5D" w:rsidP="00B8424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nil"/>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SÝRIE</w:t>
            </w:r>
          </w:p>
        </w:tc>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10.0</w:t>
            </w:r>
          </w:p>
        </w:tc>
        <w:tc>
          <w:tcPr>
            <w:tcW w:w="1680" w:type="dxa"/>
            <w:tcBorders>
              <w:top w:val="nil"/>
              <w:left w:val="nil"/>
              <w:bottom w:val="single" w:sz="4" w:space="0" w:color="auto"/>
              <w:right w:val="nil"/>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19080</w:t>
            </w:r>
          </w:p>
        </w:tc>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402</w:t>
            </w:r>
          </w:p>
        </w:tc>
        <w:tc>
          <w:tcPr>
            <w:tcW w:w="1420" w:type="dxa"/>
            <w:tcBorders>
              <w:top w:val="nil"/>
              <w:left w:val="nil"/>
              <w:bottom w:val="single" w:sz="4" w:space="0" w:color="auto"/>
              <w:right w:val="single" w:sz="8"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4331</w:t>
            </w:r>
          </w:p>
        </w:tc>
      </w:tr>
      <w:tr w:rsidR="00A47F5D" w:rsidRPr="00026D3E" w:rsidTr="00B84248">
        <w:trPr>
          <w:trHeight w:val="315"/>
        </w:trPr>
        <w:tc>
          <w:tcPr>
            <w:tcW w:w="960" w:type="dxa"/>
            <w:vMerge/>
            <w:tcBorders>
              <w:top w:val="nil"/>
              <w:left w:val="single" w:sz="8" w:space="0" w:color="auto"/>
              <w:bottom w:val="single" w:sz="8" w:space="0" w:color="000000"/>
              <w:right w:val="single" w:sz="4" w:space="0" w:color="auto"/>
            </w:tcBorders>
            <w:vAlign w:val="center"/>
            <w:hideMark/>
          </w:tcPr>
          <w:p w:rsidR="00A47F5D" w:rsidRPr="00026D3E" w:rsidRDefault="00A47F5D" w:rsidP="00B8424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single" w:sz="8" w:space="0" w:color="auto"/>
              <w:right w:val="nil"/>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Součet</w:t>
            </w:r>
          </w:p>
        </w:tc>
        <w:tc>
          <w:tcPr>
            <w:tcW w:w="2020" w:type="dxa"/>
            <w:tcBorders>
              <w:top w:val="nil"/>
              <w:left w:val="single" w:sz="4" w:space="0" w:color="auto"/>
              <w:bottom w:val="single" w:sz="8" w:space="0" w:color="auto"/>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55.4</w:t>
            </w:r>
          </w:p>
        </w:tc>
        <w:tc>
          <w:tcPr>
            <w:tcW w:w="1680" w:type="dxa"/>
            <w:tcBorders>
              <w:top w:val="nil"/>
              <w:left w:val="nil"/>
              <w:bottom w:val="single" w:sz="8" w:space="0" w:color="auto"/>
              <w:right w:val="nil"/>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182480</w:t>
            </w:r>
          </w:p>
        </w:tc>
        <w:tc>
          <w:tcPr>
            <w:tcW w:w="2380" w:type="dxa"/>
            <w:tcBorders>
              <w:top w:val="nil"/>
              <w:left w:val="single" w:sz="4" w:space="0" w:color="auto"/>
              <w:bottom w:val="single" w:sz="8" w:space="0" w:color="auto"/>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737</w:t>
            </w:r>
          </w:p>
        </w:tc>
        <w:tc>
          <w:tcPr>
            <w:tcW w:w="1420" w:type="dxa"/>
            <w:tcBorders>
              <w:top w:val="nil"/>
              <w:left w:val="nil"/>
              <w:bottom w:val="single" w:sz="8" w:space="0" w:color="auto"/>
              <w:right w:val="single" w:sz="8"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16021</w:t>
            </w:r>
          </w:p>
        </w:tc>
      </w:tr>
      <w:tr w:rsidR="00A47F5D" w:rsidRPr="00026D3E" w:rsidTr="00B84248">
        <w:trPr>
          <w:trHeight w:val="300"/>
        </w:trPr>
        <w:tc>
          <w:tcPr>
            <w:tcW w:w="96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1985</w:t>
            </w:r>
          </w:p>
        </w:tc>
        <w:tc>
          <w:tcPr>
            <w:tcW w:w="960" w:type="dxa"/>
            <w:tcBorders>
              <w:top w:val="nil"/>
              <w:left w:val="nil"/>
              <w:bottom w:val="nil"/>
              <w:right w:val="nil"/>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ÍRÁN</w:t>
            </w:r>
          </w:p>
        </w:tc>
        <w:tc>
          <w:tcPr>
            <w:tcW w:w="2020" w:type="dxa"/>
            <w:tcBorders>
              <w:top w:val="nil"/>
              <w:left w:val="single" w:sz="4" w:space="0" w:color="auto"/>
              <w:bottom w:val="nil"/>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47.0</w:t>
            </w:r>
          </w:p>
        </w:tc>
        <w:tc>
          <w:tcPr>
            <w:tcW w:w="1680" w:type="dxa"/>
            <w:tcBorders>
              <w:top w:val="nil"/>
              <w:left w:val="nil"/>
              <w:bottom w:val="nil"/>
              <w:right w:val="nil"/>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164200</w:t>
            </w:r>
          </w:p>
        </w:tc>
        <w:tc>
          <w:tcPr>
            <w:tcW w:w="2380" w:type="dxa"/>
            <w:tcBorders>
              <w:top w:val="nil"/>
              <w:left w:val="single" w:sz="4" w:space="0" w:color="auto"/>
              <w:bottom w:val="nil"/>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345</w:t>
            </w:r>
          </w:p>
        </w:tc>
        <w:tc>
          <w:tcPr>
            <w:tcW w:w="1420" w:type="dxa"/>
            <w:tcBorders>
              <w:top w:val="nil"/>
              <w:left w:val="nil"/>
              <w:bottom w:val="nil"/>
              <w:right w:val="single" w:sz="8"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NA</w:t>
            </w:r>
          </w:p>
        </w:tc>
      </w:tr>
      <w:tr w:rsidR="00A47F5D" w:rsidRPr="00026D3E" w:rsidTr="00B84248">
        <w:trPr>
          <w:trHeight w:val="300"/>
        </w:trPr>
        <w:tc>
          <w:tcPr>
            <w:tcW w:w="960" w:type="dxa"/>
            <w:vMerge/>
            <w:tcBorders>
              <w:top w:val="nil"/>
              <w:left w:val="single" w:sz="8" w:space="0" w:color="auto"/>
              <w:bottom w:val="single" w:sz="8" w:space="0" w:color="000000"/>
              <w:right w:val="single" w:sz="4" w:space="0" w:color="auto"/>
            </w:tcBorders>
            <w:vAlign w:val="center"/>
            <w:hideMark/>
          </w:tcPr>
          <w:p w:rsidR="00A47F5D" w:rsidRPr="00026D3E" w:rsidRDefault="00A47F5D" w:rsidP="00B8424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SÝRIE</w:t>
            </w:r>
          </w:p>
        </w:tc>
        <w:tc>
          <w:tcPr>
            <w:tcW w:w="2020" w:type="dxa"/>
            <w:tcBorders>
              <w:top w:val="nil"/>
              <w:left w:val="single" w:sz="4" w:space="0" w:color="auto"/>
              <w:bottom w:val="nil"/>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10.4</w:t>
            </w:r>
          </w:p>
        </w:tc>
        <w:tc>
          <w:tcPr>
            <w:tcW w:w="1680" w:type="dxa"/>
            <w:tcBorders>
              <w:top w:val="nil"/>
              <w:left w:val="nil"/>
              <w:bottom w:val="nil"/>
              <w:right w:val="nil"/>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19820</w:t>
            </w:r>
          </w:p>
        </w:tc>
        <w:tc>
          <w:tcPr>
            <w:tcW w:w="2380" w:type="dxa"/>
            <w:tcBorders>
              <w:top w:val="nil"/>
              <w:left w:val="single" w:sz="4" w:space="0" w:color="auto"/>
              <w:bottom w:val="nil"/>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402</w:t>
            </w:r>
          </w:p>
        </w:tc>
        <w:tc>
          <w:tcPr>
            <w:tcW w:w="1420" w:type="dxa"/>
            <w:tcBorders>
              <w:top w:val="nil"/>
              <w:left w:val="nil"/>
              <w:bottom w:val="nil"/>
              <w:right w:val="single" w:sz="8"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4512</w:t>
            </w:r>
          </w:p>
        </w:tc>
      </w:tr>
      <w:tr w:rsidR="00A47F5D" w:rsidRPr="00026D3E" w:rsidTr="00B84248">
        <w:trPr>
          <w:trHeight w:val="315"/>
        </w:trPr>
        <w:tc>
          <w:tcPr>
            <w:tcW w:w="960" w:type="dxa"/>
            <w:vMerge/>
            <w:tcBorders>
              <w:top w:val="nil"/>
              <w:left w:val="single" w:sz="8" w:space="0" w:color="auto"/>
              <w:bottom w:val="single" w:sz="8" w:space="0" w:color="000000"/>
              <w:right w:val="single" w:sz="4" w:space="0" w:color="auto"/>
            </w:tcBorders>
            <w:vAlign w:val="center"/>
            <w:hideMark/>
          </w:tcPr>
          <w:p w:rsidR="00A47F5D" w:rsidRPr="00026D3E" w:rsidRDefault="00A47F5D" w:rsidP="00B84248">
            <w:pPr>
              <w:spacing w:after="0" w:line="240" w:lineRule="auto"/>
              <w:rPr>
                <w:rFonts w:ascii="Times New Roman" w:eastAsia="Times New Roman" w:hAnsi="Times New Roman" w:cs="Times New Roman"/>
                <w:color w:val="000000"/>
                <w:sz w:val="24"/>
                <w:szCs w:val="24"/>
              </w:rPr>
            </w:pPr>
          </w:p>
        </w:tc>
        <w:tc>
          <w:tcPr>
            <w:tcW w:w="960" w:type="dxa"/>
            <w:tcBorders>
              <w:top w:val="single" w:sz="4" w:space="0" w:color="auto"/>
              <w:left w:val="nil"/>
              <w:bottom w:val="single" w:sz="8" w:space="0" w:color="auto"/>
              <w:right w:val="nil"/>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Součet</w:t>
            </w:r>
          </w:p>
        </w:tc>
        <w:tc>
          <w:tcPr>
            <w:tcW w:w="202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57.4</w:t>
            </w:r>
          </w:p>
        </w:tc>
        <w:tc>
          <w:tcPr>
            <w:tcW w:w="1680" w:type="dxa"/>
            <w:tcBorders>
              <w:top w:val="single" w:sz="4" w:space="0" w:color="auto"/>
              <w:left w:val="nil"/>
              <w:bottom w:val="single" w:sz="8" w:space="0" w:color="auto"/>
              <w:right w:val="nil"/>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184020</w:t>
            </w:r>
          </w:p>
        </w:tc>
        <w:tc>
          <w:tcPr>
            <w:tcW w:w="238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747</w:t>
            </w:r>
          </w:p>
        </w:tc>
        <w:tc>
          <w:tcPr>
            <w:tcW w:w="1420" w:type="dxa"/>
            <w:tcBorders>
              <w:top w:val="single" w:sz="4" w:space="0" w:color="auto"/>
              <w:left w:val="nil"/>
              <w:bottom w:val="single" w:sz="8" w:space="0" w:color="auto"/>
              <w:right w:val="single" w:sz="8"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 </w:t>
            </w:r>
          </w:p>
        </w:tc>
      </w:tr>
    </w:tbl>
    <w:p w:rsidR="00A47F5D" w:rsidRPr="00026D3E" w:rsidRDefault="00A47F5D" w:rsidP="00A47F5D">
      <w:pPr>
        <w:rPr>
          <w:rFonts w:ascii="Times New Roman" w:hAnsi="Times New Roman" w:cs="Times New Roman"/>
          <w:sz w:val="24"/>
          <w:szCs w:val="24"/>
        </w:rPr>
      </w:pPr>
    </w:p>
    <w:p w:rsidR="00A47F5D" w:rsidRPr="00026D3E" w:rsidRDefault="00A47F5D" w:rsidP="00A47F5D">
      <w:pPr>
        <w:rPr>
          <w:rFonts w:ascii="Times New Roman" w:hAnsi="Times New Roman" w:cs="Times New Roman"/>
          <w:sz w:val="24"/>
          <w:szCs w:val="24"/>
        </w:rPr>
      </w:pPr>
    </w:p>
    <w:p w:rsidR="00A47F5D" w:rsidRPr="00026D3E" w:rsidRDefault="00A47F5D" w:rsidP="00A47F5D">
      <w:pPr>
        <w:rPr>
          <w:rFonts w:ascii="Times New Roman" w:hAnsi="Times New Roman" w:cs="Times New Roman"/>
          <w:sz w:val="24"/>
          <w:szCs w:val="24"/>
        </w:rPr>
      </w:pPr>
    </w:p>
    <w:p w:rsidR="00A47F5D" w:rsidRPr="00026D3E" w:rsidRDefault="00A47F5D" w:rsidP="00A47F5D">
      <w:pPr>
        <w:rPr>
          <w:rFonts w:ascii="Times New Roman" w:hAnsi="Times New Roman" w:cs="Times New Roman"/>
          <w:sz w:val="24"/>
          <w:szCs w:val="24"/>
        </w:rPr>
      </w:pPr>
    </w:p>
    <w:p w:rsidR="00A47F5D" w:rsidRPr="00026D3E" w:rsidRDefault="00A47F5D" w:rsidP="00A47F5D">
      <w:pPr>
        <w:spacing w:line="360" w:lineRule="auto"/>
        <w:rPr>
          <w:rFonts w:ascii="Times New Roman" w:hAnsi="Times New Roman" w:cs="Times New Roman"/>
          <w:sz w:val="24"/>
          <w:szCs w:val="24"/>
        </w:rPr>
      </w:pPr>
      <w:r w:rsidRPr="00026D3E">
        <w:rPr>
          <w:rFonts w:ascii="Times New Roman" w:hAnsi="Times New Roman" w:cs="Times New Roman"/>
          <w:sz w:val="24"/>
          <w:szCs w:val="24"/>
        </w:rPr>
        <w:t>Tabulka č.2 Irák – Vývoj obyvatelstva, HNP, velikosti ozbrojených sil a výdajů na obranu v letech 1975-1985</w:t>
      </w:r>
    </w:p>
    <w:tbl>
      <w:tblPr>
        <w:tblW w:w="7240" w:type="dxa"/>
        <w:tblInd w:w="55" w:type="dxa"/>
        <w:tblCellMar>
          <w:left w:w="70" w:type="dxa"/>
          <w:right w:w="70" w:type="dxa"/>
        </w:tblCellMar>
        <w:tblLook w:val="04A0"/>
      </w:tblPr>
      <w:tblGrid>
        <w:gridCol w:w="1000"/>
        <w:gridCol w:w="1920"/>
        <w:gridCol w:w="1160"/>
        <w:gridCol w:w="2040"/>
        <w:gridCol w:w="1120"/>
      </w:tblGrid>
      <w:tr w:rsidR="00A47F5D" w:rsidRPr="00026D3E" w:rsidTr="00B84248">
        <w:trPr>
          <w:trHeight w:val="300"/>
        </w:trPr>
        <w:tc>
          <w:tcPr>
            <w:tcW w:w="1000" w:type="dxa"/>
            <w:tcBorders>
              <w:top w:val="single" w:sz="8" w:space="0" w:color="auto"/>
              <w:left w:val="single" w:sz="8" w:space="0" w:color="auto"/>
              <w:bottom w:val="nil"/>
              <w:right w:val="nil"/>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IRÁK</w:t>
            </w:r>
          </w:p>
        </w:tc>
        <w:tc>
          <w:tcPr>
            <w:tcW w:w="1920" w:type="dxa"/>
            <w:tcBorders>
              <w:top w:val="single" w:sz="8" w:space="0" w:color="auto"/>
              <w:left w:val="nil"/>
              <w:bottom w:val="nil"/>
              <w:right w:val="nil"/>
            </w:tcBorders>
            <w:shd w:val="clear" w:color="auto" w:fill="auto"/>
            <w:noWrap/>
            <w:vAlign w:val="bottom"/>
            <w:hideMark/>
          </w:tcPr>
          <w:p w:rsidR="00A47F5D" w:rsidRPr="00026D3E" w:rsidRDefault="00A47F5D" w:rsidP="00B84248">
            <w:pPr>
              <w:spacing w:after="0" w:line="240" w:lineRule="auto"/>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Obyvatelstvo (mil.)</w:t>
            </w:r>
          </w:p>
        </w:tc>
        <w:tc>
          <w:tcPr>
            <w:tcW w:w="1160" w:type="dxa"/>
            <w:tcBorders>
              <w:top w:val="single" w:sz="8" w:space="0" w:color="auto"/>
              <w:left w:val="nil"/>
              <w:bottom w:val="nil"/>
              <w:right w:val="nil"/>
            </w:tcBorders>
            <w:shd w:val="clear" w:color="auto" w:fill="auto"/>
            <w:noWrap/>
            <w:vAlign w:val="bottom"/>
            <w:hideMark/>
          </w:tcPr>
          <w:p w:rsidR="00A47F5D" w:rsidRPr="00026D3E" w:rsidRDefault="00A47F5D" w:rsidP="00B84248">
            <w:pPr>
              <w:spacing w:after="0" w:line="240" w:lineRule="auto"/>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HNP ($mil)</w:t>
            </w:r>
          </w:p>
        </w:tc>
        <w:tc>
          <w:tcPr>
            <w:tcW w:w="2040" w:type="dxa"/>
            <w:tcBorders>
              <w:top w:val="single" w:sz="8" w:space="0" w:color="auto"/>
              <w:left w:val="nil"/>
              <w:bottom w:val="nil"/>
              <w:right w:val="nil"/>
            </w:tcBorders>
            <w:shd w:val="clear" w:color="auto" w:fill="auto"/>
            <w:noWrap/>
            <w:vAlign w:val="bottom"/>
            <w:hideMark/>
          </w:tcPr>
          <w:p w:rsidR="00A47F5D" w:rsidRPr="00026D3E" w:rsidRDefault="00A47F5D" w:rsidP="00B84248">
            <w:pPr>
              <w:spacing w:after="0" w:line="240" w:lineRule="auto"/>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 Ozbrojené síly (tis.)</w:t>
            </w:r>
          </w:p>
        </w:tc>
        <w:tc>
          <w:tcPr>
            <w:tcW w:w="1120" w:type="dxa"/>
            <w:tcBorders>
              <w:top w:val="single" w:sz="8" w:space="0" w:color="auto"/>
              <w:left w:val="nil"/>
              <w:bottom w:val="nil"/>
              <w:right w:val="single" w:sz="8" w:space="0" w:color="auto"/>
            </w:tcBorders>
            <w:shd w:val="clear" w:color="auto" w:fill="auto"/>
            <w:noWrap/>
            <w:vAlign w:val="bottom"/>
            <w:hideMark/>
          </w:tcPr>
          <w:p w:rsidR="00A47F5D" w:rsidRPr="00026D3E" w:rsidRDefault="00A47F5D" w:rsidP="00B84248">
            <w:pPr>
              <w:spacing w:after="0" w:line="240" w:lineRule="auto"/>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Obrana ($)</w:t>
            </w:r>
          </w:p>
        </w:tc>
      </w:tr>
      <w:tr w:rsidR="00A47F5D" w:rsidRPr="00026D3E" w:rsidTr="00B84248">
        <w:trPr>
          <w:trHeight w:val="300"/>
        </w:trPr>
        <w:tc>
          <w:tcPr>
            <w:tcW w:w="1000" w:type="dxa"/>
            <w:tcBorders>
              <w:top w:val="single" w:sz="4" w:space="0" w:color="auto"/>
              <w:left w:val="single" w:sz="8" w:space="0" w:color="auto"/>
              <w:bottom w:val="nil"/>
              <w:right w:val="nil"/>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1975</w:t>
            </w:r>
          </w:p>
        </w:tc>
        <w:tc>
          <w:tcPr>
            <w:tcW w:w="1920" w:type="dxa"/>
            <w:tcBorders>
              <w:top w:val="single" w:sz="4" w:space="0" w:color="auto"/>
              <w:left w:val="nil"/>
              <w:bottom w:val="nil"/>
              <w:right w:val="nil"/>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11.1</w:t>
            </w:r>
          </w:p>
        </w:tc>
        <w:tc>
          <w:tcPr>
            <w:tcW w:w="1160" w:type="dxa"/>
            <w:tcBorders>
              <w:top w:val="single" w:sz="4" w:space="0" w:color="auto"/>
              <w:left w:val="nil"/>
              <w:bottom w:val="nil"/>
              <w:right w:val="nil"/>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18880</w:t>
            </w:r>
          </w:p>
        </w:tc>
        <w:tc>
          <w:tcPr>
            <w:tcW w:w="2040" w:type="dxa"/>
            <w:tcBorders>
              <w:top w:val="single" w:sz="4" w:space="0" w:color="auto"/>
              <w:left w:val="nil"/>
              <w:bottom w:val="nil"/>
              <w:right w:val="nil"/>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155</w:t>
            </w:r>
          </w:p>
        </w:tc>
        <w:tc>
          <w:tcPr>
            <w:tcW w:w="1120" w:type="dxa"/>
            <w:tcBorders>
              <w:top w:val="single" w:sz="4" w:space="0" w:color="auto"/>
              <w:left w:val="nil"/>
              <w:bottom w:val="nil"/>
              <w:right w:val="single" w:sz="8"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3286</w:t>
            </w:r>
          </w:p>
        </w:tc>
      </w:tr>
      <w:tr w:rsidR="00A47F5D" w:rsidRPr="00026D3E" w:rsidTr="00B84248">
        <w:trPr>
          <w:trHeight w:val="300"/>
        </w:trPr>
        <w:tc>
          <w:tcPr>
            <w:tcW w:w="1000" w:type="dxa"/>
            <w:tcBorders>
              <w:top w:val="nil"/>
              <w:left w:val="single" w:sz="8" w:space="0" w:color="auto"/>
              <w:bottom w:val="nil"/>
              <w:right w:val="nil"/>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1976</w:t>
            </w:r>
          </w:p>
        </w:tc>
        <w:tc>
          <w:tcPr>
            <w:tcW w:w="1920" w:type="dxa"/>
            <w:tcBorders>
              <w:top w:val="nil"/>
              <w:left w:val="nil"/>
              <w:bottom w:val="nil"/>
              <w:right w:val="nil"/>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11.5</w:t>
            </w:r>
          </w:p>
        </w:tc>
        <w:tc>
          <w:tcPr>
            <w:tcW w:w="1160" w:type="dxa"/>
            <w:tcBorders>
              <w:top w:val="nil"/>
              <w:left w:val="nil"/>
              <w:bottom w:val="nil"/>
              <w:right w:val="nil"/>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22530</w:t>
            </w:r>
          </w:p>
        </w:tc>
        <w:tc>
          <w:tcPr>
            <w:tcW w:w="2040" w:type="dxa"/>
            <w:tcBorders>
              <w:top w:val="nil"/>
              <w:left w:val="nil"/>
              <w:bottom w:val="nil"/>
              <w:right w:val="nil"/>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190</w:t>
            </w:r>
          </w:p>
        </w:tc>
        <w:tc>
          <w:tcPr>
            <w:tcW w:w="1120" w:type="dxa"/>
            <w:tcBorders>
              <w:top w:val="nil"/>
              <w:left w:val="nil"/>
              <w:bottom w:val="nil"/>
              <w:right w:val="single" w:sz="8"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3876</w:t>
            </w:r>
          </w:p>
        </w:tc>
      </w:tr>
      <w:tr w:rsidR="00A47F5D" w:rsidRPr="00026D3E" w:rsidTr="00B84248">
        <w:trPr>
          <w:trHeight w:val="300"/>
        </w:trPr>
        <w:tc>
          <w:tcPr>
            <w:tcW w:w="1000" w:type="dxa"/>
            <w:tcBorders>
              <w:top w:val="nil"/>
              <w:left w:val="single" w:sz="8" w:space="0" w:color="auto"/>
              <w:bottom w:val="nil"/>
              <w:right w:val="nil"/>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1977</w:t>
            </w:r>
          </w:p>
        </w:tc>
        <w:tc>
          <w:tcPr>
            <w:tcW w:w="1920" w:type="dxa"/>
            <w:tcBorders>
              <w:top w:val="nil"/>
              <w:left w:val="nil"/>
              <w:bottom w:val="nil"/>
              <w:right w:val="nil"/>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11.9</w:t>
            </w:r>
          </w:p>
        </w:tc>
        <w:tc>
          <w:tcPr>
            <w:tcW w:w="1160" w:type="dxa"/>
            <w:tcBorders>
              <w:top w:val="nil"/>
              <w:left w:val="nil"/>
              <w:bottom w:val="nil"/>
              <w:right w:val="nil"/>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26200</w:t>
            </w:r>
          </w:p>
        </w:tc>
        <w:tc>
          <w:tcPr>
            <w:tcW w:w="2040" w:type="dxa"/>
            <w:tcBorders>
              <w:top w:val="nil"/>
              <w:left w:val="nil"/>
              <w:bottom w:val="nil"/>
              <w:right w:val="nil"/>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140</w:t>
            </w:r>
          </w:p>
        </w:tc>
        <w:tc>
          <w:tcPr>
            <w:tcW w:w="1120" w:type="dxa"/>
            <w:tcBorders>
              <w:top w:val="nil"/>
              <w:left w:val="nil"/>
              <w:bottom w:val="nil"/>
              <w:right w:val="single" w:sz="8"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4736</w:t>
            </w:r>
          </w:p>
        </w:tc>
      </w:tr>
      <w:tr w:rsidR="00A47F5D" w:rsidRPr="00026D3E" w:rsidTr="00B84248">
        <w:trPr>
          <w:trHeight w:val="300"/>
        </w:trPr>
        <w:tc>
          <w:tcPr>
            <w:tcW w:w="1000" w:type="dxa"/>
            <w:tcBorders>
              <w:top w:val="nil"/>
              <w:left w:val="single" w:sz="8" w:space="0" w:color="auto"/>
              <w:bottom w:val="nil"/>
              <w:right w:val="nil"/>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1978</w:t>
            </w:r>
          </w:p>
        </w:tc>
        <w:tc>
          <w:tcPr>
            <w:tcW w:w="1920" w:type="dxa"/>
            <w:tcBorders>
              <w:top w:val="nil"/>
              <w:left w:val="nil"/>
              <w:bottom w:val="nil"/>
              <w:right w:val="nil"/>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12.3</w:t>
            </w:r>
          </w:p>
        </w:tc>
        <w:tc>
          <w:tcPr>
            <w:tcW w:w="1160" w:type="dxa"/>
            <w:tcBorders>
              <w:top w:val="nil"/>
              <w:left w:val="nil"/>
              <w:bottom w:val="nil"/>
              <w:right w:val="nil"/>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31970</w:t>
            </w:r>
          </w:p>
        </w:tc>
        <w:tc>
          <w:tcPr>
            <w:tcW w:w="2040" w:type="dxa"/>
            <w:tcBorders>
              <w:top w:val="nil"/>
              <w:left w:val="nil"/>
              <w:bottom w:val="nil"/>
              <w:right w:val="nil"/>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362</w:t>
            </w:r>
          </w:p>
        </w:tc>
        <w:tc>
          <w:tcPr>
            <w:tcW w:w="1120" w:type="dxa"/>
            <w:tcBorders>
              <w:top w:val="nil"/>
              <w:left w:val="nil"/>
              <w:bottom w:val="nil"/>
              <w:right w:val="single" w:sz="8"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6145</w:t>
            </w:r>
          </w:p>
        </w:tc>
      </w:tr>
      <w:tr w:rsidR="00A47F5D" w:rsidRPr="00026D3E" w:rsidTr="00B84248">
        <w:trPr>
          <w:trHeight w:val="300"/>
        </w:trPr>
        <w:tc>
          <w:tcPr>
            <w:tcW w:w="1000" w:type="dxa"/>
            <w:tcBorders>
              <w:top w:val="nil"/>
              <w:left w:val="single" w:sz="8" w:space="0" w:color="auto"/>
              <w:bottom w:val="nil"/>
              <w:right w:val="nil"/>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1979</w:t>
            </w:r>
          </w:p>
        </w:tc>
        <w:tc>
          <w:tcPr>
            <w:tcW w:w="1920" w:type="dxa"/>
            <w:tcBorders>
              <w:top w:val="nil"/>
              <w:left w:val="nil"/>
              <w:bottom w:val="nil"/>
              <w:right w:val="nil"/>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12.7</w:t>
            </w:r>
          </w:p>
        </w:tc>
        <w:tc>
          <w:tcPr>
            <w:tcW w:w="1160" w:type="dxa"/>
            <w:tcBorders>
              <w:top w:val="nil"/>
              <w:left w:val="nil"/>
              <w:bottom w:val="nil"/>
              <w:right w:val="nil"/>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46900</w:t>
            </w:r>
          </w:p>
        </w:tc>
        <w:tc>
          <w:tcPr>
            <w:tcW w:w="2040" w:type="dxa"/>
            <w:tcBorders>
              <w:top w:val="nil"/>
              <w:left w:val="nil"/>
              <w:bottom w:val="nil"/>
              <w:right w:val="nil"/>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444</w:t>
            </w:r>
          </w:p>
        </w:tc>
        <w:tc>
          <w:tcPr>
            <w:tcW w:w="1120" w:type="dxa"/>
            <w:tcBorders>
              <w:top w:val="nil"/>
              <w:left w:val="nil"/>
              <w:bottom w:val="nil"/>
              <w:right w:val="single" w:sz="8"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6967</w:t>
            </w:r>
          </w:p>
        </w:tc>
      </w:tr>
      <w:tr w:rsidR="00A47F5D" w:rsidRPr="00026D3E" w:rsidTr="00B84248">
        <w:trPr>
          <w:trHeight w:val="300"/>
        </w:trPr>
        <w:tc>
          <w:tcPr>
            <w:tcW w:w="1000" w:type="dxa"/>
            <w:tcBorders>
              <w:top w:val="nil"/>
              <w:left w:val="single" w:sz="8" w:space="0" w:color="auto"/>
              <w:bottom w:val="nil"/>
              <w:right w:val="nil"/>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1980</w:t>
            </w:r>
          </w:p>
        </w:tc>
        <w:tc>
          <w:tcPr>
            <w:tcW w:w="1920" w:type="dxa"/>
            <w:tcBorders>
              <w:top w:val="nil"/>
              <w:left w:val="nil"/>
              <w:bottom w:val="nil"/>
              <w:right w:val="nil"/>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13.2</w:t>
            </w:r>
          </w:p>
        </w:tc>
        <w:tc>
          <w:tcPr>
            <w:tcW w:w="1160" w:type="dxa"/>
            <w:tcBorders>
              <w:top w:val="nil"/>
              <w:left w:val="nil"/>
              <w:bottom w:val="nil"/>
              <w:right w:val="nil"/>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54060</w:t>
            </w:r>
          </w:p>
        </w:tc>
        <w:tc>
          <w:tcPr>
            <w:tcW w:w="2040" w:type="dxa"/>
            <w:tcBorders>
              <w:top w:val="nil"/>
              <w:left w:val="nil"/>
              <w:bottom w:val="nil"/>
              <w:right w:val="nil"/>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430</w:t>
            </w:r>
          </w:p>
        </w:tc>
        <w:tc>
          <w:tcPr>
            <w:tcW w:w="1120" w:type="dxa"/>
            <w:tcBorders>
              <w:top w:val="nil"/>
              <w:left w:val="nil"/>
              <w:bottom w:val="nil"/>
              <w:right w:val="single" w:sz="8"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12160</w:t>
            </w:r>
          </w:p>
        </w:tc>
      </w:tr>
      <w:tr w:rsidR="00A47F5D" w:rsidRPr="00026D3E" w:rsidTr="00B84248">
        <w:trPr>
          <w:trHeight w:val="300"/>
        </w:trPr>
        <w:tc>
          <w:tcPr>
            <w:tcW w:w="1000" w:type="dxa"/>
            <w:tcBorders>
              <w:top w:val="nil"/>
              <w:left w:val="single" w:sz="8" w:space="0" w:color="auto"/>
              <w:bottom w:val="nil"/>
              <w:right w:val="nil"/>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1981</w:t>
            </w:r>
          </w:p>
        </w:tc>
        <w:tc>
          <w:tcPr>
            <w:tcW w:w="1920" w:type="dxa"/>
            <w:tcBorders>
              <w:top w:val="nil"/>
              <w:left w:val="nil"/>
              <w:bottom w:val="nil"/>
              <w:right w:val="nil"/>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13.7</w:t>
            </w:r>
          </w:p>
        </w:tc>
        <w:tc>
          <w:tcPr>
            <w:tcW w:w="1160" w:type="dxa"/>
            <w:tcBorders>
              <w:top w:val="nil"/>
              <w:left w:val="nil"/>
              <w:bottom w:val="nil"/>
              <w:right w:val="nil"/>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33480</w:t>
            </w:r>
          </w:p>
        </w:tc>
        <w:tc>
          <w:tcPr>
            <w:tcW w:w="2040" w:type="dxa"/>
            <w:tcBorders>
              <w:top w:val="nil"/>
              <w:left w:val="nil"/>
              <w:bottom w:val="nil"/>
              <w:right w:val="nil"/>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392</w:t>
            </w:r>
          </w:p>
        </w:tc>
        <w:tc>
          <w:tcPr>
            <w:tcW w:w="1120" w:type="dxa"/>
            <w:tcBorders>
              <w:top w:val="nil"/>
              <w:left w:val="nil"/>
              <w:bottom w:val="nil"/>
              <w:right w:val="single" w:sz="8"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15100</w:t>
            </w:r>
          </w:p>
        </w:tc>
      </w:tr>
      <w:tr w:rsidR="00A47F5D" w:rsidRPr="00026D3E" w:rsidTr="00B84248">
        <w:trPr>
          <w:trHeight w:val="300"/>
        </w:trPr>
        <w:tc>
          <w:tcPr>
            <w:tcW w:w="1000" w:type="dxa"/>
            <w:tcBorders>
              <w:top w:val="nil"/>
              <w:left w:val="single" w:sz="8" w:space="0" w:color="auto"/>
              <w:bottom w:val="nil"/>
              <w:right w:val="nil"/>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1982</w:t>
            </w:r>
          </w:p>
        </w:tc>
        <w:tc>
          <w:tcPr>
            <w:tcW w:w="1920" w:type="dxa"/>
            <w:tcBorders>
              <w:top w:val="nil"/>
              <w:left w:val="nil"/>
              <w:bottom w:val="nil"/>
              <w:right w:val="nil"/>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14.2</w:t>
            </w:r>
          </w:p>
        </w:tc>
        <w:tc>
          <w:tcPr>
            <w:tcW w:w="1160" w:type="dxa"/>
            <w:tcBorders>
              <w:top w:val="nil"/>
              <w:left w:val="nil"/>
              <w:bottom w:val="nil"/>
              <w:right w:val="nil"/>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34350</w:t>
            </w:r>
          </w:p>
        </w:tc>
        <w:tc>
          <w:tcPr>
            <w:tcW w:w="2040" w:type="dxa"/>
            <w:tcBorders>
              <w:top w:val="nil"/>
              <w:left w:val="nil"/>
              <w:bottom w:val="nil"/>
              <w:right w:val="nil"/>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404</w:t>
            </w:r>
          </w:p>
        </w:tc>
        <w:tc>
          <w:tcPr>
            <w:tcW w:w="1120" w:type="dxa"/>
            <w:tcBorders>
              <w:top w:val="nil"/>
              <w:left w:val="nil"/>
              <w:bottom w:val="nil"/>
              <w:right w:val="single" w:sz="8"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15380</w:t>
            </w:r>
          </w:p>
        </w:tc>
      </w:tr>
      <w:tr w:rsidR="00A47F5D" w:rsidRPr="00026D3E" w:rsidTr="00B84248">
        <w:trPr>
          <w:trHeight w:val="300"/>
        </w:trPr>
        <w:tc>
          <w:tcPr>
            <w:tcW w:w="1000" w:type="dxa"/>
            <w:tcBorders>
              <w:top w:val="nil"/>
              <w:left w:val="single" w:sz="8" w:space="0" w:color="auto"/>
              <w:bottom w:val="nil"/>
              <w:right w:val="nil"/>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1983</w:t>
            </w:r>
          </w:p>
        </w:tc>
        <w:tc>
          <w:tcPr>
            <w:tcW w:w="1920" w:type="dxa"/>
            <w:tcBorders>
              <w:top w:val="nil"/>
              <w:left w:val="nil"/>
              <w:bottom w:val="nil"/>
              <w:right w:val="nil"/>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14.7</w:t>
            </w:r>
          </w:p>
        </w:tc>
        <w:tc>
          <w:tcPr>
            <w:tcW w:w="1160" w:type="dxa"/>
            <w:tcBorders>
              <w:top w:val="nil"/>
              <w:left w:val="nil"/>
              <w:bottom w:val="nil"/>
              <w:right w:val="nil"/>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34210</w:t>
            </w:r>
          </w:p>
        </w:tc>
        <w:tc>
          <w:tcPr>
            <w:tcW w:w="2040" w:type="dxa"/>
            <w:tcBorders>
              <w:top w:val="nil"/>
              <w:left w:val="nil"/>
              <w:bottom w:val="nil"/>
              <w:right w:val="nil"/>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434</w:t>
            </w:r>
          </w:p>
        </w:tc>
        <w:tc>
          <w:tcPr>
            <w:tcW w:w="1120" w:type="dxa"/>
            <w:tcBorders>
              <w:top w:val="nil"/>
              <w:left w:val="nil"/>
              <w:bottom w:val="nil"/>
              <w:right w:val="single" w:sz="8"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15160</w:t>
            </w:r>
          </w:p>
        </w:tc>
      </w:tr>
      <w:tr w:rsidR="00A47F5D" w:rsidRPr="00026D3E" w:rsidTr="00B84248">
        <w:trPr>
          <w:trHeight w:val="300"/>
        </w:trPr>
        <w:tc>
          <w:tcPr>
            <w:tcW w:w="1000" w:type="dxa"/>
            <w:tcBorders>
              <w:top w:val="nil"/>
              <w:left w:val="single" w:sz="8" w:space="0" w:color="auto"/>
              <w:bottom w:val="nil"/>
              <w:right w:val="nil"/>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1984</w:t>
            </w:r>
          </w:p>
        </w:tc>
        <w:tc>
          <w:tcPr>
            <w:tcW w:w="1920" w:type="dxa"/>
            <w:tcBorders>
              <w:top w:val="nil"/>
              <w:left w:val="nil"/>
              <w:bottom w:val="nil"/>
              <w:right w:val="nil"/>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15.2</w:t>
            </w:r>
          </w:p>
        </w:tc>
        <w:tc>
          <w:tcPr>
            <w:tcW w:w="1160" w:type="dxa"/>
            <w:tcBorders>
              <w:top w:val="nil"/>
              <w:left w:val="nil"/>
              <w:bottom w:val="nil"/>
              <w:right w:val="nil"/>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37470</w:t>
            </w:r>
          </w:p>
        </w:tc>
        <w:tc>
          <w:tcPr>
            <w:tcW w:w="2040" w:type="dxa"/>
            <w:tcBorders>
              <w:top w:val="nil"/>
              <w:left w:val="nil"/>
              <w:bottom w:val="nil"/>
              <w:right w:val="nil"/>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788</w:t>
            </w:r>
          </w:p>
        </w:tc>
        <w:tc>
          <w:tcPr>
            <w:tcW w:w="1120" w:type="dxa"/>
            <w:tcBorders>
              <w:top w:val="nil"/>
              <w:left w:val="nil"/>
              <w:bottom w:val="nil"/>
              <w:right w:val="single" w:sz="8"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15920</w:t>
            </w:r>
          </w:p>
        </w:tc>
      </w:tr>
      <w:tr w:rsidR="00A47F5D" w:rsidRPr="00026D3E" w:rsidTr="00B84248">
        <w:trPr>
          <w:trHeight w:val="315"/>
        </w:trPr>
        <w:tc>
          <w:tcPr>
            <w:tcW w:w="1000" w:type="dxa"/>
            <w:tcBorders>
              <w:top w:val="nil"/>
              <w:left w:val="single" w:sz="8" w:space="0" w:color="auto"/>
              <w:bottom w:val="single" w:sz="8" w:space="0" w:color="auto"/>
              <w:right w:val="nil"/>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1985</w:t>
            </w:r>
          </w:p>
        </w:tc>
        <w:tc>
          <w:tcPr>
            <w:tcW w:w="1920" w:type="dxa"/>
            <w:tcBorders>
              <w:top w:val="nil"/>
              <w:left w:val="nil"/>
              <w:bottom w:val="single" w:sz="8" w:space="0" w:color="auto"/>
              <w:right w:val="nil"/>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15.8</w:t>
            </w:r>
          </w:p>
        </w:tc>
        <w:tc>
          <w:tcPr>
            <w:tcW w:w="1160" w:type="dxa"/>
            <w:tcBorders>
              <w:top w:val="nil"/>
              <w:left w:val="nil"/>
              <w:bottom w:val="single" w:sz="8" w:space="0" w:color="auto"/>
              <w:right w:val="nil"/>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36760</w:t>
            </w:r>
          </w:p>
        </w:tc>
        <w:tc>
          <w:tcPr>
            <w:tcW w:w="2040" w:type="dxa"/>
            <w:tcBorders>
              <w:top w:val="nil"/>
              <w:left w:val="nil"/>
              <w:bottom w:val="single" w:sz="8" w:space="0" w:color="auto"/>
              <w:right w:val="nil"/>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788</w:t>
            </w:r>
          </w:p>
        </w:tc>
        <w:tc>
          <w:tcPr>
            <w:tcW w:w="1120" w:type="dxa"/>
            <w:tcBorders>
              <w:top w:val="nil"/>
              <w:left w:val="nil"/>
              <w:bottom w:val="single" w:sz="8" w:space="0" w:color="auto"/>
              <w:right w:val="single" w:sz="8"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NA</w:t>
            </w:r>
          </w:p>
        </w:tc>
      </w:tr>
    </w:tbl>
    <w:p w:rsidR="00A47F5D" w:rsidRPr="00026D3E" w:rsidRDefault="00A47F5D" w:rsidP="00A47F5D">
      <w:pPr>
        <w:spacing w:after="0" w:line="240" w:lineRule="auto"/>
        <w:rPr>
          <w:rFonts w:ascii="Times New Roman" w:eastAsia="Times New Roman" w:hAnsi="Times New Roman" w:cs="Times New Roman"/>
          <w:color w:val="000000"/>
          <w:sz w:val="24"/>
          <w:szCs w:val="24"/>
        </w:rPr>
      </w:pPr>
    </w:p>
    <w:p w:rsidR="00A47F5D" w:rsidRPr="00026D3E" w:rsidRDefault="00A47F5D" w:rsidP="00A47F5D">
      <w:pPr>
        <w:spacing w:after="0" w:line="240" w:lineRule="auto"/>
        <w:rPr>
          <w:rFonts w:ascii="Times New Roman" w:eastAsia="Times New Roman" w:hAnsi="Times New Roman" w:cs="Times New Roman"/>
          <w:color w:val="000000"/>
          <w:sz w:val="24"/>
          <w:szCs w:val="24"/>
        </w:rPr>
      </w:pPr>
    </w:p>
    <w:p w:rsidR="00A47F5D" w:rsidRPr="00026D3E" w:rsidRDefault="00A47F5D" w:rsidP="00A47F5D">
      <w:pPr>
        <w:spacing w:after="0" w:line="240" w:lineRule="auto"/>
        <w:rPr>
          <w:rFonts w:ascii="Times New Roman" w:eastAsia="Times New Roman" w:hAnsi="Times New Roman" w:cs="Times New Roman"/>
          <w:color w:val="000000"/>
          <w:sz w:val="24"/>
          <w:szCs w:val="24"/>
        </w:rPr>
      </w:pPr>
    </w:p>
    <w:p w:rsidR="00A47F5D" w:rsidRPr="00026D3E" w:rsidRDefault="00A47F5D" w:rsidP="00A47F5D">
      <w:pPr>
        <w:spacing w:after="0" w:line="240" w:lineRule="auto"/>
        <w:rPr>
          <w:rFonts w:ascii="Times New Roman" w:eastAsia="Times New Roman" w:hAnsi="Times New Roman" w:cs="Times New Roman"/>
          <w:color w:val="000000"/>
          <w:sz w:val="24"/>
          <w:szCs w:val="24"/>
        </w:rPr>
      </w:pPr>
    </w:p>
    <w:p w:rsidR="00A47F5D" w:rsidRPr="00026D3E" w:rsidRDefault="00A47F5D" w:rsidP="00A47F5D">
      <w:pPr>
        <w:spacing w:after="0" w:line="240" w:lineRule="auto"/>
        <w:rPr>
          <w:rFonts w:ascii="Times New Roman" w:eastAsia="Times New Roman" w:hAnsi="Times New Roman" w:cs="Times New Roman"/>
          <w:color w:val="000000"/>
          <w:sz w:val="24"/>
          <w:szCs w:val="24"/>
        </w:rPr>
      </w:pPr>
    </w:p>
    <w:p w:rsidR="00A47F5D" w:rsidRPr="00026D3E" w:rsidRDefault="00A47F5D" w:rsidP="00A47F5D">
      <w:pPr>
        <w:spacing w:after="0" w:line="240" w:lineRule="auto"/>
        <w:rPr>
          <w:rFonts w:ascii="Times New Roman" w:eastAsia="Times New Roman" w:hAnsi="Times New Roman" w:cs="Times New Roman"/>
          <w:color w:val="000000"/>
          <w:sz w:val="24"/>
          <w:szCs w:val="24"/>
        </w:rPr>
      </w:pPr>
    </w:p>
    <w:p w:rsidR="00A47F5D" w:rsidRPr="00026D3E" w:rsidRDefault="00A47F5D" w:rsidP="00A47F5D">
      <w:pPr>
        <w:spacing w:after="0" w:line="240" w:lineRule="auto"/>
        <w:rPr>
          <w:rFonts w:ascii="Times New Roman" w:eastAsia="Times New Roman" w:hAnsi="Times New Roman" w:cs="Times New Roman"/>
          <w:color w:val="000000"/>
          <w:sz w:val="24"/>
          <w:szCs w:val="24"/>
        </w:rPr>
      </w:pPr>
    </w:p>
    <w:p w:rsidR="00A47F5D" w:rsidRPr="00026D3E" w:rsidRDefault="001225BB" w:rsidP="00A47F5D">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Tabulka č.3 P</w:t>
      </w:r>
      <w:r>
        <w:rPr>
          <w:rFonts w:ascii="Times New Roman" w:hAnsi="Times New Roman" w:cs="Times New Roman"/>
          <w:sz w:val="24"/>
          <w:szCs w:val="24"/>
        </w:rPr>
        <w:t>oměr</w:t>
      </w:r>
      <w:r w:rsidRPr="00026D3E">
        <w:rPr>
          <w:rFonts w:ascii="Times New Roman" w:hAnsi="Times New Roman" w:cs="Times New Roman"/>
          <w:sz w:val="24"/>
          <w:szCs w:val="24"/>
        </w:rPr>
        <w:t xml:space="preserve"> </w:t>
      </w:r>
      <w:r>
        <w:rPr>
          <w:rFonts w:ascii="Times New Roman" w:hAnsi="Times New Roman" w:cs="Times New Roman"/>
          <w:sz w:val="24"/>
          <w:szCs w:val="24"/>
        </w:rPr>
        <w:t>kombinované</w:t>
      </w:r>
      <w:r w:rsidRPr="00026D3E">
        <w:rPr>
          <w:rFonts w:ascii="Times New Roman" w:hAnsi="Times New Roman" w:cs="Times New Roman"/>
          <w:sz w:val="24"/>
          <w:szCs w:val="24"/>
        </w:rPr>
        <w:t xml:space="preserve"> moci Sýrie s Íránem oproti Iráku</w:t>
      </w:r>
    </w:p>
    <w:tbl>
      <w:tblPr>
        <w:tblW w:w="0" w:type="auto"/>
        <w:jc w:val="center"/>
        <w:tblCellMar>
          <w:left w:w="70" w:type="dxa"/>
          <w:right w:w="70" w:type="dxa"/>
        </w:tblCellMar>
        <w:tblLook w:val="04A0"/>
      </w:tblPr>
      <w:tblGrid>
        <w:gridCol w:w="620"/>
        <w:gridCol w:w="1686"/>
        <w:gridCol w:w="1420"/>
        <w:gridCol w:w="621"/>
        <w:gridCol w:w="2487"/>
        <w:gridCol w:w="847"/>
        <w:gridCol w:w="680"/>
      </w:tblGrid>
      <w:tr w:rsidR="00A47F5D" w:rsidRPr="00026D3E" w:rsidTr="000A775E">
        <w:trPr>
          <w:trHeight w:val="915"/>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 </w:t>
            </w:r>
          </w:p>
        </w:tc>
        <w:tc>
          <w:tcPr>
            <w:tcW w:w="0" w:type="auto"/>
            <w:tcBorders>
              <w:top w:val="single" w:sz="8" w:space="0" w:color="auto"/>
              <w:left w:val="nil"/>
              <w:bottom w:val="single" w:sz="8" w:space="0" w:color="auto"/>
              <w:right w:val="nil"/>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Státy</w:t>
            </w:r>
          </w:p>
        </w:tc>
        <w:tc>
          <w:tcPr>
            <w:tcW w:w="0" w:type="auto"/>
            <w:tcBorders>
              <w:top w:val="single" w:sz="8" w:space="0" w:color="auto"/>
              <w:left w:val="single" w:sz="4" w:space="0" w:color="auto"/>
              <w:bottom w:val="single" w:sz="8" w:space="0" w:color="auto"/>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Obyvatelstvo</w:t>
            </w:r>
          </w:p>
        </w:tc>
        <w:tc>
          <w:tcPr>
            <w:tcW w:w="0" w:type="auto"/>
            <w:tcBorders>
              <w:top w:val="single" w:sz="8" w:space="0" w:color="auto"/>
              <w:left w:val="nil"/>
              <w:bottom w:val="single" w:sz="8" w:space="0" w:color="auto"/>
              <w:right w:val="nil"/>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HNP</w:t>
            </w:r>
          </w:p>
        </w:tc>
        <w:tc>
          <w:tcPr>
            <w:tcW w:w="0" w:type="auto"/>
            <w:tcBorders>
              <w:top w:val="single" w:sz="8" w:space="0" w:color="auto"/>
              <w:left w:val="single" w:sz="4" w:space="0" w:color="auto"/>
              <w:bottom w:val="single" w:sz="8" w:space="0" w:color="auto"/>
              <w:right w:val="single" w:sz="4" w:space="0" w:color="auto"/>
            </w:tcBorders>
            <w:shd w:val="clear" w:color="auto" w:fill="auto"/>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Velikost ozbrojených sil</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Obrana</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Koef.</w:t>
            </w:r>
          </w:p>
        </w:tc>
      </w:tr>
      <w:tr w:rsidR="00A47F5D" w:rsidRPr="00026D3E" w:rsidTr="000A775E">
        <w:trPr>
          <w:trHeight w:val="300"/>
          <w:jc w:val="center"/>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1975</w:t>
            </w:r>
          </w:p>
        </w:tc>
        <w:tc>
          <w:tcPr>
            <w:tcW w:w="0" w:type="auto"/>
            <w:tcBorders>
              <w:top w:val="nil"/>
              <w:left w:val="nil"/>
              <w:bottom w:val="single" w:sz="4" w:space="0" w:color="auto"/>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Sýrie-Írán / Irák</w:t>
            </w:r>
          </w:p>
        </w:tc>
        <w:tc>
          <w:tcPr>
            <w:tcW w:w="0" w:type="auto"/>
            <w:tcBorders>
              <w:top w:val="nil"/>
              <w:left w:val="nil"/>
              <w:bottom w:val="single" w:sz="4" w:space="0" w:color="auto"/>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3,68</w:t>
            </w:r>
          </w:p>
        </w:tc>
        <w:tc>
          <w:tcPr>
            <w:tcW w:w="0" w:type="auto"/>
            <w:tcBorders>
              <w:top w:val="nil"/>
              <w:left w:val="nil"/>
              <w:bottom w:val="single" w:sz="4" w:space="0" w:color="auto"/>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4,44</w:t>
            </w:r>
          </w:p>
        </w:tc>
        <w:tc>
          <w:tcPr>
            <w:tcW w:w="0" w:type="auto"/>
            <w:tcBorders>
              <w:top w:val="nil"/>
              <w:left w:val="nil"/>
              <w:bottom w:val="single" w:sz="4" w:space="0" w:color="auto"/>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3,97</w:t>
            </w:r>
          </w:p>
        </w:tc>
        <w:tc>
          <w:tcPr>
            <w:tcW w:w="0" w:type="auto"/>
            <w:tcBorders>
              <w:top w:val="nil"/>
              <w:left w:val="nil"/>
              <w:bottom w:val="single" w:sz="4" w:space="0" w:color="auto"/>
              <w:right w:val="single" w:sz="8"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4,45</w:t>
            </w:r>
          </w:p>
        </w:tc>
        <w:tc>
          <w:tcPr>
            <w:tcW w:w="0" w:type="auto"/>
            <w:tcBorders>
              <w:top w:val="nil"/>
              <w:left w:val="nil"/>
              <w:bottom w:val="single" w:sz="4" w:space="0" w:color="auto"/>
              <w:right w:val="single" w:sz="8" w:space="0" w:color="auto"/>
            </w:tcBorders>
            <w:shd w:val="clear" w:color="auto" w:fill="auto"/>
            <w:noWrap/>
            <w:vAlign w:val="bottom"/>
            <w:hideMark/>
          </w:tcPr>
          <w:p w:rsidR="00A47F5D" w:rsidRPr="00026D3E" w:rsidRDefault="00A47F5D" w:rsidP="00B84248">
            <w:pPr>
              <w:spacing w:after="0" w:line="240" w:lineRule="auto"/>
              <w:jc w:val="right"/>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4,227</w:t>
            </w:r>
          </w:p>
        </w:tc>
      </w:tr>
      <w:tr w:rsidR="00A47F5D" w:rsidRPr="00026D3E" w:rsidTr="000A775E">
        <w:trPr>
          <w:trHeight w:val="300"/>
          <w:jc w:val="center"/>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1976</w:t>
            </w:r>
          </w:p>
        </w:tc>
        <w:tc>
          <w:tcPr>
            <w:tcW w:w="0" w:type="auto"/>
            <w:tcBorders>
              <w:top w:val="nil"/>
              <w:left w:val="nil"/>
              <w:bottom w:val="single" w:sz="4" w:space="0" w:color="auto"/>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Sýrie-Írán / Irák</w:t>
            </w:r>
          </w:p>
        </w:tc>
        <w:tc>
          <w:tcPr>
            <w:tcW w:w="0" w:type="auto"/>
            <w:tcBorders>
              <w:top w:val="nil"/>
              <w:left w:val="nil"/>
              <w:bottom w:val="single" w:sz="4" w:space="0" w:color="auto"/>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3,65</w:t>
            </w:r>
          </w:p>
        </w:tc>
        <w:tc>
          <w:tcPr>
            <w:tcW w:w="0" w:type="auto"/>
            <w:tcBorders>
              <w:top w:val="nil"/>
              <w:left w:val="nil"/>
              <w:bottom w:val="single" w:sz="4" w:space="0" w:color="auto"/>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4,55</w:t>
            </w:r>
          </w:p>
        </w:tc>
        <w:tc>
          <w:tcPr>
            <w:tcW w:w="0" w:type="auto"/>
            <w:tcBorders>
              <w:top w:val="nil"/>
              <w:left w:val="nil"/>
              <w:bottom w:val="single" w:sz="4" w:space="0" w:color="auto"/>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3,47</w:t>
            </w:r>
          </w:p>
        </w:tc>
        <w:tc>
          <w:tcPr>
            <w:tcW w:w="0" w:type="auto"/>
            <w:tcBorders>
              <w:top w:val="nil"/>
              <w:left w:val="nil"/>
              <w:bottom w:val="single" w:sz="4" w:space="0" w:color="auto"/>
              <w:right w:val="single" w:sz="8"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4,12</w:t>
            </w:r>
          </w:p>
        </w:tc>
        <w:tc>
          <w:tcPr>
            <w:tcW w:w="0" w:type="auto"/>
            <w:tcBorders>
              <w:top w:val="nil"/>
              <w:left w:val="nil"/>
              <w:bottom w:val="single" w:sz="4" w:space="0" w:color="auto"/>
              <w:right w:val="single" w:sz="8" w:space="0" w:color="auto"/>
            </w:tcBorders>
            <w:shd w:val="clear" w:color="auto" w:fill="auto"/>
            <w:noWrap/>
            <w:vAlign w:val="bottom"/>
            <w:hideMark/>
          </w:tcPr>
          <w:p w:rsidR="00A47F5D" w:rsidRPr="00026D3E" w:rsidRDefault="00A47F5D" w:rsidP="00B84248">
            <w:pPr>
              <w:spacing w:after="0" w:line="240" w:lineRule="auto"/>
              <w:jc w:val="right"/>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3,964</w:t>
            </w:r>
          </w:p>
        </w:tc>
      </w:tr>
      <w:tr w:rsidR="00A47F5D" w:rsidRPr="00026D3E" w:rsidTr="000A775E">
        <w:trPr>
          <w:trHeight w:val="300"/>
          <w:jc w:val="center"/>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1977</w:t>
            </w:r>
          </w:p>
        </w:tc>
        <w:tc>
          <w:tcPr>
            <w:tcW w:w="0" w:type="auto"/>
            <w:tcBorders>
              <w:top w:val="nil"/>
              <w:left w:val="nil"/>
              <w:bottom w:val="single" w:sz="4" w:space="0" w:color="auto"/>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Sýrie-Írán / Irák</w:t>
            </w:r>
          </w:p>
        </w:tc>
        <w:tc>
          <w:tcPr>
            <w:tcW w:w="0" w:type="auto"/>
            <w:tcBorders>
              <w:top w:val="nil"/>
              <w:left w:val="nil"/>
              <w:bottom w:val="single" w:sz="4" w:space="0" w:color="auto"/>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3,64</w:t>
            </w:r>
          </w:p>
        </w:tc>
        <w:tc>
          <w:tcPr>
            <w:tcW w:w="0" w:type="auto"/>
            <w:tcBorders>
              <w:top w:val="nil"/>
              <w:left w:val="nil"/>
              <w:bottom w:val="single" w:sz="4" w:space="0" w:color="auto"/>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4,17</w:t>
            </w:r>
          </w:p>
        </w:tc>
        <w:tc>
          <w:tcPr>
            <w:tcW w:w="0" w:type="auto"/>
            <w:tcBorders>
              <w:top w:val="nil"/>
              <w:left w:val="nil"/>
              <w:bottom w:val="single" w:sz="4" w:space="0" w:color="auto"/>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4,29</w:t>
            </w:r>
          </w:p>
        </w:tc>
        <w:tc>
          <w:tcPr>
            <w:tcW w:w="0" w:type="auto"/>
            <w:tcBorders>
              <w:top w:val="nil"/>
              <w:left w:val="nil"/>
              <w:bottom w:val="single" w:sz="4" w:space="0" w:color="auto"/>
              <w:right w:val="single" w:sz="8"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2,78</w:t>
            </w:r>
          </w:p>
        </w:tc>
        <w:tc>
          <w:tcPr>
            <w:tcW w:w="0" w:type="auto"/>
            <w:tcBorders>
              <w:top w:val="nil"/>
              <w:left w:val="nil"/>
              <w:bottom w:val="single" w:sz="4" w:space="0" w:color="auto"/>
              <w:right w:val="single" w:sz="8" w:space="0" w:color="auto"/>
            </w:tcBorders>
            <w:shd w:val="clear" w:color="auto" w:fill="auto"/>
            <w:noWrap/>
            <w:vAlign w:val="bottom"/>
            <w:hideMark/>
          </w:tcPr>
          <w:p w:rsidR="00A47F5D" w:rsidRPr="00026D3E" w:rsidRDefault="00A47F5D" w:rsidP="00B84248">
            <w:pPr>
              <w:spacing w:after="0" w:line="240" w:lineRule="auto"/>
              <w:jc w:val="right"/>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3,597</w:t>
            </w:r>
          </w:p>
        </w:tc>
      </w:tr>
      <w:tr w:rsidR="00A47F5D" w:rsidRPr="00026D3E" w:rsidTr="000A775E">
        <w:trPr>
          <w:trHeight w:val="300"/>
          <w:jc w:val="center"/>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1978</w:t>
            </w:r>
          </w:p>
        </w:tc>
        <w:tc>
          <w:tcPr>
            <w:tcW w:w="0" w:type="auto"/>
            <w:tcBorders>
              <w:top w:val="nil"/>
              <w:left w:val="nil"/>
              <w:bottom w:val="single" w:sz="4" w:space="0" w:color="auto"/>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Sýrie-Írán / Irák</w:t>
            </w:r>
          </w:p>
        </w:tc>
        <w:tc>
          <w:tcPr>
            <w:tcW w:w="0" w:type="auto"/>
            <w:tcBorders>
              <w:top w:val="nil"/>
              <w:left w:val="nil"/>
              <w:bottom w:val="single" w:sz="4" w:space="0" w:color="auto"/>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3,63</w:t>
            </w:r>
          </w:p>
        </w:tc>
        <w:tc>
          <w:tcPr>
            <w:tcW w:w="0" w:type="auto"/>
            <w:tcBorders>
              <w:top w:val="nil"/>
              <w:left w:val="nil"/>
              <w:bottom w:val="single" w:sz="4" w:space="0" w:color="auto"/>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3,05</w:t>
            </w:r>
          </w:p>
        </w:tc>
        <w:tc>
          <w:tcPr>
            <w:tcW w:w="0" w:type="auto"/>
            <w:tcBorders>
              <w:top w:val="nil"/>
              <w:left w:val="nil"/>
              <w:bottom w:val="single" w:sz="4" w:space="0" w:color="auto"/>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1,57</w:t>
            </w:r>
          </w:p>
        </w:tc>
        <w:tc>
          <w:tcPr>
            <w:tcW w:w="0" w:type="auto"/>
            <w:tcBorders>
              <w:top w:val="nil"/>
              <w:left w:val="nil"/>
              <w:bottom w:val="single" w:sz="4" w:space="0" w:color="auto"/>
              <w:right w:val="single" w:sz="8"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2,6</w:t>
            </w:r>
          </w:p>
        </w:tc>
        <w:tc>
          <w:tcPr>
            <w:tcW w:w="0" w:type="auto"/>
            <w:tcBorders>
              <w:top w:val="nil"/>
              <w:left w:val="nil"/>
              <w:bottom w:val="single" w:sz="4" w:space="0" w:color="auto"/>
              <w:right w:val="single" w:sz="8" w:space="0" w:color="auto"/>
            </w:tcBorders>
            <w:shd w:val="clear" w:color="auto" w:fill="auto"/>
            <w:noWrap/>
            <w:vAlign w:val="bottom"/>
            <w:hideMark/>
          </w:tcPr>
          <w:p w:rsidR="00A47F5D" w:rsidRPr="00026D3E" w:rsidRDefault="00A47F5D" w:rsidP="00B84248">
            <w:pPr>
              <w:spacing w:after="0" w:line="240" w:lineRule="auto"/>
              <w:jc w:val="right"/>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2,484</w:t>
            </w:r>
          </w:p>
        </w:tc>
      </w:tr>
      <w:tr w:rsidR="00A47F5D" w:rsidRPr="00026D3E" w:rsidTr="000A775E">
        <w:trPr>
          <w:trHeight w:val="300"/>
          <w:jc w:val="center"/>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1979</w:t>
            </w:r>
          </w:p>
        </w:tc>
        <w:tc>
          <w:tcPr>
            <w:tcW w:w="0" w:type="auto"/>
            <w:tcBorders>
              <w:top w:val="nil"/>
              <w:left w:val="nil"/>
              <w:bottom w:val="single" w:sz="4" w:space="0" w:color="auto"/>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Sýrie-Írán / Irák</w:t>
            </w:r>
          </w:p>
        </w:tc>
        <w:tc>
          <w:tcPr>
            <w:tcW w:w="0" w:type="auto"/>
            <w:tcBorders>
              <w:top w:val="nil"/>
              <w:left w:val="nil"/>
              <w:bottom w:val="single" w:sz="4" w:space="0" w:color="auto"/>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3,63</w:t>
            </w:r>
          </w:p>
        </w:tc>
        <w:tc>
          <w:tcPr>
            <w:tcW w:w="0" w:type="auto"/>
            <w:tcBorders>
              <w:top w:val="nil"/>
              <w:left w:val="nil"/>
              <w:bottom w:val="single" w:sz="4" w:space="0" w:color="auto"/>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2,61</w:t>
            </w:r>
          </w:p>
        </w:tc>
        <w:tc>
          <w:tcPr>
            <w:tcW w:w="0" w:type="auto"/>
            <w:tcBorders>
              <w:top w:val="nil"/>
              <w:left w:val="nil"/>
              <w:bottom w:val="single" w:sz="4" w:space="0" w:color="auto"/>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1,43</w:t>
            </w:r>
          </w:p>
        </w:tc>
        <w:tc>
          <w:tcPr>
            <w:tcW w:w="0" w:type="auto"/>
            <w:tcBorders>
              <w:top w:val="nil"/>
              <w:left w:val="nil"/>
              <w:bottom w:val="single" w:sz="4" w:space="0" w:color="auto"/>
              <w:right w:val="single" w:sz="8"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1,57</w:t>
            </w:r>
          </w:p>
        </w:tc>
        <w:tc>
          <w:tcPr>
            <w:tcW w:w="0" w:type="auto"/>
            <w:tcBorders>
              <w:top w:val="nil"/>
              <w:left w:val="nil"/>
              <w:bottom w:val="single" w:sz="4" w:space="0" w:color="auto"/>
              <w:right w:val="single" w:sz="8" w:space="0" w:color="auto"/>
            </w:tcBorders>
            <w:shd w:val="clear" w:color="auto" w:fill="auto"/>
            <w:noWrap/>
            <w:vAlign w:val="bottom"/>
            <w:hideMark/>
          </w:tcPr>
          <w:p w:rsidR="00A47F5D" w:rsidRPr="00026D3E" w:rsidRDefault="00A47F5D" w:rsidP="00B84248">
            <w:pPr>
              <w:spacing w:after="0" w:line="240" w:lineRule="auto"/>
              <w:jc w:val="right"/>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1,942</w:t>
            </w:r>
          </w:p>
        </w:tc>
      </w:tr>
      <w:tr w:rsidR="00A47F5D" w:rsidRPr="00026D3E" w:rsidTr="000A775E">
        <w:trPr>
          <w:trHeight w:val="300"/>
          <w:jc w:val="center"/>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1980</w:t>
            </w:r>
          </w:p>
        </w:tc>
        <w:tc>
          <w:tcPr>
            <w:tcW w:w="0" w:type="auto"/>
            <w:tcBorders>
              <w:top w:val="nil"/>
              <w:left w:val="nil"/>
              <w:bottom w:val="single" w:sz="4" w:space="0" w:color="auto"/>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Sýrie-Írán / Irák</w:t>
            </w:r>
          </w:p>
        </w:tc>
        <w:tc>
          <w:tcPr>
            <w:tcW w:w="0" w:type="auto"/>
            <w:tcBorders>
              <w:top w:val="nil"/>
              <w:left w:val="nil"/>
              <w:bottom w:val="single" w:sz="4" w:space="0" w:color="auto"/>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3,63</w:t>
            </w:r>
          </w:p>
        </w:tc>
        <w:tc>
          <w:tcPr>
            <w:tcW w:w="0" w:type="auto"/>
            <w:tcBorders>
              <w:top w:val="nil"/>
              <w:left w:val="nil"/>
              <w:bottom w:val="single" w:sz="4" w:space="0" w:color="auto"/>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2,41</w:t>
            </w:r>
          </w:p>
        </w:tc>
        <w:tc>
          <w:tcPr>
            <w:tcW w:w="0" w:type="auto"/>
            <w:tcBorders>
              <w:top w:val="nil"/>
              <w:left w:val="nil"/>
              <w:bottom w:val="single" w:sz="4" w:space="0" w:color="auto"/>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1,29</w:t>
            </w:r>
          </w:p>
        </w:tc>
        <w:tc>
          <w:tcPr>
            <w:tcW w:w="0" w:type="auto"/>
            <w:tcBorders>
              <w:top w:val="nil"/>
              <w:left w:val="nil"/>
              <w:bottom w:val="single" w:sz="4" w:space="0" w:color="auto"/>
              <w:right w:val="single" w:sz="8"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0,83</w:t>
            </w:r>
          </w:p>
        </w:tc>
        <w:tc>
          <w:tcPr>
            <w:tcW w:w="0" w:type="auto"/>
            <w:tcBorders>
              <w:top w:val="nil"/>
              <w:left w:val="nil"/>
              <w:bottom w:val="single" w:sz="4" w:space="0" w:color="auto"/>
              <w:right w:val="single" w:sz="8" w:space="0" w:color="auto"/>
            </w:tcBorders>
            <w:shd w:val="clear" w:color="auto" w:fill="auto"/>
            <w:noWrap/>
            <w:vAlign w:val="bottom"/>
            <w:hideMark/>
          </w:tcPr>
          <w:p w:rsidR="00A47F5D" w:rsidRPr="00026D3E" w:rsidRDefault="00A47F5D" w:rsidP="00B84248">
            <w:pPr>
              <w:spacing w:after="0" w:line="240" w:lineRule="auto"/>
              <w:jc w:val="right"/>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1,564</w:t>
            </w:r>
          </w:p>
        </w:tc>
      </w:tr>
      <w:tr w:rsidR="00A47F5D" w:rsidRPr="00026D3E" w:rsidTr="000A775E">
        <w:trPr>
          <w:trHeight w:val="300"/>
          <w:jc w:val="center"/>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1981</w:t>
            </w:r>
          </w:p>
        </w:tc>
        <w:tc>
          <w:tcPr>
            <w:tcW w:w="0" w:type="auto"/>
            <w:tcBorders>
              <w:top w:val="nil"/>
              <w:left w:val="nil"/>
              <w:bottom w:val="single" w:sz="4" w:space="0" w:color="auto"/>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Sýrie-Írán / Irák</w:t>
            </w:r>
          </w:p>
        </w:tc>
        <w:tc>
          <w:tcPr>
            <w:tcW w:w="0" w:type="auto"/>
            <w:tcBorders>
              <w:top w:val="nil"/>
              <w:left w:val="nil"/>
              <w:bottom w:val="single" w:sz="4" w:space="0" w:color="auto"/>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3,63</w:t>
            </w:r>
          </w:p>
        </w:tc>
        <w:tc>
          <w:tcPr>
            <w:tcW w:w="0" w:type="auto"/>
            <w:tcBorders>
              <w:top w:val="nil"/>
              <w:left w:val="nil"/>
              <w:bottom w:val="single" w:sz="4" w:space="0" w:color="auto"/>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4,21</w:t>
            </w:r>
          </w:p>
        </w:tc>
        <w:tc>
          <w:tcPr>
            <w:tcW w:w="0" w:type="auto"/>
            <w:tcBorders>
              <w:top w:val="nil"/>
              <w:left w:val="nil"/>
              <w:bottom w:val="single" w:sz="4" w:space="0" w:color="auto"/>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1,35</w:t>
            </w:r>
          </w:p>
        </w:tc>
        <w:tc>
          <w:tcPr>
            <w:tcW w:w="0" w:type="auto"/>
            <w:tcBorders>
              <w:top w:val="nil"/>
              <w:left w:val="nil"/>
              <w:bottom w:val="single" w:sz="4" w:space="0" w:color="auto"/>
              <w:right w:val="single" w:sz="8"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0,72</w:t>
            </w:r>
          </w:p>
        </w:tc>
        <w:tc>
          <w:tcPr>
            <w:tcW w:w="0" w:type="auto"/>
            <w:tcBorders>
              <w:top w:val="nil"/>
              <w:left w:val="nil"/>
              <w:bottom w:val="single" w:sz="4" w:space="0" w:color="auto"/>
              <w:right w:val="single" w:sz="8" w:space="0" w:color="auto"/>
            </w:tcBorders>
            <w:shd w:val="clear" w:color="auto" w:fill="auto"/>
            <w:noWrap/>
            <w:vAlign w:val="bottom"/>
            <w:hideMark/>
          </w:tcPr>
          <w:p w:rsidR="00A47F5D" w:rsidRPr="00026D3E" w:rsidRDefault="00A47F5D" w:rsidP="00B84248">
            <w:pPr>
              <w:spacing w:after="0" w:line="240" w:lineRule="auto"/>
              <w:jc w:val="right"/>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1,898</w:t>
            </w:r>
          </w:p>
        </w:tc>
      </w:tr>
      <w:tr w:rsidR="00A47F5D" w:rsidRPr="00026D3E" w:rsidTr="000A775E">
        <w:trPr>
          <w:trHeight w:val="300"/>
          <w:jc w:val="center"/>
        </w:trPr>
        <w:tc>
          <w:tcPr>
            <w:tcW w:w="0" w:type="auto"/>
            <w:tcBorders>
              <w:top w:val="nil"/>
              <w:left w:val="single" w:sz="8" w:space="0" w:color="auto"/>
              <w:bottom w:val="nil"/>
              <w:right w:val="single" w:sz="8"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1982</w:t>
            </w:r>
          </w:p>
        </w:tc>
        <w:tc>
          <w:tcPr>
            <w:tcW w:w="0" w:type="auto"/>
            <w:tcBorders>
              <w:top w:val="nil"/>
              <w:left w:val="nil"/>
              <w:bottom w:val="nil"/>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Sýrie-Írán / Irák</w:t>
            </w:r>
          </w:p>
        </w:tc>
        <w:tc>
          <w:tcPr>
            <w:tcW w:w="0" w:type="auto"/>
            <w:tcBorders>
              <w:top w:val="nil"/>
              <w:left w:val="nil"/>
              <w:bottom w:val="nil"/>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3,63</w:t>
            </w:r>
          </w:p>
        </w:tc>
        <w:tc>
          <w:tcPr>
            <w:tcW w:w="0" w:type="auto"/>
            <w:tcBorders>
              <w:top w:val="nil"/>
              <w:left w:val="nil"/>
              <w:bottom w:val="nil"/>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4,71</w:t>
            </w:r>
          </w:p>
        </w:tc>
        <w:tc>
          <w:tcPr>
            <w:tcW w:w="0" w:type="auto"/>
            <w:tcBorders>
              <w:top w:val="nil"/>
              <w:left w:val="nil"/>
              <w:bottom w:val="nil"/>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1,34</w:t>
            </w:r>
          </w:p>
        </w:tc>
        <w:tc>
          <w:tcPr>
            <w:tcW w:w="0" w:type="auto"/>
            <w:tcBorders>
              <w:top w:val="nil"/>
              <w:left w:val="nil"/>
              <w:bottom w:val="nil"/>
              <w:right w:val="single" w:sz="8"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0,81</w:t>
            </w:r>
          </w:p>
        </w:tc>
        <w:tc>
          <w:tcPr>
            <w:tcW w:w="0" w:type="auto"/>
            <w:tcBorders>
              <w:top w:val="nil"/>
              <w:left w:val="nil"/>
              <w:bottom w:val="single" w:sz="4" w:space="0" w:color="auto"/>
              <w:right w:val="single" w:sz="8" w:space="0" w:color="auto"/>
            </w:tcBorders>
            <w:shd w:val="clear" w:color="auto" w:fill="auto"/>
            <w:noWrap/>
            <w:vAlign w:val="bottom"/>
            <w:hideMark/>
          </w:tcPr>
          <w:p w:rsidR="00A47F5D" w:rsidRPr="00026D3E" w:rsidRDefault="00A47F5D" w:rsidP="00B84248">
            <w:pPr>
              <w:spacing w:after="0" w:line="240" w:lineRule="auto"/>
              <w:jc w:val="right"/>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2,031</w:t>
            </w:r>
          </w:p>
        </w:tc>
      </w:tr>
      <w:tr w:rsidR="00A47F5D" w:rsidRPr="00026D3E" w:rsidTr="000A775E">
        <w:trPr>
          <w:trHeight w:val="300"/>
          <w:jc w:val="center"/>
        </w:trPr>
        <w:tc>
          <w:tcPr>
            <w:tcW w:w="0" w:type="auto"/>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1983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Sýrie-Írán / Irák</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3,63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5,28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1,47</w:t>
            </w:r>
          </w:p>
        </w:tc>
        <w:tc>
          <w:tcPr>
            <w:tcW w:w="0" w:type="auto"/>
            <w:tcBorders>
              <w:top w:val="single" w:sz="4" w:space="0" w:color="auto"/>
              <w:left w:val="nil"/>
              <w:bottom w:val="single" w:sz="4" w:space="0" w:color="auto"/>
              <w:right w:val="single" w:sz="8"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0,83</w:t>
            </w:r>
          </w:p>
        </w:tc>
        <w:tc>
          <w:tcPr>
            <w:tcW w:w="0" w:type="auto"/>
            <w:tcBorders>
              <w:top w:val="nil"/>
              <w:left w:val="nil"/>
              <w:bottom w:val="single" w:sz="4" w:space="0" w:color="auto"/>
              <w:right w:val="single" w:sz="8" w:space="0" w:color="auto"/>
            </w:tcBorders>
            <w:shd w:val="clear" w:color="auto" w:fill="auto"/>
            <w:noWrap/>
            <w:vAlign w:val="bottom"/>
            <w:hideMark/>
          </w:tcPr>
          <w:p w:rsidR="00A47F5D" w:rsidRPr="00026D3E" w:rsidRDefault="00A47F5D" w:rsidP="00B84248">
            <w:pPr>
              <w:spacing w:after="0" w:line="240" w:lineRule="auto"/>
              <w:jc w:val="right"/>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2,192</w:t>
            </w:r>
          </w:p>
        </w:tc>
      </w:tr>
      <w:tr w:rsidR="00A47F5D" w:rsidRPr="00026D3E" w:rsidTr="000A775E">
        <w:trPr>
          <w:trHeight w:val="300"/>
          <w:jc w:val="center"/>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1984</w:t>
            </w:r>
          </w:p>
        </w:tc>
        <w:tc>
          <w:tcPr>
            <w:tcW w:w="0" w:type="auto"/>
            <w:tcBorders>
              <w:top w:val="nil"/>
              <w:left w:val="nil"/>
              <w:bottom w:val="single" w:sz="4" w:space="0" w:color="auto"/>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Sýrie-Írán / Irák</w:t>
            </w:r>
          </w:p>
        </w:tc>
        <w:tc>
          <w:tcPr>
            <w:tcW w:w="0" w:type="auto"/>
            <w:tcBorders>
              <w:top w:val="nil"/>
              <w:left w:val="nil"/>
              <w:bottom w:val="single" w:sz="4" w:space="0" w:color="auto"/>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3,64</w:t>
            </w:r>
          </w:p>
        </w:tc>
        <w:tc>
          <w:tcPr>
            <w:tcW w:w="0" w:type="auto"/>
            <w:tcBorders>
              <w:top w:val="nil"/>
              <w:left w:val="nil"/>
              <w:bottom w:val="single" w:sz="4" w:space="0" w:color="auto"/>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4,87</w:t>
            </w:r>
          </w:p>
        </w:tc>
        <w:tc>
          <w:tcPr>
            <w:tcW w:w="0" w:type="auto"/>
            <w:tcBorders>
              <w:top w:val="nil"/>
              <w:left w:val="nil"/>
              <w:bottom w:val="single" w:sz="4" w:space="0" w:color="auto"/>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0,94</w:t>
            </w:r>
          </w:p>
        </w:tc>
        <w:tc>
          <w:tcPr>
            <w:tcW w:w="0" w:type="auto"/>
            <w:tcBorders>
              <w:top w:val="nil"/>
              <w:left w:val="nil"/>
              <w:bottom w:val="single" w:sz="4" w:space="0" w:color="auto"/>
              <w:right w:val="single" w:sz="8"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1,01</w:t>
            </w:r>
          </w:p>
        </w:tc>
        <w:tc>
          <w:tcPr>
            <w:tcW w:w="0" w:type="auto"/>
            <w:tcBorders>
              <w:top w:val="nil"/>
              <w:left w:val="nil"/>
              <w:bottom w:val="single" w:sz="4" w:space="0" w:color="auto"/>
              <w:right w:val="single" w:sz="8" w:space="0" w:color="auto"/>
            </w:tcBorders>
            <w:shd w:val="clear" w:color="auto" w:fill="auto"/>
            <w:noWrap/>
            <w:vAlign w:val="bottom"/>
            <w:hideMark/>
          </w:tcPr>
          <w:p w:rsidR="00A47F5D" w:rsidRPr="00026D3E" w:rsidRDefault="00A47F5D" w:rsidP="00B84248">
            <w:pPr>
              <w:spacing w:after="0" w:line="240" w:lineRule="auto"/>
              <w:jc w:val="right"/>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2,024</w:t>
            </w:r>
          </w:p>
        </w:tc>
      </w:tr>
      <w:tr w:rsidR="00A47F5D" w:rsidRPr="00026D3E" w:rsidTr="000A775E">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1985</w:t>
            </w:r>
          </w:p>
        </w:tc>
        <w:tc>
          <w:tcPr>
            <w:tcW w:w="0" w:type="auto"/>
            <w:tcBorders>
              <w:top w:val="nil"/>
              <w:left w:val="nil"/>
              <w:bottom w:val="single" w:sz="8" w:space="0" w:color="auto"/>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Sýrie-Írán / Irák</w:t>
            </w:r>
          </w:p>
        </w:tc>
        <w:tc>
          <w:tcPr>
            <w:tcW w:w="0" w:type="auto"/>
            <w:tcBorders>
              <w:top w:val="nil"/>
              <w:left w:val="nil"/>
              <w:bottom w:val="single" w:sz="8" w:space="0" w:color="auto"/>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3,63</w:t>
            </w:r>
          </w:p>
        </w:tc>
        <w:tc>
          <w:tcPr>
            <w:tcW w:w="0" w:type="auto"/>
            <w:tcBorders>
              <w:top w:val="nil"/>
              <w:left w:val="nil"/>
              <w:bottom w:val="single" w:sz="8" w:space="0" w:color="auto"/>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5,01</w:t>
            </w:r>
          </w:p>
        </w:tc>
        <w:tc>
          <w:tcPr>
            <w:tcW w:w="0" w:type="auto"/>
            <w:tcBorders>
              <w:top w:val="nil"/>
              <w:left w:val="nil"/>
              <w:bottom w:val="single" w:sz="8" w:space="0" w:color="auto"/>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0,95</w:t>
            </w:r>
          </w:p>
        </w:tc>
        <w:tc>
          <w:tcPr>
            <w:tcW w:w="0" w:type="auto"/>
            <w:tcBorders>
              <w:top w:val="nil"/>
              <w:left w:val="nil"/>
              <w:bottom w:val="single" w:sz="8" w:space="0" w:color="auto"/>
              <w:right w:val="single" w:sz="8"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0</w:t>
            </w:r>
          </w:p>
        </w:tc>
        <w:tc>
          <w:tcPr>
            <w:tcW w:w="0" w:type="auto"/>
            <w:tcBorders>
              <w:top w:val="nil"/>
              <w:left w:val="nil"/>
              <w:bottom w:val="single" w:sz="4" w:space="0" w:color="auto"/>
              <w:right w:val="single" w:sz="8" w:space="0" w:color="auto"/>
            </w:tcBorders>
            <w:shd w:val="clear" w:color="auto" w:fill="auto"/>
            <w:noWrap/>
            <w:vAlign w:val="bottom"/>
            <w:hideMark/>
          </w:tcPr>
          <w:p w:rsidR="00A47F5D" w:rsidRPr="00026D3E" w:rsidRDefault="00A47F5D" w:rsidP="00B84248">
            <w:pPr>
              <w:spacing w:after="0" w:line="240" w:lineRule="auto"/>
              <w:jc w:val="right"/>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1,65</w:t>
            </w:r>
          </w:p>
        </w:tc>
      </w:tr>
      <w:tr w:rsidR="00A47F5D" w:rsidRPr="00026D3E" w:rsidTr="000A775E">
        <w:trPr>
          <w:trHeight w:val="315"/>
          <w:jc w:val="center"/>
        </w:trPr>
        <w:tc>
          <w:tcPr>
            <w:tcW w:w="0" w:type="auto"/>
            <w:tcBorders>
              <w:top w:val="nil"/>
              <w:left w:val="single" w:sz="8" w:space="0" w:color="auto"/>
              <w:bottom w:val="single" w:sz="8" w:space="0" w:color="auto"/>
              <w:right w:val="nil"/>
            </w:tcBorders>
            <w:shd w:val="clear" w:color="auto" w:fill="auto"/>
            <w:noWrap/>
            <w:vAlign w:val="bottom"/>
            <w:hideMark/>
          </w:tcPr>
          <w:p w:rsidR="00A47F5D" w:rsidRPr="00026D3E" w:rsidRDefault="00A47F5D" w:rsidP="00B84248">
            <w:pPr>
              <w:spacing w:after="0" w:line="240" w:lineRule="auto"/>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 </w:t>
            </w:r>
          </w:p>
        </w:tc>
        <w:tc>
          <w:tcPr>
            <w:tcW w:w="0" w:type="auto"/>
            <w:tcBorders>
              <w:top w:val="nil"/>
              <w:left w:val="nil"/>
              <w:bottom w:val="single" w:sz="8" w:space="0" w:color="auto"/>
              <w:right w:val="nil"/>
            </w:tcBorders>
            <w:shd w:val="clear" w:color="auto" w:fill="auto"/>
            <w:noWrap/>
            <w:vAlign w:val="bottom"/>
            <w:hideMark/>
          </w:tcPr>
          <w:p w:rsidR="00A47F5D" w:rsidRPr="00026D3E" w:rsidRDefault="00A47F5D" w:rsidP="00B84248">
            <w:pPr>
              <w:spacing w:after="0" w:line="240" w:lineRule="auto"/>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 </w:t>
            </w:r>
          </w:p>
        </w:tc>
        <w:tc>
          <w:tcPr>
            <w:tcW w:w="0" w:type="auto"/>
            <w:tcBorders>
              <w:top w:val="nil"/>
              <w:left w:val="single" w:sz="4" w:space="0" w:color="auto"/>
              <w:bottom w:val="single" w:sz="8" w:space="0" w:color="auto"/>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10%</w:t>
            </w:r>
          </w:p>
        </w:tc>
        <w:tc>
          <w:tcPr>
            <w:tcW w:w="0" w:type="auto"/>
            <w:tcBorders>
              <w:top w:val="nil"/>
              <w:left w:val="nil"/>
              <w:bottom w:val="single" w:sz="8" w:space="0" w:color="auto"/>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20%</w:t>
            </w:r>
          </w:p>
        </w:tc>
        <w:tc>
          <w:tcPr>
            <w:tcW w:w="0" w:type="auto"/>
            <w:tcBorders>
              <w:top w:val="nil"/>
              <w:left w:val="nil"/>
              <w:bottom w:val="single" w:sz="8" w:space="0" w:color="auto"/>
              <w:right w:val="single" w:sz="4"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30%</w:t>
            </w:r>
          </w:p>
        </w:tc>
        <w:tc>
          <w:tcPr>
            <w:tcW w:w="0" w:type="auto"/>
            <w:tcBorders>
              <w:top w:val="nil"/>
              <w:left w:val="nil"/>
              <w:bottom w:val="single" w:sz="8" w:space="0" w:color="auto"/>
              <w:right w:val="single" w:sz="8" w:space="0" w:color="auto"/>
            </w:tcBorders>
            <w:shd w:val="clear" w:color="auto" w:fill="auto"/>
            <w:noWrap/>
            <w:vAlign w:val="bottom"/>
            <w:hideMark/>
          </w:tcPr>
          <w:p w:rsidR="00A47F5D" w:rsidRPr="00026D3E" w:rsidRDefault="00A47F5D" w:rsidP="00B84248">
            <w:pPr>
              <w:spacing w:after="0" w:line="240" w:lineRule="auto"/>
              <w:jc w:val="center"/>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40%</w:t>
            </w:r>
          </w:p>
        </w:tc>
        <w:tc>
          <w:tcPr>
            <w:tcW w:w="0" w:type="auto"/>
            <w:tcBorders>
              <w:top w:val="nil"/>
              <w:left w:val="nil"/>
              <w:bottom w:val="single" w:sz="8" w:space="0" w:color="auto"/>
              <w:right w:val="single" w:sz="8" w:space="0" w:color="auto"/>
            </w:tcBorders>
            <w:shd w:val="clear" w:color="auto" w:fill="auto"/>
            <w:noWrap/>
            <w:vAlign w:val="bottom"/>
            <w:hideMark/>
          </w:tcPr>
          <w:p w:rsidR="00A47F5D" w:rsidRPr="00026D3E" w:rsidRDefault="00A47F5D" w:rsidP="00B84248">
            <w:pPr>
              <w:spacing w:after="0" w:line="240" w:lineRule="auto"/>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 </w:t>
            </w:r>
          </w:p>
        </w:tc>
      </w:tr>
    </w:tbl>
    <w:p w:rsidR="00A47F5D" w:rsidRPr="00026D3E" w:rsidRDefault="00A47F5D" w:rsidP="00A47F5D">
      <w:pPr>
        <w:tabs>
          <w:tab w:val="left" w:pos="3945"/>
        </w:tabs>
        <w:rPr>
          <w:rFonts w:ascii="Times New Roman" w:hAnsi="Times New Roman" w:cs="Times New Roman"/>
          <w:sz w:val="24"/>
          <w:szCs w:val="24"/>
        </w:rPr>
      </w:pPr>
    </w:p>
    <w:p w:rsidR="00A47F5D" w:rsidRPr="00026D3E" w:rsidRDefault="00A47F5D" w:rsidP="00A47F5D">
      <w:pPr>
        <w:tabs>
          <w:tab w:val="left" w:pos="3945"/>
        </w:tabs>
        <w:rPr>
          <w:rFonts w:ascii="Times New Roman" w:hAnsi="Times New Roman" w:cs="Times New Roman"/>
          <w:sz w:val="24"/>
          <w:szCs w:val="24"/>
        </w:rPr>
      </w:pPr>
    </w:p>
    <w:p w:rsidR="00A47F5D" w:rsidRPr="00026D3E" w:rsidRDefault="00A47F5D" w:rsidP="00A47F5D">
      <w:pPr>
        <w:rPr>
          <w:rFonts w:ascii="Times New Roman" w:hAnsi="Times New Roman" w:cs="Times New Roman"/>
          <w:sz w:val="24"/>
          <w:szCs w:val="24"/>
        </w:rPr>
      </w:pPr>
      <w:r w:rsidRPr="00026D3E">
        <w:rPr>
          <w:rFonts w:ascii="Times New Roman" w:hAnsi="Times New Roman" w:cs="Times New Roman"/>
          <w:sz w:val="24"/>
          <w:szCs w:val="24"/>
        </w:rPr>
        <w:lastRenderedPageBreak/>
        <w:t>Tabulka č.4 Dovoz zbraní do Sýrie, Íránu a Iráku v letech 1975-1985. Automaticky vygenerované v databázi Světové Banky</w:t>
      </w:r>
    </w:p>
    <w:tbl>
      <w:tblPr>
        <w:tblW w:w="0" w:type="auto"/>
        <w:jc w:val="center"/>
        <w:tblCellMar>
          <w:left w:w="70" w:type="dxa"/>
          <w:right w:w="70" w:type="dxa"/>
        </w:tblCellMar>
        <w:tblLook w:val="04A0"/>
      </w:tblPr>
      <w:tblGrid>
        <w:gridCol w:w="685"/>
        <w:gridCol w:w="719"/>
        <w:gridCol w:w="719"/>
        <w:gridCol w:w="719"/>
        <w:gridCol w:w="719"/>
        <w:gridCol w:w="718"/>
        <w:gridCol w:w="718"/>
        <w:gridCol w:w="718"/>
        <w:gridCol w:w="718"/>
        <w:gridCol w:w="718"/>
        <w:gridCol w:w="718"/>
        <w:gridCol w:w="718"/>
      </w:tblGrid>
      <w:tr w:rsidR="00A47F5D" w:rsidRPr="00026D3E" w:rsidTr="001E38E0">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47F5D" w:rsidRPr="00026D3E" w:rsidRDefault="00A47F5D" w:rsidP="00B84248">
            <w:pPr>
              <w:spacing w:after="0" w:line="240" w:lineRule="auto"/>
              <w:jc w:val="center"/>
              <w:rPr>
                <w:rFonts w:ascii="Times New Roman" w:eastAsia="Times New Roman" w:hAnsi="Times New Roman" w:cs="Times New Roman"/>
                <w:b/>
                <w:bCs/>
                <w:color w:val="000000"/>
                <w:sz w:val="24"/>
                <w:szCs w:val="24"/>
              </w:rPr>
            </w:pPr>
            <w:r w:rsidRPr="00026D3E">
              <w:rPr>
                <w:rFonts w:ascii="Times New Roman" w:eastAsia="Times New Roman" w:hAnsi="Times New Roman" w:cs="Times New Roman"/>
                <w:b/>
                <w:bCs/>
                <w:color w:val="000000"/>
                <w:sz w:val="24"/>
                <w:szCs w:val="24"/>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47F5D" w:rsidRPr="00026D3E" w:rsidRDefault="00A47F5D" w:rsidP="00B84248">
            <w:pPr>
              <w:spacing w:after="0" w:line="240" w:lineRule="auto"/>
              <w:jc w:val="center"/>
              <w:rPr>
                <w:rFonts w:ascii="Times New Roman" w:eastAsia="Times New Roman" w:hAnsi="Times New Roman" w:cs="Times New Roman"/>
                <w:b/>
                <w:bCs/>
                <w:color w:val="000000"/>
                <w:sz w:val="24"/>
                <w:szCs w:val="24"/>
              </w:rPr>
            </w:pPr>
            <w:r w:rsidRPr="00026D3E">
              <w:rPr>
                <w:rFonts w:ascii="Times New Roman" w:eastAsia="Times New Roman" w:hAnsi="Times New Roman" w:cs="Times New Roman"/>
                <w:b/>
                <w:bCs/>
                <w:color w:val="000000"/>
                <w:sz w:val="24"/>
                <w:szCs w:val="24"/>
              </w:rPr>
              <w:t>1975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47F5D" w:rsidRPr="00026D3E" w:rsidRDefault="00A47F5D" w:rsidP="00B84248">
            <w:pPr>
              <w:spacing w:after="0" w:line="240" w:lineRule="auto"/>
              <w:jc w:val="center"/>
              <w:rPr>
                <w:rFonts w:ascii="Times New Roman" w:eastAsia="Times New Roman" w:hAnsi="Times New Roman" w:cs="Times New Roman"/>
                <w:b/>
                <w:bCs/>
                <w:color w:val="000000"/>
                <w:sz w:val="24"/>
                <w:szCs w:val="24"/>
              </w:rPr>
            </w:pPr>
            <w:r w:rsidRPr="00026D3E">
              <w:rPr>
                <w:rFonts w:ascii="Times New Roman" w:eastAsia="Times New Roman" w:hAnsi="Times New Roman" w:cs="Times New Roman"/>
                <w:b/>
                <w:bCs/>
                <w:color w:val="000000"/>
                <w:sz w:val="24"/>
                <w:szCs w:val="24"/>
              </w:rPr>
              <w:t>1976</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47F5D" w:rsidRPr="00026D3E" w:rsidRDefault="00A47F5D" w:rsidP="00B84248">
            <w:pPr>
              <w:spacing w:after="0" w:line="240" w:lineRule="auto"/>
              <w:jc w:val="center"/>
              <w:rPr>
                <w:rFonts w:ascii="Times New Roman" w:eastAsia="Times New Roman" w:hAnsi="Times New Roman" w:cs="Times New Roman"/>
                <w:b/>
                <w:bCs/>
                <w:color w:val="000000"/>
                <w:sz w:val="24"/>
                <w:szCs w:val="24"/>
              </w:rPr>
            </w:pPr>
            <w:r w:rsidRPr="00026D3E">
              <w:rPr>
                <w:rFonts w:ascii="Times New Roman" w:eastAsia="Times New Roman" w:hAnsi="Times New Roman" w:cs="Times New Roman"/>
                <w:b/>
                <w:bCs/>
                <w:color w:val="000000"/>
                <w:sz w:val="24"/>
                <w:szCs w:val="24"/>
              </w:rPr>
              <w:t>1977</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47F5D" w:rsidRPr="00026D3E" w:rsidRDefault="00A47F5D" w:rsidP="00B84248">
            <w:pPr>
              <w:spacing w:after="0" w:line="240" w:lineRule="auto"/>
              <w:jc w:val="center"/>
              <w:rPr>
                <w:rFonts w:ascii="Times New Roman" w:eastAsia="Times New Roman" w:hAnsi="Times New Roman" w:cs="Times New Roman"/>
                <w:b/>
                <w:bCs/>
                <w:color w:val="000000"/>
                <w:sz w:val="24"/>
                <w:szCs w:val="24"/>
              </w:rPr>
            </w:pPr>
            <w:r w:rsidRPr="00026D3E">
              <w:rPr>
                <w:rFonts w:ascii="Times New Roman" w:eastAsia="Times New Roman" w:hAnsi="Times New Roman" w:cs="Times New Roman"/>
                <w:b/>
                <w:bCs/>
                <w:color w:val="000000"/>
                <w:sz w:val="24"/>
                <w:szCs w:val="24"/>
              </w:rPr>
              <w:t>1978</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47F5D" w:rsidRPr="00026D3E" w:rsidRDefault="00A47F5D" w:rsidP="00B84248">
            <w:pPr>
              <w:spacing w:after="0" w:line="240" w:lineRule="auto"/>
              <w:jc w:val="center"/>
              <w:rPr>
                <w:rFonts w:ascii="Times New Roman" w:eastAsia="Times New Roman" w:hAnsi="Times New Roman" w:cs="Times New Roman"/>
                <w:b/>
                <w:bCs/>
                <w:color w:val="000000"/>
                <w:sz w:val="24"/>
                <w:szCs w:val="24"/>
              </w:rPr>
            </w:pPr>
            <w:r w:rsidRPr="00026D3E">
              <w:rPr>
                <w:rFonts w:ascii="Times New Roman" w:eastAsia="Times New Roman" w:hAnsi="Times New Roman" w:cs="Times New Roman"/>
                <w:b/>
                <w:bCs/>
                <w:color w:val="000000"/>
                <w:sz w:val="24"/>
                <w:szCs w:val="24"/>
              </w:rPr>
              <w:t>1979</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47F5D" w:rsidRPr="00026D3E" w:rsidRDefault="00A47F5D" w:rsidP="00B84248">
            <w:pPr>
              <w:spacing w:after="0" w:line="240" w:lineRule="auto"/>
              <w:jc w:val="center"/>
              <w:rPr>
                <w:rFonts w:ascii="Times New Roman" w:eastAsia="Times New Roman" w:hAnsi="Times New Roman" w:cs="Times New Roman"/>
                <w:b/>
                <w:bCs/>
                <w:color w:val="000000"/>
                <w:sz w:val="24"/>
                <w:szCs w:val="24"/>
              </w:rPr>
            </w:pPr>
            <w:r w:rsidRPr="00026D3E">
              <w:rPr>
                <w:rFonts w:ascii="Times New Roman" w:eastAsia="Times New Roman" w:hAnsi="Times New Roman" w:cs="Times New Roman"/>
                <w:b/>
                <w:bCs/>
                <w:color w:val="000000"/>
                <w:sz w:val="24"/>
                <w:szCs w:val="24"/>
              </w:rPr>
              <w:t>1980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47F5D" w:rsidRPr="00026D3E" w:rsidRDefault="00A47F5D" w:rsidP="00B84248">
            <w:pPr>
              <w:spacing w:after="0" w:line="240" w:lineRule="auto"/>
              <w:jc w:val="center"/>
              <w:rPr>
                <w:rFonts w:ascii="Times New Roman" w:eastAsia="Times New Roman" w:hAnsi="Times New Roman" w:cs="Times New Roman"/>
                <w:b/>
                <w:bCs/>
                <w:color w:val="000000"/>
                <w:sz w:val="24"/>
                <w:szCs w:val="24"/>
              </w:rPr>
            </w:pPr>
            <w:r w:rsidRPr="00026D3E">
              <w:rPr>
                <w:rFonts w:ascii="Times New Roman" w:eastAsia="Times New Roman" w:hAnsi="Times New Roman" w:cs="Times New Roman"/>
                <w:b/>
                <w:bCs/>
                <w:color w:val="000000"/>
                <w:sz w:val="24"/>
                <w:szCs w:val="24"/>
              </w:rPr>
              <w:t>1981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47F5D" w:rsidRPr="00026D3E" w:rsidRDefault="00A47F5D" w:rsidP="00B84248">
            <w:pPr>
              <w:spacing w:after="0" w:line="240" w:lineRule="auto"/>
              <w:jc w:val="center"/>
              <w:rPr>
                <w:rFonts w:ascii="Times New Roman" w:eastAsia="Times New Roman" w:hAnsi="Times New Roman" w:cs="Times New Roman"/>
                <w:b/>
                <w:bCs/>
                <w:color w:val="000000"/>
                <w:sz w:val="24"/>
                <w:szCs w:val="24"/>
              </w:rPr>
            </w:pPr>
            <w:r w:rsidRPr="00026D3E">
              <w:rPr>
                <w:rFonts w:ascii="Times New Roman" w:eastAsia="Times New Roman" w:hAnsi="Times New Roman" w:cs="Times New Roman"/>
                <w:b/>
                <w:bCs/>
                <w:color w:val="000000"/>
                <w:sz w:val="24"/>
                <w:szCs w:val="24"/>
              </w:rPr>
              <w:t>1982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47F5D" w:rsidRPr="00026D3E" w:rsidRDefault="00A47F5D" w:rsidP="00B84248">
            <w:pPr>
              <w:spacing w:after="0" w:line="240" w:lineRule="auto"/>
              <w:jc w:val="center"/>
              <w:rPr>
                <w:rFonts w:ascii="Times New Roman" w:eastAsia="Times New Roman" w:hAnsi="Times New Roman" w:cs="Times New Roman"/>
                <w:b/>
                <w:bCs/>
                <w:color w:val="000000"/>
                <w:sz w:val="24"/>
                <w:szCs w:val="24"/>
              </w:rPr>
            </w:pPr>
            <w:r w:rsidRPr="00026D3E">
              <w:rPr>
                <w:rFonts w:ascii="Times New Roman" w:eastAsia="Times New Roman" w:hAnsi="Times New Roman" w:cs="Times New Roman"/>
                <w:b/>
                <w:bCs/>
                <w:color w:val="000000"/>
                <w:sz w:val="24"/>
                <w:szCs w:val="24"/>
              </w:rPr>
              <w:t>1983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47F5D" w:rsidRPr="00026D3E" w:rsidRDefault="00A47F5D" w:rsidP="00B84248">
            <w:pPr>
              <w:spacing w:after="0" w:line="240" w:lineRule="auto"/>
              <w:jc w:val="center"/>
              <w:rPr>
                <w:rFonts w:ascii="Times New Roman" w:eastAsia="Times New Roman" w:hAnsi="Times New Roman" w:cs="Times New Roman"/>
                <w:b/>
                <w:bCs/>
                <w:color w:val="000000"/>
                <w:sz w:val="24"/>
                <w:szCs w:val="24"/>
              </w:rPr>
            </w:pPr>
            <w:r w:rsidRPr="00026D3E">
              <w:rPr>
                <w:rFonts w:ascii="Times New Roman" w:eastAsia="Times New Roman" w:hAnsi="Times New Roman" w:cs="Times New Roman"/>
                <w:b/>
                <w:bCs/>
                <w:color w:val="000000"/>
                <w:sz w:val="24"/>
                <w:szCs w:val="24"/>
              </w:rPr>
              <w:t>1984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47F5D" w:rsidRPr="00026D3E" w:rsidRDefault="00A47F5D" w:rsidP="00B84248">
            <w:pPr>
              <w:spacing w:after="0" w:line="240" w:lineRule="auto"/>
              <w:jc w:val="center"/>
              <w:rPr>
                <w:rFonts w:ascii="Times New Roman" w:eastAsia="Times New Roman" w:hAnsi="Times New Roman" w:cs="Times New Roman"/>
                <w:b/>
                <w:bCs/>
                <w:color w:val="000000"/>
                <w:sz w:val="24"/>
                <w:szCs w:val="24"/>
              </w:rPr>
            </w:pPr>
            <w:r w:rsidRPr="00026D3E">
              <w:rPr>
                <w:rFonts w:ascii="Times New Roman" w:eastAsia="Times New Roman" w:hAnsi="Times New Roman" w:cs="Times New Roman"/>
                <w:b/>
                <w:bCs/>
                <w:color w:val="000000"/>
                <w:sz w:val="24"/>
                <w:szCs w:val="24"/>
              </w:rPr>
              <w:t>1985</w:t>
            </w:r>
          </w:p>
        </w:tc>
      </w:tr>
      <w:tr w:rsidR="00A47F5D" w:rsidRPr="00026D3E" w:rsidTr="001E38E0">
        <w:trPr>
          <w:trHeight w:val="25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A47F5D" w:rsidRPr="00026D3E" w:rsidRDefault="00A47F5D" w:rsidP="00026D3E">
            <w:pPr>
              <w:spacing w:after="0" w:line="240" w:lineRule="auto"/>
              <w:ind w:firstLineChars="100" w:firstLine="240"/>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Syria</w:t>
            </w:r>
          </w:p>
        </w:tc>
        <w:tc>
          <w:tcPr>
            <w:tcW w:w="0" w:type="auto"/>
            <w:tcBorders>
              <w:top w:val="nil"/>
              <w:left w:val="nil"/>
              <w:bottom w:val="single" w:sz="4" w:space="0" w:color="auto"/>
              <w:right w:val="single" w:sz="4" w:space="0" w:color="auto"/>
            </w:tcBorders>
            <w:shd w:val="clear" w:color="000000" w:fill="FFFFFF"/>
            <w:noWrap/>
            <w:vAlign w:val="center"/>
            <w:hideMark/>
          </w:tcPr>
          <w:p w:rsidR="00A47F5D" w:rsidRPr="00026D3E" w:rsidRDefault="00A47F5D" w:rsidP="00026D3E">
            <w:pPr>
              <w:spacing w:after="0" w:line="240" w:lineRule="auto"/>
              <w:ind w:firstLineChars="100" w:firstLine="240"/>
              <w:jc w:val="right"/>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1 259</w:t>
            </w:r>
          </w:p>
        </w:tc>
        <w:tc>
          <w:tcPr>
            <w:tcW w:w="0" w:type="auto"/>
            <w:tcBorders>
              <w:top w:val="nil"/>
              <w:left w:val="nil"/>
              <w:bottom w:val="single" w:sz="4" w:space="0" w:color="auto"/>
              <w:right w:val="single" w:sz="4" w:space="0" w:color="auto"/>
            </w:tcBorders>
            <w:shd w:val="clear" w:color="000000" w:fill="FFFFFF"/>
            <w:noWrap/>
            <w:vAlign w:val="center"/>
            <w:hideMark/>
          </w:tcPr>
          <w:p w:rsidR="00A47F5D" w:rsidRPr="00026D3E" w:rsidRDefault="00A47F5D" w:rsidP="00026D3E">
            <w:pPr>
              <w:spacing w:after="0" w:line="240" w:lineRule="auto"/>
              <w:ind w:firstLineChars="100" w:firstLine="240"/>
              <w:jc w:val="right"/>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462</w:t>
            </w:r>
          </w:p>
        </w:tc>
        <w:tc>
          <w:tcPr>
            <w:tcW w:w="0" w:type="auto"/>
            <w:tcBorders>
              <w:top w:val="nil"/>
              <w:left w:val="nil"/>
              <w:bottom w:val="single" w:sz="4" w:space="0" w:color="auto"/>
              <w:right w:val="single" w:sz="4" w:space="0" w:color="auto"/>
            </w:tcBorders>
            <w:shd w:val="clear" w:color="000000" w:fill="FFFFFF"/>
            <w:noWrap/>
            <w:vAlign w:val="center"/>
            <w:hideMark/>
          </w:tcPr>
          <w:p w:rsidR="00A47F5D" w:rsidRPr="00026D3E" w:rsidRDefault="00A47F5D" w:rsidP="00026D3E">
            <w:pPr>
              <w:spacing w:after="0" w:line="240" w:lineRule="auto"/>
              <w:ind w:firstLineChars="100" w:firstLine="240"/>
              <w:jc w:val="right"/>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898</w:t>
            </w:r>
          </w:p>
        </w:tc>
        <w:tc>
          <w:tcPr>
            <w:tcW w:w="0" w:type="auto"/>
            <w:tcBorders>
              <w:top w:val="nil"/>
              <w:left w:val="nil"/>
              <w:bottom w:val="single" w:sz="4" w:space="0" w:color="auto"/>
              <w:right w:val="single" w:sz="4" w:space="0" w:color="auto"/>
            </w:tcBorders>
            <w:shd w:val="clear" w:color="000000" w:fill="FFFFFF"/>
            <w:noWrap/>
            <w:vAlign w:val="center"/>
            <w:hideMark/>
          </w:tcPr>
          <w:p w:rsidR="00A47F5D" w:rsidRPr="00026D3E" w:rsidRDefault="00A47F5D" w:rsidP="00026D3E">
            <w:pPr>
              <w:spacing w:after="0" w:line="240" w:lineRule="auto"/>
              <w:ind w:firstLineChars="100" w:firstLine="240"/>
              <w:jc w:val="right"/>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881</w:t>
            </w:r>
          </w:p>
        </w:tc>
        <w:tc>
          <w:tcPr>
            <w:tcW w:w="0" w:type="auto"/>
            <w:tcBorders>
              <w:top w:val="nil"/>
              <w:left w:val="nil"/>
              <w:bottom w:val="single" w:sz="4" w:space="0" w:color="auto"/>
              <w:right w:val="single" w:sz="4" w:space="0" w:color="auto"/>
            </w:tcBorders>
            <w:shd w:val="clear" w:color="000000" w:fill="FFFFFF"/>
            <w:noWrap/>
            <w:vAlign w:val="center"/>
            <w:hideMark/>
          </w:tcPr>
          <w:p w:rsidR="00A47F5D" w:rsidRPr="00026D3E" w:rsidRDefault="00A47F5D" w:rsidP="00026D3E">
            <w:pPr>
              <w:spacing w:after="0" w:line="240" w:lineRule="auto"/>
              <w:ind w:firstLineChars="100" w:firstLine="240"/>
              <w:jc w:val="right"/>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2 115</w:t>
            </w:r>
          </w:p>
        </w:tc>
        <w:tc>
          <w:tcPr>
            <w:tcW w:w="0" w:type="auto"/>
            <w:tcBorders>
              <w:top w:val="nil"/>
              <w:left w:val="nil"/>
              <w:bottom w:val="single" w:sz="4" w:space="0" w:color="auto"/>
              <w:right w:val="single" w:sz="4" w:space="0" w:color="auto"/>
            </w:tcBorders>
            <w:shd w:val="clear" w:color="000000" w:fill="FFFFFF"/>
            <w:noWrap/>
            <w:vAlign w:val="center"/>
            <w:hideMark/>
          </w:tcPr>
          <w:p w:rsidR="00A47F5D" w:rsidRPr="00026D3E" w:rsidRDefault="00A47F5D" w:rsidP="00026D3E">
            <w:pPr>
              <w:spacing w:after="0" w:line="240" w:lineRule="auto"/>
              <w:ind w:firstLineChars="100" w:firstLine="240"/>
              <w:jc w:val="right"/>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2 018</w:t>
            </w:r>
          </w:p>
        </w:tc>
        <w:tc>
          <w:tcPr>
            <w:tcW w:w="0" w:type="auto"/>
            <w:tcBorders>
              <w:top w:val="nil"/>
              <w:left w:val="nil"/>
              <w:bottom w:val="single" w:sz="4" w:space="0" w:color="auto"/>
              <w:right w:val="single" w:sz="4" w:space="0" w:color="auto"/>
            </w:tcBorders>
            <w:shd w:val="clear" w:color="000000" w:fill="FFFFFF"/>
            <w:noWrap/>
            <w:vAlign w:val="center"/>
            <w:hideMark/>
          </w:tcPr>
          <w:p w:rsidR="00A47F5D" w:rsidRPr="00026D3E" w:rsidRDefault="00A47F5D" w:rsidP="00026D3E">
            <w:pPr>
              <w:spacing w:after="0" w:line="240" w:lineRule="auto"/>
              <w:ind w:firstLineChars="100" w:firstLine="240"/>
              <w:jc w:val="right"/>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1 416</w:t>
            </w:r>
          </w:p>
        </w:tc>
        <w:tc>
          <w:tcPr>
            <w:tcW w:w="0" w:type="auto"/>
            <w:tcBorders>
              <w:top w:val="nil"/>
              <w:left w:val="nil"/>
              <w:bottom w:val="single" w:sz="4" w:space="0" w:color="auto"/>
              <w:right w:val="single" w:sz="4" w:space="0" w:color="auto"/>
            </w:tcBorders>
            <w:shd w:val="clear" w:color="000000" w:fill="FFFFFF"/>
            <w:noWrap/>
            <w:vAlign w:val="center"/>
            <w:hideMark/>
          </w:tcPr>
          <w:p w:rsidR="00A47F5D" w:rsidRPr="00026D3E" w:rsidRDefault="00A47F5D" w:rsidP="00026D3E">
            <w:pPr>
              <w:spacing w:after="0" w:line="240" w:lineRule="auto"/>
              <w:ind w:firstLineChars="100" w:firstLine="240"/>
              <w:jc w:val="right"/>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2 065</w:t>
            </w:r>
          </w:p>
        </w:tc>
        <w:tc>
          <w:tcPr>
            <w:tcW w:w="0" w:type="auto"/>
            <w:tcBorders>
              <w:top w:val="nil"/>
              <w:left w:val="nil"/>
              <w:bottom w:val="single" w:sz="4" w:space="0" w:color="auto"/>
              <w:right w:val="single" w:sz="4" w:space="0" w:color="auto"/>
            </w:tcBorders>
            <w:shd w:val="clear" w:color="000000" w:fill="FFFFFF"/>
            <w:noWrap/>
            <w:vAlign w:val="center"/>
            <w:hideMark/>
          </w:tcPr>
          <w:p w:rsidR="00A47F5D" w:rsidRPr="00026D3E" w:rsidRDefault="00A47F5D" w:rsidP="00026D3E">
            <w:pPr>
              <w:spacing w:after="0" w:line="240" w:lineRule="auto"/>
              <w:ind w:firstLineChars="100" w:firstLine="240"/>
              <w:jc w:val="right"/>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2 396</w:t>
            </w:r>
          </w:p>
        </w:tc>
        <w:tc>
          <w:tcPr>
            <w:tcW w:w="0" w:type="auto"/>
            <w:tcBorders>
              <w:top w:val="nil"/>
              <w:left w:val="nil"/>
              <w:bottom w:val="single" w:sz="4" w:space="0" w:color="auto"/>
              <w:right w:val="single" w:sz="4" w:space="0" w:color="auto"/>
            </w:tcBorders>
            <w:shd w:val="clear" w:color="000000" w:fill="FFFFFF"/>
            <w:noWrap/>
            <w:vAlign w:val="center"/>
            <w:hideMark/>
          </w:tcPr>
          <w:p w:rsidR="00A47F5D" w:rsidRPr="00026D3E" w:rsidRDefault="00A47F5D" w:rsidP="00026D3E">
            <w:pPr>
              <w:spacing w:after="0" w:line="240" w:lineRule="auto"/>
              <w:ind w:firstLineChars="100" w:firstLine="240"/>
              <w:jc w:val="right"/>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1 907</w:t>
            </w:r>
          </w:p>
        </w:tc>
        <w:tc>
          <w:tcPr>
            <w:tcW w:w="0" w:type="auto"/>
            <w:tcBorders>
              <w:top w:val="nil"/>
              <w:left w:val="nil"/>
              <w:bottom w:val="single" w:sz="4" w:space="0" w:color="auto"/>
              <w:right w:val="single" w:sz="4" w:space="0" w:color="auto"/>
            </w:tcBorders>
            <w:shd w:val="clear" w:color="000000" w:fill="FFFFFF"/>
            <w:noWrap/>
            <w:vAlign w:val="center"/>
            <w:hideMark/>
          </w:tcPr>
          <w:p w:rsidR="00A47F5D" w:rsidRPr="00026D3E" w:rsidRDefault="00A47F5D" w:rsidP="00026D3E">
            <w:pPr>
              <w:spacing w:after="0" w:line="240" w:lineRule="auto"/>
              <w:ind w:firstLineChars="100" w:firstLine="240"/>
              <w:jc w:val="right"/>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1 645</w:t>
            </w:r>
          </w:p>
        </w:tc>
      </w:tr>
      <w:tr w:rsidR="00A47F5D" w:rsidRPr="00026D3E" w:rsidTr="001E38E0">
        <w:trPr>
          <w:trHeight w:val="255"/>
          <w:jc w:val="center"/>
        </w:trPr>
        <w:tc>
          <w:tcPr>
            <w:tcW w:w="0" w:type="auto"/>
            <w:tcBorders>
              <w:top w:val="nil"/>
              <w:left w:val="single" w:sz="4" w:space="0" w:color="auto"/>
              <w:bottom w:val="single" w:sz="4" w:space="0" w:color="auto"/>
              <w:right w:val="single" w:sz="4" w:space="0" w:color="auto"/>
            </w:tcBorders>
            <w:shd w:val="clear" w:color="000000" w:fill="CCCCFF"/>
            <w:noWrap/>
            <w:vAlign w:val="center"/>
            <w:hideMark/>
          </w:tcPr>
          <w:p w:rsidR="00A47F5D" w:rsidRPr="00026D3E" w:rsidRDefault="00A47F5D" w:rsidP="00026D3E">
            <w:pPr>
              <w:spacing w:after="0" w:line="240" w:lineRule="auto"/>
              <w:ind w:firstLineChars="100" w:firstLine="240"/>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Iran</w:t>
            </w:r>
          </w:p>
        </w:tc>
        <w:tc>
          <w:tcPr>
            <w:tcW w:w="0" w:type="auto"/>
            <w:tcBorders>
              <w:top w:val="nil"/>
              <w:left w:val="nil"/>
              <w:bottom w:val="single" w:sz="4" w:space="0" w:color="auto"/>
              <w:right w:val="single" w:sz="4" w:space="0" w:color="auto"/>
            </w:tcBorders>
            <w:shd w:val="clear" w:color="000000" w:fill="CCCCFF"/>
            <w:noWrap/>
            <w:vAlign w:val="center"/>
            <w:hideMark/>
          </w:tcPr>
          <w:p w:rsidR="00A47F5D" w:rsidRPr="00026D3E" w:rsidRDefault="00A47F5D" w:rsidP="00026D3E">
            <w:pPr>
              <w:spacing w:after="0" w:line="240" w:lineRule="auto"/>
              <w:ind w:firstLineChars="100" w:firstLine="240"/>
              <w:jc w:val="right"/>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5 211</w:t>
            </w:r>
          </w:p>
        </w:tc>
        <w:tc>
          <w:tcPr>
            <w:tcW w:w="0" w:type="auto"/>
            <w:tcBorders>
              <w:top w:val="nil"/>
              <w:left w:val="nil"/>
              <w:bottom w:val="single" w:sz="4" w:space="0" w:color="auto"/>
              <w:right w:val="single" w:sz="4" w:space="0" w:color="auto"/>
            </w:tcBorders>
            <w:shd w:val="clear" w:color="000000" w:fill="CCCCFF"/>
            <w:noWrap/>
            <w:vAlign w:val="center"/>
            <w:hideMark/>
          </w:tcPr>
          <w:p w:rsidR="00A47F5D" w:rsidRPr="00026D3E" w:rsidRDefault="00A47F5D" w:rsidP="00026D3E">
            <w:pPr>
              <w:spacing w:after="0" w:line="240" w:lineRule="auto"/>
              <w:ind w:firstLineChars="100" w:firstLine="240"/>
              <w:jc w:val="right"/>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4 604</w:t>
            </w:r>
          </w:p>
        </w:tc>
        <w:tc>
          <w:tcPr>
            <w:tcW w:w="0" w:type="auto"/>
            <w:tcBorders>
              <w:top w:val="nil"/>
              <w:left w:val="nil"/>
              <w:bottom w:val="single" w:sz="4" w:space="0" w:color="auto"/>
              <w:right w:val="single" w:sz="4" w:space="0" w:color="auto"/>
            </w:tcBorders>
            <w:shd w:val="clear" w:color="000000" w:fill="CCCCFF"/>
            <w:noWrap/>
            <w:vAlign w:val="center"/>
            <w:hideMark/>
          </w:tcPr>
          <w:p w:rsidR="00A47F5D" w:rsidRPr="00026D3E" w:rsidRDefault="00A47F5D" w:rsidP="00026D3E">
            <w:pPr>
              <w:spacing w:after="0" w:line="240" w:lineRule="auto"/>
              <w:ind w:firstLineChars="100" w:firstLine="240"/>
              <w:jc w:val="right"/>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5 655</w:t>
            </w:r>
          </w:p>
        </w:tc>
        <w:tc>
          <w:tcPr>
            <w:tcW w:w="0" w:type="auto"/>
            <w:tcBorders>
              <w:top w:val="nil"/>
              <w:left w:val="nil"/>
              <w:bottom w:val="single" w:sz="4" w:space="0" w:color="auto"/>
              <w:right w:val="single" w:sz="4" w:space="0" w:color="auto"/>
            </w:tcBorders>
            <w:shd w:val="clear" w:color="000000" w:fill="CCCCFF"/>
            <w:noWrap/>
            <w:vAlign w:val="center"/>
            <w:hideMark/>
          </w:tcPr>
          <w:p w:rsidR="00A47F5D" w:rsidRPr="00026D3E" w:rsidRDefault="00A47F5D" w:rsidP="00026D3E">
            <w:pPr>
              <w:spacing w:after="0" w:line="240" w:lineRule="auto"/>
              <w:ind w:firstLineChars="100" w:firstLine="240"/>
              <w:jc w:val="right"/>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3 872</w:t>
            </w:r>
          </w:p>
        </w:tc>
        <w:tc>
          <w:tcPr>
            <w:tcW w:w="0" w:type="auto"/>
            <w:tcBorders>
              <w:top w:val="nil"/>
              <w:left w:val="nil"/>
              <w:bottom w:val="single" w:sz="4" w:space="0" w:color="auto"/>
              <w:right w:val="single" w:sz="4" w:space="0" w:color="auto"/>
            </w:tcBorders>
            <w:shd w:val="clear" w:color="000000" w:fill="CCCCFF"/>
            <w:noWrap/>
            <w:vAlign w:val="center"/>
            <w:hideMark/>
          </w:tcPr>
          <w:p w:rsidR="00A47F5D" w:rsidRPr="00026D3E" w:rsidRDefault="00A47F5D" w:rsidP="00026D3E">
            <w:pPr>
              <w:spacing w:after="0" w:line="240" w:lineRule="auto"/>
              <w:ind w:firstLineChars="100" w:firstLine="240"/>
              <w:jc w:val="right"/>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567</w:t>
            </w:r>
          </w:p>
        </w:tc>
        <w:tc>
          <w:tcPr>
            <w:tcW w:w="0" w:type="auto"/>
            <w:tcBorders>
              <w:top w:val="nil"/>
              <w:left w:val="nil"/>
              <w:bottom w:val="single" w:sz="4" w:space="0" w:color="auto"/>
              <w:right w:val="single" w:sz="4" w:space="0" w:color="auto"/>
            </w:tcBorders>
            <w:shd w:val="clear" w:color="000000" w:fill="CCCCFF"/>
            <w:noWrap/>
            <w:vAlign w:val="center"/>
            <w:hideMark/>
          </w:tcPr>
          <w:p w:rsidR="00A47F5D" w:rsidRPr="00026D3E" w:rsidRDefault="00A47F5D" w:rsidP="00026D3E">
            <w:pPr>
              <w:spacing w:after="0" w:line="240" w:lineRule="auto"/>
              <w:ind w:firstLineChars="100" w:firstLine="240"/>
              <w:jc w:val="right"/>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278</w:t>
            </w:r>
          </w:p>
        </w:tc>
        <w:tc>
          <w:tcPr>
            <w:tcW w:w="0" w:type="auto"/>
            <w:tcBorders>
              <w:top w:val="nil"/>
              <w:left w:val="nil"/>
              <w:bottom w:val="single" w:sz="4" w:space="0" w:color="auto"/>
              <w:right w:val="single" w:sz="4" w:space="0" w:color="auto"/>
            </w:tcBorders>
            <w:shd w:val="clear" w:color="000000" w:fill="CCCCFF"/>
            <w:noWrap/>
            <w:vAlign w:val="center"/>
            <w:hideMark/>
          </w:tcPr>
          <w:p w:rsidR="00A47F5D" w:rsidRPr="00026D3E" w:rsidRDefault="00A47F5D" w:rsidP="00026D3E">
            <w:pPr>
              <w:spacing w:after="0" w:line="240" w:lineRule="auto"/>
              <w:ind w:firstLineChars="100" w:firstLine="240"/>
              <w:jc w:val="right"/>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486</w:t>
            </w:r>
          </w:p>
        </w:tc>
        <w:tc>
          <w:tcPr>
            <w:tcW w:w="0" w:type="auto"/>
            <w:tcBorders>
              <w:top w:val="nil"/>
              <w:left w:val="nil"/>
              <w:bottom w:val="single" w:sz="4" w:space="0" w:color="auto"/>
              <w:right w:val="single" w:sz="4" w:space="0" w:color="auto"/>
            </w:tcBorders>
            <w:shd w:val="clear" w:color="000000" w:fill="CCCCFF"/>
            <w:noWrap/>
            <w:vAlign w:val="center"/>
            <w:hideMark/>
          </w:tcPr>
          <w:p w:rsidR="00A47F5D" w:rsidRPr="00026D3E" w:rsidRDefault="00A47F5D" w:rsidP="00026D3E">
            <w:pPr>
              <w:spacing w:after="0" w:line="240" w:lineRule="auto"/>
              <w:ind w:firstLineChars="100" w:firstLine="240"/>
              <w:jc w:val="right"/>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552</w:t>
            </w:r>
          </w:p>
        </w:tc>
        <w:tc>
          <w:tcPr>
            <w:tcW w:w="0" w:type="auto"/>
            <w:tcBorders>
              <w:top w:val="nil"/>
              <w:left w:val="nil"/>
              <w:bottom w:val="single" w:sz="4" w:space="0" w:color="auto"/>
              <w:right w:val="single" w:sz="4" w:space="0" w:color="auto"/>
            </w:tcBorders>
            <w:shd w:val="clear" w:color="000000" w:fill="CCCCFF"/>
            <w:noWrap/>
            <w:vAlign w:val="center"/>
            <w:hideMark/>
          </w:tcPr>
          <w:p w:rsidR="00A47F5D" w:rsidRPr="00026D3E" w:rsidRDefault="00A47F5D" w:rsidP="00026D3E">
            <w:pPr>
              <w:spacing w:after="0" w:line="240" w:lineRule="auto"/>
              <w:ind w:firstLineChars="100" w:firstLine="240"/>
              <w:jc w:val="right"/>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519</w:t>
            </w:r>
          </w:p>
        </w:tc>
        <w:tc>
          <w:tcPr>
            <w:tcW w:w="0" w:type="auto"/>
            <w:tcBorders>
              <w:top w:val="nil"/>
              <w:left w:val="nil"/>
              <w:bottom w:val="single" w:sz="4" w:space="0" w:color="auto"/>
              <w:right w:val="single" w:sz="4" w:space="0" w:color="auto"/>
            </w:tcBorders>
            <w:shd w:val="clear" w:color="000000" w:fill="CCCCFF"/>
            <w:noWrap/>
            <w:vAlign w:val="center"/>
            <w:hideMark/>
          </w:tcPr>
          <w:p w:rsidR="00A47F5D" w:rsidRPr="00026D3E" w:rsidRDefault="00A47F5D" w:rsidP="00026D3E">
            <w:pPr>
              <w:spacing w:after="0" w:line="240" w:lineRule="auto"/>
              <w:ind w:firstLineChars="100" w:firstLine="240"/>
              <w:jc w:val="right"/>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486</w:t>
            </w:r>
          </w:p>
        </w:tc>
        <w:tc>
          <w:tcPr>
            <w:tcW w:w="0" w:type="auto"/>
            <w:tcBorders>
              <w:top w:val="nil"/>
              <w:left w:val="nil"/>
              <w:bottom w:val="single" w:sz="4" w:space="0" w:color="auto"/>
              <w:right w:val="single" w:sz="4" w:space="0" w:color="auto"/>
            </w:tcBorders>
            <w:shd w:val="clear" w:color="000000" w:fill="CCCCFF"/>
            <w:noWrap/>
            <w:vAlign w:val="center"/>
            <w:hideMark/>
          </w:tcPr>
          <w:p w:rsidR="00A47F5D" w:rsidRPr="00026D3E" w:rsidRDefault="00A47F5D" w:rsidP="00026D3E">
            <w:pPr>
              <w:spacing w:after="0" w:line="240" w:lineRule="auto"/>
              <w:ind w:firstLineChars="100" w:firstLine="240"/>
              <w:jc w:val="right"/>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647</w:t>
            </w:r>
          </w:p>
        </w:tc>
      </w:tr>
      <w:tr w:rsidR="00A47F5D" w:rsidRPr="00026D3E" w:rsidTr="001E38E0">
        <w:trPr>
          <w:trHeight w:val="25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A47F5D" w:rsidRPr="00026D3E" w:rsidRDefault="00A47F5D" w:rsidP="00026D3E">
            <w:pPr>
              <w:spacing w:after="0" w:line="240" w:lineRule="auto"/>
              <w:ind w:firstLineChars="100" w:firstLine="240"/>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Iraq</w:t>
            </w:r>
          </w:p>
        </w:tc>
        <w:tc>
          <w:tcPr>
            <w:tcW w:w="0" w:type="auto"/>
            <w:tcBorders>
              <w:top w:val="nil"/>
              <w:left w:val="nil"/>
              <w:bottom w:val="single" w:sz="4" w:space="0" w:color="auto"/>
              <w:right w:val="single" w:sz="4" w:space="0" w:color="auto"/>
            </w:tcBorders>
            <w:shd w:val="clear" w:color="000000" w:fill="FFFFFF"/>
            <w:noWrap/>
            <w:vAlign w:val="center"/>
            <w:hideMark/>
          </w:tcPr>
          <w:p w:rsidR="00A47F5D" w:rsidRPr="00026D3E" w:rsidRDefault="00A47F5D" w:rsidP="00026D3E">
            <w:pPr>
              <w:spacing w:after="0" w:line="240" w:lineRule="auto"/>
              <w:ind w:firstLineChars="100" w:firstLine="240"/>
              <w:jc w:val="right"/>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1 097</w:t>
            </w:r>
          </w:p>
        </w:tc>
        <w:tc>
          <w:tcPr>
            <w:tcW w:w="0" w:type="auto"/>
            <w:tcBorders>
              <w:top w:val="nil"/>
              <w:left w:val="nil"/>
              <w:bottom w:val="single" w:sz="4" w:space="0" w:color="auto"/>
              <w:right w:val="single" w:sz="4" w:space="0" w:color="auto"/>
            </w:tcBorders>
            <w:shd w:val="clear" w:color="000000" w:fill="FFFFFF"/>
            <w:noWrap/>
            <w:vAlign w:val="center"/>
            <w:hideMark/>
          </w:tcPr>
          <w:p w:rsidR="00A47F5D" w:rsidRPr="00026D3E" w:rsidRDefault="00A47F5D" w:rsidP="00026D3E">
            <w:pPr>
              <w:spacing w:after="0" w:line="240" w:lineRule="auto"/>
              <w:ind w:firstLineChars="100" w:firstLine="240"/>
              <w:jc w:val="right"/>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1 134</w:t>
            </w:r>
          </w:p>
        </w:tc>
        <w:tc>
          <w:tcPr>
            <w:tcW w:w="0" w:type="auto"/>
            <w:tcBorders>
              <w:top w:val="nil"/>
              <w:left w:val="nil"/>
              <w:bottom w:val="single" w:sz="4" w:space="0" w:color="auto"/>
              <w:right w:val="single" w:sz="4" w:space="0" w:color="auto"/>
            </w:tcBorders>
            <w:shd w:val="clear" w:color="000000" w:fill="FFFFFF"/>
            <w:noWrap/>
            <w:vAlign w:val="center"/>
            <w:hideMark/>
          </w:tcPr>
          <w:p w:rsidR="00A47F5D" w:rsidRPr="00026D3E" w:rsidRDefault="00A47F5D" w:rsidP="00026D3E">
            <w:pPr>
              <w:spacing w:after="0" w:line="240" w:lineRule="auto"/>
              <w:ind w:firstLineChars="100" w:firstLine="240"/>
              <w:jc w:val="right"/>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1 098</w:t>
            </w:r>
          </w:p>
        </w:tc>
        <w:tc>
          <w:tcPr>
            <w:tcW w:w="0" w:type="auto"/>
            <w:tcBorders>
              <w:top w:val="nil"/>
              <w:left w:val="nil"/>
              <w:bottom w:val="single" w:sz="4" w:space="0" w:color="auto"/>
              <w:right w:val="single" w:sz="4" w:space="0" w:color="auto"/>
            </w:tcBorders>
            <w:shd w:val="clear" w:color="000000" w:fill="FFFFFF"/>
            <w:noWrap/>
            <w:vAlign w:val="center"/>
            <w:hideMark/>
          </w:tcPr>
          <w:p w:rsidR="00A47F5D" w:rsidRPr="00026D3E" w:rsidRDefault="00A47F5D" w:rsidP="00026D3E">
            <w:pPr>
              <w:spacing w:after="0" w:line="240" w:lineRule="auto"/>
              <w:ind w:firstLineChars="100" w:firstLine="240"/>
              <w:jc w:val="right"/>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1 832</w:t>
            </w:r>
          </w:p>
        </w:tc>
        <w:tc>
          <w:tcPr>
            <w:tcW w:w="0" w:type="auto"/>
            <w:tcBorders>
              <w:top w:val="nil"/>
              <w:left w:val="nil"/>
              <w:bottom w:val="single" w:sz="4" w:space="0" w:color="auto"/>
              <w:right w:val="single" w:sz="4" w:space="0" w:color="auto"/>
            </w:tcBorders>
            <w:shd w:val="clear" w:color="000000" w:fill="FFFFFF"/>
            <w:noWrap/>
            <w:vAlign w:val="center"/>
            <w:hideMark/>
          </w:tcPr>
          <w:p w:rsidR="00A47F5D" w:rsidRPr="00026D3E" w:rsidRDefault="00A47F5D" w:rsidP="00026D3E">
            <w:pPr>
              <w:spacing w:after="0" w:line="240" w:lineRule="auto"/>
              <w:ind w:firstLineChars="100" w:firstLine="240"/>
              <w:jc w:val="right"/>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1 243</w:t>
            </w:r>
          </w:p>
        </w:tc>
        <w:tc>
          <w:tcPr>
            <w:tcW w:w="0" w:type="auto"/>
            <w:tcBorders>
              <w:top w:val="nil"/>
              <w:left w:val="nil"/>
              <w:bottom w:val="single" w:sz="4" w:space="0" w:color="auto"/>
              <w:right w:val="single" w:sz="4" w:space="0" w:color="auto"/>
            </w:tcBorders>
            <w:shd w:val="clear" w:color="000000" w:fill="FFFFFF"/>
            <w:noWrap/>
            <w:vAlign w:val="center"/>
            <w:hideMark/>
          </w:tcPr>
          <w:p w:rsidR="00A47F5D" w:rsidRPr="00026D3E" w:rsidRDefault="00A47F5D" w:rsidP="00026D3E">
            <w:pPr>
              <w:spacing w:after="0" w:line="240" w:lineRule="auto"/>
              <w:ind w:firstLineChars="100" w:firstLine="240"/>
              <w:jc w:val="right"/>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2 134</w:t>
            </w:r>
          </w:p>
        </w:tc>
        <w:tc>
          <w:tcPr>
            <w:tcW w:w="0" w:type="auto"/>
            <w:tcBorders>
              <w:top w:val="nil"/>
              <w:left w:val="nil"/>
              <w:bottom w:val="single" w:sz="4" w:space="0" w:color="auto"/>
              <w:right w:val="single" w:sz="4" w:space="0" w:color="auto"/>
            </w:tcBorders>
            <w:shd w:val="clear" w:color="000000" w:fill="FFFFFF"/>
            <w:noWrap/>
            <w:vAlign w:val="center"/>
            <w:hideMark/>
          </w:tcPr>
          <w:p w:rsidR="00A47F5D" w:rsidRPr="00026D3E" w:rsidRDefault="00A47F5D" w:rsidP="00026D3E">
            <w:pPr>
              <w:spacing w:after="0" w:line="240" w:lineRule="auto"/>
              <w:ind w:firstLineChars="100" w:firstLine="240"/>
              <w:jc w:val="right"/>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2 561</w:t>
            </w:r>
          </w:p>
        </w:tc>
        <w:tc>
          <w:tcPr>
            <w:tcW w:w="0" w:type="auto"/>
            <w:tcBorders>
              <w:top w:val="nil"/>
              <w:left w:val="nil"/>
              <w:bottom w:val="single" w:sz="4" w:space="0" w:color="auto"/>
              <w:right w:val="single" w:sz="4" w:space="0" w:color="auto"/>
            </w:tcBorders>
            <w:shd w:val="clear" w:color="000000" w:fill="FFFFFF"/>
            <w:noWrap/>
            <w:vAlign w:val="center"/>
            <w:hideMark/>
          </w:tcPr>
          <w:p w:rsidR="00A47F5D" w:rsidRPr="00026D3E" w:rsidRDefault="00A47F5D" w:rsidP="00026D3E">
            <w:pPr>
              <w:spacing w:after="0" w:line="240" w:lineRule="auto"/>
              <w:ind w:firstLineChars="100" w:firstLine="240"/>
              <w:jc w:val="right"/>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3 196</w:t>
            </w:r>
          </w:p>
        </w:tc>
        <w:tc>
          <w:tcPr>
            <w:tcW w:w="0" w:type="auto"/>
            <w:tcBorders>
              <w:top w:val="nil"/>
              <w:left w:val="nil"/>
              <w:bottom w:val="single" w:sz="4" w:space="0" w:color="auto"/>
              <w:right w:val="single" w:sz="4" w:space="0" w:color="auto"/>
            </w:tcBorders>
            <w:shd w:val="clear" w:color="000000" w:fill="FFFFFF"/>
            <w:noWrap/>
            <w:vAlign w:val="center"/>
            <w:hideMark/>
          </w:tcPr>
          <w:p w:rsidR="00A47F5D" w:rsidRPr="00026D3E" w:rsidRDefault="00A47F5D" w:rsidP="00026D3E">
            <w:pPr>
              <w:spacing w:after="0" w:line="240" w:lineRule="auto"/>
              <w:ind w:firstLineChars="100" w:firstLine="240"/>
              <w:jc w:val="right"/>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3 362</w:t>
            </w:r>
          </w:p>
        </w:tc>
        <w:tc>
          <w:tcPr>
            <w:tcW w:w="0" w:type="auto"/>
            <w:tcBorders>
              <w:top w:val="nil"/>
              <w:left w:val="nil"/>
              <w:bottom w:val="single" w:sz="4" w:space="0" w:color="auto"/>
              <w:right w:val="single" w:sz="4" w:space="0" w:color="auto"/>
            </w:tcBorders>
            <w:shd w:val="clear" w:color="000000" w:fill="FFFFFF"/>
            <w:noWrap/>
            <w:vAlign w:val="center"/>
            <w:hideMark/>
          </w:tcPr>
          <w:p w:rsidR="00A47F5D" w:rsidRPr="00026D3E" w:rsidRDefault="00A47F5D" w:rsidP="00026D3E">
            <w:pPr>
              <w:spacing w:after="0" w:line="240" w:lineRule="auto"/>
              <w:ind w:firstLineChars="100" w:firstLine="240"/>
              <w:jc w:val="right"/>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4 657</w:t>
            </w:r>
          </w:p>
        </w:tc>
        <w:tc>
          <w:tcPr>
            <w:tcW w:w="0" w:type="auto"/>
            <w:tcBorders>
              <w:top w:val="nil"/>
              <w:left w:val="nil"/>
              <w:bottom w:val="single" w:sz="4" w:space="0" w:color="auto"/>
              <w:right w:val="single" w:sz="4" w:space="0" w:color="auto"/>
            </w:tcBorders>
            <w:shd w:val="clear" w:color="000000" w:fill="FFFFFF"/>
            <w:noWrap/>
            <w:vAlign w:val="center"/>
            <w:hideMark/>
          </w:tcPr>
          <w:p w:rsidR="00A47F5D" w:rsidRPr="00026D3E" w:rsidRDefault="00A47F5D" w:rsidP="00026D3E">
            <w:pPr>
              <w:spacing w:after="0" w:line="240" w:lineRule="auto"/>
              <w:ind w:firstLineChars="100" w:firstLine="240"/>
              <w:jc w:val="right"/>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4 084</w:t>
            </w:r>
          </w:p>
        </w:tc>
      </w:tr>
      <w:tr w:rsidR="00A47F5D" w:rsidRPr="00026D3E" w:rsidTr="001E38E0">
        <w:trPr>
          <w:trHeight w:val="255"/>
          <w:jc w:val="center"/>
        </w:trPr>
        <w:tc>
          <w:tcPr>
            <w:tcW w:w="0" w:type="auto"/>
            <w:gridSpan w:val="12"/>
            <w:tcBorders>
              <w:top w:val="nil"/>
              <w:left w:val="nil"/>
              <w:bottom w:val="nil"/>
              <w:right w:val="nil"/>
            </w:tcBorders>
            <w:shd w:val="clear" w:color="000000" w:fill="FFFFFF"/>
            <w:noWrap/>
            <w:vAlign w:val="center"/>
            <w:hideMark/>
          </w:tcPr>
          <w:p w:rsidR="00A47F5D" w:rsidRPr="00026D3E" w:rsidRDefault="00A47F5D" w:rsidP="00B84248">
            <w:pPr>
              <w:spacing w:after="0" w:line="240" w:lineRule="auto"/>
              <w:rPr>
                <w:rFonts w:ascii="Times New Roman" w:eastAsia="Times New Roman" w:hAnsi="Times New Roman" w:cs="Times New Roman"/>
                <w:sz w:val="24"/>
                <w:szCs w:val="24"/>
              </w:rPr>
            </w:pPr>
            <w:r w:rsidRPr="00026D3E">
              <w:rPr>
                <w:rFonts w:ascii="Times New Roman" w:eastAsia="Times New Roman" w:hAnsi="Times New Roman" w:cs="Times New Roman"/>
                <w:sz w:val="24"/>
                <w:szCs w:val="24"/>
              </w:rPr>
              <w:t xml:space="preserve">           </w:t>
            </w:r>
          </w:p>
        </w:tc>
      </w:tr>
      <w:tr w:rsidR="00A47F5D" w:rsidRPr="00026D3E" w:rsidTr="001E38E0">
        <w:trPr>
          <w:trHeight w:val="285"/>
          <w:jc w:val="center"/>
        </w:trPr>
        <w:tc>
          <w:tcPr>
            <w:tcW w:w="0" w:type="auto"/>
            <w:gridSpan w:val="1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47F5D" w:rsidRPr="00026D3E" w:rsidRDefault="00A47F5D" w:rsidP="00B84248">
            <w:pPr>
              <w:spacing w:after="0" w:line="240" w:lineRule="auto"/>
              <w:rPr>
                <w:rFonts w:ascii="Times New Roman" w:eastAsia="Times New Roman" w:hAnsi="Times New Roman" w:cs="Times New Roman"/>
                <w:color w:val="000000"/>
                <w:sz w:val="24"/>
                <w:szCs w:val="24"/>
              </w:rPr>
            </w:pPr>
            <w:r w:rsidRPr="00026D3E">
              <w:rPr>
                <w:rFonts w:ascii="Times New Roman" w:eastAsia="Times New Roman" w:hAnsi="Times New Roman" w:cs="Times New Roman"/>
                <w:color w:val="000000"/>
                <w:sz w:val="24"/>
                <w:szCs w:val="24"/>
              </w:rPr>
              <w:t xml:space="preserve"> Data are in millions</w:t>
            </w:r>
          </w:p>
        </w:tc>
      </w:tr>
      <w:tr w:rsidR="00A47F5D" w:rsidRPr="00026D3E" w:rsidTr="001E38E0">
        <w:trPr>
          <w:trHeight w:val="285"/>
          <w:jc w:val="center"/>
        </w:trPr>
        <w:tc>
          <w:tcPr>
            <w:tcW w:w="0" w:type="auto"/>
            <w:gridSpan w:val="1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47F5D" w:rsidRPr="00026D3E" w:rsidRDefault="00A47F5D" w:rsidP="00026D3E">
            <w:pPr>
              <w:spacing w:after="0" w:line="240" w:lineRule="auto"/>
              <w:ind w:firstLineChars="100" w:firstLine="240"/>
              <w:rPr>
                <w:rFonts w:ascii="Times New Roman" w:eastAsia="Times New Roman" w:hAnsi="Times New Roman" w:cs="Times New Roman"/>
                <w:sz w:val="24"/>
                <w:szCs w:val="24"/>
              </w:rPr>
            </w:pPr>
            <w:r w:rsidRPr="00026D3E">
              <w:rPr>
                <w:rFonts w:ascii="Times New Roman" w:eastAsia="Times New Roman" w:hAnsi="Times New Roman" w:cs="Times New Roman"/>
                <w:sz w:val="24"/>
                <w:szCs w:val="24"/>
              </w:rPr>
              <w:t xml:space="preserve">             </w:t>
            </w:r>
            <w:r w:rsidRPr="00026D3E">
              <w:rPr>
                <w:rFonts w:ascii="Times New Roman" w:eastAsia="Times New Roman" w:hAnsi="Times New Roman" w:cs="Times New Roman"/>
                <w:b/>
                <w:bCs/>
                <w:sz w:val="24"/>
                <w:szCs w:val="24"/>
              </w:rPr>
              <w:t>Page</w:t>
            </w:r>
            <w:r w:rsidRPr="00026D3E">
              <w:rPr>
                <w:rFonts w:ascii="Times New Roman" w:eastAsia="Times New Roman" w:hAnsi="Times New Roman" w:cs="Times New Roman"/>
                <w:sz w:val="24"/>
                <w:szCs w:val="24"/>
              </w:rPr>
              <w:t xml:space="preserve">: Series: Arms imports (constant 1990 US$) </w:t>
            </w:r>
            <w:r w:rsidRPr="00026D3E">
              <w:rPr>
                <w:rFonts w:ascii="Times New Roman" w:eastAsia="Times New Roman" w:hAnsi="Times New Roman" w:cs="Times New Roman"/>
                <w:b/>
                <w:bCs/>
                <w:sz w:val="24"/>
                <w:szCs w:val="24"/>
              </w:rPr>
              <w:t>Row</w:t>
            </w:r>
            <w:r w:rsidRPr="00026D3E">
              <w:rPr>
                <w:rFonts w:ascii="Times New Roman" w:eastAsia="Times New Roman" w:hAnsi="Times New Roman" w:cs="Times New Roman"/>
                <w:sz w:val="24"/>
                <w:szCs w:val="24"/>
              </w:rPr>
              <w:t xml:space="preserve">: Country </w:t>
            </w:r>
            <w:r w:rsidRPr="00026D3E">
              <w:rPr>
                <w:rFonts w:ascii="Times New Roman" w:eastAsia="Times New Roman" w:hAnsi="Times New Roman" w:cs="Times New Roman"/>
                <w:b/>
                <w:bCs/>
                <w:sz w:val="24"/>
                <w:szCs w:val="24"/>
              </w:rPr>
              <w:t>Column</w:t>
            </w:r>
            <w:r w:rsidRPr="00026D3E">
              <w:rPr>
                <w:rFonts w:ascii="Times New Roman" w:eastAsia="Times New Roman" w:hAnsi="Times New Roman" w:cs="Times New Roman"/>
                <w:sz w:val="24"/>
                <w:szCs w:val="24"/>
              </w:rPr>
              <w:t>: Time</w:t>
            </w:r>
          </w:p>
        </w:tc>
      </w:tr>
    </w:tbl>
    <w:p w:rsidR="00A47F5D" w:rsidRPr="00026D3E" w:rsidRDefault="00A47F5D" w:rsidP="00A47F5D">
      <w:pPr>
        <w:rPr>
          <w:rFonts w:ascii="Times New Roman" w:hAnsi="Times New Roman" w:cs="Times New Roman"/>
          <w:sz w:val="24"/>
          <w:szCs w:val="24"/>
        </w:rPr>
      </w:pPr>
    </w:p>
    <w:p w:rsidR="00A47F5D" w:rsidRPr="00026D3E" w:rsidRDefault="00A47F5D" w:rsidP="00A47F5D">
      <w:pPr>
        <w:shd w:val="clear" w:color="auto" w:fill="FFFFFF"/>
        <w:spacing w:after="150" w:line="360" w:lineRule="auto"/>
        <w:jc w:val="both"/>
        <w:outlineLvl w:val="0"/>
        <w:rPr>
          <w:rFonts w:ascii="Times New Roman" w:hAnsi="Times New Roman" w:cs="Times New Roman"/>
          <w:color w:val="000000"/>
          <w:sz w:val="24"/>
          <w:szCs w:val="24"/>
        </w:rPr>
      </w:pPr>
      <w:bookmarkStart w:id="25" w:name="_Toc343257931"/>
      <w:bookmarkStart w:id="26" w:name="_Toc354699787"/>
      <w:bookmarkStart w:id="27" w:name="_Toc354703595"/>
      <w:r w:rsidRPr="00026D3E">
        <w:rPr>
          <w:rFonts w:ascii="Times New Roman" w:hAnsi="Times New Roman" w:cs="Times New Roman"/>
          <w:sz w:val="24"/>
          <w:szCs w:val="24"/>
        </w:rPr>
        <w:t>Zdroj: Vygenerováno z databáze Světové Banky.</w:t>
      </w:r>
      <w:bookmarkEnd w:id="27"/>
      <w:r w:rsidRPr="00026D3E">
        <w:rPr>
          <w:rFonts w:ascii="Times New Roman" w:hAnsi="Times New Roman" w:cs="Times New Roman"/>
          <w:sz w:val="24"/>
          <w:szCs w:val="24"/>
        </w:rPr>
        <w:t xml:space="preserve"> </w:t>
      </w:r>
      <w:bookmarkEnd w:id="25"/>
      <w:bookmarkEnd w:id="26"/>
    </w:p>
    <w:p w:rsidR="00A47F5D" w:rsidRPr="00026D3E" w:rsidRDefault="00A47F5D" w:rsidP="00A47F5D">
      <w:pPr>
        <w:rPr>
          <w:rFonts w:ascii="Times New Roman" w:hAnsi="Times New Roman" w:cs="Times New Roman"/>
          <w:sz w:val="24"/>
          <w:szCs w:val="24"/>
        </w:rPr>
      </w:pPr>
    </w:p>
    <w:p w:rsidR="00A47F5D" w:rsidRPr="00026D3E" w:rsidRDefault="00A47F5D" w:rsidP="00A47F5D">
      <w:pPr>
        <w:rPr>
          <w:rFonts w:ascii="Times New Roman" w:hAnsi="Times New Roman" w:cs="Times New Roman"/>
          <w:sz w:val="24"/>
          <w:szCs w:val="24"/>
        </w:rPr>
      </w:pPr>
    </w:p>
    <w:p w:rsidR="000A5D49" w:rsidRPr="00026D3E" w:rsidRDefault="000A5D49" w:rsidP="00A47F5D">
      <w:pPr>
        <w:rPr>
          <w:rFonts w:ascii="Times New Roman" w:hAnsi="Times New Roman" w:cs="Times New Roman"/>
          <w:sz w:val="24"/>
          <w:szCs w:val="24"/>
        </w:rPr>
      </w:pPr>
    </w:p>
    <w:p w:rsidR="00A47F5D" w:rsidRDefault="00A47F5D" w:rsidP="00A47F5D">
      <w:pPr>
        <w:rPr>
          <w:rFonts w:ascii="Times New Roman" w:hAnsi="Times New Roman" w:cs="Times New Roman"/>
          <w:sz w:val="24"/>
          <w:szCs w:val="24"/>
        </w:rPr>
      </w:pPr>
    </w:p>
    <w:p w:rsidR="00567F5C" w:rsidRPr="00026D3E" w:rsidRDefault="00567F5C" w:rsidP="00A47F5D">
      <w:pPr>
        <w:rPr>
          <w:rFonts w:ascii="Times New Roman" w:hAnsi="Times New Roman" w:cs="Times New Roman"/>
          <w:sz w:val="24"/>
          <w:szCs w:val="24"/>
        </w:rPr>
      </w:pPr>
    </w:p>
    <w:p w:rsidR="00A47F5D" w:rsidRPr="00026D3E" w:rsidRDefault="00A47F5D" w:rsidP="00794F84">
      <w:pPr>
        <w:spacing w:line="360" w:lineRule="auto"/>
        <w:jc w:val="both"/>
        <w:rPr>
          <w:rFonts w:ascii="Times New Roman" w:hAnsi="Times New Roman" w:cs="Times New Roman"/>
          <w:sz w:val="24"/>
          <w:szCs w:val="24"/>
        </w:rPr>
      </w:pPr>
    </w:p>
    <w:p w:rsidR="0090564C" w:rsidRPr="00026D3E" w:rsidRDefault="0090564C" w:rsidP="00794F84">
      <w:pPr>
        <w:spacing w:line="360" w:lineRule="auto"/>
        <w:jc w:val="both"/>
        <w:rPr>
          <w:rFonts w:ascii="Times New Roman" w:hAnsi="Times New Roman" w:cs="Times New Roman"/>
          <w:sz w:val="24"/>
          <w:szCs w:val="24"/>
        </w:rPr>
      </w:pPr>
    </w:p>
    <w:p w:rsidR="0090564C" w:rsidRDefault="0090564C" w:rsidP="00794F84">
      <w:pPr>
        <w:spacing w:line="360" w:lineRule="auto"/>
        <w:jc w:val="both"/>
        <w:rPr>
          <w:rFonts w:ascii="Times New Roman" w:hAnsi="Times New Roman" w:cs="Times New Roman"/>
          <w:sz w:val="24"/>
          <w:szCs w:val="24"/>
        </w:rPr>
      </w:pPr>
    </w:p>
    <w:p w:rsidR="00567F5C" w:rsidRDefault="00567F5C" w:rsidP="00794F84">
      <w:pPr>
        <w:spacing w:line="360" w:lineRule="auto"/>
        <w:jc w:val="both"/>
        <w:rPr>
          <w:rFonts w:ascii="Times New Roman" w:hAnsi="Times New Roman" w:cs="Times New Roman"/>
          <w:sz w:val="24"/>
          <w:szCs w:val="24"/>
        </w:rPr>
      </w:pPr>
    </w:p>
    <w:p w:rsidR="00567F5C" w:rsidRDefault="00567F5C" w:rsidP="00794F84">
      <w:pPr>
        <w:spacing w:line="360" w:lineRule="auto"/>
        <w:jc w:val="both"/>
        <w:rPr>
          <w:rFonts w:ascii="Times New Roman" w:hAnsi="Times New Roman" w:cs="Times New Roman"/>
          <w:sz w:val="24"/>
          <w:szCs w:val="24"/>
        </w:rPr>
      </w:pPr>
    </w:p>
    <w:p w:rsidR="00567F5C" w:rsidRDefault="00567F5C" w:rsidP="00794F84">
      <w:pPr>
        <w:spacing w:line="360" w:lineRule="auto"/>
        <w:jc w:val="both"/>
        <w:rPr>
          <w:rFonts w:ascii="Times New Roman" w:hAnsi="Times New Roman" w:cs="Times New Roman"/>
          <w:sz w:val="24"/>
          <w:szCs w:val="24"/>
        </w:rPr>
      </w:pPr>
    </w:p>
    <w:p w:rsidR="00567F5C" w:rsidRDefault="00567F5C" w:rsidP="00794F84">
      <w:pPr>
        <w:spacing w:line="360" w:lineRule="auto"/>
        <w:jc w:val="both"/>
        <w:rPr>
          <w:rFonts w:ascii="Times New Roman" w:hAnsi="Times New Roman" w:cs="Times New Roman"/>
          <w:sz w:val="24"/>
          <w:szCs w:val="24"/>
        </w:rPr>
      </w:pPr>
    </w:p>
    <w:p w:rsidR="00567F5C" w:rsidRDefault="00567F5C" w:rsidP="00794F84">
      <w:pPr>
        <w:spacing w:line="360" w:lineRule="auto"/>
        <w:jc w:val="both"/>
        <w:rPr>
          <w:rFonts w:ascii="Times New Roman" w:hAnsi="Times New Roman" w:cs="Times New Roman"/>
          <w:sz w:val="24"/>
          <w:szCs w:val="24"/>
        </w:rPr>
      </w:pPr>
    </w:p>
    <w:p w:rsidR="00567F5C" w:rsidRDefault="00567F5C" w:rsidP="00794F84">
      <w:pPr>
        <w:spacing w:line="360" w:lineRule="auto"/>
        <w:jc w:val="both"/>
        <w:rPr>
          <w:rFonts w:ascii="Times New Roman" w:hAnsi="Times New Roman" w:cs="Times New Roman"/>
          <w:sz w:val="24"/>
          <w:szCs w:val="24"/>
        </w:rPr>
      </w:pPr>
    </w:p>
    <w:p w:rsidR="00567F5C" w:rsidRPr="00026D3E" w:rsidRDefault="00567F5C" w:rsidP="00794F84">
      <w:pPr>
        <w:spacing w:line="360" w:lineRule="auto"/>
        <w:jc w:val="both"/>
        <w:rPr>
          <w:rFonts w:ascii="Times New Roman" w:hAnsi="Times New Roman" w:cs="Times New Roman"/>
          <w:sz w:val="24"/>
          <w:szCs w:val="24"/>
        </w:rPr>
      </w:pPr>
    </w:p>
    <w:p w:rsidR="0090564C" w:rsidRPr="00026D3E" w:rsidRDefault="0090564C" w:rsidP="00AD25AC">
      <w:pPr>
        <w:pStyle w:val="Nadpis1"/>
      </w:pPr>
      <w:bookmarkStart w:id="28" w:name="_Toc354703596"/>
      <w:r w:rsidRPr="00026D3E">
        <w:lastRenderedPageBreak/>
        <w:t>Abstrakt (česky)</w:t>
      </w:r>
      <w:bookmarkEnd w:id="28"/>
    </w:p>
    <w:p w:rsidR="00FC5A59" w:rsidRPr="00026D3E" w:rsidRDefault="005302E6" w:rsidP="00794F84">
      <w:pPr>
        <w:spacing w:line="360" w:lineRule="auto"/>
        <w:jc w:val="both"/>
        <w:rPr>
          <w:rFonts w:ascii="Times New Roman" w:hAnsi="Times New Roman" w:cs="Times New Roman"/>
          <w:sz w:val="24"/>
          <w:szCs w:val="24"/>
        </w:rPr>
      </w:pPr>
      <w:r w:rsidRPr="00026D3E">
        <w:rPr>
          <w:rFonts w:ascii="Times New Roman" w:hAnsi="Times New Roman" w:cs="Times New Roman"/>
          <w:sz w:val="24"/>
          <w:szCs w:val="24"/>
        </w:rPr>
        <w:t xml:space="preserve">Předkládaná práce se zabývá Syrsko – Íránskou strategickou aliancí. </w:t>
      </w:r>
      <w:r w:rsidR="00FC5A59" w:rsidRPr="00026D3E">
        <w:rPr>
          <w:rFonts w:ascii="Times New Roman" w:hAnsi="Times New Roman" w:cs="Times New Roman"/>
          <w:sz w:val="24"/>
          <w:szCs w:val="24"/>
        </w:rPr>
        <w:t>Tato aliance překvapila mnohé odborníky v oblasti, svým složením stejně jako svou trvanlivostí. Stejně zajímavé jsou ovšem příčiny jejího vzniku. Autor se v</w:t>
      </w:r>
      <w:r w:rsidR="00CE0215" w:rsidRPr="00026D3E">
        <w:rPr>
          <w:rFonts w:ascii="Times New Roman" w:hAnsi="Times New Roman" w:cs="Times New Roman"/>
          <w:sz w:val="24"/>
          <w:szCs w:val="24"/>
        </w:rPr>
        <w:t> </w:t>
      </w:r>
      <w:r w:rsidR="00FC5A59" w:rsidRPr="00026D3E">
        <w:rPr>
          <w:rFonts w:ascii="Times New Roman" w:hAnsi="Times New Roman" w:cs="Times New Roman"/>
          <w:sz w:val="24"/>
          <w:szCs w:val="24"/>
        </w:rPr>
        <w:t>pr</w:t>
      </w:r>
      <w:r w:rsidR="00CE0215" w:rsidRPr="00026D3E">
        <w:rPr>
          <w:rFonts w:ascii="Times New Roman" w:hAnsi="Times New Roman" w:cs="Times New Roman"/>
          <w:sz w:val="24"/>
          <w:szCs w:val="24"/>
        </w:rPr>
        <w:t>áci pokouší zjistit, zda lze vysvětlit vznik této aliance skrze teorii rovnováhy hrozeb, j</w:t>
      </w:r>
      <w:r w:rsidR="002B07E3" w:rsidRPr="00026D3E">
        <w:rPr>
          <w:rFonts w:ascii="Times New Roman" w:hAnsi="Times New Roman" w:cs="Times New Roman"/>
          <w:sz w:val="24"/>
          <w:szCs w:val="24"/>
        </w:rPr>
        <w:t>e</w:t>
      </w:r>
      <w:r w:rsidR="00CE0215" w:rsidRPr="00026D3E">
        <w:rPr>
          <w:rFonts w:ascii="Times New Roman" w:hAnsi="Times New Roman" w:cs="Times New Roman"/>
          <w:sz w:val="24"/>
          <w:szCs w:val="24"/>
        </w:rPr>
        <w:t xml:space="preserve">ž představil Stephen Walt. </w:t>
      </w:r>
    </w:p>
    <w:p w:rsidR="0090564C" w:rsidRPr="00026D3E" w:rsidRDefault="005900EB" w:rsidP="00AD25AC">
      <w:pPr>
        <w:pStyle w:val="Nadpis1"/>
      </w:pPr>
      <w:bookmarkStart w:id="29" w:name="_Toc354703597"/>
      <w:r w:rsidRPr="00026D3E">
        <w:t>Abstract (english)</w:t>
      </w:r>
      <w:bookmarkEnd w:id="29"/>
      <w:r w:rsidRPr="00026D3E">
        <w:tab/>
      </w:r>
    </w:p>
    <w:p w:rsidR="007B0EE8" w:rsidRPr="00026D3E" w:rsidRDefault="007B0EE8" w:rsidP="005900EB">
      <w:pPr>
        <w:tabs>
          <w:tab w:val="left" w:pos="2460"/>
        </w:tabs>
        <w:spacing w:line="360" w:lineRule="auto"/>
        <w:jc w:val="both"/>
        <w:rPr>
          <w:rFonts w:ascii="Times New Roman" w:hAnsi="Times New Roman" w:cs="Times New Roman"/>
          <w:sz w:val="24"/>
          <w:szCs w:val="24"/>
        </w:rPr>
      </w:pPr>
      <w:r w:rsidRPr="00026D3E">
        <w:rPr>
          <w:rFonts w:ascii="Times New Roman" w:hAnsi="Times New Roman" w:cs="Times New Roman"/>
          <w:sz w:val="24"/>
          <w:szCs w:val="24"/>
        </w:rPr>
        <w:t xml:space="preserve">The presented thesis is focused on the Syrian – Iranian Strategic Alliance. This specific alliance has intrigued number of scientists in the field, because of its membership as well as durability. However, equally fascinating are also the causes that prompted its emergence. The goal of the author is to find out whether it is possible to explain the emergence of this aliance while using the Stephen Walt´s Ballance of threats theory. </w:t>
      </w:r>
    </w:p>
    <w:p w:rsidR="005900EB" w:rsidRPr="00026D3E" w:rsidRDefault="005900EB" w:rsidP="00794F84">
      <w:pPr>
        <w:spacing w:line="360" w:lineRule="auto"/>
        <w:jc w:val="both"/>
        <w:rPr>
          <w:rFonts w:ascii="Times New Roman" w:hAnsi="Times New Roman" w:cs="Times New Roman"/>
          <w:b/>
          <w:sz w:val="24"/>
          <w:szCs w:val="24"/>
        </w:rPr>
      </w:pPr>
    </w:p>
    <w:p w:rsidR="0090564C" w:rsidRPr="00026D3E" w:rsidRDefault="0090564C" w:rsidP="00794F84">
      <w:pPr>
        <w:spacing w:line="360" w:lineRule="auto"/>
        <w:jc w:val="both"/>
        <w:rPr>
          <w:rFonts w:ascii="Times New Roman" w:hAnsi="Times New Roman" w:cs="Times New Roman"/>
          <w:b/>
          <w:sz w:val="24"/>
          <w:szCs w:val="24"/>
        </w:rPr>
      </w:pPr>
    </w:p>
    <w:p w:rsidR="0090564C" w:rsidRDefault="0090564C" w:rsidP="00794F84">
      <w:pPr>
        <w:spacing w:line="360" w:lineRule="auto"/>
        <w:jc w:val="both"/>
        <w:rPr>
          <w:rFonts w:ascii="Times New Roman" w:hAnsi="Times New Roman" w:cs="Times New Roman"/>
          <w:sz w:val="24"/>
          <w:szCs w:val="24"/>
        </w:rPr>
      </w:pPr>
    </w:p>
    <w:p w:rsidR="003371B4" w:rsidRDefault="003371B4" w:rsidP="00794F84">
      <w:pPr>
        <w:spacing w:line="360" w:lineRule="auto"/>
        <w:jc w:val="both"/>
        <w:rPr>
          <w:rFonts w:ascii="Times New Roman" w:hAnsi="Times New Roman" w:cs="Times New Roman"/>
          <w:sz w:val="24"/>
          <w:szCs w:val="24"/>
        </w:rPr>
      </w:pPr>
    </w:p>
    <w:p w:rsidR="003371B4" w:rsidRDefault="003371B4" w:rsidP="00794F84">
      <w:pPr>
        <w:spacing w:line="360" w:lineRule="auto"/>
        <w:jc w:val="both"/>
        <w:rPr>
          <w:rFonts w:ascii="Times New Roman" w:hAnsi="Times New Roman" w:cs="Times New Roman"/>
          <w:sz w:val="24"/>
          <w:szCs w:val="24"/>
        </w:rPr>
      </w:pPr>
    </w:p>
    <w:p w:rsidR="003371B4" w:rsidRDefault="003371B4" w:rsidP="00794F84">
      <w:pPr>
        <w:spacing w:line="360" w:lineRule="auto"/>
        <w:jc w:val="both"/>
        <w:rPr>
          <w:rFonts w:ascii="Times New Roman" w:hAnsi="Times New Roman" w:cs="Times New Roman"/>
          <w:sz w:val="24"/>
          <w:szCs w:val="24"/>
        </w:rPr>
      </w:pPr>
    </w:p>
    <w:p w:rsidR="003371B4" w:rsidRDefault="003371B4" w:rsidP="00794F84">
      <w:pPr>
        <w:spacing w:line="360" w:lineRule="auto"/>
        <w:jc w:val="both"/>
        <w:rPr>
          <w:rFonts w:ascii="Times New Roman" w:hAnsi="Times New Roman" w:cs="Times New Roman"/>
          <w:sz w:val="24"/>
          <w:szCs w:val="24"/>
        </w:rPr>
      </w:pPr>
    </w:p>
    <w:p w:rsidR="003371B4" w:rsidRDefault="003371B4" w:rsidP="00794F84">
      <w:pPr>
        <w:spacing w:line="360" w:lineRule="auto"/>
        <w:jc w:val="both"/>
        <w:rPr>
          <w:rFonts w:ascii="Times New Roman" w:hAnsi="Times New Roman" w:cs="Times New Roman"/>
          <w:sz w:val="24"/>
          <w:szCs w:val="24"/>
        </w:rPr>
      </w:pPr>
    </w:p>
    <w:p w:rsidR="003371B4" w:rsidRDefault="003371B4" w:rsidP="00794F84">
      <w:pPr>
        <w:spacing w:line="360" w:lineRule="auto"/>
        <w:jc w:val="both"/>
        <w:rPr>
          <w:rFonts w:ascii="Times New Roman" w:hAnsi="Times New Roman" w:cs="Times New Roman"/>
          <w:sz w:val="24"/>
          <w:szCs w:val="24"/>
        </w:rPr>
      </w:pPr>
    </w:p>
    <w:p w:rsidR="003371B4" w:rsidRDefault="003371B4" w:rsidP="00794F84">
      <w:pPr>
        <w:spacing w:line="360" w:lineRule="auto"/>
        <w:jc w:val="both"/>
        <w:rPr>
          <w:rFonts w:ascii="Times New Roman" w:hAnsi="Times New Roman" w:cs="Times New Roman"/>
          <w:sz w:val="24"/>
          <w:szCs w:val="24"/>
        </w:rPr>
      </w:pPr>
    </w:p>
    <w:p w:rsidR="003371B4" w:rsidRDefault="003371B4" w:rsidP="00794F84">
      <w:pPr>
        <w:spacing w:line="360" w:lineRule="auto"/>
        <w:jc w:val="both"/>
        <w:rPr>
          <w:rFonts w:ascii="Times New Roman" w:hAnsi="Times New Roman" w:cs="Times New Roman"/>
          <w:sz w:val="24"/>
          <w:szCs w:val="24"/>
        </w:rPr>
      </w:pPr>
    </w:p>
    <w:p w:rsidR="003371B4" w:rsidRDefault="003371B4" w:rsidP="00794F84">
      <w:pPr>
        <w:spacing w:line="360" w:lineRule="auto"/>
        <w:jc w:val="both"/>
        <w:rPr>
          <w:rFonts w:ascii="Times New Roman" w:hAnsi="Times New Roman" w:cs="Times New Roman"/>
          <w:sz w:val="24"/>
          <w:szCs w:val="24"/>
        </w:rPr>
      </w:pPr>
    </w:p>
    <w:p w:rsidR="003371B4" w:rsidRDefault="003371B4" w:rsidP="00794F84">
      <w:pPr>
        <w:spacing w:line="360" w:lineRule="auto"/>
        <w:jc w:val="both"/>
        <w:rPr>
          <w:rFonts w:ascii="Times New Roman" w:hAnsi="Times New Roman" w:cs="Times New Roman"/>
          <w:sz w:val="24"/>
          <w:szCs w:val="24"/>
        </w:rPr>
      </w:pPr>
    </w:p>
    <w:p w:rsidR="003371B4" w:rsidRPr="00026D3E" w:rsidRDefault="003371B4" w:rsidP="00794F84">
      <w:pPr>
        <w:spacing w:line="360" w:lineRule="auto"/>
        <w:jc w:val="both"/>
        <w:rPr>
          <w:rFonts w:ascii="Times New Roman" w:hAnsi="Times New Roman" w:cs="Times New Roman"/>
          <w:sz w:val="24"/>
          <w:szCs w:val="24"/>
        </w:rPr>
      </w:pPr>
    </w:p>
    <w:sectPr w:rsidR="003371B4" w:rsidRPr="00026D3E" w:rsidSect="00E720C4">
      <w:footerReference w:type="default" r:id="rId18"/>
      <w:pgSz w:w="11906" w:h="16838"/>
      <w:pgMar w:top="1418" w:right="1134" w:bottom="1418"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1202" w:rsidRDefault="00101202" w:rsidP="008B486B">
      <w:pPr>
        <w:spacing w:after="0" w:line="240" w:lineRule="auto"/>
      </w:pPr>
      <w:r>
        <w:separator/>
      </w:r>
    </w:p>
  </w:endnote>
  <w:endnote w:type="continuationSeparator" w:id="1">
    <w:p w:rsidR="00101202" w:rsidRDefault="00101202" w:rsidP="008B48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de">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7278050"/>
      <w:docPartObj>
        <w:docPartGallery w:val="Page Numbers (Bottom of Page)"/>
        <w:docPartUnique/>
      </w:docPartObj>
    </w:sdtPr>
    <w:sdtContent>
      <w:p w:rsidR="00DE7EAA" w:rsidRDefault="00DE7EAA">
        <w:pPr>
          <w:pStyle w:val="Zpat"/>
          <w:jc w:val="right"/>
        </w:pPr>
        <w:fldSimple w:instr=" PAGE   \* MERGEFORMAT ">
          <w:r w:rsidR="00BB49E2">
            <w:rPr>
              <w:noProof/>
            </w:rPr>
            <w:t>7</w:t>
          </w:r>
        </w:fldSimple>
      </w:p>
    </w:sdtContent>
  </w:sdt>
  <w:p w:rsidR="00DE7EAA" w:rsidRDefault="00DE7EA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1202" w:rsidRDefault="00101202" w:rsidP="008B486B">
      <w:pPr>
        <w:spacing w:after="0" w:line="240" w:lineRule="auto"/>
      </w:pPr>
      <w:r>
        <w:separator/>
      </w:r>
    </w:p>
  </w:footnote>
  <w:footnote w:type="continuationSeparator" w:id="1">
    <w:p w:rsidR="00101202" w:rsidRDefault="00101202" w:rsidP="008B486B">
      <w:pPr>
        <w:spacing w:after="0" w:line="240" w:lineRule="auto"/>
      </w:pPr>
      <w:r>
        <w:continuationSeparator/>
      </w:r>
    </w:p>
  </w:footnote>
  <w:footnote w:id="2">
    <w:p w:rsidR="00DE7EAA" w:rsidRPr="0090212F" w:rsidRDefault="00DE7EAA" w:rsidP="0090212F">
      <w:pPr>
        <w:jc w:val="both"/>
        <w:rPr>
          <w:rFonts w:ascii="Times New Roman" w:hAnsi="Times New Roman" w:cs="Times New Roman"/>
          <w:sz w:val="20"/>
          <w:szCs w:val="20"/>
        </w:rPr>
      </w:pPr>
      <w:r w:rsidRPr="0090212F">
        <w:rPr>
          <w:rStyle w:val="Znakapoznpodarou"/>
          <w:rFonts w:ascii="Times New Roman" w:hAnsi="Times New Roman" w:cs="Times New Roman"/>
          <w:sz w:val="20"/>
          <w:szCs w:val="20"/>
        </w:rPr>
        <w:footnoteRef/>
      </w:r>
      <w:r w:rsidRPr="0090212F">
        <w:rPr>
          <w:rFonts w:ascii="Times New Roman" w:hAnsi="Times New Roman" w:cs="Times New Roman"/>
          <w:sz w:val="20"/>
          <w:szCs w:val="20"/>
        </w:rPr>
        <w:t xml:space="preserve"> Hirschfeld 1986</w:t>
      </w:r>
    </w:p>
  </w:footnote>
  <w:footnote w:id="3">
    <w:p w:rsidR="00DE7EAA" w:rsidRPr="0090212F" w:rsidRDefault="00DE7EAA" w:rsidP="0090212F">
      <w:pPr>
        <w:pStyle w:val="Textpoznpodarou"/>
        <w:jc w:val="both"/>
        <w:rPr>
          <w:rFonts w:ascii="Times New Roman" w:hAnsi="Times New Roman" w:cs="Times New Roman"/>
        </w:rPr>
      </w:pPr>
      <w:r w:rsidRPr="0090212F">
        <w:rPr>
          <w:rStyle w:val="Znakapoznpodarou"/>
          <w:rFonts w:ascii="Times New Roman" w:hAnsi="Times New Roman" w:cs="Times New Roman"/>
        </w:rPr>
        <w:footnoteRef/>
      </w:r>
      <w:r w:rsidRPr="0090212F">
        <w:rPr>
          <w:rFonts w:ascii="Times New Roman" w:hAnsi="Times New Roman" w:cs="Times New Roman"/>
        </w:rPr>
        <w:t xml:space="preserve"> Byman 2006</w:t>
      </w:r>
    </w:p>
  </w:footnote>
  <w:footnote w:id="4">
    <w:p w:rsidR="00DE7EAA" w:rsidRPr="0090212F" w:rsidRDefault="00DE7EAA" w:rsidP="0090212F">
      <w:pPr>
        <w:spacing w:line="360" w:lineRule="auto"/>
        <w:jc w:val="both"/>
        <w:rPr>
          <w:rFonts w:ascii="Times New Roman" w:hAnsi="Times New Roman" w:cs="Times New Roman"/>
          <w:sz w:val="20"/>
          <w:szCs w:val="20"/>
        </w:rPr>
      </w:pPr>
      <w:r w:rsidRPr="0090212F">
        <w:rPr>
          <w:rStyle w:val="Znakapoznpodarou"/>
          <w:rFonts w:ascii="Times New Roman" w:hAnsi="Times New Roman" w:cs="Times New Roman"/>
          <w:sz w:val="20"/>
          <w:szCs w:val="20"/>
        </w:rPr>
        <w:footnoteRef/>
      </w:r>
      <w:r w:rsidRPr="0090212F">
        <w:rPr>
          <w:rFonts w:ascii="Times New Roman" w:hAnsi="Times New Roman" w:cs="Times New Roman"/>
          <w:sz w:val="20"/>
          <w:szCs w:val="20"/>
        </w:rPr>
        <w:t xml:space="preserve"> Jedná se o rozložení moci, rovnováha či equilibrium sil, hegemonie či nerovnost, stabilita a mír, nestabilita a válka, mocenská politika obecně, univerzální zákon historie, a průvodce k politice. (Haas, Ernst B. 1953. „The Balance of Power: Prescription, Concept, or Propaganda“, </w:t>
      </w:r>
      <w:r w:rsidRPr="0090212F">
        <w:rPr>
          <w:rFonts w:ascii="Times New Roman" w:hAnsi="Times New Roman" w:cs="Times New Roman"/>
          <w:i/>
          <w:sz w:val="20"/>
          <w:szCs w:val="20"/>
        </w:rPr>
        <w:t>World Politics</w:t>
      </w:r>
      <w:r w:rsidRPr="0090212F">
        <w:rPr>
          <w:rFonts w:ascii="Times New Roman" w:hAnsi="Times New Roman" w:cs="Times New Roman"/>
          <w:sz w:val="20"/>
          <w:szCs w:val="20"/>
        </w:rPr>
        <w:t xml:space="preserve"> 5 (4): 442-77.)</w:t>
      </w:r>
    </w:p>
    <w:p w:rsidR="00DE7EAA" w:rsidRPr="0090212F" w:rsidRDefault="00DE7EAA" w:rsidP="0090212F">
      <w:pPr>
        <w:pStyle w:val="Textpoznpodarou"/>
        <w:spacing w:line="360" w:lineRule="auto"/>
        <w:jc w:val="both"/>
        <w:rPr>
          <w:rFonts w:ascii="Times New Roman" w:hAnsi="Times New Roman" w:cs="Times New Roman"/>
        </w:rPr>
      </w:pPr>
    </w:p>
  </w:footnote>
  <w:footnote w:id="5">
    <w:p w:rsidR="00DE7EAA" w:rsidRPr="0090212F" w:rsidRDefault="00DE7EAA" w:rsidP="0090212F">
      <w:pPr>
        <w:pStyle w:val="Textpoznpodarou"/>
        <w:spacing w:line="360" w:lineRule="auto"/>
        <w:jc w:val="both"/>
        <w:rPr>
          <w:rFonts w:ascii="Times New Roman" w:hAnsi="Times New Roman" w:cs="Times New Roman"/>
        </w:rPr>
      </w:pPr>
      <w:r w:rsidRPr="0090212F">
        <w:rPr>
          <w:rStyle w:val="Znakapoznpodarou"/>
          <w:rFonts w:ascii="Times New Roman" w:hAnsi="Times New Roman" w:cs="Times New Roman"/>
        </w:rPr>
        <w:footnoteRef/>
      </w:r>
      <w:r w:rsidRPr="0090212F">
        <w:rPr>
          <w:rFonts w:ascii="Times New Roman" w:hAnsi="Times New Roman" w:cs="Times New Roman"/>
        </w:rPr>
        <w:t xml:space="preserve"> V českém jazyce byl ponechán původní výraz.</w:t>
      </w:r>
    </w:p>
  </w:footnote>
  <w:footnote w:id="6">
    <w:p w:rsidR="00DE7EAA" w:rsidRPr="0090212F" w:rsidRDefault="00DE7EAA" w:rsidP="0090212F">
      <w:pPr>
        <w:pStyle w:val="Textpoznpodarou"/>
        <w:spacing w:line="360" w:lineRule="auto"/>
        <w:jc w:val="both"/>
        <w:rPr>
          <w:rFonts w:ascii="Times New Roman" w:hAnsi="Times New Roman" w:cs="Times New Roman"/>
        </w:rPr>
      </w:pPr>
      <w:r w:rsidRPr="0090212F">
        <w:rPr>
          <w:rStyle w:val="Znakapoznpodarou"/>
          <w:rFonts w:ascii="Times New Roman" w:hAnsi="Times New Roman" w:cs="Times New Roman"/>
        </w:rPr>
        <w:footnoteRef/>
      </w:r>
      <w:r w:rsidRPr="0090212F">
        <w:rPr>
          <w:rFonts w:ascii="Times New Roman" w:hAnsi="Times New Roman" w:cs="Times New Roman"/>
        </w:rPr>
        <w:t xml:space="preserve"> Do českého jazyka se v literatuře zavedly dva překlady, rovnováhu hrozeb používá například  Drulák 2003 či Kratochvíl 2007, vyvažování hrozeb upřednostňuje Pšeja 2005. Autor bude v textu pracovat s termínem rovnováha hrozeb.</w:t>
      </w:r>
    </w:p>
  </w:footnote>
  <w:footnote w:id="7">
    <w:p w:rsidR="00DE7EAA" w:rsidRPr="0090212F" w:rsidRDefault="00DE7EAA" w:rsidP="0090212F">
      <w:pPr>
        <w:pStyle w:val="Textpoznpodarou"/>
        <w:spacing w:line="360" w:lineRule="auto"/>
        <w:jc w:val="both"/>
        <w:rPr>
          <w:rFonts w:ascii="Times New Roman" w:hAnsi="Times New Roman" w:cs="Times New Roman"/>
        </w:rPr>
      </w:pPr>
      <w:r w:rsidRPr="0090212F">
        <w:rPr>
          <w:rStyle w:val="Znakapoznpodarou"/>
          <w:rFonts w:ascii="Times New Roman" w:hAnsi="Times New Roman" w:cs="Times New Roman"/>
        </w:rPr>
        <w:footnoteRef/>
      </w:r>
      <w:r w:rsidRPr="0090212F">
        <w:rPr>
          <w:rFonts w:ascii="Times New Roman" w:hAnsi="Times New Roman" w:cs="Times New Roman"/>
        </w:rPr>
        <w:t xml:space="preserve"> „States facing an external threat will align others to oppose the states posing the threat.“ (Walt 1987: 32)</w:t>
      </w:r>
    </w:p>
  </w:footnote>
  <w:footnote w:id="8">
    <w:p w:rsidR="00DE7EAA" w:rsidRPr="0090212F" w:rsidRDefault="00DE7EAA" w:rsidP="0090212F">
      <w:pPr>
        <w:shd w:val="clear" w:color="auto" w:fill="FFFFFF"/>
        <w:spacing w:after="150" w:line="360" w:lineRule="auto"/>
        <w:jc w:val="both"/>
        <w:outlineLvl w:val="0"/>
        <w:rPr>
          <w:rFonts w:ascii="Times New Roman" w:hAnsi="Times New Roman" w:cs="Times New Roman"/>
          <w:color w:val="000000"/>
          <w:sz w:val="20"/>
          <w:szCs w:val="20"/>
          <w:shd w:val="clear" w:color="auto" w:fill="FFFFFF"/>
        </w:rPr>
      </w:pPr>
      <w:r w:rsidRPr="0090212F">
        <w:rPr>
          <w:rStyle w:val="Znakapoznpodarou"/>
          <w:rFonts w:ascii="Times New Roman" w:hAnsi="Times New Roman" w:cs="Times New Roman"/>
          <w:sz w:val="20"/>
          <w:szCs w:val="20"/>
        </w:rPr>
        <w:footnoteRef/>
      </w:r>
      <w:r w:rsidRPr="0090212F">
        <w:rPr>
          <w:rFonts w:ascii="Times New Roman" w:hAnsi="Times New Roman" w:cs="Times New Roman"/>
          <w:sz w:val="20"/>
          <w:szCs w:val="20"/>
        </w:rPr>
        <w:t xml:space="preserve"> Stephen Walt interview. 2010.  „</w:t>
      </w:r>
      <w:r w:rsidRPr="0090212F">
        <w:rPr>
          <w:rFonts w:ascii="Times New Roman" w:hAnsi="Times New Roman" w:cs="Times New Roman"/>
          <w:i/>
          <w:sz w:val="20"/>
          <w:szCs w:val="20"/>
        </w:rPr>
        <w:t>Yale Journal of International Affairs</w:t>
      </w:r>
      <w:r w:rsidRPr="0090212F">
        <w:rPr>
          <w:rFonts w:ascii="Times New Roman" w:hAnsi="Times New Roman" w:cs="Times New Roman"/>
          <w:sz w:val="20"/>
          <w:szCs w:val="20"/>
        </w:rPr>
        <w:t xml:space="preserve">.“ </w:t>
      </w:r>
      <w:r w:rsidRPr="0090212F">
        <w:rPr>
          <w:rFonts w:ascii="Times New Roman" w:hAnsi="Times New Roman" w:cs="Times New Roman"/>
          <w:color w:val="000000"/>
          <w:sz w:val="20"/>
          <w:szCs w:val="20"/>
          <w:shd w:val="clear" w:color="auto" w:fill="FFFFFF"/>
        </w:rPr>
        <w:t xml:space="preserve">5 (2) Spotlight on Security. Dostupné z: </w:t>
      </w:r>
      <w:hyperlink r:id="rId1" w:history="1">
        <w:r w:rsidRPr="0090212F">
          <w:rPr>
            <w:rStyle w:val="Hypertextovodkaz"/>
            <w:rFonts w:ascii="Times New Roman" w:hAnsi="Times New Roman" w:cs="Times New Roman"/>
            <w:color w:val="auto"/>
            <w:sz w:val="20"/>
            <w:szCs w:val="20"/>
            <w:u w:val="none"/>
            <w:shd w:val="clear" w:color="auto" w:fill="FFFFFF"/>
          </w:rPr>
          <w:t>http://yalejournal.org/2010/07/balancing-threat-the-united-states-and-the-middle-east/</w:t>
        </w:r>
      </w:hyperlink>
      <w:r w:rsidRPr="0090212F">
        <w:rPr>
          <w:rFonts w:ascii="Times New Roman" w:hAnsi="Times New Roman" w:cs="Times New Roman"/>
          <w:color w:val="000000"/>
          <w:sz w:val="20"/>
          <w:szCs w:val="20"/>
          <w:shd w:val="clear" w:color="auto" w:fill="FFFFFF"/>
        </w:rPr>
        <w:t xml:space="preserve">  (27.11.2012)</w:t>
      </w:r>
    </w:p>
    <w:p w:rsidR="00DE7EAA" w:rsidRPr="0090212F" w:rsidRDefault="00DE7EAA" w:rsidP="0090212F">
      <w:pPr>
        <w:pStyle w:val="Textpoznpodarou"/>
        <w:spacing w:line="360" w:lineRule="auto"/>
        <w:jc w:val="both"/>
        <w:rPr>
          <w:rFonts w:ascii="Times New Roman" w:hAnsi="Times New Roman" w:cs="Times New Roman"/>
        </w:rPr>
      </w:pPr>
    </w:p>
  </w:footnote>
  <w:footnote w:id="9">
    <w:p w:rsidR="00DE7EAA" w:rsidRPr="0090212F" w:rsidRDefault="00DE7EAA" w:rsidP="0090212F">
      <w:pPr>
        <w:pStyle w:val="Textpoznpodarou"/>
        <w:jc w:val="both"/>
        <w:rPr>
          <w:rFonts w:ascii="Times New Roman" w:hAnsi="Times New Roman" w:cs="Times New Roman"/>
        </w:rPr>
      </w:pPr>
      <w:r w:rsidRPr="0090212F">
        <w:rPr>
          <w:rStyle w:val="Znakapoznpodarou"/>
          <w:rFonts w:ascii="Times New Roman" w:hAnsi="Times New Roman" w:cs="Times New Roman"/>
        </w:rPr>
        <w:footnoteRef/>
      </w:r>
      <w:r w:rsidRPr="0090212F">
        <w:rPr>
          <w:rFonts w:ascii="Times New Roman" w:hAnsi="Times New Roman" w:cs="Times New Roman"/>
        </w:rPr>
        <w:t xml:space="preserve"> V Sýrii a Iráku byla u moci strana Baas. </w:t>
      </w:r>
    </w:p>
  </w:footnote>
  <w:footnote w:id="10">
    <w:p w:rsidR="00DE7EAA" w:rsidRPr="0090212F" w:rsidRDefault="00DE7EAA" w:rsidP="0090212F">
      <w:pPr>
        <w:spacing w:line="360" w:lineRule="auto"/>
        <w:jc w:val="both"/>
        <w:rPr>
          <w:rFonts w:ascii="Times New Roman" w:hAnsi="Times New Roman" w:cs="Times New Roman"/>
          <w:sz w:val="20"/>
          <w:szCs w:val="20"/>
        </w:rPr>
      </w:pPr>
      <w:r w:rsidRPr="0090212F">
        <w:rPr>
          <w:rStyle w:val="Znakapoznpodarou"/>
          <w:rFonts w:ascii="Times New Roman" w:hAnsi="Times New Roman" w:cs="Times New Roman"/>
          <w:sz w:val="20"/>
          <w:szCs w:val="20"/>
        </w:rPr>
        <w:footnoteRef/>
      </w:r>
      <w:r w:rsidRPr="0090212F">
        <w:rPr>
          <w:rFonts w:ascii="Times New Roman" w:hAnsi="Times New Roman" w:cs="Times New Roman"/>
          <w:sz w:val="20"/>
          <w:szCs w:val="20"/>
        </w:rPr>
        <w:t xml:space="preserve"> Viz kapitola 4.2 Problémové aspekty Irácko – íránských vztahů.</w:t>
      </w:r>
    </w:p>
    <w:p w:rsidR="00DE7EAA" w:rsidRPr="0090212F" w:rsidRDefault="00DE7EAA" w:rsidP="0090212F">
      <w:pPr>
        <w:pStyle w:val="Textpoznpodarou"/>
        <w:spacing w:line="360" w:lineRule="auto"/>
        <w:jc w:val="both"/>
        <w:rPr>
          <w:rFonts w:ascii="Times New Roman" w:hAnsi="Times New Roman" w:cs="Times New Roman"/>
        </w:rPr>
      </w:pPr>
    </w:p>
  </w:footnote>
  <w:footnote w:id="11">
    <w:p w:rsidR="00DE7EAA" w:rsidRPr="0090212F" w:rsidRDefault="00DE7EAA" w:rsidP="0090212F">
      <w:pPr>
        <w:pStyle w:val="Textpoznpodarou"/>
        <w:spacing w:line="360" w:lineRule="auto"/>
        <w:jc w:val="both"/>
        <w:rPr>
          <w:rFonts w:ascii="Times New Roman" w:hAnsi="Times New Roman" w:cs="Times New Roman"/>
        </w:rPr>
      </w:pPr>
      <w:r w:rsidRPr="0090212F">
        <w:rPr>
          <w:rStyle w:val="Znakapoznpodarou"/>
          <w:rFonts w:ascii="Times New Roman" w:hAnsi="Times New Roman" w:cs="Times New Roman"/>
        </w:rPr>
        <w:footnoteRef/>
      </w:r>
      <w:r w:rsidRPr="0090212F">
        <w:rPr>
          <w:rFonts w:ascii="Times New Roman" w:hAnsi="Times New Roman" w:cs="Times New Roman"/>
        </w:rPr>
        <w:t xml:space="preserve"> Zvláštní pozornost spolupráci Sýrie a Íránu v libanonské občanské válce věnuje Ehteshami a Hinnebusch (Ehteshami, Hinnebusch 1997: 116-156)</w:t>
      </w:r>
    </w:p>
  </w:footnote>
  <w:footnote w:id="12">
    <w:p w:rsidR="00DE7EAA" w:rsidRPr="0090212F" w:rsidRDefault="00DE7EAA" w:rsidP="0090212F">
      <w:pPr>
        <w:pStyle w:val="Textpoznpodarou"/>
        <w:spacing w:line="360" w:lineRule="auto"/>
        <w:jc w:val="both"/>
        <w:rPr>
          <w:rFonts w:ascii="Times New Roman" w:hAnsi="Times New Roman" w:cs="Times New Roman"/>
        </w:rPr>
      </w:pPr>
      <w:r w:rsidRPr="0090212F">
        <w:rPr>
          <w:rStyle w:val="Znakapoznpodarou"/>
          <w:rFonts w:ascii="Times New Roman" w:hAnsi="Times New Roman" w:cs="Times New Roman"/>
        </w:rPr>
        <w:footnoteRef/>
      </w:r>
      <w:r w:rsidRPr="0090212F">
        <w:rPr>
          <w:rFonts w:ascii="Times New Roman" w:hAnsi="Times New Roman" w:cs="Times New Roman"/>
        </w:rPr>
        <w:t xml:space="preserve">  Metodu kalkulace a přehled jednotlivých hodnot ukazatelů lze nalézt v Tabulkách č.1,2 a 3 v Přílohách</w:t>
      </w:r>
    </w:p>
  </w:footnote>
  <w:footnote w:id="13">
    <w:p w:rsidR="00DE7EAA" w:rsidRPr="0090212F" w:rsidRDefault="00DE7EAA" w:rsidP="0090212F">
      <w:pPr>
        <w:pStyle w:val="Textpoznpodarou"/>
        <w:spacing w:line="360" w:lineRule="auto"/>
        <w:jc w:val="both"/>
        <w:rPr>
          <w:rFonts w:ascii="Times New Roman" w:hAnsi="Times New Roman" w:cs="Times New Roman"/>
        </w:rPr>
      </w:pPr>
      <w:r w:rsidRPr="0090212F">
        <w:rPr>
          <w:rStyle w:val="Znakapoznpodarou"/>
          <w:rFonts w:ascii="Times New Roman" w:hAnsi="Times New Roman" w:cs="Times New Roman"/>
        </w:rPr>
        <w:footnoteRef/>
      </w:r>
      <w:r w:rsidRPr="0090212F">
        <w:rPr>
          <w:rFonts w:ascii="Times New Roman" w:hAnsi="Times New Roman" w:cs="Times New Roman"/>
        </w:rPr>
        <w:t xml:space="preserve"> Viz. Tabulka č.3 v Přílohách</w:t>
      </w:r>
    </w:p>
  </w:footnote>
  <w:footnote w:id="14">
    <w:p w:rsidR="00DE7EAA" w:rsidRPr="0090212F" w:rsidRDefault="00DE7EAA" w:rsidP="0090212F">
      <w:pPr>
        <w:pStyle w:val="Textpoznpodarou"/>
        <w:spacing w:line="360" w:lineRule="auto"/>
        <w:jc w:val="both"/>
        <w:rPr>
          <w:rFonts w:ascii="Times New Roman" w:hAnsi="Times New Roman" w:cs="Times New Roman"/>
        </w:rPr>
      </w:pPr>
      <w:r w:rsidRPr="0090212F">
        <w:rPr>
          <w:rStyle w:val="Znakapoznpodarou"/>
          <w:rFonts w:ascii="Times New Roman" w:hAnsi="Times New Roman" w:cs="Times New Roman"/>
        </w:rPr>
        <w:footnoteRef/>
      </w:r>
      <w:r w:rsidRPr="0090212F">
        <w:rPr>
          <w:rFonts w:ascii="Times New Roman" w:hAnsi="Times New Roman" w:cs="Times New Roman"/>
        </w:rPr>
        <w:t xml:space="preserve"> Autor se nesnaží vyloučit existenci dalších faktorů, které by mohly mít vliv na politiku mezi jednotlivými státy, vodním a ropným zdrojům však přikládá klíčovou roli, neboť je obecně známým faktem, že politika státu Blízkého východu je definována z velké části bohatými zásobami ropy či naopak nedostatkem vody.</w:t>
      </w:r>
    </w:p>
  </w:footnote>
  <w:footnote w:id="15">
    <w:p w:rsidR="00DE7EAA" w:rsidRPr="0090212F" w:rsidRDefault="00DE7EAA" w:rsidP="0090212F">
      <w:pPr>
        <w:pStyle w:val="Textpoznpodarou"/>
        <w:spacing w:line="360" w:lineRule="auto"/>
        <w:jc w:val="both"/>
        <w:rPr>
          <w:rFonts w:ascii="Times New Roman" w:hAnsi="Times New Roman" w:cs="Times New Roman"/>
        </w:rPr>
      </w:pPr>
      <w:r w:rsidRPr="0090212F">
        <w:rPr>
          <w:rStyle w:val="Znakapoznpodarou"/>
          <w:rFonts w:ascii="Times New Roman" w:hAnsi="Times New Roman" w:cs="Times New Roman"/>
        </w:rPr>
        <w:footnoteRef/>
      </w:r>
      <w:r w:rsidRPr="0090212F">
        <w:rPr>
          <w:rFonts w:ascii="Times New Roman" w:hAnsi="Times New Roman" w:cs="Times New Roman"/>
        </w:rPr>
        <w:t xml:space="preserve"> Překlad autora. V originále </w:t>
      </w:r>
      <w:r w:rsidRPr="0090212F">
        <w:rPr>
          <w:rFonts w:ascii="Times New Roman" w:hAnsi="Times New Roman" w:cs="Times New Roman"/>
          <w:i/>
        </w:rPr>
        <w:t>positional disputes</w:t>
      </w:r>
      <w:r w:rsidRPr="0090212F">
        <w:rPr>
          <w:rFonts w:ascii="Times New Roman" w:hAnsi="Times New Roman" w:cs="Times New Roman"/>
        </w:rPr>
        <w:t>,</w:t>
      </w:r>
      <w:r w:rsidRPr="0090212F">
        <w:rPr>
          <w:rFonts w:ascii="Times New Roman" w:hAnsi="Times New Roman" w:cs="Times New Roman"/>
          <w:i/>
        </w:rPr>
        <w:t xml:space="preserve"> territorial disputes</w:t>
      </w:r>
      <w:r w:rsidRPr="0090212F">
        <w:rPr>
          <w:rFonts w:ascii="Times New Roman" w:hAnsi="Times New Roman" w:cs="Times New Roman"/>
        </w:rPr>
        <w:t>,</w:t>
      </w:r>
      <w:r w:rsidRPr="0090212F">
        <w:rPr>
          <w:rFonts w:ascii="Times New Roman" w:hAnsi="Times New Roman" w:cs="Times New Roman"/>
          <w:i/>
        </w:rPr>
        <w:t xml:space="preserve"> functional disputes </w:t>
      </w:r>
      <w:r w:rsidRPr="0090212F">
        <w:rPr>
          <w:rFonts w:ascii="Times New Roman" w:hAnsi="Times New Roman" w:cs="Times New Roman"/>
        </w:rPr>
        <w:t>a</w:t>
      </w:r>
      <w:r w:rsidRPr="0090212F">
        <w:rPr>
          <w:rFonts w:ascii="Times New Roman" w:hAnsi="Times New Roman" w:cs="Times New Roman"/>
          <w:i/>
        </w:rPr>
        <w:t xml:space="preserve"> transboundary disputes.</w:t>
      </w:r>
    </w:p>
  </w:footnote>
  <w:footnote w:id="16">
    <w:p w:rsidR="00DE7EAA" w:rsidRPr="0090212F" w:rsidRDefault="00DE7EAA" w:rsidP="0090212F">
      <w:pPr>
        <w:pStyle w:val="Textpoznpodarou"/>
        <w:spacing w:line="360" w:lineRule="auto"/>
        <w:jc w:val="both"/>
        <w:rPr>
          <w:rFonts w:ascii="Times New Roman" w:hAnsi="Times New Roman" w:cs="Times New Roman"/>
        </w:rPr>
      </w:pPr>
      <w:r w:rsidRPr="0090212F">
        <w:rPr>
          <w:rStyle w:val="Znakapoznpodarou"/>
          <w:rFonts w:ascii="Times New Roman" w:hAnsi="Times New Roman" w:cs="Times New Roman"/>
        </w:rPr>
        <w:footnoteRef/>
      </w:r>
      <w:r w:rsidRPr="0090212F">
        <w:rPr>
          <w:rFonts w:ascii="Times New Roman" w:hAnsi="Times New Roman" w:cs="Times New Roman"/>
        </w:rPr>
        <w:t xml:space="preserve"> V dnešní době je toto téma stále aktuálnější například v souvislosti s vysokým růstem obyvatelstva a v důsledku vyšší poptávky po pitné vodě, kterou však lokální zásoby nejsou schopny uspokojit. </w:t>
      </w:r>
    </w:p>
  </w:footnote>
  <w:footnote w:id="17">
    <w:p w:rsidR="00DE7EAA" w:rsidRPr="0090212F" w:rsidRDefault="00DE7EAA" w:rsidP="0090212F">
      <w:pPr>
        <w:pStyle w:val="Textpoznpodarou"/>
        <w:spacing w:line="360" w:lineRule="auto"/>
        <w:jc w:val="both"/>
        <w:rPr>
          <w:rFonts w:ascii="Times New Roman" w:hAnsi="Times New Roman" w:cs="Times New Roman"/>
        </w:rPr>
      </w:pPr>
      <w:r w:rsidRPr="0090212F">
        <w:rPr>
          <w:rStyle w:val="Znakapoznpodarou"/>
          <w:rFonts w:ascii="Times New Roman" w:hAnsi="Times New Roman" w:cs="Times New Roman"/>
        </w:rPr>
        <w:footnoteRef/>
      </w:r>
      <w:r w:rsidRPr="0090212F">
        <w:rPr>
          <w:rFonts w:ascii="Times New Roman" w:hAnsi="Times New Roman" w:cs="Times New Roman"/>
        </w:rPr>
        <w:t xml:space="preserve"> Goodarzi 2006, Ehteshami, Hinnebusch 1997, Seale 1988</w:t>
      </w:r>
    </w:p>
  </w:footnote>
  <w:footnote w:id="18">
    <w:p w:rsidR="00DE7EAA" w:rsidRPr="0090212F" w:rsidRDefault="00DE7EAA" w:rsidP="0090212F">
      <w:pPr>
        <w:pStyle w:val="Textpoznpodarou"/>
        <w:spacing w:line="360" w:lineRule="auto"/>
        <w:jc w:val="both"/>
        <w:rPr>
          <w:rFonts w:ascii="Times New Roman" w:hAnsi="Times New Roman" w:cs="Times New Roman"/>
        </w:rPr>
      </w:pPr>
      <w:r w:rsidRPr="0090212F">
        <w:rPr>
          <w:rStyle w:val="Znakapoznpodarou"/>
          <w:rFonts w:ascii="Times New Roman" w:hAnsi="Times New Roman" w:cs="Times New Roman"/>
        </w:rPr>
        <w:footnoteRef/>
      </w:r>
      <w:r w:rsidRPr="0090212F">
        <w:rPr>
          <w:rFonts w:ascii="Times New Roman" w:hAnsi="Times New Roman" w:cs="Times New Roman"/>
        </w:rPr>
        <w:t xml:space="preserve"> Datum, kdy Irák uznal Chomejního režim, se ovšem liší v Sluglettovi, který uvádí 12. února. Autor se přiklání k datu 13. února. Tato mírná odchylka nemá žádný vliv na tuto práci. </w:t>
      </w:r>
    </w:p>
  </w:footnote>
  <w:footnote w:id="19">
    <w:p w:rsidR="00DE7EAA" w:rsidRPr="0090212F" w:rsidRDefault="00DE7EAA" w:rsidP="0090212F">
      <w:pPr>
        <w:pStyle w:val="Textpoznpodarou"/>
        <w:spacing w:line="360" w:lineRule="auto"/>
        <w:jc w:val="both"/>
        <w:rPr>
          <w:rFonts w:ascii="Times New Roman" w:hAnsi="Times New Roman" w:cs="Times New Roman"/>
        </w:rPr>
      </w:pPr>
      <w:r w:rsidRPr="0090212F">
        <w:rPr>
          <w:rStyle w:val="Znakapoznpodarou"/>
          <w:rFonts w:ascii="Times New Roman" w:hAnsi="Times New Roman" w:cs="Times New Roman"/>
        </w:rPr>
        <w:footnoteRef/>
      </w:r>
      <w:r w:rsidRPr="0090212F">
        <w:rPr>
          <w:rFonts w:ascii="Times New Roman" w:hAnsi="Times New Roman" w:cs="Times New Roman"/>
        </w:rPr>
        <w:t xml:space="preserve"> Data jsou seřazena v Tabulce č.</w:t>
      </w:r>
      <w:r>
        <w:rPr>
          <w:rFonts w:ascii="Times New Roman" w:hAnsi="Times New Roman" w:cs="Times New Roman"/>
        </w:rPr>
        <w:t xml:space="preserve"> </w:t>
      </w:r>
      <w:r w:rsidRPr="0090212F">
        <w:rPr>
          <w:rFonts w:ascii="Times New Roman" w:hAnsi="Times New Roman" w:cs="Times New Roman"/>
        </w:rPr>
        <w:t>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63011"/>
    <w:multiLevelType w:val="hybridMultilevel"/>
    <w:tmpl w:val="1F44FA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FF702D"/>
    <w:multiLevelType w:val="hybridMultilevel"/>
    <w:tmpl w:val="E230DA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BA5644F"/>
    <w:multiLevelType w:val="multilevel"/>
    <w:tmpl w:val="F5822512"/>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C2C364A"/>
    <w:multiLevelType w:val="multilevel"/>
    <w:tmpl w:val="B4247534"/>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D6294A"/>
    <w:multiLevelType w:val="hybridMultilevel"/>
    <w:tmpl w:val="CB4A7E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A51E8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289011B"/>
    <w:multiLevelType w:val="multilevel"/>
    <w:tmpl w:val="14F6A38C"/>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AF51AA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D4D75E4"/>
    <w:multiLevelType w:val="multilevel"/>
    <w:tmpl w:val="B4247534"/>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8133990"/>
    <w:multiLevelType w:val="multilevel"/>
    <w:tmpl w:val="406A788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A9F6916"/>
    <w:multiLevelType w:val="multilevel"/>
    <w:tmpl w:val="B4247534"/>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53D4983"/>
    <w:multiLevelType w:val="multilevel"/>
    <w:tmpl w:val="27F0AEB4"/>
    <w:lvl w:ilvl="0">
      <w:start w:val="5"/>
      <w:numFmt w:val="decimal"/>
      <w:lvlText w:val="%1."/>
      <w:lvlJc w:val="left"/>
      <w:pPr>
        <w:ind w:left="360" w:hanging="360"/>
      </w:pPr>
      <w:rPr>
        <w:rFonts w:hint="default"/>
      </w:rPr>
    </w:lvl>
    <w:lvl w:ilv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5A506A39"/>
    <w:multiLevelType w:val="hybridMultilevel"/>
    <w:tmpl w:val="488EC3D2"/>
    <w:lvl w:ilvl="0" w:tplc="155819D0">
      <w:numFmt w:val="bullet"/>
      <w:lvlText w:val=""/>
      <w:lvlJc w:val="left"/>
      <w:pPr>
        <w:ind w:left="720" w:hanging="360"/>
      </w:pPr>
      <w:rPr>
        <w:rFonts w:ascii="Wingdings" w:eastAsiaTheme="minorEastAsia" w:hAnsi="Wingding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61F545B3"/>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25762F0"/>
    <w:multiLevelType w:val="multilevel"/>
    <w:tmpl w:val="ADD8D23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37422E5"/>
    <w:multiLevelType w:val="multilevel"/>
    <w:tmpl w:val="F5822512"/>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641125EF"/>
    <w:multiLevelType w:val="multilevel"/>
    <w:tmpl w:val="F5822512"/>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70CC1834"/>
    <w:multiLevelType w:val="multilevel"/>
    <w:tmpl w:val="B4247534"/>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7ED91F7F"/>
    <w:multiLevelType w:val="hybridMultilevel"/>
    <w:tmpl w:val="696489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BB7883"/>
    <w:multiLevelType w:val="hybridMultilevel"/>
    <w:tmpl w:val="DF1028AC"/>
    <w:lvl w:ilvl="0" w:tplc="F46A0AF6">
      <w:start w:val="1"/>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18"/>
  </w:num>
  <w:num w:numId="4">
    <w:abstractNumId w:val="1"/>
  </w:num>
  <w:num w:numId="5">
    <w:abstractNumId w:val="0"/>
  </w:num>
  <w:num w:numId="6">
    <w:abstractNumId w:val="4"/>
  </w:num>
  <w:num w:numId="7">
    <w:abstractNumId w:val="13"/>
  </w:num>
  <w:num w:numId="8">
    <w:abstractNumId w:val="2"/>
  </w:num>
  <w:num w:numId="9">
    <w:abstractNumId w:val="5"/>
  </w:num>
  <w:num w:numId="10">
    <w:abstractNumId w:val="15"/>
  </w:num>
  <w:num w:numId="11">
    <w:abstractNumId w:val="16"/>
  </w:num>
  <w:num w:numId="12">
    <w:abstractNumId w:val="3"/>
  </w:num>
  <w:num w:numId="13">
    <w:abstractNumId w:val="10"/>
  </w:num>
  <w:num w:numId="14">
    <w:abstractNumId w:val="14"/>
  </w:num>
  <w:num w:numId="15">
    <w:abstractNumId w:val="7"/>
  </w:num>
  <w:num w:numId="16">
    <w:abstractNumId w:val="8"/>
  </w:num>
  <w:num w:numId="17">
    <w:abstractNumId w:val="9"/>
  </w:num>
  <w:num w:numId="18">
    <w:abstractNumId w:val="17"/>
  </w:num>
  <w:num w:numId="19">
    <w:abstractNumId w:val="11"/>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C756D"/>
    <w:rsid w:val="0000042A"/>
    <w:rsid w:val="00000D31"/>
    <w:rsid w:val="00001E45"/>
    <w:rsid w:val="00005738"/>
    <w:rsid w:val="00006B6D"/>
    <w:rsid w:val="0000708F"/>
    <w:rsid w:val="00012504"/>
    <w:rsid w:val="00015E25"/>
    <w:rsid w:val="00017A94"/>
    <w:rsid w:val="00020397"/>
    <w:rsid w:val="0002144A"/>
    <w:rsid w:val="00022686"/>
    <w:rsid w:val="00026D3E"/>
    <w:rsid w:val="000321A6"/>
    <w:rsid w:val="00032201"/>
    <w:rsid w:val="00032754"/>
    <w:rsid w:val="000350A3"/>
    <w:rsid w:val="00035377"/>
    <w:rsid w:val="000355EC"/>
    <w:rsid w:val="00035C90"/>
    <w:rsid w:val="000362B7"/>
    <w:rsid w:val="00037813"/>
    <w:rsid w:val="00040373"/>
    <w:rsid w:val="00040B39"/>
    <w:rsid w:val="00040CA4"/>
    <w:rsid w:val="0004141D"/>
    <w:rsid w:val="00042435"/>
    <w:rsid w:val="00043317"/>
    <w:rsid w:val="00044043"/>
    <w:rsid w:val="00044FF7"/>
    <w:rsid w:val="00046ED1"/>
    <w:rsid w:val="00047341"/>
    <w:rsid w:val="0005052A"/>
    <w:rsid w:val="0005068D"/>
    <w:rsid w:val="00054434"/>
    <w:rsid w:val="000554A6"/>
    <w:rsid w:val="000555CF"/>
    <w:rsid w:val="00056946"/>
    <w:rsid w:val="00060104"/>
    <w:rsid w:val="00061B9B"/>
    <w:rsid w:val="00062B9D"/>
    <w:rsid w:val="0006425B"/>
    <w:rsid w:val="00065AB7"/>
    <w:rsid w:val="00070B2D"/>
    <w:rsid w:val="00072401"/>
    <w:rsid w:val="00075955"/>
    <w:rsid w:val="00076696"/>
    <w:rsid w:val="000770BF"/>
    <w:rsid w:val="00077C76"/>
    <w:rsid w:val="00077FA5"/>
    <w:rsid w:val="000800D8"/>
    <w:rsid w:val="0008175C"/>
    <w:rsid w:val="0008396D"/>
    <w:rsid w:val="00083BBE"/>
    <w:rsid w:val="000845D7"/>
    <w:rsid w:val="00085132"/>
    <w:rsid w:val="000851EA"/>
    <w:rsid w:val="000857E2"/>
    <w:rsid w:val="000862A7"/>
    <w:rsid w:val="0008719D"/>
    <w:rsid w:val="00090980"/>
    <w:rsid w:val="00090A6A"/>
    <w:rsid w:val="0009137C"/>
    <w:rsid w:val="00092E7C"/>
    <w:rsid w:val="0009364E"/>
    <w:rsid w:val="00094744"/>
    <w:rsid w:val="000963CA"/>
    <w:rsid w:val="00096AD0"/>
    <w:rsid w:val="00096EC8"/>
    <w:rsid w:val="000A0B41"/>
    <w:rsid w:val="000A0C7A"/>
    <w:rsid w:val="000A18B1"/>
    <w:rsid w:val="000A234D"/>
    <w:rsid w:val="000A398B"/>
    <w:rsid w:val="000A5D49"/>
    <w:rsid w:val="000A775E"/>
    <w:rsid w:val="000A7F35"/>
    <w:rsid w:val="000B0B7F"/>
    <w:rsid w:val="000B0E04"/>
    <w:rsid w:val="000B2523"/>
    <w:rsid w:val="000B3FB0"/>
    <w:rsid w:val="000B4A08"/>
    <w:rsid w:val="000B56CC"/>
    <w:rsid w:val="000B7379"/>
    <w:rsid w:val="000C31D1"/>
    <w:rsid w:val="000C4307"/>
    <w:rsid w:val="000C55B5"/>
    <w:rsid w:val="000C5E8D"/>
    <w:rsid w:val="000C6527"/>
    <w:rsid w:val="000C65F3"/>
    <w:rsid w:val="000C6EAD"/>
    <w:rsid w:val="000D1AF2"/>
    <w:rsid w:val="000D1B7E"/>
    <w:rsid w:val="000D34BD"/>
    <w:rsid w:val="000D4331"/>
    <w:rsid w:val="000D5FD5"/>
    <w:rsid w:val="000D6223"/>
    <w:rsid w:val="000D6D8E"/>
    <w:rsid w:val="000D7879"/>
    <w:rsid w:val="000E0AD7"/>
    <w:rsid w:val="000E0DF3"/>
    <w:rsid w:val="000E14A3"/>
    <w:rsid w:val="000E1C59"/>
    <w:rsid w:val="000F62B7"/>
    <w:rsid w:val="0010079A"/>
    <w:rsid w:val="00101202"/>
    <w:rsid w:val="00106BCB"/>
    <w:rsid w:val="0011219C"/>
    <w:rsid w:val="0011272A"/>
    <w:rsid w:val="00113C13"/>
    <w:rsid w:val="00115AF6"/>
    <w:rsid w:val="00117DC8"/>
    <w:rsid w:val="001205EC"/>
    <w:rsid w:val="0012230A"/>
    <w:rsid w:val="001225BB"/>
    <w:rsid w:val="001240D4"/>
    <w:rsid w:val="001257F5"/>
    <w:rsid w:val="00127451"/>
    <w:rsid w:val="00127C7A"/>
    <w:rsid w:val="0013030E"/>
    <w:rsid w:val="001329DC"/>
    <w:rsid w:val="001332F7"/>
    <w:rsid w:val="00134371"/>
    <w:rsid w:val="00135367"/>
    <w:rsid w:val="00135B44"/>
    <w:rsid w:val="00135F34"/>
    <w:rsid w:val="001371D5"/>
    <w:rsid w:val="00140E02"/>
    <w:rsid w:val="00142738"/>
    <w:rsid w:val="00142D04"/>
    <w:rsid w:val="001441FE"/>
    <w:rsid w:val="0014475B"/>
    <w:rsid w:val="00144EFB"/>
    <w:rsid w:val="001450ED"/>
    <w:rsid w:val="0014522B"/>
    <w:rsid w:val="00146D26"/>
    <w:rsid w:val="0015089B"/>
    <w:rsid w:val="00151916"/>
    <w:rsid w:val="00152D63"/>
    <w:rsid w:val="001530A8"/>
    <w:rsid w:val="00153E00"/>
    <w:rsid w:val="001545BF"/>
    <w:rsid w:val="001553A3"/>
    <w:rsid w:val="00155715"/>
    <w:rsid w:val="00157571"/>
    <w:rsid w:val="00161DA0"/>
    <w:rsid w:val="0016224C"/>
    <w:rsid w:val="001649AC"/>
    <w:rsid w:val="00166A06"/>
    <w:rsid w:val="001725D4"/>
    <w:rsid w:val="00172DDE"/>
    <w:rsid w:val="00173372"/>
    <w:rsid w:val="00174B0A"/>
    <w:rsid w:val="00174C96"/>
    <w:rsid w:val="001769AC"/>
    <w:rsid w:val="001776CA"/>
    <w:rsid w:val="00177D4E"/>
    <w:rsid w:val="00180928"/>
    <w:rsid w:val="00185E27"/>
    <w:rsid w:val="001952A6"/>
    <w:rsid w:val="0019621A"/>
    <w:rsid w:val="001A0654"/>
    <w:rsid w:val="001A0F71"/>
    <w:rsid w:val="001A1179"/>
    <w:rsid w:val="001A3A09"/>
    <w:rsid w:val="001A486A"/>
    <w:rsid w:val="001A4DC0"/>
    <w:rsid w:val="001A4E3F"/>
    <w:rsid w:val="001A5D7F"/>
    <w:rsid w:val="001B064D"/>
    <w:rsid w:val="001B0945"/>
    <w:rsid w:val="001B0BB5"/>
    <w:rsid w:val="001B12DF"/>
    <w:rsid w:val="001B4D0F"/>
    <w:rsid w:val="001B60EB"/>
    <w:rsid w:val="001B6311"/>
    <w:rsid w:val="001C2E10"/>
    <w:rsid w:val="001C38A7"/>
    <w:rsid w:val="001C5009"/>
    <w:rsid w:val="001C674E"/>
    <w:rsid w:val="001C7A44"/>
    <w:rsid w:val="001D0EB7"/>
    <w:rsid w:val="001D10C7"/>
    <w:rsid w:val="001D2CB7"/>
    <w:rsid w:val="001D32BD"/>
    <w:rsid w:val="001D331B"/>
    <w:rsid w:val="001D3611"/>
    <w:rsid w:val="001D3EBC"/>
    <w:rsid w:val="001D3F95"/>
    <w:rsid w:val="001D475F"/>
    <w:rsid w:val="001D59F1"/>
    <w:rsid w:val="001D6A45"/>
    <w:rsid w:val="001E08B0"/>
    <w:rsid w:val="001E0BE7"/>
    <w:rsid w:val="001E104B"/>
    <w:rsid w:val="001E2C67"/>
    <w:rsid w:val="001E3714"/>
    <w:rsid w:val="001E38E0"/>
    <w:rsid w:val="001E3FC4"/>
    <w:rsid w:val="001E404C"/>
    <w:rsid w:val="001E6453"/>
    <w:rsid w:val="001E6494"/>
    <w:rsid w:val="001E6F38"/>
    <w:rsid w:val="001F17B9"/>
    <w:rsid w:val="001F209D"/>
    <w:rsid w:val="00200051"/>
    <w:rsid w:val="00200C57"/>
    <w:rsid w:val="00200FBE"/>
    <w:rsid w:val="002034B1"/>
    <w:rsid w:val="00204203"/>
    <w:rsid w:val="0020507F"/>
    <w:rsid w:val="00206913"/>
    <w:rsid w:val="002100A9"/>
    <w:rsid w:val="002108A5"/>
    <w:rsid w:val="00210B1B"/>
    <w:rsid w:val="00210E44"/>
    <w:rsid w:val="0021241A"/>
    <w:rsid w:val="002149FD"/>
    <w:rsid w:val="00217036"/>
    <w:rsid w:val="002173C5"/>
    <w:rsid w:val="00220FA8"/>
    <w:rsid w:val="0022105A"/>
    <w:rsid w:val="00226604"/>
    <w:rsid w:val="0022660D"/>
    <w:rsid w:val="00226EEF"/>
    <w:rsid w:val="00227995"/>
    <w:rsid w:val="00227D6A"/>
    <w:rsid w:val="00230B2B"/>
    <w:rsid w:val="00230EA9"/>
    <w:rsid w:val="00231B77"/>
    <w:rsid w:val="00233860"/>
    <w:rsid w:val="00234DD4"/>
    <w:rsid w:val="0023580B"/>
    <w:rsid w:val="0024049A"/>
    <w:rsid w:val="00240697"/>
    <w:rsid w:val="002406BB"/>
    <w:rsid w:val="00240B0A"/>
    <w:rsid w:val="00240C96"/>
    <w:rsid w:val="00242471"/>
    <w:rsid w:val="002449FE"/>
    <w:rsid w:val="00245CEF"/>
    <w:rsid w:val="0024758D"/>
    <w:rsid w:val="002501A2"/>
    <w:rsid w:val="00250959"/>
    <w:rsid w:val="00251F10"/>
    <w:rsid w:val="00252115"/>
    <w:rsid w:val="00252A71"/>
    <w:rsid w:val="00252A9B"/>
    <w:rsid w:val="00253CF6"/>
    <w:rsid w:val="002551FB"/>
    <w:rsid w:val="00256714"/>
    <w:rsid w:val="00256744"/>
    <w:rsid w:val="00257CA1"/>
    <w:rsid w:val="00260595"/>
    <w:rsid w:val="00260EC2"/>
    <w:rsid w:val="0026184D"/>
    <w:rsid w:val="0026392B"/>
    <w:rsid w:val="00263F4E"/>
    <w:rsid w:val="002659D8"/>
    <w:rsid w:val="00267621"/>
    <w:rsid w:val="00270673"/>
    <w:rsid w:val="00270C10"/>
    <w:rsid w:val="0027347B"/>
    <w:rsid w:val="002745F8"/>
    <w:rsid w:val="00275231"/>
    <w:rsid w:val="00275244"/>
    <w:rsid w:val="002752E2"/>
    <w:rsid w:val="00275837"/>
    <w:rsid w:val="00276C4B"/>
    <w:rsid w:val="00277BB4"/>
    <w:rsid w:val="00280170"/>
    <w:rsid w:val="00280AD1"/>
    <w:rsid w:val="00281EA7"/>
    <w:rsid w:val="00282D26"/>
    <w:rsid w:val="00282F17"/>
    <w:rsid w:val="002840A5"/>
    <w:rsid w:val="00285A36"/>
    <w:rsid w:val="00290017"/>
    <w:rsid w:val="00291540"/>
    <w:rsid w:val="00293C72"/>
    <w:rsid w:val="002957BC"/>
    <w:rsid w:val="00295EC0"/>
    <w:rsid w:val="00297335"/>
    <w:rsid w:val="0029754C"/>
    <w:rsid w:val="002A0A46"/>
    <w:rsid w:val="002A1F39"/>
    <w:rsid w:val="002A30E5"/>
    <w:rsid w:val="002A5063"/>
    <w:rsid w:val="002A66A1"/>
    <w:rsid w:val="002A6F3C"/>
    <w:rsid w:val="002B07E3"/>
    <w:rsid w:val="002B196D"/>
    <w:rsid w:val="002B3F39"/>
    <w:rsid w:val="002B7A63"/>
    <w:rsid w:val="002C0022"/>
    <w:rsid w:val="002C163E"/>
    <w:rsid w:val="002C22E1"/>
    <w:rsid w:val="002C3216"/>
    <w:rsid w:val="002C45ED"/>
    <w:rsid w:val="002C483D"/>
    <w:rsid w:val="002C52F2"/>
    <w:rsid w:val="002C61A3"/>
    <w:rsid w:val="002C6577"/>
    <w:rsid w:val="002C68A7"/>
    <w:rsid w:val="002C6C4D"/>
    <w:rsid w:val="002D0578"/>
    <w:rsid w:val="002D0635"/>
    <w:rsid w:val="002D0EC2"/>
    <w:rsid w:val="002D11B9"/>
    <w:rsid w:val="002D31E7"/>
    <w:rsid w:val="002D3365"/>
    <w:rsid w:val="002D368B"/>
    <w:rsid w:val="002D5D46"/>
    <w:rsid w:val="002D7AF4"/>
    <w:rsid w:val="002D7E22"/>
    <w:rsid w:val="002E086F"/>
    <w:rsid w:val="002E1871"/>
    <w:rsid w:val="002E1E8C"/>
    <w:rsid w:val="002E29D7"/>
    <w:rsid w:val="002E654D"/>
    <w:rsid w:val="002F08AC"/>
    <w:rsid w:val="002F2959"/>
    <w:rsid w:val="002F500B"/>
    <w:rsid w:val="002F54FE"/>
    <w:rsid w:val="002F5547"/>
    <w:rsid w:val="002F5BA6"/>
    <w:rsid w:val="00301ACA"/>
    <w:rsid w:val="003128B3"/>
    <w:rsid w:val="00313F9C"/>
    <w:rsid w:val="00315646"/>
    <w:rsid w:val="00315ED5"/>
    <w:rsid w:val="00316481"/>
    <w:rsid w:val="003168A5"/>
    <w:rsid w:val="003168B7"/>
    <w:rsid w:val="00316BD0"/>
    <w:rsid w:val="003205D8"/>
    <w:rsid w:val="00323A24"/>
    <w:rsid w:val="00323BB9"/>
    <w:rsid w:val="00325AA6"/>
    <w:rsid w:val="00325F97"/>
    <w:rsid w:val="00331240"/>
    <w:rsid w:val="00333491"/>
    <w:rsid w:val="00333778"/>
    <w:rsid w:val="00336943"/>
    <w:rsid w:val="003371B4"/>
    <w:rsid w:val="00337D46"/>
    <w:rsid w:val="003400C4"/>
    <w:rsid w:val="0034024E"/>
    <w:rsid w:val="00343F8D"/>
    <w:rsid w:val="003442D8"/>
    <w:rsid w:val="003465DF"/>
    <w:rsid w:val="00346D85"/>
    <w:rsid w:val="003478EB"/>
    <w:rsid w:val="00347DD9"/>
    <w:rsid w:val="0035064A"/>
    <w:rsid w:val="00350790"/>
    <w:rsid w:val="00350BAC"/>
    <w:rsid w:val="00350ED2"/>
    <w:rsid w:val="003512EE"/>
    <w:rsid w:val="00354FAF"/>
    <w:rsid w:val="0036051E"/>
    <w:rsid w:val="0036195F"/>
    <w:rsid w:val="003636DE"/>
    <w:rsid w:val="00370A18"/>
    <w:rsid w:val="00371E56"/>
    <w:rsid w:val="00372D58"/>
    <w:rsid w:val="00374195"/>
    <w:rsid w:val="0037508B"/>
    <w:rsid w:val="003754FB"/>
    <w:rsid w:val="0037655C"/>
    <w:rsid w:val="00380741"/>
    <w:rsid w:val="00381C31"/>
    <w:rsid w:val="00382345"/>
    <w:rsid w:val="003841B3"/>
    <w:rsid w:val="00384B17"/>
    <w:rsid w:val="0038745C"/>
    <w:rsid w:val="00390DAE"/>
    <w:rsid w:val="00392988"/>
    <w:rsid w:val="00392F84"/>
    <w:rsid w:val="00394108"/>
    <w:rsid w:val="00394122"/>
    <w:rsid w:val="00394148"/>
    <w:rsid w:val="003941AC"/>
    <w:rsid w:val="00397809"/>
    <w:rsid w:val="003978AA"/>
    <w:rsid w:val="003978C9"/>
    <w:rsid w:val="003A01CD"/>
    <w:rsid w:val="003A2B30"/>
    <w:rsid w:val="003A3D56"/>
    <w:rsid w:val="003A546F"/>
    <w:rsid w:val="003B0CC3"/>
    <w:rsid w:val="003B2ACF"/>
    <w:rsid w:val="003B32EE"/>
    <w:rsid w:val="003B3756"/>
    <w:rsid w:val="003B5DD1"/>
    <w:rsid w:val="003B6873"/>
    <w:rsid w:val="003C1631"/>
    <w:rsid w:val="003C1727"/>
    <w:rsid w:val="003C470C"/>
    <w:rsid w:val="003C4FB2"/>
    <w:rsid w:val="003C5FC5"/>
    <w:rsid w:val="003C6C73"/>
    <w:rsid w:val="003C6EB9"/>
    <w:rsid w:val="003C7264"/>
    <w:rsid w:val="003D03AC"/>
    <w:rsid w:val="003D2092"/>
    <w:rsid w:val="003D7290"/>
    <w:rsid w:val="003D7462"/>
    <w:rsid w:val="003E0BE9"/>
    <w:rsid w:val="003E1BD9"/>
    <w:rsid w:val="003E1D91"/>
    <w:rsid w:val="003E213E"/>
    <w:rsid w:val="003E2702"/>
    <w:rsid w:val="003E3016"/>
    <w:rsid w:val="003E3254"/>
    <w:rsid w:val="003E6698"/>
    <w:rsid w:val="003E6A1D"/>
    <w:rsid w:val="003F005F"/>
    <w:rsid w:val="003F00DF"/>
    <w:rsid w:val="003F22CD"/>
    <w:rsid w:val="003F2A7A"/>
    <w:rsid w:val="003F2CA7"/>
    <w:rsid w:val="003F4233"/>
    <w:rsid w:val="003F4DDA"/>
    <w:rsid w:val="003F5017"/>
    <w:rsid w:val="003F6AA4"/>
    <w:rsid w:val="00404206"/>
    <w:rsid w:val="0040577D"/>
    <w:rsid w:val="00405ABC"/>
    <w:rsid w:val="00407A06"/>
    <w:rsid w:val="00407CCB"/>
    <w:rsid w:val="0041188A"/>
    <w:rsid w:val="004153B4"/>
    <w:rsid w:val="00416BAA"/>
    <w:rsid w:val="00420420"/>
    <w:rsid w:val="00420BAF"/>
    <w:rsid w:val="00422D0F"/>
    <w:rsid w:val="00422D5D"/>
    <w:rsid w:val="00424477"/>
    <w:rsid w:val="00425436"/>
    <w:rsid w:val="00425F9C"/>
    <w:rsid w:val="004302B6"/>
    <w:rsid w:val="004307DB"/>
    <w:rsid w:val="00430CF7"/>
    <w:rsid w:val="004379A6"/>
    <w:rsid w:val="0044289C"/>
    <w:rsid w:val="004432A4"/>
    <w:rsid w:val="004447C6"/>
    <w:rsid w:val="004466A9"/>
    <w:rsid w:val="00446AC5"/>
    <w:rsid w:val="00451CB8"/>
    <w:rsid w:val="004523B6"/>
    <w:rsid w:val="004529AD"/>
    <w:rsid w:val="00455FCA"/>
    <w:rsid w:val="00461DFA"/>
    <w:rsid w:val="00463333"/>
    <w:rsid w:val="00463B47"/>
    <w:rsid w:val="00464800"/>
    <w:rsid w:val="0046560A"/>
    <w:rsid w:val="00467F41"/>
    <w:rsid w:val="0047138B"/>
    <w:rsid w:val="00471729"/>
    <w:rsid w:val="004745FF"/>
    <w:rsid w:val="00476B9C"/>
    <w:rsid w:val="0047723F"/>
    <w:rsid w:val="00477A16"/>
    <w:rsid w:val="004806C1"/>
    <w:rsid w:val="00482D66"/>
    <w:rsid w:val="0048397C"/>
    <w:rsid w:val="0049036F"/>
    <w:rsid w:val="00492C6A"/>
    <w:rsid w:val="00494CC3"/>
    <w:rsid w:val="00495FCB"/>
    <w:rsid w:val="004A151A"/>
    <w:rsid w:val="004A362A"/>
    <w:rsid w:val="004A4483"/>
    <w:rsid w:val="004A44D2"/>
    <w:rsid w:val="004B055B"/>
    <w:rsid w:val="004B1043"/>
    <w:rsid w:val="004B6FDC"/>
    <w:rsid w:val="004C049F"/>
    <w:rsid w:val="004C1BA3"/>
    <w:rsid w:val="004C1C49"/>
    <w:rsid w:val="004C6FA6"/>
    <w:rsid w:val="004C7A3E"/>
    <w:rsid w:val="004D039A"/>
    <w:rsid w:val="004D3042"/>
    <w:rsid w:val="004D46DC"/>
    <w:rsid w:val="004D61BA"/>
    <w:rsid w:val="004D6D90"/>
    <w:rsid w:val="004E02D1"/>
    <w:rsid w:val="004E123B"/>
    <w:rsid w:val="004E146E"/>
    <w:rsid w:val="004E25B8"/>
    <w:rsid w:val="004E57FE"/>
    <w:rsid w:val="004E61D9"/>
    <w:rsid w:val="004E7E20"/>
    <w:rsid w:val="004F1D48"/>
    <w:rsid w:val="004F250E"/>
    <w:rsid w:val="004F30F2"/>
    <w:rsid w:val="004F4B6C"/>
    <w:rsid w:val="004F5AB3"/>
    <w:rsid w:val="004F6FC2"/>
    <w:rsid w:val="0050040D"/>
    <w:rsid w:val="00500A5F"/>
    <w:rsid w:val="00501561"/>
    <w:rsid w:val="00503053"/>
    <w:rsid w:val="00504009"/>
    <w:rsid w:val="00505CB2"/>
    <w:rsid w:val="005064B7"/>
    <w:rsid w:val="00506F4F"/>
    <w:rsid w:val="0050734D"/>
    <w:rsid w:val="00515628"/>
    <w:rsid w:val="00515C19"/>
    <w:rsid w:val="00520156"/>
    <w:rsid w:val="00525BDB"/>
    <w:rsid w:val="00526315"/>
    <w:rsid w:val="00526CF7"/>
    <w:rsid w:val="005302E6"/>
    <w:rsid w:val="0053099A"/>
    <w:rsid w:val="005356FC"/>
    <w:rsid w:val="005419F1"/>
    <w:rsid w:val="00542602"/>
    <w:rsid w:val="005436BD"/>
    <w:rsid w:val="0054552E"/>
    <w:rsid w:val="0055106A"/>
    <w:rsid w:val="00551FDB"/>
    <w:rsid w:val="005520EF"/>
    <w:rsid w:val="00555E5B"/>
    <w:rsid w:val="00557CE5"/>
    <w:rsid w:val="0056249B"/>
    <w:rsid w:val="00567F5C"/>
    <w:rsid w:val="00570381"/>
    <w:rsid w:val="00572B6B"/>
    <w:rsid w:val="0057373E"/>
    <w:rsid w:val="00573C4F"/>
    <w:rsid w:val="00576F57"/>
    <w:rsid w:val="0057767C"/>
    <w:rsid w:val="00580825"/>
    <w:rsid w:val="00583D11"/>
    <w:rsid w:val="005840E1"/>
    <w:rsid w:val="005841F9"/>
    <w:rsid w:val="00586521"/>
    <w:rsid w:val="00586770"/>
    <w:rsid w:val="00586C77"/>
    <w:rsid w:val="005900EB"/>
    <w:rsid w:val="005903E9"/>
    <w:rsid w:val="0059061D"/>
    <w:rsid w:val="0059078D"/>
    <w:rsid w:val="00591023"/>
    <w:rsid w:val="00593F8F"/>
    <w:rsid w:val="00594A5B"/>
    <w:rsid w:val="00594F21"/>
    <w:rsid w:val="00597863"/>
    <w:rsid w:val="005A0589"/>
    <w:rsid w:val="005A084D"/>
    <w:rsid w:val="005A2F94"/>
    <w:rsid w:val="005A3513"/>
    <w:rsid w:val="005A51B2"/>
    <w:rsid w:val="005A5F2A"/>
    <w:rsid w:val="005B0ECA"/>
    <w:rsid w:val="005B0FFB"/>
    <w:rsid w:val="005B11E7"/>
    <w:rsid w:val="005B1EF6"/>
    <w:rsid w:val="005B2F32"/>
    <w:rsid w:val="005B48EB"/>
    <w:rsid w:val="005B646A"/>
    <w:rsid w:val="005C157C"/>
    <w:rsid w:val="005C286B"/>
    <w:rsid w:val="005C2F7F"/>
    <w:rsid w:val="005C49E2"/>
    <w:rsid w:val="005C515C"/>
    <w:rsid w:val="005C5298"/>
    <w:rsid w:val="005C5317"/>
    <w:rsid w:val="005D1441"/>
    <w:rsid w:val="005D3B53"/>
    <w:rsid w:val="005D5C7A"/>
    <w:rsid w:val="005E0872"/>
    <w:rsid w:val="005E2F22"/>
    <w:rsid w:val="005E33E8"/>
    <w:rsid w:val="005E34C5"/>
    <w:rsid w:val="005E4F1B"/>
    <w:rsid w:val="005F0DCD"/>
    <w:rsid w:val="005F0F48"/>
    <w:rsid w:val="005F12E2"/>
    <w:rsid w:val="005F228B"/>
    <w:rsid w:val="005F2CA4"/>
    <w:rsid w:val="005F6677"/>
    <w:rsid w:val="005F7307"/>
    <w:rsid w:val="00601C52"/>
    <w:rsid w:val="006042C5"/>
    <w:rsid w:val="00605338"/>
    <w:rsid w:val="006073E2"/>
    <w:rsid w:val="00607602"/>
    <w:rsid w:val="00610512"/>
    <w:rsid w:val="006112B1"/>
    <w:rsid w:val="00611C94"/>
    <w:rsid w:val="00612DA7"/>
    <w:rsid w:val="00614170"/>
    <w:rsid w:val="006150CE"/>
    <w:rsid w:val="00615D98"/>
    <w:rsid w:val="006177D9"/>
    <w:rsid w:val="00621349"/>
    <w:rsid w:val="00621A63"/>
    <w:rsid w:val="00622BE9"/>
    <w:rsid w:val="00625613"/>
    <w:rsid w:val="00627E65"/>
    <w:rsid w:val="00630E50"/>
    <w:rsid w:val="0063174C"/>
    <w:rsid w:val="006320DD"/>
    <w:rsid w:val="00632282"/>
    <w:rsid w:val="00633175"/>
    <w:rsid w:val="00633E0B"/>
    <w:rsid w:val="006346FE"/>
    <w:rsid w:val="006351FA"/>
    <w:rsid w:val="006367CA"/>
    <w:rsid w:val="00637BA2"/>
    <w:rsid w:val="00637E3B"/>
    <w:rsid w:val="00644C9F"/>
    <w:rsid w:val="00645E6F"/>
    <w:rsid w:val="00646546"/>
    <w:rsid w:val="00647859"/>
    <w:rsid w:val="00647F2F"/>
    <w:rsid w:val="006514A6"/>
    <w:rsid w:val="00651A32"/>
    <w:rsid w:val="00652B94"/>
    <w:rsid w:val="00652EBF"/>
    <w:rsid w:val="00655AD5"/>
    <w:rsid w:val="00660C1A"/>
    <w:rsid w:val="006615F6"/>
    <w:rsid w:val="00662708"/>
    <w:rsid w:val="0066545F"/>
    <w:rsid w:val="00666A04"/>
    <w:rsid w:val="00666E57"/>
    <w:rsid w:val="006703D1"/>
    <w:rsid w:val="00670454"/>
    <w:rsid w:val="0067087E"/>
    <w:rsid w:val="00672E37"/>
    <w:rsid w:val="006730E3"/>
    <w:rsid w:val="006735D7"/>
    <w:rsid w:val="0067362E"/>
    <w:rsid w:val="006737DD"/>
    <w:rsid w:val="006749A0"/>
    <w:rsid w:val="00674F01"/>
    <w:rsid w:val="00676157"/>
    <w:rsid w:val="00681315"/>
    <w:rsid w:val="00683EBA"/>
    <w:rsid w:val="006847FD"/>
    <w:rsid w:val="00694A16"/>
    <w:rsid w:val="0069561A"/>
    <w:rsid w:val="00695A47"/>
    <w:rsid w:val="006A1235"/>
    <w:rsid w:val="006A2908"/>
    <w:rsid w:val="006A2F3E"/>
    <w:rsid w:val="006A4954"/>
    <w:rsid w:val="006A5DEC"/>
    <w:rsid w:val="006A6FB5"/>
    <w:rsid w:val="006B0309"/>
    <w:rsid w:val="006B0C72"/>
    <w:rsid w:val="006B1624"/>
    <w:rsid w:val="006B415A"/>
    <w:rsid w:val="006B6A06"/>
    <w:rsid w:val="006B721F"/>
    <w:rsid w:val="006C009B"/>
    <w:rsid w:val="006C07BB"/>
    <w:rsid w:val="006C1881"/>
    <w:rsid w:val="006C2947"/>
    <w:rsid w:val="006C5281"/>
    <w:rsid w:val="006C6C2B"/>
    <w:rsid w:val="006C7435"/>
    <w:rsid w:val="006D0299"/>
    <w:rsid w:val="006D319A"/>
    <w:rsid w:val="006D4DC1"/>
    <w:rsid w:val="006D5849"/>
    <w:rsid w:val="006D58F2"/>
    <w:rsid w:val="006E0239"/>
    <w:rsid w:val="006E56A0"/>
    <w:rsid w:val="006E56E1"/>
    <w:rsid w:val="006E66E9"/>
    <w:rsid w:val="006E6DBE"/>
    <w:rsid w:val="006F1BFE"/>
    <w:rsid w:val="006F2513"/>
    <w:rsid w:val="006F2D2E"/>
    <w:rsid w:val="006F307C"/>
    <w:rsid w:val="006F311A"/>
    <w:rsid w:val="006F3224"/>
    <w:rsid w:val="006F3637"/>
    <w:rsid w:val="006F461C"/>
    <w:rsid w:val="006F4CCF"/>
    <w:rsid w:val="00701644"/>
    <w:rsid w:val="0070363E"/>
    <w:rsid w:val="00704346"/>
    <w:rsid w:val="007078E2"/>
    <w:rsid w:val="00710272"/>
    <w:rsid w:val="007105B4"/>
    <w:rsid w:val="00710EAC"/>
    <w:rsid w:val="007114A2"/>
    <w:rsid w:val="00712A9B"/>
    <w:rsid w:val="00713C3D"/>
    <w:rsid w:val="00722AC8"/>
    <w:rsid w:val="00724DF7"/>
    <w:rsid w:val="00726C0C"/>
    <w:rsid w:val="0072796C"/>
    <w:rsid w:val="00727E27"/>
    <w:rsid w:val="007304D9"/>
    <w:rsid w:val="00732FED"/>
    <w:rsid w:val="00734E3B"/>
    <w:rsid w:val="007367D2"/>
    <w:rsid w:val="00741B23"/>
    <w:rsid w:val="0074442C"/>
    <w:rsid w:val="00746C59"/>
    <w:rsid w:val="007551A1"/>
    <w:rsid w:val="007579FB"/>
    <w:rsid w:val="00760FCA"/>
    <w:rsid w:val="0076252E"/>
    <w:rsid w:val="007642C4"/>
    <w:rsid w:val="007650AF"/>
    <w:rsid w:val="007672FF"/>
    <w:rsid w:val="00770607"/>
    <w:rsid w:val="0077148D"/>
    <w:rsid w:val="00775723"/>
    <w:rsid w:val="007757CD"/>
    <w:rsid w:val="007777CF"/>
    <w:rsid w:val="0078029B"/>
    <w:rsid w:val="00781D42"/>
    <w:rsid w:val="0078216B"/>
    <w:rsid w:val="00784221"/>
    <w:rsid w:val="007846E2"/>
    <w:rsid w:val="00784895"/>
    <w:rsid w:val="00787BB8"/>
    <w:rsid w:val="0079058C"/>
    <w:rsid w:val="00791032"/>
    <w:rsid w:val="00791D3B"/>
    <w:rsid w:val="00792403"/>
    <w:rsid w:val="00792D87"/>
    <w:rsid w:val="00793AFC"/>
    <w:rsid w:val="00794048"/>
    <w:rsid w:val="00794ED1"/>
    <w:rsid w:val="00794F84"/>
    <w:rsid w:val="00796AAC"/>
    <w:rsid w:val="007A09CD"/>
    <w:rsid w:val="007A2082"/>
    <w:rsid w:val="007A25A8"/>
    <w:rsid w:val="007A341B"/>
    <w:rsid w:val="007A4962"/>
    <w:rsid w:val="007A596B"/>
    <w:rsid w:val="007A5E6A"/>
    <w:rsid w:val="007A7CCD"/>
    <w:rsid w:val="007B0B5F"/>
    <w:rsid w:val="007B0EE8"/>
    <w:rsid w:val="007B3BE3"/>
    <w:rsid w:val="007B3ECA"/>
    <w:rsid w:val="007B655C"/>
    <w:rsid w:val="007B7EB6"/>
    <w:rsid w:val="007C2F86"/>
    <w:rsid w:val="007C4D4E"/>
    <w:rsid w:val="007C50FD"/>
    <w:rsid w:val="007C5FF1"/>
    <w:rsid w:val="007C620A"/>
    <w:rsid w:val="007C6764"/>
    <w:rsid w:val="007C7A87"/>
    <w:rsid w:val="007D13F5"/>
    <w:rsid w:val="007D1B50"/>
    <w:rsid w:val="007D2C19"/>
    <w:rsid w:val="007D2D40"/>
    <w:rsid w:val="007D3EA7"/>
    <w:rsid w:val="007D4DE9"/>
    <w:rsid w:val="007D4E9A"/>
    <w:rsid w:val="007D54AB"/>
    <w:rsid w:val="007D586D"/>
    <w:rsid w:val="007D5D17"/>
    <w:rsid w:val="007D77D8"/>
    <w:rsid w:val="007E3B7E"/>
    <w:rsid w:val="007E52CB"/>
    <w:rsid w:val="007F2466"/>
    <w:rsid w:val="007F488D"/>
    <w:rsid w:val="007F65D9"/>
    <w:rsid w:val="008000E1"/>
    <w:rsid w:val="008016C4"/>
    <w:rsid w:val="00801A41"/>
    <w:rsid w:val="00803E0F"/>
    <w:rsid w:val="00803F24"/>
    <w:rsid w:val="00805CD5"/>
    <w:rsid w:val="00806D6D"/>
    <w:rsid w:val="0081016A"/>
    <w:rsid w:val="00810403"/>
    <w:rsid w:val="00812455"/>
    <w:rsid w:val="00813AA5"/>
    <w:rsid w:val="00815185"/>
    <w:rsid w:val="0081535D"/>
    <w:rsid w:val="008177C0"/>
    <w:rsid w:val="00821043"/>
    <w:rsid w:val="0082281B"/>
    <w:rsid w:val="008231D8"/>
    <w:rsid w:val="0082347A"/>
    <w:rsid w:val="008245A4"/>
    <w:rsid w:val="008275F9"/>
    <w:rsid w:val="00827A2B"/>
    <w:rsid w:val="0083060A"/>
    <w:rsid w:val="00830FC8"/>
    <w:rsid w:val="0083184D"/>
    <w:rsid w:val="00832B96"/>
    <w:rsid w:val="00832F34"/>
    <w:rsid w:val="00834490"/>
    <w:rsid w:val="00841B47"/>
    <w:rsid w:val="008420A3"/>
    <w:rsid w:val="00844AC5"/>
    <w:rsid w:val="00844D9A"/>
    <w:rsid w:val="008454D1"/>
    <w:rsid w:val="008474FC"/>
    <w:rsid w:val="008530B2"/>
    <w:rsid w:val="00855812"/>
    <w:rsid w:val="00855E09"/>
    <w:rsid w:val="008563E5"/>
    <w:rsid w:val="00856745"/>
    <w:rsid w:val="00864211"/>
    <w:rsid w:val="00864870"/>
    <w:rsid w:val="0086621C"/>
    <w:rsid w:val="00866B76"/>
    <w:rsid w:val="0087089B"/>
    <w:rsid w:val="00871C96"/>
    <w:rsid w:val="00871E03"/>
    <w:rsid w:val="008723AA"/>
    <w:rsid w:val="008756B8"/>
    <w:rsid w:val="00875736"/>
    <w:rsid w:val="00875C16"/>
    <w:rsid w:val="00876460"/>
    <w:rsid w:val="0087647E"/>
    <w:rsid w:val="00877161"/>
    <w:rsid w:val="00880576"/>
    <w:rsid w:val="00881161"/>
    <w:rsid w:val="008818D0"/>
    <w:rsid w:val="008819C8"/>
    <w:rsid w:val="00883028"/>
    <w:rsid w:val="008831C8"/>
    <w:rsid w:val="0088436B"/>
    <w:rsid w:val="00890CD9"/>
    <w:rsid w:val="00891697"/>
    <w:rsid w:val="0089224D"/>
    <w:rsid w:val="00892F7D"/>
    <w:rsid w:val="00892FAD"/>
    <w:rsid w:val="008932D2"/>
    <w:rsid w:val="008976C0"/>
    <w:rsid w:val="008A003D"/>
    <w:rsid w:val="008A0990"/>
    <w:rsid w:val="008A3646"/>
    <w:rsid w:val="008A422A"/>
    <w:rsid w:val="008A477C"/>
    <w:rsid w:val="008A48CF"/>
    <w:rsid w:val="008A4D8B"/>
    <w:rsid w:val="008A5042"/>
    <w:rsid w:val="008A54EC"/>
    <w:rsid w:val="008A62A0"/>
    <w:rsid w:val="008B0E38"/>
    <w:rsid w:val="008B0FD5"/>
    <w:rsid w:val="008B486B"/>
    <w:rsid w:val="008B4D6A"/>
    <w:rsid w:val="008B5C32"/>
    <w:rsid w:val="008B7FD3"/>
    <w:rsid w:val="008C0390"/>
    <w:rsid w:val="008C0B11"/>
    <w:rsid w:val="008C15B1"/>
    <w:rsid w:val="008C21AD"/>
    <w:rsid w:val="008C26DE"/>
    <w:rsid w:val="008C35D7"/>
    <w:rsid w:val="008C3EDB"/>
    <w:rsid w:val="008C6D97"/>
    <w:rsid w:val="008C6E27"/>
    <w:rsid w:val="008C6EEE"/>
    <w:rsid w:val="008D16AC"/>
    <w:rsid w:val="008D1A56"/>
    <w:rsid w:val="008D20BE"/>
    <w:rsid w:val="008D401B"/>
    <w:rsid w:val="008D45A4"/>
    <w:rsid w:val="008D5086"/>
    <w:rsid w:val="008D5285"/>
    <w:rsid w:val="008D71E8"/>
    <w:rsid w:val="008E043D"/>
    <w:rsid w:val="008E2918"/>
    <w:rsid w:val="008E3890"/>
    <w:rsid w:val="008E4DDC"/>
    <w:rsid w:val="008E5D97"/>
    <w:rsid w:val="008E7AD9"/>
    <w:rsid w:val="008F298A"/>
    <w:rsid w:val="008F2AF5"/>
    <w:rsid w:val="008F372B"/>
    <w:rsid w:val="008F540D"/>
    <w:rsid w:val="008F5FB4"/>
    <w:rsid w:val="008F6766"/>
    <w:rsid w:val="008F72EA"/>
    <w:rsid w:val="008F74FD"/>
    <w:rsid w:val="00901B09"/>
    <w:rsid w:val="0090212F"/>
    <w:rsid w:val="00903939"/>
    <w:rsid w:val="0090564C"/>
    <w:rsid w:val="009066F9"/>
    <w:rsid w:val="00906C0C"/>
    <w:rsid w:val="00907293"/>
    <w:rsid w:val="00907697"/>
    <w:rsid w:val="0091381E"/>
    <w:rsid w:val="00913BEC"/>
    <w:rsid w:val="00914565"/>
    <w:rsid w:val="00914EA8"/>
    <w:rsid w:val="00915101"/>
    <w:rsid w:val="00917332"/>
    <w:rsid w:val="009175FE"/>
    <w:rsid w:val="00917E4C"/>
    <w:rsid w:val="00920C9C"/>
    <w:rsid w:val="00924355"/>
    <w:rsid w:val="00924FC7"/>
    <w:rsid w:val="00926657"/>
    <w:rsid w:val="00927907"/>
    <w:rsid w:val="00930A1F"/>
    <w:rsid w:val="00943171"/>
    <w:rsid w:val="009452FB"/>
    <w:rsid w:val="0094642F"/>
    <w:rsid w:val="00946759"/>
    <w:rsid w:val="00946D9E"/>
    <w:rsid w:val="0095158D"/>
    <w:rsid w:val="0095294E"/>
    <w:rsid w:val="0095357B"/>
    <w:rsid w:val="00953EED"/>
    <w:rsid w:val="009544D7"/>
    <w:rsid w:val="009578CA"/>
    <w:rsid w:val="0096084C"/>
    <w:rsid w:val="00961440"/>
    <w:rsid w:val="009632BD"/>
    <w:rsid w:val="00965861"/>
    <w:rsid w:val="00965A75"/>
    <w:rsid w:val="0096654A"/>
    <w:rsid w:val="00966E5A"/>
    <w:rsid w:val="00970C79"/>
    <w:rsid w:val="0097166D"/>
    <w:rsid w:val="00972DFD"/>
    <w:rsid w:val="00973A8F"/>
    <w:rsid w:val="00976961"/>
    <w:rsid w:val="00976F0F"/>
    <w:rsid w:val="009865B2"/>
    <w:rsid w:val="00987B59"/>
    <w:rsid w:val="009907F8"/>
    <w:rsid w:val="009916AD"/>
    <w:rsid w:val="00991A3A"/>
    <w:rsid w:val="00992CFF"/>
    <w:rsid w:val="00994E42"/>
    <w:rsid w:val="00994ECE"/>
    <w:rsid w:val="009956F2"/>
    <w:rsid w:val="00995CA9"/>
    <w:rsid w:val="0099656D"/>
    <w:rsid w:val="00996E83"/>
    <w:rsid w:val="00997997"/>
    <w:rsid w:val="009A0332"/>
    <w:rsid w:val="009A0549"/>
    <w:rsid w:val="009A078F"/>
    <w:rsid w:val="009A3021"/>
    <w:rsid w:val="009A3422"/>
    <w:rsid w:val="009A3C86"/>
    <w:rsid w:val="009A4878"/>
    <w:rsid w:val="009A5A06"/>
    <w:rsid w:val="009A7BAB"/>
    <w:rsid w:val="009A7D1C"/>
    <w:rsid w:val="009A7F1C"/>
    <w:rsid w:val="009B47C2"/>
    <w:rsid w:val="009B5A7A"/>
    <w:rsid w:val="009C0028"/>
    <w:rsid w:val="009C306F"/>
    <w:rsid w:val="009C426F"/>
    <w:rsid w:val="009C50BD"/>
    <w:rsid w:val="009C50F5"/>
    <w:rsid w:val="009C5750"/>
    <w:rsid w:val="009C6D95"/>
    <w:rsid w:val="009C7F5F"/>
    <w:rsid w:val="009D18E5"/>
    <w:rsid w:val="009D23C1"/>
    <w:rsid w:val="009D3809"/>
    <w:rsid w:val="009D617D"/>
    <w:rsid w:val="009D6F91"/>
    <w:rsid w:val="009E141F"/>
    <w:rsid w:val="009E4D25"/>
    <w:rsid w:val="009E5059"/>
    <w:rsid w:val="009E69A9"/>
    <w:rsid w:val="009E7017"/>
    <w:rsid w:val="009E7850"/>
    <w:rsid w:val="009E7994"/>
    <w:rsid w:val="009F237A"/>
    <w:rsid w:val="009F31C1"/>
    <w:rsid w:val="009F3256"/>
    <w:rsid w:val="009F3E25"/>
    <w:rsid w:val="009F60EB"/>
    <w:rsid w:val="00A00E91"/>
    <w:rsid w:val="00A03653"/>
    <w:rsid w:val="00A038EF"/>
    <w:rsid w:val="00A04775"/>
    <w:rsid w:val="00A076CD"/>
    <w:rsid w:val="00A077B6"/>
    <w:rsid w:val="00A07D0E"/>
    <w:rsid w:val="00A07DE4"/>
    <w:rsid w:val="00A10A8B"/>
    <w:rsid w:val="00A13856"/>
    <w:rsid w:val="00A15773"/>
    <w:rsid w:val="00A162CB"/>
    <w:rsid w:val="00A164E7"/>
    <w:rsid w:val="00A17925"/>
    <w:rsid w:val="00A17ABF"/>
    <w:rsid w:val="00A2012D"/>
    <w:rsid w:val="00A2073F"/>
    <w:rsid w:val="00A20EEA"/>
    <w:rsid w:val="00A2142F"/>
    <w:rsid w:val="00A2290B"/>
    <w:rsid w:val="00A233E3"/>
    <w:rsid w:val="00A2482B"/>
    <w:rsid w:val="00A24C37"/>
    <w:rsid w:val="00A25D5F"/>
    <w:rsid w:val="00A27256"/>
    <w:rsid w:val="00A300E1"/>
    <w:rsid w:val="00A312B6"/>
    <w:rsid w:val="00A31D9B"/>
    <w:rsid w:val="00A3242F"/>
    <w:rsid w:val="00A34A4B"/>
    <w:rsid w:val="00A36736"/>
    <w:rsid w:val="00A37888"/>
    <w:rsid w:val="00A41B82"/>
    <w:rsid w:val="00A44A3F"/>
    <w:rsid w:val="00A46318"/>
    <w:rsid w:val="00A4729B"/>
    <w:rsid w:val="00A47F5D"/>
    <w:rsid w:val="00A51846"/>
    <w:rsid w:val="00A551B6"/>
    <w:rsid w:val="00A55460"/>
    <w:rsid w:val="00A5598F"/>
    <w:rsid w:val="00A55EB8"/>
    <w:rsid w:val="00A578DE"/>
    <w:rsid w:val="00A6001A"/>
    <w:rsid w:val="00A6055D"/>
    <w:rsid w:val="00A60AF8"/>
    <w:rsid w:val="00A60B66"/>
    <w:rsid w:val="00A648C3"/>
    <w:rsid w:val="00A66955"/>
    <w:rsid w:val="00A742D5"/>
    <w:rsid w:val="00A76337"/>
    <w:rsid w:val="00A7711E"/>
    <w:rsid w:val="00A77F78"/>
    <w:rsid w:val="00A8000E"/>
    <w:rsid w:val="00A8059C"/>
    <w:rsid w:val="00A81B05"/>
    <w:rsid w:val="00A8265C"/>
    <w:rsid w:val="00A846BE"/>
    <w:rsid w:val="00A8650D"/>
    <w:rsid w:val="00A87452"/>
    <w:rsid w:val="00A87662"/>
    <w:rsid w:val="00A87741"/>
    <w:rsid w:val="00A92A20"/>
    <w:rsid w:val="00A92AD9"/>
    <w:rsid w:val="00A946DB"/>
    <w:rsid w:val="00A97C83"/>
    <w:rsid w:val="00AA26A6"/>
    <w:rsid w:val="00AA287D"/>
    <w:rsid w:val="00AA35E6"/>
    <w:rsid w:val="00AA49B1"/>
    <w:rsid w:val="00AA4B38"/>
    <w:rsid w:val="00AA60BE"/>
    <w:rsid w:val="00AA77A6"/>
    <w:rsid w:val="00AA7C44"/>
    <w:rsid w:val="00AA7D03"/>
    <w:rsid w:val="00AB0CF4"/>
    <w:rsid w:val="00AB6CA0"/>
    <w:rsid w:val="00AC0D09"/>
    <w:rsid w:val="00AC1E87"/>
    <w:rsid w:val="00AC34B1"/>
    <w:rsid w:val="00AC4CDD"/>
    <w:rsid w:val="00AC5D08"/>
    <w:rsid w:val="00AC6199"/>
    <w:rsid w:val="00AD0695"/>
    <w:rsid w:val="00AD1722"/>
    <w:rsid w:val="00AD25AC"/>
    <w:rsid w:val="00AD407F"/>
    <w:rsid w:val="00AD5111"/>
    <w:rsid w:val="00AF0EB6"/>
    <w:rsid w:val="00AF17C6"/>
    <w:rsid w:val="00AF1DE9"/>
    <w:rsid w:val="00AF236D"/>
    <w:rsid w:val="00AF2754"/>
    <w:rsid w:val="00AF4712"/>
    <w:rsid w:val="00AF62DF"/>
    <w:rsid w:val="00AF638B"/>
    <w:rsid w:val="00AF7FC4"/>
    <w:rsid w:val="00B0012C"/>
    <w:rsid w:val="00B00C5C"/>
    <w:rsid w:val="00B03099"/>
    <w:rsid w:val="00B05C38"/>
    <w:rsid w:val="00B06303"/>
    <w:rsid w:val="00B06C30"/>
    <w:rsid w:val="00B06DFC"/>
    <w:rsid w:val="00B0748C"/>
    <w:rsid w:val="00B0770C"/>
    <w:rsid w:val="00B10378"/>
    <w:rsid w:val="00B112B5"/>
    <w:rsid w:val="00B12510"/>
    <w:rsid w:val="00B15EBD"/>
    <w:rsid w:val="00B1775E"/>
    <w:rsid w:val="00B2112B"/>
    <w:rsid w:val="00B21D6B"/>
    <w:rsid w:val="00B23BF5"/>
    <w:rsid w:val="00B252AA"/>
    <w:rsid w:val="00B261FF"/>
    <w:rsid w:val="00B27F92"/>
    <w:rsid w:val="00B3382A"/>
    <w:rsid w:val="00B33C23"/>
    <w:rsid w:val="00B34702"/>
    <w:rsid w:val="00B3495A"/>
    <w:rsid w:val="00B34B1B"/>
    <w:rsid w:val="00B36038"/>
    <w:rsid w:val="00B3643E"/>
    <w:rsid w:val="00B366B9"/>
    <w:rsid w:val="00B36936"/>
    <w:rsid w:val="00B404B0"/>
    <w:rsid w:val="00B41F53"/>
    <w:rsid w:val="00B44938"/>
    <w:rsid w:val="00B46CB8"/>
    <w:rsid w:val="00B516A0"/>
    <w:rsid w:val="00B51CC0"/>
    <w:rsid w:val="00B52A4D"/>
    <w:rsid w:val="00B53D5A"/>
    <w:rsid w:val="00B53F01"/>
    <w:rsid w:val="00B5517C"/>
    <w:rsid w:val="00B56169"/>
    <w:rsid w:val="00B5707B"/>
    <w:rsid w:val="00B627D2"/>
    <w:rsid w:val="00B65D1E"/>
    <w:rsid w:val="00B66A0E"/>
    <w:rsid w:val="00B6746D"/>
    <w:rsid w:val="00B7136D"/>
    <w:rsid w:val="00B725CA"/>
    <w:rsid w:val="00B72A34"/>
    <w:rsid w:val="00B75F1E"/>
    <w:rsid w:val="00B767C2"/>
    <w:rsid w:val="00B8118F"/>
    <w:rsid w:val="00B83296"/>
    <w:rsid w:val="00B83403"/>
    <w:rsid w:val="00B84248"/>
    <w:rsid w:val="00B87C4D"/>
    <w:rsid w:val="00B907C2"/>
    <w:rsid w:val="00B90B6C"/>
    <w:rsid w:val="00B91122"/>
    <w:rsid w:val="00B9113F"/>
    <w:rsid w:val="00BA1096"/>
    <w:rsid w:val="00BA19A3"/>
    <w:rsid w:val="00BA2381"/>
    <w:rsid w:val="00BA2420"/>
    <w:rsid w:val="00BA2676"/>
    <w:rsid w:val="00BA277B"/>
    <w:rsid w:val="00BA27B6"/>
    <w:rsid w:val="00BA301C"/>
    <w:rsid w:val="00BA31DF"/>
    <w:rsid w:val="00BA3C91"/>
    <w:rsid w:val="00BA3EA9"/>
    <w:rsid w:val="00BA4503"/>
    <w:rsid w:val="00BA676A"/>
    <w:rsid w:val="00BA7184"/>
    <w:rsid w:val="00BA74AD"/>
    <w:rsid w:val="00BB024D"/>
    <w:rsid w:val="00BB1323"/>
    <w:rsid w:val="00BB31D7"/>
    <w:rsid w:val="00BB33DF"/>
    <w:rsid w:val="00BB49E2"/>
    <w:rsid w:val="00BB5989"/>
    <w:rsid w:val="00BB5D63"/>
    <w:rsid w:val="00BB5FCC"/>
    <w:rsid w:val="00BB617B"/>
    <w:rsid w:val="00BB6817"/>
    <w:rsid w:val="00BB6FA3"/>
    <w:rsid w:val="00BC247E"/>
    <w:rsid w:val="00BC415C"/>
    <w:rsid w:val="00BC4643"/>
    <w:rsid w:val="00BC4D13"/>
    <w:rsid w:val="00BC57F9"/>
    <w:rsid w:val="00BD0239"/>
    <w:rsid w:val="00BD1F27"/>
    <w:rsid w:val="00BD2C61"/>
    <w:rsid w:val="00BD3070"/>
    <w:rsid w:val="00BD3B20"/>
    <w:rsid w:val="00BD43CF"/>
    <w:rsid w:val="00BD450C"/>
    <w:rsid w:val="00BD5BE9"/>
    <w:rsid w:val="00BD67BA"/>
    <w:rsid w:val="00BD70FC"/>
    <w:rsid w:val="00BE05A4"/>
    <w:rsid w:val="00BE14BE"/>
    <w:rsid w:val="00BE31C7"/>
    <w:rsid w:val="00BE4106"/>
    <w:rsid w:val="00BE4E20"/>
    <w:rsid w:val="00BE7B96"/>
    <w:rsid w:val="00BF09DE"/>
    <w:rsid w:val="00BF100D"/>
    <w:rsid w:val="00BF1053"/>
    <w:rsid w:val="00BF161A"/>
    <w:rsid w:val="00BF2CD0"/>
    <w:rsid w:val="00BF3E2F"/>
    <w:rsid w:val="00BF481B"/>
    <w:rsid w:val="00BF708D"/>
    <w:rsid w:val="00BF7A42"/>
    <w:rsid w:val="00C01D3B"/>
    <w:rsid w:val="00C029E5"/>
    <w:rsid w:val="00C056AD"/>
    <w:rsid w:val="00C06858"/>
    <w:rsid w:val="00C06D19"/>
    <w:rsid w:val="00C10760"/>
    <w:rsid w:val="00C11D09"/>
    <w:rsid w:val="00C137A5"/>
    <w:rsid w:val="00C1452E"/>
    <w:rsid w:val="00C178BE"/>
    <w:rsid w:val="00C17B44"/>
    <w:rsid w:val="00C20562"/>
    <w:rsid w:val="00C22419"/>
    <w:rsid w:val="00C22FFE"/>
    <w:rsid w:val="00C23753"/>
    <w:rsid w:val="00C25830"/>
    <w:rsid w:val="00C26698"/>
    <w:rsid w:val="00C271EA"/>
    <w:rsid w:val="00C27507"/>
    <w:rsid w:val="00C342A7"/>
    <w:rsid w:val="00C36223"/>
    <w:rsid w:val="00C367BC"/>
    <w:rsid w:val="00C3789A"/>
    <w:rsid w:val="00C41B01"/>
    <w:rsid w:val="00C435A6"/>
    <w:rsid w:val="00C45659"/>
    <w:rsid w:val="00C45A78"/>
    <w:rsid w:val="00C46200"/>
    <w:rsid w:val="00C4775A"/>
    <w:rsid w:val="00C5179D"/>
    <w:rsid w:val="00C52368"/>
    <w:rsid w:val="00C523A4"/>
    <w:rsid w:val="00C53992"/>
    <w:rsid w:val="00C54A32"/>
    <w:rsid w:val="00C556D2"/>
    <w:rsid w:val="00C558E3"/>
    <w:rsid w:val="00C564CE"/>
    <w:rsid w:val="00C57EAD"/>
    <w:rsid w:val="00C6103D"/>
    <w:rsid w:val="00C65622"/>
    <w:rsid w:val="00C65A2A"/>
    <w:rsid w:val="00C65D8D"/>
    <w:rsid w:val="00C662B4"/>
    <w:rsid w:val="00C70F49"/>
    <w:rsid w:val="00C722B7"/>
    <w:rsid w:val="00C733BE"/>
    <w:rsid w:val="00C75064"/>
    <w:rsid w:val="00C83862"/>
    <w:rsid w:val="00C83E1C"/>
    <w:rsid w:val="00C83F2D"/>
    <w:rsid w:val="00C8593F"/>
    <w:rsid w:val="00C8599B"/>
    <w:rsid w:val="00C86878"/>
    <w:rsid w:val="00C87E7D"/>
    <w:rsid w:val="00C909F4"/>
    <w:rsid w:val="00C91395"/>
    <w:rsid w:val="00C921CE"/>
    <w:rsid w:val="00C933DB"/>
    <w:rsid w:val="00C9388B"/>
    <w:rsid w:val="00C949EA"/>
    <w:rsid w:val="00CA1100"/>
    <w:rsid w:val="00CA21C7"/>
    <w:rsid w:val="00CA7A9F"/>
    <w:rsid w:val="00CB0ACD"/>
    <w:rsid w:val="00CB12C8"/>
    <w:rsid w:val="00CB14A1"/>
    <w:rsid w:val="00CB14F3"/>
    <w:rsid w:val="00CB26B1"/>
    <w:rsid w:val="00CB2E9C"/>
    <w:rsid w:val="00CB3C2B"/>
    <w:rsid w:val="00CB3DBF"/>
    <w:rsid w:val="00CB6F54"/>
    <w:rsid w:val="00CB7C55"/>
    <w:rsid w:val="00CB7E82"/>
    <w:rsid w:val="00CC1A2B"/>
    <w:rsid w:val="00CC2543"/>
    <w:rsid w:val="00CC28B1"/>
    <w:rsid w:val="00CC2F2A"/>
    <w:rsid w:val="00CC514D"/>
    <w:rsid w:val="00CD02FA"/>
    <w:rsid w:val="00CD02FB"/>
    <w:rsid w:val="00CD32BE"/>
    <w:rsid w:val="00CD46F4"/>
    <w:rsid w:val="00CD54E7"/>
    <w:rsid w:val="00CD77B4"/>
    <w:rsid w:val="00CD78F0"/>
    <w:rsid w:val="00CE0215"/>
    <w:rsid w:val="00CE21C5"/>
    <w:rsid w:val="00CE2C7E"/>
    <w:rsid w:val="00CE3F71"/>
    <w:rsid w:val="00CE4652"/>
    <w:rsid w:val="00CE6A17"/>
    <w:rsid w:val="00CE7F51"/>
    <w:rsid w:val="00CF5682"/>
    <w:rsid w:val="00CF57C6"/>
    <w:rsid w:val="00D002FE"/>
    <w:rsid w:val="00D019B2"/>
    <w:rsid w:val="00D07702"/>
    <w:rsid w:val="00D10973"/>
    <w:rsid w:val="00D125C0"/>
    <w:rsid w:val="00D1308C"/>
    <w:rsid w:val="00D1428D"/>
    <w:rsid w:val="00D15214"/>
    <w:rsid w:val="00D20038"/>
    <w:rsid w:val="00D2129B"/>
    <w:rsid w:val="00D22B70"/>
    <w:rsid w:val="00D22B8F"/>
    <w:rsid w:val="00D235D2"/>
    <w:rsid w:val="00D23AEE"/>
    <w:rsid w:val="00D23BD4"/>
    <w:rsid w:val="00D244F9"/>
    <w:rsid w:val="00D34BA6"/>
    <w:rsid w:val="00D35B3F"/>
    <w:rsid w:val="00D40092"/>
    <w:rsid w:val="00D40133"/>
    <w:rsid w:val="00D40CFC"/>
    <w:rsid w:val="00D41107"/>
    <w:rsid w:val="00D4232D"/>
    <w:rsid w:val="00D4492B"/>
    <w:rsid w:val="00D44C5D"/>
    <w:rsid w:val="00D537A0"/>
    <w:rsid w:val="00D576E9"/>
    <w:rsid w:val="00D57FE9"/>
    <w:rsid w:val="00D606EE"/>
    <w:rsid w:val="00D6178C"/>
    <w:rsid w:val="00D62210"/>
    <w:rsid w:val="00D65FAC"/>
    <w:rsid w:val="00D7006F"/>
    <w:rsid w:val="00D718B9"/>
    <w:rsid w:val="00D72122"/>
    <w:rsid w:val="00D729C9"/>
    <w:rsid w:val="00D7499F"/>
    <w:rsid w:val="00D75D58"/>
    <w:rsid w:val="00D76735"/>
    <w:rsid w:val="00D80763"/>
    <w:rsid w:val="00D85671"/>
    <w:rsid w:val="00D869CE"/>
    <w:rsid w:val="00D86C37"/>
    <w:rsid w:val="00D8783A"/>
    <w:rsid w:val="00D90088"/>
    <w:rsid w:val="00D92026"/>
    <w:rsid w:val="00D940A7"/>
    <w:rsid w:val="00D94922"/>
    <w:rsid w:val="00D95519"/>
    <w:rsid w:val="00D9696A"/>
    <w:rsid w:val="00D96BA6"/>
    <w:rsid w:val="00D96C7B"/>
    <w:rsid w:val="00D97137"/>
    <w:rsid w:val="00D97614"/>
    <w:rsid w:val="00D97831"/>
    <w:rsid w:val="00DA105B"/>
    <w:rsid w:val="00DA1E0A"/>
    <w:rsid w:val="00DA270D"/>
    <w:rsid w:val="00DA3290"/>
    <w:rsid w:val="00DA4C96"/>
    <w:rsid w:val="00DA5510"/>
    <w:rsid w:val="00DA58E1"/>
    <w:rsid w:val="00DA5D60"/>
    <w:rsid w:val="00DA5DE5"/>
    <w:rsid w:val="00DA6FA5"/>
    <w:rsid w:val="00DA78FA"/>
    <w:rsid w:val="00DB1611"/>
    <w:rsid w:val="00DB3918"/>
    <w:rsid w:val="00DB46F0"/>
    <w:rsid w:val="00DB4B06"/>
    <w:rsid w:val="00DB5776"/>
    <w:rsid w:val="00DB5E7B"/>
    <w:rsid w:val="00DB6393"/>
    <w:rsid w:val="00DB7573"/>
    <w:rsid w:val="00DB75BE"/>
    <w:rsid w:val="00DB76A4"/>
    <w:rsid w:val="00DC05B0"/>
    <w:rsid w:val="00DC0702"/>
    <w:rsid w:val="00DC0884"/>
    <w:rsid w:val="00DC2A65"/>
    <w:rsid w:val="00DC4BE2"/>
    <w:rsid w:val="00DC5379"/>
    <w:rsid w:val="00DC59C3"/>
    <w:rsid w:val="00DC5C86"/>
    <w:rsid w:val="00DC7488"/>
    <w:rsid w:val="00DC763C"/>
    <w:rsid w:val="00DC7F92"/>
    <w:rsid w:val="00DD0282"/>
    <w:rsid w:val="00DD1A75"/>
    <w:rsid w:val="00DD36BC"/>
    <w:rsid w:val="00DD44D0"/>
    <w:rsid w:val="00DD4872"/>
    <w:rsid w:val="00DD6437"/>
    <w:rsid w:val="00DE1853"/>
    <w:rsid w:val="00DE281B"/>
    <w:rsid w:val="00DE3AC3"/>
    <w:rsid w:val="00DE5648"/>
    <w:rsid w:val="00DE62D2"/>
    <w:rsid w:val="00DE6498"/>
    <w:rsid w:val="00DE69EF"/>
    <w:rsid w:val="00DE6B5E"/>
    <w:rsid w:val="00DE7EAA"/>
    <w:rsid w:val="00DF2229"/>
    <w:rsid w:val="00DF39A9"/>
    <w:rsid w:val="00DF3BF5"/>
    <w:rsid w:val="00DF5906"/>
    <w:rsid w:val="00E01A38"/>
    <w:rsid w:val="00E01F5C"/>
    <w:rsid w:val="00E027F5"/>
    <w:rsid w:val="00E05C1A"/>
    <w:rsid w:val="00E0708B"/>
    <w:rsid w:val="00E07198"/>
    <w:rsid w:val="00E10E3D"/>
    <w:rsid w:val="00E14819"/>
    <w:rsid w:val="00E2169C"/>
    <w:rsid w:val="00E25B1E"/>
    <w:rsid w:val="00E307DD"/>
    <w:rsid w:val="00E31A50"/>
    <w:rsid w:val="00E32076"/>
    <w:rsid w:val="00E32C6A"/>
    <w:rsid w:val="00E32E5A"/>
    <w:rsid w:val="00E33994"/>
    <w:rsid w:val="00E34C84"/>
    <w:rsid w:val="00E35E53"/>
    <w:rsid w:val="00E37EF6"/>
    <w:rsid w:val="00E4513F"/>
    <w:rsid w:val="00E46B2B"/>
    <w:rsid w:val="00E47840"/>
    <w:rsid w:val="00E5404F"/>
    <w:rsid w:val="00E54455"/>
    <w:rsid w:val="00E54754"/>
    <w:rsid w:val="00E55282"/>
    <w:rsid w:val="00E579E3"/>
    <w:rsid w:val="00E57CE4"/>
    <w:rsid w:val="00E60B5A"/>
    <w:rsid w:val="00E61B29"/>
    <w:rsid w:val="00E626EB"/>
    <w:rsid w:val="00E63272"/>
    <w:rsid w:val="00E64393"/>
    <w:rsid w:val="00E6616D"/>
    <w:rsid w:val="00E66355"/>
    <w:rsid w:val="00E67007"/>
    <w:rsid w:val="00E7011C"/>
    <w:rsid w:val="00E70822"/>
    <w:rsid w:val="00E71C06"/>
    <w:rsid w:val="00E720C4"/>
    <w:rsid w:val="00E72A24"/>
    <w:rsid w:val="00E739DB"/>
    <w:rsid w:val="00E747F5"/>
    <w:rsid w:val="00E76797"/>
    <w:rsid w:val="00E76A89"/>
    <w:rsid w:val="00E7781D"/>
    <w:rsid w:val="00E83BB2"/>
    <w:rsid w:val="00E84373"/>
    <w:rsid w:val="00E8503E"/>
    <w:rsid w:val="00E86F31"/>
    <w:rsid w:val="00E90BBC"/>
    <w:rsid w:val="00E9191A"/>
    <w:rsid w:val="00E91BD0"/>
    <w:rsid w:val="00E91E87"/>
    <w:rsid w:val="00E93D81"/>
    <w:rsid w:val="00E94CC4"/>
    <w:rsid w:val="00E95009"/>
    <w:rsid w:val="00E95D5F"/>
    <w:rsid w:val="00E966E8"/>
    <w:rsid w:val="00E97F62"/>
    <w:rsid w:val="00EA0728"/>
    <w:rsid w:val="00EA72F8"/>
    <w:rsid w:val="00EA7E5E"/>
    <w:rsid w:val="00EB0C31"/>
    <w:rsid w:val="00EB0FC1"/>
    <w:rsid w:val="00EB18EE"/>
    <w:rsid w:val="00EB216A"/>
    <w:rsid w:val="00EB2295"/>
    <w:rsid w:val="00EB2635"/>
    <w:rsid w:val="00EB6CA8"/>
    <w:rsid w:val="00EB7314"/>
    <w:rsid w:val="00EC3C59"/>
    <w:rsid w:val="00EC6E3C"/>
    <w:rsid w:val="00EC756D"/>
    <w:rsid w:val="00ED062D"/>
    <w:rsid w:val="00ED091A"/>
    <w:rsid w:val="00ED0AAB"/>
    <w:rsid w:val="00ED2694"/>
    <w:rsid w:val="00ED4482"/>
    <w:rsid w:val="00ED591D"/>
    <w:rsid w:val="00ED6761"/>
    <w:rsid w:val="00EE517C"/>
    <w:rsid w:val="00EE6391"/>
    <w:rsid w:val="00EE7315"/>
    <w:rsid w:val="00EF18B3"/>
    <w:rsid w:val="00EF2F20"/>
    <w:rsid w:val="00EF4490"/>
    <w:rsid w:val="00EF5CC1"/>
    <w:rsid w:val="00EF61E3"/>
    <w:rsid w:val="00F03C3A"/>
    <w:rsid w:val="00F03D3E"/>
    <w:rsid w:val="00F06A3B"/>
    <w:rsid w:val="00F12829"/>
    <w:rsid w:val="00F12A0A"/>
    <w:rsid w:val="00F12DC7"/>
    <w:rsid w:val="00F15EF9"/>
    <w:rsid w:val="00F16FB3"/>
    <w:rsid w:val="00F175F5"/>
    <w:rsid w:val="00F23E48"/>
    <w:rsid w:val="00F24452"/>
    <w:rsid w:val="00F253F0"/>
    <w:rsid w:val="00F254FF"/>
    <w:rsid w:val="00F25D4A"/>
    <w:rsid w:val="00F31A2B"/>
    <w:rsid w:val="00F34850"/>
    <w:rsid w:val="00F36153"/>
    <w:rsid w:val="00F36BC5"/>
    <w:rsid w:val="00F409AD"/>
    <w:rsid w:val="00F40D80"/>
    <w:rsid w:val="00F4116D"/>
    <w:rsid w:val="00F41D89"/>
    <w:rsid w:val="00F4203F"/>
    <w:rsid w:val="00F424C8"/>
    <w:rsid w:val="00F43F01"/>
    <w:rsid w:val="00F44E7D"/>
    <w:rsid w:val="00F4656D"/>
    <w:rsid w:val="00F4705F"/>
    <w:rsid w:val="00F5147A"/>
    <w:rsid w:val="00F52A64"/>
    <w:rsid w:val="00F53F61"/>
    <w:rsid w:val="00F56C3E"/>
    <w:rsid w:val="00F56C7D"/>
    <w:rsid w:val="00F57025"/>
    <w:rsid w:val="00F57AFE"/>
    <w:rsid w:val="00F60D37"/>
    <w:rsid w:val="00F62374"/>
    <w:rsid w:val="00F625E7"/>
    <w:rsid w:val="00F6266B"/>
    <w:rsid w:val="00F65A9A"/>
    <w:rsid w:val="00F67FC9"/>
    <w:rsid w:val="00F7003B"/>
    <w:rsid w:val="00F7030C"/>
    <w:rsid w:val="00F712A3"/>
    <w:rsid w:val="00F714BB"/>
    <w:rsid w:val="00F72501"/>
    <w:rsid w:val="00F72FE2"/>
    <w:rsid w:val="00F738E1"/>
    <w:rsid w:val="00F748A0"/>
    <w:rsid w:val="00F7532D"/>
    <w:rsid w:val="00F80BFB"/>
    <w:rsid w:val="00F8117E"/>
    <w:rsid w:val="00F8134F"/>
    <w:rsid w:val="00F81F8E"/>
    <w:rsid w:val="00F82D78"/>
    <w:rsid w:val="00F87819"/>
    <w:rsid w:val="00F95CAB"/>
    <w:rsid w:val="00F95CB3"/>
    <w:rsid w:val="00F95DBA"/>
    <w:rsid w:val="00F9764D"/>
    <w:rsid w:val="00FA0C0F"/>
    <w:rsid w:val="00FA3222"/>
    <w:rsid w:val="00FA59AD"/>
    <w:rsid w:val="00FA6881"/>
    <w:rsid w:val="00FA7809"/>
    <w:rsid w:val="00FB031A"/>
    <w:rsid w:val="00FB2E7A"/>
    <w:rsid w:val="00FB7AC9"/>
    <w:rsid w:val="00FC0AC6"/>
    <w:rsid w:val="00FC1FAC"/>
    <w:rsid w:val="00FC5A59"/>
    <w:rsid w:val="00FC642C"/>
    <w:rsid w:val="00FC7DA6"/>
    <w:rsid w:val="00FD3550"/>
    <w:rsid w:val="00FD3F3F"/>
    <w:rsid w:val="00FE01EE"/>
    <w:rsid w:val="00FE0903"/>
    <w:rsid w:val="00FE4744"/>
    <w:rsid w:val="00FE6341"/>
    <w:rsid w:val="00FF0FEE"/>
    <w:rsid w:val="00FF147E"/>
    <w:rsid w:val="00FF658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A3513"/>
  </w:style>
  <w:style w:type="paragraph" w:styleId="Nadpis1">
    <w:name w:val="heading 1"/>
    <w:basedOn w:val="Normln"/>
    <w:next w:val="Normln"/>
    <w:link w:val="Nadpis1Char"/>
    <w:uiPriority w:val="9"/>
    <w:qFormat/>
    <w:rsid w:val="006331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B842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B84248"/>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073E2"/>
    <w:pPr>
      <w:ind w:left="720"/>
      <w:contextualSpacing/>
    </w:pPr>
  </w:style>
  <w:style w:type="paragraph" w:styleId="Textpoznpodarou">
    <w:name w:val="footnote text"/>
    <w:basedOn w:val="Normln"/>
    <w:link w:val="TextpoznpodarouChar"/>
    <w:uiPriority w:val="99"/>
    <w:semiHidden/>
    <w:unhideWhenUsed/>
    <w:rsid w:val="008B486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B486B"/>
    <w:rPr>
      <w:sz w:val="20"/>
      <w:szCs w:val="20"/>
    </w:rPr>
  </w:style>
  <w:style w:type="character" w:styleId="Znakapoznpodarou">
    <w:name w:val="footnote reference"/>
    <w:basedOn w:val="Standardnpsmoodstavce"/>
    <w:uiPriority w:val="99"/>
    <w:semiHidden/>
    <w:unhideWhenUsed/>
    <w:rsid w:val="008B486B"/>
    <w:rPr>
      <w:vertAlign w:val="superscript"/>
    </w:rPr>
  </w:style>
  <w:style w:type="paragraph" w:styleId="Zhlav">
    <w:name w:val="header"/>
    <w:basedOn w:val="Normln"/>
    <w:link w:val="ZhlavChar"/>
    <w:uiPriority w:val="99"/>
    <w:semiHidden/>
    <w:unhideWhenUsed/>
    <w:rsid w:val="00325F97"/>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325F97"/>
  </w:style>
  <w:style w:type="paragraph" w:styleId="Zpat">
    <w:name w:val="footer"/>
    <w:basedOn w:val="Normln"/>
    <w:link w:val="ZpatChar"/>
    <w:uiPriority w:val="99"/>
    <w:unhideWhenUsed/>
    <w:rsid w:val="00325F97"/>
    <w:pPr>
      <w:tabs>
        <w:tab w:val="center" w:pos="4536"/>
        <w:tab w:val="right" w:pos="9072"/>
      </w:tabs>
      <w:spacing w:after="0" w:line="240" w:lineRule="auto"/>
    </w:pPr>
  </w:style>
  <w:style w:type="character" w:customStyle="1" w:styleId="ZpatChar">
    <w:name w:val="Zápatí Char"/>
    <w:basedOn w:val="Standardnpsmoodstavce"/>
    <w:link w:val="Zpat"/>
    <w:uiPriority w:val="99"/>
    <w:rsid w:val="00325F97"/>
  </w:style>
  <w:style w:type="character" w:styleId="Hypertextovodkaz">
    <w:name w:val="Hyperlink"/>
    <w:basedOn w:val="Standardnpsmoodstavce"/>
    <w:uiPriority w:val="99"/>
    <w:unhideWhenUsed/>
    <w:rsid w:val="006F2513"/>
    <w:rPr>
      <w:color w:val="0000FF" w:themeColor="hyperlink"/>
      <w:u w:val="single"/>
    </w:rPr>
  </w:style>
  <w:style w:type="paragraph" w:styleId="Textbubliny">
    <w:name w:val="Balloon Text"/>
    <w:basedOn w:val="Normln"/>
    <w:link w:val="TextbublinyChar"/>
    <w:uiPriority w:val="99"/>
    <w:semiHidden/>
    <w:unhideWhenUsed/>
    <w:rsid w:val="00C70F4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70F49"/>
    <w:rPr>
      <w:rFonts w:ascii="Tahoma" w:hAnsi="Tahoma" w:cs="Tahoma"/>
      <w:sz w:val="16"/>
      <w:szCs w:val="16"/>
    </w:rPr>
  </w:style>
  <w:style w:type="paragraph" w:customStyle="1" w:styleId="Default">
    <w:name w:val="Default"/>
    <w:rsid w:val="005C286B"/>
    <w:pPr>
      <w:autoSpaceDE w:val="0"/>
      <w:autoSpaceDN w:val="0"/>
      <w:adjustRightInd w:val="0"/>
      <w:spacing w:after="0" w:line="240" w:lineRule="auto"/>
    </w:pPr>
    <w:rPr>
      <w:rFonts w:ascii="Code" w:hAnsi="Code" w:cs="Code"/>
      <w:color w:val="000000"/>
      <w:sz w:val="24"/>
      <w:szCs w:val="24"/>
    </w:rPr>
  </w:style>
  <w:style w:type="paragraph" w:styleId="Nzev">
    <w:name w:val="Title"/>
    <w:basedOn w:val="Normln"/>
    <w:next w:val="Normln"/>
    <w:link w:val="NzevChar"/>
    <w:qFormat/>
    <w:rsid w:val="008F540D"/>
    <w:pPr>
      <w:pBdr>
        <w:bottom w:val="single" w:sz="8" w:space="4" w:color="4F81BD"/>
      </w:pBdr>
      <w:spacing w:after="300" w:line="240" w:lineRule="auto"/>
      <w:ind w:firstLine="284"/>
      <w:contextualSpacing/>
      <w:jc w:val="both"/>
    </w:pPr>
    <w:rPr>
      <w:rFonts w:ascii="Cambria" w:eastAsia="Times New Roman" w:hAnsi="Cambria" w:cs="Times New Roman"/>
      <w:color w:val="17365D"/>
      <w:spacing w:val="5"/>
      <w:kern w:val="28"/>
      <w:sz w:val="52"/>
      <w:szCs w:val="52"/>
    </w:rPr>
  </w:style>
  <w:style w:type="character" w:customStyle="1" w:styleId="NzevChar">
    <w:name w:val="Název Char"/>
    <w:basedOn w:val="Standardnpsmoodstavce"/>
    <w:link w:val="Nzev"/>
    <w:rsid w:val="008F540D"/>
    <w:rPr>
      <w:rFonts w:ascii="Cambria" w:eastAsia="Times New Roman" w:hAnsi="Cambria" w:cs="Times New Roman"/>
      <w:color w:val="17365D"/>
      <w:spacing w:val="5"/>
      <w:kern w:val="28"/>
      <w:sz w:val="52"/>
      <w:szCs w:val="52"/>
    </w:rPr>
  </w:style>
  <w:style w:type="character" w:customStyle="1" w:styleId="Nadpis1Char">
    <w:name w:val="Nadpis 1 Char"/>
    <w:basedOn w:val="Standardnpsmoodstavce"/>
    <w:link w:val="Nadpis1"/>
    <w:uiPriority w:val="9"/>
    <w:rsid w:val="00633175"/>
    <w:rPr>
      <w:rFonts w:asciiTheme="majorHAnsi" w:eastAsiaTheme="majorEastAsia" w:hAnsiTheme="majorHAnsi" w:cstheme="majorBidi"/>
      <w:b/>
      <w:bCs/>
      <w:color w:val="365F91" w:themeColor="accent1" w:themeShade="BF"/>
      <w:sz w:val="28"/>
      <w:szCs w:val="28"/>
    </w:rPr>
  </w:style>
  <w:style w:type="paragraph" w:styleId="Nadpisobsahu">
    <w:name w:val="TOC Heading"/>
    <w:basedOn w:val="Nadpis1"/>
    <w:next w:val="Normln"/>
    <w:uiPriority w:val="39"/>
    <w:semiHidden/>
    <w:unhideWhenUsed/>
    <w:qFormat/>
    <w:rsid w:val="00633175"/>
    <w:pPr>
      <w:outlineLvl w:val="9"/>
    </w:pPr>
    <w:rPr>
      <w:lang w:eastAsia="en-US"/>
    </w:rPr>
  </w:style>
  <w:style w:type="paragraph" w:styleId="Obsah1">
    <w:name w:val="toc 1"/>
    <w:basedOn w:val="Normln"/>
    <w:next w:val="Normln"/>
    <w:autoRedefine/>
    <w:uiPriority w:val="39"/>
    <w:unhideWhenUsed/>
    <w:qFormat/>
    <w:rsid w:val="00633175"/>
    <w:pPr>
      <w:spacing w:after="100"/>
    </w:pPr>
  </w:style>
  <w:style w:type="paragraph" w:styleId="Obsah2">
    <w:name w:val="toc 2"/>
    <w:basedOn w:val="Normln"/>
    <w:next w:val="Normln"/>
    <w:autoRedefine/>
    <w:uiPriority w:val="39"/>
    <w:unhideWhenUsed/>
    <w:qFormat/>
    <w:rsid w:val="00B84248"/>
    <w:pPr>
      <w:spacing w:after="100"/>
      <w:ind w:left="220"/>
    </w:pPr>
    <w:rPr>
      <w:lang w:eastAsia="en-US"/>
    </w:rPr>
  </w:style>
  <w:style w:type="paragraph" w:styleId="Obsah3">
    <w:name w:val="toc 3"/>
    <w:basedOn w:val="Normln"/>
    <w:next w:val="Normln"/>
    <w:autoRedefine/>
    <w:uiPriority w:val="39"/>
    <w:unhideWhenUsed/>
    <w:qFormat/>
    <w:rsid w:val="00B84248"/>
    <w:pPr>
      <w:spacing w:after="100"/>
      <w:ind w:left="440"/>
    </w:pPr>
    <w:rPr>
      <w:lang w:eastAsia="en-US"/>
    </w:rPr>
  </w:style>
  <w:style w:type="character" w:customStyle="1" w:styleId="Nadpis2Char">
    <w:name w:val="Nadpis 2 Char"/>
    <w:basedOn w:val="Standardnpsmoodstavce"/>
    <w:link w:val="Nadpis2"/>
    <w:uiPriority w:val="9"/>
    <w:rsid w:val="00B84248"/>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B84248"/>
    <w:rPr>
      <w:rFonts w:asciiTheme="majorHAnsi" w:eastAsiaTheme="majorEastAsia" w:hAnsiTheme="majorHAnsi" w:cstheme="majorBidi"/>
      <w:b/>
      <w:bCs/>
      <w:color w:val="4F81BD" w:themeColor="accent1"/>
    </w:rPr>
  </w:style>
  <w:style w:type="character" w:customStyle="1" w:styleId="apple-converted-space">
    <w:name w:val="apple-converted-space"/>
    <w:basedOn w:val="Standardnpsmoodstavce"/>
    <w:rsid w:val="003E3254"/>
  </w:style>
  <w:style w:type="character" w:styleId="Zvraznn">
    <w:name w:val="Emphasis"/>
    <w:basedOn w:val="Standardnpsmoodstavce"/>
    <w:uiPriority w:val="20"/>
    <w:qFormat/>
    <w:rsid w:val="003E3254"/>
    <w:rPr>
      <w:i/>
      <w:iCs/>
    </w:rPr>
  </w:style>
  <w:style w:type="paragraph" w:styleId="Rozvrendokumentu">
    <w:name w:val="Document Map"/>
    <w:basedOn w:val="Normln"/>
    <w:link w:val="RozvrendokumentuChar"/>
    <w:uiPriority w:val="99"/>
    <w:semiHidden/>
    <w:unhideWhenUsed/>
    <w:rsid w:val="00C06858"/>
    <w:pPr>
      <w:spacing w:after="0" w:line="240" w:lineRule="auto"/>
    </w:pPr>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C068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graduateinstitute.ch/webdav/site/political_science/shared/political_science/4958/InternationalNegotiation-Daoudy.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late.com/id/2146139/" TargetMode="External"/><Relationship Id="rId17" Type="http://schemas.openxmlformats.org/officeDocument/2006/relationships/hyperlink" Target="http://www.state.gov/t/avc/rls/rpt/wmeat/c50834.htm%3e%20%20(30" TargetMode="External"/><Relationship Id="rId2" Type="http://schemas.openxmlformats.org/officeDocument/2006/relationships/numbering" Target="numbering.xml"/><Relationship Id="rId16" Type="http://schemas.openxmlformats.org/officeDocument/2006/relationships/hyperlink" Target="http://databank.worldbank.org/data/views/reports/chart.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http://yalejournal.org/2010/07/balancing-threat-the-united-states-and-the-middle-east/" TargetMode="Externa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eb.macam.ac.il/~arnon/Int-ME/water/WATER%20AND%20CONFLICT%20IN%20THE%20MIDDLE%20EAST%20.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yalejournal.org/2010/07/balancing-threat-the-united-states-and-the-middle-eas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Karol\Desktop\important%20stuff\BP\wb%20data%20on%20iraq\IR&#193;K%20celkov&#225;%20moc%201975-198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Karol\Desktop\important%20stuff\BP\wb%20data%20on%20iraq\IR&#193;K%20celkov&#225;%20moc%201975-198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Karol\Desktop\important%20stuff\BP\BP%20kapitoly\ba0afa78-32f8-4d65-b3bb-aa21fca5dbc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5.4307322161652877E-2"/>
          <c:y val="6.2231960135418124E-2"/>
          <c:w val="0.92657429332124852"/>
          <c:h val="0.83156179390619667"/>
        </c:manualLayout>
      </c:layout>
      <c:lineChart>
        <c:grouping val="standard"/>
        <c:ser>
          <c:idx val="0"/>
          <c:order val="0"/>
          <c:tx>
            <c:strRef>
              <c:f>'List3 (2)'!$C$5</c:f>
              <c:strCache>
                <c:ptCount val="1"/>
                <c:pt idx="0">
                  <c:v>Obyvatelstvo</c:v>
                </c:pt>
              </c:strCache>
            </c:strRef>
          </c:tx>
          <c:marker>
            <c:symbol val="none"/>
          </c:marker>
          <c:cat>
            <c:strRef>
              <c:f>'List3 (2)'!$A$6:$A$16</c:f>
              <c:strCache>
                <c:ptCount val="11"/>
                <c:pt idx="0">
                  <c:v>1975</c:v>
                </c:pt>
                <c:pt idx="1">
                  <c:v>1976</c:v>
                </c:pt>
                <c:pt idx="2">
                  <c:v>1977</c:v>
                </c:pt>
                <c:pt idx="3">
                  <c:v>1978</c:v>
                </c:pt>
                <c:pt idx="4">
                  <c:v>1979</c:v>
                </c:pt>
                <c:pt idx="5">
                  <c:v>1980</c:v>
                </c:pt>
                <c:pt idx="6">
                  <c:v>1981</c:v>
                </c:pt>
                <c:pt idx="7">
                  <c:v>1982</c:v>
                </c:pt>
                <c:pt idx="8">
                  <c:v>1983</c:v>
                </c:pt>
                <c:pt idx="9">
                  <c:v>1984</c:v>
                </c:pt>
                <c:pt idx="10">
                  <c:v>1985</c:v>
                </c:pt>
              </c:strCache>
            </c:strRef>
          </c:cat>
          <c:val>
            <c:numRef>
              <c:f>'List3 (2)'!$C$6:$C$16</c:f>
              <c:numCache>
                <c:formatCode>General</c:formatCode>
                <c:ptCount val="11"/>
                <c:pt idx="0">
                  <c:v>3.68</c:v>
                </c:pt>
                <c:pt idx="1">
                  <c:v>3.65</c:v>
                </c:pt>
                <c:pt idx="2">
                  <c:v>3.64</c:v>
                </c:pt>
                <c:pt idx="3">
                  <c:v>3.63</c:v>
                </c:pt>
                <c:pt idx="4">
                  <c:v>3.63</c:v>
                </c:pt>
                <c:pt idx="5">
                  <c:v>3.63</c:v>
                </c:pt>
                <c:pt idx="6">
                  <c:v>3.63</c:v>
                </c:pt>
                <c:pt idx="7">
                  <c:v>3.63</c:v>
                </c:pt>
                <c:pt idx="8">
                  <c:v>3.63</c:v>
                </c:pt>
                <c:pt idx="9">
                  <c:v>3.64</c:v>
                </c:pt>
                <c:pt idx="10">
                  <c:v>3.63</c:v>
                </c:pt>
              </c:numCache>
            </c:numRef>
          </c:val>
        </c:ser>
        <c:ser>
          <c:idx val="1"/>
          <c:order val="1"/>
          <c:tx>
            <c:strRef>
              <c:f>'List3 (2)'!$D$5</c:f>
              <c:strCache>
                <c:ptCount val="1"/>
                <c:pt idx="0">
                  <c:v>HNP</c:v>
                </c:pt>
              </c:strCache>
            </c:strRef>
          </c:tx>
          <c:marker>
            <c:symbol val="none"/>
          </c:marker>
          <c:cat>
            <c:strRef>
              <c:f>'List3 (2)'!$A$6:$A$16</c:f>
              <c:strCache>
                <c:ptCount val="11"/>
                <c:pt idx="0">
                  <c:v>1975</c:v>
                </c:pt>
                <c:pt idx="1">
                  <c:v>1976</c:v>
                </c:pt>
                <c:pt idx="2">
                  <c:v>1977</c:v>
                </c:pt>
                <c:pt idx="3">
                  <c:v>1978</c:v>
                </c:pt>
                <c:pt idx="4">
                  <c:v>1979</c:v>
                </c:pt>
                <c:pt idx="5">
                  <c:v>1980</c:v>
                </c:pt>
                <c:pt idx="6">
                  <c:v>1981</c:v>
                </c:pt>
                <c:pt idx="7">
                  <c:v>1982</c:v>
                </c:pt>
                <c:pt idx="8">
                  <c:v>1983</c:v>
                </c:pt>
                <c:pt idx="9">
                  <c:v>1984</c:v>
                </c:pt>
                <c:pt idx="10">
                  <c:v>1985</c:v>
                </c:pt>
              </c:strCache>
            </c:strRef>
          </c:cat>
          <c:val>
            <c:numRef>
              <c:f>'List3 (2)'!$D$6:$D$16</c:f>
              <c:numCache>
                <c:formatCode>General</c:formatCode>
                <c:ptCount val="11"/>
                <c:pt idx="0">
                  <c:v>4.4400000000000004</c:v>
                </c:pt>
                <c:pt idx="1">
                  <c:v>4.55</c:v>
                </c:pt>
                <c:pt idx="2">
                  <c:v>4.17</c:v>
                </c:pt>
                <c:pt idx="3">
                  <c:v>3.05</c:v>
                </c:pt>
                <c:pt idx="4">
                  <c:v>2.61</c:v>
                </c:pt>
                <c:pt idx="5">
                  <c:v>2.4099999999999997</c:v>
                </c:pt>
                <c:pt idx="6">
                  <c:v>4.21</c:v>
                </c:pt>
                <c:pt idx="7">
                  <c:v>4.71</c:v>
                </c:pt>
                <c:pt idx="8">
                  <c:v>5.28</c:v>
                </c:pt>
                <c:pt idx="9">
                  <c:v>4.87</c:v>
                </c:pt>
                <c:pt idx="10">
                  <c:v>5.01</c:v>
                </c:pt>
              </c:numCache>
            </c:numRef>
          </c:val>
        </c:ser>
        <c:ser>
          <c:idx val="2"/>
          <c:order val="2"/>
          <c:tx>
            <c:strRef>
              <c:f>'List3 (2)'!$E$5</c:f>
              <c:strCache>
                <c:ptCount val="1"/>
                <c:pt idx="0">
                  <c:v>Velikost ozbrojených sil</c:v>
                </c:pt>
              </c:strCache>
            </c:strRef>
          </c:tx>
          <c:marker>
            <c:symbol val="none"/>
          </c:marker>
          <c:cat>
            <c:strRef>
              <c:f>'List3 (2)'!$A$6:$A$16</c:f>
              <c:strCache>
                <c:ptCount val="11"/>
                <c:pt idx="0">
                  <c:v>1975</c:v>
                </c:pt>
                <c:pt idx="1">
                  <c:v>1976</c:v>
                </c:pt>
                <c:pt idx="2">
                  <c:v>1977</c:v>
                </c:pt>
                <c:pt idx="3">
                  <c:v>1978</c:v>
                </c:pt>
                <c:pt idx="4">
                  <c:v>1979</c:v>
                </c:pt>
                <c:pt idx="5">
                  <c:v>1980</c:v>
                </c:pt>
                <c:pt idx="6">
                  <c:v>1981</c:v>
                </c:pt>
                <c:pt idx="7">
                  <c:v>1982</c:v>
                </c:pt>
                <c:pt idx="8">
                  <c:v>1983</c:v>
                </c:pt>
                <c:pt idx="9">
                  <c:v>1984</c:v>
                </c:pt>
                <c:pt idx="10">
                  <c:v>1985</c:v>
                </c:pt>
              </c:strCache>
            </c:strRef>
          </c:cat>
          <c:val>
            <c:numRef>
              <c:f>'List3 (2)'!$E$6:$E$16</c:f>
              <c:numCache>
                <c:formatCode>General</c:formatCode>
                <c:ptCount val="11"/>
                <c:pt idx="0">
                  <c:v>3.9699999999999998</c:v>
                </c:pt>
                <c:pt idx="1">
                  <c:v>3.4699999999999998</c:v>
                </c:pt>
                <c:pt idx="2">
                  <c:v>4.29</c:v>
                </c:pt>
                <c:pt idx="3">
                  <c:v>1.57</c:v>
                </c:pt>
                <c:pt idx="4">
                  <c:v>1.43</c:v>
                </c:pt>
                <c:pt idx="5">
                  <c:v>1.29</c:v>
                </c:pt>
                <c:pt idx="6">
                  <c:v>1.35</c:v>
                </c:pt>
                <c:pt idx="7">
                  <c:v>1.34</c:v>
                </c:pt>
                <c:pt idx="8">
                  <c:v>1.47</c:v>
                </c:pt>
                <c:pt idx="9">
                  <c:v>0.94000000000000061</c:v>
                </c:pt>
                <c:pt idx="10">
                  <c:v>0.95000000000000062</c:v>
                </c:pt>
              </c:numCache>
            </c:numRef>
          </c:val>
        </c:ser>
        <c:ser>
          <c:idx val="3"/>
          <c:order val="3"/>
          <c:tx>
            <c:strRef>
              <c:f>'List3 (2)'!$F$5</c:f>
              <c:strCache>
                <c:ptCount val="1"/>
                <c:pt idx="0">
                  <c:v>Obrana</c:v>
                </c:pt>
              </c:strCache>
            </c:strRef>
          </c:tx>
          <c:marker>
            <c:symbol val="none"/>
          </c:marker>
          <c:cat>
            <c:strRef>
              <c:f>'List3 (2)'!$A$6:$A$16</c:f>
              <c:strCache>
                <c:ptCount val="11"/>
                <c:pt idx="0">
                  <c:v>1975</c:v>
                </c:pt>
                <c:pt idx="1">
                  <c:v>1976</c:v>
                </c:pt>
                <c:pt idx="2">
                  <c:v>1977</c:v>
                </c:pt>
                <c:pt idx="3">
                  <c:v>1978</c:v>
                </c:pt>
                <c:pt idx="4">
                  <c:v>1979</c:v>
                </c:pt>
                <c:pt idx="5">
                  <c:v>1980</c:v>
                </c:pt>
                <c:pt idx="6">
                  <c:v>1981</c:v>
                </c:pt>
                <c:pt idx="7">
                  <c:v>1982</c:v>
                </c:pt>
                <c:pt idx="8">
                  <c:v>1983</c:v>
                </c:pt>
                <c:pt idx="9">
                  <c:v>1984</c:v>
                </c:pt>
                <c:pt idx="10">
                  <c:v>1985</c:v>
                </c:pt>
              </c:strCache>
            </c:strRef>
          </c:cat>
          <c:val>
            <c:numRef>
              <c:f>'List3 (2)'!$F$6:$F$16</c:f>
              <c:numCache>
                <c:formatCode>General</c:formatCode>
                <c:ptCount val="11"/>
                <c:pt idx="0">
                  <c:v>4.45</c:v>
                </c:pt>
                <c:pt idx="1">
                  <c:v>4.1199999999999966</c:v>
                </c:pt>
                <c:pt idx="2">
                  <c:v>2.7800000000000002</c:v>
                </c:pt>
                <c:pt idx="3">
                  <c:v>2.6</c:v>
                </c:pt>
                <c:pt idx="4">
                  <c:v>1.57</c:v>
                </c:pt>
                <c:pt idx="5">
                  <c:v>0.83000000000000063</c:v>
                </c:pt>
                <c:pt idx="6">
                  <c:v>0.72000000000000064</c:v>
                </c:pt>
                <c:pt idx="7">
                  <c:v>0.81</c:v>
                </c:pt>
                <c:pt idx="8">
                  <c:v>0.83000000000000063</c:v>
                </c:pt>
                <c:pt idx="9">
                  <c:v>1.01</c:v>
                </c:pt>
                <c:pt idx="10">
                  <c:v>0</c:v>
                </c:pt>
              </c:numCache>
            </c:numRef>
          </c:val>
        </c:ser>
        <c:marker val="1"/>
        <c:axId val="75788672"/>
        <c:axId val="75790208"/>
      </c:lineChart>
      <c:catAx>
        <c:axId val="75788672"/>
        <c:scaling>
          <c:orientation val="minMax"/>
        </c:scaling>
        <c:axPos val="b"/>
        <c:majorGridlines/>
        <c:tickLblPos val="nextTo"/>
        <c:crossAx val="75790208"/>
        <c:crosses val="autoZero"/>
        <c:auto val="1"/>
        <c:lblAlgn val="ctr"/>
        <c:lblOffset val="100"/>
      </c:catAx>
      <c:valAx>
        <c:axId val="75790208"/>
        <c:scaling>
          <c:orientation val="minMax"/>
        </c:scaling>
        <c:axPos val="l"/>
        <c:majorGridlines/>
        <c:numFmt formatCode="General" sourceLinked="1"/>
        <c:tickLblPos val="nextTo"/>
        <c:crossAx val="75788672"/>
        <c:crosses val="autoZero"/>
        <c:crossBetween val="between"/>
      </c:valAx>
    </c:plotArea>
    <c:legend>
      <c:legendPos val="r"/>
      <c:layout>
        <c:manualLayout>
          <c:xMode val="edge"/>
          <c:yMode val="edge"/>
          <c:x val="7.0093317472007227E-2"/>
          <c:y val="0.62109814723569623"/>
          <c:w val="0.23077531975169771"/>
          <c:h val="0.24186518544807753"/>
        </c:manualLayout>
      </c:layout>
      <c:spPr>
        <a:solidFill>
          <a:schemeClr val="bg1"/>
        </a:solidFill>
      </c:spPr>
      <c:txPr>
        <a:bodyPr/>
        <a:lstStyle/>
        <a:p>
          <a:pPr>
            <a:defRPr sz="900"/>
          </a:pPr>
          <a:endParaRPr lang="cs-CZ"/>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title/>
    <c:plotArea>
      <c:layout/>
      <c:lineChart>
        <c:grouping val="standard"/>
        <c:ser>
          <c:idx val="0"/>
          <c:order val="0"/>
          <c:tx>
            <c:strRef>
              <c:f>'List3 (2)'!$G$5</c:f>
              <c:strCache>
                <c:ptCount val="1"/>
                <c:pt idx="0">
                  <c:v>Koef.</c:v>
                </c:pt>
              </c:strCache>
            </c:strRef>
          </c:tx>
          <c:marker>
            <c:symbol val="none"/>
          </c:marker>
          <c:cat>
            <c:strRef>
              <c:f>'List3 (2)'!$A$6:$A$16</c:f>
              <c:strCache>
                <c:ptCount val="11"/>
                <c:pt idx="0">
                  <c:v>1975</c:v>
                </c:pt>
                <c:pt idx="1">
                  <c:v>1976</c:v>
                </c:pt>
                <c:pt idx="2">
                  <c:v>1977</c:v>
                </c:pt>
                <c:pt idx="3">
                  <c:v>1978</c:v>
                </c:pt>
                <c:pt idx="4">
                  <c:v>1979</c:v>
                </c:pt>
                <c:pt idx="5">
                  <c:v>1980</c:v>
                </c:pt>
                <c:pt idx="6">
                  <c:v>1981</c:v>
                </c:pt>
                <c:pt idx="7">
                  <c:v>1982</c:v>
                </c:pt>
                <c:pt idx="8">
                  <c:v>1983</c:v>
                </c:pt>
                <c:pt idx="9">
                  <c:v>1984</c:v>
                </c:pt>
                <c:pt idx="10">
                  <c:v>1985</c:v>
                </c:pt>
              </c:strCache>
            </c:strRef>
          </c:cat>
          <c:val>
            <c:numRef>
              <c:f>'List3 (2)'!$G$6:$G$16</c:f>
              <c:numCache>
                <c:formatCode>General</c:formatCode>
                <c:ptCount val="11"/>
                <c:pt idx="0">
                  <c:v>4.2269999999999985</c:v>
                </c:pt>
                <c:pt idx="1">
                  <c:v>3.964</c:v>
                </c:pt>
                <c:pt idx="2">
                  <c:v>3.5970000000000004</c:v>
                </c:pt>
                <c:pt idx="3">
                  <c:v>2.484</c:v>
                </c:pt>
                <c:pt idx="4">
                  <c:v>1.9420000000000124</c:v>
                </c:pt>
                <c:pt idx="5">
                  <c:v>1.5640000000000001</c:v>
                </c:pt>
                <c:pt idx="6">
                  <c:v>1.8980000000000001</c:v>
                </c:pt>
                <c:pt idx="7">
                  <c:v>2.0309999999999997</c:v>
                </c:pt>
                <c:pt idx="8">
                  <c:v>2.1919999999999997</c:v>
                </c:pt>
                <c:pt idx="9">
                  <c:v>2.024</c:v>
                </c:pt>
                <c:pt idx="10">
                  <c:v>1.6500000000000001</c:v>
                </c:pt>
              </c:numCache>
            </c:numRef>
          </c:val>
        </c:ser>
        <c:marker val="1"/>
        <c:axId val="78173312"/>
        <c:axId val="78174848"/>
      </c:lineChart>
      <c:catAx>
        <c:axId val="78173312"/>
        <c:scaling>
          <c:orientation val="minMax"/>
        </c:scaling>
        <c:axPos val="b"/>
        <c:majorGridlines/>
        <c:tickLblPos val="nextTo"/>
        <c:crossAx val="78174848"/>
        <c:crosses val="autoZero"/>
        <c:auto val="1"/>
        <c:lblAlgn val="ctr"/>
        <c:lblOffset val="100"/>
      </c:catAx>
      <c:valAx>
        <c:axId val="78174848"/>
        <c:scaling>
          <c:orientation val="minMax"/>
        </c:scaling>
        <c:axPos val="l"/>
        <c:majorGridlines/>
        <c:numFmt formatCode="General" sourceLinked="1"/>
        <c:tickLblPos val="nextTo"/>
        <c:crossAx val="78173312"/>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plotArea>
      <c:layout/>
      <c:lineChart>
        <c:grouping val="standard"/>
        <c:ser>
          <c:idx val="0"/>
          <c:order val="0"/>
          <c:tx>
            <c:strRef>
              <c:f>Sheet1!$A$2</c:f>
              <c:strCache>
                <c:ptCount val="1"/>
                <c:pt idx="0">
                  <c:v>Sýrie</c:v>
                </c:pt>
              </c:strCache>
            </c:strRef>
          </c:tx>
          <c:cat>
            <c:strRef>
              <c:f>Sheet1!$B$1:$L$1</c:f>
              <c:strCache>
                <c:ptCount val="11"/>
                <c:pt idx="0">
                  <c:v>1975</c:v>
                </c:pt>
                <c:pt idx="1">
                  <c:v>1976</c:v>
                </c:pt>
                <c:pt idx="2">
                  <c:v>1977</c:v>
                </c:pt>
                <c:pt idx="3">
                  <c:v>1978</c:v>
                </c:pt>
                <c:pt idx="4">
                  <c:v>1979</c:v>
                </c:pt>
                <c:pt idx="5">
                  <c:v>1980</c:v>
                </c:pt>
                <c:pt idx="6">
                  <c:v>1981</c:v>
                </c:pt>
                <c:pt idx="7">
                  <c:v>1982</c:v>
                </c:pt>
                <c:pt idx="8">
                  <c:v>1983</c:v>
                </c:pt>
                <c:pt idx="9">
                  <c:v>1984</c:v>
                </c:pt>
                <c:pt idx="10">
                  <c:v>1985</c:v>
                </c:pt>
              </c:strCache>
            </c:strRef>
          </c:cat>
          <c:val>
            <c:numRef>
              <c:f>Sheet1!$B$2:$L$2</c:f>
              <c:numCache>
                <c:formatCode>#,##0</c:formatCode>
                <c:ptCount val="11"/>
                <c:pt idx="0">
                  <c:v>1259</c:v>
                </c:pt>
                <c:pt idx="1">
                  <c:v>462</c:v>
                </c:pt>
                <c:pt idx="2">
                  <c:v>898</c:v>
                </c:pt>
                <c:pt idx="3">
                  <c:v>881</c:v>
                </c:pt>
                <c:pt idx="4">
                  <c:v>2115</c:v>
                </c:pt>
                <c:pt idx="5">
                  <c:v>2018</c:v>
                </c:pt>
                <c:pt idx="6">
                  <c:v>1416</c:v>
                </c:pt>
                <c:pt idx="7">
                  <c:v>2065</c:v>
                </c:pt>
                <c:pt idx="8">
                  <c:v>2396</c:v>
                </c:pt>
                <c:pt idx="9">
                  <c:v>1907</c:v>
                </c:pt>
                <c:pt idx="10">
                  <c:v>1645</c:v>
                </c:pt>
              </c:numCache>
            </c:numRef>
          </c:val>
        </c:ser>
        <c:ser>
          <c:idx val="1"/>
          <c:order val="1"/>
          <c:tx>
            <c:strRef>
              <c:f>Sheet1!$A$3</c:f>
              <c:strCache>
                <c:ptCount val="1"/>
                <c:pt idx="0">
                  <c:v>Írán</c:v>
                </c:pt>
              </c:strCache>
            </c:strRef>
          </c:tx>
          <c:cat>
            <c:strRef>
              <c:f>Sheet1!$B$1:$L$1</c:f>
              <c:strCache>
                <c:ptCount val="11"/>
                <c:pt idx="0">
                  <c:v>1975</c:v>
                </c:pt>
                <c:pt idx="1">
                  <c:v>1976</c:v>
                </c:pt>
                <c:pt idx="2">
                  <c:v>1977</c:v>
                </c:pt>
                <c:pt idx="3">
                  <c:v>1978</c:v>
                </c:pt>
                <c:pt idx="4">
                  <c:v>1979</c:v>
                </c:pt>
                <c:pt idx="5">
                  <c:v>1980</c:v>
                </c:pt>
                <c:pt idx="6">
                  <c:v>1981</c:v>
                </c:pt>
                <c:pt idx="7">
                  <c:v>1982</c:v>
                </c:pt>
                <c:pt idx="8">
                  <c:v>1983</c:v>
                </c:pt>
                <c:pt idx="9">
                  <c:v>1984</c:v>
                </c:pt>
                <c:pt idx="10">
                  <c:v>1985</c:v>
                </c:pt>
              </c:strCache>
            </c:strRef>
          </c:cat>
          <c:val>
            <c:numRef>
              <c:f>Sheet1!$B$3:$L$3</c:f>
              <c:numCache>
                <c:formatCode>#,##0</c:formatCode>
                <c:ptCount val="11"/>
                <c:pt idx="0">
                  <c:v>5211</c:v>
                </c:pt>
                <c:pt idx="1">
                  <c:v>4604</c:v>
                </c:pt>
                <c:pt idx="2">
                  <c:v>5655</c:v>
                </c:pt>
                <c:pt idx="3">
                  <c:v>3872</c:v>
                </c:pt>
                <c:pt idx="4">
                  <c:v>567</c:v>
                </c:pt>
                <c:pt idx="5">
                  <c:v>278</c:v>
                </c:pt>
                <c:pt idx="6">
                  <c:v>486</c:v>
                </c:pt>
                <c:pt idx="7">
                  <c:v>552</c:v>
                </c:pt>
                <c:pt idx="8">
                  <c:v>519</c:v>
                </c:pt>
                <c:pt idx="9">
                  <c:v>486</c:v>
                </c:pt>
                <c:pt idx="10">
                  <c:v>647</c:v>
                </c:pt>
              </c:numCache>
            </c:numRef>
          </c:val>
        </c:ser>
        <c:ser>
          <c:idx val="2"/>
          <c:order val="2"/>
          <c:tx>
            <c:strRef>
              <c:f>Sheet1!$A$4</c:f>
              <c:strCache>
                <c:ptCount val="1"/>
                <c:pt idx="0">
                  <c:v>Irák</c:v>
                </c:pt>
              </c:strCache>
            </c:strRef>
          </c:tx>
          <c:cat>
            <c:strRef>
              <c:f>Sheet1!$B$1:$L$1</c:f>
              <c:strCache>
                <c:ptCount val="11"/>
                <c:pt idx="0">
                  <c:v>1975</c:v>
                </c:pt>
                <c:pt idx="1">
                  <c:v>1976</c:v>
                </c:pt>
                <c:pt idx="2">
                  <c:v>1977</c:v>
                </c:pt>
                <c:pt idx="3">
                  <c:v>1978</c:v>
                </c:pt>
                <c:pt idx="4">
                  <c:v>1979</c:v>
                </c:pt>
                <c:pt idx="5">
                  <c:v>1980</c:v>
                </c:pt>
                <c:pt idx="6">
                  <c:v>1981</c:v>
                </c:pt>
                <c:pt idx="7">
                  <c:v>1982</c:v>
                </c:pt>
                <c:pt idx="8">
                  <c:v>1983</c:v>
                </c:pt>
                <c:pt idx="9">
                  <c:v>1984</c:v>
                </c:pt>
                <c:pt idx="10">
                  <c:v>1985</c:v>
                </c:pt>
              </c:strCache>
            </c:strRef>
          </c:cat>
          <c:val>
            <c:numRef>
              <c:f>Sheet1!$B$4:$L$4</c:f>
              <c:numCache>
                <c:formatCode>#,##0</c:formatCode>
                <c:ptCount val="11"/>
                <c:pt idx="0">
                  <c:v>1097</c:v>
                </c:pt>
                <c:pt idx="1">
                  <c:v>1134</c:v>
                </c:pt>
                <c:pt idx="2">
                  <c:v>1098</c:v>
                </c:pt>
                <c:pt idx="3">
                  <c:v>1832</c:v>
                </c:pt>
                <c:pt idx="4">
                  <c:v>1243</c:v>
                </c:pt>
                <c:pt idx="5">
                  <c:v>2134</c:v>
                </c:pt>
                <c:pt idx="6">
                  <c:v>2561</c:v>
                </c:pt>
                <c:pt idx="7">
                  <c:v>3196</c:v>
                </c:pt>
                <c:pt idx="8">
                  <c:v>3362</c:v>
                </c:pt>
                <c:pt idx="9">
                  <c:v>4657</c:v>
                </c:pt>
                <c:pt idx="10">
                  <c:v>4084</c:v>
                </c:pt>
              </c:numCache>
            </c:numRef>
          </c:val>
        </c:ser>
        <c:ser>
          <c:idx val="3"/>
          <c:order val="3"/>
          <c:tx>
            <c:strRef>
              <c:f>Sheet1!$A$5</c:f>
              <c:strCache>
                <c:ptCount val="1"/>
                <c:pt idx="0">
                  <c:v>           </c:v>
                </c:pt>
              </c:strCache>
            </c:strRef>
          </c:tx>
          <c:cat>
            <c:strRef>
              <c:f>Sheet1!$B$1:$L$1</c:f>
              <c:strCache>
                <c:ptCount val="11"/>
                <c:pt idx="0">
                  <c:v>1975</c:v>
                </c:pt>
                <c:pt idx="1">
                  <c:v>1976</c:v>
                </c:pt>
                <c:pt idx="2">
                  <c:v>1977</c:v>
                </c:pt>
                <c:pt idx="3">
                  <c:v>1978</c:v>
                </c:pt>
                <c:pt idx="4">
                  <c:v>1979</c:v>
                </c:pt>
                <c:pt idx="5">
                  <c:v>1980</c:v>
                </c:pt>
                <c:pt idx="6">
                  <c:v>1981</c:v>
                </c:pt>
                <c:pt idx="7">
                  <c:v>1982</c:v>
                </c:pt>
                <c:pt idx="8">
                  <c:v>1983</c:v>
                </c:pt>
                <c:pt idx="9">
                  <c:v>1984</c:v>
                </c:pt>
                <c:pt idx="10">
                  <c:v>1985</c:v>
                </c:pt>
              </c:strCache>
            </c:strRef>
          </c:cat>
          <c:val>
            <c:numRef>
              <c:f>Sheet1!$B$5:$L$5</c:f>
              <c:numCache>
                <c:formatCode>General</c:formatCode>
                <c:ptCount val="11"/>
              </c:numCache>
            </c:numRef>
          </c:val>
        </c:ser>
        <c:ser>
          <c:idx val="4"/>
          <c:order val="4"/>
          <c:tx>
            <c:strRef>
              <c:f>Sheet1!$A$6</c:f>
              <c:strCache>
                <c:ptCount val="1"/>
                <c:pt idx="0">
                  <c:v> Data are in millions</c:v>
                </c:pt>
              </c:strCache>
            </c:strRef>
          </c:tx>
          <c:cat>
            <c:strRef>
              <c:f>Sheet1!$B$1:$L$1</c:f>
              <c:strCache>
                <c:ptCount val="11"/>
                <c:pt idx="0">
                  <c:v>1975</c:v>
                </c:pt>
                <c:pt idx="1">
                  <c:v>1976</c:v>
                </c:pt>
                <c:pt idx="2">
                  <c:v>1977</c:v>
                </c:pt>
                <c:pt idx="3">
                  <c:v>1978</c:v>
                </c:pt>
                <c:pt idx="4">
                  <c:v>1979</c:v>
                </c:pt>
                <c:pt idx="5">
                  <c:v>1980</c:v>
                </c:pt>
                <c:pt idx="6">
                  <c:v>1981</c:v>
                </c:pt>
                <c:pt idx="7">
                  <c:v>1982</c:v>
                </c:pt>
                <c:pt idx="8">
                  <c:v>1983</c:v>
                </c:pt>
                <c:pt idx="9">
                  <c:v>1984</c:v>
                </c:pt>
                <c:pt idx="10">
                  <c:v>1985</c:v>
                </c:pt>
              </c:strCache>
            </c:strRef>
          </c:cat>
          <c:val>
            <c:numRef>
              <c:f>Sheet1!$B$6:$L$6</c:f>
              <c:numCache>
                <c:formatCode>General</c:formatCode>
                <c:ptCount val="11"/>
              </c:numCache>
            </c:numRef>
          </c:val>
        </c:ser>
        <c:ser>
          <c:idx val="5"/>
          <c:order val="5"/>
          <c:tx>
            <c:strRef>
              <c:f>Sheet1!$A$7</c:f>
              <c:strCache>
                <c:ptCount val="1"/>
                <c:pt idx="0">
                  <c:v>             Page: Series: Arms imports (constant 1990 US$) Row: Country Column: Time</c:v>
                </c:pt>
              </c:strCache>
            </c:strRef>
          </c:tx>
          <c:cat>
            <c:strRef>
              <c:f>Sheet1!$B$1:$L$1</c:f>
              <c:strCache>
                <c:ptCount val="11"/>
                <c:pt idx="0">
                  <c:v>1975</c:v>
                </c:pt>
                <c:pt idx="1">
                  <c:v>1976</c:v>
                </c:pt>
                <c:pt idx="2">
                  <c:v>1977</c:v>
                </c:pt>
                <c:pt idx="3">
                  <c:v>1978</c:v>
                </c:pt>
                <c:pt idx="4">
                  <c:v>1979</c:v>
                </c:pt>
                <c:pt idx="5">
                  <c:v>1980</c:v>
                </c:pt>
                <c:pt idx="6">
                  <c:v>1981</c:v>
                </c:pt>
                <c:pt idx="7">
                  <c:v>1982</c:v>
                </c:pt>
                <c:pt idx="8">
                  <c:v>1983</c:v>
                </c:pt>
                <c:pt idx="9">
                  <c:v>1984</c:v>
                </c:pt>
                <c:pt idx="10">
                  <c:v>1985</c:v>
                </c:pt>
              </c:strCache>
            </c:strRef>
          </c:cat>
          <c:val>
            <c:numRef>
              <c:f>Sheet1!$B$7:$L$7</c:f>
              <c:numCache>
                <c:formatCode>General</c:formatCode>
                <c:ptCount val="11"/>
              </c:numCache>
            </c:numRef>
          </c:val>
        </c:ser>
        <c:marker val="1"/>
        <c:axId val="87000960"/>
        <c:axId val="87002496"/>
      </c:lineChart>
      <c:catAx>
        <c:axId val="87000960"/>
        <c:scaling>
          <c:orientation val="minMax"/>
        </c:scaling>
        <c:axPos val="b"/>
        <c:tickLblPos val="nextTo"/>
        <c:crossAx val="87002496"/>
        <c:crosses val="autoZero"/>
        <c:auto val="1"/>
        <c:lblAlgn val="ctr"/>
        <c:lblOffset val="100"/>
      </c:catAx>
      <c:valAx>
        <c:axId val="87002496"/>
        <c:scaling>
          <c:orientation val="minMax"/>
        </c:scaling>
        <c:axPos val="l"/>
        <c:majorGridlines/>
        <c:numFmt formatCode="#,##0" sourceLinked="1"/>
        <c:tickLblPos val="nextTo"/>
        <c:crossAx val="87000960"/>
        <c:crosses val="autoZero"/>
        <c:crossBetween val="between"/>
      </c:valAx>
    </c:plotArea>
    <c:legend>
      <c:legendPos val="r"/>
      <c:legendEntry>
        <c:idx val="3"/>
        <c:delete val="1"/>
      </c:legendEntry>
    </c:legend>
    <c:plotVisOnly val="1"/>
  </c:chart>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29C8C-AB10-492C-97AA-85793616E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54</Pages>
  <Words>15068</Words>
  <Characters>88908</Characters>
  <Application>Microsoft Office Word</Application>
  <DocSecurity>0</DocSecurity>
  <Lines>740</Lines>
  <Paragraphs>207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dc:creator>
  <cp:lastModifiedBy>Karol</cp:lastModifiedBy>
  <cp:revision>35</cp:revision>
  <cp:lastPrinted>2013-04-25T22:48:00Z</cp:lastPrinted>
  <dcterms:created xsi:type="dcterms:W3CDTF">2013-04-25T22:48:00Z</dcterms:created>
  <dcterms:modified xsi:type="dcterms:W3CDTF">2013-04-26T00:44:00Z</dcterms:modified>
</cp:coreProperties>
</file>