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73" w:rsidRPr="00AE19A4" w:rsidRDefault="00F85A73" w:rsidP="00AE19A4">
      <w:pPr>
        <w:spacing w:before="240" w:after="240"/>
        <w:jc w:val="center"/>
        <w:rPr>
          <w:b/>
        </w:rPr>
      </w:pPr>
      <w:r w:rsidRPr="00AE19A4">
        <w:rPr>
          <w:b/>
        </w:rPr>
        <w:t>Univerzita Palackého v Olomouci</w:t>
      </w:r>
    </w:p>
    <w:p w:rsidR="00F85A73" w:rsidRPr="00AE19A4" w:rsidRDefault="00F85A73" w:rsidP="00AE19A4">
      <w:pPr>
        <w:spacing w:before="240" w:after="240"/>
        <w:jc w:val="center"/>
        <w:rPr>
          <w:b/>
        </w:rPr>
      </w:pPr>
      <w:r w:rsidRPr="00AE19A4">
        <w:rPr>
          <w:b/>
        </w:rPr>
        <w:t>Filozofická fakulta</w:t>
      </w:r>
    </w:p>
    <w:p w:rsidR="00F85A73" w:rsidRPr="00AE19A4" w:rsidRDefault="00F85A73" w:rsidP="00AE19A4">
      <w:pPr>
        <w:spacing w:before="240" w:after="240"/>
        <w:jc w:val="center"/>
        <w:rPr>
          <w:b/>
        </w:rPr>
      </w:pPr>
      <w:r w:rsidRPr="00AE19A4">
        <w:rPr>
          <w:b/>
        </w:rPr>
        <w:t>Katedra politologie a evropských studií</w:t>
      </w:r>
    </w:p>
    <w:p w:rsidR="00F85A73" w:rsidRPr="00AE19A4" w:rsidRDefault="00F85A73" w:rsidP="00AE19A4">
      <w:pPr>
        <w:spacing w:before="240" w:after="240"/>
        <w:jc w:val="center"/>
      </w:pPr>
    </w:p>
    <w:p w:rsidR="00F85A73" w:rsidRPr="00AE19A4" w:rsidRDefault="00F85A73" w:rsidP="00AE19A4">
      <w:pPr>
        <w:spacing w:before="240" w:after="240"/>
        <w:jc w:val="center"/>
      </w:pPr>
    </w:p>
    <w:p w:rsidR="00AB05F4" w:rsidRPr="00AE19A4" w:rsidRDefault="00AB05F4" w:rsidP="00AE19A4">
      <w:pPr>
        <w:spacing w:before="240" w:after="240"/>
        <w:jc w:val="center"/>
      </w:pPr>
    </w:p>
    <w:p w:rsidR="00AB05F4" w:rsidRPr="00AE19A4" w:rsidRDefault="00AB05F4" w:rsidP="00AE19A4">
      <w:pPr>
        <w:spacing w:before="240" w:after="240"/>
        <w:jc w:val="center"/>
      </w:pPr>
    </w:p>
    <w:p w:rsidR="00F85A73" w:rsidRPr="00AE19A4" w:rsidRDefault="00F85A73" w:rsidP="00AE19A4">
      <w:pPr>
        <w:spacing w:before="240" w:after="240"/>
        <w:jc w:val="center"/>
      </w:pPr>
      <w:r w:rsidRPr="00AE19A4">
        <w:t>Martin Vybíral</w:t>
      </w:r>
    </w:p>
    <w:p w:rsidR="00F85A73" w:rsidRPr="00AE19A4" w:rsidRDefault="00F85A73" w:rsidP="00AE19A4">
      <w:pPr>
        <w:spacing w:before="240" w:after="240"/>
        <w:jc w:val="center"/>
        <w:rPr>
          <w:sz w:val="28"/>
          <w:szCs w:val="28"/>
        </w:rPr>
      </w:pPr>
    </w:p>
    <w:p w:rsidR="00F85A73" w:rsidRPr="00AE19A4" w:rsidRDefault="00F85A73" w:rsidP="00AE19A4">
      <w:pPr>
        <w:spacing w:before="240" w:after="240"/>
        <w:jc w:val="center"/>
        <w:rPr>
          <w:b/>
          <w:sz w:val="36"/>
          <w:szCs w:val="36"/>
        </w:rPr>
      </w:pPr>
      <w:r w:rsidRPr="00AE19A4">
        <w:rPr>
          <w:b/>
          <w:sz w:val="36"/>
          <w:szCs w:val="36"/>
        </w:rPr>
        <w:t xml:space="preserve">Kvalitativní komparativní analýza míry podpory </w:t>
      </w:r>
      <w:r w:rsidR="009656B6" w:rsidRPr="00AE19A4">
        <w:rPr>
          <w:b/>
          <w:sz w:val="36"/>
          <w:szCs w:val="36"/>
        </w:rPr>
        <w:t>Ukrajiny státy Evropské unie</w:t>
      </w:r>
    </w:p>
    <w:p w:rsidR="009656B6" w:rsidRPr="00AE19A4" w:rsidRDefault="009656B6" w:rsidP="00AE19A4">
      <w:pPr>
        <w:spacing w:before="240" w:after="240"/>
        <w:jc w:val="center"/>
      </w:pPr>
    </w:p>
    <w:p w:rsidR="00F85A73" w:rsidRPr="00AE19A4" w:rsidRDefault="00F85A73" w:rsidP="00AE19A4">
      <w:pPr>
        <w:spacing w:before="240" w:after="240"/>
        <w:jc w:val="center"/>
      </w:pPr>
      <w:r w:rsidRPr="00AE19A4">
        <w:t>Bakalářská práce</w:t>
      </w:r>
    </w:p>
    <w:p w:rsidR="00AB05F4" w:rsidRPr="00AE19A4" w:rsidRDefault="00AB05F4" w:rsidP="00AE19A4">
      <w:pPr>
        <w:spacing w:before="240" w:after="240"/>
        <w:ind w:firstLine="0"/>
      </w:pPr>
    </w:p>
    <w:p w:rsidR="00AB05F4" w:rsidRPr="00AE19A4" w:rsidRDefault="00AB05F4" w:rsidP="00AE19A4">
      <w:pPr>
        <w:spacing w:before="240" w:after="240"/>
        <w:ind w:firstLine="0"/>
      </w:pPr>
    </w:p>
    <w:p w:rsidR="00F85A73" w:rsidRPr="00AE19A4" w:rsidRDefault="00F85A73" w:rsidP="00AE19A4">
      <w:pPr>
        <w:spacing w:before="240" w:after="240"/>
        <w:jc w:val="center"/>
      </w:pPr>
      <w:r w:rsidRPr="00AE19A4">
        <w:rPr>
          <w:b/>
        </w:rPr>
        <w:t>Vedoucí práce:</w:t>
      </w:r>
      <w:r w:rsidRPr="00AE19A4">
        <w:t xml:space="preserve"> Mgr. et Mgr. Jakub Lysek, Ph.D.</w:t>
      </w:r>
    </w:p>
    <w:p w:rsidR="00AB05F4" w:rsidRPr="00AE19A4" w:rsidRDefault="00AB05F4" w:rsidP="00AE19A4">
      <w:pPr>
        <w:spacing w:before="240" w:after="240"/>
        <w:jc w:val="center"/>
      </w:pPr>
    </w:p>
    <w:p w:rsidR="00AB05F4" w:rsidRPr="00AE19A4" w:rsidRDefault="00AB05F4" w:rsidP="00AE19A4">
      <w:pPr>
        <w:spacing w:before="240" w:after="240"/>
        <w:jc w:val="center"/>
      </w:pPr>
    </w:p>
    <w:p w:rsidR="00AB05F4" w:rsidRPr="00AE19A4" w:rsidRDefault="00AB05F4" w:rsidP="00AE19A4">
      <w:pPr>
        <w:spacing w:before="240" w:after="240"/>
        <w:jc w:val="center"/>
      </w:pPr>
    </w:p>
    <w:p w:rsidR="0028220C" w:rsidRPr="00AE19A4" w:rsidRDefault="0028220C" w:rsidP="00AE19A4">
      <w:pPr>
        <w:spacing w:before="240" w:after="240"/>
        <w:jc w:val="center"/>
      </w:pPr>
    </w:p>
    <w:p w:rsidR="007B5668" w:rsidRDefault="00F85A73" w:rsidP="00AE19A4">
      <w:pPr>
        <w:spacing w:before="240" w:after="240"/>
        <w:jc w:val="center"/>
        <w:sectPr w:rsidR="007B5668" w:rsidSect="007B5668">
          <w:footerReference w:type="default" r:id="rId8"/>
          <w:footerReference w:type="first" r:id="rId9"/>
          <w:pgSz w:w="11906" w:h="16838"/>
          <w:pgMar w:top="1417" w:right="1417" w:bottom="1417" w:left="1417" w:header="708" w:footer="397" w:gutter="0"/>
          <w:pgNumType w:start="1"/>
          <w:cols w:space="708"/>
          <w:docGrid w:linePitch="360"/>
        </w:sectPr>
      </w:pPr>
      <w:r w:rsidRPr="00AE19A4">
        <w:t>Olomouc, 2024</w:t>
      </w:r>
    </w:p>
    <w:p w:rsidR="0028220C" w:rsidRPr="00AE19A4" w:rsidRDefault="0028220C" w:rsidP="00AE19A4">
      <w:pPr>
        <w:spacing w:before="240" w:after="240"/>
        <w:jc w:val="center"/>
      </w:pPr>
    </w:p>
    <w:p w:rsidR="0028220C" w:rsidRPr="00AE19A4" w:rsidRDefault="0028220C" w:rsidP="00AE19A4">
      <w:pPr>
        <w:spacing w:before="240" w:after="240"/>
        <w:jc w:val="left"/>
      </w:pPr>
    </w:p>
    <w:p w:rsidR="0028220C" w:rsidRPr="00AE19A4" w:rsidRDefault="0028220C" w:rsidP="00AE19A4">
      <w:pPr>
        <w:spacing w:before="240" w:after="240"/>
        <w:ind w:firstLine="0"/>
        <w:jc w:val="left"/>
      </w:pPr>
    </w:p>
    <w:p w:rsidR="0028220C" w:rsidRPr="00AE19A4" w:rsidRDefault="0028220C" w:rsidP="00AE19A4">
      <w:pPr>
        <w:spacing w:before="240" w:after="240"/>
        <w:ind w:firstLine="0"/>
        <w:jc w:val="left"/>
      </w:pPr>
    </w:p>
    <w:p w:rsidR="0028220C" w:rsidRPr="00AE19A4" w:rsidRDefault="0028220C" w:rsidP="00AE19A4">
      <w:pPr>
        <w:spacing w:before="240" w:after="240"/>
        <w:ind w:firstLine="0"/>
        <w:jc w:val="left"/>
      </w:pPr>
    </w:p>
    <w:p w:rsidR="0028220C" w:rsidRPr="00AE19A4" w:rsidRDefault="0028220C" w:rsidP="00AE19A4">
      <w:pPr>
        <w:spacing w:before="240" w:after="240"/>
        <w:ind w:firstLine="0"/>
        <w:jc w:val="left"/>
      </w:pPr>
    </w:p>
    <w:p w:rsidR="0028220C" w:rsidRPr="00AE19A4" w:rsidRDefault="0028220C" w:rsidP="00AE19A4">
      <w:pPr>
        <w:spacing w:before="240" w:after="240"/>
        <w:ind w:firstLine="0"/>
        <w:jc w:val="left"/>
      </w:pPr>
    </w:p>
    <w:p w:rsidR="0028220C" w:rsidRPr="00AE19A4" w:rsidRDefault="0028220C" w:rsidP="00AE19A4">
      <w:pPr>
        <w:spacing w:before="240" w:after="240"/>
        <w:ind w:firstLine="0"/>
        <w:jc w:val="left"/>
      </w:pPr>
    </w:p>
    <w:p w:rsidR="0028220C" w:rsidRPr="00AE19A4" w:rsidRDefault="0028220C" w:rsidP="00AE19A4">
      <w:pPr>
        <w:spacing w:before="240" w:after="240"/>
        <w:ind w:firstLine="0"/>
        <w:jc w:val="left"/>
      </w:pPr>
    </w:p>
    <w:p w:rsidR="0028220C" w:rsidRPr="00AE19A4" w:rsidRDefault="0028220C" w:rsidP="00AE19A4">
      <w:pPr>
        <w:spacing w:before="240" w:after="240"/>
        <w:ind w:firstLine="0"/>
        <w:jc w:val="left"/>
      </w:pPr>
    </w:p>
    <w:p w:rsidR="0028220C" w:rsidRPr="00AE19A4" w:rsidRDefault="0028220C" w:rsidP="00AE19A4">
      <w:pPr>
        <w:spacing w:before="240" w:after="240"/>
        <w:ind w:firstLine="0"/>
        <w:jc w:val="left"/>
      </w:pPr>
    </w:p>
    <w:p w:rsidR="0028220C" w:rsidRPr="00AE19A4" w:rsidRDefault="0028220C" w:rsidP="00AE19A4">
      <w:pPr>
        <w:spacing w:before="240" w:after="240"/>
        <w:ind w:firstLine="0"/>
        <w:jc w:val="left"/>
      </w:pPr>
    </w:p>
    <w:p w:rsidR="0028220C" w:rsidRPr="00AE19A4" w:rsidRDefault="0028220C" w:rsidP="00AE19A4">
      <w:pPr>
        <w:spacing w:before="240" w:after="240"/>
        <w:ind w:firstLine="0"/>
        <w:jc w:val="left"/>
      </w:pPr>
    </w:p>
    <w:p w:rsidR="0028220C" w:rsidRPr="00AE19A4" w:rsidRDefault="0028220C" w:rsidP="00AE19A4">
      <w:pPr>
        <w:spacing w:before="240" w:after="240"/>
        <w:ind w:firstLine="0"/>
        <w:jc w:val="left"/>
      </w:pPr>
    </w:p>
    <w:p w:rsidR="0028220C" w:rsidRPr="00AE19A4" w:rsidRDefault="0028220C" w:rsidP="00AE19A4">
      <w:pPr>
        <w:spacing w:before="240" w:after="240"/>
        <w:jc w:val="left"/>
      </w:pPr>
    </w:p>
    <w:p w:rsidR="0028220C" w:rsidRPr="00AE19A4" w:rsidRDefault="0028220C" w:rsidP="00AE19A4">
      <w:pPr>
        <w:spacing w:before="240" w:after="240"/>
        <w:jc w:val="left"/>
      </w:pPr>
    </w:p>
    <w:p w:rsidR="0028220C" w:rsidRPr="00AE19A4" w:rsidRDefault="0028220C" w:rsidP="00AE19A4">
      <w:pPr>
        <w:spacing w:before="240" w:after="240"/>
        <w:jc w:val="left"/>
      </w:pPr>
    </w:p>
    <w:p w:rsidR="0028220C" w:rsidRPr="00AE19A4" w:rsidRDefault="0028220C" w:rsidP="00AE19A4">
      <w:pPr>
        <w:spacing w:before="240" w:after="240"/>
        <w:ind w:firstLine="0"/>
        <w:jc w:val="left"/>
      </w:pPr>
      <w:r w:rsidRPr="00AE19A4">
        <w:t xml:space="preserve">Prohlašuji, že jsem </w:t>
      </w:r>
      <w:r w:rsidR="002051BC" w:rsidRPr="00AE19A4">
        <w:t>bakalářskou</w:t>
      </w:r>
      <w:r w:rsidRPr="00AE19A4">
        <w:t xml:space="preserve"> práci na téma „</w:t>
      </w:r>
      <w:r w:rsidR="002051BC" w:rsidRPr="00AE19A4">
        <w:t>Kvalitativní komparativní analýza míry podpory Ukrajiny státy Evropské unie</w:t>
      </w:r>
      <w:r w:rsidRPr="00AE19A4">
        <w:t xml:space="preserve">“ vypracoval samostatně a na základě </w:t>
      </w:r>
      <w:r w:rsidR="002051BC" w:rsidRPr="00AE19A4">
        <w:t>uvedené</w:t>
      </w:r>
      <w:r w:rsidRPr="00AE19A4">
        <w:t xml:space="preserve"> literatury. </w:t>
      </w:r>
    </w:p>
    <w:p w:rsidR="0028220C" w:rsidRPr="00AE19A4" w:rsidRDefault="002051BC" w:rsidP="00AE19A4">
      <w:pPr>
        <w:spacing w:before="240" w:after="240"/>
        <w:ind w:firstLine="0"/>
      </w:pPr>
      <w:r w:rsidRPr="00AE19A4">
        <w:t>V Olomouci dne</w:t>
      </w:r>
      <w:r w:rsidRPr="00AE19A4">
        <w:tab/>
      </w:r>
      <w:r w:rsidRPr="00AE19A4">
        <w:tab/>
      </w:r>
      <w:r w:rsidRPr="00AE19A4">
        <w:tab/>
      </w:r>
      <w:r w:rsidRPr="00AE19A4">
        <w:tab/>
      </w:r>
      <w:r w:rsidRPr="00AE19A4">
        <w:tab/>
      </w:r>
      <w:r w:rsidRPr="00AE19A4">
        <w:tab/>
        <w:t xml:space="preserve"> …………………………….</w:t>
      </w: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p>
    <w:p w:rsidR="00180AC6" w:rsidRPr="00AE19A4" w:rsidRDefault="00180AC6" w:rsidP="00AE19A4">
      <w:pPr>
        <w:spacing w:before="240" w:after="240"/>
        <w:ind w:firstLine="0"/>
      </w:pPr>
      <w:r w:rsidRPr="00AE19A4">
        <w:t>Velice rád bych zde poděkoval Mgr. et Mgr. Jakubu Lyskovi, Ph.D. za cenné rady, připomínky a především vstřícnost při vedení této bakalářské práce.</w:t>
      </w:r>
    </w:p>
    <w:bookmarkStart w:id="0" w:name="_Toc163488262" w:displacedByCustomXml="next"/>
    <w:sdt>
      <w:sdtPr>
        <w:rPr>
          <w:rFonts w:ascii="Times New Roman" w:eastAsia="Times New Roman" w:hAnsi="Times New Roman" w:cs="Times New Roman"/>
          <w:color w:val="auto"/>
          <w:sz w:val="24"/>
          <w:szCs w:val="24"/>
          <w:lang w:val="cs"/>
        </w:rPr>
        <w:id w:val="-1191215839"/>
        <w:docPartObj>
          <w:docPartGallery w:val="Table of Contents"/>
          <w:docPartUnique/>
        </w:docPartObj>
      </w:sdtPr>
      <w:sdtEndPr>
        <w:rPr>
          <w:b/>
          <w:bCs/>
        </w:rPr>
      </w:sdtEndPr>
      <w:sdtContent>
        <w:p w:rsidR="005965E0" w:rsidRPr="009763FD" w:rsidRDefault="005965E0">
          <w:pPr>
            <w:pStyle w:val="Nadpisobsahu"/>
            <w:rPr>
              <w:rFonts w:ascii="Times New Roman" w:hAnsi="Times New Roman" w:cs="Times New Roman"/>
              <w:color w:val="auto"/>
            </w:rPr>
          </w:pPr>
          <w:r w:rsidRPr="009763FD">
            <w:rPr>
              <w:rFonts w:ascii="Times New Roman" w:hAnsi="Times New Roman" w:cs="Times New Roman"/>
              <w:color w:val="auto"/>
            </w:rPr>
            <w:t>Obsah</w:t>
          </w:r>
        </w:p>
        <w:p w:rsidR="00100172" w:rsidRPr="00100172" w:rsidRDefault="005965E0">
          <w:pPr>
            <w:pStyle w:val="Obsah1"/>
            <w:tabs>
              <w:tab w:val="right" w:leader="dot" w:pos="9062"/>
            </w:tabs>
            <w:rPr>
              <w:rFonts w:asciiTheme="minorHAnsi" w:eastAsiaTheme="minorEastAsia" w:hAnsiTheme="minorHAnsi" w:cstheme="minorBidi"/>
              <w:noProof/>
              <w:sz w:val="22"/>
              <w:szCs w:val="22"/>
              <w:lang w:val="cs-CZ"/>
            </w:rPr>
          </w:pPr>
          <w:r w:rsidRPr="0080318C">
            <w:rPr>
              <w:bCs/>
            </w:rPr>
            <w:fldChar w:fldCharType="begin"/>
          </w:r>
          <w:r w:rsidRPr="0080318C">
            <w:rPr>
              <w:bCs/>
            </w:rPr>
            <w:instrText xml:space="preserve"> TOC \o "1-3" \h \z \u </w:instrText>
          </w:r>
          <w:r w:rsidRPr="0080318C">
            <w:rPr>
              <w:bCs/>
            </w:rPr>
            <w:fldChar w:fldCharType="separate"/>
          </w:r>
          <w:hyperlink w:anchor="_Toc164808696" w:history="1">
            <w:r w:rsidR="00100172" w:rsidRPr="00100172">
              <w:rPr>
                <w:rStyle w:val="Hypertextovodkaz"/>
                <w:noProof/>
              </w:rPr>
              <w:t>1. Úvod</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_Toc164808696 \h </w:instrText>
            </w:r>
            <w:r w:rsidR="00100172" w:rsidRPr="00100172">
              <w:rPr>
                <w:noProof/>
                <w:webHidden/>
              </w:rPr>
            </w:r>
            <w:r w:rsidR="00100172" w:rsidRPr="00100172">
              <w:rPr>
                <w:noProof/>
                <w:webHidden/>
              </w:rPr>
              <w:fldChar w:fldCharType="separate"/>
            </w:r>
            <w:r w:rsidR="00100172" w:rsidRPr="00100172">
              <w:rPr>
                <w:noProof/>
                <w:webHidden/>
              </w:rPr>
              <w:t>1</w:t>
            </w:r>
            <w:r w:rsidR="00100172" w:rsidRPr="00100172">
              <w:rPr>
                <w:noProof/>
                <w:webHidden/>
              </w:rPr>
              <w:fldChar w:fldCharType="end"/>
            </w:r>
          </w:hyperlink>
        </w:p>
        <w:p w:rsidR="00100172" w:rsidRPr="00100172" w:rsidRDefault="00B87F79">
          <w:pPr>
            <w:pStyle w:val="Obsah1"/>
            <w:tabs>
              <w:tab w:val="right" w:leader="dot" w:pos="9062"/>
            </w:tabs>
            <w:rPr>
              <w:rFonts w:asciiTheme="minorHAnsi" w:eastAsiaTheme="minorEastAsia" w:hAnsiTheme="minorHAnsi" w:cstheme="minorBidi"/>
              <w:noProof/>
              <w:sz w:val="22"/>
              <w:szCs w:val="22"/>
              <w:lang w:val="cs-CZ"/>
            </w:rPr>
          </w:pPr>
          <w:hyperlink w:anchor="_Toc164808697" w:history="1">
            <w:r w:rsidR="00100172" w:rsidRPr="00100172">
              <w:rPr>
                <w:rStyle w:val="Hypertextovodkaz"/>
                <w:noProof/>
              </w:rPr>
              <w:t>2. Kontext rusko-ukrajinské války</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_Toc164808697 \h </w:instrText>
            </w:r>
            <w:r w:rsidR="00100172" w:rsidRPr="00100172">
              <w:rPr>
                <w:noProof/>
                <w:webHidden/>
              </w:rPr>
            </w:r>
            <w:r w:rsidR="00100172" w:rsidRPr="00100172">
              <w:rPr>
                <w:noProof/>
                <w:webHidden/>
              </w:rPr>
              <w:fldChar w:fldCharType="separate"/>
            </w:r>
            <w:r w:rsidR="00100172" w:rsidRPr="00100172">
              <w:rPr>
                <w:noProof/>
                <w:webHidden/>
              </w:rPr>
              <w:t>2</w:t>
            </w:r>
            <w:r w:rsidR="00100172" w:rsidRPr="00100172">
              <w:rPr>
                <w:noProof/>
                <w:webHidden/>
              </w:rPr>
              <w:fldChar w:fldCharType="end"/>
            </w:r>
          </w:hyperlink>
        </w:p>
        <w:p w:rsidR="00100172" w:rsidRPr="00100172" w:rsidRDefault="00B87F79">
          <w:pPr>
            <w:pStyle w:val="Obsah1"/>
            <w:tabs>
              <w:tab w:val="right" w:leader="dot" w:pos="9062"/>
            </w:tabs>
            <w:rPr>
              <w:rFonts w:asciiTheme="minorHAnsi" w:eastAsiaTheme="minorEastAsia" w:hAnsiTheme="minorHAnsi" w:cstheme="minorBidi"/>
              <w:noProof/>
              <w:sz w:val="22"/>
              <w:szCs w:val="22"/>
              <w:lang w:val="cs-CZ"/>
            </w:rPr>
          </w:pPr>
          <w:hyperlink w:anchor="_Toc164808698" w:history="1">
            <w:r w:rsidR="00100172" w:rsidRPr="00100172">
              <w:rPr>
                <w:rStyle w:val="Hypertextovodkaz"/>
                <w:noProof/>
              </w:rPr>
              <w:t>3. Faktory ovlivňující míru zapojení</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_Toc164808698 \h </w:instrText>
            </w:r>
            <w:r w:rsidR="00100172" w:rsidRPr="00100172">
              <w:rPr>
                <w:noProof/>
                <w:webHidden/>
              </w:rPr>
            </w:r>
            <w:r w:rsidR="00100172" w:rsidRPr="00100172">
              <w:rPr>
                <w:noProof/>
                <w:webHidden/>
              </w:rPr>
              <w:fldChar w:fldCharType="separate"/>
            </w:r>
            <w:r w:rsidR="00100172" w:rsidRPr="00100172">
              <w:rPr>
                <w:noProof/>
                <w:webHidden/>
              </w:rPr>
              <w:t>7</w:t>
            </w:r>
            <w:r w:rsidR="00100172" w:rsidRPr="00100172">
              <w:rPr>
                <w:noProof/>
                <w:webHidden/>
              </w:rPr>
              <w:fldChar w:fldCharType="end"/>
            </w:r>
          </w:hyperlink>
        </w:p>
        <w:p w:rsidR="00100172" w:rsidRPr="00100172" w:rsidRDefault="00B87F79">
          <w:pPr>
            <w:pStyle w:val="Obsah2"/>
            <w:tabs>
              <w:tab w:val="right" w:leader="dot" w:pos="9062"/>
            </w:tabs>
            <w:rPr>
              <w:rFonts w:asciiTheme="minorHAnsi" w:eastAsiaTheme="minorEastAsia" w:hAnsiTheme="minorHAnsi" w:cstheme="minorBidi"/>
              <w:noProof/>
              <w:sz w:val="22"/>
              <w:szCs w:val="22"/>
              <w:lang w:val="cs-CZ"/>
            </w:rPr>
          </w:pPr>
          <w:hyperlink w:anchor="_Toc164808699" w:history="1">
            <w:r w:rsidR="00100172" w:rsidRPr="00100172">
              <w:rPr>
                <w:rStyle w:val="Hypertextovodkaz"/>
                <w:noProof/>
              </w:rPr>
              <w:t>3. 1. Energetická bezpečnost</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_Toc164808699 \h </w:instrText>
            </w:r>
            <w:r w:rsidR="00100172" w:rsidRPr="00100172">
              <w:rPr>
                <w:noProof/>
                <w:webHidden/>
              </w:rPr>
            </w:r>
            <w:r w:rsidR="00100172" w:rsidRPr="00100172">
              <w:rPr>
                <w:noProof/>
                <w:webHidden/>
              </w:rPr>
              <w:fldChar w:fldCharType="separate"/>
            </w:r>
            <w:r w:rsidR="00100172" w:rsidRPr="00100172">
              <w:rPr>
                <w:noProof/>
                <w:webHidden/>
              </w:rPr>
              <w:t>7</w:t>
            </w:r>
            <w:r w:rsidR="00100172" w:rsidRPr="00100172">
              <w:rPr>
                <w:noProof/>
                <w:webHidden/>
              </w:rPr>
              <w:fldChar w:fldCharType="end"/>
            </w:r>
          </w:hyperlink>
        </w:p>
        <w:p w:rsidR="00100172" w:rsidRPr="00100172" w:rsidRDefault="00B87F79">
          <w:pPr>
            <w:pStyle w:val="Obsah2"/>
            <w:tabs>
              <w:tab w:val="right" w:leader="dot" w:pos="9062"/>
            </w:tabs>
            <w:rPr>
              <w:rFonts w:asciiTheme="minorHAnsi" w:eastAsiaTheme="minorEastAsia" w:hAnsiTheme="minorHAnsi" w:cstheme="minorBidi"/>
              <w:noProof/>
              <w:sz w:val="22"/>
              <w:szCs w:val="22"/>
              <w:lang w:val="cs-CZ"/>
            </w:rPr>
          </w:pPr>
          <w:hyperlink w:anchor="_Toc164808700" w:history="1">
            <w:r w:rsidR="00100172" w:rsidRPr="00100172">
              <w:rPr>
                <w:rStyle w:val="Hypertextovodkaz"/>
                <w:noProof/>
              </w:rPr>
              <w:t>3. 2. Migrace a liberální demokracie</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_Toc164808700 \h </w:instrText>
            </w:r>
            <w:r w:rsidR="00100172" w:rsidRPr="00100172">
              <w:rPr>
                <w:noProof/>
                <w:webHidden/>
              </w:rPr>
            </w:r>
            <w:r w:rsidR="00100172" w:rsidRPr="00100172">
              <w:rPr>
                <w:noProof/>
                <w:webHidden/>
              </w:rPr>
              <w:fldChar w:fldCharType="separate"/>
            </w:r>
            <w:r w:rsidR="00100172" w:rsidRPr="00100172">
              <w:rPr>
                <w:noProof/>
                <w:webHidden/>
              </w:rPr>
              <w:t>9</w:t>
            </w:r>
            <w:r w:rsidR="00100172" w:rsidRPr="00100172">
              <w:rPr>
                <w:noProof/>
                <w:webHidden/>
              </w:rPr>
              <w:fldChar w:fldCharType="end"/>
            </w:r>
          </w:hyperlink>
        </w:p>
        <w:p w:rsidR="00100172" w:rsidRPr="00100172" w:rsidRDefault="00B87F79">
          <w:pPr>
            <w:pStyle w:val="Obsah2"/>
            <w:tabs>
              <w:tab w:val="right" w:leader="dot" w:pos="9062"/>
            </w:tabs>
            <w:rPr>
              <w:rFonts w:asciiTheme="minorHAnsi" w:eastAsiaTheme="minorEastAsia" w:hAnsiTheme="minorHAnsi" w:cstheme="minorBidi"/>
              <w:noProof/>
              <w:sz w:val="22"/>
              <w:szCs w:val="22"/>
              <w:lang w:val="cs-CZ"/>
            </w:rPr>
          </w:pPr>
          <w:hyperlink w:anchor="_Toc164808701" w:history="1">
            <w:r w:rsidR="00100172" w:rsidRPr="00100172">
              <w:rPr>
                <w:rStyle w:val="Hypertextovodkaz"/>
                <w:noProof/>
              </w:rPr>
              <w:t>3. 3. Stará a nová Evropa</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_Toc164808701 \h </w:instrText>
            </w:r>
            <w:r w:rsidR="00100172" w:rsidRPr="00100172">
              <w:rPr>
                <w:noProof/>
                <w:webHidden/>
              </w:rPr>
            </w:r>
            <w:r w:rsidR="00100172" w:rsidRPr="00100172">
              <w:rPr>
                <w:noProof/>
                <w:webHidden/>
              </w:rPr>
              <w:fldChar w:fldCharType="separate"/>
            </w:r>
            <w:r w:rsidR="00100172" w:rsidRPr="00100172">
              <w:rPr>
                <w:noProof/>
                <w:webHidden/>
              </w:rPr>
              <w:t>11</w:t>
            </w:r>
            <w:r w:rsidR="00100172" w:rsidRPr="00100172">
              <w:rPr>
                <w:noProof/>
                <w:webHidden/>
              </w:rPr>
              <w:fldChar w:fldCharType="end"/>
            </w:r>
          </w:hyperlink>
        </w:p>
        <w:p w:rsidR="00100172" w:rsidRPr="00100172" w:rsidRDefault="00B87F79">
          <w:pPr>
            <w:pStyle w:val="Obsah2"/>
            <w:tabs>
              <w:tab w:val="right" w:leader="dot" w:pos="9062"/>
            </w:tabs>
            <w:rPr>
              <w:rFonts w:asciiTheme="minorHAnsi" w:eastAsiaTheme="minorEastAsia" w:hAnsiTheme="minorHAnsi" w:cstheme="minorBidi"/>
              <w:noProof/>
              <w:sz w:val="22"/>
              <w:szCs w:val="22"/>
              <w:lang w:val="cs-CZ"/>
            </w:rPr>
          </w:pPr>
          <w:hyperlink w:anchor="_Toc164808702" w:history="1">
            <w:r w:rsidR="00100172" w:rsidRPr="00100172">
              <w:rPr>
                <w:rStyle w:val="Hypertextovodkaz"/>
                <w:noProof/>
              </w:rPr>
              <w:t>3. 4. Obranný rozpočet</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_Toc164808702 \h </w:instrText>
            </w:r>
            <w:r w:rsidR="00100172" w:rsidRPr="00100172">
              <w:rPr>
                <w:noProof/>
                <w:webHidden/>
              </w:rPr>
            </w:r>
            <w:r w:rsidR="00100172" w:rsidRPr="00100172">
              <w:rPr>
                <w:noProof/>
                <w:webHidden/>
              </w:rPr>
              <w:fldChar w:fldCharType="separate"/>
            </w:r>
            <w:r w:rsidR="00100172" w:rsidRPr="00100172">
              <w:rPr>
                <w:noProof/>
                <w:webHidden/>
              </w:rPr>
              <w:t>13</w:t>
            </w:r>
            <w:r w:rsidR="00100172" w:rsidRPr="00100172">
              <w:rPr>
                <w:noProof/>
                <w:webHidden/>
              </w:rPr>
              <w:fldChar w:fldCharType="end"/>
            </w:r>
          </w:hyperlink>
        </w:p>
        <w:p w:rsidR="00100172" w:rsidRPr="00100172" w:rsidRDefault="00B87F79">
          <w:pPr>
            <w:pStyle w:val="Obsah2"/>
            <w:tabs>
              <w:tab w:val="right" w:leader="dot" w:pos="9062"/>
            </w:tabs>
            <w:rPr>
              <w:rFonts w:asciiTheme="minorHAnsi" w:eastAsiaTheme="minorEastAsia" w:hAnsiTheme="minorHAnsi" w:cstheme="minorBidi"/>
              <w:noProof/>
              <w:sz w:val="22"/>
              <w:szCs w:val="22"/>
              <w:lang w:val="cs-CZ"/>
            </w:rPr>
          </w:pPr>
          <w:hyperlink w:anchor="_Toc164808703" w:history="1">
            <w:r w:rsidR="00100172" w:rsidRPr="00100172">
              <w:rPr>
                <w:rStyle w:val="Hypertextovodkaz"/>
                <w:noProof/>
              </w:rPr>
              <w:t>3. 5. Geografická vzdálenost a obchod</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_Toc164808703 \h </w:instrText>
            </w:r>
            <w:r w:rsidR="00100172" w:rsidRPr="00100172">
              <w:rPr>
                <w:noProof/>
                <w:webHidden/>
              </w:rPr>
            </w:r>
            <w:r w:rsidR="00100172" w:rsidRPr="00100172">
              <w:rPr>
                <w:noProof/>
                <w:webHidden/>
              </w:rPr>
              <w:fldChar w:fldCharType="separate"/>
            </w:r>
            <w:r w:rsidR="00100172" w:rsidRPr="00100172">
              <w:rPr>
                <w:noProof/>
                <w:webHidden/>
              </w:rPr>
              <w:t>15</w:t>
            </w:r>
            <w:r w:rsidR="00100172" w:rsidRPr="00100172">
              <w:rPr>
                <w:noProof/>
                <w:webHidden/>
              </w:rPr>
              <w:fldChar w:fldCharType="end"/>
            </w:r>
          </w:hyperlink>
        </w:p>
        <w:p w:rsidR="00100172" w:rsidRPr="00100172" w:rsidRDefault="00B87F79">
          <w:pPr>
            <w:pStyle w:val="Obsah2"/>
            <w:tabs>
              <w:tab w:val="right" w:leader="dot" w:pos="9062"/>
            </w:tabs>
            <w:rPr>
              <w:rFonts w:asciiTheme="minorHAnsi" w:eastAsiaTheme="minorEastAsia" w:hAnsiTheme="minorHAnsi" w:cstheme="minorBidi"/>
              <w:noProof/>
              <w:sz w:val="22"/>
              <w:szCs w:val="22"/>
              <w:lang w:val="cs-CZ"/>
            </w:rPr>
          </w:pPr>
          <w:hyperlink w:anchor="_Toc164808704" w:history="1">
            <w:r w:rsidR="00100172" w:rsidRPr="00100172">
              <w:rPr>
                <w:rStyle w:val="Hypertextovodkaz"/>
                <w:noProof/>
              </w:rPr>
              <w:t>3. 6. Populisté ve vládě</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_Toc164808704 \h </w:instrText>
            </w:r>
            <w:r w:rsidR="00100172" w:rsidRPr="00100172">
              <w:rPr>
                <w:noProof/>
                <w:webHidden/>
              </w:rPr>
            </w:r>
            <w:r w:rsidR="00100172" w:rsidRPr="00100172">
              <w:rPr>
                <w:noProof/>
                <w:webHidden/>
              </w:rPr>
              <w:fldChar w:fldCharType="separate"/>
            </w:r>
            <w:r w:rsidR="00100172" w:rsidRPr="00100172">
              <w:rPr>
                <w:noProof/>
                <w:webHidden/>
              </w:rPr>
              <w:t>16</w:t>
            </w:r>
            <w:r w:rsidR="00100172" w:rsidRPr="00100172">
              <w:rPr>
                <w:noProof/>
                <w:webHidden/>
              </w:rPr>
              <w:fldChar w:fldCharType="end"/>
            </w:r>
          </w:hyperlink>
        </w:p>
        <w:p w:rsidR="00100172" w:rsidRPr="00100172" w:rsidRDefault="00B87F79">
          <w:pPr>
            <w:pStyle w:val="Obsah1"/>
            <w:tabs>
              <w:tab w:val="right" w:leader="dot" w:pos="9062"/>
            </w:tabs>
            <w:rPr>
              <w:rFonts w:asciiTheme="minorHAnsi" w:eastAsiaTheme="minorEastAsia" w:hAnsiTheme="minorHAnsi" w:cstheme="minorBidi"/>
              <w:noProof/>
              <w:sz w:val="22"/>
              <w:szCs w:val="22"/>
              <w:lang w:val="cs-CZ"/>
            </w:rPr>
          </w:pPr>
          <w:hyperlink w:anchor="_Toc164808705" w:history="1">
            <w:r w:rsidR="00100172" w:rsidRPr="00100172">
              <w:rPr>
                <w:rStyle w:val="Hypertextovodkaz"/>
                <w:noProof/>
              </w:rPr>
              <w:t>4. Metodologická část</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_Toc164808705 \h </w:instrText>
            </w:r>
            <w:r w:rsidR="00100172" w:rsidRPr="00100172">
              <w:rPr>
                <w:noProof/>
                <w:webHidden/>
              </w:rPr>
            </w:r>
            <w:r w:rsidR="00100172" w:rsidRPr="00100172">
              <w:rPr>
                <w:noProof/>
                <w:webHidden/>
              </w:rPr>
              <w:fldChar w:fldCharType="separate"/>
            </w:r>
            <w:r w:rsidR="00100172" w:rsidRPr="00100172">
              <w:rPr>
                <w:noProof/>
                <w:webHidden/>
              </w:rPr>
              <w:t>17</w:t>
            </w:r>
            <w:r w:rsidR="00100172" w:rsidRPr="00100172">
              <w:rPr>
                <w:noProof/>
                <w:webHidden/>
              </w:rPr>
              <w:fldChar w:fldCharType="end"/>
            </w:r>
          </w:hyperlink>
        </w:p>
        <w:p w:rsidR="00100172" w:rsidRPr="00100172" w:rsidRDefault="00B87F79">
          <w:pPr>
            <w:pStyle w:val="Obsah2"/>
            <w:tabs>
              <w:tab w:val="right" w:leader="dot" w:pos="9062"/>
            </w:tabs>
            <w:rPr>
              <w:rFonts w:asciiTheme="minorHAnsi" w:eastAsiaTheme="minorEastAsia" w:hAnsiTheme="minorHAnsi" w:cstheme="minorBidi"/>
              <w:noProof/>
              <w:sz w:val="22"/>
              <w:szCs w:val="22"/>
              <w:lang w:val="cs-CZ"/>
            </w:rPr>
          </w:pPr>
          <w:hyperlink w:anchor="_Toc164808706" w:history="1">
            <w:r w:rsidR="00100172" w:rsidRPr="00100172">
              <w:rPr>
                <w:rStyle w:val="Hypertextovodkaz"/>
                <w:noProof/>
              </w:rPr>
              <w:t>4. 1. QCA</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_Toc164808706 \h </w:instrText>
            </w:r>
            <w:r w:rsidR="00100172" w:rsidRPr="00100172">
              <w:rPr>
                <w:noProof/>
                <w:webHidden/>
              </w:rPr>
            </w:r>
            <w:r w:rsidR="00100172" w:rsidRPr="00100172">
              <w:rPr>
                <w:noProof/>
                <w:webHidden/>
              </w:rPr>
              <w:fldChar w:fldCharType="separate"/>
            </w:r>
            <w:r w:rsidR="00100172" w:rsidRPr="00100172">
              <w:rPr>
                <w:noProof/>
                <w:webHidden/>
              </w:rPr>
              <w:t>17</w:t>
            </w:r>
            <w:r w:rsidR="00100172" w:rsidRPr="00100172">
              <w:rPr>
                <w:noProof/>
                <w:webHidden/>
              </w:rPr>
              <w:fldChar w:fldCharType="end"/>
            </w:r>
          </w:hyperlink>
        </w:p>
        <w:p w:rsidR="00100172" w:rsidRPr="00100172" w:rsidRDefault="00B87F79">
          <w:pPr>
            <w:pStyle w:val="Obsah2"/>
            <w:tabs>
              <w:tab w:val="right" w:leader="dot" w:pos="9062"/>
            </w:tabs>
            <w:rPr>
              <w:rFonts w:asciiTheme="minorHAnsi" w:eastAsiaTheme="minorEastAsia" w:hAnsiTheme="minorHAnsi" w:cstheme="minorBidi"/>
              <w:noProof/>
              <w:sz w:val="22"/>
              <w:szCs w:val="22"/>
              <w:lang w:val="cs-CZ"/>
            </w:rPr>
          </w:pPr>
          <w:hyperlink w:anchor="_Toc164808707" w:history="1">
            <w:r w:rsidR="00100172" w:rsidRPr="00100172">
              <w:rPr>
                <w:rStyle w:val="Hypertextovodkaz"/>
                <w:noProof/>
              </w:rPr>
              <w:t>4. 2. Operacionalizace důsledku</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_Toc164808707 \h </w:instrText>
            </w:r>
            <w:r w:rsidR="00100172" w:rsidRPr="00100172">
              <w:rPr>
                <w:noProof/>
                <w:webHidden/>
              </w:rPr>
            </w:r>
            <w:r w:rsidR="00100172" w:rsidRPr="00100172">
              <w:rPr>
                <w:noProof/>
                <w:webHidden/>
              </w:rPr>
              <w:fldChar w:fldCharType="separate"/>
            </w:r>
            <w:r w:rsidR="00100172" w:rsidRPr="00100172">
              <w:rPr>
                <w:noProof/>
                <w:webHidden/>
              </w:rPr>
              <w:t>20</w:t>
            </w:r>
            <w:r w:rsidR="00100172" w:rsidRPr="00100172">
              <w:rPr>
                <w:noProof/>
                <w:webHidden/>
              </w:rPr>
              <w:fldChar w:fldCharType="end"/>
            </w:r>
          </w:hyperlink>
        </w:p>
        <w:p w:rsidR="00100172" w:rsidRPr="00100172" w:rsidRDefault="00B87F79">
          <w:pPr>
            <w:pStyle w:val="Obsah2"/>
            <w:tabs>
              <w:tab w:val="right" w:leader="dot" w:pos="9062"/>
            </w:tabs>
            <w:rPr>
              <w:rFonts w:asciiTheme="minorHAnsi" w:eastAsiaTheme="minorEastAsia" w:hAnsiTheme="minorHAnsi" w:cstheme="minorBidi"/>
              <w:noProof/>
              <w:sz w:val="22"/>
              <w:szCs w:val="22"/>
              <w:lang w:val="cs-CZ"/>
            </w:rPr>
          </w:pPr>
          <w:hyperlink w:anchor="_Toc164808708" w:history="1">
            <w:r w:rsidR="00100172" w:rsidRPr="00100172">
              <w:rPr>
                <w:rStyle w:val="Hypertextovodkaz"/>
                <w:noProof/>
              </w:rPr>
              <w:t>4. 3. Operacionalizace faktorů ovlivňujících podporu</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_Toc164808708 \h </w:instrText>
            </w:r>
            <w:r w:rsidR="00100172" w:rsidRPr="00100172">
              <w:rPr>
                <w:noProof/>
                <w:webHidden/>
              </w:rPr>
            </w:r>
            <w:r w:rsidR="00100172" w:rsidRPr="00100172">
              <w:rPr>
                <w:noProof/>
                <w:webHidden/>
              </w:rPr>
              <w:fldChar w:fldCharType="separate"/>
            </w:r>
            <w:r w:rsidR="00100172" w:rsidRPr="00100172">
              <w:rPr>
                <w:noProof/>
                <w:webHidden/>
              </w:rPr>
              <w:t>22</w:t>
            </w:r>
            <w:r w:rsidR="00100172" w:rsidRPr="00100172">
              <w:rPr>
                <w:noProof/>
                <w:webHidden/>
              </w:rPr>
              <w:fldChar w:fldCharType="end"/>
            </w:r>
          </w:hyperlink>
        </w:p>
        <w:p w:rsidR="00100172" w:rsidRPr="00100172" w:rsidRDefault="00B87F79">
          <w:pPr>
            <w:pStyle w:val="Obsah1"/>
            <w:tabs>
              <w:tab w:val="right" w:leader="dot" w:pos="9062"/>
            </w:tabs>
            <w:rPr>
              <w:rFonts w:asciiTheme="minorHAnsi" w:eastAsiaTheme="minorEastAsia" w:hAnsiTheme="minorHAnsi" w:cstheme="minorBidi"/>
              <w:noProof/>
              <w:sz w:val="22"/>
              <w:szCs w:val="22"/>
              <w:lang w:val="cs-CZ"/>
            </w:rPr>
          </w:pPr>
          <w:hyperlink w:anchor="_Toc164808709" w:history="1">
            <w:r w:rsidR="00100172" w:rsidRPr="00100172">
              <w:rPr>
                <w:rStyle w:val="Hypertextovodkaz"/>
                <w:noProof/>
              </w:rPr>
              <w:t>5. Analytická část</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_Toc164808709 \h </w:instrText>
            </w:r>
            <w:r w:rsidR="00100172" w:rsidRPr="00100172">
              <w:rPr>
                <w:noProof/>
                <w:webHidden/>
              </w:rPr>
            </w:r>
            <w:r w:rsidR="00100172" w:rsidRPr="00100172">
              <w:rPr>
                <w:noProof/>
                <w:webHidden/>
              </w:rPr>
              <w:fldChar w:fldCharType="separate"/>
            </w:r>
            <w:r w:rsidR="00100172" w:rsidRPr="00100172">
              <w:rPr>
                <w:noProof/>
                <w:webHidden/>
              </w:rPr>
              <w:t>28</w:t>
            </w:r>
            <w:r w:rsidR="00100172" w:rsidRPr="00100172">
              <w:rPr>
                <w:noProof/>
                <w:webHidden/>
              </w:rPr>
              <w:fldChar w:fldCharType="end"/>
            </w:r>
          </w:hyperlink>
        </w:p>
        <w:p w:rsidR="00100172" w:rsidRPr="00100172" w:rsidRDefault="00B87F79">
          <w:pPr>
            <w:pStyle w:val="Obsah2"/>
            <w:tabs>
              <w:tab w:val="right" w:leader="dot" w:pos="9062"/>
            </w:tabs>
            <w:rPr>
              <w:rFonts w:asciiTheme="minorHAnsi" w:eastAsiaTheme="minorEastAsia" w:hAnsiTheme="minorHAnsi" w:cstheme="minorBidi"/>
              <w:noProof/>
              <w:sz w:val="22"/>
              <w:szCs w:val="22"/>
              <w:lang w:val="cs-CZ"/>
            </w:rPr>
          </w:pPr>
          <w:hyperlink w:anchor="_Toc164808710" w:history="1">
            <w:r w:rsidR="00100172" w:rsidRPr="00100172">
              <w:rPr>
                <w:rStyle w:val="Hypertextovodkaz"/>
                <w:noProof/>
              </w:rPr>
              <w:t>5. 1. Analýza nutných podmínek</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_Toc164808710 \h </w:instrText>
            </w:r>
            <w:r w:rsidR="00100172" w:rsidRPr="00100172">
              <w:rPr>
                <w:noProof/>
                <w:webHidden/>
              </w:rPr>
            </w:r>
            <w:r w:rsidR="00100172" w:rsidRPr="00100172">
              <w:rPr>
                <w:noProof/>
                <w:webHidden/>
              </w:rPr>
              <w:fldChar w:fldCharType="separate"/>
            </w:r>
            <w:r w:rsidR="00100172" w:rsidRPr="00100172">
              <w:rPr>
                <w:noProof/>
                <w:webHidden/>
              </w:rPr>
              <w:t>28</w:t>
            </w:r>
            <w:r w:rsidR="00100172" w:rsidRPr="00100172">
              <w:rPr>
                <w:noProof/>
                <w:webHidden/>
              </w:rPr>
              <w:fldChar w:fldCharType="end"/>
            </w:r>
          </w:hyperlink>
        </w:p>
        <w:p w:rsidR="00100172" w:rsidRPr="00100172" w:rsidRDefault="00B87F79">
          <w:pPr>
            <w:pStyle w:val="Obsah2"/>
            <w:tabs>
              <w:tab w:val="right" w:leader="dot" w:pos="9062"/>
            </w:tabs>
            <w:rPr>
              <w:rFonts w:asciiTheme="minorHAnsi" w:eastAsiaTheme="minorEastAsia" w:hAnsiTheme="minorHAnsi" w:cstheme="minorBidi"/>
              <w:noProof/>
              <w:sz w:val="22"/>
              <w:szCs w:val="22"/>
              <w:lang w:val="cs-CZ"/>
            </w:rPr>
          </w:pPr>
          <w:hyperlink w:anchor="_Toc164808711" w:history="1">
            <w:r w:rsidR="00100172" w:rsidRPr="00100172">
              <w:rPr>
                <w:rStyle w:val="Hypertextovodkaz"/>
                <w:noProof/>
              </w:rPr>
              <w:t>5. 2. Analýza dostatečných podmínek</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_Toc164808711 \h </w:instrText>
            </w:r>
            <w:r w:rsidR="00100172" w:rsidRPr="00100172">
              <w:rPr>
                <w:noProof/>
                <w:webHidden/>
              </w:rPr>
            </w:r>
            <w:r w:rsidR="00100172" w:rsidRPr="00100172">
              <w:rPr>
                <w:noProof/>
                <w:webHidden/>
              </w:rPr>
              <w:fldChar w:fldCharType="separate"/>
            </w:r>
            <w:r w:rsidR="00100172" w:rsidRPr="00100172">
              <w:rPr>
                <w:noProof/>
                <w:webHidden/>
              </w:rPr>
              <w:t>30</w:t>
            </w:r>
            <w:r w:rsidR="00100172" w:rsidRPr="00100172">
              <w:rPr>
                <w:noProof/>
                <w:webHidden/>
              </w:rPr>
              <w:fldChar w:fldCharType="end"/>
            </w:r>
          </w:hyperlink>
        </w:p>
        <w:p w:rsidR="00100172" w:rsidRPr="00100172" w:rsidRDefault="00B87F79">
          <w:pPr>
            <w:pStyle w:val="Obsah2"/>
            <w:tabs>
              <w:tab w:val="right" w:leader="dot" w:pos="9062"/>
            </w:tabs>
            <w:rPr>
              <w:rFonts w:asciiTheme="minorHAnsi" w:eastAsiaTheme="minorEastAsia" w:hAnsiTheme="minorHAnsi" w:cstheme="minorBidi"/>
              <w:noProof/>
              <w:sz w:val="22"/>
              <w:szCs w:val="22"/>
              <w:lang w:val="cs-CZ"/>
            </w:rPr>
          </w:pPr>
          <w:hyperlink w:anchor="_Toc164808712" w:history="1">
            <w:r w:rsidR="00100172" w:rsidRPr="00100172">
              <w:rPr>
                <w:rStyle w:val="Hypertextovodkaz"/>
                <w:noProof/>
              </w:rPr>
              <w:t>5.3. Případová studie Polska</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_Toc164808712 \h </w:instrText>
            </w:r>
            <w:r w:rsidR="00100172" w:rsidRPr="00100172">
              <w:rPr>
                <w:noProof/>
                <w:webHidden/>
              </w:rPr>
            </w:r>
            <w:r w:rsidR="00100172" w:rsidRPr="00100172">
              <w:rPr>
                <w:noProof/>
                <w:webHidden/>
              </w:rPr>
              <w:fldChar w:fldCharType="separate"/>
            </w:r>
            <w:r w:rsidR="00100172" w:rsidRPr="00100172">
              <w:rPr>
                <w:noProof/>
                <w:webHidden/>
              </w:rPr>
              <w:t>37</w:t>
            </w:r>
            <w:r w:rsidR="00100172" w:rsidRPr="00100172">
              <w:rPr>
                <w:noProof/>
                <w:webHidden/>
              </w:rPr>
              <w:fldChar w:fldCharType="end"/>
            </w:r>
          </w:hyperlink>
        </w:p>
        <w:p w:rsidR="00100172" w:rsidRPr="00100172" w:rsidRDefault="00B87F79">
          <w:pPr>
            <w:pStyle w:val="Obsah1"/>
            <w:tabs>
              <w:tab w:val="right" w:leader="dot" w:pos="9062"/>
            </w:tabs>
            <w:rPr>
              <w:rFonts w:asciiTheme="minorHAnsi" w:eastAsiaTheme="minorEastAsia" w:hAnsiTheme="minorHAnsi" w:cstheme="minorBidi"/>
              <w:noProof/>
              <w:sz w:val="22"/>
              <w:szCs w:val="22"/>
              <w:lang w:val="cs-CZ"/>
            </w:rPr>
          </w:pPr>
          <w:hyperlink w:anchor="_Toc164808713" w:history="1">
            <w:r w:rsidR="00100172" w:rsidRPr="00100172">
              <w:rPr>
                <w:rStyle w:val="Hypertextovodkaz"/>
                <w:noProof/>
              </w:rPr>
              <w:t>6. Závěr</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_Toc164808713 \h </w:instrText>
            </w:r>
            <w:r w:rsidR="00100172" w:rsidRPr="00100172">
              <w:rPr>
                <w:noProof/>
                <w:webHidden/>
              </w:rPr>
            </w:r>
            <w:r w:rsidR="00100172" w:rsidRPr="00100172">
              <w:rPr>
                <w:noProof/>
                <w:webHidden/>
              </w:rPr>
              <w:fldChar w:fldCharType="separate"/>
            </w:r>
            <w:r w:rsidR="00100172" w:rsidRPr="00100172">
              <w:rPr>
                <w:noProof/>
                <w:webHidden/>
              </w:rPr>
              <w:t>38</w:t>
            </w:r>
            <w:r w:rsidR="00100172" w:rsidRPr="00100172">
              <w:rPr>
                <w:noProof/>
                <w:webHidden/>
              </w:rPr>
              <w:fldChar w:fldCharType="end"/>
            </w:r>
          </w:hyperlink>
        </w:p>
        <w:p w:rsidR="00100172" w:rsidRPr="00100172" w:rsidRDefault="00B87F79">
          <w:pPr>
            <w:pStyle w:val="Obsah1"/>
            <w:tabs>
              <w:tab w:val="right" w:leader="dot" w:pos="9062"/>
            </w:tabs>
            <w:rPr>
              <w:rFonts w:asciiTheme="minorHAnsi" w:eastAsiaTheme="minorEastAsia" w:hAnsiTheme="minorHAnsi" w:cstheme="minorBidi"/>
              <w:noProof/>
              <w:sz w:val="22"/>
              <w:szCs w:val="22"/>
              <w:lang w:val="cs-CZ"/>
            </w:rPr>
          </w:pPr>
          <w:hyperlink w:anchor="_Toc164808714" w:history="1">
            <w:r w:rsidR="00100172" w:rsidRPr="00100172">
              <w:rPr>
                <w:rStyle w:val="Hypertextovodkaz"/>
                <w:noProof/>
              </w:rPr>
              <w:t>Literatura</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_Toc164808714 \h </w:instrText>
            </w:r>
            <w:r w:rsidR="00100172" w:rsidRPr="00100172">
              <w:rPr>
                <w:noProof/>
                <w:webHidden/>
              </w:rPr>
            </w:r>
            <w:r w:rsidR="00100172" w:rsidRPr="00100172">
              <w:rPr>
                <w:noProof/>
                <w:webHidden/>
              </w:rPr>
              <w:fldChar w:fldCharType="separate"/>
            </w:r>
            <w:r w:rsidR="00100172" w:rsidRPr="00100172">
              <w:rPr>
                <w:noProof/>
                <w:webHidden/>
              </w:rPr>
              <w:t>41</w:t>
            </w:r>
            <w:r w:rsidR="00100172" w:rsidRPr="00100172">
              <w:rPr>
                <w:noProof/>
                <w:webHidden/>
              </w:rPr>
              <w:fldChar w:fldCharType="end"/>
            </w:r>
          </w:hyperlink>
        </w:p>
        <w:p w:rsidR="00100172" w:rsidRPr="00100172" w:rsidRDefault="00B87F79">
          <w:pPr>
            <w:pStyle w:val="Obsah1"/>
            <w:tabs>
              <w:tab w:val="right" w:leader="dot" w:pos="9062"/>
            </w:tabs>
            <w:rPr>
              <w:rFonts w:asciiTheme="minorHAnsi" w:eastAsiaTheme="minorEastAsia" w:hAnsiTheme="minorHAnsi" w:cstheme="minorBidi"/>
              <w:noProof/>
              <w:sz w:val="22"/>
              <w:szCs w:val="22"/>
              <w:lang w:val="cs-CZ"/>
            </w:rPr>
          </w:pPr>
          <w:hyperlink w:anchor="_Toc164808715" w:history="1">
            <w:r w:rsidR="00100172" w:rsidRPr="00100172">
              <w:rPr>
                <w:rStyle w:val="Hypertextovodkaz"/>
                <w:noProof/>
              </w:rPr>
              <w:t>Přílohy</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_Toc164808715 \h </w:instrText>
            </w:r>
            <w:r w:rsidR="00100172" w:rsidRPr="00100172">
              <w:rPr>
                <w:noProof/>
                <w:webHidden/>
              </w:rPr>
            </w:r>
            <w:r w:rsidR="00100172" w:rsidRPr="00100172">
              <w:rPr>
                <w:noProof/>
                <w:webHidden/>
              </w:rPr>
              <w:fldChar w:fldCharType="separate"/>
            </w:r>
            <w:r w:rsidR="00100172" w:rsidRPr="00100172">
              <w:rPr>
                <w:noProof/>
                <w:webHidden/>
              </w:rPr>
              <w:t>51</w:t>
            </w:r>
            <w:r w:rsidR="00100172" w:rsidRPr="00100172">
              <w:rPr>
                <w:noProof/>
                <w:webHidden/>
              </w:rPr>
              <w:fldChar w:fldCharType="end"/>
            </w:r>
          </w:hyperlink>
        </w:p>
        <w:p w:rsidR="00100172" w:rsidRDefault="00B87F79">
          <w:pPr>
            <w:pStyle w:val="Obsah1"/>
            <w:tabs>
              <w:tab w:val="right" w:leader="dot" w:pos="9062"/>
            </w:tabs>
            <w:rPr>
              <w:rFonts w:asciiTheme="minorHAnsi" w:eastAsiaTheme="minorEastAsia" w:hAnsiTheme="minorHAnsi" w:cstheme="minorBidi"/>
              <w:noProof/>
              <w:sz w:val="22"/>
              <w:szCs w:val="22"/>
              <w:lang w:val="cs-CZ"/>
            </w:rPr>
          </w:pPr>
          <w:hyperlink w:anchor="_Toc164808716" w:history="1">
            <w:r w:rsidR="00100172" w:rsidRPr="00100172">
              <w:rPr>
                <w:rStyle w:val="Hypertextovodkaz"/>
                <w:noProof/>
              </w:rPr>
              <w:t>Abstrakt</w:t>
            </w:r>
            <w:r w:rsidR="00100172" w:rsidRPr="00100172">
              <w:rPr>
                <w:noProof/>
                <w:webHidden/>
              </w:rPr>
              <w:tab/>
            </w:r>
            <w:r w:rsidR="00100172" w:rsidRPr="00100172">
              <w:rPr>
                <w:noProof/>
                <w:webHidden/>
              </w:rPr>
              <w:fldChar w:fldCharType="begin"/>
            </w:r>
            <w:r w:rsidR="00100172" w:rsidRPr="00100172">
              <w:rPr>
                <w:noProof/>
                <w:webHidden/>
              </w:rPr>
              <w:instrText xml:space="preserve"> PAGEREF _Toc164808716 \h </w:instrText>
            </w:r>
            <w:r w:rsidR="00100172" w:rsidRPr="00100172">
              <w:rPr>
                <w:noProof/>
                <w:webHidden/>
              </w:rPr>
            </w:r>
            <w:r w:rsidR="00100172" w:rsidRPr="00100172">
              <w:rPr>
                <w:noProof/>
                <w:webHidden/>
              </w:rPr>
              <w:fldChar w:fldCharType="separate"/>
            </w:r>
            <w:r w:rsidR="00100172" w:rsidRPr="00100172">
              <w:rPr>
                <w:noProof/>
                <w:webHidden/>
              </w:rPr>
              <w:t>53</w:t>
            </w:r>
            <w:r w:rsidR="00100172" w:rsidRPr="00100172">
              <w:rPr>
                <w:noProof/>
                <w:webHidden/>
              </w:rPr>
              <w:fldChar w:fldCharType="end"/>
            </w:r>
          </w:hyperlink>
        </w:p>
        <w:p w:rsidR="005965E0" w:rsidRDefault="005965E0">
          <w:r w:rsidRPr="0080318C">
            <w:rPr>
              <w:bCs/>
            </w:rPr>
            <w:fldChar w:fldCharType="end"/>
          </w:r>
        </w:p>
      </w:sdtContent>
    </w:sdt>
    <w:p w:rsidR="00E44C91" w:rsidRDefault="00E44C91" w:rsidP="00E44C91">
      <w:pPr>
        <w:pStyle w:val="Nadpis1"/>
        <w:ind w:firstLine="0"/>
        <w:rPr>
          <w:rFonts w:ascii="Times New Roman" w:hAnsi="Times New Roman" w:cs="Times New Roman"/>
          <w:b/>
          <w:color w:val="auto"/>
        </w:rPr>
        <w:sectPr w:rsidR="00E44C91" w:rsidSect="002724BD">
          <w:pgSz w:w="11906" w:h="16838"/>
          <w:pgMar w:top="1417" w:right="1417" w:bottom="1417" w:left="1417" w:header="708" w:footer="397" w:gutter="0"/>
          <w:pgNumType w:start="1"/>
          <w:cols w:space="708"/>
          <w:titlePg/>
          <w:docGrid w:linePitch="360"/>
        </w:sectPr>
      </w:pPr>
      <w:bookmarkStart w:id="1" w:name="_Toc164767380"/>
    </w:p>
    <w:p w:rsidR="003B4808" w:rsidRPr="00C53FBF" w:rsidRDefault="00FD13CA" w:rsidP="00E44C91">
      <w:pPr>
        <w:pStyle w:val="Nadpis1"/>
        <w:ind w:firstLine="0"/>
        <w:rPr>
          <w:rFonts w:ascii="Times New Roman" w:hAnsi="Times New Roman" w:cs="Times New Roman"/>
          <w:b/>
          <w:color w:val="auto"/>
        </w:rPr>
      </w:pPr>
      <w:bookmarkStart w:id="2" w:name="_Toc164808696"/>
      <w:r>
        <w:rPr>
          <w:rFonts w:ascii="Times New Roman" w:hAnsi="Times New Roman" w:cs="Times New Roman"/>
          <w:b/>
          <w:color w:val="auto"/>
        </w:rPr>
        <w:lastRenderedPageBreak/>
        <w:t xml:space="preserve">1. </w:t>
      </w:r>
      <w:r w:rsidR="003B4808" w:rsidRPr="00C53FBF">
        <w:rPr>
          <w:rFonts w:ascii="Times New Roman" w:hAnsi="Times New Roman" w:cs="Times New Roman"/>
          <w:b/>
          <w:color w:val="auto"/>
        </w:rPr>
        <w:t>Úvod</w:t>
      </w:r>
      <w:bookmarkEnd w:id="0"/>
      <w:bookmarkEnd w:id="1"/>
      <w:bookmarkEnd w:id="2"/>
    </w:p>
    <w:p w:rsidR="00EF3341" w:rsidRPr="00C53FBF" w:rsidRDefault="00565D3C" w:rsidP="002B3844">
      <w:pPr>
        <w:spacing w:before="240" w:after="240"/>
        <w:ind w:firstLine="0"/>
      </w:pPr>
      <w:r w:rsidRPr="00C53FBF">
        <w:t xml:space="preserve">24. února 2022 vstoupila ruská vojska </w:t>
      </w:r>
      <w:r w:rsidR="006846F1" w:rsidRPr="00C53FBF">
        <w:t xml:space="preserve">na území Ukrajiny. </w:t>
      </w:r>
      <w:r w:rsidRPr="00C53FBF">
        <w:t>Rusk</w:t>
      </w:r>
      <w:r w:rsidR="00851D74" w:rsidRPr="00C53FBF">
        <w:t>á federace (dále Rusko) započala</w:t>
      </w:r>
      <w:r w:rsidRPr="00C53FBF">
        <w:t xml:space="preserve"> </w:t>
      </w:r>
      <w:r w:rsidR="00C46B73" w:rsidRPr="00C53FBF">
        <w:t>největší ozbrojený</w:t>
      </w:r>
      <w:r w:rsidR="0090267F" w:rsidRPr="00C53FBF">
        <w:t xml:space="preserve"> konflikt</w:t>
      </w:r>
      <w:r w:rsidRPr="00C53FBF">
        <w:t xml:space="preserve"> na území Evropy od druhé světové v</w:t>
      </w:r>
      <w:r w:rsidR="00C46B73" w:rsidRPr="00C53FBF">
        <w:t xml:space="preserve">álky. Vyvrcholila tak rusko-ukrajinská krize, </w:t>
      </w:r>
      <w:r w:rsidR="00C673CD" w:rsidRPr="00C53FBF">
        <w:t>která začala</w:t>
      </w:r>
      <w:r w:rsidR="00C82706" w:rsidRPr="00C53FBF">
        <w:t xml:space="preserve"> již v únoru 2014. Pro celé mez</w:t>
      </w:r>
      <w:r w:rsidR="00801324" w:rsidRPr="00C53FBF">
        <w:t>inárodní společenství to byl šok. V</w:t>
      </w:r>
      <w:r w:rsidR="00C82706" w:rsidRPr="00C53FBF">
        <w:t xml:space="preserve"> následném hlasování Organizace spojených národů (dále OSN) se proti ruské agresi vyslovilo 141 </w:t>
      </w:r>
      <w:r w:rsidR="00801324" w:rsidRPr="00C53FBF">
        <w:t>států</w:t>
      </w:r>
      <w:r w:rsidR="00851D74" w:rsidRPr="00C53FBF">
        <w:t>,</w:t>
      </w:r>
      <w:r w:rsidR="0090267F" w:rsidRPr="00C53FBF">
        <w:t xml:space="preserve"> vč. všech států Evropské unie (dále EU)</w:t>
      </w:r>
      <w:r w:rsidR="00851D74" w:rsidRPr="00C53FBF">
        <w:t>,</w:t>
      </w:r>
      <w:r w:rsidR="00EF3341" w:rsidRPr="00C53FBF">
        <w:t xml:space="preserve"> a odsoudily</w:t>
      </w:r>
      <w:r w:rsidR="00550998" w:rsidRPr="00C53FBF">
        <w:t xml:space="preserve"> tím</w:t>
      </w:r>
      <w:r w:rsidR="00801324" w:rsidRPr="00C53FBF">
        <w:t xml:space="preserve"> ruský útok</w:t>
      </w:r>
      <w:r w:rsidR="00470650" w:rsidRPr="00C53FBF">
        <w:rPr>
          <w:rStyle w:val="Znakapoznpodarou"/>
        </w:rPr>
        <w:footnoteReference w:id="1"/>
      </w:r>
      <w:r w:rsidR="00801324" w:rsidRPr="00C53FBF">
        <w:t xml:space="preserve"> (United Nations, 2023).</w:t>
      </w:r>
      <w:r w:rsidR="0090267F" w:rsidRPr="00C53FBF">
        <w:t xml:space="preserve"> </w:t>
      </w:r>
      <w:r w:rsidR="00CC3041" w:rsidRPr="00C53FBF">
        <w:t>EU</w:t>
      </w:r>
      <w:r w:rsidR="00801324" w:rsidRPr="00C53FBF">
        <w:t xml:space="preserve"> reagoval</w:t>
      </w:r>
      <w:r w:rsidR="0090267F" w:rsidRPr="00C53FBF">
        <w:t>a</w:t>
      </w:r>
      <w:r w:rsidR="00801324" w:rsidRPr="00C53FBF">
        <w:t xml:space="preserve"> jednotně a </w:t>
      </w:r>
      <w:r w:rsidR="00EF3341" w:rsidRPr="00C53FBF">
        <w:t xml:space="preserve">téměř </w:t>
      </w:r>
      <w:r w:rsidR="00801324" w:rsidRPr="00C53FBF">
        <w:t>všechny</w:t>
      </w:r>
      <w:r w:rsidR="00EF3341" w:rsidRPr="00C53FBF">
        <w:t xml:space="preserve"> členské státy</w:t>
      </w:r>
      <w:r w:rsidR="00801324" w:rsidRPr="00C53FBF">
        <w:t xml:space="preserve"> </w:t>
      </w:r>
      <w:r w:rsidR="0090267F" w:rsidRPr="00C53FBF">
        <w:t xml:space="preserve">více či méně podporují Ukrajinu. </w:t>
      </w:r>
      <w:r w:rsidR="00552B1C" w:rsidRPr="00C53FBF">
        <w:t xml:space="preserve">Míra podpory </w:t>
      </w:r>
      <w:r w:rsidR="00C673CD" w:rsidRPr="00C53FBF">
        <w:t xml:space="preserve">lze </w:t>
      </w:r>
      <w:r w:rsidR="00570A66" w:rsidRPr="00C53FBF">
        <w:t>vyčíst z d</w:t>
      </w:r>
      <w:r w:rsidR="005C2E4C" w:rsidRPr="00C53FBF">
        <w:t>ostupn</w:t>
      </w:r>
      <w:r w:rsidR="00570A66" w:rsidRPr="00C53FBF">
        <w:t>ých</w:t>
      </w:r>
      <w:r w:rsidR="005C2E4C" w:rsidRPr="00C53FBF">
        <w:t xml:space="preserve"> dat Kielského institutu</w:t>
      </w:r>
      <w:r w:rsidR="005659A5" w:rsidRPr="00C53FBF">
        <w:t xml:space="preserve"> </w:t>
      </w:r>
      <w:r w:rsidR="00C673CD" w:rsidRPr="00C53FBF">
        <w:t>pro světovou ekonomii (Trebesch et al., 2024)</w:t>
      </w:r>
      <w:r w:rsidR="005C2E4C" w:rsidRPr="00C53FBF">
        <w:t>, která jsou pravidelně aktualizována</w:t>
      </w:r>
      <w:r w:rsidR="005C2E4C" w:rsidRPr="00C53FBF">
        <w:rPr>
          <w:rStyle w:val="Znakapoznpodarou"/>
        </w:rPr>
        <w:footnoteReference w:id="2"/>
      </w:r>
      <w:r w:rsidR="00570A66" w:rsidRPr="00C53FBF">
        <w:t xml:space="preserve">. </w:t>
      </w:r>
      <w:r w:rsidR="00C673CD" w:rsidRPr="00C53FBF">
        <w:t xml:space="preserve">Nelze z nich však </w:t>
      </w:r>
      <w:r w:rsidR="00552B1C" w:rsidRPr="00C53FBF">
        <w:t>zjisti</w:t>
      </w:r>
      <w:r w:rsidR="00C673CD" w:rsidRPr="00C53FBF">
        <w:t>t, které faktory míru podpory ovlivňují.</w:t>
      </w:r>
    </w:p>
    <w:p w:rsidR="000C04AF" w:rsidRDefault="00E03E60" w:rsidP="002B3844">
      <w:pPr>
        <w:spacing w:before="240" w:after="240"/>
        <w:ind w:firstLine="708"/>
      </w:pPr>
      <w:r w:rsidRPr="00C53FBF">
        <w:t>Téma</w:t>
      </w:r>
      <w:r w:rsidR="00552B1C" w:rsidRPr="00C53FBF">
        <w:t xml:space="preserve"> bilaterální pomoci Ukrajině</w:t>
      </w:r>
      <w:r w:rsidRPr="00C53FBF">
        <w:t xml:space="preserve"> je velice aktuální, jelikož v době vzniku práce konflikt stále trvá. Z tohoto důvodu je k dispozici poměrně málo odborné literatury, která by faktory ovlivňující pomoc Ukrajině zkoumala.</w:t>
      </w:r>
      <w:r w:rsidR="002F3525" w:rsidRPr="00C53FBF">
        <w:t xml:space="preserve"> Zahraniční podporou Ukrajiny se zabýval Trebesch (2023), kde mj. poskytuje srovnání míry podpory s jinými válečnými konflikty (druhá světová válka, korejská válka, válka v Zálivu). Kříž (2023) se ve své knize </w:t>
      </w:r>
      <w:r w:rsidR="00550998" w:rsidRPr="00C53FBF">
        <w:t xml:space="preserve">zase </w:t>
      </w:r>
      <w:r w:rsidR="002F3525" w:rsidRPr="00C53FBF">
        <w:t>věnuje prvnímu roku rusko</w:t>
      </w:r>
      <w:r w:rsidR="00547D39" w:rsidRPr="00C53FBF">
        <w:t>-</w:t>
      </w:r>
      <w:r w:rsidR="002F3525" w:rsidRPr="00C53FBF">
        <w:t>ukrajinské války</w:t>
      </w:r>
      <w:r w:rsidR="00AF3930">
        <w:t xml:space="preserve"> a kontextu, který ji předcházel</w:t>
      </w:r>
      <w:r w:rsidR="002F3525" w:rsidRPr="00C53FBF">
        <w:t>.</w:t>
      </w:r>
      <w:r w:rsidR="00552B1C" w:rsidRPr="00C53FBF">
        <w:t xml:space="preserve"> S odstupem času</w:t>
      </w:r>
      <w:r w:rsidRPr="00C53FBF">
        <w:t xml:space="preserve"> budou vznikat další studie zabývající se tímto konfliktem a </w:t>
      </w:r>
      <w:r w:rsidR="00552B1C" w:rsidRPr="00C53FBF">
        <w:t>zcela jistě</w:t>
      </w:r>
      <w:r w:rsidRPr="00C53FBF">
        <w:t xml:space="preserve"> i faktory ovlivňujícími </w:t>
      </w:r>
      <w:r w:rsidR="00552B1C" w:rsidRPr="00C53FBF">
        <w:t>pomoc Ukrajině</w:t>
      </w:r>
      <w:r w:rsidR="000C04AF">
        <w:t>.</w:t>
      </w:r>
    </w:p>
    <w:p w:rsidR="0048468F" w:rsidRPr="00C53FBF" w:rsidRDefault="00E03E60" w:rsidP="002B3844">
      <w:pPr>
        <w:spacing w:before="240" w:after="240"/>
        <w:ind w:firstLine="708"/>
      </w:pPr>
      <w:r w:rsidRPr="00C53FBF">
        <w:t xml:space="preserve">V říjnu 2023 vydal takto zaměřený článek Aghdaei (2023), kde </w:t>
      </w:r>
      <w:r w:rsidR="002F3525" w:rsidRPr="00C53FBF">
        <w:t>analyzuje</w:t>
      </w:r>
      <w:r w:rsidRPr="00C53FBF">
        <w:t xml:space="preserve"> pomocí kvalitativní komparativní analýzy bilaterální podporu Ukrajiny </w:t>
      </w:r>
      <w:r w:rsidR="00381FDC">
        <w:t>vlád</w:t>
      </w:r>
      <w:r w:rsidR="00BD63CE" w:rsidRPr="00C53FBF">
        <w:t xml:space="preserve"> </w:t>
      </w:r>
      <w:r w:rsidR="00381FDC">
        <w:t>členských států</w:t>
      </w:r>
      <w:r w:rsidR="00BD63CE" w:rsidRPr="00C53FBF">
        <w:t xml:space="preserve"> </w:t>
      </w:r>
      <w:r w:rsidRPr="00C53FBF">
        <w:t>EU</w:t>
      </w:r>
      <w:r w:rsidR="006315F1">
        <w:t xml:space="preserve"> (n = 37)</w:t>
      </w:r>
      <w:r w:rsidR="00BD63CE" w:rsidRPr="00C53FBF">
        <w:t>, přičemž</w:t>
      </w:r>
      <w:r w:rsidR="00152A5B" w:rsidRPr="00C53FBF">
        <w:t xml:space="preserve"> zkoumá čtyři faktory ovlivňující pomoc – nedávné a budoucí volby</w:t>
      </w:r>
      <w:r w:rsidR="0048468F" w:rsidRPr="00C53FBF">
        <w:t>, levicové stranictví jednotlivých vlád a uprchlíky</w:t>
      </w:r>
      <w:r w:rsidR="00152A5B" w:rsidRPr="00C53FBF">
        <w:t>.</w:t>
      </w:r>
      <w:r w:rsidR="00381FDC">
        <w:t xml:space="preserve"> Právě uprchlíci se ukázali jako významný</w:t>
      </w:r>
      <w:r w:rsidR="009C520A">
        <w:t xml:space="preserve"> (nikoli však dostatečný)</w:t>
      </w:r>
      <w:r w:rsidR="00381FDC">
        <w:t xml:space="preserve"> faktor v bilaterální pomoci Ukrajině. </w:t>
      </w:r>
      <w:r w:rsidR="009C520A">
        <w:t>Hypotézu o uprchlících formuluje v kombinaci s levicovým stranictvím. Ve své práci jsem zkoumal podíl uprchlíků v jednotlivých státech v kombinaci s kvalitou liberální demokracie</w:t>
      </w:r>
      <w:r w:rsidR="000C04AF">
        <w:rPr>
          <w:rStyle w:val="Znakapoznpodarou"/>
        </w:rPr>
        <w:footnoteReference w:id="3"/>
      </w:r>
      <w:r w:rsidR="009C520A">
        <w:t>, jinak se mnou zvažované faktory odlišují. Podíl uprchlíků a kvalitu liberální demokracie doplnily závislost na ruském plynu, příslušnost ke staré či nové Evropě,</w:t>
      </w:r>
      <w:r w:rsidR="009C520A" w:rsidRPr="009C520A">
        <w:t xml:space="preserve"> </w:t>
      </w:r>
      <w:r w:rsidR="009C520A">
        <w:t>obranné rozpočty států, geografická vzdálenost, výše exportu států EU s Ruskem a podíl populistů ve vládě.</w:t>
      </w:r>
    </w:p>
    <w:p w:rsidR="00547D39" w:rsidRPr="00C53FBF" w:rsidRDefault="00506C5A" w:rsidP="002B3844">
      <w:pPr>
        <w:spacing w:before="240" w:after="240"/>
        <w:ind w:firstLine="708"/>
      </w:pPr>
      <w:r w:rsidRPr="00C53FBF">
        <w:lastRenderedPageBreak/>
        <w:t>V této práci si kladu</w:t>
      </w:r>
      <w:r w:rsidR="000E7E45" w:rsidRPr="00C53FBF">
        <w:t xml:space="preserve"> za cíl analyzovat, které ze zkoumaných faktorů, popř. jejich kombinace, vedou k tomu, že některé státy EU podporují Ukrajinu více než jiné, což je v práci operacionalizováno jako pomoc vůči HDP (vyjádřeno v procentech).</w:t>
      </w:r>
      <w:r w:rsidR="00BD63CE" w:rsidRPr="00C53FBF">
        <w:t xml:space="preserve"> K </w:t>
      </w:r>
      <w:r w:rsidRPr="00C53FBF">
        <w:t>tomu slouží ověření hypotéz (H1–</w:t>
      </w:r>
      <w:r w:rsidR="00BD63CE" w:rsidRPr="00C53FBF">
        <w:t xml:space="preserve">H7), které vychází z dostupné literatury blíže popsané v teoretické části. V práci se zaměřuji výhradně na bilaterální podporu členských států EU během prvních dvou válečných let 2022 a 2023. </w:t>
      </w:r>
      <w:r w:rsidRPr="00C53FBF">
        <w:t>Z</w:t>
      </w:r>
      <w:r w:rsidR="004A3455" w:rsidRPr="00C53FBF">
        <w:t>volil</w:t>
      </w:r>
      <w:r w:rsidRPr="00C53FBF">
        <w:t xml:space="preserve"> jsem</w:t>
      </w:r>
      <w:r w:rsidR="004A3455" w:rsidRPr="00C53FBF">
        <w:t xml:space="preserve"> následující výzkumnou otázku, která vychází z cíle práce: </w:t>
      </w:r>
      <w:r w:rsidR="004A3455" w:rsidRPr="00C53FBF">
        <w:rPr>
          <w:i/>
        </w:rPr>
        <w:t>„Které faktory ovlivňují ochotu států Evropské unie podporovat Ukrajinu v rusko-ukrajinské válce?“</w:t>
      </w:r>
      <w:r w:rsidR="004A3455" w:rsidRPr="00C53FBF">
        <w:t xml:space="preserve"> Z hlediska metodologie ve své práci používám kvalitativní komparativní analýzu s využitím mlhavých množin. Autorem metody je Charles Ragin. Tuto metodu je vhodné použít při středně velkém množství případů, což mnou zkoumaných 27 členských států EU splňuje. Kvalitativní komparativní analýza zkoumá kombinace jednotlivých faktorů na důsledek (viz Ragin, 2008).</w:t>
      </w:r>
    </w:p>
    <w:p w:rsidR="0004118A" w:rsidRPr="00C53FBF" w:rsidRDefault="004A3455" w:rsidP="002B3844">
      <w:pPr>
        <w:spacing w:before="240" w:after="240"/>
        <w:ind w:firstLine="708"/>
      </w:pPr>
      <w:r w:rsidRPr="00C53FBF">
        <w:t xml:space="preserve">Struktura práce je následující. Nejdříve představím stručný kontext rusko-ukrajinské války. Zde nastíním klíčové body ve vývoji jejich vzájemných vztahů. Následuje teoretická část, ve které jsou představena teoretická východiska zkoumaných hypotéz. Další částí je metodologická část, kde je představena samotná metoda kvalitní komparativní analýzy a operacionalizované jednotlivé faktory a důsledek. </w:t>
      </w:r>
      <w:r w:rsidR="00506C5A" w:rsidRPr="00C53FBF">
        <w:t>Výše zmíněné části doplňuje analytická</w:t>
      </w:r>
      <w:r w:rsidRPr="00C53FBF">
        <w:t xml:space="preserve"> část, ve které ověřuji jednotlivé hypotézy a představuji výsledky</w:t>
      </w:r>
      <w:r w:rsidR="00DB3A7C">
        <w:t xml:space="preserve"> a uvádím případovou studii Polska</w:t>
      </w:r>
      <w:r w:rsidRPr="00C53FBF">
        <w:t>, načež vše shrnuji v závěru práce.</w:t>
      </w:r>
    </w:p>
    <w:p w:rsidR="00EE280B" w:rsidRPr="00C53FBF" w:rsidRDefault="00FD13CA" w:rsidP="002B3844">
      <w:pPr>
        <w:pStyle w:val="Nadpis1"/>
        <w:spacing w:after="240"/>
        <w:ind w:firstLine="0"/>
        <w:rPr>
          <w:rFonts w:ascii="Times New Roman" w:hAnsi="Times New Roman" w:cs="Times New Roman"/>
          <w:b/>
          <w:color w:val="auto"/>
        </w:rPr>
      </w:pPr>
      <w:bookmarkStart w:id="3" w:name="_Toc163488263"/>
      <w:bookmarkStart w:id="4" w:name="_Toc164767381"/>
      <w:bookmarkStart w:id="5" w:name="_Toc164808697"/>
      <w:r>
        <w:rPr>
          <w:rFonts w:ascii="Times New Roman" w:hAnsi="Times New Roman" w:cs="Times New Roman"/>
          <w:b/>
          <w:color w:val="auto"/>
        </w:rPr>
        <w:t xml:space="preserve">2. </w:t>
      </w:r>
      <w:r w:rsidR="003B4808" w:rsidRPr="00C53FBF">
        <w:rPr>
          <w:rFonts w:ascii="Times New Roman" w:hAnsi="Times New Roman" w:cs="Times New Roman"/>
          <w:b/>
          <w:color w:val="auto"/>
        </w:rPr>
        <w:t>Kontext</w:t>
      </w:r>
      <w:bookmarkEnd w:id="3"/>
      <w:r w:rsidR="0029224C" w:rsidRPr="00C53FBF">
        <w:rPr>
          <w:rFonts w:ascii="Times New Roman" w:hAnsi="Times New Roman" w:cs="Times New Roman"/>
          <w:b/>
          <w:color w:val="auto"/>
        </w:rPr>
        <w:t xml:space="preserve"> rusko-ukrajinské války</w:t>
      </w:r>
      <w:bookmarkEnd w:id="4"/>
      <w:bookmarkEnd w:id="5"/>
    </w:p>
    <w:p w:rsidR="00662BA8" w:rsidRDefault="00A315D3" w:rsidP="002B3844">
      <w:pPr>
        <w:spacing w:before="240" w:after="240"/>
        <w:ind w:firstLine="0"/>
      </w:pPr>
      <w:r w:rsidRPr="00C53FBF">
        <w:t>Vztahy Ruska a Ukrajiny nenastíním od dob Kyjevské R</w:t>
      </w:r>
      <w:r w:rsidR="007A2BC2" w:rsidRPr="00C53FBF">
        <w:t>usi, nýbrž od významného milníku</w:t>
      </w:r>
      <w:r w:rsidRPr="00C53FBF">
        <w:t xml:space="preserve">, který Vladimír Putin v roce 2005 označil jako: </w:t>
      </w:r>
      <w:r w:rsidRPr="00C53FBF">
        <w:rPr>
          <w:i/>
        </w:rPr>
        <w:t>„největší geopolitickou katastrofu dvacátého století“</w:t>
      </w:r>
      <w:r w:rsidRPr="00C53FBF">
        <w:t>, tedy rozpadu Sovětského svazu (dále SSSR). Za zmínku stojí</w:t>
      </w:r>
      <w:r w:rsidR="00662BA8">
        <w:t xml:space="preserve"> ještě</w:t>
      </w:r>
      <w:r w:rsidRPr="00C53FBF">
        <w:t xml:space="preserve"> rok 1954, kdy Nikita Chruščov, tehdejší generální tajemník SSSR, administrativně převedl Krym pod správu Ukrajinské sovětské socialistické republiky, což </w:t>
      </w:r>
      <w:r w:rsidR="00662BA8">
        <w:t>později způsobilo mnohé potíže.</w:t>
      </w:r>
    </w:p>
    <w:p w:rsidR="004D684D" w:rsidRPr="00C53FBF" w:rsidRDefault="00A315D3" w:rsidP="002B3844">
      <w:pPr>
        <w:spacing w:before="240" w:after="240"/>
        <w:ind w:firstLine="708"/>
      </w:pPr>
      <w:r w:rsidRPr="00C53FBF">
        <w:t>Rozpadu sovětského impéria ještě v polovině 80</w:t>
      </w:r>
      <w:r w:rsidR="00DC58FD" w:rsidRPr="00C53FBF">
        <w:t>.</w:t>
      </w:r>
      <w:r w:rsidRPr="00C53FBF">
        <w:t xml:space="preserve"> let nic nenasvědčovalo. Tehdejší šéf CIA Robert Gates prohlásil, že </w:t>
      </w:r>
      <w:r w:rsidRPr="00C53FBF">
        <w:rPr>
          <w:i/>
        </w:rPr>
        <w:t>„neexistuje, aby se SSSR rozpadl za života mých dětí“</w:t>
      </w:r>
      <w:r w:rsidRPr="00C53FBF">
        <w:t xml:space="preserve"> (citováno podle Kříže 2023: 9). Přesto se tak na </w:t>
      </w:r>
      <w:r w:rsidR="00B8626F" w:rsidRPr="00C53FBF">
        <w:t>konci roku 1991 stalo, když 8. p</w:t>
      </w:r>
      <w:r w:rsidRPr="00C53FBF">
        <w:t>rosince 1991 Boris Jelcin, Leonid Kravčuk a Stanislav Šuškevič vyhlásili rozpuštění SSSR a vznik Společenství nezávislých států (dále</w:t>
      </w:r>
      <w:r w:rsidR="004D684D" w:rsidRPr="00C53FBF">
        <w:t xml:space="preserve"> SNS). Již od ledna tého</w:t>
      </w:r>
      <w:r w:rsidRPr="00C53FBF">
        <w:t>ž ro</w:t>
      </w:r>
      <w:r w:rsidR="004D684D" w:rsidRPr="00C53FBF">
        <w:t>ku probíhaly nepokoje v Pobaltí a v srpnu vyhlásily</w:t>
      </w:r>
      <w:r w:rsidRPr="00C53FBF">
        <w:t xml:space="preserve"> nezávislost další státy mj. i Ukrajina. 21. prosince 1991 na summitu v Alma-Atě vznik SNS a rozpad SSSR pak potvrdilo 11 nástupnických států vč. </w:t>
      </w:r>
      <w:r w:rsidR="00FB203E" w:rsidRPr="00C53FBF">
        <w:t>Ruska</w:t>
      </w:r>
      <w:r w:rsidRPr="00C53FBF">
        <w:t xml:space="preserve"> a Ukrajiny.</w:t>
      </w:r>
      <w:r w:rsidR="004D684D" w:rsidRPr="00C53FBF">
        <w:t xml:space="preserve"> </w:t>
      </w:r>
      <w:r w:rsidR="00000A01" w:rsidRPr="00C53FBF">
        <w:t xml:space="preserve">Rusko muselo </w:t>
      </w:r>
      <w:r w:rsidR="00000A01" w:rsidRPr="00C53FBF">
        <w:lastRenderedPageBreak/>
        <w:t>řešit celou řadu problémů. Špatná ekonomic</w:t>
      </w:r>
      <w:r w:rsidR="00C96C22" w:rsidRPr="00C53FBF">
        <w:t xml:space="preserve">ká situace a národnostní </w:t>
      </w:r>
      <w:r w:rsidR="004D684D" w:rsidRPr="00C53FBF">
        <w:t>složení způsobovaly problémy</w:t>
      </w:r>
      <w:r w:rsidR="00000A01" w:rsidRPr="00C53FBF">
        <w:t xml:space="preserve">, kterým musel Boris Jelcin, tehdejší prezident Ruska, čelit. </w:t>
      </w:r>
      <w:r w:rsidR="004D684D" w:rsidRPr="00C53FBF">
        <w:t>Ekonomické potíže měla vyřešit radikální ekonomická reforma,</w:t>
      </w:r>
      <w:r w:rsidR="00000A01" w:rsidRPr="00C53FBF">
        <w:rPr>
          <w:rStyle w:val="Znakapoznpodarou"/>
        </w:rPr>
        <w:footnoteReference w:id="4"/>
      </w:r>
      <w:r w:rsidR="004D684D" w:rsidRPr="00C53FBF">
        <w:t xml:space="preserve"> pomocí které se Rusko snažilo o rychlé zavedení tržního hospodářství. </w:t>
      </w:r>
      <w:r w:rsidR="00000A01" w:rsidRPr="00C53FBF">
        <w:t>Jenže tato reforma</w:t>
      </w:r>
      <w:r w:rsidR="004D684D" w:rsidRPr="00C53FBF">
        <w:t>, která byla zavedena na pozadí</w:t>
      </w:r>
      <w:r w:rsidR="00000A01" w:rsidRPr="00C53FBF">
        <w:t xml:space="preserve"> probíhající ekonomické krize</w:t>
      </w:r>
      <w:r w:rsidR="004D684D" w:rsidRPr="00C53FBF">
        <w:t>,</w:t>
      </w:r>
      <w:r w:rsidR="00000A01" w:rsidRPr="00C53FBF">
        <w:t xml:space="preserve"> nejdříve špatnou situaci prohloubila,</w:t>
      </w:r>
      <w:r w:rsidR="00000A01" w:rsidRPr="00C53FBF">
        <w:rPr>
          <w:rStyle w:val="Znakapoznpodarou"/>
        </w:rPr>
        <w:footnoteReference w:id="5"/>
      </w:r>
      <w:r w:rsidR="00000A01" w:rsidRPr="00C53FBF">
        <w:t xml:space="preserve"> což v ruské společnosti vedlo k značné nepopularitě liberálů. </w:t>
      </w:r>
      <w:r w:rsidR="004D684D" w:rsidRPr="00C53FBF">
        <w:t>V roce 1998 následoval dokonce ruský bankrot</w:t>
      </w:r>
      <w:r w:rsidR="00000A01" w:rsidRPr="00C53FBF">
        <w:t xml:space="preserve">, který </w:t>
      </w:r>
      <w:r w:rsidR="004D684D" w:rsidRPr="00C53FBF">
        <w:t xml:space="preserve">nakonec </w:t>
      </w:r>
      <w:r w:rsidR="00000A01" w:rsidRPr="00C53FBF">
        <w:t xml:space="preserve">řešily Mezinárodní měnový fond a Světová banka poskytnutím úvěrů v hodnotě 22 miliard amerických dolarů, což zabránilo hlubší krizi a Rusko postupem času, také díky růstu cen surovin, </w:t>
      </w:r>
      <w:r w:rsidR="004D684D" w:rsidRPr="00C53FBF">
        <w:t>ekonomicky rostlo.</w:t>
      </w:r>
    </w:p>
    <w:p w:rsidR="00D3013A" w:rsidRPr="00C53FBF" w:rsidRDefault="00597ACA" w:rsidP="002B3844">
      <w:pPr>
        <w:spacing w:before="240" w:after="240"/>
        <w:ind w:firstLine="708"/>
      </w:pPr>
      <w:r w:rsidRPr="00C53FBF">
        <w:t>V roce 2000 se stal ruským prezidentem V</w:t>
      </w:r>
      <w:r w:rsidR="008D0990" w:rsidRPr="00C53FBF">
        <w:t>.</w:t>
      </w:r>
      <w:r w:rsidRPr="00C53FBF">
        <w:t xml:space="preserve"> Putin, který rok předtím, coby ruský premiér, zahájil brutálně vedenou druhou čečenskou válku.</w:t>
      </w:r>
      <w:r w:rsidRPr="00C53FBF">
        <w:rPr>
          <w:rStyle w:val="Znakapoznpodarou"/>
        </w:rPr>
        <w:footnoteReference w:id="6"/>
      </w:r>
      <w:r w:rsidR="00000A01" w:rsidRPr="00C53FBF">
        <w:t xml:space="preserve"> </w:t>
      </w:r>
      <w:r w:rsidR="008D0990" w:rsidRPr="00C53FBF">
        <w:t xml:space="preserve">V. </w:t>
      </w:r>
      <w:r w:rsidRPr="00C53FBF">
        <w:t>Putin se p</w:t>
      </w:r>
      <w:r w:rsidR="00510902" w:rsidRPr="00C53FBF">
        <w:t xml:space="preserve">ostavil proti ruským </w:t>
      </w:r>
      <w:r w:rsidR="000329DA" w:rsidRPr="00C53FBF">
        <w:t>oligarchům (Berezov</w:t>
      </w:r>
      <w:r w:rsidR="00510902" w:rsidRPr="00C53FBF">
        <w:t>s</w:t>
      </w:r>
      <w:r w:rsidR="000329DA" w:rsidRPr="00C53FBF">
        <w:t>k</w:t>
      </w:r>
      <w:r w:rsidR="00510902" w:rsidRPr="00C53FBF">
        <w:t>ij, Chodorkovskij) a začala pozvolná demontáž demokracie.</w:t>
      </w:r>
      <w:r w:rsidR="00510902" w:rsidRPr="00C53FBF">
        <w:rPr>
          <w:rStyle w:val="Znakapoznpodarou"/>
        </w:rPr>
        <w:footnoteReference w:id="7"/>
      </w:r>
      <w:r w:rsidR="00510902" w:rsidRPr="00C53FBF">
        <w:t xml:space="preserve"> </w:t>
      </w:r>
      <w:r w:rsidR="00B8626F" w:rsidRPr="00C53FBF">
        <w:t>Začal</w:t>
      </w:r>
      <w:r w:rsidR="00510902" w:rsidRPr="00C53FBF">
        <w:t xml:space="preserve"> </w:t>
      </w:r>
      <w:r w:rsidR="00141FFA" w:rsidRPr="00C53FBF">
        <w:t>budovat</w:t>
      </w:r>
      <w:r w:rsidR="00510902" w:rsidRPr="00C53FBF">
        <w:t xml:space="preserve"> tzv. suverénní demokracii. </w:t>
      </w:r>
      <w:r w:rsidR="004D684D" w:rsidRPr="00C53FBF">
        <w:t>Po jednom funkčním období</w:t>
      </w:r>
      <w:r w:rsidR="00234503" w:rsidRPr="00C53FBF">
        <w:t xml:space="preserve"> Dmitrijho Medveděva, který byl od roku 2008 do roku 2012 ruským prezidentem, se po změně ústavy stal znovu prezidentem V</w:t>
      </w:r>
      <w:r w:rsidR="008D0990" w:rsidRPr="00C53FBF">
        <w:t>.</w:t>
      </w:r>
      <w:r w:rsidR="00234503" w:rsidRPr="00C53FBF">
        <w:t xml:space="preserve"> Putin. Po pronesení svého výr</w:t>
      </w:r>
      <w:r w:rsidR="00A315D3" w:rsidRPr="00C53FBF">
        <w:t xml:space="preserve">oku o rozpadu SSSR z roku 2005 a </w:t>
      </w:r>
      <w:r w:rsidR="00234503" w:rsidRPr="00C53FBF">
        <w:t>tzv. šestidenní válce z roku 2008, kdy Rusko napadlo Gruzii ve sporu o Jižní Osetii a Abcházii, bylo jasné, že cílem ruské zahrani</w:t>
      </w:r>
      <w:r w:rsidR="001D0951" w:rsidRPr="00C53FBF">
        <w:t>ční politiky je obnova impéria.</w:t>
      </w:r>
      <w:r w:rsidR="00AA0CA2" w:rsidRPr="00C53FBF">
        <w:t xml:space="preserve"> </w:t>
      </w:r>
      <w:r w:rsidR="004D684D" w:rsidRPr="00C53FBF">
        <w:t>K </w:t>
      </w:r>
      <w:r w:rsidR="00AA0CA2" w:rsidRPr="00C53FBF">
        <w:t>té</w:t>
      </w:r>
      <w:r w:rsidR="00E82438" w:rsidRPr="00C53FBF">
        <w:t xml:space="preserve"> má pomoci koncept ruského světa (russkij mir). Ten je znám již od 90. let (Ščedrovickij, Ostovský a další), aby bylo možné Rusům nabídnout šířeji vnímanou identitu po rozpadu SSSR. Kříž (2023: 23) uvádí: </w:t>
      </w:r>
      <w:r w:rsidR="00E82438" w:rsidRPr="00C53FBF">
        <w:rPr>
          <w:i/>
        </w:rPr>
        <w:t>„Ruský svět je v tomto pojetí tvořen především lidmi, kteří mluví rusky, s Ruskem se identifikují, za Rusy se považují, „rusky“ jednají a jsou spojeni společným osudem, bez ohledu na to, kde momentálně žijí.“</w:t>
      </w:r>
      <w:r w:rsidR="00E82438" w:rsidRPr="00C53FBF">
        <w:t xml:space="preserve"> </w:t>
      </w:r>
      <w:r w:rsidR="00E82438" w:rsidRPr="00C53FBF">
        <w:rPr>
          <w:rStyle w:val="Znakapoznpodarou"/>
        </w:rPr>
        <w:footnoteReference w:id="8"/>
      </w:r>
      <w:r w:rsidR="00E82438" w:rsidRPr="00C53FBF">
        <w:t xml:space="preserve"> Tyto </w:t>
      </w:r>
      <w:r w:rsidR="00EE280B" w:rsidRPr="00C53FBF">
        <w:t>znaky uvedl V</w:t>
      </w:r>
      <w:r w:rsidR="008D0990" w:rsidRPr="00C53FBF">
        <w:t>.</w:t>
      </w:r>
      <w:r w:rsidR="00EE280B" w:rsidRPr="00C53FBF">
        <w:t xml:space="preserve"> Putin ve své eseji z roku 2021, kde mj. tvrdí, že Rusové, Ukrajinci a Bělorusové jsou jeden národ. Tento koncept byl použit k obhajobě nelegální anexe Krymu, následné války n</w:t>
      </w:r>
      <w:r w:rsidR="005126AF" w:rsidRPr="00C53FBF">
        <w:t>a Donbase a invazi na Ukrajinu (Rutland 2013: 334-344; Kříž 2023: 15-25).</w:t>
      </w:r>
    </w:p>
    <w:p w:rsidR="001563E0" w:rsidRPr="00C53FBF" w:rsidRDefault="009677AB" w:rsidP="002B3844">
      <w:pPr>
        <w:spacing w:before="240" w:after="240"/>
        <w:ind w:firstLine="708"/>
      </w:pPr>
      <w:r w:rsidRPr="00C53FBF">
        <w:t xml:space="preserve">Ukrajina </w:t>
      </w:r>
      <w:r w:rsidR="00C96C22" w:rsidRPr="00C53FBF">
        <w:t xml:space="preserve">byla poslední z postsovětských států, která </w:t>
      </w:r>
      <w:r w:rsidRPr="00C53FBF">
        <w:t>po vyhlášení samostatnosti v roce 1991 přijala novou ústavu (až v roce 1996).</w:t>
      </w:r>
      <w:r w:rsidR="00567280" w:rsidRPr="00C53FBF">
        <w:t xml:space="preserve"> </w:t>
      </w:r>
      <w:r w:rsidR="007E4F94" w:rsidRPr="00C53FBF">
        <w:t>Tížila ji však extrémní míra korupce</w:t>
      </w:r>
      <w:r w:rsidR="00567280" w:rsidRPr="00C53FBF">
        <w:t xml:space="preserve">. Po zvolení Leonida Kučmy prezidentem, který v programu měl mj. znovu obnovení ekonomických styků </w:t>
      </w:r>
      <w:r w:rsidR="00567280" w:rsidRPr="00C53FBF">
        <w:lastRenderedPageBreak/>
        <w:t xml:space="preserve">s Ruskem, došlo k privatizaci, </w:t>
      </w:r>
      <w:r w:rsidR="008D0990" w:rsidRPr="00C53FBF">
        <w:t>která</w:t>
      </w:r>
      <w:r w:rsidR="00567280" w:rsidRPr="00C53FBF">
        <w:t xml:space="preserve"> však byla provedena problematicky. Ekonomickou situaci Ukrajiny tak musela řešit až měnová reforma z roku 1996. Ta ale nevyřešil</w:t>
      </w:r>
      <w:r w:rsidR="008E235B" w:rsidRPr="00C53FBF">
        <w:t>a</w:t>
      </w:r>
      <w:r w:rsidR="00567280" w:rsidRPr="00C53FBF">
        <w:t xml:space="preserve"> obrovské problémy s korupcí či organizovaným zločinem</w:t>
      </w:r>
      <w:r w:rsidR="008D0990" w:rsidRPr="00C53FBF">
        <w:rPr>
          <w:rStyle w:val="Znakapoznpodarou"/>
        </w:rPr>
        <w:footnoteReference w:id="9"/>
      </w:r>
      <w:r w:rsidR="00567280" w:rsidRPr="00C53FBF">
        <w:t>.</w:t>
      </w:r>
      <w:r w:rsidR="008D0990" w:rsidRPr="00C53FBF">
        <w:t xml:space="preserve"> L.</w:t>
      </w:r>
      <w:r w:rsidR="00567280" w:rsidRPr="00C53FBF">
        <w:t xml:space="preserve"> Kučma v roce 2001 rozpustil kabinet prozápadního premiéra Viktora </w:t>
      </w:r>
      <w:r w:rsidR="00141FFA" w:rsidRPr="00C53FBF">
        <w:t>Juščenka, který ho ale po tzv. O</w:t>
      </w:r>
      <w:r w:rsidR="00567280" w:rsidRPr="00C53FBF">
        <w:t>ranžové revoluci v roce 2004</w:t>
      </w:r>
      <w:r w:rsidR="00F8178D" w:rsidRPr="00C53FBF">
        <w:rPr>
          <w:rStyle w:val="Znakapoznpodarou"/>
        </w:rPr>
        <w:footnoteReference w:id="10"/>
      </w:r>
      <w:r w:rsidR="00567280" w:rsidRPr="00C53FBF">
        <w:t xml:space="preserve"> nahradil na pozici pr</w:t>
      </w:r>
      <w:r w:rsidR="00F8178D" w:rsidRPr="00C53FBF">
        <w:t>ezidenta republiky (</w:t>
      </w:r>
      <w:r w:rsidR="001D020D" w:rsidRPr="00C53FBF">
        <w:t xml:space="preserve">prezidentem </w:t>
      </w:r>
      <w:r w:rsidR="00F8178D" w:rsidRPr="00C53FBF">
        <w:t>od ledna 2005). O prezidentské křeslo se ucházel také proruský kandidát Viktor Janukov</w:t>
      </w:r>
      <w:r w:rsidR="004C327D" w:rsidRPr="00C53FBF">
        <w:t>y</w:t>
      </w:r>
      <w:r w:rsidR="00F8178D" w:rsidRPr="00C53FBF">
        <w:t>č.</w:t>
      </w:r>
    </w:p>
    <w:p w:rsidR="002B47ED" w:rsidRPr="00C53FBF" w:rsidRDefault="001563E0" w:rsidP="002B3844">
      <w:pPr>
        <w:spacing w:before="240" w:after="240"/>
        <w:ind w:firstLine="708"/>
      </w:pPr>
      <w:r w:rsidRPr="00C53FBF">
        <w:t xml:space="preserve">Ukrajina měla s Ruskem spory již v letech 1992–1993, které byly o státoprávní uspořádání Krymu a Černomořskou flotilu. To se vyřešilo, když bylo Rusku </w:t>
      </w:r>
      <w:r w:rsidR="002F68ED" w:rsidRPr="00C53FBF">
        <w:t xml:space="preserve">umožněno </w:t>
      </w:r>
      <w:r w:rsidRPr="00C53FBF">
        <w:t xml:space="preserve">mít vojáky na Krymu a flotilu na základně v Sevastopolu. </w:t>
      </w:r>
      <w:r w:rsidR="00203B19" w:rsidRPr="00C53FBF">
        <w:t xml:space="preserve">V zahraniční politice se pro následující dění stalo klíčové </w:t>
      </w:r>
      <w:r w:rsidR="00577C7F" w:rsidRPr="00C53FBF">
        <w:t xml:space="preserve">tzv. </w:t>
      </w:r>
      <w:r w:rsidR="00203B19" w:rsidRPr="00C53FBF">
        <w:t xml:space="preserve">budapešťské memorandum z roku 1994. Zde se Ukrajina, Bělorusko a Kazachstán vzdali jaderných zbraní na úkor Ruska, které tak bylo jedinou postsovětskou zemí </w:t>
      </w:r>
      <w:r w:rsidRPr="00C53FBF">
        <w:t>vybavenou jaderným arzenálem</w:t>
      </w:r>
      <w:r w:rsidR="00203B19" w:rsidRPr="00C53FBF">
        <w:t xml:space="preserve">. </w:t>
      </w:r>
      <w:r w:rsidR="00DB4BAC" w:rsidRPr="00C53FBF">
        <w:t xml:space="preserve">Velká Británie, </w:t>
      </w:r>
      <w:r w:rsidR="0009652B" w:rsidRPr="00C53FBF">
        <w:t>Spojené státy americké (dále USA)</w:t>
      </w:r>
      <w:r w:rsidR="00DB4BAC" w:rsidRPr="00C53FBF">
        <w:t xml:space="preserve"> a Rusko se zde mj. zavázali</w:t>
      </w:r>
      <w:r w:rsidR="00203B19" w:rsidRPr="00C53FBF">
        <w:t xml:space="preserve"> respektovat územní celistvost a garantovat bezpe</w:t>
      </w:r>
      <w:r w:rsidR="00304EA5" w:rsidRPr="00C53FBF">
        <w:t>čnost těchto států. V roce 2008 se konal summit NATO v Bukurešti, kde nebylo nabídnuto ani Gruzii, ani Ukrajině</w:t>
      </w:r>
      <w:r w:rsidR="00DB4BAC" w:rsidRPr="00C53FBF">
        <w:rPr>
          <w:rStyle w:val="Znakapoznpodarou"/>
        </w:rPr>
        <w:footnoteReference w:id="11"/>
      </w:r>
      <w:r w:rsidR="00D43B69" w:rsidRPr="00C53FBF">
        <w:t>, aby se přidaly</w:t>
      </w:r>
      <w:r w:rsidR="00304EA5" w:rsidRPr="00C53FBF">
        <w:t xml:space="preserve"> do struktur NATO. Proti se postavilo především Německo s Francií (pro vstup byly USA). Ukrajina však vykazovala značné potíže s kvalitou demokracie a </w:t>
      </w:r>
      <w:r w:rsidRPr="00C53FBF">
        <w:t>Ukrajinci vstup</w:t>
      </w:r>
      <w:r w:rsidR="00304EA5" w:rsidRPr="00C53FBF">
        <w:t xml:space="preserve"> do NATO </w:t>
      </w:r>
      <w:r w:rsidRPr="00C53FBF">
        <w:t>příliš nepodporovaly</w:t>
      </w:r>
      <w:r w:rsidR="00304EA5" w:rsidRPr="00C53FBF">
        <w:t xml:space="preserve">. </w:t>
      </w:r>
      <w:r w:rsidRPr="00C53FBF">
        <w:t>V</w:t>
      </w:r>
      <w:r w:rsidR="00DB4BAC" w:rsidRPr="00C53FBF">
        <w:t xml:space="preserve"> roce 2010 </w:t>
      </w:r>
      <w:r w:rsidRPr="00C53FBF">
        <w:t xml:space="preserve">se </w:t>
      </w:r>
      <w:r w:rsidR="00DB4BAC" w:rsidRPr="00C53FBF">
        <w:t>stal</w:t>
      </w:r>
      <w:r w:rsidRPr="00C53FBF">
        <w:t xml:space="preserve"> ukrajinským</w:t>
      </w:r>
      <w:r w:rsidR="00DB4BAC" w:rsidRPr="00C53FBF">
        <w:t xml:space="preserve"> prezidentem </w:t>
      </w:r>
      <w:r w:rsidRPr="00C53FBF">
        <w:t>proruský kandidát V. Janukovyč a</w:t>
      </w:r>
      <w:r w:rsidR="00DB4BAC" w:rsidRPr="00C53FBF">
        <w:t xml:space="preserve"> následné </w:t>
      </w:r>
      <w:r w:rsidRPr="00C53FBF">
        <w:t xml:space="preserve">parlamentní </w:t>
      </w:r>
      <w:r w:rsidR="00DB4BAC" w:rsidRPr="00C53FBF">
        <w:t>volby vyhrála jeho Strana regionů, která porazila prozápadní premiérku</w:t>
      </w:r>
      <w:r w:rsidR="0083305F" w:rsidRPr="00C53FBF">
        <w:t xml:space="preserve"> Juliju</w:t>
      </w:r>
      <w:r w:rsidR="00DB4BAC" w:rsidRPr="00C53FBF">
        <w:t xml:space="preserve"> Tymošenkovo</w:t>
      </w:r>
      <w:r w:rsidR="00697E20" w:rsidRPr="00C53FBF">
        <w:t xml:space="preserve">u, čímž prozápadní snahy Ukrajiny </w:t>
      </w:r>
      <w:r w:rsidR="004037B4">
        <w:t xml:space="preserve">na nějakou dobu </w:t>
      </w:r>
      <w:r w:rsidRPr="00C53FBF">
        <w:t>skončily</w:t>
      </w:r>
      <w:r w:rsidR="0082145D" w:rsidRPr="00C53FBF">
        <w:t xml:space="preserve"> (Donaldson 2017: 45–</w:t>
      </w:r>
      <w:r w:rsidR="00A004C6" w:rsidRPr="00C53FBF">
        <w:t xml:space="preserve">50; Kříž 2023: </w:t>
      </w:r>
      <w:r w:rsidR="0082145D" w:rsidRPr="00C53FBF">
        <w:t>33–</w:t>
      </w:r>
      <w:r w:rsidR="000D415F" w:rsidRPr="00C53FBF">
        <w:t>44</w:t>
      </w:r>
      <w:r w:rsidR="00A004C6" w:rsidRPr="00C53FBF">
        <w:t>)</w:t>
      </w:r>
      <w:r w:rsidR="000D415F" w:rsidRPr="00C53FBF">
        <w:t>.</w:t>
      </w:r>
    </w:p>
    <w:p w:rsidR="007D61DA" w:rsidRPr="00C53FBF" w:rsidRDefault="007D61DA" w:rsidP="002B3844">
      <w:pPr>
        <w:spacing w:before="240" w:after="240"/>
        <w:ind w:firstLine="708"/>
      </w:pPr>
      <w:r w:rsidRPr="00C53FBF">
        <w:t>Západ</w:t>
      </w:r>
      <w:r w:rsidR="0083305F" w:rsidRPr="00C53FBF">
        <w:t xml:space="preserve"> se po rozpadu SSSR</w:t>
      </w:r>
      <w:r w:rsidRPr="00C53FBF">
        <w:t xml:space="preserve"> snažil</w:t>
      </w:r>
      <w:r w:rsidR="0083305F" w:rsidRPr="00C53FBF">
        <w:t xml:space="preserve"> s Ruskem</w:t>
      </w:r>
      <w:r w:rsidRPr="00C53FBF">
        <w:t xml:space="preserve"> o spolupráci, inkorporovat ho do vhodných západních institucí a spolupracovat v otázkách bezpečnosti. Vztahy se v první polovině 90. let zlepšovaly.</w:t>
      </w:r>
      <w:r w:rsidRPr="00C53FBF">
        <w:rPr>
          <w:rStyle w:val="Znakapoznpodarou"/>
        </w:rPr>
        <w:footnoteReference w:id="12"/>
      </w:r>
      <w:r w:rsidRPr="00C53FBF">
        <w:t xml:space="preserve"> Rusko </w:t>
      </w:r>
      <w:r w:rsidR="00D0697C" w:rsidRPr="00C53FBF">
        <w:t xml:space="preserve">postupem času </w:t>
      </w:r>
      <w:r w:rsidRPr="00C53FBF">
        <w:t xml:space="preserve">znovu obnovovalo svůj vliv v postsovětském prostoru, zajímalo se o spolupráci s Indií či Iránem a od poloviny 90. let se jejich rétorika vůči </w:t>
      </w:r>
      <w:r w:rsidR="0009652B" w:rsidRPr="00C53FBF">
        <w:t>USA</w:t>
      </w:r>
      <w:r w:rsidRPr="00C53FBF">
        <w:t xml:space="preserve"> začala znovu zostřovat. V roce 1999 se </w:t>
      </w:r>
      <w:r w:rsidR="001B024D" w:rsidRPr="00C53FBF">
        <w:t>obě země kritizovaly</w:t>
      </w:r>
      <w:r w:rsidRPr="00C53FBF">
        <w:t xml:space="preserve"> za postupy proti Srbsku, resp. válce v Čečensku. Spolupráce přetrvala po útocích z 11.</w:t>
      </w:r>
      <w:r w:rsidR="00D0697C" w:rsidRPr="00C53FBF">
        <w:t xml:space="preserve"> z</w:t>
      </w:r>
      <w:r w:rsidRPr="00C53FBF">
        <w:t>áří</w:t>
      </w:r>
      <w:r w:rsidR="00D0697C" w:rsidRPr="00C53FBF">
        <w:t xml:space="preserve"> 2001</w:t>
      </w:r>
      <w:r w:rsidRPr="00C53FBF">
        <w:t>, ale obnovy</w:t>
      </w:r>
      <w:r w:rsidR="00D0697C" w:rsidRPr="00C53FBF">
        <w:t xml:space="preserve"> vztahů</w:t>
      </w:r>
      <w:r w:rsidRPr="00C53FBF">
        <w:t xml:space="preserve"> z první poloviny 90. </w:t>
      </w:r>
      <w:r w:rsidR="00A10EF1">
        <w:t>l</w:t>
      </w:r>
      <w:r w:rsidRPr="00C53FBF">
        <w:t>et</w:t>
      </w:r>
      <w:r w:rsidR="00D0697C" w:rsidRPr="00C53FBF">
        <w:t xml:space="preserve"> se</w:t>
      </w:r>
      <w:r w:rsidRPr="00C53FBF">
        <w:t xml:space="preserve"> už dosáhnout nepodařilo. Potíž</w:t>
      </w:r>
      <w:r w:rsidR="00D0697C" w:rsidRPr="00C53FBF">
        <w:t>e nastaly</w:t>
      </w:r>
      <w:r w:rsidRPr="00C53FBF">
        <w:t xml:space="preserve"> v postsovětském prostoru, kdy došlo </w:t>
      </w:r>
      <w:r w:rsidRPr="00C53FBF">
        <w:lastRenderedPageBreak/>
        <w:t>k tzv. barevným revolucím (Gruzie 2003, Ukrajina 2004 a Kyrgyzstán 2005). Rusko z jejich organizace obviňovalo Západ a ostře se proti nim vymezovalo.</w:t>
      </w:r>
    </w:p>
    <w:p w:rsidR="002F68ED" w:rsidRDefault="007D61DA" w:rsidP="002B3844">
      <w:pPr>
        <w:spacing w:before="240" w:after="240"/>
        <w:ind w:firstLine="0"/>
      </w:pPr>
      <w:r w:rsidRPr="00C53FBF">
        <w:tab/>
        <w:t xml:space="preserve">Ze západních států rozvíjelo Rusko své vztahy nejvíce s Německem. To se, stejně jako EU a NATO, snažilo podporovat strategický dialog s Ruskem. To mělo </w:t>
      </w:r>
      <w:r w:rsidR="00B76F57" w:rsidRPr="00C53FBF">
        <w:t>vytvořit</w:t>
      </w:r>
      <w:r w:rsidRPr="00C53FBF">
        <w:t xml:space="preserve"> příležitosti k obchodu, investicím a bezpečnostní spolupráci. </w:t>
      </w:r>
      <w:r w:rsidR="00B76F57" w:rsidRPr="00C53FBF">
        <w:t>V důsledku to</w:t>
      </w:r>
      <w:r w:rsidRPr="00C53FBF">
        <w:t xml:space="preserve"> ale znamenalo především sílící závislost </w:t>
      </w:r>
      <w:r w:rsidR="00B76F57" w:rsidRPr="00C53FBF">
        <w:t xml:space="preserve">Německa </w:t>
      </w:r>
      <w:r w:rsidRPr="00C53FBF">
        <w:t xml:space="preserve">na ruských dodávkách energií. Německo naopak investovalo do ruského průmyslu a alespoň v počátku spolupráce rostla ekonomika jak na Západě, </w:t>
      </w:r>
      <w:r w:rsidR="005B75C5">
        <w:t xml:space="preserve">tak v Rusku. V roce 2007 ve svém projevu </w:t>
      </w:r>
      <w:r w:rsidRPr="00C53FBF">
        <w:t>na bezpečnostní konferenci v</w:t>
      </w:r>
      <w:r w:rsidR="005B2D21" w:rsidRPr="00C53FBF">
        <w:t> </w:t>
      </w:r>
      <w:r w:rsidRPr="00C53FBF">
        <w:t>Mnichově</w:t>
      </w:r>
      <w:r w:rsidR="005B2D21" w:rsidRPr="00C53FBF">
        <w:t xml:space="preserve"> V</w:t>
      </w:r>
      <w:r w:rsidR="008D0990" w:rsidRPr="00C53FBF">
        <w:t>.</w:t>
      </w:r>
      <w:r w:rsidR="005B2D21" w:rsidRPr="00C53FBF">
        <w:t xml:space="preserve"> Putin </w:t>
      </w:r>
      <w:r w:rsidRPr="00C53FBF">
        <w:t>obvinil mj. USA ze snahy o nové závody ve zbrojení.</w:t>
      </w:r>
      <w:r w:rsidRPr="00C53FBF">
        <w:rPr>
          <w:rStyle w:val="Znakapoznpodarou"/>
        </w:rPr>
        <w:footnoteReference w:id="13"/>
      </w:r>
      <w:r w:rsidRPr="00C53FBF">
        <w:t xml:space="preserve"> Následovala zmíněná invaze do Gruzie, kdy se podařilo řadu západních politiků přesvědčit, že za eskalaci je zodpovědná Gruzie a její prezident Michail Saakašvili. Po zvolení Baracka Obamy 44. prezidentem USA a uplatnění jeho politiky vůči Rusku (</w:t>
      </w:r>
      <w:r w:rsidR="000A1566">
        <w:t xml:space="preserve">tzv. </w:t>
      </w:r>
      <w:r w:rsidRPr="00C53FBF">
        <w:t>reset vztahů) se na šestidenní válku</w:t>
      </w:r>
      <w:r w:rsidR="002F68ED">
        <w:t xml:space="preserve"> takřka</w:t>
      </w:r>
      <w:r w:rsidRPr="00C53FBF">
        <w:t xml:space="preserve"> zapomnělo. A podobný postup vůči Rusku napodobily i evropské státy. Rusko se stalo největším obchodním partnerem Německa ze všech postsocialistických republik a v roce 2012 došlo k otevření plynovodu Nord Stream 1</w:t>
      </w:r>
      <w:r w:rsidR="00936862" w:rsidRPr="00C53FBF">
        <w:rPr>
          <w:rStyle w:val="Znakapoznpodarou"/>
        </w:rPr>
        <w:footnoteReference w:id="14"/>
      </w:r>
      <w:r w:rsidRPr="00C53FBF">
        <w:t xml:space="preserve"> a německá</w:t>
      </w:r>
      <w:r w:rsidR="00047C0F">
        <w:t xml:space="preserve"> energetická</w:t>
      </w:r>
      <w:r w:rsidRPr="00C53FBF">
        <w:t xml:space="preserve"> závislost na Rusku se nadále prohlubovala.</w:t>
      </w:r>
      <w:r w:rsidRPr="00C53FBF">
        <w:rPr>
          <w:rStyle w:val="Znakapoznpodarou"/>
        </w:rPr>
        <w:footnoteReference w:id="15"/>
      </w:r>
      <w:r w:rsidRPr="00C53FBF">
        <w:t xml:space="preserve"> Zlom znamenala anexe Krymu a válka na Donbase v roce 2014. Po odsouzení na diplomatickém poli a uvalením sankcí, se začal snižovat obchodní tok mezi </w:t>
      </w:r>
      <w:r w:rsidR="00D56CD5" w:rsidRPr="00C53FBF">
        <w:t>Ruskem a Německem</w:t>
      </w:r>
      <w:r w:rsidRPr="00C53FBF">
        <w:t>, NATO zvýšilo důraz na kolektivní obranu a pozice Ruska jako partnera slábla. Navzdory tomu však Německo prosadilo</w:t>
      </w:r>
      <w:r w:rsidR="000A1566">
        <w:t xml:space="preserve"> vybudování</w:t>
      </w:r>
      <w:r w:rsidRPr="00C53FBF">
        <w:t xml:space="preserve"> Nord Stream 2, který působil značně kontroverzně a který měl být v roce 20</w:t>
      </w:r>
      <w:r w:rsidR="00C42196" w:rsidRPr="00C53FBF">
        <w:t xml:space="preserve">22 spuštěn </w:t>
      </w:r>
      <w:r w:rsidR="00B33FAD" w:rsidRPr="00C53FBF">
        <w:t>(Kapoor</w:t>
      </w:r>
      <w:r w:rsidR="00C42196" w:rsidRPr="00C53FBF">
        <w:t xml:space="preserve"> 2021</w:t>
      </w:r>
      <w:r w:rsidR="00B33FAD" w:rsidRPr="00C53FBF">
        <w:t>: 4-7; Kříž 2023:13-29</w:t>
      </w:r>
      <w:r w:rsidR="00C42196" w:rsidRPr="00C53FBF">
        <w:t>)</w:t>
      </w:r>
      <w:r w:rsidR="00D56CD5" w:rsidRPr="00C53FBF">
        <w:t>.</w:t>
      </w:r>
    </w:p>
    <w:p w:rsidR="00D56CD5" w:rsidRPr="00C53FBF" w:rsidRDefault="004C327D" w:rsidP="002B3844">
      <w:pPr>
        <w:spacing w:before="240" w:after="240"/>
        <w:ind w:firstLine="708"/>
      </w:pPr>
      <w:r w:rsidRPr="00C53FBF">
        <w:t>V listopadu 2013 začaly protesty, které vyústil</w:t>
      </w:r>
      <w:r w:rsidR="00761B26" w:rsidRPr="00C53FBF">
        <w:t>y</w:t>
      </w:r>
      <w:r w:rsidRPr="00C53FBF">
        <w:t xml:space="preserve"> v další revoluci na Ukrajině t</w:t>
      </w:r>
      <w:r w:rsidR="000A1566">
        <w:t>prod</w:t>
      </w:r>
      <w:r w:rsidRPr="00C53FBF">
        <w:t xml:space="preserve">zv. Euromajdan. Demonstrovali prozápadně smýšlející lidé proti prezidentu </w:t>
      </w:r>
      <w:r w:rsidR="00D56CD5" w:rsidRPr="00C53FBF">
        <w:t xml:space="preserve">V. </w:t>
      </w:r>
      <w:r w:rsidRPr="00C53FBF">
        <w:t xml:space="preserve">Janukovyčovi, který namísto asociační dohody s EU </w:t>
      </w:r>
      <w:r w:rsidR="00615088" w:rsidRPr="00C53FBF">
        <w:t>upřednostnil participaci na Euroasijském hospodářském společenství, což naměřovalo Ukrajinu</w:t>
      </w:r>
      <w:r w:rsidR="00D56CD5" w:rsidRPr="00C53FBF">
        <w:t>,</w:t>
      </w:r>
      <w:r w:rsidR="00141FFA" w:rsidRPr="00C53FBF">
        <w:t xml:space="preserve"> společně s dalšími dohodami a půjčkami z</w:t>
      </w:r>
      <w:r w:rsidR="00D56CD5" w:rsidRPr="00C53FBF">
        <w:t> </w:t>
      </w:r>
      <w:r w:rsidR="00141FFA" w:rsidRPr="00C53FBF">
        <w:t>Ruska</w:t>
      </w:r>
      <w:r w:rsidR="00D56CD5" w:rsidRPr="00C53FBF">
        <w:t>, více k Rusku</w:t>
      </w:r>
      <w:r w:rsidR="00615088" w:rsidRPr="00C53FBF">
        <w:t>.</w:t>
      </w:r>
      <w:r w:rsidR="00141FFA" w:rsidRPr="00C53FBF">
        <w:t xml:space="preserve"> </w:t>
      </w:r>
      <w:r w:rsidR="00CB3F03" w:rsidRPr="00C53FBF">
        <w:t xml:space="preserve">Protesty, kterých se účastnily statisíce lidí, provázelo násilí. </w:t>
      </w:r>
      <w:r w:rsidR="00D56CD5" w:rsidRPr="00C53FBF">
        <w:t xml:space="preserve">V. </w:t>
      </w:r>
      <w:r w:rsidR="00141FFA" w:rsidRPr="00C53FBF">
        <w:t>Janukovyč přislíbil předčasné volby,</w:t>
      </w:r>
      <w:r w:rsidR="00D56CD5" w:rsidRPr="00C53FBF">
        <w:rPr>
          <w:rStyle w:val="Znakapoznpodarou"/>
        </w:rPr>
        <w:footnoteReference w:id="16"/>
      </w:r>
      <w:r w:rsidR="00141FFA" w:rsidRPr="00C53FBF">
        <w:t xml:space="preserve"> což však situaci neuklidnilo a v únoru 2014 </w:t>
      </w:r>
      <w:r w:rsidR="00D56CD5" w:rsidRPr="00C53FBF">
        <w:t>utekl</w:t>
      </w:r>
      <w:r w:rsidR="00141FFA" w:rsidRPr="00C53FBF">
        <w:t xml:space="preserve"> do Ruska. </w:t>
      </w:r>
      <w:r w:rsidR="00AF02BD" w:rsidRPr="00C53FBF">
        <w:t>Ve stejnou dobu Rusko zpochybnilo st</w:t>
      </w:r>
      <w:r w:rsidR="00CB3F03" w:rsidRPr="00C53FBF">
        <w:t xml:space="preserve">átoprávní uspořádání </w:t>
      </w:r>
      <w:r w:rsidR="00D56CD5" w:rsidRPr="00C53FBF">
        <w:t xml:space="preserve">Ukrajiny </w:t>
      </w:r>
      <w:r w:rsidR="00CB3F03" w:rsidRPr="00C53FBF">
        <w:t xml:space="preserve">a začalo </w:t>
      </w:r>
      <w:r w:rsidR="00D56CD5" w:rsidRPr="00C53FBF">
        <w:t>plánovat</w:t>
      </w:r>
      <w:r w:rsidR="00AF02BD" w:rsidRPr="00C53FBF">
        <w:t xml:space="preserve"> obsazení Krymu. Chtělo </w:t>
      </w:r>
      <w:r w:rsidR="00AF02BD" w:rsidRPr="00C53FBF">
        <w:lastRenderedPageBreak/>
        <w:t xml:space="preserve">využít zmatečné situace </w:t>
      </w:r>
      <w:r w:rsidR="00DD1739" w:rsidRPr="00C53FBF">
        <w:t>na Ukrajině, navíc na Krymu mělo</w:t>
      </w:r>
      <w:r w:rsidR="00AF02BD" w:rsidRPr="00C53FBF">
        <w:t xml:space="preserve"> asi 15 000 vojáků. </w:t>
      </w:r>
      <w:r w:rsidR="004420C4" w:rsidRPr="00C53FBF">
        <w:t>Na východě Ukrajiny protestovalo</w:t>
      </w:r>
      <w:r w:rsidR="00AF02BD" w:rsidRPr="00C53FBF">
        <w:t>, byť z autentických nálad, ale za značného přispění ruských zprav</w:t>
      </w:r>
      <w:r w:rsidR="004420C4" w:rsidRPr="00C53FBF">
        <w:t>odajských služeb, ruskojazyčné</w:t>
      </w:r>
      <w:r w:rsidR="00AF02BD" w:rsidRPr="00C53FBF">
        <w:t xml:space="preserve"> obyvatelstv</w:t>
      </w:r>
      <w:r w:rsidR="004420C4" w:rsidRPr="00C53FBF">
        <w:t>o</w:t>
      </w:r>
      <w:r w:rsidR="00AF02BD" w:rsidRPr="00C53FBF">
        <w:t>. Krátce na to neidentifikované jednotky (vyzbrojeny nejmodernějšími ruskými zbraněmi)</w:t>
      </w:r>
      <w:r w:rsidR="00AF02BD" w:rsidRPr="00C53FBF">
        <w:rPr>
          <w:rStyle w:val="Znakapoznpodarou"/>
        </w:rPr>
        <w:footnoteReference w:id="17"/>
      </w:r>
      <w:r w:rsidR="00703F54" w:rsidRPr="00C53FBF">
        <w:t xml:space="preserve"> obsadily </w:t>
      </w:r>
      <w:r w:rsidR="00AF02BD" w:rsidRPr="00C53FBF">
        <w:t>vládní budovy. V</w:t>
      </w:r>
      <w:r w:rsidR="008D0990" w:rsidRPr="00C53FBF">
        <w:t> </w:t>
      </w:r>
      <w:r w:rsidR="00AF02BD" w:rsidRPr="00C53FBF">
        <w:t>srpnu</w:t>
      </w:r>
      <w:r w:rsidR="008D0990" w:rsidRPr="00C53FBF">
        <w:t xml:space="preserve"> V.</w:t>
      </w:r>
      <w:r w:rsidR="00AF02BD" w:rsidRPr="00C53FBF">
        <w:t xml:space="preserve"> Putin </w:t>
      </w:r>
      <w:r w:rsidR="00D56CD5" w:rsidRPr="00C53FBF">
        <w:t>objasni</w:t>
      </w:r>
      <w:r w:rsidR="00AF02BD" w:rsidRPr="00C53FBF">
        <w:t xml:space="preserve">l, co bylo </w:t>
      </w:r>
      <w:r w:rsidR="00D56CD5" w:rsidRPr="00C53FBF">
        <w:t>zřejmé</w:t>
      </w:r>
      <w:r w:rsidR="00AF02BD" w:rsidRPr="00C53FBF">
        <w:t xml:space="preserve">, a sice že se jednalo o operaci ruských speciálních sil. </w:t>
      </w:r>
    </w:p>
    <w:p w:rsidR="0029224C" w:rsidRPr="00C53FBF" w:rsidRDefault="00B05A3E" w:rsidP="002B3844">
      <w:pPr>
        <w:spacing w:before="240" w:after="240"/>
        <w:ind w:firstLine="708"/>
      </w:pPr>
      <w:r w:rsidRPr="00C53FBF">
        <w:t xml:space="preserve">Rusko </w:t>
      </w:r>
      <w:r w:rsidR="00D56CD5" w:rsidRPr="00C53FBF">
        <w:t xml:space="preserve">však </w:t>
      </w:r>
      <w:r w:rsidRPr="00C53FBF">
        <w:t>vedlo proti Ukrajině také informační válku. Ruské snažení na Ukrajině je často uváděno jako tzv. hybridní válčení</w:t>
      </w:r>
      <w:r w:rsidR="00D56CD5" w:rsidRPr="00C53FBF">
        <w:t>.</w:t>
      </w:r>
      <w:r w:rsidRPr="00C53FBF">
        <w:rPr>
          <w:rStyle w:val="Znakapoznpodarou"/>
        </w:rPr>
        <w:footnoteReference w:id="18"/>
      </w:r>
      <w:r w:rsidRPr="00C53FBF">
        <w:t xml:space="preserve"> 16. března 2014 se na Krymu konalo „referendum“, ve kterém mělo</w:t>
      </w:r>
      <w:r w:rsidR="00525213">
        <w:t xml:space="preserve"> být</w:t>
      </w:r>
      <w:r w:rsidRPr="00C53FBF">
        <w:t xml:space="preserve"> </w:t>
      </w:r>
      <w:r w:rsidR="006B1D93" w:rsidRPr="00C53FBF">
        <w:t>při uváděné voleb</w:t>
      </w:r>
      <w:r w:rsidR="00525213">
        <w:t xml:space="preserve">ní účasti 83 % hned 97 % </w:t>
      </w:r>
      <w:r w:rsidRPr="00C53FBF">
        <w:t xml:space="preserve">pro odtržení od Ukrajiny. </w:t>
      </w:r>
      <w:r w:rsidR="005323EF" w:rsidRPr="00C53FBF">
        <w:t>Po hladké</w:t>
      </w:r>
      <w:r w:rsidR="006B1D93" w:rsidRPr="00C53FBF">
        <w:t>m průběhu anexe</w:t>
      </w:r>
      <w:r w:rsidR="005323EF" w:rsidRPr="00C53FBF">
        <w:t xml:space="preserve"> Krymu a </w:t>
      </w:r>
      <w:r w:rsidR="006B1D93" w:rsidRPr="00C53FBF">
        <w:t xml:space="preserve">následné </w:t>
      </w:r>
      <w:r w:rsidR="005323EF" w:rsidRPr="00C53FBF">
        <w:t xml:space="preserve">mírné </w:t>
      </w:r>
      <w:r w:rsidR="006B1D93" w:rsidRPr="00C53FBF">
        <w:t>reakce</w:t>
      </w:r>
      <w:r w:rsidR="005323EF" w:rsidRPr="00C53FBF">
        <w:t xml:space="preserve"> Západu mělo Rusko další cíl</w:t>
      </w:r>
      <w:r w:rsidR="00D56CD5" w:rsidRPr="00C53FBF">
        <w:t xml:space="preserve"> –</w:t>
      </w:r>
      <w:r w:rsidR="005323EF" w:rsidRPr="00C53FBF">
        <w:t xml:space="preserve"> tzv. Novorusko (na východ</w:t>
      </w:r>
      <w:r w:rsidR="006B1D93" w:rsidRPr="00C53FBF">
        <w:t xml:space="preserve"> od pomyslné linie mezi Charkovem a Oděsou</w:t>
      </w:r>
      <w:r w:rsidR="0035054E" w:rsidRPr="00C53FBF">
        <w:t xml:space="preserve">). Po </w:t>
      </w:r>
      <w:r w:rsidR="005323EF" w:rsidRPr="00C53FBF">
        <w:t>krvavých zkušenostech s čečenskými válkami a Gruzii měl být zopakován krymský postup. Částečný úspěch měly r</w:t>
      </w:r>
      <w:r w:rsidR="003825FA" w:rsidRPr="00C53FBF">
        <w:t>uské snahy v Donbaské a  Luhanské</w:t>
      </w:r>
      <w:r w:rsidR="00D11405" w:rsidRPr="00C53FBF">
        <w:t xml:space="preserve"> oblasti</w:t>
      </w:r>
      <w:r w:rsidR="005323EF" w:rsidRPr="00C53FBF">
        <w:t xml:space="preserve">, kde vznikly </w:t>
      </w:r>
      <w:r w:rsidR="003825FA" w:rsidRPr="00C53FBF">
        <w:t>„lidové republiky“.</w:t>
      </w:r>
      <w:r w:rsidR="00863BAD" w:rsidRPr="00C53FBF">
        <w:t xml:space="preserve"> Zde však projekt připojení</w:t>
      </w:r>
      <w:r w:rsidR="00D56CD5" w:rsidRPr="00C53FBF">
        <w:t xml:space="preserve"> </w:t>
      </w:r>
      <w:r w:rsidR="003825FA" w:rsidRPr="00C53FBF">
        <w:t>Novoruska zamrzl. Ukrajině se navíc dařilo ruské bojové skupiny postupně dostávat pod kontrolu. V srpnu 2014 hrozilo, že se</w:t>
      </w:r>
      <w:r w:rsidR="00381D4C" w:rsidRPr="00C53FBF">
        <w:t xml:space="preserve"> ukrajinským jednotkám podaří narušit logistiku</w:t>
      </w:r>
      <w:r w:rsidR="003825FA" w:rsidRPr="00C53FBF">
        <w:t xml:space="preserve"> mezi Doněckem a Luhanskem. Ruská hybridní válka narazila na své limity a Rusko se muselo rozhodnout, jestli a</w:t>
      </w:r>
      <w:r w:rsidR="00381D4C" w:rsidRPr="00C53FBF">
        <w:t xml:space="preserve"> případně</w:t>
      </w:r>
      <w:r w:rsidR="003825FA" w:rsidRPr="00C53FBF">
        <w:t xml:space="preserve"> jak zareaguje</w:t>
      </w:r>
      <w:r w:rsidR="004A6C89" w:rsidRPr="00C53FBF">
        <w:t>. Nakonec na Ukrajině bojoval</w:t>
      </w:r>
      <w:r w:rsidR="00863BAD" w:rsidRPr="00C53FBF">
        <w:t>i</w:t>
      </w:r>
      <w:r w:rsidR="004A6C89" w:rsidRPr="00C53FBF">
        <w:t xml:space="preserve"> „dobrovolníci“, ale jejich napojení na Rusko dokázala Ukrajina řadou podkladů (fotky, dokumenty, vojenská technika aj.). </w:t>
      </w:r>
      <w:r w:rsidR="00A901D8" w:rsidRPr="00C53FBF">
        <w:t xml:space="preserve">Na pozadí </w:t>
      </w:r>
      <w:r w:rsidR="00863BAD" w:rsidRPr="00C53FBF">
        <w:t xml:space="preserve">těchto událostí </w:t>
      </w:r>
      <w:r w:rsidR="00A901D8" w:rsidRPr="00C53FBF">
        <w:t xml:space="preserve">bylo 9. září </w:t>
      </w:r>
      <w:r w:rsidR="00863BAD" w:rsidRPr="00C53FBF">
        <w:t xml:space="preserve">2014 </w:t>
      </w:r>
      <w:r w:rsidR="00A901D8" w:rsidRPr="00C53FBF">
        <w:t>dosaženo dohody Minsk 1, ale boje po chvíli znovu vypukly. Následovala dohoda Minsk 2, která byla uzavřena 12. února 2015, po které konflikt zamrzl</w:t>
      </w:r>
      <w:r w:rsidR="00863BAD" w:rsidRPr="00C53FBF">
        <w:t xml:space="preserve"> až</w:t>
      </w:r>
      <w:r w:rsidR="00A901D8" w:rsidRPr="00C53FBF">
        <w:t xml:space="preserve"> do února 2022, na což dohlížela Organizace pro bezpečnost a spolupráci v Evropě.</w:t>
      </w:r>
      <w:r w:rsidR="00A901D8" w:rsidRPr="00C53FBF">
        <w:rPr>
          <w:rStyle w:val="Znakapoznpodarou"/>
        </w:rPr>
        <w:footnoteReference w:id="19"/>
      </w:r>
      <w:r w:rsidR="000B4785" w:rsidRPr="00C53FBF">
        <w:t xml:space="preserve"> Ruská </w:t>
      </w:r>
      <w:r w:rsidR="00224F64" w:rsidRPr="00C53FBF">
        <w:t>hybridní válka však pokračovala</w:t>
      </w:r>
      <w:r w:rsidR="000B4785" w:rsidRPr="00C53FBF">
        <w:rPr>
          <w:rStyle w:val="Znakapoznpodarou"/>
        </w:rPr>
        <w:footnoteReference w:id="20"/>
      </w:r>
      <w:r w:rsidR="00224F64" w:rsidRPr="00C53FBF">
        <w:t xml:space="preserve"> </w:t>
      </w:r>
      <w:r w:rsidR="00187184" w:rsidRPr="00C53FBF">
        <w:t>(</w:t>
      </w:r>
      <w:r w:rsidR="00224F64" w:rsidRPr="00C53FBF">
        <w:t>Aleprete 2017: 69-71; Kříž 2023</w:t>
      </w:r>
      <w:r w:rsidR="00851DE1" w:rsidRPr="00C53FBF">
        <w:t>: 31-44</w:t>
      </w:r>
      <w:r w:rsidR="00187184" w:rsidRPr="00C53FBF">
        <w:t>; Slobodchikoff, 2017: 77-80</w:t>
      </w:r>
      <w:r w:rsidR="00224F64" w:rsidRPr="00C53FBF">
        <w:t>)</w:t>
      </w:r>
      <w:r w:rsidR="00851DE1" w:rsidRPr="00C53FBF">
        <w:t>.</w:t>
      </w:r>
    </w:p>
    <w:p w:rsidR="00DB4878" w:rsidRPr="00C53FBF" w:rsidRDefault="000E70D7" w:rsidP="002B3844">
      <w:pPr>
        <w:spacing w:before="240" w:after="240"/>
        <w:ind w:firstLine="708"/>
      </w:pPr>
      <w:r w:rsidRPr="00C53FBF">
        <w:t>Na podzim</w:t>
      </w:r>
      <w:r w:rsidR="008C3B79" w:rsidRPr="00C53FBF">
        <w:t xml:space="preserve"> roku</w:t>
      </w:r>
      <w:r w:rsidRPr="00C53FBF">
        <w:t xml:space="preserve"> 2022</w:t>
      </w:r>
      <w:r w:rsidR="008C3B79" w:rsidRPr="00C53FBF">
        <w:t xml:space="preserve"> se </w:t>
      </w:r>
      <w:r w:rsidR="00381D4C" w:rsidRPr="00C53FBF">
        <w:t xml:space="preserve">ruské jednotky </w:t>
      </w:r>
      <w:r w:rsidR="008C3B79" w:rsidRPr="00C53FBF">
        <w:t>shromažďovaly poblíž hranic s Ukrajinou. Upozorňovaly na to americké zpravodajské služby s podezřením</w:t>
      </w:r>
      <w:r w:rsidR="00381D4C" w:rsidRPr="00C53FBF">
        <w:t>, že by mohlo dojít po vyprovokovaném incidentu</w:t>
      </w:r>
      <w:r w:rsidR="008C3B79" w:rsidRPr="00C53FBF">
        <w:t xml:space="preserve"> či falešné zámince</w:t>
      </w:r>
      <w:r w:rsidR="00C64FFB" w:rsidRPr="00C53FBF">
        <w:t xml:space="preserve"> k útoku</w:t>
      </w:r>
      <w:r w:rsidR="008C3B79" w:rsidRPr="00C53FBF">
        <w:t xml:space="preserve">. Tyto informace Kreml dementoval. </w:t>
      </w:r>
      <w:r w:rsidRPr="00C53FBF">
        <w:t>Rusko však oficiálně oznámilo vojenské cvičení, které vzbu</w:t>
      </w:r>
      <w:r w:rsidR="00C64FFB" w:rsidRPr="00C53FBF">
        <w:t>zovalo</w:t>
      </w:r>
      <w:r w:rsidRPr="00C53FBF">
        <w:t xml:space="preserve"> obavy</w:t>
      </w:r>
      <w:r w:rsidR="003F0800" w:rsidRPr="00C53FBF">
        <w:t xml:space="preserve"> (Charap 2021; Gershkovich 2022)</w:t>
      </w:r>
      <w:r w:rsidRPr="00C53FBF">
        <w:t>.</w:t>
      </w:r>
      <w:r w:rsidR="00664416" w:rsidRPr="00C53FBF">
        <w:t xml:space="preserve"> </w:t>
      </w:r>
      <w:r w:rsidR="003F0800" w:rsidRPr="00C53FBF">
        <w:t xml:space="preserve">16. února </w:t>
      </w:r>
      <w:r w:rsidR="00C64FFB" w:rsidRPr="00C53FBF">
        <w:t>2022</w:t>
      </w:r>
      <w:r w:rsidR="003F0800" w:rsidRPr="00C53FBF">
        <w:t xml:space="preserve"> ruská duma uznala nezávislost Luhanské a Doněcké lidové </w:t>
      </w:r>
      <w:r w:rsidR="003F0800" w:rsidRPr="00C53FBF">
        <w:lastRenderedPageBreak/>
        <w:t xml:space="preserve">republiky. </w:t>
      </w:r>
      <w:r w:rsidR="00381D4C" w:rsidRPr="00C53FBF">
        <w:t>O</w:t>
      </w:r>
      <w:r w:rsidR="003F0800" w:rsidRPr="00C53FBF">
        <w:t xml:space="preserve"> tři dny později </w:t>
      </w:r>
      <w:r w:rsidR="00381D4C" w:rsidRPr="00C53FBF">
        <w:t xml:space="preserve">to oznámil </w:t>
      </w:r>
      <w:r w:rsidR="003F0800" w:rsidRPr="00C53FBF">
        <w:t>ve svém projevu V</w:t>
      </w:r>
      <w:r w:rsidR="008D0990" w:rsidRPr="00C53FBF">
        <w:t>.</w:t>
      </w:r>
      <w:r w:rsidR="003F0800" w:rsidRPr="00C53FBF">
        <w:t xml:space="preserve"> Putin, kde mj. zpochybnil </w:t>
      </w:r>
      <w:r w:rsidR="00734EA4" w:rsidRPr="00C53FBF">
        <w:t>státnost</w:t>
      </w:r>
      <w:r w:rsidR="003F0800" w:rsidRPr="00C53FBF">
        <w:t xml:space="preserve"> Ukrajiny</w:t>
      </w:r>
      <w:r w:rsidR="00734EA4" w:rsidRPr="00C53FBF">
        <w:t xml:space="preserve"> (Perrigo, 2022)</w:t>
      </w:r>
      <w:r w:rsidR="003F0800" w:rsidRPr="00C53FBF">
        <w:t>.</w:t>
      </w:r>
      <w:r w:rsidR="00734EA4" w:rsidRPr="00C53FBF">
        <w:t xml:space="preserve"> O další tři dny později se obavy tajných služeb naplnily a Rusko zaútočilo na Ukrajinu s cílem její „denacifikace a demilitarizace“.</w:t>
      </w:r>
      <w:r w:rsidR="00734EA4" w:rsidRPr="00C53FBF">
        <w:rPr>
          <w:rStyle w:val="Znakapoznpodarou"/>
        </w:rPr>
        <w:footnoteReference w:id="21"/>
      </w:r>
      <w:r w:rsidR="003F0800" w:rsidRPr="00C53FBF">
        <w:t xml:space="preserve"> </w:t>
      </w:r>
    </w:p>
    <w:p w:rsidR="0004118A" w:rsidRPr="00C53FBF" w:rsidRDefault="0065494A" w:rsidP="002B3844">
      <w:pPr>
        <w:spacing w:before="240" w:after="240"/>
        <w:ind w:firstLine="708"/>
      </w:pPr>
      <w:r w:rsidRPr="00C53FBF">
        <w:t>Útok byl veden ze tří směrů</w:t>
      </w:r>
      <w:r w:rsidR="00E224E4" w:rsidRPr="00C53FBF">
        <w:t xml:space="preserve"> – ze severu, jihu a východu</w:t>
      </w:r>
      <w:r w:rsidRPr="00C53FBF">
        <w:t>. Úkolem severních jednotek bylo dobýt Kyjev a sesadit vládu</w:t>
      </w:r>
      <w:r w:rsidR="00E224E4" w:rsidRPr="00C53FBF">
        <w:t xml:space="preserve"> v čele s prezidentem Volodymyrem Zelenskyjm</w:t>
      </w:r>
      <w:r w:rsidRPr="00C53FBF">
        <w:t>, to se jim však nepovedlo</w:t>
      </w:r>
      <w:r w:rsidR="00DB4878" w:rsidRPr="00C53FBF">
        <w:t xml:space="preserve"> </w:t>
      </w:r>
      <w:r w:rsidRPr="00C53FBF">
        <w:t>a ukraj</w:t>
      </w:r>
      <w:r w:rsidR="00C64FFB" w:rsidRPr="00C53FBF">
        <w:t>inské jednotky se nejen ubránily</w:t>
      </w:r>
      <w:r w:rsidRPr="00C53FBF">
        <w:t xml:space="preserve">, ale začátkem dubna dokázaly vytlačit Rusy ze severní </w:t>
      </w:r>
      <w:r w:rsidR="00E224E4" w:rsidRPr="00C53FBF">
        <w:t>Ukrajiny</w:t>
      </w:r>
      <w:r w:rsidRPr="00C53FBF">
        <w:t>. Na jihu se Rusům podařilo vytvořit pozemní spojení mezi Ruskem a</w:t>
      </w:r>
      <w:r w:rsidR="00E224E4" w:rsidRPr="00C53FBF">
        <w:t xml:space="preserve"> anektovaným Krymem a postoupit</w:t>
      </w:r>
      <w:r w:rsidRPr="00C53FBF">
        <w:t xml:space="preserve"> o desítky kilometrů do vnitrozemí. Na východě </w:t>
      </w:r>
      <w:r w:rsidR="00C64FFB" w:rsidRPr="00C53FBF">
        <w:t>pronikly invazní</w:t>
      </w:r>
      <w:r w:rsidRPr="00C53FBF">
        <w:t xml:space="preserve"> jednotky</w:t>
      </w:r>
      <w:r w:rsidR="00E224E4" w:rsidRPr="00C53FBF">
        <w:t xml:space="preserve"> až</w:t>
      </w:r>
      <w:r w:rsidRPr="00C53FBF">
        <w:t xml:space="preserve"> k Charkovu.</w:t>
      </w:r>
      <w:r w:rsidR="00E224E4" w:rsidRPr="00C53FBF">
        <w:t xml:space="preserve"> Poté n</w:t>
      </w:r>
      <w:r w:rsidRPr="00C53FBF">
        <w:t>ásledovalo stabilizování f</w:t>
      </w:r>
      <w:r w:rsidR="00E224E4" w:rsidRPr="00C53FBF">
        <w:t>ronty a v létě se žádné významn</w:t>
      </w:r>
      <w:r w:rsidR="00B23D4C">
        <w:t>é</w:t>
      </w:r>
      <w:r w:rsidRPr="00C53FBF">
        <w:t xml:space="preserve"> posuny </w:t>
      </w:r>
      <w:r w:rsidR="00E224E4" w:rsidRPr="00C53FBF">
        <w:t>nekonaly. V září 2022</w:t>
      </w:r>
      <w:r w:rsidRPr="00C53FBF">
        <w:t xml:space="preserve"> proběhla ukrajinská protiofenzíva</w:t>
      </w:r>
      <w:r w:rsidR="00E224E4" w:rsidRPr="00C53FBF">
        <w:t xml:space="preserve"> u Charkova</w:t>
      </w:r>
      <w:r w:rsidRPr="00C53FBF">
        <w:t xml:space="preserve"> a </w:t>
      </w:r>
      <w:r w:rsidR="00DB4878" w:rsidRPr="00C53FBF">
        <w:t>východní fronta se posunula</w:t>
      </w:r>
      <w:r w:rsidR="00E224E4" w:rsidRPr="00C53FBF">
        <w:t xml:space="preserve"> až</w:t>
      </w:r>
      <w:r w:rsidR="00DB4878" w:rsidRPr="00C53FBF">
        <w:t xml:space="preserve"> k Luhanské oblasti</w:t>
      </w:r>
      <w:r w:rsidR="00C64FFB" w:rsidRPr="00C53FBF">
        <w:t>. Vysoké ztráty Rusů</w:t>
      </w:r>
      <w:r w:rsidR="00DB4878" w:rsidRPr="00C53FBF">
        <w:t xml:space="preserve"> </w:t>
      </w:r>
      <w:r w:rsidR="00C64FFB" w:rsidRPr="00C53FBF">
        <w:t>měly</w:t>
      </w:r>
      <w:r w:rsidR="00DB4878" w:rsidRPr="00C53FBF">
        <w:t xml:space="preserve"> za následek částečnou mobilizaci v Rusku. Po vytlačení Rusů z pravého břehu a osvobození Cher</w:t>
      </w:r>
      <w:r w:rsidR="00E224E4" w:rsidRPr="00C53FBF">
        <w:t>sonu pak došlo k další stabilizaci fronty</w:t>
      </w:r>
      <w:r w:rsidR="00DB4878" w:rsidRPr="00C53FBF">
        <w:t>.</w:t>
      </w:r>
      <w:r w:rsidR="00C64FFB" w:rsidRPr="00C53FBF">
        <w:t xml:space="preserve"> Nezměnila to ani ukrajins</w:t>
      </w:r>
      <w:r w:rsidR="00DB4878" w:rsidRPr="00C53FBF">
        <w:t xml:space="preserve">ká </w:t>
      </w:r>
      <w:r w:rsidR="00C64FFB" w:rsidRPr="00C53FBF">
        <w:t>protiofenziva v létě 2023</w:t>
      </w:r>
      <w:r w:rsidR="00AE5768" w:rsidRPr="00C53FBF">
        <w:t>.</w:t>
      </w:r>
      <w:r w:rsidR="00E224E4" w:rsidRPr="00C53FBF">
        <w:t xml:space="preserve"> Konflikt bohužel provázejí také útoky na civilní cíle, odstřelování měst a civilní masakry (např. Buča). </w:t>
      </w:r>
      <w:r w:rsidR="00DB4878" w:rsidRPr="00C53FBF">
        <w:t>Podpora Ukrajiny probíhala a stále probíhá a má jak své zastánce, tak</w:t>
      </w:r>
      <w:r w:rsidR="00C64FFB" w:rsidRPr="00C53FBF">
        <w:t xml:space="preserve"> své</w:t>
      </w:r>
      <w:r w:rsidR="00DB4878" w:rsidRPr="00C53FBF">
        <w:t xml:space="preserve"> odpůrce. </w:t>
      </w:r>
      <w:r w:rsidR="00E224E4" w:rsidRPr="00C53FBF">
        <w:t>Jedná se však o naprosto klíčový faktor</w:t>
      </w:r>
      <w:r w:rsidR="00B23D4C">
        <w:t> ukrajinské obrany</w:t>
      </w:r>
      <w:r w:rsidR="00D57691">
        <w:t xml:space="preserve"> proti Rusku</w:t>
      </w:r>
      <w:r w:rsidR="00914B61" w:rsidRPr="00C53FBF">
        <w:t xml:space="preserve"> (Kříž 2023: </w:t>
      </w:r>
      <w:r w:rsidR="0003599D" w:rsidRPr="00C53FBF">
        <w:t xml:space="preserve">87- 123; </w:t>
      </w:r>
      <w:r w:rsidR="00914B61" w:rsidRPr="00C53FBF">
        <w:t>163-165)</w:t>
      </w:r>
      <w:r w:rsidR="00043EA3" w:rsidRPr="00C53FBF">
        <w:t>.</w:t>
      </w:r>
    </w:p>
    <w:p w:rsidR="00AA2573" w:rsidRDefault="00FD13CA" w:rsidP="002B3844">
      <w:pPr>
        <w:pStyle w:val="Nadpis1"/>
        <w:spacing w:after="240"/>
        <w:ind w:firstLine="0"/>
      </w:pPr>
      <w:bookmarkStart w:id="6" w:name="_Toc164767382"/>
      <w:bookmarkStart w:id="7" w:name="_Toc164808698"/>
      <w:r>
        <w:rPr>
          <w:rFonts w:ascii="Times New Roman" w:hAnsi="Times New Roman" w:cs="Times New Roman"/>
          <w:b/>
          <w:color w:val="auto"/>
        </w:rPr>
        <w:t xml:space="preserve">3. </w:t>
      </w:r>
      <w:r w:rsidR="00046A4D" w:rsidRPr="00C53FBF">
        <w:rPr>
          <w:rFonts w:ascii="Times New Roman" w:hAnsi="Times New Roman" w:cs="Times New Roman"/>
          <w:b/>
          <w:color w:val="auto"/>
        </w:rPr>
        <w:t>Faktory ovlivňující míru zapojení</w:t>
      </w:r>
      <w:bookmarkEnd w:id="6"/>
      <w:bookmarkEnd w:id="7"/>
    </w:p>
    <w:p w:rsidR="003B4808" w:rsidRPr="00C53FBF" w:rsidRDefault="00FD13CA" w:rsidP="002B3844">
      <w:pPr>
        <w:pStyle w:val="Nadpis2"/>
        <w:spacing w:before="240" w:after="240"/>
        <w:ind w:firstLine="0"/>
        <w:rPr>
          <w:rFonts w:ascii="Times New Roman" w:hAnsi="Times New Roman" w:cs="Times New Roman"/>
          <w:b/>
          <w:color w:val="auto"/>
          <w:sz w:val="28"/>
          <w:szCs w:val="24"/>
        </w:rPr>
      </w:pPr>
      <w:bookmarkStart w:id="8" w:name="_Toc163488265"/>
      <w:bookmarkStart w:id="9" w:name="_Toc164767383"/>
      <w:bookmarkStart w:id="10" w:name="_Toc164808699"/>
      <w:r>
        <w:rPr>
          <w:rFonts w:ascii="Times New Roman" w:hAnsi="Times New Roman" w:cs="Times New Roman"/>
          <w:b/>
          <w:color w:val="auto"/>
          <w:sz w:val="28"/>
          <w:szCs w:val="24"/>
        </w:rPr>
        <w:t xml:space="preserve">3. 1. </w:t>
      </w:r>
      <w:r w:rsidR="003B4808" w:rsidRPr="00C53FBF">
        <w:rPr>
          <w:rFonts w:ascii="Times New Roman" w:hAnsi="Times New Roman" w:cs="Times New Roman"/>
          <w:b/>
          <w:color w:val="auto"/>
          <w:sz w:val="28"/>
          <w:szCs w:val="24"/>
        </w:rPr>
        <w:t>Energetická bezpečnost</w:t>
      </w:r>
      <w:bookmarkEnd w:id="8"/>
      <w:bookmarkEnd w:id="9"/>
      <w:bookmarkEnd w:id="10"/>
    </w:p>
    <w:p w:rsidR="003B4808" w:rsidRPr="00C53FBF" w:rsidRDefault="003B4808" w:rsidP="002B3844">
      <w:pPr>
        <w:spacing w:before="240" w:after="240"/>
        <w:ind w:firstLine="0"/>
      </w:pPr>
      <w:r w:rsidRPr="00C53FBF">
        <w:t>Bezpečnost byla vždy jedním z hlavních jevů, kterým se vědci zkoumající mezinárodní vztahy zabývali. Slovy Jamese Der Deriana</w:t>
      </w:r>
      <w:r w:rsidR="00664BC4" w:rsidRPr="00C53FBF">
        <w:t xml:space="preserve"> (2009: 149)</w:t>
      </w:r>
      <w:r w:rsidRPr="00C53FBF">
        <w:t xml:space="preserve">: </w:t>
      </w:r>
      <w:r w:rsidRPr="00C53FBF">
        <w:rPr>
          <w:i/>
        </w:rPr>
        <w:t>„Žádný jiný pojem v mezinárodních vztazích nemá takovou metafyzickou razanci ani disciplinární sílu jako "bezpečnost".“</w:t>
      </w:r>
      <w:r w:rsidRPr="00C53FBF">
        <w:t xml:space="preserve"> Dnes je bezpečnost považována za subdisciplínu mezinárodních vztahů, neustále se vyvíjí a její zkoumání podléhá mnoha různým teoretickým přístupům (Collins</w:t>
      </w:r>
      <w:r w:rsidR="00515859" w:rsidRPr="00C53FBF">
        <w:t>,</w:t>
      </w:r>
      <w:r w:rsidRPr="00C53FBF">
        <w:t xml:space="preserve"> 2016: 1-10</w:t>
      </w:r>
      <w:r w:rsidR="00776CBB" w:rsidRPr="00C53FBF">
        <w:t>).</w:t>
      </w:r>
    </w:p>
    <w:p w:rsidR="003B4808" w:rsidRPr="00C53FBF" w:rsidRDefault="003B4808" w:rsidP="002B3844">
      <w:pPr>
        <w:spacing w:before="240" w:after="240"/>
        <w:ind w:firstLine="708"/>
      </w:pPr>
      <w:r w:rsidRPr="00C53FBF">
        <w:t xml:space="preserve">Kodaňská škola nahlíží na bezpečnost </w:t>
      </w:r>
      <w:r w:rsidR="00845F77" w:rsidRPr="00C53FBF">
        <w:t>sociálně-</w:t>
      </w:r>
      <w:r w:rsidRPr="00C53FBF">
        <w:t>konstru</w:t>
      </w:r>
      <w:r w:rsidR="00845F77" w:rsidRPr="00C53FBF">
        <w:t>ktivistickým pohledem</w:t>
      </w:r>
      <w:r w:rsidRPr="00C53FBF">
        <w:t xml:space="preserve">. K tomu využívá sektorový přístup, který popsali ve stěžejním díle Kodaňské školy </w:t>
      </w:r>
      <w:r w:rsidRPr="00C53FBF">
        <w:rPr>
          <w:i/>
        </w:rPr>
        <w:t>Bezpečnost - Nový rámec pro analýzu</w:t>
      </w:r>
      <w:r w:rsidRPr="00C53FBF">
        <w:t xml:space="preserve"> Barry Buzan, Jaap de Wilde a Ole Wæver. Vedle tradičního vojenského sektoru rozlišují také sociální, politický, ekonomický a environmentální. Analýza zkoumaného </w:t>
      </w:r>
      <w:r w:rsidR="00515859" w:rsidRPr="00C53FBF">
        <w:t>probíhá</w:t>
      </w:r>
      <w:r w:rsidRPr="00C53FBF">
        <w:t xml:space="preserve"> na určitých úrovních, a to sice na globální, regionální a lokální. Problémy dělí do tří </w:t>
      </w:r>
      <w:r w:rsidRPr="00C53FBF">
        <w:lastRenderedPageBreak/>
        <w:t xml:space="preserve">kategorií na nepolitické, kdy problém nepodléhá veřejné debatě a je zpracováván bez </w:t>
      </w:r>
      <w:r w:rsidR="00845F77" w:rsidRPr="00C53FBF">
        <w:t>rozporů mezi politickými elitami</w:t>
      </w:r>
      <w:r w:rsidRPr="00C53FBF">
        <w:t>, politické, které vyžadují alokaci politických zdrojů a probíhá u nich veřejná debata, a konečně bezpečno</w:t>
      </w:r>
      <w:r w:rsidR="00515859" w:rsidRPr="00C53FBF">
        <w:t>stní. U nich politickou debatu nelze pozorovat</w:t>
      </w:r>
      <w:r w:rsidRPr="00C53FBF">
        <w:t xml:space="preserve">. Jedná se o existenciální otázku, jejíž řešení je nutné a neřešit takový problém by bylo naprosto </w:t>
      </w:r>
      <w:r w:rsidR="0001084D" w:rsidRPr="000C4AF4">
        <w:t>nepřija</w:t>
      </w:r>
      <w:r w:rsidRPr="000C4AF4">
        <w:t>telné. Tyto problém</w:t>
      </w:r>
      <w:r w:rsidR="0001084D" w:rsidRPr="000C4AF4">
        <w:t>y však nejsou pevnou součástí určité kategorie a v čase se mohou měnit</w:t>
      </w:r>
      <w:r w:rsidRPr="000C4AF4">
        <w:t xml:space="preserve">. </w:t>
      </w:r>
      <w:r w:rsidR="0001084D" w:rsidRPr="000C4AF4">
        <w:t>Jak</w:t>
      </w:r>
      <w:r w:rsidRPr="000C4AF4">
        <w:t xml:space="preserve"> vychází </w:t>
      </w:r>
      <w:r w:rsidRPr="00C53FBF">
        <w:t>z teorie sociálního konstruktivismu, jednotlivým problémům přisuzují</w:t>
      </w:r>
      <w:r w:rsidR="009F38BC" w:rsidRPr="00C53FBF">
        <w:t xml:space="preserve"> důležitost sami lidé. Proces, během nějž</w:t>
      </w:r>
      <w:r w:rsidR="0001084D" w:rsidRPr="00C53FBF">
        <w:t xml:space="preserve"> se určité téma</w:t>
      </w:r>
      <w:r w:rsidRPr="00C53FBF">
        <w:t xml:space="preserve"> stává bezpečnostní otázkou, označují autoři jako „sekuritizace“. Aby se tak stalo, je nutné, aby na něm panovala shoda nejen mezi tím, kdo určuje relevanci onoho problému, ale také mezi publikem, které takový problém akceptuje jako naprosto esenciální a hodný neodkladného řešení, byť za jistou cenu v podobě neúplného přístupu k informacím aj. (Buzan, Weaver &amp; de Wilde, 1998).</w:t>
      </w:r>
    </w:p>
    <w:p w:rsidR="003B4808" w:rsidRPr="00C53FBF" w:rsidRDefault="003B4808" w:rsidP="002B3844">
      <w:pPr>
        <w:spacing w:before="240" w:after="240"/>
        <w:ind w:firstLine="708"/>
      </w:pPr>
      <w:r w:rsidRPr="00C53FBF">
        <w:t xml:space="preserve">Vstupem konvenčních vojsk ruské armády na ukrajinské území se téma energetické bezpečnosti </w:t>
      </w:r>
      <w:r w:rsidR="0001084D" w:rsidRPr="00C53FBF">
        <w:t>stalo</w:t>
      </w:r>
      <w:r w:rsidRPr="00C53FBF">
        <w:t xml:space="preserve"> </w:t>
      </w:r>
      <w:r w:rsidR="0001084D" w:rsidRPr="00C53FBF">
        <w:t>prioritou</w:t>
      </w:r>
      <w:r w:rsidRPr="00C53FBF">
        <w:t xml:space="preserve"> bezpečnostní agendy států, především pak v evropských zemích. Samotný pojem energetické bezpečnosti není ničím novým, třeba Evropská komise s ním pracuje již v Green Paperu z roku 2006 (Evropská komise, 2006). Obdobně jako u samotného pojmu bezpečnost však chybí mezi akademiky konsenzus na univerzálně platné definici. Neshoda je patrná i při tvoření indexů pro měření energetické bezpečnosti či na tom, jak ji správně konceptualizovat. Na to poukazuje také řada vědců ve svých studiích (Ang et al. 2015; Checchi et al., 2009; Chester, 2010; Löschel et al., 2010; Mitchell, 2002).</w:t>
      </w:r>
      <w:r w:rsidR="006E5759" w:rsidRPr="00C53FBF">
        <w:t xml:space="preserve"> Winzer (2012: 41)</w:t>
      </w:r>
      <w:r w:rsidRPr="00C53FBF">
        <w:t xml:space="preserve"> navrhuje energetickou bezpečnost konceptualizovat jako </w:t>
      </w:r>
      <w:r w:rsidRPr="00C53FBF">
        <w:rPr>
          <w:i/>
        </w:rPr>
        <w:t>„kontinuitu dodávek energie“</w:t>
      </w:r>
      <w:r w:rsidRPr="00C53FBF">
        <w:t>.</w:t>
      </w:r>
    </w:p>
    <w:p w:rsidR="00370747" w:rsidRPr="00C53FBF" w:rsidRDefault="00CC3041" w:rsidP="002B3844">
      <w:pPr>
        <w:spacing w:before="240" w:after="240"/>
        <w:ind w:firstLine="708"/>
      </w:pPr>
      <w:r w:rsidRPr="00C53FBF">
        <w:t>EU</w:t>
      </w:r>
      <w:r w:rsidR="003B4808" w:rsidRPr="00C53FBF">
        <w:t xml:space="preserve"> je považována za lídra v ek</w:t>
      </w:r>
      <w:r w:rsidR="0019751D" w:rsidRPr="00C53FBF">
        <w:t>ologických otázkách (Le Cacheux</w:t>
      </w:r>
      <w:r w:rsidR="003B4808" w:rsidRPr="00C53FBF">
        <w:t xml:space="preserve"> </w:t>
      </w:r>
      <w:r w:rsidR="0019751D" w:rsidRPr="00C53FBF">
        <w:t>&amp; Laurent</w:t>
      </w:r>
      <w:r w:rsidR="003B4808" w:rsidRPr="00C53FBF">
        <w:t xml:space="preserve">, 2015: 125), ale i přes sílící důraz kladený na rozvoj obnovitelných zdrojů a zohlednění dopadů na životní prostředí, jsou fosilní paliva ve světě s 80 % celkové světové spotřeby prozatím nenahraditelné (Environmental and Energy Study Institute 2021). Mezi fosilní paliva patří samozřejmě i zemní plyn, který byl v zemích </w:t>
      </w:r>
      <w:r w:rsidRPr="00C53FBF">
        <w:t>EU</w:t>
      </w:r>
      <w:r w:rsidR="003B4808" w:rsidRPr="00C53FBF">
        <w:t xml:space="preserve"> ještě v roce 2021 dodáván ze 40 % plynovody vedoucích právě z Ruska. Baldwin (2023: 1) ve své zprávě uvádí: </w:t>
      </w:r>
      <w:r w:rsidR="003B4808" w:rsidRPr="00C53FBF">
        <w:rPr>
          <w:i/>
        </w:rPr>
        <w:t>„Ruská agrese proti Ukrajině a její ochota využívat energii jako geopolitickou zbraň zničily jakoukoli přetrvávající naději, že může být spolehlivým obchodním partnerem a dodavatelem energie. Putinova válka následně vyvolala masový evropský exodus ruské ropy a plynu.“</w:t>
      </w:r>
      <w:r w:rsidR="003B4808" w:rsidRPr="00C53FBF">
        <w:t xml:space="preserve"> A byť se závislost na ruském plynu dařilo v roce 2023 moderovat</w:t>
      </w:r>
      <w:r w:rsidR="00A36EDB" w:rsidRPr="00C53FBF">
        <w:t xml:space="preserve"> na 8 %, </w:t>
      </w:r>
      <w:r w:rsidR="00505108" w:rsidRPr="00C53FBF">
        <w:t>zemní plyn nebyl součástí sankcí vůči Rusku</w:t>
      </w:r>
      <w:r w:rsidR="003B4808" w:rsidRPr="00C53FBF">
        <w:t xml:space="preserve">, neboť </w:t>
      </w:r>
      <w:r w:rsidR="00505108" w:rsidRPr="00C53FBF">
        <w:t>ho</w:t>
      </w:r>
      <w:r w:rsidR="003B4808" w:rsidRPr="00C53FBF">
        <w:t xml:space="preserve"> některé země stále </w:t>
      </w:r>
      <w:r w:rsidR="00505108" w:rsidRPr="00C53FBF">
        <w:t>nedokáží nahradit</w:t>
      </w:r>
      <w:r w:rsidR="003B4808" w:rsidRPr="00C53FBF">
        <w:t xml:space="preserve"> (Evropská rada, 2024).</w:t>
      </w:r>
      <w:r w:rsidR="00C82A2D" w:rsidRPr="00C53FBF">
        <w:t xml:space="preserve"> Rizikové a ekonomické úvahy by mohly hrát významnou roli pro potenciální dodavatele pomoci (Lanoszka &amp; Becker 2023: 180).</w:t>
      </w:r>
      <w:r w:rsidR="003B4808" w:rsidRPr="00C53FBF">
        <w:t xml:space="preserve"> </w:t>
      </w:r>
    </w:p>
    <w:p w:rsidR="007866E9" w:rsidRPr="00C53FBF" w:rsidRDefault="003B4808" w:rsidP="002B3844">
      <w:pPr>
        <w:spacing w:before="240" w:after="240"/>
        <w:ind w:firstLine="708"/>
      </w:pPr>
      <w:r w:rsidRPr="00C53FBF">
        <w:lastRenderedPageBreak/>
        <w:t>Z výše zmíněného vyplývá první hypotéza této práce, a to sice:</w:t>
      </w:r>
      <w:r w:rsidR="00C82A2D" w:rsidRPr="00C53FBF">
        <w:t xml:space="preserve"> </w:t>
      </w:r>
      <w:r w:rsidR="00370747" w:rsidRPr="00C53FBF">
        <w:rPr>
          <w:i/>
        </w:rPr>
        <w:t>H1: „Státy, které jsou na zemním plynu z Ruska více závislé</w:t>
      </w:r>
      <w:r w:rsidRPr="00C53FBF">
        <w:rPr>
          <w:i/>
        </w:rPr>
        <w:t>, po</w:t>
      </w:r>
      <w:r w:rsidR="00370747" w:rsidRPr="00C53FBF">
        <w:rPr>
          <w:i/>
        </w:rPr>
        <w:t>dporují Ukrajinu méně.</w:t>
      </w:r>
      <w:r w:rsidRPr="00C53FBF">
        <w:rPr>
          <w:i/>
        </w:rPr>
        <w:t>“</w:t>
      </w:r>
      <w:r w:rsidR="00C82A2D" w:rsidRPr="00C53FBF">
        <w:t xml:space="preserve"> </w:t>
      </w:r>
      <w:r w:rsidR="003C224C" w:rsidRPr="00C53FBF">
        <w:t xml:space="preserve">Faktor ovlivňující pomoc představuje </w:t>
      </w:r>
      <w:r w:rsidRPr="00C53FBF">
        <w:t xml:space="preserve">podíl odběru ruského plynu z celkových dodávek zemního plynu, přičemž je zohledněn také podíl plynu v energetickém </w:t>
      </w:r>
      <w:r w:rsidR="003C224C" w:rsidRPr="00C53FBF">
        <w:t>mixu</w:t>
      </w:r>
      <w:r w:rsidRPr="00C53FBF">
        <w:t xml:space="preserve"> spotřeby jednotlivých států. Předpokladem je, že státy, které mají zajištěné dodávky také z jiných zemí než pouze z Ruska, případně z jiných energetických zdrojů, mají stálý přístup k</w:t>
      </w:r>
      <w:r w:rsidR="003C224C" w:rsidRPr="00C53FBF">
        <w:t> </w:t>
      </w:r>
      <w:r w:rsidRPr="00C53FBF">
        <w:t>energiím</w:t>
      </w:r>
      <w:r w:rsidR="003C224C" w:rsidRPr="00C53FBF">
        <w:t>,</w:t>
      </w:r>
      <w:r w:rsidRPr="00C53FBF">
        <w:t xml:space="preserve"> a tím zajiště</w:t>
      </w:r>
      <w:r w:rsidR="007866E9" w:rsidRPr="00C53FBF">
        <w:t>nou kontinuitu dodávek energií.</w:t>
      </w:r>
    </w:p>
    <w:p w:rsidR="003B4808" w:rsidRPr="00C53FBF" w:rsidRDefault="00FD13CA" w:rsidP="002B3844">
      <w:pPr>
        <w:pStyle w:val="Nadpis2"/>
        <w:spacing w:before="240" w:after="240"/>
        <w:ind w:firstLine="0"/>
        <w:rPr>
          <w:rFonts w:ascii="Times New Roman" w:hAnsi="Times New Roman" w:cs="Times New Roman"/>
          <w:b/>
          <w:color w:val="auto"/>
          <w:sz w:val="28"/>
          <w:szCs w:val="24"/>
        </w:rPr>
      </w:pPr>
      <w:bookmarkStart w:id="11" w:name="_Toc164767384"/>
      <w:bookmarkStart w:id="12" w:name="_Toc164808700"/>
      <w:r>
        <w:rPr>
          <w:rFonts w:ascii="Times New Roman" w:hAnsi="Times New Roman" w:cs="Times New Roman"/>
          <w:b/>
          <w:color w:val="auto"/>
          <w:sz w:val="28"/>
          <w:szCs w:val="24"/>
        </w:rPr>
        <w:t xml:space="preserve">3. 2. </w:t>
      </w:r>
      <w:r w:rsidR="003B4808" w:rsidRPr="00C53FBF">
        <w:rPr>
          <w:rFonts w:ascii="Times New Roman" w:hAnsi="Times New Roman" w:cs="Times New Roman"/>
          <w:b/>
          <w:color w:val="auto"/>
          <w:sz w:val="28"/>
          <w:szCs w:val="24"/>
        </w:rPr>
        <w:t>Migrace a liberální demokracie</w:t>
      </w:r>
      <w:bookmarkEnd w:id="11"/>
      <w:bookmarkEnd w:id="12"/>
    </w:p>
    <w:p w:rsidR="00167A1C" w:rsidRPr="00C53FBF" w:rsidRDefault="003B4808" w:rsidP="002B3844">
      <w:pPr>
        <w:spacing w:before="240" w:after="240"/>
        <w:ind w:firstLine="0"/>
      </w:pPr>
      <w:r w:rsidRPr="00C53FBF">
        <w:t xml:space="preserve">Jedním z častých jevů, které doprovází ozbrojené konflikty, je masová migrace (Lloyd </w:t>
      </w:r>
      <w:r w:rsidR="0019751D" w:rsidRPr="00C53FBF">
        <w:t>&amp;</w:t>
      </w:r>
      <w:r w:rsidRPr="00C53FBF">
        <w:t xml:space="preserve"> Sirkeci, 2022: 528). Rusko svým jednáním vyhnalo již více než šest milionů lidí (UNHCR, 2024), z toho více jak čtyřem milionům uprchlíkům byl poskytnut azyl v zemích </w:t>
      </w:r>
      <w:r w:rsidR="00CC3041" w:rsidRPr="00C53FBF">
        <w:t>EU</w:t>
      </w:r>
      <w:r w:rsidRPr="00C53FBF">
        <w:t xml:space="preserve"> (Trebesch et al., 2024).  Pro ně však náhlý příliv uprchlíků nebyl ničím novým. V roce 2015 kvůli ozbrojeným konfliktům </w:t>
      </w:r>
      <w:r w:rsidR="008547C6" w:rsidRPr="00C53FBF">
        <w:t>(</w:t>
      </w:r>
      <w:r w:rsidRPr="00C53FBF">
        <w:t>mj. v Afghánistánu či Sýrii</w:t>
      </w:r>
      <w:r w:rsidR="008547C6" w:rsidRPr="00C53FBF">
        <w:t>)</w:t>
      </w:r>
      <w:r w:rsidRPr="00C53FBF">
        <w:t xml:space="preserve"> </w:t>
      </w:r>
      <w:r w:rsidR="008547C6" w:rsidRPr="00C53FBF">
        <w:t>imigrovalo</w:t>
      </w:r>
      <w:r w:rsidRPr="00C53FBF">
        <w:t xml:space="preserve"> do Evropy kolem jednoho milionu lidí (UNHCR/IOM, 2015). Tento počet se v</w:t>
      </w:r>
      <w:r w:rsidR="008547C6" w:rsidRPr="00C53FBF">
        <w:t> </w:t>
      </w:r>
      <w:r w:rsidRPr="00C53FBF">
        <w:t>následujících letech navyšoval a evropské země se dostaly pod tlak, aby jejich političtí zástupci jednali a vzniklou situaci vyřešili. Tlak na státy jižní Evropy byl vyvíjen, zejména když uprchlíci volili plavbu přes Středozemní moře. Další možností, jak se dostat do Evropy, byla západobalkánská trasa, přes kterou se skrze Turecko mohli uprchlíci dostat až do střední Evropy, kde ale postupně sílily protiuprchlické nálady (Wagner, 2015). Ukrajinská krize se od té z roku 2015 lišila především v tom, že díky geografické poloze je logicky nejvíce zatíženou oblastí střední a východní Evropa. Další</w:t>
      </w:r>
      <w:r w:rsidR="00F11A03" w:rsidRPr="00C53FBF">
        <w:t>m</w:t>
      </w:r>
      <w:r w:rsidRPr="00C53FBF">
        <w:t xml:space="preserve"> </w:t>
      </w:r>
      <w:r w:rsidR="00F11A03" w:rsidRPr="00C53FBF">
        <w:t xml:space="preserve">klíčovým </w:t>
      </w:r>
      <w:r w:rsidRPr="00C53FBF">
        <w:t>rozdíl</w:t>
      </w:r>
      <w:r w:rsidR="00F11A03" w:rsidRPr="00C53FBF">
        <w:t>em</w:t>
      </w:r>
      <w:r w:rsidRPr="00C53FBF">
        <w:t xml:space="preserve"> </w:t>
      </w:r>
      <w:r w:rsidR="00F11A03" w:rsidRPr="00C53FBF">
        <w:t>je</w:t>
      </w:r>
      <w:r w:rsidRPr="00C53FBF">
        <w:t xml:space="preserve"> kulturní blízkosti ukrajinských uprchlíků, když migrovali především bílí křesťané – Evropané. Tento faktor ve svém článku o migraci zmiňuje i Baubock (2001: 37), ve kterém píše: </w:t>
      </w:r>
      <w:r w:rsidRPr="00C53FBF">
        <w:rPr>
          <w:i/>
        </w:rPr>
        <w:t>„Ti, kteří přicházejí zvenčí, nejsou hodnoceni pouze podle ekonomických kritérií, ale také podle toho, jak dobře zapadají do národní formy.“</w:t>
      </w:r>
      <w:r w:rsidRPr="00C53FBF">
        <w:t xml:space="preserve"> Tento argument potvrzují i Duszczyk a Kaczmarczykn (2022: 6) podle kterých si ukrajinští migranti vybírali především kulturně spřízněné prostředí</w:t>
      </w:r>
      <w:r w:rsidR="0077611A" w:rsidRPr="00C53FBF">
        <w:t xml:space="preserve"> (příbuzenstvo, diaspory, známé a předvídatelné trasy)</w:t>
      </w:r>
      <w:r w:rsidR="00F11A03" w:rsidRPr="00C53FBF">
        <w:t>. V rámci uprchlické krize v roce 2022 migrovalo více lidí než v roce 2015</w:t>
      </w:r>
      <w:r w:rsidRPr="00C53FBF">
        <w:rPr>
          <w:color w:val="FFC000"/>
        </w:rPr>
        <w:t xml:space="preserve"> </w:t>
      </w:r>
      <w:r w:rsidRPr="00C53FBF">
        <w:t>(Pepinsky et al., 2022: 4-6).</w:t>
      </w:r>
    </w:p>
    <w:p w:rsidR="003B4808" w:rsidRPr="00C53FBF" w:rsidRDefault="0077611A" w:rsidP="002B3844">
      <w:pPr>
        <w:spacing w:before="240" w:after="240"/>
        <w:ind w:firstLine="0"/>
      </w:pPr>
      <w:r w:rsidRPr="00C53FBF">
        <w:tab/>
      </w:r>
      <w:r w:rsidR="00F11A03" w:rsidRPr="00C53FBF">
        <w:t>Migrační tlaky nezpůsobuje pouze válečný konflikt, ale také další faktory</w:t>
      </w:r>
      <w:r w:rsidR="003B4808" w:rsidRPr="00C53FBF">
        <w:t xml:space="preserve"> jako politické krize či ekonomická nerovnost. Klíčová je podle Lloyda a Sirkeciho (2022: 524) také míra nejistoty a migra</w:t>
      </w:r>
      <w:r w:rsidR="002C3EB7" w:rsidRPr="00C53FBF">
        <w:t>ční aspirace, které pak situace</w:t>
      </w:r>
      <w:r w:rsidR="003B4808" w:rsidRPr="00C53FBF">
        <w:t xml:space="preserve"> jakou je válečný konflikt urychlí (rámec příležitosti pro ty, kteří chtějí migrovat). </w:t>
      </w:r>
      <w:r w:rsidR="00F11A03" w:rsidRPr="00C53FBF">
        <w:t>Důležitým faktorem je postoj</w:t>
      </w:r>
      <w:r w:rsidR="003B4808" w:rsidRPr="00C53FBF">
        <w:t xml:space="preserve"> </w:t>
      </w:r>
      <w:r w:rsidR="00F11A03" w:rsidRPr="00C53FBF">
        <w:t xml:space="preserve">přijímajících </w:t>
      </w:r>
      <w:r w:rsidR="003B4808" w:rsidRPr="00C53FBF">
        <w:t xml:space="preserve">států, </w:t>
      </w:r>
      <w:r w:rsidR="00F11A03" w:rsidRPr="00C53FBF">
        <w:t xml:space="preserve">který </w:t>
      </w:r>
      <w:r w:rsidRPr="00C53FBF">
        <w:t>v případě států EU</w:t>
      </w:r>
      <w:r w:rsidR="00A4104E" w:rsidRPr="00C53FBF">
        <w:t xml:space="preserve"> </w:t>
      </w:r>
      <w:r w:rsidR="00F11A03" w:rsidRPr="00C53FBF">
        <w:t>vůči ukrajinským uprchlíkům</w:t>
      </w:r>
      <w:r w:rsidR="00A4104E" w:rsidRPr="00C53FBF">
        <w:t xml:space="preserve"> lze</w:t>
      </w:r>
      <w:r w:rsidR="00F11A03" w:rsidRPr="00C53FBF">
        <w:t xml:space="preserve"> označit za vstřícný</w:t>
      </w:r>
      <w:r w:rsidR="003B4808" w:rsidRPr="00C53FBF">
        <w:t xml:space="preserve"> (srov. uprchlická krize </w:t>
      </w:r>
      <w:r w:rsidR="003B4808" w:rsidRPr="00C53FBF">
        <w:lastRenderedPageBreak/>
        <w:t>2015). Ukrajinci migrovali již po vypuknutí konfliktu ve východní Ukrajině v roce 2014, kdy kromě vnitřní migrace s</w:t>
      </w:r>
      <w:r w:rsidR="002C3EB7" w:rsidRPr="00C53FBF">
        <w:t xml:space="preserve">měrem na západ </w:t>
      </w:r>
      <w:r w:rsidR="00F11A03" w:rsidRPr="00C53FBF">
        <w:t>také</w:t>
      </w:r>
      <w:r w:rsidR="002C3EB7" w:rsidRPr="00C53FBF">
        <w:t xml:space="preserve"> e</w:t>
      </w:r>
      <w:r w:rsidR="00F11A03" w:rsidRPr="00C53FBF">
        <w:t>migrovali</w:t>
      </w:r>
      <w:r w:rsidR="003B4808" w:rsidRPr="00C53FBF">
        <w:t xml:space="preserve"> (nejvíce do Polska) a </w:t>
      </w:r>
      <w:r w:rsidR="00F11A03" w:rsidRPr="00C53FBF">
        <w:t>n</w:t>
      </w:r>
      <w:r w:rsidR="003B4808" w:rsidRPr="00C53FBF">
        <w:t>áhle</w:t>
      </w:r>
      <w:r w:rsidR="00F11A03" w:rsidRPr="00C53FBF">
        <w:t xml:space="preserve"> se</w:t>
      </w:r>
      <w:r w:rsidR="003B4808" w:rsidRPr="00C53FBF">
        <w:t xml:space="preserve"> stali třetí zemí </w:t>
      </w:r>
      <w:r w:rsidR="00F11A03" w:rsidRPr="00C53FBF">
        <w:t>s nejvyšším počtem</w:t>
      </w:r>
      <w:r w:rsidR="003B4808" w:rsidRPr="00C53FBF">
        <w:t xml:space="preserve"> žádostí o azyl</w:t>
      </w:r>
      <w:r w:rsidR="003B4808" w:rsidRPr="00C53FBF">
        <w:rPr>
          <w:rStyle w:val="Znakapoznpodarou"/>
          <w:rFonts w:eastAsiaTheme="majorEastAsia"/>
        </w:rPr>
        <w:footnoteReference w:id="22"/>
      </w:r>
      <w:r w:rsidR="003B4808" w:rsidRPr="00C53FBF">
        <w:t>.</w:t>
      </w:r>
    </w:p>
    <w:p w:rsidR="003B4808" w:rsidRPr="00C53FBF" w:rsidRDefault="003B4808" w:rsidP="002B3844">
      <w:pPr>
        <w:spacing w:before="240" w:after="240"/>
        <w:ind w:firstLine="708"/>
      </w:pPr>
      <w:r w:rsidRPr="00C53FBF">
        <w:t xml:space="preserve">Migrace však může být použita také </w:t>
      </w:r>
      <w:r w:rsidR="0077611A" w:rsidRPr="00C53FBF">
        <w:t xml:space="preserve">jako zbraň v </w:t>
      </w:r>
      <w:r w:rsidRPr="00C53FBF">
        <w:t xml:space="preserve">podobě nátlaku. V takovém případě </w:t>
      </w:r>
      <w:r w:rsidR="00782731" w:rsidRPr="00C53FBF">
        <w:t>se označuje jako nucená řízená migrace</w:t>
      </w:r>
      <w:r w:rsidRPr="00C53FBF">
        <w:t xml:space="preserve"> (dále CEM).</w:t>
      </w:r>
      <w:r w:rsidRPr="00C53FBF">
        <w:rPr>
          <w:rStyle w:val="Znakapoznpodarou"/>
          <w:rFonts w:eastAsiaTheme="majorEastAsia"/>
        </w:rPr>
        <w:footnoteReference w:id="23"/>
      </w:r>
      <w:r w:rsidRPr="00C53FBF">
        <w:t xml:space="preserve"> Jako příklad použití CEM </w:t>
      </w:r>
      <w:r w:rsidR="00782731" w:rsidRPr="00C53FBF">
        <w:t>lze uvést situaci</w:t>
      </w:r>
      <w:r w:rsidR="002A328B" w:rsidRPr="00C53FBF">
        <w:t xml:space="preserve"> z roku 2016, kdy Turecko během </w:t>
      </w:r>
      <w:r w:rsidRPr="00C53FBF">
        <w:t>probíhající migrační krize pohrozilo Evropské unii, že pokud nesplní jejich požadavky, budou muset čelit jejím důsledkům.</w:t>
      </w:r>
      <w:r w:rsidRPr="00C53FBF">
        <w:rPr>
          <w:rStyle w:val="Znakapoznpodarou"/>
          <w:rFonts w:eastAsiaTheme="majorEastAsia"/>
        </w:rPr>
        <w:footnoteReference w:id="24"/>
      </w:r>
      <w:r w:rsidR="00782731" w:rsidRPr="00C53FBF">
        <w:t xml:space="preserve"> </w:t>
      </w:r>
      <w:r w:rsidRPr="00C53FBF">
        <w:t>Turecko</w:t>
      </w:r>
      <w:r w:rsidR="00782731" w:rsidRPr="00C53FBF">
        <w:t xml:space="preserve"> ale</w:t>
      </w:r>
      <w:r w:rsidRPr="00C53FBF">
        <w:t xml:space="preserve"> není jediný stát, který CEM</w:t>
      </w:r>
      <w:r w:rsidR="00782731" w:rsidRPr="00C53FBF">
        <w:t xml:space="preserve"> využil</w:t>
      </w:r>
      <w:r w:rsidRPr="00C53FBF">
        <w:t xml:space="preserve">. Greenhil (2016: 24) uvádí, že od podepsání Úmluvy </w:t>
      </w:r>
      <w:r w:rsidR="006433C7" w:rsidRPr="00C53FBF">
        <w:t>o uprchlících z roku 1951 byla</w:t>
      </w:r>
      <w:r w:rsidRPr="00C53FBF">
        <w:t xml:space="preserve"> CEM použito alespoň v 75 případech. Mezi nimi zmiňuje i Rusko, když pohrozilo vyhoštěním středoasijských gastarbeiterů, pakliže tyto státy podpoří rezoluci OSN odsuzující anexi Krymu.</w:t>
      </w:r>
      <w:r w:rsidRPr="00C53FBF">
        <w:rPr>
          <w:rStyle w:val="Znakapoznpodarou"/>
          <w:rFonts w:eastAsiaTheme="majorEastAsia"/>
        </w:rPr>
        <w:footnoteReference w:id="25"/>
      </w:r>
      <w:r w:rsidRPr="00C53FBF">
        <w:t xml:space="preserve"> A byť se jedná o zbraň poměrně účinnou, kdy alespoň některých svých cílů dosáhl</w:t>
      </w:r>
      <w:r w:rsidR="00782731" w:rsidRPr="00C53FBF">
        <w:t>y</w:t>
      </w:r>
      <w:r w:rsidRPr="00C53FBF">
        <w:t xml:space="preserve"> takřka tři čtvrtiny případů (srov. detterence cca 57 %; sankce cca 33 %), rizika spojena s jejím využitím </w:t>
      </w:r>
      <w:r w:rsidR="00D756FF" w:rsidRPr="00C53FBF">
        <w:t>jsou až příliš vysoká (např. Kaddáfí 2011). Navíc s vysídleným davem se jen těžko manipuluje. Dále CEM doprovází</w:t>
      </w:r>
      <w:r w:rsidRPr="00C53FBF">
        <w:t xml:space="preserve"> obvyklé opovržení napříč mezinárodním systémem. Proto nejčastěji takový nátlak volí z hlediska moci a schopností relativně slabé (neliberální) státy vůči relativně silným státům, přičemž drtivá většina cílila na liberální demokracie, kde je obzvlášť úspěšná (Greenhil</w:t>
      </w:r>
      <w:r w:rsidR="00210D8E" w:rsidRPr="00C53FBF">
        <w:t>,</w:t>
      </w:r>
      <w:r w:rsidRPr="00C53FBF">
        <w:t xml:space="preserve"> 2016: 24-32). V ruském případě nelze mluvit ani o nucené řízené migraci, ani o slabém státu. Avšak uvážíme-li, k</w:t>
      </w:r>
      <w:r w:rsidR="00782731" w:rsidRPr="00C53FBF">
        <w:t xml:space="preserve">do Ukrajinu podporuje, lze si </w:t>
      </w:r>
      <w:r w:rsidR="00D756FF" w:rsidRPr="00C53FBF">
        <w:t>všimnout, že hlavními podporovateli</w:t>
      </w:r>
      <w:r w:rsidRPr="00C53FBF">
        <w:t xml:space="preserve"> Ukrajinců jsou právě liberální demokracie</w:t>
      </w:r>
      <w:r w:rsidRPr="00C53FBF">
        <w:rPr>
          <w:rStyle w:val="Znakapoznpodarou"/>
          <w:rFonts w:eastAsiaTheme="majorEastAsia"/>
        </w:rPr>
        <w:footnoteReference w:id="26"/>
      </w:r>
      <w:r w:rsidRPr="00C53FBF">
        <w:t xml:space="preserve">, proti kterým je CEM hojně a často úspěšně použito. Proto lze předpokládat, že velký přiliv lidí, kteří z Ukrajiny emigrují, vyvolá </w:t>
      </w:r>
      <w:r w:rsidR="00782731" w:rsidRPr="00C53FBF">
        <w:t>prudkou</w:t>
      </w:r>
      <w:r w:rsidRPr="00C53FBF">
        <w:t xml:space="preserve"> reakci v liberálně demokratických státech,</w:t>
      </w:r>
      <w:r w:rsidR="00782731" w:rsidRPr="00C53FBF">
        <w:t xml:space="preserve"> kteří takovým lidem poskytují azyl</w:t>
      </w:r>
      <w:r w:rsidRPr="00C53FBF">
        <w:t>.</w:t>
      </w:r>
    </w:p>
    <w:p w:rsidR="003B4808" w:rsidRPr="00C53FBF" w:rsidRDefault="003B4808" w:rsidP="002B3844">
      <w:pPr>
        <w:spacing w:before="240" w:after="240"/>
      </w:pPr>
      <w:r w:rsidRPr="00C53FBF">
        <w:lastRenderedPageBreak/>
        <w:t>Je klíčové na stát nahlížet nejen jako na mezinárodního aktéra vykonávajícího určitou imigrační politiku, aby zajistil bezpečí pro své občany, ale také na</w:t>
      </w:r>
      <w:r w:rsidR="00D756FF" w:rsidRPr="00C53FBF">
        <w:t xml:space="preserve"> prostředí, kde se různé politické síly snaží získat moc. </w:t>
      </w:r>
      <w:r w:rsidRPr="00C53FBF">
        <w:t>Proto Baubock (2001: 37-38) navrhuje zaměřit se na vnitřní slož</w:t>
      </w:r>
      <w:r w:rsidR="00782731" w:rsidRPr="00C53FBF">
        <w:t>ení</w:t>
      </w:r>
      <w:r w:rsidRPr="00C53FBF">
        <w:t xml:space="preserve"> režimů a prozkoumat strukturu a ideologii politické komunity v různých zemích, aby bylo možné porozumět různým druhům imigračních a integračních režimů, které vyvinuly. Liberální demokracii se v této práci rozumí definice podle Roberta A. Dahla (2001: 81-82), který liberální demokracii definuje jako systém, ve kterém jsou státní činitelé, kterým je ústavně svěřena moc, voleni občany v často konaných a spravedlivých volbách. Občané se k politickým záležitostem, vč. kritiky státních činitelů, způsobu vládnutí aj.</w:t>
      </w:r>
      <w:r w:rsidR="002C3EB7" w:rsidRPr="00C53FBF">
        <w:t>,</w:t>
      </w:r>
      <w:r w:rsidRPr="00C53FBF">
        <w:t xml:space="preserve"> mohou svobodně vyjadřovat a mají možnost vyhledávat nezávislé a alternativní (nejsou pod kontrolou vlády nebo jiné politické skupiny) zdroje informací, které jsou chráněny zákonem. Dále se občané mohou svobodně shromažďovat a sdružovat v organizacích, politických stranách nebo zájmových skupinách. Žádnému člověku pak nesmí být upírána práva, kterými disponují ostatní spoluobčané. </w:t>
      </w:r>
    </w:p>
    <w:p w:rsidR="003B4808" w:rsidRPr="00C53FBF" w:rsidRDefault="003B4808" w:rsidP="002B3844">
      <w:pPr>
        <w:spacing w:before="240" w:after="240"/>
        <w:ind w:firstLine="708"/>
      </w:pPr>
      <w:r w:rsidRPr="00C53FBF">
        <w:t xml:space="preserve">Mým předpokladem je, že liberálně demokratické státy budou </w:t>
      </w:r>
      <w:r w:rsidR="00D756FF" w:rsidRPr="00C53FBF">
        <w:t>usilovat o to</w:t>
      </w:r>
      <w:r w:rsidRPr="00C53FBF">
        <w:t xml:space="preserve">, aby se Ukrajinci mohli po skončení války vrátit </w:t>
      </w:r>
      <w:r w:rsidR="00D756FF" w:rsidRPr="00C53FBF">
        <w:t>zpět</w:t>
      </w:r>
      <w:r w:rsidRPr="00C53FBF">
        <w:t>, a budou tak podporovat Ukrajinu</w:t>
      </w:r>
      <w:r w:rsidR="004E5B7B" w:rsidRPr="00C53FBF">
        <w:t xml:space="preserve"> v boji</w:t>
      </w:r>
      <w:r w:rsidRPr="00C53FBF">
        <w:t xml:space="preserve"> proti Rusku. V úvahu beru již zmíněnou náchylnost liberálních demokracií vůči uprchlickým vlnám i s ohledem na vstřícnost zemí (prozatím) přijímat uprchlíky z Ukrajiny. </w:t>
      </w:r>
      <w:r w:rsidR="008D1C49" w:rsidRPr="00C53FBF">
        <w:t>D</w:t>
      </w:r>
      <w:r w:rsidRPr="00C53FBF">
        <w:t>ruhá hypotéza této práce</w:t>
      </w:r>
      <w:r w:rsidR="008D1C49" w:rsidRPr="00C53FBF">
        <w:t xml:space="preserve"> tedy zní</w:t>
      </w:r>
      <w:r w:rsidRPr="00C53FBF">
        <w:t xml:space="preserve">: </w:t>
      </w:r>
      <w:r w:rsidRPr="00C53FBF">
        <w:rPr>
          <w:i/>
        </w:rPr>
        <w:t xml:space="preserve">H2: </w:t>
      </w:r>
      <w:r w:rsidR="008D1C49" w:rsidRPr="00C53FBF">
        <w:rPr>
          <w:i/>
        </w:rPr>
        <w:t>„</w:t>
      </w:r>
      <w:r w:rsidRPr="00C53FBF">
        <w:rPr>
          <w:i/>
        </w:rPr>
        <w:t>Státy s vyšším skóre indexu liberální demokracie v kombinaci s vyšším podílem uprchlíků se budou více angažovat v pomoci Ukrajině.</w:t>
      </w:r>
      <w:r w:rsidR="008D1C49" w:rsidRPr="00C53FBF">
        <w:rPr>
          <w:i/>
        </w:rPr>
        <w:t>“</w:t>
      </w:r>
      <w:r w:rsidRPr="00C53FBF">
        <w:t xml:space="preserve"> </w:t>
      </w:r>
    </w:p>
    <w:p w:rsidR="009D6B98" w:rsidRPr="00C53FBF" w:rsidRDefault="00FD13CA" w:rsidP="002B3844">
      <w:pPr>
        <w:pStyle w:val="Nadpis2"/>
        <w:spacing w:before="240" w:after="240"/>
        <w:ind w:firstLine="0"/>
        <w:rPr>
          <w:rFonts w:ascii="Times New Roman" w:hAnsi="Times New Roman" w:cs="Times New Roman"/>
          <w:b/>
          <w:color w:val="auto"/>
          <w:sz w:val="28"/>
        </w:rPr>
      </w:pPr>
      <w:bookmarkStart w:id="13" w:name="_Toc164767385"/>
      <w:bookmarkStart w:id="14" w:name="_Toc164808701"/>
      <w:r>
        <w:rPr>
          <w:rFonts w:ascii="Times New Roman" w:hAnsi="Times New Roman" w:cs="Times New Roman"/>
          <w:b/>
          <w:color w:val="auto"/>
          <w:sz w:val="28"/>
        </w:rPr>
        <w:t xml:space="preserve">3. 3. </w:t>
      </w:r>
      <w:r w:rsidR="009D6B98" w:rsidRPr="00C53FBF">
        <w:rPr>
          <w:rFonts w:ascii="Times New Roman" w:hAnsi="Times New Roman" w:cs="Times New Roman"/>
          <w:b/>
          <w:color w:val="auto"/>
          <w:sz w:val="28"/>
        </w:rPr>
        <w:t>Stará a nová Evropa</w:t>
      </w:r>
      <w:bookmarkEnd w:id="13"/>
      <w:bookmarkEnd w:id="14"/>
    </w:p>
    <w:p w:rsidR="003B4808" w:rsidRPr="00C53FBF" w:rsidRDefault="003B4808" w:rsidP="002B3844">
      <w:pPr>
        <w:spacing w:before="240" w:after="240"/>
        <w:ind w:firstLine="0"/>
      </w:pPr>
      <w:r w:rsidRPr="00C53FBF">
        <w:t xml:space="preserve">V lednu 2003 vyřkl tehdejší ministr obrany </w:t>
      </w:r>
      <w:r w:rsidR="00F65AF2" w:rsidRPr="00C53FBF">
        <w:t>USA</w:t>
      </w:r>
      <w:r w:rsidR="00377134" w:rsidRPr="00C53FBF">
        <w:t xml:space="preserve"> Donald Rumsfeld výrok o staré a nové</w:t>
      </w:r>
      <w:r w:rsidRPr="00C53FBF">
        <w:t xml:space="preserve"> Evropě. Stalo se tak po otázce nizozemského reportéra Charlese Groenhuijsena, který se ho v Praze dotazoval na potenciální invazi </w:t>
      </w:r>
      <w:r w:rsidR="00F65AF2" w:rsidRPr="00C53FBF">
        <w:t xml:space="preserve">USA </w:t>
      </w:r>
      <w:r w:rsidRPr="00C53FBF">
        <w:t xml:space="preserve">do Iráku, načež Rumsfeld odpověděl: </w:t>
      </w:r>
      <w:r w:rsidRPr="00C53FBF">
        <w:rPr>
          <w:i/>
        </w:rPr>
        <w:t>„Přemýšlíte o Evropě jako o Německu a Francii. Já ne. Myslím, že to je „stará“ Evropa. Když se dnes podíváte na celou Evropu NATO, těžiště se přesouvá na východ. A je tu spousta nových členů."</w:t>
      </w:r>
      <w:r w:rsidRPr="00C53FBF">
        <w:t xml:space="preserve"> (Baker, 2003).</w:t>
      </w:r>
      <w:r w:rsidRPr="00C53FBF">
        <w:rPr>
          <w:i/>
        </w:rPr>
        <w:t xml:space="preserve"> </w:t>
      </w:r>
      <w:r w:rsidRPr="00C53FBF">
        <w:t xml:space="preserve">Tehdy se svými slovy ohradil zejména proti Německu a Francii, kteří </w:t>
      </w:r>
      <w:r w:rsidR="005A2969" w:rsidRPr="00C53FBF">
        <w:t>váhali, zda</w:t>
      </w:r>
      <w:r w:rsidRPr="00C53FBF">
        <w:rPr>
          <w:color w:val="FFC000"/>
        </w:rPr>
        <w:t xml:space="preserve"> </w:t>
      </w:r>
      <w:r w:rsidR="005A2969" w:rsidRPr="00C53FBF">
        <w:t>podpoří</w:t>
      </w:r>
      <w:r w:rsidRPr="00C53FBF">
        <w:t xml:space="preserve"> USA ve vyslání jednotek do Iráku. Jeho vyjádření nebylo přesné, protože státy jako Itálie, Španělsko nebo V</w:t>
      </w:r>
      <w:r w:rsidR="00377134" w:rsidRPr="00C53FBF">
        <w:t>elká Británie patřící do staré</w:t>
      </w:r>
      <w:r w:rsidRPr="00C53FBF">
        <w:t xml:space="preserve"> Evropy postoj USA vůči Saddámu Husseinovi sdílely. A i přes poměrně pejorativní konotace Rumsfeldova výrazu,</w:t>
      </w:r>
      <w:r w:rsidR="00377134" w:rsidRPr="00C53FBF">
        <w:t xml:space="preserve"> se obdobně </w:t>
      </w:r>
      <w:r w:rsidR="002159FE" w:rsidRPr="00C53FBF">
        <w:t>zača</w:t>
      </w:r>
      <w:r w:rsidR="00377134" w:rsidRPr="00C53FBF">
        <w:t>l</w:t>
      </w:r>
      <w:r w:rsidR="002159FE" w:rsidRPr="00C53FBF">
        <w:t xml:space="preserve"> používat</w:t>
      </w:r>
      <w:r w:rsidR="00377134" w:rsidRPr="00C53FBF">
        <w:t xml:space="preserve"> také výraz nová</w:t>
      </w:r>
      <w:r w:rsidRPr="00C53FBF">
        <w:t xml:space="preserve"> Evropa. Do zemí s tímto označením by šlo zařadit státy, které byly přijaty v rámci tzv. východních rozšíření ať už do </w:t>
      </w:r>
      <w:r w:rsidR="00CC3041" w:rsidRPr="00C53FBF">
        <w:t>EU</w:t>
      </w:r>
      <w:r w:rsidRPr="00C53FBF">
        <w:t xml:space="preserve"> (po roce 2004), NATO (po roce </w:t>
      </w:r>
      <w:r w:rsidRPr="00C53FBF">
        <w:lastRenderedPageBreak/>
        <w:t>1999)</w:t>
      </w:r>
      <w:r w:rsidRPr="00C53FBF">
        <w:rPr>
          <w:rStyle w:val="Znakapoznpodarou"/>
        </w:rPr>
        <w:footnoteReference w:id="27"/>
      </w:r>
      <w:r w:rsidRPr="00C53FBF">
        <w:t xml:space="preserve"> či jiných evropských organizací a mají touhu ukázat, že jsou spolehlivými spojenci (Došek, 2012: 33-34). Proti takovému dělení se již v roce 2003 ohradil Jones, když kritizoval </w:t>
      </w:r>
      <w:r w:rsidR="002159FE" w:rsidRPr="00C53FBF">
        <w:t>prezidenta George W. Bushe a jeho administrativu</w:t>
      </w:r>
      <w:r w:rsidRPr="00C53FBF">
        <w:t xml:space="preserve"> za nepochopení situace v Evropě a přílišném lpění na „hard power“. </w:t>
      </w:r>
    </w:p>
    <w:p w:rsidR="00E308FE" w:rsidRPr="00C53FBF" w:rsidRDefault="003B4808" w:rsidP="002B3844">
      <w:pPr>
        <w:spacing w:before="240" w:after="240"/>
        <w:ind w:firstLine="708"/>
      </w:pPr>
      <w:r w:rsidRPr="00C53FBF">
        <w:t>Jenže doba se za více jak dvacet let změnila a konvenční válka v Evropě rozdělení na starou</w:t>
      </w:r>
      <w:r w:rsidR="00377134" w:rsidRPr="00C53FBF">
        <w:t xml:space="preserve"> a novou</w:t>
      </w:r>
      <w:r w:rsidRPr="00C53FBF">
        <w:t xml:space="preserve"> Evropu dodala na aktuálnosti. </w:t>
      </w:r>
      <w:r w:rsidR="00377134" w:rsidRPr="00C53FBF">
        <w:t xml:space="preserve">Motivace zemí patřící do </w:t>
      </w:r>
      <w:r w:rsidRPr="00C53FBF">
        <w:t xml:space="preserve">nové Evropy je </w:t>
      </w:r>
      <w:r w:rsidR="002159FE" w:rsidRPr="00C53FBF">
        <w:t>již jiná než v roce 2003</w:t>
      </w:r>
      <w:r w:rsidRPr="00C53FBF">
        <w:t>, kdy měly zájem prokázat, že patří do západních organizací a lze s</w:t>
      </w:r>
      <w:r w:rsidR="002159FE" w:rsidRPr="00C53FBF">
        <w:t>e na ně spolehnout</w:t>
      </w:r>
      <w:r w:rsidRPr="00C53FBF">
        <w:t>. Avšak přistoupí</w:t>
      </w:r>
      <w:r w:rsidR="00377134" w:rsidRPr="00C53FBF">
        <w:t>me-li na to, že jako země nové</w:t>
      </w:r>
      <w:r w:rsidRPr="00C53FBF">
        <w:t xml:space="preserve"> Evropy můžeme </w:t>
      </w:r>
      <w:r w:rsidR="00024B39" w:rsidRPr="00C53FBF">
        <w:t>považovat</w:t>
      </w:r>
      <w:r w:rsidRPr="00C53FBF">
        <w:t xml:space="preserve"> státy, které přistoupily do </w:t>
      </w:r>
      <w:r w:rsidR="00CC3041" w:rsidRPr="00C53FBF">
        <w:t>EU</w:t>
      </w:r>
      <w:r w:rsidRPr="00C53FBF">
        <w:t xml:space="preserve"> po roce 2004, zjistíme, že až na výjimky (Malta, Kypr) se jedná o státy, které ve své minulosti byly buďto přímo bývalými svazovými republikami (Eston</w:t>
      </w:r>
      <w:r w:rsidR="00024B39" w:rsidRPr="00C53FBF">
        <w:t>sko, Lotyšsko, Litva), nebo patřily do sféry vlivu SSSR</w:t>
      </w:r>
      <w:r w:rsidR="00377134" w:rsidRPr="00C53FBF">
        <w:t xml:space="preserve">. </w:t>
      </w:r>
      <w:r w:rsidR="00E308FE" w:rsidRPr="00C53FBF">
        <w:t>S</w:t>
      </w:r>
      <w:r w:rsidR="00377134" w:rsidRPr="00C53FBF">
        <w:t xml:space="preserve">táty </w:t>
      </w:r>
      <w:r w:rsidRPr="00C53FBF">
        <w:t>nové Evropy mají historickou zkušenost s nadvládou Ruska, což by mohlo vést k tomu, že budou více podporovat Ukrajinu v boji proti Rusk</w:t>
      </w:r>
      <w:r w:rsidR="00E308FE" w:rsidRPr="00C53FBF">
        <w:t>u.</w:t>
      </w:r>
    </w:p>
    <w:p w:rsidR="00E308FE" w:rsidRPr="00C53FBF" w:rsidRDefault="00E308FE" w:rsidP="002B3844">
      <w:pPr>
        <w:spacing w:before="240" w:after="240"/>
        <w:ind w:firstLine="708"/>
      </w:pPr>
      <w:r w:rsidRPr="00C53FBF">
        <w:t>Na Rumsfeldův výrok v kontextu války na Ukrajině upozornil</w:t>
      </w:r>
      <w:r w:rsidR="003B4808" w:rsidRPr="00C53FBF">
        <w:t xml:space="preserve"> i tehdejší polský premiér Mateusz Morawiecki když na tiskové konferenci při návštěvě Washingtonu v dubnu 2023 uvedl: </w:t>
      </w:r>
      <w:r w:rsidR="003B4808" w:rsidRPr="00C53FBF">
        <w:rPr>
          <w:i/>
        </w:rPr>
        <w:t xml:space="preserve">„Stará Evropa věřila v dohodu s Ruskem a stará Evropa selhala … Ale je tu nová Evropa – Evropa, která si pamatuje, co byl ruský komunismus. A Polsko je lídrem této nové Evropy.“ </w:t>
      </w:r>
      <w:r w:rsidR="003B4808" w:rsidRPr="00C53FBF">
        <w:t xml:space="preserve">Nepřímo tak odkázal na neshody s francouzským prezidentem Emanuelem Macronem ohledně postoje vůči Rusku. Morawieckého slova víceméně potvrdil i německý kancléř Olaf Scholz, když řekl: </w:t>
      </w:r>
      <w:r w:rsidR="003B4808" w:rsidRPr="00C53FBF">
        <w:rPr>
          <w:i/>
        </w:rPr>
        <w:t>„střed Evropy se posouvá na východ“</w:t>
      </w:r>
      <w:r w:rsidR="003B4808" w:rsidRPr="00C53FBF">
        <w:t>, tedy, že státy střední a východní Evropy jsou brán</w:t>
      </w:r>
      <w:r w:rsidR="00377134" w:rsidRPr="00C53FBF">
        <w:t>y vážně (Tharoor, 2023). Státy nové</w:t>
      </w:r>
      <w:r w:rsidR="003B4808" w:rsidRPr="00C53FBF">
        <w:t xml:space="preserve"> Evropy však nejsou brány vážně pouze v zahraničněpolitickém kontextu ve vztahu k Rusku, ale lze pozorovat i narůstající politický vliv a díky přerozdělovacím mechanismům a regionálním politikám EU se tyto státy přibližují staré Evropě. Jejich podíl na společném HDP EU byl v roce 2022 10,8 %, což je za 15 let nárůst o více jak dva procentní body (World Bank, 2022), a to i přes jejich </w:t>
      </w:r>
      <w:r w:rsidRPr="00C53FBF">
        <w:t>klesající demografickou křivku.</w:t>
      </w:r>
    </w:p>
    <w:p w:rsidR="00B52D6D" w:rsidRPr="00C53FBF" w:rsidRDefault="00E308FE" w:rsidP="002B3844">
      <w:pPr>
        <w:spacing w:before="240" w:after="240"/>
        <w:ind w:firstLine="708"/>
      </w:pPr>
      <w:r w:rsidRPr="00C53FBF">
        <w:t xml:space="preserve">Postsocialistické země nové Evropy mnohem aktivněji podporují integrační snahy postkomunistických zemí východní Evropy včetně Ukrajiny. Ta získala v červnu 2022 kandidátský status a 8. listopadu 2023 Komise doporučila Radě zahájit přístupová jednání s Ukrajinou a Moldavskem (Evropský parlament, 2023). Naopak s rezervovaným přístupem se </w:t>
      </w:r>
      <w:r w:rsidRPr="00C53FBF">
        <w:lastRenderedPageBreak/>
        <w:t>potýkaly státy staré Evropy (Makhanov, n.d.). Zda je výrok</w:t>
      </w:r>
      <w:r w:rsidR="003B4808" w:rsidRPr="00C53FBF">
        <w:t xml:space="preserve"> aktuální</w:t>
      </w:r>
      <w:r w:rsidRPr="00C53FBF">
        <w:t xml:space="preserve"> i v kontextu pomoci Ukrajině</w:t>
      </w:r>
      <w:r w:rsidR="003B4808" w:rsidRPr="00C53FBF">
        <w:t>, nebo nelze pozorova</w:t>
      </w:r>
      <w:r w:rsidR="00377134" w:rsidRPr="00C53FBF">
        <w:t>t rozdíly mezi státy staré a nové</w:t>
      </w:r>
      <w:r w:rsidR="003B4808" w:rsidRPr="00C53FBF">
        <w:t xml:space="preserve"> Evropy</w:t>
      </w:r>
      <w:r w:rsidRPr="00C53FBF">
        <w:t>,</w:t>
      </w:r>
      <w:r w:rsidR="003B4808" w:rsidRPr="00C53FBF">
        <w:t xml:space="preserve"> </w:t>
      </w:r>
      <w:r w:rsidR="0021495B" w:rsidRPr="00C53FBF">
        <w:t xml:space="preserve">ověřuji </w:t>
      </w:r>
      <w:r w:rsidR="003B4808" w:rsidRPr="00C53FBF">
        <w:t xml:space="preserve">ve třetí hypotéze: </w:t>
      </w:r>
      <w:r w:rsidR="00377134" w:rsidRPr="00C53FBF">
        <w:rPr>
          <w:i/>
        </w:rPr>
        <w:t>H3: „Státy patřící k nové</w:t>
      </w:r>
      <w:r w:rsidR="003B4808" w:rsidRPr="00C53FBF">
        <w:rPr>
          <w:i/>
        </w:rPr>
        <w:t xml:space="preserve"> Evropě budou podp</w:t>
      </w:r>
      <w:r w:rsidR="00377134" w:rsidRPr="00C53FBF">
        <w:rPr>
          <w:i/>
        </w:rPr>
        <w:t>orovat Ukrajinu více než státy staré</w:t>
      </w:r>
      <w:r w:rsidR="003B4808" w:rsidRPr="00C53FBF">
        <w:rPr>
          <w:i/>
        </w:rPr>
        <w:t xml:space="preserve"> Evropy“.</w:t>
      </w:r>
      <w:r w:rsidR="003B4808" w:rsidRPr="00C53FBF">
        <w:t xml:space="preserve"> Předpokladem je, že h</w:t>
      </w:r>
      <w:r w:rsidR="00377134" w:rsidRPr="00C53FBF">
        <w:t>istorická zkušenost států nové</w:t>
      </w:r>
      <w:r w:rsidR="003B4808" w:rsidRPr="00C53FBF">
        <w:t xml:space="preserve"> Evr</w:t>
      </w:r>
      <w:r w:rsidR="002159FE" w:rsidRPr="00C53FBF">
        <w:t>opy s Ruskem bude pro tyto země zásadním faktorem k</w:t>
      </w:r>
      <w:r w:rsidR="00B52D6D" w:rsidRPr="00C53FBF">
        <w:t xml:space="preserve"> podpoře Ukrajiny. </w:t>
      </w:r>
    </w:p>
    <w:p w:rsidR="003B4808" w:rsidRPr="00C53FBF" w:rsidRDefault="00FD13CA" w:rsidP="002B3844">
      <w:pPr>
        <w:pStyle w:val="Nadpis2"/>
        <w:spacing w:before="240" w:after="240"/>
        <w:ind w:firstLine="0"/>
        <w:rPr>
          <w:rFonts w:ascii="Times New Roman" w:hAnsi="Times New Roman" w:cs="Times New Roman"/>
          <w:b/>
          <w:color w:val="auto"/>
          <w:sz w:val="28"/>
          <w:szCs w:val="24"/>
        </w:rPr>
      </w:pPr>
      <w:bookmarkStart w:id="15" w:name="_Toc164767386"/>
      <w:bookmarkStart w:id="16" w:name="_Toc164808702"/>
      <w:r>
        <w:rPr>
          <w:rFonts w:ascii="Times New Roman" w:hAnsi="Times New Roman" w:cs="Times New Roman"/>
          <w:b/>
          <w:color w:val="auto"/>
          <w:sz w:val="28"/>
          <w:szCs w:val="24"/>
        </w:rPr>
        <w:t xml:space="preserve">3. 4. </w:t>
      </w:r>
      <w:r w:rsidR="003B4808" w:rsidRPr="00C53FBF">
        <w:rPr>
          <w:rFonts w:ascii="Times New Roman" w:hAnsi="Times New Roman" w:cs="Times New Roman"/>
          <w:b/>
          <w:color w:val="auto"/>
          <w:sz w:val="28"/>
          <w:szCs w:val="24"/>
        </w:rPr>
        <w:t>Obranný rozpočet</w:t>
      </w:r>
      <w:bookmarkEnd w:id="15"/>
      <w:bookmarkEnd w:id="16"/>
    </w:p>
    <w:p w:rsidR="003B4808" w:rsidRPr="00C53FBF" w:rsidRDefault="003B4808" w:rsidP="002B3844">
      <w:pPr>
        <w:spacing w:before="240" w:after="240"/>
        <w:ind w:firstLine="0"/>
      </w:pPr>
      <w:r w:rsidRPr="00C53FBF">
        <w:t>S ruským útokem na Ukrajinu se pro evropské státy stala hrozba externího napadení cizí zemí bezpečnostní prioritou. Byť je většina zemí EU také členskými státy NATO</w:t>
      </w:r>
      <w:r w:rsidR="00234369" w:rsidRPr="00C53FBF">
        <w:t>,</w:t>
      </w:r>
      <w:r w:rsidRPr="00C53FBF">
        <w:rPr>
          <w:rStyle w:val="Znakapoznpodarou"/>
        </w:rPr>
        <w:footnoteReference w:id="28"/>
      </w:r>
      <w:r w:rsidRPr="00C53FBF">
        <w:t xml:space="preserve"> tak jsou stále nuceny budovat své armády, aby </w:t>
      </w:r>
      <w:r w:rsidR="00236857" w:rsidRPr="00C53FBF">
        <w:t xml:space="preserve">se </w:t>
      </w:r>
      <w:r w:rsidRPr="00C53FBF">
        <w:t>mohly ubránit a případně pomoci ostatním</w:t>
      </w:r>
      <w:r w:rsidR="00236857" w:rsidRPr="00C53FBF">
        <w:t xml:space="preserve"> spojencům</w:t>
      </w:r>
      <w:r w:rsidRPr="00C53FBF">
        <w:t xml:space="preserve">. Přes veškeré snahy o koordinaci evropské obrané politiky, které v historii proběhly, nezbývá státům, než se spolehnout především na své vlastní kapacity. Události z února 2022 však poskytly těmto snahám znovu prostor ve veřejné debatě. </w:t>
      </w:r>
      <w:r w:rsidR="00236857" w:rsidRPr="00C53FBF">
        <w:t>P</w:t>
      </w:r>
      <w:r w:rsidRPr="00C53FBF">
        <w:t>oválečné snahy o společnou evropskou obrannou politiku pozorovat již v 50. letech, kdy nově vzniklé Společenství uhlí a oceli mělo doplnit vedle Evropského politického společenství i Evropské obranné společenství. Ty však ztroskotaly</w:t>
      </w:r>
      <w:r w:rsidRPr="00C53FBF">
        <w:rPr>
          <w:rStyle w:val="Znakapoznpodarou"/>
        </w:rPr>
        <w:footnoteReference w:id="29"/>
      </w:r>
      <w:r w:rsidRPr="00C53FBF">
        <w:t xml:space="preserve"> (Bran</w:t>
      </w:r>
      <w:r w:rsidR="00E11A58" w:rsidRPr="00C53FBF">
        <w:t>,</w:t>
      </w:r>
      <w:r w:rsidRPr="00C53FBF">
        <w:t xml:space="preserve"> 2023: 2). Evropské státy ale dostatečně nespolupracují ani v technologických či průmyslových aspektech obranné politiky. Ve srovnání s USA je Evropa extrémně pozadu. Některé státy nejsou schopny samy financovat určité obranné programy, což by v případě vhodně zvolen</w:t>
      </w:r>
      <w:r w:rsidR="00E11A58" w:rsidRPr="00C53FBF">
        <w:t>ého</w:t>
      </w:r>
      <w:r w:rsidRPr="00C53FBF">
        <w:t xml:space="preserve"> způsobu kooperace (sdružování zdrojů, výzkum, vývoj) možné bylo, dokonce by to bylo i finančně výhodnější</w:t>
      </w:r>
      <w:r w:rsidRPr="00C53FBF">
        <w:rPr>
          <w:rStyle w:val="Znakapoznpodarou"/>
        </w:rPr>
        <w:footnoteReference w:id="30"/>
      </w:r>
      <w:r w:rsidRPr="00C53FBF">
        <w:t xml:space="preserve">, ale otázka obranné politiky je až příliš citlivá. </w:t>
      </w:r>
    </w:p>
    <w:p w:rsidR="003B4808" w:rsidRPr="00C53FBF" w:rsidRDefault="003B4808" w:rsidP="002B3844">
      <w:pPr>
        <w:spacing w:before="240" w:after="240"/>
        <w:ind w:firstLine="708"/>
      </w:pPr>
      <w:r w:rsidRPr="00C53FBF">
        <w:t>V březnu 2022 EU formálně schválila Strategický kompas, který má za cíl do roku 2030 určit směřování obrany a bezpečnosti v Evropě a týká se čtyřech oblastí: krizového řízení, odolnosti, rozvoje schopností a partnerství (Rada Evropské unie</w:t>
      </w:r>
      <w:r w:rsidR="00E11A58" w:rsidRPr="00C53FBF">
        <w:t>,</w:t>
      </w:r>
      <w:r w:rsidRPr="00C53FBF">
        <w:t xml:space="preserve"> 2021: 2-4). Evropský rozpočet pro roky 2021-2027 vyčlenil na obranu osm miliard eur</w:t>
      </w:r>
      <w:r w:rsidRPr="00C53FBF">
        <w:rPr>
          <w:rStyle w:val="Znakapoznpodarou"/>
        </w:rPr>
        <w:footnoteReference w:id="31"/>
      </w:r>
      <w:r w:rsidRPr="00C53FBF">
        <w:t xml:space="preserve">, kdy téměř tři miliardy euro jsou </w:t>
      </w:r>
      <w:r w:rsidRPr="00C53FBF">
        <w:lastRenderedPageBreak/>
        <w:t>určeny na výzkum a více než pět miliard eur na vývojové projekty. Jedná se však pouze o nepatrnou částku (Wallentine</w:t>
      </w:r>
      <w:r w:rsidR="00255D88" w:rsidRPr="00C53FBF">
        <w:t>,</w:t>
      </w:r>
      <w:r w:rsidRPr="00C53FBF">
        <w:t xml:space="preserve"> 2023: 4). Evropská obranná politika zahrnuje také další různé instituce (Generální ředitelství pro obranný průmysl a vesmír, Evropská obranná agentura, Organizace pro společnou zbrojní spolupráci) nebo Evropský obranný fond, ale veškerá zátěž prozatím zůstává na jednotlivých státech (Bran</w:t>
      </w:r>
      <w:r w:rsidR="00255D88" w:rsidRPr="00C53FBF">
        <w:t>,</w:t>
      </w:r>
      <w:r w:rsidRPr="00C53FBF">
        <w:t xml:space="preserve"> 2023: 3-5; Wallentine</w:t>
      </w:r>
      <w:r w:rsidR="00255D88" w:rsidRPr="00C53FBF">
        <w:t>,</w:t>
      </w:r>
      <w:r w:rsidRPr="00C53FBF">
        <w:t xml:space="preserve"> 2023: 3).</w:t>
      </w:r>
    </w:p>
    <w:p w:rsidR="003B4808" w:rsidRPr="00C53FBF" w:rsidRDefault="003B4808" w:rsidP="002B3844">
      <w:pPr>
        <w:spacing w:before="240" w:after="240"/>
        <w:ind w:firstLine="0"/>
      </w:pPr>
      <w:r w:rsidRPr="00C53FBF">
        <w:tab/>
        <w:t xml:space="preserve">Nezdá se příliš pravděpodobné, že by Ukrajině mohlo zaručit bezpečnost nějaké politické řešení. </w:t>
      </w:r>
      <w:r w:rsidR="006C5DAE" w:rsidRPr="00C53FBF">
        <w:t>L</w:t>
      </w:r>
      <w:r w:rsidRPr="00C53FBF">
        <w:t>ze</w:t>
      </w:r>
      <w:r w:rsidR="00CC427C" w:rsidRPr="00C53FBF">
        <w:t xml:space="preserve"> uvést již zmíněné b</w:t>
      </w:r>
      <w:r w:rsidRPr="00C53FBF">
        <w:t>udapešťské memorandum nebo kandidátský status z roku 2022, po kterém se intenzita ruských útoků rozhodně nesnížila. Ukrajina je momentálně nucena spoléhat se na vlastní síly a spojenecké dodávky</w:t>
      </w:r>
      <w:r w:rsidR="00CE6BF7" w:rsidRPr="00C53FBF">
        <w:t xml:space="preserve"> zbraní a munice</w:t>
      </w:r>
      <w:r w:rsidR="006C5DAE" w:rsidRPr="00C53FBF">
        <w:t xml:space="preserve">, čili </w:t>
      </w:r>
      <w:r w:rsidRPr="00C53FBF">
        <w:t>na armádu a diplomacii, skrze kterou si zajišťuje dodávky mj. od evropských zemí (Nate &amp; Kharlamova</w:t>
      </w:r>
      <w:r w:rsidR="00255D88" w:rsidRPr="00C53FBF">
        <w:t>, 2023</w:t>
      </w:r>
      <w:r w:rsidRPr="00C53FBF">
        <w:t xml:space="preserve">: 2). Konflikt však evropské země přistihl naprosto nepřipravené. V rámci </w:t>
      </w:r>
      <w:r w:rsidR="00CC3041" w:rsidRPr="00C53FBF">
        <w:t>EU</w:t>
      </w:r>
      <w:r w:rsidRPr="00C53FBF">
        <w:t xml:space="preserve"> byla průměrná hodnota HDP vydávaného na obranné účely pouze 1,57 % (EDA, 2022). To se od počátku invaze změnilo a evropské státy začaly své obranné rozpočty navyšovat a především díky nim světové vojenské výdaje dosáhly v roce 2022 dosavadního maxima (SIPRI</w:t>
      </w:r>
      <w:r w:rsidR="00255D88" w:rsidRPr="00C53FBF">
        <w:t>,</w:t>
      </w:r>
      <w:r w:rsidRPr="00C53FBF">
        <w:t xml:space="preserve"> 2023: 8; Wallentine</w:t>
      </w:r>
      <w:r w:rsidR="00255D88" w:rsidRPr="00C53FBF">
        <w:t>,</w:t>
      </w:r>
      <w:r w:rsidRPr="00C53FBF">
        <w:t xml:space="preserve"> 2023: 5; Tian et al.</w:t>
      </w:r>
      <w:r w:rsidR="00255D88" w:rsidRPr="00C53FBF">
        <w:t>,</w:t>
      </w:r>
      <w:r w:rsidRPr="00C53FBF">
        <w:t xml:space="preserve"> 2023: 550). V roce 2022 splňovalo dohodnutá dvě procenta HDP pouze pět evropských členů NATO (NATO, 2023). Generální tajemník NATO Jens Stoltenberg uvedl: </w:t>
      </w:r>
      <w:r w:rsidRPr="00C53FBF">
        <w:rPr>
          <w:i/>
        </w:rPr>
        <w:t xml:space="preserve">„V roce 2024 budou spojenci NATO v Evropě investovat do obrany dohromady 380 miliard amerických dolarů. Poprvé to činí 2 % jejich společného HDP. Dosahujeme skutečného pokroku: Evropští spojenci vynakládají více prostředků. Někteří spojenci však mají před sebou ještě kus cesty. Na summitu ve Vilniusu jsme se totiž dohodli, že všichni spojenci by měli investovat 2 %, a tato 2 % jsou minimem." </w:t>
      </w:r>
      <w:r w:rsidR="00231E87" w:rsidRPr="00C53FBF">
        <w:t>Podle Stoltenberga by mělo</w:t>
      </w:r>
      <w:r w:rsidRPr="00C53FBF">
        <w:t xml:space="preserve"> dvouprocentní hranic</w:t>
      </w:r>
      <w:r w:rsidR="00231E87" w:rsidRPr="00C53FBF">
        <w:t>e</w:t>
      </w:r>
      <w:r w:rsidRPr="00C53FBF">
        <w:t xml:space="preserve"> dosáhnout až 18 členských států Aliance (NATO, 2024).</w:t>
      </w:r>
    </w:p>
    <w:p w:rsidR="005450A8" w:rsidRPr="00C53FBF" w:rsidRDefault="003B4808" w:rsidP="002B3844">
      <w:pPr>
        <w:spacing w:before="240" w:after="240"/>
      </w:pPr>
      <w:r w:rsidRPr="00C53FBF">
        <w:t xml:space="preserve">Z výše zmíněného si lze všimnout, že ruský útok způsobil nárůst obranných rozpočtů evropských států. Pomoc Ukrajině se po únoru 2022 také </w:t>
      </w:r>
      <w:r w:rsidR="00A71308" w:rsidRPr="00C53FBF">
        <w:t>navýšila</w:t>
      </w:r>
      <w:r w:rsidRPr="00C53FBF">
        <w:t xml:space="preserve">, což ve své studii zmiňuje i Lanoszka a Becker </w:t>
      </w:r>
      <w:r w:rsidR="006D616A" w:rsidRPr="00C53FBF">
        <w:t xml:space="preserve">(2023: 174), </w:t>
      </w:r>
      <w:r w:rsidRPr="00C53FBF">
        <w:t xml:space="preserve">kde analyzovali faktory, které stojí za vojenskou podporou Ukrajině. Konkrétně uvádí: </w:t>
      </w:r>
      <w:r w:rsidRPr="00C53FBF">
        <w:rPr>
          <w:i/>
        </w:rPr>
        <w:t>„V měsících poté, co Rusko v únoru 2022 zahájilo svou rozsáhlou invazi, byla jedinou proměnnou, která pozitivně korelovala s vojenskou podporou, předchozí příprava země v podobě investic do vojenské připravenosti a infrastruktury: sklon států vojensky pomoci Ukrajině v roce 2022 do značné míry závisela na jejich předchozích investicích do vojenské připravenosti a infrastruktury.“</w:t>
      </w:r>
      <w:r w:rsidRPr="00C53FBF">
        <w:t xml:space="preserve">  Jelikož se ve své práci zabývám celkovou podporou (nejen vojenskou) Ukrajiny</w:t>
      </w:r>
      <w:r w:rsidR="008C4F84" w:rsidRPr="00C53FBF">
        <w:t>,</w:t>
      </w:r>
      <w:r w:rsidRPr="00C53FBF">
        <w:t xml:space="preserve"> následující hypotéza bude znít: </w:t>
      </w:r>
      <w:r w:rsidRPr="00C53FBF">
        <w:rPr>
          <w:i/>
        </w:rPr>
        <w:t>H4: „Státy s vyšším obranným rozpočtem vůči HDP budou více podporovat Ukrajinu.“</w:t>
      </w:r>
      <w:r w:rsidR="009E65F7" w:rsidRPr="00C53FBF">
        <w:t xml:space="preserve"> Předpokladem </w:t>
      </w:r>
      <w:r w:rsidRPr="00C53FBF">
        <w:t>čtvrté hypoté</w:t>
      </w:r>
      <w:r w:rsidR="009E65F7" w:rsidRPr="00C53FBF">
        <w:t>ze je, že připravené státy mohly</w:t>
      </w:r>
      <w:r w:rsidRPr="00C53FBF">
        <w:t xml:space="preserve"> mimo finanční či humanitární pomoc</w:t>
      </w:r>
      <w:r w:rsidR="009E65F7" w:rsidRPr="00C53FBF">
        <w:t>i</w:t>
      </w:r>
      <w:r w:rsidRPr="00C53FBF">
        <w:t xml:space="preserve"> poskytnout </w:t>
      </w:r>
      <w:r w:rsidR="009E65F7" w:rsidRPr="00C53FBF">
        <w:lastRenderedPageBreak/>
        <w:t xml:space="preserve">i vojenskou pomoc </w:t>
      </w:r>
      <w:r w:rsidRPr="00C53FBF">
        <w:t>nejen rychle, ale také v delším časovém intervalu než státy, kte</w:t>
      </w:r>
      <w:r w:rsidR="005450A8" w:rsidRPr="00C53FBF">
        <w:t>ré na válku reagoval</w:t>
      </w:r>
      <w:r w:rsidR="009E65F7" w:rsidRPr="00C53FBF">
        <w:t>y</w:t>
      </w:r>
      <w:r w:rsidR="006C5DAE" w:rsidRPr="00C53FBF">
        <w:t xml:space="preserve"> dodatečně.</w:t>
      </w:r>
    </w:p>
    <w:p w:rsidR="003B4808" w:rsidRPr="00C53FBF" w:rsidRDefault="00FD13CA" w:rsidP="002B3844">
      <w:pPr>
        <w:pStyle w:val="Nadpis2"/>
        <w:spacing w:before="240" w:after="240"/>
        <w:ind w:firstLine="0"/>
        <w:jc w:val="left"/>
        <w:rPr>
          <w:rFonts w:ascii="Times New Roman" w:hAnsi="Times New Roman" w:cs="Times New Roman"/>
          <w:b/>
          <w:color w:val="auto"/>
          <w:sz w:val="28"/>
          <w:szCs w:val="24"/>
        </w:rPr>
      </w:pPr>
      <w:bookmarkStart w:id="17" w:name="_Toc164767387"/>
      <w:bookmarkStart w:id="18" w:name="_Toc164808703"/>
      <w:r>
        <w:rPr>
          <w:rFonts w:ascii="Times New Roman" w:hAnsi="Times New Roman" w:cs="Times New Roman"/>
          <w:b/>
          <w:color w:val="auto"/>
          <w:sz w:val="28"/>
          <w:szCs w:val="24"/>
        </w:rPr>
        <w:t xml:space="preserve">3. 5. </w:t>
      </w:r>
      <w:r w:rsidR="003B4808" w:rsidRPr="00C53FBF">
        <w:rPr>
          <w:rFonts w:ascii="Times New Roman" w:hAnsi="Times New Roman" w:cs="Times New Roman"/>
          <w:b/>
          <w:color w:val="auto"/>
          <w:sz w:val="28"/>
          <w:szCs w:val="24"/>
        </w:rPr>
        <w:t>Geografická vzdálenost a obchod</w:t>
      </w:r>
      <w:bookmarkEnd w:id="17"/>
      <w:bookmarkEnd w:id="18"/>
    </w:p>
    <w:p w:rsidR="003B4808" w:rsidRPr="00C53FBF" w:rsidRDefault="003B4808" w:rsidP="002B3844">
      <w:pPr>
        <w:spacing w:before="240" w:after="240"/>
        <w:ind w:firstLine="0"/>
      </w:pPr>
      <w:r w:rsidRPr="00C53FBF">
        <w:t xml:space="preserve">V Evropě se konflikt podobný tomu rusko-ukrajinskému neodehrával od druhé světové války. </w:t>
      </w:r>
      <w:r w:rsidRPr="00013345">
        <w:t>Ve světě se však konfliktů</w:t>
      </w:r>
      <w:r w:rsidR="00013345" w:rsidRPr="00013345">
        <w:t xml:space="preserve"> konalo</w:t>
      </w:r>
      <w:r w:rsidRPr="00013345">
        <w:t xml:space="preserve"> za posledních téměř 80 let dost na to, aby je vědci mohli zkoumat. Ať už </w:t>
      </w:r>
      <w:r w:rsidR="00013345">
        <w:t>šlo</w:t>
      </w:r>
      <w:r w:rsidRPr="00013345">
        <w:t xml:space="preserve"> o tzv. zástupných </w:t>
      </w:r>
      <w:r w:rsidRPr="00C53FBF">
        <w:t>konfliktech v rámci studené války, bojů za nezávislost nebo americké nasazení jednotek v Iráku či Afghánistánu v rámci Bushovi „War on Terror“. Vědci tak mohli zkoumat a pozo</w:t>
      </w:r>
      <w:r w:rsidR="0049404D" w:rsidRPr="00C53FBF">
        <w:t>rovat, které faktory zapříčinily</w:t>
      </w:r>
      <w:r w:rsidRPr="00C53FBF">
        <w:t xml:space="preserve"> vznik konfliktu,</w:t>
      </w:r>
      <w:r w:rsidR="0049404D" w:rsidRPr="00C53FBF">
        <w:t xml:space="preserve"> které způsobily</w:t>
      </w:r>
      <w:r w:rsidR="00013345">
        <w:t xml:space="preserve"> vygradování </w:t>
      </w:r>
      <w:r w:rsidRPr="00C53FBF">
        <w:t>do ostrých bojů nebo proč některé konflikty trvaly i několik let.</w:t>
      </w:r>
    </w:p>
    <w:p w:rsidR="003B4808" w:rsidRPr="00C53FBF" w:rsidRDefault="003B4808" w:rsidP="002B3844">
      <w:pPr>
        <w:spacing w:before="240" w:after="240"/>
      </w:pPr>
      <w:r w:rsidRPr="00C53FBF">
        <w:t>Jedním ze zkoumaných faktorů je geografická blízkost, ať už konfliktu samotného nebo válčících či třetích stran. Geografická poloha totiž bývá často uváděna jako důležitý faktor (Sense</w:t>
      </w:r>
      <w:r w:rsidR="00324A1E" w:rsidRPr="00C53FBF">
        <w:t>,</w:t>
      </w:r>
      <w:r w:rsidRPr="00C53FBF">
        <w:t xml:space="preserve"> 1996: 136). Stát musí konfliktu v jeho blízkosti nutně věnovat pozornost – bližší problémy pro něj znamenají větší hrozbu. Čím dále je stát od konfliktu, tím více ztrácí zájem o potenciální angažování se (ztráta příležitosti a ochoty)</w:t>
      </w:r>
      <w:r w:rsidR="00013345">
        <w:t xml:space="preserve"> </w:t>
      </w:r>
      <w:r w:rsidRPr="00C53FBF">
        <w:t>(Joyce &amp; Braithwaite</w:t>
      </w:r>
      <w:r w:rsidR="00324A1E" w:rsidRPr="00C53FBF">
        <w:t>,</w:t>
      </w:r>
      <w:r w:rsidRPr="00C53FBF">
        <w:t xml:space="preserve"> 2013: 598; Senese</w:t>
      </w:r>
      <w:r w:rsidR="00324A1E" w:rsidRPr="00C53FBF">
        <w:t>,</w:t>
      </w:r>
      <w:r w:rsidRPr="00C53FBF">
        <w:t xml:space="preserve"> 1996: 133-134). Navíc státy s rostoucí vzdáleností ztrácejí </w:t>
      </w:r>
      <w:r w:rsidR="009F4C7E" w:rsidRPr="00C53FBF">
        <w:t>schopnost projektovat svou sílu.</w:t>
      </w:r>
      <w:r w:rsidRPr="00C53FBF">
        <w:t xml:space="preserve"> Největší vliv mají státy uvnitř svých hranic. Dále od svých hranic svou moc postupně ztrácejí. Oblast, ve které má stát převahu síly, se nazývá sféra vlivu. S technologickými pokroky se však tento předpoklad jeví jako stále méně relevantní, ale rozhodně nelze mluvit o tom, že by relevantní nebyl. Udržovat konflikt na delší vzdálenost je finančně náročnější. Bližší země mají více územních sporů (např. kvůli zdrojům) a celkově mezi nimi probíhá větší interakce vč. obchodu mezi státy </w:t>
      </w:r>
      <w:r w:rsidR="009F4C7E" w:rsidRPr="00C53FBF">
        <w:t xml:space="preserve">(Pickering, 2012: 426-427; </w:t>
      </w:r>
      <w:r w:rsidRPr="00C53FBF">
        <w:t>Robst et al.</w:t>
      </w:r>
      <w:r w:rsidR="009F4C7E" w:rsidRPr="00C53FBF">
        <w:t>,</w:t>
      </w:r>
      <w:r w:rsidRPr="00C53FBF">
        <w:t xml:space="preserve"> 2007: 1-2).</w:t>
      </w:r>
    </w:p>
    <w:p w:rsidR="003B4808" w:rsidRPr="00C53FBF" w:rsidRDefault="00E6241D" w:rsidP="002B3844">
      <w:pPr>
        <w:spacing w:before="240" w:after="240"/>
      </w:pPr>
      <w:r>
        <w:t>P</w:t>
      </w:r>
      <w:r w:rsidR="003B4808" w:rsidRPr="00C53FBF">
        <w:t>odle neoliberálního přístupy by státy, které jsou na sobě ekonomicky závislé, měly konfliktu předcházet, kvůli vzájemné závislosti, což je v rozporu s výše popsaným pozorováním akademiků. Robst et al. (2007: 21-22) ve svém článku uvádí, že státy, které mají mezi sebou silné ekonomické vazby, spolu válčí méně, přičemž však zdůraznil, že státy, které jsou si geograficky blíže, tak mají mezi sebou více jak obchodních styků, tak ale také více sporů. Keshk er al. (2010) navíc ve své studii uvedli, že neoliberální přístup je v otázce konfliktů a obchodu značně omezený, jelikož se často ignoruje možnost vlivu konfliktu na obchod – obchod má vliv na konflikt, ale také konflikt na obchod.</w:t>
      </w:r>
    </w:p>
    <w:p w:rsidR="00414BC5" w:rsidRPr="000C04AF" w:rsidRDefault="009F4C7E" w:rsidP="002B3844">
      <w:pPr>
        <w:spacing w:before="240" w:after="240"/>
        <w:ind w:firstLine="0"/>
        <w:rPr>
          <w:i/>
        </w:rPr>
      </w:pPr>
      <w:r w:rsidRPr="00C53FBF">
        <w:tab/>
        <w:t>Ve své práci testuji</w:t>
      </w:r>
      <w:r w:rsidR="003B4808" w:rsidRPr="00C53FBF">
        <w:t xml:space="preserve"> vliv geografické vzdálenosti</w:t>
      </w:r>
      <w:r w:rsidR="00596EFB" w:rsidRPr="00C53FBF">
        <w:t xml:space="preserve"> a obchodu na podporu Ukrajiny a z </w:t>
      </w:r>
      <w:r w:rsidR="003B4808" w:rsidRPr="00C53FBF">
        <w:t xml:space="preserve">výše uvedeného vzejdou hned dvě hypotézy. První hypotéza vychází přímo z článku Joyce &amp; </w:t>
      </w:r>
      <w:r w:rsidR="003B4808" w:rsidRPr="00C53FBF">
        <w:lastRenderedPageBreak/>
        <w:t xml:space="preserve">Braithwaite (2013), kde navrhují, aby se budoucí výzkum věnoval zapojení třetích stran do konfliktu při zvážení dalších </w:t>
      </w:r>
      <w:r w:rsidR="00B826DD" w:rsidRPr="00C53FBF">
        <w:t>faktorů</w:t>
      </w:r>
      <w:r w:rsidR="003B4808" w:rsidRPr="00C53FBF">
        <w:t xml:space="preserve"> mj. ekonomických vazeb. V článku pak testují hypotézu </w:t>
      </w:r>
      <w:r w:rsidR="003B4808" w:rsidRPr="00C53FBF">
        <w:rPr>
          <w:i/>
        </w:rPr>
        <w:t>„Pravděpodobnost, že se stát zapojí do probíhajícího konfliktu, klesá s rostoucí vzdáleností od místa konfliktu.“</w:t>
      </w:r>
      <w:r w:rsidR="003B4808" w:rsidRPr="00C53FBF">
        <w:t xml:space="preserve"> Jelikož se však tato práce zabývá podporou Ukrajiny, má hypotéza bude znít následovně: </w:t>
      </w:r>
      <w:r w:rsidR="003B4808" w:rsidRPr="00C53FBF">
        <w:rPr>
          <w:i/>
        </w:rPr>
        <w:t>H5: „</w:t>
      </w:r>
      <w:r w:rsidR="00177B47">
        <w:rPr>
          <w:i/>
        </w:rPr>
        <w:t>Státy budou</w:t>
      </w:r>
      <w:r w:rsidR="00A72D86">
        <w:rPr>
          <w:i/>
        </w:rPr>
        <w:t xml:space="preserve"> </w:t>
      </w:r>
      <w:r w:rsidR="00A72D86" w:rsidRPr="00C53FBF">
        <w:rPr>
          <w:i/>
        </w:rPr>
        <w:t>s rostoucí vzdáleností</w:t>
      </w:r>
      <w:r w:rsidR="00177B47">
        <w:rPr>
          <w:i/>
        </w:rPr>
        <w:t xml:space="preserve"> podporovat Ukrajinu</w:t>
      </w:r>
      <w:r w:rsidR="003B4808" w:rsidRPr="00C53FBF">
        <w:rPr>
          <w:i/>
        </w:rPr>
        <w:t xml:space="preserve"> </w:t>
      </w:r>
      <w:r w:rsidR="00177B47">
        <w:rPr>
          <w:i/>
        </w:rPr>
        <w:t>méně</w:t>
      </w:r>
      <w:r w:rsidR="003B4808" w:rsidRPr="00C53FBF">
        <w:rPr>
          <w:i/>
        </w:rPr>
        <w:t>.“</w:t>
      </w:r>
      <w:r w:rsidR="00177B47">
        <w:t xml:space="preserve"> </w:t>
      </w:r>
      <w:r w:rsidR="00762995" w:rsidRPr="00C53FBF">
        <w:t>Šestá hypotéza má</w:t>
      </w:r>
      <w:r w:rsidR="0049404D" w:rsidRPr="00C53FBF">
        <w:t xml:space="preserve"> pak</w:t>
      </w:r>
      <w:r w:rsidR="00762995" w:rsidRPr="00C53FBF">
        <w:t xml:space="preserve"> následující znění: </w:t>
      </w:r>
      <w:r w:rsidR="00762995" w:rsidRPr="00C53FBF">
        <w:rPr>
          <w:i/>
        </w:rPr>
        <w:t>H6: „Státy s v</w:t>
      </w:r>
      <w:r w:rsidR="00D849FB" w:rsidRPr="00C53FBF">
        <w:rPr>
          <w:i/>
        </w:rPr>
        <w:t>yš</w:t>
      </w:r>
      <w:r w:rsidR="00762995" w:rsidRPr="00C53FBF">
        <w:rPr>
          <w:i/>
        </w:rPr>
        <w:t>ším exportem do Ruska budou Ukrajinu podporovat méně.“</w:t>
      </w:r>
    </w:p>
    <w:p w:rsidR="008F4F04" w:rsidRPr="00C53FBF" w:rsidRDefault="00FD13CA" w:rsidP="002B3844">
      <w:pPr>
        <w:pStyle w:val="Nadpis2"/>
        <w:spacing w:before="240" w:after="240"/>
        <w:ind w:firstLine="0"/>
        <w:jc w:val="left"/>
        <w:rPr>
          <w:rFonts w:ascii="Times New Roman" w:hAnsi="Times New Roman" w:cs="Times New Roman"/>
          <w:b/>
          <w:color w:val="auto"/>
          <w:sz w:val="28"/>
          <w:szCs w:val="24"/>
        </w:rPr>
      </w:pPr>
      <w:bookmarkStart w:id="19" w:name="_Toc164767388"/>
      <w:bookmarkStart w:id="20" w:name="_Toc164808704"/>
      <w:r>
        <w:rPr>
          <w:rFonts w:ascii="Times New Roman" w:hAnsi="Times New Roman" w:cs="Times New Roman"/>
          <w:b/>
          <w:color w:val="auto"/>
          <w:sz w:val="28"/>
          <w:szCs w:val="24"/>
        </w:rPr>
        <w:t xml:space="preserve">3. 6. </w:t>
      </w:r>
      <w:r w:rsidR="000B6E17" w:rsidRPr="00C53FBF">
        <w:rPr>
          <w:rFonts w:ascii="Times New Roman" w:hAnsi="Times New Roman" w:cs="Times New Roman"/>
          <w:b/>
          <w:color w:val="auto"/>
          <w:sz w:val="28"/>
          <w:szCs w:val="24"/>
        </w:rPr>
        <w:t>P</w:t>
      </w:r>
      <w:r w:rsidR="00B52D6D" w:rsidRPr="00C53FBF">
        <w:rPr>
          <w:rFonts w:ascii="Times New Roman" w:hAnsi="Times New Roman" w:cs="Times New Roman"/>
          <w:b/>
          <w:color w:val="auto"/>
          <w:sz w:val="28"/>
          <w:szCs w:val="24"/>
        </w:rPr>
        <w:t>opulisté</w:t>
      </w:r>
      <w:r w:rsidR="008F4F04" w:rsidRPr="00C53FBF">
        <w:rPr>
          <w:rFonts w:ascii="Times New Roman" w:hAnsi="Times New Roman" w:cs="Times New Roman"/>
          <w:b/>
          <w:color w:val="auto"/>
          <w:sz w:val="28"/>
          <w:szCs w:val="24"/>
        </w:rPr>
        <w:t xml:space="preserve"> ve vládě</w:t>
      </w:r>
      <w:bookmarkEnd w:id="19"/>
      <w:bookmarkEnd w:id="20"/>
    </w:p>
    <w:p w:rsidR="00BB00ED" w:rsidRPr="002C3C4A" w:rsidRDefault="00013345" w:rsidP="002B3844">
      <w:pPr>
        <w:spacing w:before="240" w:after="240"/>
        <w:ind w:firstLine="0"/>
      </w:pPr>
      <w:r>
        <w:t xml:space="preserve">V politologii často </w:t>
      </w:r>
      <w:r w:rsidR="008F4F04" w:rsidRPr="00C53FBF">
        <w:t xml:space="preserve">diskutovaným konceptem je populismus, byť se jedná o koncept poměrně sporný. Naprosto klíčové je populismus vhodně konceptualizovat a nezaměňovat ho se souvisejícími koncepty, jakými jsou třeba nacionalismus či xenofobie. Plagemann a Destradi (2018: 2) si všímají, že populismus mnohdy reaguje na prvky globalizace nebo vlivu mezinárodních institucí a upozorňují na poměrně málo prostudovanou oblast, kterou je zahraniční politika populistických vlád/vůdců. Jeho dopad lze tedy pozorovat také v zahraničněpolitickém kontextu. </w:t>
      </w:r>
      <w:r>
        <w:t>Lze zmínit</w:t>
      </w:r>
      <w:r w:rsidR="008F4F04" w:rsidRPr="00C53FBF">
        <w:rPr>
          <w:color w:val="FFC000"/>
        </w:rPr>
        <w:t xml:space="preserve"> </w:t>
      </w:r>
      <w:r w:rsidR="008F4F04" w:rsidRPr="00C53FBF">
        <w:t xml:space="preserve">USA za Donalda Trumpa, Spojené království v souvislosti s brexitem nebo v případě evropských států časté zpochybnění liberálních hodnot EU („eurorealisté“). Populismus se </w:t>
      </w:r>
      <w:r w:rsidR="008F4F04" w:rsidRPr="002C3C4A">
        <w:t xml:space="preserve">však netýká pouze západních států, nýbrž jej </w:t>
      </w:r>
      <w:r w:rsidR="003C7BB9" w:rsidRPr="002C3C4A">
        <w:t>lze</w:t>
      </w:r>
      <w:r w:rsidR="008F4F04" w:rsidRPr="002C3C4A">
        <w:t xml:space="preserve"> pozorovat také </w:t>
      </w:r>
      <w:r w:rsidR="002C3C4A">
        <w:t>v Latinské Americe. N</w:t>
      </w:r>
      <w:r w:rsidR="002C3C4A" w:rsidRPr="002C3C4A">
        <w:t>apř.</w:t>
      </w:r>
      <w:r w:rsidR="008F4F04" w:rsidRPr="002C3C4A">
        <w:t xml:space="preserve"> argentinsk</w:t>
      </w:r>
      <w:r w:rsidR="002C3C4A" w:rsidRPr="002C3C4A">
        <w:t>ý prezident Juan Perón</w:t>
      </w:r>
      <w:r w:rsidR="008F4F04" w:rsidRPr="002C3C4A">
        <w:t>, který se stal prezidentem již v roce 1946</w:t>
      </w:r>
      <w:r w:rsidR="002C3C4A" w:rsidRPr="002C3C4A">
        <w:t>, nebo Getúlio</w:t>
      </w:r>
      <w:r w:rsidR="008F4F04" w:rsidRPr="002C3C4A">
        <w:t xml:space="preserve"> Vargas, který </w:t>
      </w:r>
      <w:r w:rsidR="00BB00ED" w:rsidRPr="002C3C4A">
        <w:t xml:space="preserve">Brazílii vládl </w:t>
      </w:r>
      <w:r w:rsidR="00E256BC" w:rsidRPr="002C3C4A">
        <w:t>u</w:t>
      </w:r>
      <w:r w:rsidR="00BB00ED" w:rsidRPr="002C3C4A">
        <w:t>ž od roku</w:t>
      </w:r>
      <w:r w:rsidR="008F4F04" w:rsidRPr="002C3C4A">
        <w:t xml:space="preserve"> 1930. V 21. století lze zmínit venezuelského prezidenta Huga Cháveze (Wehner &amp; Thies</w:t>
      </w:r>
      <w:r w:rsidR="003C7BB9" w:rsidRPr="002C3C4A">
        <w:t>,</w:t>
      </w:r>
      <w:r w:rsidR="008F4F04" w:rsidRPr="002C3C4A">
        <w:t xml:space="preserve"> 2020: 2-3). </w:t>
      </w:r>
    </w:p>
    <w:p w:rsidR="0093072D" w:rsidRPr="00C53FBF" w:rsidRDefault="008F4F04" w:rsidP="002B3844">
      <w:pPr>
        <w:spacing w:before="240" w:after="240"/>
        <w:ind w:firstLine="708"/>
      </w:pPr>
      <w:r w:rsidRPr="002C3C4A">
        <w:t xml:space="preserve">Jenne (2021: 1-2) si všímá, že narůstá počet populisticko-nacionalistických </w:t>
      </w:r>
      <w:r w:rsidRPr="00C53FBF">
        <w:t xml:space="preserve">hlav států (Trump, Bolsonaro, Babiš, Orbán, Módí), kteří chtějí udělat svou zemi „znovu skvělou“. Je důležité vnímat odlišné postavení států v mezinárodním prostředí a různých kontextů, ve kterých je zahraniční politika </w:t>
      </w:r>
      <w:r w:rsidR="00390098" w:rsidRPr="00390098">
        <w:t>vy</w:t>
      </w:r>
      <w:r w:rsidRPr="00390098">
        <w:t>koná</w:t>
      </w:r>
      <w:r w:rsidR="00390098" w:rsidRPr="00390098">
        <w:t>vá</w:t>
      </w:r>
      <w:r w:rsidRPr="00390098">
        <w:t xml:space="preserve">na. </w:t>
      </w:r>
      <w:r w:rsidR="00E256BC" w:rsidRPr="00390098">
        <w:t xml:space="preserve">Obvykle </w:t>
      </w:r>
      <w:r w:rsidRPr="00C53FBF">
        <w:t>literat</w:t>
      </w:r>
      <w:r w:rsidR="003C7BB9" w:rsidRPr="00C53FBF">
        <w:t>ura</w:t>
      </w:r>
      <w:r w:rsidR="00E256BC" w:rsidRPr="00C53FBF">
        <w:t xml:space="preserve"> popisuje</w:t>
      </w:r>
      <w:r w:rsidRPr="00C53FBF">
        <w:t xml:space="preserve"> mezinárodní rozměr populismu jako antidemokratický či antikosmopolitní. Populisté chtějí „ochránit“ prostý lid před hrozbami globalizace a nadnárodních institucí (OSN, EU aj.). Často jsou populističtí vůdci označení za hrozbu pro evropské hodnoty (pravicoví populisté v Evropě), světový řád (Trump) a</w:t>
      </w:r>
      <w:r w:rsidR="00094145" w:rsidRPr="00C53FBF">
        <w:t>td</w:t>
      </w:r>
      <w:r w:rsidRPr="00C53FBF">
        <w:t xml:space="preserve">. Opomíjí se </w:t>
      </w:r>
      <w:r w:rsidR="0093072D" w:rsidRPr="00C53FBF">
        <w:t>ale</w:t>
      </w:r>
      <w:r w:rsidRPr="00C53FBF">
        <w:t xml:space="preserve"> rozmanitost populistických zahraničních politik.</w:t>
      </w:r>
      <w:r w:rsidR="00E256BC" w:rsidRPr="00C53FBF">
        <w:t xml:space="preserve"> </w:t>
      </w:r>
      <w:r w:rsidRPr="00C53FBF">
        <w:t xml:space="preserve">Wehner a Thies (2020) ve svém článku, kde analyzovali zahraniční politiku a populismus latinskoamerických států, prokazují, že nelze pozorovat pouze jeden typ populistické zahraniční politiky a zároveň nelze hovořit o tom, že by byl vždy antidemokratický (proti liberálnímu řádu). </w:t>
      </w:r>
      <w:r w:rsidR="004A6C1F" w:rsidRPr="00C53FBF">
        <w:t>O</w:t>
      </w:r>
      <w:r w:rsidRPr="00C53FBF">
        <w:t>pírali</w:t>
      </w:r>
      <w:r w:rsidR="004A6C1F" w:rsidRPr="00C53FBF">
        <w:t xml:space="preserve"> se</w:t>
      </w:r>
      <w:r w:rsidRPr="00C53FBF">
        <w:t xml:space="preserve"> o ideové pojetí populismu. </w:t>
      </w:r>
      <w:r w:rsidR="004A6C1F" w:rsidRPr="00C53FBF">
        <w:t>Pracují t</w:t>
      </w:r>
      <w:r w:rsidRPr="00C53FBF">
        <w:t xml:space="preserve">edy s následujícími dimenzemi: antielitářství (obvykle politická a </w:t>
      </w:r>
      <w:r w:rsidRPr="00C53FBF">
        <w:lastRenderedPageBreak/>
        <w:t xml:space="preserve">ekonomická elita státu), lid (jako suverén nebo identifikace národa (prostý lid) ve vymezení se proti elitám) a obecnou vůlí (vůdce ví, co lid žádá a co si zaslouží). Projevuje se vyvoláním či zesilováním již existujících emocí vůči vnitřnímu (elitám) nebo vnějšímu nepříteli (nadnárodní elita či konkrétní stát). Na tyto dimenze odkazuje populistický vůdce bez ohledu na to, jaký model výzkumník zvolí. </w:t>
      </w:r>
    </w:p>
    <w:p w:rsidR="008F4F04" w:rsidRPr="00C53FBF" w:rsidRDefault="008F4F04" w:rsidP="002B3844">
      <w:pPr>
        <w:spacing w:before="240" w:after="240"/>
        <w:ind w:firstLine="708"/>
      </w:pPr>
      <w:r w:rsidRPr="00C53FBF">
        <w:t xml:space="preserve">Jenne (2021) tvrdí, že jak populismus, tak nacionalismus jsou součástí širší doktríny – suverenismu. Podle suverenismu mají komunity (lid nebo národ) přednost jak v domácí, tak zahraniční politice. V kontextu krizí pak suverenismus přitahuje podporu skupin, které se cítí být ohroženy nepřátelskými </w:t>
      </w:r>
      <w:r w:rsidRPr="00013345">
        <w:t xml:space="preserve">silami, ať už uvnitř, nebo vně státu. Populističtí </w:t>
      </w:r>
      <w:r w:rsidRPr="00C53FBF">
        <w:t xml:space="preserve">vůdci pak hodlají takovou skupinu chránit a sjednat revizionistickou zahraniční politiku, která bude sloužit lidu. Wojczewski (2019) také poukazuje na to, že populismus pracuje s dichotomií „lid“ vs. „elita“ a </w:t>
      </w:r>
      <w:r w:rsidR="00E256BC" w:rsidRPr="00C53FBF">
        <w:t>potvrzuje, že</w:t>
      </w:r>
      <w:r w:rsidRPr="00C53FBF">
        <w:t xml:space="preserve"> v zahraničněpolitickém kontextu jde především o suverenitu. Populisté se pak vykreslují jako „skuteční zástupci lidu“.  </w:t>
      </w:r>
    </w:p>
    <w:p w:rsidR="0004118A" w:rsidRPr="000C04AF" w:rsidRDefault="008F4F04" w:rsidP="002B3844">
      <w:pPr>
        <w:spacing w:before="240" w:after="240"/>
        <w:rPr>
          <w:i/>
        </w:rPr>
      </w:pPr>
      <w:r w:rsidRPr="00C53FBF">
        <w:t xml:space="preserve">Rusko-ukrajinská válka nepochybně takovou krizi představuje. Politici mají možnost ji využít a zaujmout </w:t>
      </w:r>
      <w:r w:rsidR="00E256BC" w:rsidRPr="00C53FBF">
        <w:t xml:space="preserve">takovou </w:t>
      </w:r>
      <w:r w:rsidRPr="00C53FBF">
        <w:t>pozici, kdy budou „chránit“ obyvatele tím, že nebudou konflikt dále eskalovat. Nepochybně nelze hovořit o tom, že každý, kdo nesouhlasí s podporou bránící se země je populista (obava z </w:t>
      </w:r>
      <w:r w:rsidRPr="00013345">
        <w:t>eskalace je legitimní), ale válečný konflikt populistům nabízí optimální zahraničněpolitickou krizi, kterou mohou využít, ba zneuží</w:t>
      </w:r>
      <w:r w:rsidR="00E256BC" w:rsidRPr="00013345">
        <w:t xml:space="preserve">t ve </w:t>
      </w:r>
      <w:r w:rsidR="00E256BC" w:rsidRPr="00C53FBF">
        <w:t xml:space="preserve">svůj prospěch ve volbách. Svými výroky staví realitu na pouhá dvě (značně zjednodušující) řešení: </w:t>
      </w:r>
      <w:r w:rsidR="00E256BC" w:rsidRPr="00C53FBF">
        <w:rPr>
          <w:i/>
        </w:rPr>
        <w:t>„buď chcete mír, nebo válčit.“</w:t>
      </w:r>
      <w:r w:rsidR="00E256BC" w:rsidRPr="00C53FBF">
        <w:t xml:space="preserve"> Tímto je možné </w:t>
      </w:r>
      <w:r w:rsidR="006F30AE" w:rsidRPr="00C53FBF">
        <w:t>zaujmout pozici „my“ proti „nim“ a vymezit se ať už proti opozici (v případě, že jsou u moci), nebo proti vládnoucí garnituře</w:t>
      </w:r>
      <w:r w:rsidR="00F36938" w:rsidRPr="00C53FBF">
        <w:t xml:space="preserve"> (antielitářství)</w:t>
      </w:r>
      <w:r w:rsidR="006F30AE" w:rsidRPr="00C53FBF">
        <w:t xml:space="preserve">. Platí tedy všechny tři výše zmíněné dimenze (antielitářství, lid, obecná vůle), a také suverinismus, kdy populisté mohou tvrdit, že národní zájmy (lid) doplácí na podporu Ukrajiny </w:t>
      </w:r>
      <w:r w:rsidR="0093072D" w:rsidRPr="00C53FBF">
        <w:t>a poskytnuté prostředky se mohly</w:t>
      </w:r>
      <w:r w:rsidR="006F30AE" w:rsidRPr="00C53FBF">
        <w:t xml:space="preserve"> </w:t>
      </w:r>
      <w:r w:rsidR="006F30AE" w:rsidRPr="00013345">
        <w:t xml:space="preserve">investovat do </w:t>
      </w:r>
      <w:r w:rsidR="00C4156B" w:rsidRPr="00013345">
        <w:t>„svých“ obyvatel</w:t>
      </w:r>
      <w:r w:rsidR="006F30AE" w:rsidRPr="00013345">
        <w:t xml:space="preserve">. </w:t>
      </w:r>
      <w:r w:rsidR="0093072D" w:rsidRPr="00013345">
        <w:t>Poslední</w:t>
      </w:r>
      <w:r w:rsidR="00C4156B" w:rsidRPr="00013345">
        <w:t xml:space="preserve"> </w:t>
      </w:r>
      <w:r w:rsidR="006F30AE" w:rsidRPr="00C53FBF">
        <w:t xml:space="preserve">hypotéza této práci tedy zní: </w:t>
      </w:r>
      <w:r w:rsidR="006F30AE" w:rsidRPr="00C53FBF">
        <w:rPr>
          <w:i/>
        </w:rPr>
        <w:t xml:space="preserve">H7: </w:t>
      </w:r>
      <w:r w:rsidR="0093072D" w:rsidRPr="00C53FBF">
        <w:rPr>
          <w:i/>
        </w:rPr>
        <w:t>„</w:t>
      </w:r>
      <w:r w:rsidR="006F30AE" w:rsidRPr="00C53FBF">
        <w:rPr>
          <w:i/>
        </w:rPr>
        <w:t>Státy s větším podílem populistů ve vládě, budou Ukrajinu méně podporovat.</w:t>
      </w:r>
      <w:r w:rsidR="0093072D" w:rsidRPr="00C53FBF">
        <w:rPr>
          <w:i/>
        </w:rPr>
        <w:t>“</w:t>
      </w:r>
    </w:p>
    <w:p w:rsidR="001C7CD7" w:rsidRPr="00C53FBF" w:rsidRDefault="00FD13CA" w:rsidP="002B3844">
      <w:pPr>
        <w:pStyle w:val="Nadpis1"/>
        <w:spacing w:after="240"/>
        <w:ind w:firstLine="0"/>
        <w:jc w:val="left"/>
        <w:rPr>
          <w:rStyle w:val="Nadpis1Char"/>
          <w:rFonts w:ascii="Times New Roman" w:hAnsi="Times New Roman" w:cs="Times New Roman"/>
          <w:b/>
          <w:color w:val="auto"/>
        </w:rPr>
      </w:pPr>
      <w:bookmarkStart w:id="21" w:name="_Toc164767389"/>
      <w:bookmarkStart w:id="22" w:name="_Toc164808705"/>
      <w:r>
        <w:rPr>
          <w:rFonts w:ascii="Times New Roman" w:hAnsi="Times New Roman" w:cs="Times New Roman"/>
          <w:b/>
          <w:color w:val="auto"/>
        </w:rPr>
        <w:t xml:space="preserve">4. </w:t>
      </w:r>
      <w:r w:rsidR="001C7CD7" w:rsidRPr="00C53FBF">
        <w:rPr>
          <w:rFonts w:ascii="Times New Roman" w:hAnsi="Times New Roman" w:cs="Times New Roman"/>
          <w:b/>
          <w:color w:val="auto"/>
        </w:rPr>
        <w:t>Me</w:t>
      </w:r>
      <w:r w:rsidR="001C7CD7" w:rsidRPr="00C53FBF">
        <w:rPr>
          <w:rStyle w:val="Nadpis1Char"/>
          <w:rFonts w:ascii="Times New Roman" w:hAnsi="Times New Roman" w:cs="Times New Roman"/>
          <w:b/>
          <w:color w:val="auto"/>
        </w:rPr>
        <w:t>todologická část</w:t>
      </w:r>
      <w:bookmarkEnd w:id="21"/>
      <w:bookmarkEnd w:id="22"/>
    </w:p>
    <w:p w:rsidR="001C7CD7" w:rsidRPr="00C53FBF" w:rsidRDefault="00FD13CA" w:rsidP="002B3844">
      <w:pPr>
        <w:pStyle w:val="Nadpis2"/>
        <w:spacing w:before="240" w:after="240"/>
        <w:ind w:firstLine="0"/>
        <w:jc w:val="left"/>
        <w:rPr>
          <w:rFonts w:ascii="Times New Roman" w:hAnsi="Times New Roman" w:cs="Times New Roman"/>
          <w:b/>
          <w:color w:val="auto"/>
          <w:sz w:val="28"/>
          <w:szCs w:val="24"/>
        </w:rPr>
      </w:pPr>
      <w:bookmarkStart w:id="23" w:name="_Toc164767390"/>
      <w:bookmarkStart w:id="24" w:name="_Toc164808706"/>
      <w:r>
        <w:rPr>
          <w:rFonts w:ascii="Times New Roman" w:hAnsi="Times New Roman" w:cs="Times New Roman"/>
          <w:b/>
          <w:color w:val="auto"/>
          <w:sz w:val="28"/>
          <w:szCs w:val="24"/>
        </w:rPr>
        <w:t xml:space="preserve">4. 1. </w:t>
      </w:r>
      <w:r w:rsidR="001C7CD7" w:rsidRPr="00C53FBF">
        <w:rPr>
          <w:rFonts w:ascii="Times New Roman" w:hAnsi="Times New Roman" w:cs="Times New Roman"/>
          <w:b/>
          <w:color w:val="auto"/>
          <w:sz w:val="28"/>
          <w:szCs w:val="24"/>
        </w:rPr>
        <w:t>QCA</w:t>
      </w:r>
      <w:bookmarkEnd w:id="23"/>
      <w:bookmarkEnd w:id="24"/>
    </w:p>
    <w:p w:rsidR="001C7CD7" w:rsidRPr="00C53FBF" w:rsidRDefault="001C7CD7" w:rsidP="002B3844">
      <w:pPr>
        <w:spacing w:before="240" w:after="240"/>
        <w:ind w:firstLine="0"/>
      </w:pPr>
      <w:r w:rsidRPr="00C53FBF">
        <w:t>Kvalitativní komparativní analý</w:t>
      </w:r>
      <w:r w:rsidR="00C242A2">
        <w:t>zu (dále QCA) představil C.</w:t>
      </w:r>
      <w:r w:rsidRPr="00C53FBF">
        <w:t xml:space="preserve"> Ragin ve svém díle The Comparative Method z roku 1987. Zásadní je způsob, kterým lze analyzovat příčiny vedoucí k důsledku. Na rozdíl od regresní analýzy, která se soustředí na přímé izolované účinky, je pro </w:t>
      </w:r>
      <w:r w:rsidRPr="00C53FBF">
        <w:lastRenderedPageBreak/>
        <w:t>QCA klíčové, jak se jednotlivé příčinné podmínky kombinují. Kombinac</w:t>
      </w:r>
      <w:r w:rsidR="005A22D9" w:rsidRPr="00C53FBF">
        <w:t xml:space="preserve">e příčin </w:t>
      </w:r>
      <w:r w:rsidRPr="00C53FBF">
        <w:t>vedoucích k důsledku je provedena analýzou nutných a dostatečných podmínek. Nejedná se</w:t>
      </w:r>
      <w:r w:rsidR="005A22D9" w:rsidRPr="00C53FBF">
        <w:t xml:space="preserve"> </w:t>
      </w:r>
      <w:r w:rsidRPr="00C53FBF">
        <w:t>však o nezávislé proměnné, které ovlivňují závislou proměnnou (Ragin</w:t>
      </w:r>
      <w:r w:rsidR="00845F46" w:rsidRPr="00C53FBF">
        <w:t>,</w:t>
      </w:r>
      <w:r w:rsidRPr="00C53FBF">
        <w:t xml:space="preserve"> 2008: 2-3). </w:t>
      </w:r>
      <w:r w:rsidR="00845F46" w:rsidRPr="00C53FBF">
        <w:t xml:space="preserve">Nezávisle proměnné se označují jako podmínky (conditions) či faktory </w:t>
      </w:r>
      <w:r w:rsidR="006E7B63" w:rsidRPr="00C53FBF">
        <w:t xml:space="preserve">(factors) </w:t>
      </w:r>
      <w:r w:rsidR="00845F46" w:rsidRPr="00C53FBF">
        <w:t xml:space="preserve">a závisle proměnné jako důsledek (outcome). </w:t>
      </w:r>
      <w:r w:rsidRPr="00C53FBF">
        <w:t>Využívá tedy podmínkové pojetí kauzality, které je asymetri</w:t>
      </w:r>
      <w:r w:rsidR="001804FD" w:rsidRPr="00C53FBF">
        <w:t xml:space="preserve">cké, což znamená, že přítomnost </w:t>
      </w:r>
      <w:r w:rsidR="00B826DD" w:rsidRPr="00C53FBF">
        <w:t>faktoru</w:t>
      </w:r>
      <w:r w:rsidRPr="00C53FBF">
        <w:t xml:space="preserve">, respektive </w:t>
      </w:r>
      <w:r w:rsidR="00B826DD" w:rsidRPr="00C53FBF">
        <w:t>faktorů</w:t>
      </w:r>
      <w:r w:rsidRPr="00C53FBF">
        <w:t>, které v určité kom</w:t>
      </w:r>
      <w:r w:rsidR="001804FD" w:rsidRPr="00C53FBF">
        <w:t xml:space="preserve">binaci vysvětlují důsledek, tak </w:t>
      </w:r>
      <w:r w:rsidR="005A22D9" w:rsidRPr="00C53FBF">
        <w:t>v</w:t>
      </w:r>
      <w:r w:rsidRPr="00C53FBF">
        <w:t> případě jejich absence nevysvětlují automaticky negaci důsledku. Podmínky i důsledky chápe jako množiny, přičemž každý případ je brán jako součást více množin (Aversa, Furnari, &amp; Haefliger</w:t>
      </w:r>
      <w:r w:rsidR="00845F46" w:rsidRPr="00C53FBF">
        <w:t>,</w:t>
      </w:r>
      <w:r w:rsidRPr="00C53FBF">
        <w:t xml:space="preserve"> 2015). Kouba a Došek (2020: 81) doporučují metodu QCA aplikovat, je-li k dispozice menší či středně velký počet případů (N), optimálně mezi pěti a třiceti. Pro takový počet případů není vhodný pravděpodobnostní přístup ani symetrická kauzalita, což jsou znaky typické pro kvantitativní přístup. Nejedná se však o parametr, který by byl pro výzkumníka limitující. QCA se ve výzkumech používá také pro velký počet případů. Takový postup využili například Fiss, Sharapov a Cronqvist ve svém článku (2013). </w:t>
      </w:r>
    </w:p>
    <w:p w:rsidR="001C7CD7" w:rsidRPr="00C53FBF" w:rsidRDefault="001C7CD7" w:rsidP="002B3844">
      <w:pPr>
        <w:spacing w:before="240" w:after="240"/>
        <w:ind w:firstLine="708"/>
      </w:pPr>
      <w:r w:rsidRPr="00C53FBF">
        <w:t>Existují dva základní druhy QCA, a to sice QCA s ostrými množinami (crisp-set QCA; dále csQCA) a QCA s mlhavými množinami (fuzzy-set QCA; dále fsQCA). CsQCA vychází z Booleovy algebry. Hodnoty proměnné či výsledky operací jsou buď pravdivé (1), nebo nepravdivé (0). Staví na třech základních operacích: konjunkci, disjunkci a negaci. Ty vyjadřují vztahy mezi podmínkami a důsledkem. Při využití metody csQCA, k</w:t>
      </w:r>
      <w:r w:rsidR="005A22D9" w:rsidRPr="00C53FBF">
        <w:t xml:space="preserve">terá vychází z nominální úrovně </w:t>
      </w:r>
      <w:r w:rsidRPr="00C53FBF">
        <w:t>měření proměnných, však můžeme narazit na problémy např. při dichotomizaci proměnných, kdy některé proměnné lze binárně vyjádřit jen obtížně a nutně dochází ke zkreslování (Došek</w:t>
      </w:r>
      <w:r w:rsidR="00845F46" w:rsidRPr="00C53FBF">
        <w:t>,</w:t>
      </w:r>
      <w:r w:rsidRPr="00C53FBF">
        <w:t xml:space="preserve"> 2012: 37). Základní verzi (csQCA) rozšířil v knize z roku 2000 opět </w:t>
      </w:r>
      <w:r w:rsidR="00C242A2">
        <w:t xml:space="preserve">C. </w:t>
      </w:r>
      <w:r w:rsidRPr="00C53FBF">
        <w:t>Ragin, kde navrhl pokročilejší verzi – fsQCA. Tato verze stírá potíže s dichotomizací. Vychází z probabilistické koncepce, u niž je možné hovořit o síle konzistence výroku o přítomnosti nutné či posta</w:t>
      </w:r>
      <w:r w:rsidR="005A22D9" w:rsidRPr="00C53FBF">
        <w:t xml:space="preserve">čující podmínky. </w:t>
      </w:r>
      <w:r w:rsidRPr="00C53FBF">
        <w:t>Pro fsQCA je potřeba data kalibrovat,</w:t>
      </w:r>
      <w:r w:rsidR="00B36174" w:rsidRPr="00C53FBF">
        <w:t xml:space="preserve"> </w:t>
      </w:r>
      <w:r w:rsidRPr="00C53FBF">
        <w:t>čili převést naměřené proměnné do jednoho rozsahu hodnot (Kouba &amp; Došek</w:t>
      </w:r>
      <w:r w:rsidR="00845F46" w:rsidRPr="00C53FBF">
        <w:t>,</w:t>
      </w:r>
      <w:r w:rsidRPr="00C53FBF">
        <w:t xml:space="preserve"> 2020: 83). Takto můžeme převést j</w:t>
      </w:r>
      <w:r w:rsidR="007836C1" w:rsidRPr="00C53FBF">
        <w:t>ednotlivé intervalové proměnné.</w:t>
      </w:r>
    </w:p>
    <w:p w:rsidR="00B81E73" w:rsidRPr="00C53FBF" w:rsidRDefault="001C7CD7" w:rsidP="002B3844">
      <w:pPr>
        <w:spacing w:before="240" w:after="240"/>
        <w:ind w:firstLine="708"/>
      </w:pPr>
      <w:r w:rsidRPr="00C53FBF">
        <w:t xml:space="preserve">QCA se koncepčně opírá o tzv. INUS podmínky, jejichž autorem je filosof John Mackie. Název vychází z prvních písmen následujícího vyjádření v originálním anglickém znění: </w:t>
      </w:r>
      <w:r w:rsidRPr="00C53FBF">
        <w:rPr>
          <w:i/>
        </w:rPr>
        <w:t>„an insufficient, but necessary part of an unnecessary but sufficient condition“</w:t>
      </w:r>
      <w:r w:rsidRPr="00C53FBF">
        <w:t xml:space="preserve"> (Mackie</w:t>
      </w:r>
      <w:r w:rsidR="00845F46" w:rsidRPr="00C53FBF">
        <w:t>,</w:t>
      </w:r>
      <w:r w:rsidRPr="00C53FBF">
        <w:t xml:space="preserve"> 1966: 445), tedy nedostatečná, ale nezbytná součást kombinace</w:t>
      </w:r>
      <w:r w:rsidR="005A22D9" w:rsidRPr="00C53FBF">
        <w:t xml:space="preserve"> </w:t>
      </w:r>
      <w:r w:rsidRPr="00C53FBF">
        <w:t xml:space="preserve">podmínek, která není nezbytná, ale je dostatečná. Kouba (2011: 474) definoval nutnou podmínku následovně: </w:t>
      </w:r>
      <w:r w:rsidRPr="00C53FBF">
        <w:rPr>
          <w:i/>
        </w:rPr>
        <w:t xml:space="preserve">„X je nutnou </w:t>
      </w:r>
      <w:r w:rsidR="00B36174" w:rsidRPr="00C53FBF">
        <w:rPr>
          <w:i/>
        </w:rPr>
        <w:t xml:space="preserve">podmínkou </w:t>
      </w:r>
      <w:r w:rsidRPr="00C53FBF">
        <w:rPr>
          <w:i/>
        </w:rPr>
        <w:t xml:space="preserve">důsledku Y, pokud vždy, když je pozorován důsledek, je zároveň pozorována příčina. </w:t>
      </w:r>
      <w:r w:rsidRPr="00C53FBF">
        <w:rPr>
          <w:i/>
        </w:rPr>
        <w:lastRenderedPageBreak/>
        <w:t>Lze ale pozorovat příčinu bez pozorování důsledku.“</w:t>
      </w:r>
      <w:r w:rsidRPr="00C53FBF">
        <w:t xml:space="preserve">  Y je tedy podmnoži</w:t>
      </w:r>
      <w:r w:rsidR="00BF3CC6" w:rsidRPr="00C53FBF">
        <w:t>nou X (X ≥ Y; viz Obrázek 1).</w:t>
      </w:r>
      <w:r w:rsidR="00B81E73" w:rsidRPr="00C53FBF">
        <w:rPr>
          <w:noProof/>
          <w:lang w:val="cs-CZ"/>
        </w:rPr>
        <w:t xml:space="preserve"> </w:t>
      </w:r>
      <w:r w:rsidRPr="00C53FBF">
        <w:t xml:space="preserve">Definice postačující podmínky opět podle Kouby (2011: 475) zní: </w:t>
      </w:r>
      <w:r w:rsidRPr="00C53FBF">
        <w:rPr>
          <w:i/>
        </w:rPr>
        <w:t>„X je postačující podmínkou důsledku Y, pokud vždy, když je pozorována příčina X, je zároveň pozorován důsledek Y. Lze ale pozorovat důsledek bez pozorování příčiny.“</w:t>
      </w:r>
      <w:r w:rsidR="005A22D9" w:rsidRPr="00C53FBF">
        <w:t xml:space="preserve"> X je tedy podmnožinou Y </w:t>
      </w:r>
      <w:r w:rsidRPr="00C53FBF">
        <w:t>(X ≤ Y; viz Obrázek 2).</w:t>
      </w:r>
    </w:p>
    <w:p w:rsidR="001C7CD7" w:rsidRPr="00C53FBF" w:rsidRDefault="001C7CD7" w:rsidP="002B3844">
      <w:pPr>
        <w:spacing w:before="240" w:after="240"/>
        <w:ind w:firstLine="708"/>
      </w:pPr>
      <w:r w:rsidRPr="00C53FBF">
        <w:t>Logická funkce zachycuje vztah mezi podmínkami a důsledkem. K zápisu používáme následující operátory: ~ negace (může být značena také malým písmenem), + disjunkce, * konjunkce (Kouba &amp; Došek 2020: 86). Na příkladu vycházejícího z Obrázku 3 lze usoudit, že k důsledku Y vedou tři možnosti kombinací podmínek A, B, C, a to sice: A*</w:t>
      </w:r>
      <w:r w:rsidR="00B36174" w:rsidRPr="00C53FBF">
        <w:t>B*~C + A*~B*C + ~A*B*C = Y.</w:t>
      </w:r>
    </w:p>
    <w:p w:rsidR="00B81E73" w:rsidRPr="00C53FBF" w:rsidRDefault="001E0D7F" w:rsidP="002B3844">
      <w:pPr>
        <w:spacing w:before="240" w:after="240"/>
        <w:ind w:firstLine="708"/>
      </w:pPr>
      <w:r w:rsidRPr="00C53FBF">
        <w:rPr>
          <w:noProof/>
          <w:lang w:val="cs-CZ"/>
        </w:rPr>
        <w:drawing>
          <wp:anchor distT="0" distB="0" distL="114300" distR="114300" simplePos="0" relativeHeight="251658752" behindDoc="1" locked="0" layoutInCell="1" allowOverlap="1">
            <wp:simplePos x="0" y="0"/>
            <wp:positionH relativeFrom="column">
              <wp:posOffset>4009693</wp:posOffset>
            </wp:positionH>
            <wp:positionV relativeFrom="paragraph">
              <wp:posOffset>8532</wp:posOffset>
            </wp:positionV>
            <wp:extent cx="1967865" cy="1848485"/>
            <wp:effectExtent l="0" t="0" r="0" b="0"/>
            <wp:wrapTight wrapText="bothSides">
              <wp:wrapPolygon edited="0">
                <wp:start x="0" y="0"/>
                <wp:lineTo x="0" y="21370"/>
                <wp:lineTo x="21328" y="21370"/>
                <wp:lineTo x="2132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7865" cy="1848485"/>
                    </a:xfrm>
                    <a:prstGeom prst="rect">
                      <a:avLst/>
                    </a:prstGeom>
                    <a:noFill/>
                    <a:ln>
                      <a:noFill/>
                    </a:ln>
                  </pic:spPr>
                </pic:pic>
              </a:graphicData>
            </a:graphic>
          </wp:anchor>
        </w:drawing>
      </w:r>
      <w:r w:rsidR="00B81E73" w:rsidRPr="00C53FBF">
        <w:rPr>
          <w:noProof/>
          <w:lang w:val="cs-CZ"/>
        </w:rPr>
        <w:drawing>
          <wp:anchor distT="0" distB="0" distL="114300" distR="114300" simplePos="0" relativeHeight="251656704" behindDoc="1" locked="0" layoutInCell="1" allowOverlap="1">
            <wp:simplePos x="0" y="0"/>
            <wp:positionH relativeFrom="margin">
              <wp:align>left</wp:align>
            </wp:positionH>
            <wp:positionV relativeFrom="paragraph">
              <wp:posOffset>11541</wp:posOffset>
            </wp:positionV>
            <wp:extent cx="1877060" cy="1808480"/>
            <wp:effectExtent l="19050" t="0" r="889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B81E73" w:rsidRPr="00C53FBF">
        <w:rPr>
          <w:noProof/>
          <w:lang w:val="cs-CZ"/>
        </w:rPr>
        <w:drawing>
          <wp:anchor distT="0" distB="0" distL="114300" distR="114300" simplePos="0" relativeHeight="251655680" behindDoc="1" locked="0" layoutInCell="1" allowOverlap="1">
            <wp:simplePos x="0" y="0"/>
            <wp:positionH relativeFrom="margin">
              <wp:posOffset>2095169</wp:posOffset>
            </wp:positionH>
            <wp:positionV relativeFrom="paragraph">
              <wp:posOffset>8420</wp:posOffset>
            </wp:positionV>
            <wp:extent cx="1877060" cy="1808480"/>
            <wp:effectExtent l="0" t="0" r="8890" b="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B81E73" w:rsidRPr="00C53FBF" w:rsidRDefault="00B81E73" w:rsidP="002B3844">
      <w:pPr>
        <w:spacing w:before="240" w:after="240"/>
        <w:ind w:firstLine="708"/>
      </w:pPr>
    </w:p>
    <w:p w:rsidR="00B81E73" w:rsidRPr="00C53FBF" w:rsidRDefault="00B81E73" w:rsidP="002B3844">
      <w:pPr>
        <w:spacing w:before="240" w:after="240"/>
        <w:ind w:firstLine="708"/>
      </w:pPr>
    </w:p>
    <w:p w:rsidR="00B81E73" w:rsidRPr="00C53FBF" w:rsidRDefault="00B81E73" w:rsidP="002B3844">
      <w:pPr>
        <w:spacing w:before="240" w:after="240"/>
        <w:ind w:firstLine="708"/>
      </w:pPr>
    </w:p>
    <w:p w:rsidR="00B81E73" w:rsidRPr="00C53FBF" w:rsidRDefault="00B81E73" w:rsidP="002B3844">
      <w:pPr>
        <w:spacing w:before="240" w:after="240"/>
        <w:ind w:firstLine="0"/>
      </w:pPr>
    </w:p>
    <w:p w:rsidR="00B81E73" w:rsidRPr="00C53FBF" w:rsidRDefault="00B81E73" w:rsidP="002B3844">
      <w:pPr>
        <w:spacing w:before="240" w:after="240"/>
        <w:ind w:firstLine="708"/>
      </w:pPr>
      <w:r w:rsidRPr="00C53FBF">
        <w:t>Obrázek 1: aut</w:t>
      </w:r>
      <w:r w:rsidR="001E0D7F" w:rsidRPr="00C53FBF">
        <w:t>or</w:t>
      </w:r>
      <w:r w:rsidR="001E0D7F" w:rsidRPr="00C53FBF">
        <w:tab/>
      </w:r>
      <w:r w:rsidR="001E0D7F" w:rsidRPr="00C53FBF">
        <w:tab/>
        <w:t xml:space="preserve">       Obrázek 2: autor</w:t>
      </w:r>
      <w:r w:rsidR="001E0D7F" w:rsidRPr="00C53FBF">
        <w:tab/>
      </w:r>
      <w:r w:rsidR="001E0D7F" w:rsidRPr="00C53FBF">
        <w:tab/>
      </w:r>
      <w:r w:rsidR="001E0D7F" w:rsidRPr="00C53FBF">
        <w:tab/>
      </w:r>
      <w:r w:rsidR="001D688E">
        <w:t>Obrázek 3: autor</w:t>
      </w:r>
    </w:p>
    <w:p w:rsidR="00CB2E2F" w:rsidRPr="00B167F1" w:rsidRDefault="001C7CD7" w:rsidP="002B3844">
      <w:pPr>
        <w:spacing w:before="240" w:after="240"/>
        <w:ind w:firstLine="0"/>
        <w:rPr>
          <w:noProof/>
          <w:lang w:val="cs-CZ"/>
        </w:rPr>
      </w:pPr>
      <w:r w:rsidRPr="00C53FBF">
        <w:tab/>
        <w:t xml:space="preserve">Konzistence, společně s hrubým a unikátním pokrytím, vyjadřuje relevanci jednotlivých kombinací. Nabývá hodnot od 0 do 1 a odhaluje </w:t>
      </w:r>
      <w:r w:rsidRPr="00C53FBF">
        <w:rPr>
          <w:i/>
        </w:rPr>
        <w:t xml:space="preserve">„do jaké míry se případy sdílející danou podmínku, nebo kombinaci podmínek, shodují v přítomnosti důsledku. Míra konzistence ukazuje, do jaké míry jsou empirické důkazy v souladu s hypotetickým podmnožinovým vztahem dostatečnosti“ </w:t>
      </w:r>
      <w:r w:rsidRPr="00C53FBF">
        <w:t>(Kouba 2011: 487). Stanovení míry konzistence je čistě v rukou výzkumníka, doporučuje se hodnota 0,9, ale neměla by být menší než 0,8. Hrubé pokrytí vysvětluje celkový podíl případů vedoucích k důsledku. Ale vede-li k důsledku více než jedna kombinace, tak neplatí, že by hrubé pokrytí odpovídalo jejich součtu, protože existuje možnost, že se budou do jisté míry překrývat. Unikátní pokrytí tedy stanoví, do jaké míry vysvětlí podíl případů pouze daná kombinace (Došek 2012: 38). V neposlední řadě QCA dokáže zpracovat ekvifinalitu, tj. možnost existence více cest vedoucích k důsledku, a konjunktivní kauzalitu, což znamená, že důsledek vysvětlujícího faktoru závisí na přítomnosti nebo nepřítomnosti jiných proměnných (Bara 2014: 699).</w:t>
      </w:r>
      <w:r w:rsidR="00B81E73" w:rsidRPr="00C53FBF">
        <w:rPr>
          <w:noProof/>
          <w:lang w:val="cs-CZ"/>
        </w:rPr>
        <w:t xml:space="preserve"> </w:t>
      </w:r>
    </w:p>
    <w:p w:rsidR="00C327E4" w:rsidRPr="00C53FBF" w:rsidRDefault="00FD13CA" w:rsidP="002B3844">
      <w:pPr>
        <w:pStyle w:val="Nadpis2"/>
        <w:spacing w:before="240" w:after="240"/>
        <w:ind w:firstLine="0"/>
        <w:jc w:val="left"/>
        <w:rPr>
          <w:rFonts w:ascii="Times New Roman" w:hAnsi="Times New Roman" w:cs="Times New Roman"/>
          <w:b/>
          <w:color w:val="auto"/>
          <w:sz w:val="28"/>
        </w:rPr>
      </w:pPr>
      <w:bookmarkStart w:id="25" w:name="_Toc164767391"/>
      <w:bookmarkStart w:id="26" w:name="_Toc164808707"/>
      <w:r>
        <w:rPr>
          <w:rFonts w:ascii="Times New Roman" w:hAnsi="Times New Roman" w:cs="Times New Roman"/>
          <w:b/>
          <w:color w:val="auto"/>
          <w:sz w:val="28"/>
        </w:rPr>
        <w:lastRenderedPageBreak/>
        <w:t xml:space="preserve">4. 2. </w:t>
      </w:r>
      <w:r w:rsidR="00C327E4" w:rsidRPr="00C53FBF">
        <w:rPr>
          <w:rFonts w:ascii="Times New Roman" w:hAnsi="Times New Roman" w:cs="Times New Roman"/>
          <w:b/>
          <w:color w:val="auto"/>
          <w:sz w:val="28"/>
        </w:rPr>
        <w:t xml:space="preserve">Operacionalizace </w:t>
      </w:r>
      <w:r w:rsidR="00046A4D" w:rsidRPr="00C53FBF">
        <w:rPr>
          <w:rFonts w:ascii="Times New Roman" w:hAnsi="Times New Roman" w:cs="Times New Roman"/>
          <w:b/>
          <w:color w:val="auto"/>
          <w:sz w:val="28"/>
        </w:rPr>
        <w:t>důsledku</w:t>
      </w:r>
      <w:bookmarkEnd w:id="25"/>
      <w:bookmarkEnd w:id="26"/>
    </w:p>
    <w:p w:rsidR="00F24003" w:rsidRPr="00C53FBF" w:rsidRDefault="001F7D5F" w:rsidP="002B3844">
      <w:pPr>
        <w:pStyle w:val="Bezmezer"/>
        <w:spacing w:before="240" w:after="240" w:line="360" w:lineRule="auto"/>
        <w:ind w:firstLine="0"/>
      </w:pPr>
      <w:r w:rsidRPr="00C53FBF">
        <w:rPr>
          <w:i/>
        </w:rPr>
        <w:t xml:space="preserve"> </w:t>
      </w:r>
      <w:r w:rsidR="007836C1" w:rsidRPr="00C53FBF">
        <w:t xml:space="preserve">Postoj EU ke konfliktu je poměrně jasný. </w:t>
      </w:r>
      <w:r w:rsidR="00C327E4" w:rsidRPr="00C53FBF">
        <w:rPr>
          <w:i/>
        </w:rPr>
        <w:t>„EU a její členské státy jsou jednotné ve své neochvějné podpoře Ukrajiny a ukrajinského lidu a vojenskou agresi Ruska příkře odsuzují.“</w:t>
      </w:r>
      <w:r w:rsidR="00C327E4" w:rsidRPr="00C53FBF">
        <w:t xml:space="preserve"> </w:t>
      </w:r>
      <w:r w:rsidR="0051324B" w:rsidRPr="00C53FBF">
        <w:t>(Evropská rada, bez data). Kromě posílení sankcí</w:t>
      </w:r>
      <w:r w:rsidR="007836C1" w:rsidRPr="00C53FBF">
        <w:t xml:space="preserve"> vůči Rusku</w:t>
      </w:r>
      <w:r w:rsidR="0051324B" w:rsidRPr="00C53FBF">
        <w:t>, reagovala EU také podporou Ukrajiny, ať už finanční, humanitární či vojenskou</w:t>
      </w:r>
      <w:r w:rsidR="00671474" w:rsidRPr="00C53FBF">
        <w:t xml:space="preserve"> (</w:t>
      </w:r>
      <w:r w:rsidR="00274C4B" w:rsidRPr="00C53FBF">
        <w:t xml:space="preserve">viz </w:t>
      </w:r>
      <w:r w:rsidR="004037B4">
        <w:t>Tabulka</w:t>
      </w:r>
      <w:r w:rsidR="00046A4D" w:rsidRPr="00C53FBF">
        <w:t xml:space="preserve"> 1</w:t>
      </w:r>
      <w:r w:rsidR="00671474" w:rsidRPr="00C53FBF">
        <w:t>)</w:t>
      </w:r>
      <w:r w:rsidR="0051324B" w:rsidRPr="00C53FBF">
        <w:t xml:space="preserve">. V této </w:t>
      </w:r>
      <w:r w:rsidR="000343E7" w:rsidRPr="00C53FBF">
        <w:t xml:space="preserve">práci vycházím z dat Kiel Working Paperu (Trebesch et al., 2024). Data jsou zaměřena na bilaterální pomoc jednotlivých </w:t>
      </w:r>
      <w:r w:rsidR="007836C1" w:rsidRPr="00C53FBF">
        <w:t>zemí Ukrajině. Uvádí mj. v</w:t>
      </w:r>
      <w:r w:rsidR="000343E7" w:rsidRPr="00C53FBF">
        <w:t>šechny státy EU, které ve své práci analyzuji. Data jsou aktualizována k</w:t>
      </w:r>
      <w:r w:rsidR="008A4DBB" w:rsidRPr="00C53FBF">
        <w:t> 15. lednu 2024</w:t>
      </w:r>
      <w:r w:rsidR="000343E7" w:rsidRPr="00C53FBF">
        <w:t xml:space="preserve"> a uvádí pomoc od 24. </w:t>
      </w:r>
      <w:r w:rsidR="00671474" w:rsidRPr="00C53FBF">
        <w:t>l</w:t>
      </w:r>
      <w:r w:rsidR="000343E7" w:rsidRPr="00C53FBF">
        <w:t>edna 2022, tedy jeden měsíc před začátkem invaze.</w:t>
      </w:r>
      <w:r w:rsidR="00F24003" w:rsidRPr="00C53FBF">
        <w:t xml:space="preserve"> </w:t>
      </w:r>
      <w:r w:rsidR="000343E7" w:rsidRPr="00C53FBF">
        <w:t xml:space="preserve">Míra podpory je vyjádřena v souladu </w:t>
      </w:r>
      <w:r w:rsidR="00F24003" w:rsidRPr="00C53FBF">
        <w:t xml:space="preserve">s tím, </w:t>
      </w:r>
      <w:r w:rsidR="000343E7" w:rsidRPr="00C53FBF">
        <w:t>jak tato data poskytuje právě Kielský institut pro světovou ekonomiku. Množství poskytn</w:t>
      </w:r>
      <w:r w:rsidR="007836C1" w:rsidRPr="00C53FBF">
        <w:t>uté pomoci je operacionalizováno</w:t>
      </w:r>
      <w:r w:rsidR="000343E7" w:rsidRPr="00C53FBF">
        <w:t xml:space="preserve"> pro všechny státy EU celkovou pomocí vůči HDP jednotlivých států EU za rok 2021.</w:t>
      </w:r>
      <w:r w:rsidR="00671474" w:rsidRPr="00C53FBF">
        <w:t xml:space="preserve"> </w:t>
      </w:r>
      <w:r w:rsidR="004037B4">
        <w:t>Tabulka</w:t>
      </w:r>
      <w:r w:rsidR="003A1880" w:rsidRPr="00C53FBF">
        <w:t xml:space="preserve"> </w:t>
      </w:r>
      <w:r w:rsidR="00671474" w:rsidRPr="00C53FBF">
        <w:t>1 umožňuje lépe nahlédnout na příspěvky jednotlivých států pro výše uvedené časové období.</w:t>
      </w:r>
      <w:r w:rsidR="00F24003" w:rsidRPr="00C53FBF">
        <w:t xml:space="preserve"> </w:t>
      </w:r>
    </w:p>
    <w:p w:rsidR="001D688E" w:rsidRDefault="00F24003" w:rsidP="002B3844">
      <w:pPr>
        <w:pStyle w:val="Bezmezer"/>
        <w:spacing w:before="240" w:after="240" w:line="360" w:lineRule="auto"/>
        <w:ind w:firstLine="708"/>
      </w:pPr>
      <w:r w:rsidRPr="00C53FBF">
        <w:t>Pro kalibrování hodnot</w:t>
      </w:r>
      <w:r w:rsidR="00671474" w:rsidRPr="00C53FBF">
        <w:t xml:space="preserve"> </w:t>
      </w:r>
      <w:r w:rsidRPr="00C53FBF">
        <w:t>lze využít různé statistické programy, existuje dokonce</w:t>
      </w:r>
      <w:r w:rsidR="007320C5">
        <w:t xml:space="preserve"> C.</w:t>
      </w:r>
      <w:r w:rsidRPr="00C53FBF">
        <w:t xml:space="preserve"> Raginem vyvinutý program přímo pro prováděn</w:t>
      </w:r>
      <w:r w:rsidR="00046A4D" w:rsidRPr="00C53FBF">
        <w:t>í QCA analýzy (fs/QCA Software)</w:t>
      </w:r>
      <w:r w:rsidRPr="00C53FBF">
        <w:t xml:space="preserve">. Je nutné určit hodnoty plného členství </w:t>
      </w:r>
      <w:r w:rsidR="00770C4C" w:rsidRPr="00C53FBF">
        <w:t>(0,95), střední hodnoty (0,5) a plného vyloučení (0,05). Po určení hodnot a nastavení kalibrace, vzejdou čísla (0-1), která určují, do jaké míry je daný případ součástí množiny. V této práci jsem určil hodnotu plného vyloučení na hranici 0,03. Tuto hodnotu vykazují hned tři státy (Portugalsko, Maďarsko, Irsko) a dva státy Kypr a Malta vykazují dokonce hodnoty menší – 0,02 resp. 0,0</w:t>
      </w:r>
      <w:r w:rsidR="009E3C24" w:rsidRPr="00C53FBF">
        <w:t xml:space="preserve">1. Po provedení kalibrace mají Portugalsko, Maďarsko a Irsko logicky hodnotu 0,05, Kypr 0,047 a Malta 0,045. Střední bod jsem stanovil na 0,54, jelikož kolem hodnot 0,5-0,7 lze pozorovat nárůst zkoumaných případů. 0,54 je pak </w:t>
      </w:r>
      <w:r w:rsidR="003A1880" w:rsidRPr="00C53FBF">
        <w:t>procento</w:t>
      </w:r>
      <w:r w:rsidR="009E3C24" w:rsidRPr="00C53FBF">
        <w:t xml:space="preserve"> HDP přispěné Evropskou Radou a Komisí dle Kielského institutu</w:t>
      </w:r>
      <w:r w:rsidR="00125D57" w:rsidRPr="00C53FBF">
        <w:rPr>
          <w:rStyle w:val="Znakapoznpodarou"/>
        </w:rPr>
        <w:footnoteReference w:id="32"/>
      </w:r>
      <w:r w:rsidR="009E3C24" w:rsidRPr="00C53FBF">
        <w:t>, proto střední hodnotu ponechám na této úrovni. Plné členství má hodnotu 2,5, tedy těsně nad druhým nejvyšším přispěvatelem Dánskem</w:t>
      </w:r>
      <w:r w:rsidR="00C249C1" w:rsidRPr="00C53FBF">
        <w:t xml:space="preserve"> (hodnota po kalibraci: 0,943). Nejvyšší příspěvky vůči HDP poskytlo Ukrajině Estonsko, které dosahuje</w:t>
      </w:r>
      <w:r w:rsidR="003D3E88" w:rsidRPr="00C53FBF">
        <w:t xml:space="preserve"> kalibrované</w:t>
      </w:r>
      <w:r w:rsidR="00C249C1" w:rsidRPr="00C53FBF">
        <w:t xml:space="preserve"> hodnoty 0,989. </w:t>
      </w:r>
    </w:p>
    <w:p w:rsidR="002B3844" w:rsidRDefault="002B3844" w:rsidP="002B3844">
      <w:pPr>
        <w:pStyle w:val="Bezmezer"/>
        <w:spacing w:line="360" w:lineRule="auto"/>
        <w:ind w:firstLine="0"/>
        <w:rPr>
          <w:b/>
        </w:rPr>
      </w:pPr>
    </w:p>
    <w:p w:rsidR="002B3844" w:rsidRDefault="002B3844" w:rsidP="002B3844">
      <w:pPr>
        <w:pStyle w:val="Bezmezer"/>
        <w:spacing w:line="360" w:lineRule="auto"/>
        <w:ind w:firstLine="0"/>
        <w:rPr>
          <w:b/>
        </w:rPr>
      </w:pPr>
    </w:p>
    <w:p w:rsidR="002B3844" w:rsidRDefault="002B3844" w:rsidP="002B3844">
      <w:pPr>
        <w:pStyle w:val="Bezmezer"/>
        <w:spacing w:line="360" w:lineRule="auto"/>
        <w:ind w:firstLine="0"/>
        <w:rPr>
          <w:b/>
        </w:rPr>
      </w:pPr>
    </w:p>
    <w:p w:rsidR="002B3844" w:rsidRDefault="002B3844" w:rsidP="002B3844">
      <w:pPr>
        <w:pStyle w:val="Bezmezer"/>
        <w:spacing w:line="360" w:lineRule="auto"/>
        <w:ind w:firstLine="0"/>
        <w:rPr>
          <w:b/>
        </w:rPr>
      </w:pPr>
    </w:p>
    <w:p w:rsidR="002B3844" w:rsidRDefault="002B3844" w:rsidP="002B3844">
      <w:pPr>
        <w:pStyle w:val="Bezmezer"/>
        <w:spacing w:line="360" w:lineRule="auto"/>
        <w:ind w:firstLine="0"/>
        <w:rPr>
          <w:b/>
        </w:rPr>
      </w:pPr>
    </w:p>
    <w:p w:rsidR="00B167F1" w:rsidRDefault="00B167F1" w:rsidP="00F8167F">
      <w:pPr>
        <w:pStyle w:val="Bezmezer"/>
        <w:spacing w:line="360" w:lineRule="auto"/>
        <w:ind w:firstLine="0"/>
        <w:jc w:val="center"/>
        <w:rPr>
          <w:b/>
        </w:rPr>
      </w:pPr>
      <w:r>
        <w:rPr>
          <w:b/>
        </w:rPr>
        <w:lastRenderedPageBreak/>
        <w:t>Tabulka</w:t>
      </w:r>
      <w:r w:rsidR="006B750C">
        <w:rPr>
          <w:b/>
        </w:rPr>
        <w:t xml:space="preserve"> 1</w:t>
      </w:r>
    </w:p>
    <w:p w:rsidR="00B167F1" w:rsidRPr="001C3B10" w:rsidRDefault="00B167F1" w:rsidP="00F8167F">
      <w:pPr>
        <w:pStyle w:val="Bezmezer"/>
        <w:spacing w:line="360" w:lineRule="auto"/>
        <w:ind w:firstLine="0"/>
        <w:jc w:val="center"/>
        <w:rPr>
          <w:b/>
        </w:rPr>
      </w:pPr>
      <w:r w:rsidRPr="001C3B10">
        <w:rPr>
          <w:b/>
        </w:rPr>
        <w:t>Míra pomoci</w:t>
      </w:r>
    </w:p>
    <w:tbl>
      <w:tblPr>
        <w:tblStyle w:val="Mkatabulky"/>
        <w:tblpPr w:leftFromText="141" w:rightFromText="141" w:vertAnchor="page" w:horzAnchor="margin" w:tblpY="2287"/>
        <w:tblW w:w="9588" w:type="dxa"/>
        <w:tblBorders>
          <w:insideH w:val="none" w:sz="0" w:space="0" w:color="auto"/>
          <w:insideV w:val="none" w:sz="0" w:space="0" w:color="auto"/>
        </w:tblBorders>
        <w:tblLook w:val="04A0" w:firstRow="1" w:lastRow="0" w:firstColumn="1" w:lastColumn="0" w:noHBand="0" w:noVBand="1"/>
      </w:tblPr>
      <w:tblGrid>
        <w:gridCol w:w="2256"/>
        <w:gridCol w:w="1356"/>
        <w:gridCol w:w="1788"/>
        <w:gridCol w:w="1356"/>
        <w:gridCol w:w="1476"/>
        <w:gridCol w:w="1356"/>
      </w:tblGrid>
      <w:tr w:rsidR="002B3844" w:rsidRPr="001C3B10" w:rsidTr="002B3844">
        <w:trPr>
          <w:trHeight w:val="799"/>
        </w:trPr>
        <w:tc>
          <w:tcPr>
            <w:tcW w:w="2256" w:type="dxa"/>
            <w:shd w:val="clear" w:color="auto" w:fill="404040" w:themeFill="text1" w:themeFillTint="BF"/>
          </w:tcPr>
          <w:p w:rsidR="002B3844" w:rsidRPr="00414BC5" w:rsidRDefault="002B3844" w:rsidP="00F8167F">
            <w:pPr>
              <w:ind w:firstLine="0"/>
              <w:jc w:val="center"/>
              <w:rPr>
                <w:b/>
                <w:color w:val="FFFFFF" w:themeColor="background1"/>
                <w:sz w:val="28"/>
                <w:szCs w:val="28"/>
              </w:rPr>
            </w:pPr>
            <w:r w:rsidRPr="00414BC5">
              <w:rPr>
                <w:b/>
                <w:color w:val="FFFFFF" w:themeColor="background1"/>
                <w:sz w:val="28"/>
                <w:szCs w:val="28"/>
              </w:rPr>
              <w:t>Stát</w:t>
            </w:r>
          </w:p>
        </w:tc>
        <w:tc>
          <w:tcPr>
            <w:tcW w:w="1356" w:type="dxa"/>
            <w:shd w:val="clear" w:color="auto" w:fill="404040" w:themeFill="text1" w:themeFillTint="BF"/>
          </w:tcPr>
          <w:p w:rsidR="002B3844" w:rsidRPr="00414BC5" w:rsidRDefault="002B3844" w:rsidP="00F8167F">
            <w:pPr>
              <w:ind w:firstLine="0"/>
              <w:jc w:val="center"/>
              <w:rPr>
                <w:b/>
                <w:color w:val="FFFFFF" w:themeColor="background1"/>
                <w:sz w:val="28"/>
                <w:szCs w:val="28"/>
              </w:rPr>
            </w:pPr>
            <w:r w:rsidRPr="00414BC5">
              <w:rPr>
                <w:b/>
                <w:color w:val="FFFFFF" w:themeColor="background1"/>
                <w:sz w:val="28"/>
                <w:szCs w:val="28"/>
              </w:rPr>
              <w:t>Finanční</w:t>
            </w:r>
          </w:p>
          <w:p w:rsidR="002B3844" w:rsidRPr="00414BC5" w:rsidRDefault="002B3844" w:rsidP="00F8167F">
            <w:pPr>
              <w:ind w:firstLine="0"/>
              <w:jc w:val="center"/>
              <w:rPr>
                <w:color w:val="FFFFFF" w:themeColor="background1"/>
              </w:rPr>
            </w:pPr>
            <w:r w:rsidRPr="00414BC5">
              <w:rPr>
                <w:color w:val="FFFFFF" w:themeColor="background1"/>
              </w:rPr>
              <w:t>(mld. €)</w:t>
            </w:r>
          </w:p>
        </w:tc>
        <w:tc>
          <w:tcPr>
            <w:tcW w:w="1788" w:type="dxa"/>
            <w:shd w:val="clear" w:color="auto" w:fill="404040" w:themeFill="text1" w:themeFillTint="BF"/>
          </w:tcPr>
          <w:p w:rsidR="002B3844" w:rsidRPr="00414BC5" w:rsidRDefault="002B3844" w:rsidP="00F8167F">
            <w:pPr>
              <w:ind w:firstLine="0"/>
              <w:jc w:val="center"/>
              <w:rPr>
                <w:b/>
                <w:color w:val="FFFFFF" w:themeColor="background1"/>
                <w:sz w:val="28"/>
                <w:szCs w:val="28"/>
              </w:rPr>
            </w:pPr>
            <w:r w:rsidRPr="00414BC5">
              <w:rPr>
                <w:b/>
                <w:color w:val="FFFFFF" w:themeColor="background1"/>
                <w:sz w:val="28"/>
                <w:szCs w:val="28"/>
              </w:rPr>
              <w:t>Humanitární</w:t>
            </w:r>
          </w:p>
          <w:p w:rsidR="002B3844" w:rsidRPr="00414BC5" w:rsidRDefault="002B3844" w:rsidP="00F8167F">
            <w:pPr>
              <w:ind w:firstLine="0"/>
              <w:jc w:val="center"/>
              <w:rPr>
                <w:color w:val="FFFFFF" w:themeColor="background1"/>
              </w:rPr>
            </w:pPr>
            <w:r w:rsidRPr="00414BC5">
              <w:rPr>
                <w:color w:val="FFFFFF" w:themeColor="background1"/>
              </w:rPr>
              <w:t>(mld. €)</w:t>
            </w:r>
          </w:p>
        </w:tc>
        <w:tc>
          <w:tcPr>
            <w:tcW w:w="1356" w:type="dxa"/>
            <w:shd w:val="clear" w:color="auto" w:fill="404040" w:themeFill="text1" w:themeFillTint="BF"/>
          </w:tcPr>
          <w:p w:rsidR="002B3844" w:rsidRPr="00414BC5" w:rsidRDefault="002B3844" w:rsidP="00F8167F">
            <w:pPr>
              <w:ind w:firstLine="0"/>
              <w:jc w:val="center"/>
              <w:rPr>
                <w:b/>
                <w:color w:val="FFFFFF" w:themeColor="background1"/>
                <w:sz w:val="28"/>
                <w:szCs w:val="28"/>
              </w:rPr>
            </w:pPr>
            <w:r w:rsidRPr="00414BC5">
              <w:rPr>
                <w:b/>
                <w:color w:val="FFFFFF" w:themeColor="background1"/>
                <w:sz w:val="28"/>
                <w:szCs w:val="28"/>
              </w:rPr>
              <w:t>Vojenská</w:t>
            </w:r>
          </w:p>
          <w:p w:rsidR="002B3844" w:rsidRPr="00414BC5" w:rsidRDefault="002B3844" w:rsidP="00F8167F">
            <w:pPr>
              <w:ind w:firstLine="0"/>
              <w:jc w:val="center"/>
              <w:rPr>
                <w:color w:val="FFFFFF" w:themeColor="background1"/>
              </w:rPr>
            </w:pPr>
            <w:r w:rsidRPr="00414BC5">
              <w:rPr>
                <w:color w:val="FFFFFF" w:themeColor="background1"/>
              </w:rPr>
              <w:t>(mld. €)</w:t>
            </w:r>
          </w:p>
        </w:tc>
        <w:tc>
          <w:tcPr>
            <w:tcW w:w="1476" w:type="dxa"/>
            <w:shd w:val="clear" w:color="auto" w:fill="404040" w:themeFill="text1" w:themeFillTint="BF"/>
          </w:tcPr>
          <w:p w:rsidR="002B3844" w:rsidRPr="00414BC5" w:rsidRDefault="002B3844" w:rsidP="00F8167F">
            <w:pPr>
              <w:ind w:firstLine="0"/>
              <w:jc w:val="center"/>
              <w:rPr>
                <w:b/>
                <w:color w:val="FFFFFF" w:themeColor="background1"/>
                <w:sz w:val="28"/>
                <w:szCs w:val="28"/>
              </w:rPr>
            </w:pPr>
            <w:r w:rsidRPr="00414BC5">
              <w:rPr>
                <w:b/>
                <w:color w:val="FFFFFF" w:themeColor="background1"/>
                <w:sz w:val="28"/>
                <w:szCs w:val="28"/>
              </w:rPr>
              <w:t>Celková</w:t>
            </w:r>
          </w:p>
          <w:p w:rsidR="002B3844" w:rsidRPr="00414BC5" w:rsidRDefault="002B3844" w:rsidP="00F8167F">
            <w:pPr>
              <w:tabs>
                <w:tab w:val="center" w:pos="630"/>
              </w:tabs>
              <w:ind w:firstLine="0"/>
              <w:jc w:val="center"/>
              <w:rPr>
                <w:color w:val="FFFFFF" w:themeColor="background1"/>
              </w:rPr>
            </w:pPr>
            <w:r w:rsidRPr="00414BC5">
              <w:rPr>
                <w:color w:val="FFFFFF" w:themeColor="background1"/>
              </w:rPr>
              <w:t>(mld. €)</w:t>
            </w:r>
          </w:p>
        </w:tc>
        <w:tc>
          <w:tcPr>
            <w:tcW w:w="1356" w:type="dxa"/>
            <w:shd w:val="clear" w:color="auto" w:fill="404040" w:themeFill="text1" w:themeFillTint="BF"/>
          </w:tcPr>
          <w:p w:rsidR="002B3844" w:rsidRPr="00414BC5" w:rsidRDefault="002B3844" w:rsidP="00F8167F">
            <w:pPr>
              <w:ind w:firstLine="0"/>
              <w:jc w:val="center"/>
              <w:rPr>
                <w:b/>
                <w:color w:val="FFFFFF" w:themeColor="background1"/>
                <w:sz w:val="28"/>
                <w:szCs w:val="28"/>
              </w:rPr>
            </w:pPr>
            <w:r w:rsidRPr="00414BC5">
              <w:rPr>
                <w:b/>
                <w:color w:val="FFFFFF" w:themeColor="background1"/>
                <w:sz w:val="28"/>
                <w:szCs w:val="28"/>
              </w:rPr>
              <w:t>% HDP</w:t>
            </w:r>
          </w:p>
          <w:p w:rsidR="002B3844" w:rsidRPr="00414BC5" w:rsidRDefault="002B3844" w:rsidP="00F8167F">
            <w:pPr>
              <w:ind w:firstLine="0"/>
              <w:jc w:val="center"/>
              <w:rPr>
                <w:color w:val="FFFFFF" w:themeColor="background1"/>
                <w:sz w:val="22"/>
                <w:szCs w:val="22"/>
              </w:rPr>
            </w:pPr>
            <w:r w:rsidRPr="00414BC5">
              <w:rPr>
                <w:color w:val="FFFFFF" w:themeColor="background1"/>
                <w:sz w:val="22"/>
                <w:szCs w:val="22"/>
              </w:rPr>
              <w:t>(HDP 2021)</w:t>
            </w:r>
          </w:p>
        </w:tc>
      </w:tr>
      <w:tr w:rsidR="002B3844" w:rsidRPr="001C3B10" w:rsidTr="002B3844">
        <w:trPr>
          <w:trHeight w:val="386"/>
        </w:trPr>
        <w:tc>
          <w:tcPr>
            <w:tcW w:w="2256" w:type="dxa"/>
            <w:vAlign w:val="bottom"/>
          </w:tcPr>
          <w:p w:rsidR="002B3844" w:rsidRPr="002B3844" w:rsidRDefault="002B3844" w:rsidP="00F8167F">
            <w:pPr>
              <w:jc w:val="center"/>
            </w:pPr>
            <w:r w:rsidRPr="002B3844">
              <w:t>Belgie</w:t>
            </w:r>
          </w:p>
        </w:tc>
        <w:tc>
          <w:tcPr>
            <w:tcW w:w="1356" w:type="dxa"/>
            <w:vAlign w:val="bottom"/>
          </w:tcPr>
          <w:p w:rsidR="002B3844" w:rsidRPr="002B3844" w:rsidRDefault="002B3844" w:rsidP="00F8167F">
            <w:pPr>
              <w:ind w:firstLine="0"/>
              <w:jc w:val="right"/>
              <w:rPr>
                <w:lang w:val="cs-CZ"/>
              </w:rPr>
            </w:pPr>
            <w:r w:rsidRPr="002B3844">
              <w:t>1,79</w:t>
            </w:r>
          </w:p>
        </w:tc>
        <w:tc>
          <w:tcPr>
            <w:tcW w:w="1788" w:type="dxa"/>
            <w:vAlign w:val="bottom"/>
          </w:tcPr>
          <w:p w:rsidR="002B3844" w:rsidRPr="002B3844" w:rsidRDefault="002B3844" w:rsidP="00F8167F">
            <w:pPr>
              <w:jc w:val="center"/>
            </w:pPr>
            <w:r w:rsidRPr="002B3844">
              <w:t>0,11</w:t>
            </w:r>
          </w:p>
        </w:tc>
        <w:tc>
          <w:tcPr>
            <w:tcW w:w="1356" w:type="dxa"/>
            <w:vAlign w:val="bottom"/>
          </w:tcPr>
          <w:p w:rsidR="002B3844" w:rsidRPr="002B3844" w:rsidRDefault="002B3844" w:rsidP="00F8167F">
            <w:pPr>
              <w:jc w:val="center"/>
            </w:pPr>
            <w:r w:rsidRPr="002B3844">
              <w:t>0,33</w:t>
            </w:r>
          </w:p>
        </w:tc>
        <w:tc>
          <w:tcPr>
            <w:tcW w:w="1476" w:type="dxa"/>
            <w:vAlign w:val="bottom"/>
          </w:tcPr>
          <w:p w:rsidR="002B3844" w:rsidRPr="002B3844" w:rsidRDefault="002B3844" w:rsidP="00F8167F">
            <w:pPr>
              <w:jc w:val="center"/>
            </w:pPr>
            <w:r w:rsidRPr="002B3844">
              <w:t>2,22</w:t>
            </w:r>
          </w:p>
        </w:tc>
        <w:tc>
          <w:tcPr>
            <w:tcW w:w="1356" w:type="dxa"/>
            <w:vAlign w:val="bottom"/>
          </w:tcPr>
          <w:p w:rsidR="002B3844" w:rsidRPr="002B3844" w:rsidRDefault="002B3844" w:rsidP="00F8167F">
            <w:pPr>
              <w:jc w:val="center"/>
            </w:pPr>
            <w:r w:rsidRPr="002B3844">
              <w:t>0,41</w:t>
            </w:r>
          </w:p>
        </w:tc>
      </w:tr>
      <w:tr w:rsidR="002B3844" w:rsidRPr="001C3B10" w:rsidTr="002B3844">
        <w:trPr>
          <w:trHeight w:val="386"/>
        </w:trPr>
        <w:tc>
          <w:tcPr>
            <w:tcW w:w="2256" w:type="dxa"/>
            <w:shd w:val="clear" w:color="auto" w:fill="D9D9D9" w:themeFill="background1" w:themeFillShade="D9"/>
            <w:vAlign w:val="bottom"/>
          </w:tcPr>
          <w:p w:rsidR="002B3844" w:rsidRPr="002B3844" w:rsidRDefault="002B3844" w:rsidP="00F8167F">
            <w:pPr>
              <w:jc w:val="center"/>
            </w:pPr>
            <w:r w:rsidRPr="002B3844">
              <w:t>Bulharsko</w:t>
            </w:r>
          </w:p>
        </w:tc>
        <w:tc>
          <w:tcPr>
            <w:tcW w:w="1356" w:type="dxa"/>
            <w:shd w:val="clear" w:color="auto" w:fill="D9D9D9" w:themeFill="background1" w:themeFillShade="D9"/>
            <w:vAlign w:val="bottom"/>
          </w:tcPr>
          <w:p w:rsidR="002B3844" w:rsidRPr="002B3844" w:rsidRDefault="002B3844" w:rsidP="00F8167F">
            <w:pPr>
              <w:jc w:val="center"/>
            </w:pPr>
            <w:r w:rsidRPr="002B3844">
              <w:t>0</w:t>
            </w:r>
          </w:p>
        </w:tc>
        <w:tc>
          <w:tcPr>
            <w:tcW w:w="1788" w:type="dxa"/>
            <w:shd w:val="clear" w:color="auto" w:fill="D9D9D9" w:themeFill="background1" w:themeFillShade="D9"/>
            <w:vAlign w:val="bottom"/>
          </w:tcPr>
          <w:p w:rsidR="002B3844" w:rsidRPr="002B3844" w:rsidRDefault="002B3844" w:rsidP="00F8167F">
            <w:pPr>
              <w:jc w:val="center"/>
            </w:pPr>
            <w:r w:rsidRPr="002B3844">
              <w:t>0</w:t>
            </w:r>
          </w:p>
        </w:tc>
        <w:tc>
          <w:tcPr>
            <w:tcW w:w="1356" w:type="dxa"/>
            <w:shd w:val="clear" w:color="auto" w:fill="D9D9D9" w:themeFill="background1" w:themeFillShade="D9"/>
            <w:vAlign w:val="bottom"/>
          </w:tcPr>
          <w:p w:rsidR="002B3844" w:rsidRPr="002B3844" w:rsidRDefault="002B3844" w:rsidP="00F8167F">
            <w:pPr>
              <w:jc w:val="center"/>
            </w:pPr>
            <w:r w:rsidRPr="002B3844">
              <w:t>0,24</w:t>
            </w:r>
          </w:p>
        </w:tc>
        <w:tc>
          <w:tcPr>
            <w:tcW w:w="1476" w:type="dxa"/>
            <w:shd w:val="clear" w:color="auto" w:fill="D9D9D9" w:themeFill="background1" w:themeFillShade="D9"/>
            <w:vAlign w:val="bottom"/>
          </w:tcPr>
          <w:p w:rsidR="002B3844" w:rsidRPr="002B3844" w:rsidRDefault="002B3844" w:rsidP="00F8167F">
            <w:pPr>
              <w:jc w:val="center"/>
            </w:pPr>
            <w:r w:rsidRPr="002B3844">
              <w:t>0,25</w:t>
            </w:r>
          </w:p>
        </w:tc>
        <w:tc>
          <w:tcPr>
            <w:tcW w:w="1356" w:type="dxa"/>
            <w:shd w:val="clear" w:color="auto" w:fill="D9D9D9" w:themeFill="background1" w:themeFillShade="D9"/>
            <w:vAlign w:val="bottom"/>
          </w:tcPr>
          <w:p w:rsidR="002B3844" w:rsidRPr="002B3844" w:rsidRDefault="002B3844" w:rsidP="00F8167F">
            <w:pPr>
              <w:jc w:val="center"/>
            </w:pPr>
            <w:r w:rsidRPr="002B3844">
              <w:t>0,32</w:t>
            </w:r>
          </w:p>
        </w:tc>
      </w:tr>
      <w:tr w:rsidR="002B3844" w:rsidRPr="001C3B10" w:rsidTr="002B3844">
        <w:trPr>
          <w:trHeight w:val="386"/>
        </w:trPr>
        <w:tc>
          <w:tcPr>
            <w:tcW w:w="2256" w:type="dxa"/>
            <w:vAlign w:val="bottom"/>
          </w:tcPr>
          <w:p w:rsidR="002B3844" w:rsidRPr="002B3844" w:rsidRDefault="002B3844" w:rsidP="00F8167F">
            <w:pPr>
              <w:jc w:val="center"/>
            </w:pPr>
            <w:r w:rsidRPr="002B3844">
              <w:t>Česko</w:t>
            </w:r>
          </w:p>
        </w:tc>
        <w:tc>
          <w:tcPr>
            <w:tcW w:w="1356" w:type="dxa"/>
            <w:vAlign w:val="bottom"/>
          </w:tcPr>
          <w:p w:rsidR="002B3844" w:rsidRPr="002B3844" w:rsidRDefault="002B3844" w:rsidP="00F8167F">
            <w:pPr>
              <w:jc w:val="center"/>
            </w:pPr>
            <w:r w:rsidRPr="002B3844">
              <w:t>0</w:t>
            </w:r>
          </w:p>
        </w:tc>
        <w:tc>
          <w:tcPr>
            <w:tcW w:w="1788" w:type="dxa"/>
            <w:vAlign w:val="bottom"/>
          </w:tcPr>
          <w:p w:rsidR="002B3844" w:rsidRPr="002B3844" w:rsidRDefault="002B3844" w:rsidP="00F8167F">
            <w:pPr>
              <w:jc w:val="center"/>
            </w:pPr>
            <w:r w:rsidRPr="002B3844">
              <w:t>0,07</w:t>
            </w:r>
          </w:p>
        </w:tc>
        <w:tc>
          <w:tcPr>
            <w:tcW w:w="1356" w:type="dxa"/>
            <w:vAlign w:val="bottom"/>
          </w:tcPr>
          <w:p w:rsidR="002B3844" w:rsidRPr="002B3844" w:rsidRDefault="002B3844" w:rsidP="00F8167F">
            <w:pPr>
              <w:jc w:val="center"/>
            </w:pPr>
            <w:r w:rsidRPr="002B3844">
              <w:t>1,26</w:t>
            </w:r>
          </w:p>
        </w:tc>
        <w:tc>
          <w:tcPr>
            <w:tcW w:w="1476" w:type="dxa"/>
            <w:vAlign w:val="bottom"/>
          </w:tcPr>
          <w:p w:rsidR="002B3844" w:rsidRPr="002B3844" w:rsidRDefault="002B3844" w:rsidP="00F8167F">
            <w:pPr>
              <w:jc w:val="center"/>
            </w:pPr>
            <w:r w:rsidRPr="002B3844">
              <w:t>0,52</w:t>
            </w:r>
          </w:p>
        </w:tc>
        <w:tc>
          <w:tcPr>
            <w:tcW w:w="1356" w:type="dxa"/>
            <w:vAlign w:val="bottom"/>
          </w:tcPr>
          <w:p w:rsidR="002B3844" w:rsidRPr="002B3844" w:rsidRDefault="002B3844" w:rsidP="00F8167F">
            <w:pPr>
              <w:jc w:val="center"/>
            </w:pPr>
            <w:r w:rsidRPr="002B3844">
              <w:t>0,52</w:t>
            </w:r>
          </w:p>
        </w:tc>
      </w:tr>
      <w:tr w:rsidR="002B3844" w:rsidRPr="001C3B10" w:rsidTr="002B3844">
        <w:trPr>
          <w:trHeight w:val="386"/>
        </w:trPr>
        <w:tc>
          <w:tcPr>
            <w:tcW w:w="2256" w:type="dxa"/>
            <w:shd w:val="clear" w:color="auto" w:fill="D9D9D9" w:themeFill="background1" w:themeFillShade="D9"/>
            <w:vAlign w:val="bottom"/>
          </w:tcPr>
          <w:p w:rsidR="002B3844" w:rsidRPr="002B3844" w:rsidRDefault="002B3844" w:rsidP="00F8167F">
            <w:pPr>
              <w:jc w:val="center"/>
            </w:pPr>
            <w:r w:rsidRPr="002B3844">
              <w:t>Dánsko</w:t>
            </w:r>
          </w:p>
        </w:tc>
        <w:tc>
          <w:tcPr>
            <w:tcW w:w="1356" w:type="dxa"/>
            <w:shd w:val="clear" w:color="auto" w:fill="D9D9D9" w:themeFill="background1" w:themeFillShade="D9"/>
            <w:vAlign w:val="bottom"/>
          </w:tcPr>
          <w:p w:rsidR="002B3844" w:rsidRPr="002B3844" w:rsidRDefault="002B3844" w:rsidP="00F8167F">
            <w:pPr>
              <w:jc w:val="center"/>
            </w:pPr>
            <w:r w:rsidRPr="002B3844">
              <w:t>0,13</w:t>
            </w:r>
          </w:p>
        </w:tc>
        <w:tc>
          <w:tcPr>
            <w:tcW w:w="1788" w:type="dxa"/>
            <w:shd w:val="clear" w:color="auto" w:fill="D9D9D9" w:themeFill="background1" w:themeFillShade="D9"/>
            <w:vAlign w:val="bottom"/>
          </w:tcPr>
          <w:p w:rsidR="002B3844" w:rsidRPr="002B3844" w:rsidRDefault="002B3844" w:rsidP="00F8167F">
            <w:pPr>
              <w:jc w:val="center"/>
            </w:pPr>
            <w:r w:rsidRPr="002B3844">
              <w:t>0,23</w:t>
            </w:r>
          </w:p>
        </w:tc>
        <w:tc>
          <w:tcPr>
            <w:tcW w:w="1356" w:type="dxa"/>
            <w:shd w:val="clear" w:color="auto" w:fill="D9D9D9" w:themeFill="background1" w:themeFillShade="D9"/>
            <w:vAlign w:val="bottom"/>
          </w:tcPr>
          <w:p w:rsidR="002B3844" w:rsidRPr="002B3844" w:rsidRDefault="002B3844" w:rsidP="00F8167F">
            <w:pPr>
              <w:jc w:val="center"/>
            </w:pPr>
            <w:r w:rsidRPr="002B3844">
              <w:t>8,4</w:t>
            </w:r>
          </w:p>
        </w:tc>
        <w:tc>
          <w:tcPr>
            <w:tcW w:w="1476" w:type="dxa"/>
            <w:shd w:val="clear" w:color="auto" w:fill="D9D9D9" w:themeFill="background1" w:themeFillShade="D9"/>
            <w:vAlign w:val="bottom"/>
          </w:tcPr>
          <w:p w:rsidR="002B3844" w:rsidRPr="002B3844" w:rsidRDefault="002B3844" w:rsidP="00F8167F">
            <w:pPr>
              <w:jc w:val="center"/>
            </w:pPr>
            <w:r w:rsidRPr="002B3844">
              <w:t>8,76</w:t>
            </w:r>
          </w:p>
        </w:tc>
        <w:tc>
          <w:tcPr>
            <w:tcW w:w="1356" w:type="dxa"/>
            <w:shd w:val="clear" w:color="auto" w:fill="D9D9D9" w:themeFill="background1" w:themeFillShade="D9"/>
            <w:vAlign w:val="bottom"/>
          </w:tcPr>
          <w:p w:rsidR="002B3844" w:rsidRPr="002B3844" w:rsidRDefault="002B3844" w:rsidP="00F8167F">
            <w:pPr>
              <w:jc w:val="center"/>
            </w:pPr>
            <w:r w:rsidRPr="002B3844">
              <w:t>2,41</w:t>
            </w:r>
          </w:p>
        </w:tc>
      </w:tr>
      <w:tr w:rsidR="002B3844" w:rsidRPr="001C3B10" w:rsidTr="002B3844">
        <w:trPr>
          <w:trHeight w:val="386"/>
        </w:trPr>
        <w:tc>
          <w:tcPr>
            <w:tcW w:w="2256" w:type="dxa"/>
            <w:vAlign w:val="bottom"/>
          </w:tcPr>
          <w:p w:rsidR="002B3844" w:rsidRPr="002B3844" w:rsidRDefault="002B3844" w:rsidP="00F8167F">
            <w:pPr>
              <w:jc w:val="center"/>
            </w:pPr>
            <w:r w:rsidRPr="002B3844">
              <w:t>Estonsko</w:t>
            </w:r>
          </w:p>
        </w:tc>
        <w:tc>
          <w:tcPr>
            <w:tcW w:w="1356" w:type="dxa"/>
            <w:vAlign w:val="bottom"/>
          </w:tcPr>
          <w:p w:rsidR="002B3844" w:rsidRPr="002B3844" w:rsidRDefault="002B3844" w:rsidP="00F8167F">
            <w:pPr>
              <w:jc w:val="center"/>
            </w:pPr>
            <w:r w:rsidRPr="002B3844">
              <w:t>0</w:t>
            </w:r>
          </w:p>
        </w:tc>
        <w:tc>
          <w:tcPr>
            <w:tcW w:w="1788" w:type="dxa"/>
            <w:vAlign w:val="bottom"/>
          </w:tcPr>
          <w:p w:rsidR="002B3844" w:rsidRPr="002B3844" w:rsidRDefault="002B3844" w:rsidP="00F8167F">
            <w:pPr>
              <w:jc w:val="center"/>
            </w:pPr>
            <w:r w:rsidRPr="002B3844">
              <w:t>0,32</w:t>
            </w:r>
          </w:p>
        </w:tc>
        <w:tc>
          <w:tcPr>
            <w:tcW w:w="1356" w:type="dxa"/>
            <w:vAlign w:val="bottom"/>
          </w:tcPr>
          <w:p w:rsidR="002B3844" w:rsidRPr="002B3844" w:rsidRDefault="002B3844" w:rsidP="00F8167F">
            <w:pPr>
              <w:jc w:val="center"/>
            </w:pPr>
            <w:r w:rsidRPr="002B3844">
              <w:t>0,89</w:t>
            </w:r>
          </w:p>
        </w:tc>
        <w:tc>
          <w:tcPr>
            <w:tcW w:w="1476" w:type="dxa"/>
            <w:vAlign w:val="bottom"/>
          </w:tcPr>
          <w:p w:rsidR="002B3844" w:rsidRPr="002B3844" w:rsidRDefault="002B3844" w:rsidP="00F8167F">
            <w:pPr>
              <w:jc w:val="center"/>
            </w:pPr>
            <w:r w:rsidRPr="002B3844">
              <w:t>1,2</w:t>
            </w:r>
          </w:p>
        </w:tc>
        <w:tc>
          <w:tcPr>
            <w:tcW w:w="1356" w:type="dxa"/>
            <w:vAlign w:val="bottom"/>
          </w:tcPr>
          <w:p w:rsidR="002B3844" w:rsidRPr="002B3844" w:rsidRDefault="002B3844" w:rsidP="00F8167F">
            <w:pPr>
              <w:jc w:val="center"/>
            </w:pPr>
            <w:r w:rsidRPr="002B3844">
              <w:t>3,55</w:t>
            </w:r>
          </w:p>
        </w:tc>
      </w:tr>
      <w:tr w:rsidR="002B3844" w:rsidRPr="001C3B10" w:rsidTr="002B3844">
        <w:trPr>
          <w:trHeight w:val="386"/>
        </w:trPr>
        <w:tc>
          <w:tcPr>
            <w:tcW w:w="2256" w:type="dxa"/>
            <w:shd w:val="clear" w:color="auto" w:fill="D9D9D9" w:themeFill="background1" w:themeFillShade="D9"/>
            <w:vAlign w:val="bottom"/>
          </w:tcPr>
          <w:p w:rsidR="002B3844" w:rsidRPr="002B3844" w:rsidRDefault="002B3844" w:rsidP="00F8167F">
            <w:pPr>
              <w:jc w:val="center"/>
            </w:pPr>
            <w:r w:rsidRPr="002B3844">
              <w:t>Finsko</w:t>
            </w:r>
          </w:p>
        </w:tc>
        <w:tc>
          <w:tcPr>
            <w:tcW w:w="1356" w:type="dxa"/>
            <w:shd w:val="clear" w:color="auto" w:fill="D9D9D9" w:themeFill="background1" w:themeFillShade="D9"/>
            <w:vAlign w:val="bottom"/>
          </w:tcPr>
          <w:p w:rsidR="002B3844" w:rsidRPr="002B3844" w:rsidRDefault="002B3844" w:rsidP="00F8167F">
            <w:pPr>
              <w:jc w:val="center"/>
            </w:pPr>
            <w:r w:rsidRPr="002B3844">
              <w:t>0,09</w:t>
            </w:r>
          </w:p>
        </w:tc>
        <w:tc>
          <w:tcPr>
            <w:tcW w:w="1788" w:type="dxa"/>
            <w:shd w:val="clear" w:color="auto" w:fill="D9D9D9" w:themeFill="background1" w:themeFillShade="D9"/>
            <w:vAlign w:val="bottom"/>
          </w:tcPr>
          <w:p w:rsidR="002B3844" w:rsidRPr="002B3844" w:rsidRDefault="002B3844" w:rsidP="00F8167F">
            <w:pPr>
              <w:jc w:val="center"/>
            </w:pPr>
            <w:r w:rsidRPr="002B3844">
              <w:t>0,18</w:t>
            </w:r>
          </w:p>
        </w:tc>
        <w:tc>
          <w:tcPr>
            <w:tcW w:w="1356" w:type="dxa"/>
            <w:shd w:val="clear" w:color="auto" w:fill="D9D9D9" w:themeFill="background1" w:themeFillShade="D9"/>
            <w:vAlign w:val="bottom"/>
          </w:tcPr>
          <w:p w:rsidR="002B3844" w:rsidRPr="002B3844" w:rsidRDefault="002B3844" w:rsidP="00F8167F">
            <w:pPr>
              <w:jc w:val="center"/>
            </w:pPr>
            <w:r w:rsidRPr="002B3844">
              <w:t>1,64</w:t>
            </w:r>
          </w:p>
        </w:tc>
        <w:tc>
          <w:tcPr>
            <w:tcW w:w="1476" w:type="dxa"/>
            <w:shd w:val="clear" w:color="auto" w:fill="D9D9D9" w:themeFill="background1" w:themeFillShade="D9"/>
            <w:vAlign w:val="bottom"/>
          </w:tcPr>
          <w:p w:rsidR="002B3844" w:rsidRPr="002B3844" w:rsidRDefault="002B3844" w:rsidP="00F8167F">
            <w:pPr>
              <w:jc w:val="center"/>
            </w:pPr>
            <w:r w:rsidRPr="002B3844">
              <w:t>1,92</w:t>
            </w:r>
          </w:p>
        </w:tc>
        <w:tc>
          <w:tcPr>
            <w:tcW w:w="1356" w:type="dxa"/>
            <w:shd w:val="clear" w:color="auto" w:fill="D9D9D9" w:themeFill="background1" w:themeFillShade="D9"/>
            <w:vAlign w:val="bottom"/>
          </w:tcPr>
          <w:p w:rsidR="002B3844" w:rsidRPr="002B3844" w:rsidRDefault="002B3844" w:rsidP="00F8167F">
            <w:pPr>
              <w:jc w:val="center"/>
            </w:pPr>
            <w:r w:rsidRPr="002B3844">
              <w:t>0,71</w:t>
            </w:r>
          </w:p>
        </w:tc>
      </w:tr>
      <w:tr w:rsidR="002B3844" w:rsidRPr="001C3B10" w:rsidTr="002B3844">
        <w:trPr>
          <w:trHeight w:val="402"/>
        </w:trPr>
        <w:tc>
          <w:tcPr>
            <w:tcW w:w="2256" w:type="dxa"/>
            <w:vAlign w:val="bottom"/>
          </w:tcPr>
          <w:p w:rsidR="002B3844" w:rsidRPr="002B3844" w:rsidRDefault="002B3844" w:rsidP="00F8167F">
            <w:pPr>
              <w:jc w:val="center"/>
            </w:pPr>
            <w:r w:rsidRPr="002B3844">
              <w:t>Francie</w:t>
            </w:r>
          </w:p>
        </w:tc>
        <w:tc>
          <w:tcPr>
            <w:tcW w:w="1356" w:type="dxa"/>
            <w:vAlign w:val="bottom"/>
          </w:tcPr>
          <w:p w:rsidR="002B3844" w:rsidRPr="002B3844" w:rsidRDefault="002B3844" w:rsidP="00F8167F">
            <w:pPr>
              <w:jc w:val="center"/>
            </w:pPr>
            <w:r w:rsidRPr="002B3844">
              <w:t>0,8</w:t>
            </w:r>
          </w:p>
        </w:tc>
        <w:tc>
          <w:tcPr>
            <w:tcW w:w="1788" w:type="dxa"/>
            <w:vAlign w:val="bottom"/>
          </w:tcPr>
          <w:p w:rsidR="002B3844" w:rsidRPr="002B3844" w:rsidRDefault="002B3844" w:rsidP="00F8167F">
            <w:pPr>
              <w:jc w:val="center"/>
            </w:pPr>
            <w:r w:rsidRPr="002B3844">
              <w:t>0,36</w:t>
            </w:r>
          </w:p>
        </w:tc>
        <w:tc>
          <w:tcPr>
            <w:tcW w:w="1356" w:type="dxa"/>
            <w:vAlign w:val="bottom"/>
          </w:tcPr>
          <w:p w:rsidR="002B3844" w:rsidRPr="002B3844" w:rsidRDefault="002B3844" w:rsidP="00F8167F">
            <w:pPr>
              <w:jc w:val="center"/>
            </w:pPr>
            <w:r w:rsidRPr="002B3844">
              <w:t>0,64</w:t>
            </w:r>
          </w:p>
        </w:tc>
        <w:tc>
          <w:tcPr>
            <w:tcW w:w="1476" w:type="dxa"/>
            <w:vAlign w:val="bottom"/>
          </w:tcPr>
          <w:p w:rsidR="002B3844" w:rsidRPr="002B3844" w:rsidRDefault="002B3844" w:rsidP="00F8167F">
            <w:pPr>
              <w:jc w:val="center"/>
            </w:pPr>
            <w:r w:rsidRPr="002B3844">
              <w:t>1,8</w:t>
            </w:r>
          </w:p>
        </w:tc>
        <w:tc>
          <w:tcPr>
            <w:tcW w:w="1356" w:type="dxa"/>
            <w:vAlign w:val="bottom"/>
          </w:tcPr>
          <w:p w:rsidR="002B3844" w:rsidRPr="002B3844" w:rsidRDefault="002B3844" w:rsidP="00F8167F">
            <w:pPr>
              <w:jc w:val="center"/>
            </w:pPr>
            <w:r w:rsidRPr="002B3844">
              <w:t>0,07</w:t>
            </w:r>
          </w:p>
        </w:tc>
      </w:tr>
      <w:tr w:rsidR="002B3844" w:rsidRPr="001C3B10" w:rsidTr="002B3844">
        <w:trPr>
          <w:trHeight w:val="386"/>
        </w:trPr>
        <w:tc>
          <w:tcPr>
            <w:tcW w:w="2256" w:type="dxa"/>
            <w:shd w:val="clear" w:color="auto" w:fill="D9D9D9" w:themeFill="background1" w:themeFillShade="D9"/>
            <w:vAlign w:val="bottom"/>
          </w:tcPr>
          <w:p w:rsidR="002B3844" w:rsidRPr="002B3844" w:rsidRDefault="002B3844" w:rsidP="00F8167F">
            <w:pPr>
              <w:jc w:val="center"/>
            </w:pPr>
            <w:r w:rsidRPr="002B3844">
              <w:t>Chorvatsko</w:t>
            </w:r>
          </w:p>
        </w:tc>
        <w:tc>
          <w:tcPr>
            <w:tcW w:w="1356" w:type="dxa"/>
            <w:shd w:val="clear" w:color="auto" w:fill="D9D9D9" w:themeFill="background1" w:themeFillShade="D9"/>
            <w:vAlign w:val="bottom"/>
          </w:tcPr>
          <w:p w:rsidR="002B3844" w:rsidRPr="002B3844" w:rsidRDefault="002B3844" w:rsidP="00F8167F">
            <w:pPr>
              <w:jc w:val="center"/>
            </w:pPr>
            <w:r w:rsidRPr="002B3844">
              <w:t>0</w:t>
            </w:r>
          </w:p>
        </w:tc>
        <w:tc>
          <w:tcPr>
            <w:tcW w:w="1788" w:type="dxa"/>
            <w:shd w:val="clear" w:color="auto" w:fill="D9D9D9" w:themeFill="background1" w:themeFillShade="D9"/>
            <w:vAlign w:val="bottom"/>
          </w:tcPr>
          <w:p w:rsidR="002B3844" w:rsidRPr="002B3844" w:rsidRDefault="002B3844" w:rsidP="00F8167F">
            <w:pPr>
              <w:jc w:val="center"/>
            </w:pPr>
            <w:r w:rsidRPr="002B3844">
              <w:t>0,09</w:t>
            </w:r>
          </w:p>
        </w:tc>
        <w:tc>
          <w:tcPr>
            <w:tcW w:w="1356" w:type="dxa"/>
            <w:shd w:val="clear" w:color="auto" w:fill="D9D9D9" w:themeFill="background1" w:themeFillShade="D9"/>
            <w:vAlign w:val="bottom"/>
          </w:tcPr>
          <w:p w:rsidR="002B3844" w:rsidRPr="002B3844" w:rsidRDefault="002B3844" w:rsidP="00F8167F">
            <w:pPr>
              <w:jc w:val="center"/>
            </w:pPr>
            <w:r w:rsidRPr="002B3844">
              <w:t>0,19</w:t>
            </w:r>
          </w:p>
        </w:tc>
        <w:tc>
          <w:tcPr>
            <w:tcW w:w="1476" w:type="dxa"/>
            <w:shd w:val="clear" w:color="auto" w:fill="D9D9D9" w:themeFill="background1" w:themeFillShade="D9"/>
            <w:vAlign w:val="bottom"/>
          </w:tcPr>
          <w:p w:rsidR="002B3844" w:rsidRPr="002B3844" w:rsidRDefault="002B3844" w:rsidP="00F8167F">
            <w:pPr>
              <w:jc w:val="center"/>
            </w:pPr>
            <w:r w:rsidRPr="002B3844">
              <w:t>0,28</w:t>
            </w:r>
          </w:p>
        </w:tc>
        <w:tc>
          <w:tcPr>
            <w:tcW w:w="1356" w:type="dxa"/>
            <w:shd w:val="clear" w:color="auto" w:fill="D9D9D9" w:themeFill="background1" w:themeFillShade="D9"/>
            <w:vAlign w:val="bottom"/>
          </w:tcPr>
          <w:p w:rsidR="002B3844" w:rsidRPr="002B3844" w:rsidRDefault="002B3844" w:rsidP="00F8167F">
            <w:pPr>
              <w:jc w:val="center"/>
            </w:pPr>
            <w:r w:rsidRPr="002B3844">
              <w:t>0,44</w:t>
            </w:r>
          </w:p>
        </w:tc>
      </w:tr>
      <w:tr w:rsidR="002B3844" w:rsidRPr="001C3B10" w:rsidTr="002B3844">
        <w:trPr>
          <w:trHeight w:val="386"/>
        </w:trPr>
        <w:tc>
          <w:tcPr>
            <w:tcW w:w="2256" w:type="dxa"/>
            <w:vAlign w:val="bottom"/>
          </w:tcPr>
          <w:p w:rsidR="002B3844" w:rsidRPr="002B3844" w:rsidRDefault="002B3844" w:rsidP="00F8167F">
            <w:pPr>
              <w:jc w:val="center"/>
            </w:pPr>
            <w:r w:rsidRPr="002B3844">
              <w:t>Irsko</w:t>
            </w:r>
          </w:p>
        </w:tc>
        <w:tc>
          <w:tcPr>
            <w:tcW w:w="1356" w:type="dxa"/>
            <w:vAlign w:val="bottom"/>
          </w:tcPr>
          <w:p w:rsidR="002B3844" w:rsidRPr="002B3844" w:rsidRDefault="002B3844" w:rsidP="00F8167F">
            <w:pPr>
              <w:jc w:val="center"/>
            </w:pPr>
            <w:r w:rsidRPr="002B3844">
              <w:t>0,04</w:t>
            </w:r>
          </w:p>
        </w:tc>
        <w:tc>
          <w:tcPr>
            <w:tcW w:w="1788" w:type="dxa"/>
            <w:vAlign w:val="bottom"/>
          </w:tcPr>
          <w:p w:rsidR="002B3844" w:rsidRPr="002B3844" w:rsidRDefault="002B3844" w:rsidP="00F8167F">
            <w:pPr>
              <w:jc w:val="center"/>
            </w:pPr>
            <w:r w:rsidRPr="002B3844">
              <w:t>0,08</w:t>
            </w:r>
          </w:p>
        </w:tc>
        <w:tc>
          <w:tcPr>
            <w:tcW w:w="1356" w:type="dxa"/>
            <w:vAlign w:val="bottom"/>
          </w:tcPr>
          <w:p w:rsidR="002B3844" w:rsidRPr="002B3844" w:rsidRDefault="002B3844" w:rsidP="00F8167F">
            <w:pPr>
              <w:jc w:val="center"/>
            </w:pPr>
            <w:r w:rsidRPr="002B3844">
              <w:t>0</w:t>
            </w:r>
          </w:p>
        </w:tc>
        <w:tc>
          <w:tcPr>
            <w:tcW w:w="1476" w:type="dxa"/>
            <w:vAlign w:val="bottom"/>
          </w:tcPr>
          <w:p w:rsidR="002B3844" w:rsidRPr="002B3844" w:rsidRDefault="002B3844" w:rsidP="00F8167F">
            <w:pPr>
              <w:jc w:val="center"/>
            </w:pPr>
            <w:r w:rsidRPr="002B3844">
              <w:t>0,12</w:t>
            </w:r>
          </w:p>
        </w:tc>
        <w:tc>
          <w:tcPr>
            <w:tcW w:w="1356" w:type="dxa"/>
            <w:vAlign w:val="bottom"/>
          </w:tcPr>
          <w:p w:rsidR="002B3844" w:rsidRPr="002B3844" w:rsidRDefault="002B3844" w:rsidP="00F8167F">
            <w:pPr>
              <w:jc w:val="center"/>
            </w:pPr>
            <w:r w:rsidRPr="002B3844">
              <w:t>0,03</w:t>
            </w:r>
          </w:p>
        </w:tc>
      </w:tr>
      <w:tr w:rsidR="002B3844" w:rsidRPr="001C3B10" w:rsidTr="002B3844">
        <w:trPr>
          <w:trHeight w:val="386"/>
        </w:trPr>
        <w:tc>
          <w:tcPr>
            <w:tcW w:w="2256" w:type="dxa"/>
            <w:shd w:val="clear" w:color="auto" w:fill="D9D9D9" w:themeFill="background1" w:themeFillShade="D9"/>
            <w:vAlign w:val="bottom"/>
          </w:tcPr>
          <w:p w:rsidR="002B3844" w:rsidRPr="002B3844" w:rsidRDefault="002B3844" w:rsidP="00F8167F">
            <w:pPr>
              <w:jc w:val="center"/>
            </w:pPr>
            <w:r w:rsidRPr="002B3844">
              <w:t>Itálie</w:t>
            </w:r>
          </w:p>
        </w:tc>
        <w:tc>
          <w:tcPr>
            <w:tcW w:w="1356" w:type="dxa"/>
            <w:shd w:val="clear" w:color="auto" w:fill="D9D9D9" w:themeFill="background1" w:themeFillShade="D9"/>
            <w:vAlign w:val="bottom"/>
          </w:tcPr>
          <w:p w:rsidR="002B3844" w:rsidRPr="002B3844" w:rsidRDefault="002B3844" w:rsidP="00F8167F">
            <w:pPr>
              <w:jc w:val="center"/>
            </w:pPr>
            <w:r w:rsidRPr="002B3844">
              <w:t>0,41</w:t>
            </w:r>
          </w:p>
        </w:tc>
        <w:tc>
          <w:tcPr>
            <w:tcW w:w="1788" w:type="dxa"/>
            <w:shd w:val="clear" w:color="auto" w:fill="D9D9D9" w:themeFill="background1" w:themeFillShade="D9"/>
            <w:vAlign w:val="bottom"/>
          </w:tcPr>
          <w:p w:rsidR="002B3844" w:rsidRPr="002B3844" w:rsidRDefault="002B3844" w:rsidP="00F8167F">
            <w:pPr>
              <w:jc w:val="center"/>
            </w:pPr>
            <w:r w:rsidRPr="002B3844">
              <w:t>0,22</w:t>
            </w:r>
          </w:p>
        </w:tc>
        <w:tc>
          <w:tcPr>
            <w:tcW w:w="1356" w:type="dxa"/>
            <w:shd w:val="clear" w:color="auto" w:fill="D9D9D9" w:themeFill="background1" w:themeFillShade="D9"/>
            <w:vAlign w:val="bottom"/>
          </w:tcPr>
          <w:p w:rsidR="002B3844" w:rsidRPr="002B3844" w:rsidRDefault="002B3844" w:rsidP="00F8167F">
            <w:pPr>
              <w:jc w:val="center"/>
            </w:pPr>
            <w:r w:rsidRPr="002B3844">
              <w:t>0,67</w:t>
            </w:r>
          </w:p>
        </w:tc>
        <w:tc>
          <w:tcPr>
            <w:tcW w:w="1476" w:type="dxa"/>
            <w:shd w:val="clear" w:color="auto" w:fill="D9D9D9" w:themeFill="background1" w:themeFillShade="D9"/>
            <w:vAlign w:val="bottom"/>
          </w:tcPr>
          <w:p w:rsidR="002B3844" w:rsidRPr="002B3844" w:rsidRDefault="002B3844" w:rsidP="00F8167F">
            <w:pPr>
              <w:jc w:val="center"/>
            </w:pPr>
            <w:r w:rsidRPr="002B3844">
              <w:t>1,3</w:t>
            </w:r>
          </w:p>
        </w:tc>
        <w:tc>
          <w:tcPr>
            <w:tcW w:w="1356" w:type="dxa"/>
            <w:shd w:val="clear" w:color="auto" w:fill="D9D9D9" w:themeFill="background1" w:themeFillShade="D9"/>
            <w:vAlign w:val="bottom"/>
          </w:tcPr>
          <w:p w:rsidR="002B3844" w:rsidRPr="002B3844" w:rsidRDefault="002B3844" w:rsidP="00F8167F">
            <w:pPr>
              <w:jc w:val="center"/>
            </w:pPr>
            <w:r w:rsidRPr="002B3844">
              <w:t>0,07</w:t>
            </w:r>
          </w:p>
        </w:tc>
      </w:tr>
      <w:tr w:rsidR="002B3844" w:rsidRPr="001C3B10" w:rsidTr="002B3844">
        <w:trPr>
          <w:trHeight w:val="386"/>
        </w:trPr>
        <w:tc>
          <w:tcPr>
            <w:tcW w:w="2256" w:type="dxa"/>
            <w:vAlign w:val="bottom"/>
          </w:tcPr>
          <w:p w:rsidR="002B3844" w:rsidRPr="002B3844" w:rsidRDefault="002B3844" w:rsidP="00F8167F">
            <w:pPr>
              <w:jc w:val="center"/>
            </w:pPr>
            <w:r w:rsidRPr="002B3844">
              <w:t>Kypr</w:t>
            </w:r>
          </w:p>
        </w:tc>
        <w:tc>
          <w:tcPr>
            <w:tcW w:w="1356" w:type="dxa"/>
            <w:vAlign w:val="bottom"/>
          </w:tcPr>
          <w:p w:rsidR="002B3844" w:rsidRPr="002B3844" w:rsidRDefault="002B3844" w:rsidP="00F8167F">
            <w:pPr>
              <w:jc w:val="center"/>
            </w:pPr>
            <w:r w:rsidRPr="002B3844">
              <w:t>0</w:t>
            </w:r>
          </w:p>
        </w:tc>
        <w:tc>
          <w:tcPr>
            <w:tcW w:w="1788" w:type="dxa"/>
            <w:vAlign w:val="bottom"/>
          </w:tcPr>
          <w:p w:rsidR="002B3844" w:rsidRPr="002B3844" w:rsidRDefault="002B3844" w:rsidP="00F8167F">
            <w:pPr>
              <w:jc w:val="center"/>
            </w:pPr>
            <w:r w:rsidRPr="002B3844">
              <w:t>0</w:t>
            </w:r>
          </w:p>
        </w:tc>
        <w:tc>
          <w:tcPr>
            <w:tcW w:w="1356" w:type="dxa"/>
            <w:vAlign w:val="bottom"/>
          </w:tcPr>
          <w:p w:rsidR="002B3844" w:rsidRPr="002B3844" w:rsidRDefault="002B3844" w:rsidP="00F8167F">
            <w:pPr>
              <w:jc w:val="center"/>
            </w:pPr>
            <w:r w:rsidRPr="002B3844">
              <w:t>0</w:t>
            </w:r>
          </w:p>
        </w:tc>
        <w:tc>
          <w:tcPr>
            <w:tcW w:w="1476" w:type="dxa"/>
            <w:vAlign w:val="bottom"/>
          </w:tcPr>
          <w:p w:rsidR="002B3844" w:rsidRPr="002B3844" w:rsidRDefault="002B3844" w:rsidP="00F8167F">
            <w:pPr>
              <w:jc w:val="center"/>
            </w:pPr>
            <w:r w:rsidRPr="002B3844">
              <w:t>0</w:t>
            </w:r>
          </w:p>
        </w:tc>
        <w:tc>
          <w:tcPr>
            <w:tcW w:w="1356" w:type="dxa"/>
            <w:vAlign w:val="bottom"/>
          </w:tcPr>
          <w:p w:rsidR="002B3844" w:rsidRPr="002B3844" w:rsidRDefault="002B3844" w:rsidP="00F8167F">
            <w:pPr>
              <w:jc w:val="center"/>
            </w:pPr>
            <w:r w:rsidRPr="002B3844">
              <w:t>0,02</w:t>
            </w:r>
          </w:p>
        </w:tc>
      </w:tr>
      <w:tr w:rsidR="002B3844" w:rsidRPr="001C3B10" w:rsidTr="002B3844">
        <w:trPr>
          <w:trHeight w:val="386"/>
        </w:trPr>
        <w:tc>
          <w:tcPr>
            <w:tcW w:w="2256" w:type="dxa"/>
            <w:shd w:val="clear" w:color="auto" w:fill="D9D9D9" w:themeFill="background1" w:themeFillShade="D9"/>
            <w:vAlign w:val="bottom"/>
          </w:tcPr>
          <w:p w:rsidR="002B3844" w:rsidRPr="002B3844" w:rsidRDefault="002B3844" w:rsidP="00F8167F">
            <w:pPr>
              <w:jc w:val="center"/>
            </w:pPr>
            <w:r w:rsidRPr="002B3844">
              <w:t>Litva</w:t>
            </w:r>
          </w:p>
        </w:tc>
        <w:tc>
          <w:tcPr>
            <w:tcW w:w="1356" w:type="dxa"/>
            <w:shd w:val="clear" w:color="auto" w:fill="D9D9D9" w:themeFill="background1" w:themeFillShade="D9"/>
            <w:vAlign w:val="bottom"/>
          </w:tcPr>
          <w:p w:rsidR="002B3844" w:rsidRPr="002B3844" w:rsidRDefault="002B3844" w:rsidP="00F8167F">
            <w:pPr>
              <w:jc w:val="center"/>
            </w:pPr>
            <w:r w:rsidRPr="002B3844">
              <w:t>0,04</w:t>
            </w:r>
          </w:p>
        </w:tc>
        <w:tc>
          <w:tcPr>
            <w:tcW w:w="1788" w:type="dxa"/>
            <w:shd w:val="clear" w:color="auto" w:fill="D9D9D9" w:themeFill="background1" w:themeFillShade="D9"/>
            <w:vAlign w:val="bottom"/>
          </w:tcPr>
          <w:p w:rsidR="002B3844" w:rsidRPr="002B3844" w:rsidRDefault="002B3844" w:rsidP="00F8167F">
            <w:pPr>
              <w:jc w:val="center"/>
            </w:pPr>
            <w:r w:rsidRPr="002B3844">
              <w:t>0,07</w:t>
            </w:r>
          </w:p>
        </w:tc>
        <w:tc>
          <w:tcPr>
            <w:tcW w:w="1356" w:type="dxa"/>
            <w:shd w:val="clear" w:color="auto" w:fill="D9D9D9" w:themeFill="background1" w:themeFillShade="D9"/>
            <w:vAlign w:val="bottom"/>
          </w:tcPr>
          <w:p w:rsidR="002B3844" w:rsidRPr="002B3844" w:rsidRDefault="002B3844" w:rsidP="00F8167F">
            <w:pPr>
              <w:jc w:val="center"/>
            </w:pPr>
            <w:r w:rsidRPr="002B3844">
              <w:t>0,82</w:t>
            </w:r>
          </w:p>
        </w:tc>
        <w:tc>
          <w:tcPr>
            <w:tcW w:w="1476" w:type="dxa"/>
            <w:shd w:val="clear" w:color="auto" w:fill="D9D9D9" w:themeFill="background1" w:themeFillShade="D9"/>
            <w:vAlign w:val="bottom"/>
          </w:tcPr>
          <w:p w:rsidR="002B3844" w:rsidRPr="002B3844" w:rsidRDefault="002B3844" w:rsidP="00F8167F">
            <w:pPr>
              <w:jc w:val="center"/>
            </w:pPr>
            <w:r w:rsidRPr="002B3844">
              <w:t>0,93</w:t>
            </w:r>
          </w:p>
        </w:tc>
        <w:tc>
          <w:tcPr>
            <w:tcW w:w="1356" w:type="dxa"/>
            <w:shd w:val="clear" w:color="auto" w:fill="D9D9D9" w:themeFill="background1" w:themeFillShade="D9"/>
            <w:vAlign w:val="bottom"/>
          </w:tcPr>
          <w:p w:rsidR="002B3844" w:rsidRPr="002B3844" w:rsidRDefault="002B3844" w:rsidP="00F8167F">
            <w:pPr>
              <w:jc w:val="center"/>
            </w:pPr>
            <w:r w:rsidRPr="002B3844">
              <w:t>1,54</w:t>
            </w:r>
          </w:p>
        </w:tc>
      </w:tr>
      <w:tr w:rsidR="002B3844" w:rsidRPr="001C3B10" w:rsidTr="002B3844">
        <w:trPr>
          <w:trHeight w:val="386"/>
        </w:trPr>
        <w:tc>
          <w:tcPr>
            <w:tcW w:w="2256" w:type="dxa"/>
            <w:vAlign w:val="bottom"/>
          </w:tcPr>
          <w:p w:rsidR="002B3844" w:rsidRPr="002B3844" w:rsidRDefault="002B3844" w:rsidP="00F8167F">
            <w:pPr>
              <w:jc w:val="center"/>
            </w:pPr>
            <w:r w:rsidRPr="002B3844">
              <w:t>Lotyšsko</w:t>
            </w:r>
          </w:p>
        </w:tc>
        <w:tc>
          <w:tcPr>
            <w:tcW w:w="1356" w:type="dxa"/>
            <w:vAlign w:val="bottom"/>
          </w:tcPr>
          <w:p w:rsidR="002B3844" w:rsidRPr="002B3844" w:rsidRDefault="002B3844" w:rsidP="00F8167F">
            <w:pPr>
              <w:jc w:val="center"/>
            </w:pPr>
            <w:r w:rsidRPr="002B3844">
              <w:t>0,04</w:t>
            </w:r>
          </w:p>
        </w:tc>
        <w:tc>
          <w:tcPr>
            <w:tcW w:w="1788" w:type="dxa"/>
            <w:vAlign w:val="bottom"/>
          </w:tcPr>
          <w:p w:rsidR="002B3844" w:rsidRPr="002B3844" w:rsidRDefault="002B3844" w:rsidP="00F8167F">
            <w:pPr>
              <w:jc w:val="center"/>
            </w:pPr>
            <w:r w:rsidRPr="002B3844">
              <w:t>0,01</w:t>
            </w:r>
          </w:p>
        </w:tc>
        <w:tc>
          <w:tcPr>
            <w:tcW w:w="1356" w:type="dxa"/>
            <w:vAlign w:val="bottom"/>
          </w:tcPr>
          <w:p w:rsidR="002B3844" w:rsidRPr="002B3844" w:rsidRDefault="002B3844" w:rsidP="00F8167F">
            <w:pPr>
              <w:jc w:val="center"/>
            </w:pPr>
            <w:r w:rsidRPr="002B3844">
              <w:t>0,38</w:t>
            </w:r>
          </w:p>
        </w:tc>
        <w:tc>
          <w:tcPr>
            <w:tcW w:w="1476" w:type="dxa"/>
            <w:vAlign w:val="bottom"/>
          </w:tcPr>
          <w:p w:rsidR="002B3844" w:rsidRPr="002B3844" w:rsidRDefault="002B3844" w:rsidP="00F8167F">
            <w:pPr>
              <w:jc w:val="center"/>
            </w:pPr>
            <w:r w:rsidRPr="002B3844">
              <w:t>0,42</w:t>
            </w:r>
          </w:p>
        </w:tc>
        <w:tc>
          <w:tcPr>
            <w:tcW w:w="1356" w:type="dxa"/>
            <w:vAlign w:val="bottom"/>
          </w:tcPr>
          <w:p w:rsidR="002B3844" w:rsidRPr="002B3844" w:rsidRDefault="002B3844" w:rsidP="00F8167F">
            <w:pPr>
              <w:jc w:val="center"/>
            </w:pPr>
            <w:r w:rsidRPr="002B3844">
              <w:t>1,15</w:t>
            </w:r>
          </w:p>
        </w:tc>
      </w:tr>
      <w:tr w:rsidR="002B3844" w:rsidRPr="001C3B10" w:rsidTr="002B3844">
        <w:trPr>
          <w:trHeight w:val="386"/>
        </w:trPr>
        <w:tc>
          <w:tcPr>
            <w:tcW w:w="2256" w:type="dxa"/>
            <w:shd w:val="clear" w:color="auto" w:fill="D9D9D9" w:themeFill="background1" w:themeFillShade="D9"/>
            <w:vAlign w:val="bottom"/>
          </w:tcPr>
          <w:p w:rsidR="002B3844" w:rsidRPr="002B3844" w:rsidRDefault="002B3844" w:rsidP="00F8167F">
            <w:pPr>
              <w:jc w:val="center"/>
            </w:pPr>
            <w:r w:rsidRPr="002B3844">
              <w:t>Lucembursko</w:t>
            </w:r>
          </w:p>
        </w:tc>
        <w:tc>
          <w:tcPr>
            <w:tcW w:w="1356" w:type="dxa"/>
            <w:shd w:val="clear" w:color="auto" w:fill="D9D9D9" w:themeFill="background1" w:themeFillShade="D9"/>
            <w:vAlign w:val="bottom"/>
          </w:tcPr>
          <w:p w:rsidR="002B3844" w:rsidRPr="002B3844" w:rsidRDefault="002B3844" w:rsidP="00F8167F">
            <w:pPr>
              <w:jc w:val="center"/>
            </w:pPr>
            <w:r w:rsidRPr="002B3844">
              <w:t>0</w:t>
            </w:r>
          </w:p>
        </w:tc>
        <w:tc>
          <w:tcPr>
            <w:tcW w:w="1788" w:type="dxa"/>
            <w:shd w:val="clear" w:color="auto" w:fill="D9D9D9" w:themeFill="background1" w:themeFillShade="D9"/>
            <w:vAlign w:val="bottom"/>
          </w:tcPr>
          <w:p w:rsidR="002B3844" w:rsidRPr="002B3844" w:rsidRDefault="002B3844" w:rsidP="00F8167F">
            <w:pPr>
              <w:jc w:val="center"/>
            </w:pPr>
            <w:r w:rsidRPr="002B3844">
              <w:t>0,02</w:t>
            </w:r>
          </w:p>
        </w:tc>
        <w:tc>
          <w:tcPr>
            <w:tcW w:w="1356" w:type="dxa"/>
            <w:shd w:val="clear" w:color="auto" w:fill="D9D9D9" w:themeFill="background1" w:themeFillShade="D9"/>
            <w:vAlign w:val="bottom"/>
          </w:tcPr>
          <w:p w:rsidR="002B3844" w:rsidRPr="002B3844" w:rsidRDefault="002B3844" w:rsidP="00F8167F">
            <w:pPr>
              <w:jc w:val="center"/>
            </w:pPr>
            <w:r w:rsidRPr="002B3844">
              <w:t>0,11</w:t>
            </w:r>
          </w:p>
        </w:tc>
        <w:tc>
          <w:tcPr>
            <w:tcW w:w="1476" w:type="dxa"/>
            <w:shd w:val="clear" w:color="auto" w:fill="D9D9D9" w:themeFill="background1" w:themeFillShade="D9"/>
            <w:vAlign w:val="bottom"/>
          </w:tcPr>
          <w:p w:rsidR="002B3844" w:rsidRPr="002B3844" w:rsidRDefault="002B3844" w:rsidP="00F8167F">
            <w:pPr>
              <w:jc w:val="center"/>
            </w:pPr>
            <w:r w:rsidRPr="002B3844">
              <w:t>0,13</w:t>
            </w:r>
          </w:p>
        </w:tc>
        <w:tc>
          <w:tcPr>
            <w:tcW w:w="1356" w:type="dxa"/>
            <w:shd w:val="clear" w:color="auto" w:fill="D9D9D9" w:themeFill="background1" w:themeFillShade="D9"/>
            <w:vAlign w:val="bottom"/>
          </w:tcPr>
          <w:p w:rsidR="002B3844" w:rsidRPr="002B3844" w:rsidRDefault="002B3844" w:rsidP="00F8167F">
            <w:pPr>
              <w:jc w:val="center"/>
            </w:pPr>
            <w:r w:rsidRPr="002B3844">
              <w:t>0,17</w:t>
            </w:r>
          </w:p>
        </w:tc>
      </w:tr>
      <w:tr w:rsidR="002B3844" w:rsidRPr="001C3B10" w:rsidTr="002B3844">
        <w:trPr>
          <w:trHeight w:val="386"/>
        </w:trPr>
        <w:tc>
          <w:tcPr>
            <w:tcW w:w="2256" w:type="dxa"/>
            <w:vAlign w:val="bottom"/>
          </w:tcPr>
          <w:p w:rsidR="002B3844" w:rsidRPr="002B3844" w:rsidRDefault="002B3844" w:rsidP="00F8167F">
            <w:pPr>
              <w:jc w:val="center"/>
            </w:pPr>
            <w:r w:rsidRPr="002B3844">
              <w:t>Maďarsko</w:t>
            </w:r>
          </w:p>
        </w:tc>
        <w:tc>
          <w:tcPr>
            <w:tcW w:w="1356" w:type="dxa"/>
            <w:vAlign w:val="bottom"/>
          </w:tcPr>
          <w:p w:rsidR="002B3844" w:rsidRPr="002B3844" w:rsidRDefault="002B3844" w:rsidP="00F8167F">
            <w:pPr>
              <w:jc w:val="center"/>
            </w:pPr>
            <w:r w:rsidRPr="002B3844">
              <w:t>0</w:t>
            </w:r>
          </w:p>
        </w:tc>
        <w:tc>
          <w:tcPr>
            <w:tcW w:w="1788" w:type="dxa"/>
            <w:vAlign w:val="bottom"/>
          </w:tcPr>
          <w:p w:rsidR="002B3844" w:rsidRPr="002B3844" w:rsidRDefault="002B3844" w:rsidP="00F8167F">
            <w:pPr>
              <w:jc w:val="center"/>
            </w:pPr>
            <w:r w:rsidRPr="002B3844">
              <w:t>0,05</w:t>
            </w:r>
          </w:p>
        </w:tc>
        <w:tc>
          <w:tcPr>
            <w:tcW w:w="1356" w:type="dxa"/>
            <w:vAlign w:val="bottom"/>
          </w:tcPr>
          <w:p w:rsidR="002B3844" w:rsidRPr="002B3844" w:rsidRDefault="002B3844" w:rsidP="00F8167F">
            <w:pPr>
              <w:jc w:val="center"/>
            </w:pPr>
            <w:r w:rsidRPr="002B3844">
              <w:t>0</w:t>
            </w:r>
          </w:p>
        </w:tc>
        <w:tc>
          <w:tcPr>
            <w:tcW w:w="1476" w:type="dxa"/>
            <w:vAlign w:val="bottom"/>
          </w:tcPr>
          <w:p w:rsidR="002B3844" w:rsidRPr="002B3844" w:rsidRDefault="002B3844" w:rsidP="00F8167F">
            <w:pPr>
              <w:jc w:val="center"/>
            </w:pPr>
            <w:r w:rsidRPr="002B3844">
              <w:t>0,05</w:t>
            </w:r>
          </w:p>
        </w:tc>
        <w:tc>
          <w:tcPr>
            <w:tcW w:w="1356" w:type="dxa"/>
            <w:vAlign w:val="bottom"/>
          </w:tcPr>
          <w:p w:rsidR="002B3844" w:rsidRPr="002B3844" w:rsidRDefault="002B3844" w:rsidP="00F8167F">
            <w:pPr>
              <w:jc w:val="center"/>
            </w:pPr>
            <w:r w:rsidRPr="002B3844">
              <w:t>0,03</w:t>
            </w:r>
          </w:p>
        </w:tc>
      </w:tr>
      <w:tr w:rsidR="002B3844" w:rsidRPr="001C3B10" w:rsidTr="002B3844">
        <w:trPr>
          <w:trHeight w:val="386"/>
        </w:trPr>
        <w:tc>
          <w:tcPr>
            <w:tcW w:w="2256" w:type="dxa"/>
            <w:shd w:val="clear" w:color="auto" w:fill="D9D9D9" w:themeFill="background1" w:themeFillShade="D9"/>
            <w:vAlign w:val="bottom"/>
          </w:tcPr>
          <w:p w:rsidR="002B3844" w:rsidRPr="002B3844" w:rsidRDefault="002B3844" w:rsidP="00F8167F">
            <w:pPr>
              <w:jc w:val="center"/>
            </w:pPr>
            <w:r w:rsidRPr="002B3844">
              <w:t>Malta</w:t>
            </w:r>
          </w:p>
        </w:tc>
        <w:tc>
          <w:tcPr>
            <w:tcW w:w="1356" w:type="dxa"/>
            <w:shd w:val="clear" w:color="auto" w:fill="D9D9D9" w:themeFill="background1" w:themeFillShade="D9"/>
            <w:vAlign w:val="bottom"/>
          </w:tcPr>
          <w:p w:rsidR="002B3844" w:rsidRPr="002B3844" w:rsidRDefault="002B3844" w:rsidP="00F8167F">
            <w:pPr>
              <w:jc w:val="center"/>
            </w:pPr>
            <w:r w:rsidRPr="002B3844">
              <w:t>0</w:t>
            </w:r>
          </w:p>
        </w:tc>
        <w:tc>
          <w:tcPr>
            <w:tcW w:w="1788" w:type="dxa"/>
            <w:shd w:val="clear" w:color="auto" w:fill="D9D9D9" w:themeFill="background1" w:themeFillShade="D9"/>
            <w:vAlign w:val="bottom"/>
          </w:tcPr>
          <w:p w:rsidR="002B3844" w:rsidRPr="002B3844" w:rsidRDefault="002B3844" w:rsidP="00F8167F">
            <w:pPr>
              <w:jc w:val="center"/>
            </w:pPr>
            <w:r w:rsidRPr="002B3844">
              <w:t>0</w:t>
            </w:r>
          </w:p>
        </w:tc>
        <w:tc>
          <w:tcPr>
            <w:tcW w:w="1356" w:type="dxa"/>
            <w:shd w:val="clear" w:color="auto" w:fill="D9D9D9" w:themeFill="background1" w:themeFillShade="D9"/>
            <w:vAlign w:val="bottom"/>
          </w:tcPr>
          <w:p w:rsidR="002B3844" w:rsidRPr="002B3844" w:rsidRDefault="002B3844" w:rsidP="00F8167F">
            <w:pPr>
              <w:jc w:val="center"/>
            </w:pPr>
            <w:r w:rsidRPr="002B3844">
              <w:t>0</w:t>
            </w:r>
          </w:p>
        </w:tc>
        <w:tc>
          <w:tcPr>
            <w:tcW w:w="1476" w:type="dxa"/>
            <w:shd w:val="clear" w:color="auto" w:fill="D9D9D9" w:themeFill="background1" w:themeFillShade="D9"/>
            <w:vAlign w:val="bottom"/>
          </w:tcPr>
          <w:p w:rsidR="002B3844" w:rsidRPr="002B3844" w:rsidRDefault="002B3844" w:rsidP="00F8167F">
            <w:pPr>
              <w:jc w:val="center"/>
            </w:pPr>
            <w:r w:rsidRPr="002B3844">
              <w:t>0</w:t>
            </w:r>
          </w:p>
        </w:tc>
        <w:tc>
          <w:tcPr>
            <w:tcW w:w="1356" w:type="dxa"/>
            <w:shd w:val="clear" w:color="auto" w:fill="D9D9D9" w:themeFill="background1" w:themeFillShade="D9"/>
            <w:vAlign w:val="bottom"/>
          </w:tcPr>
          <w:p w:rsidR="002B3844" w:rsidRPr="002B3844" w:rsidRDefault="002B3844" w:rsidP="00F8167F">
            <w:pPr>
              <w:jc w:val="center"/>
            </w:pPr>
            <w:r w:rsidRPr="002B3844">
              <w:t>0,01</w:t>
            </w:r>
          </w:p>
        </w:tc>
      </w:tr>
      <w:tr w:rsidR="002B3844" w:rsidRPr="001C3B10" w:rsidTr="002B3844">
        <w:trPr>
          <w:trHeight w:val="386"/>
        </w:trPr>
        <w:tc>
          <w:tcPr>
            <w:tcW w:w="2256" w:type="dxa"/>
            <w:vAlign w:val="bottom"/>
          </w:tcPr>
          <w:p w:rsidR="002B3844" w:rsidRPr="002B3844" w:rsidRDefault="002B3844" w:rsidP="00F8167F">
            <w:pPr>
              <w:jc w:val="center"/>
            </w:pPr>
            <w:r w:rsidRPr="002B3844">
              <w:t>Německo</w:t>
            </w:r>
          </w:p>
        </w:tc>
        <w:tc>
          <w:tcPr>
            <w:tcW w:w="1356" w:type="dxa"/>
            <w:vAlign w:val="bottom"/>
          </w:tcPr>
          <w:p w:rsidR="002B3844" w:rsidRPr="002B3844" w:rsidRDefault="002B3844" w:rsidP="00F8167F">
            <w:pPr>
              <w:jc w:val="center"/>
            </w:pPr>
            <w:r w:rsidRPr="002B3844">
              <w:t>1,41</w:t>
            </w:r>
          </w:p>
        </w:tc>
        <w:tc>
          <w:tcPr>
            <w:tcW w:w="1788" w:type="dxa"/>
            <w:vAlign w:val="bottom"/>
          </w:tcPr>
          <w:p w:rsidR="002B3844" w:rsidRPr="002B3844" w:rsidRDefault="002B3844" w:rsidP="00F8167F">
            <w:pPr>
              <w:jc w:val="center"/>
            </w:pPr>
            <w:r w:rsidRPr="002B3844">
              <w:t>2,95</w:t>
            </w:r>
          </w:p>
        </w:tc>
        <w:tc>
          <w:tcPr>
            <w:tcW w:w="1356" w:type="dxa"/>
            <w:vAlign w:val="bottom"/>
          </w:tcPr>
          <w:p w:rsidR="002B3844" w:rsidRPr="002B3844" w:rsidRDefault="002B3844" w:rsidP="00F8167F">
            <w:pPr>
              <w:jc w:val="center"/>
            </w:pPr>
            <w:r w:rsidRPr="002B3844">
              <w:t>17,7</w:t>
            </w:r>
          </w:p>
        </w:tc>
        <w:tc>
          <w:tcPr>
            <w:tcW w:w="1476" w:type="dxa"/>
            <w:vAlign w:val="bottom"/>
          </w:tcPr>
          <w:p w:rsidR="002B3844" w:rsidRPr="002B3844" w:rsidRDefault="002B3844" w:rsidP="00F8167F">
            <w:pPr>
              <w:jc w:val="center"/>
            </w:pPr>
            <w:r w:rsidRPr="002B3844">
              <w:t>22,06</w:t>
            </w:r>
          </w:p>
        </w:tc>
        <w:tc>
          <w:tcPr>
            <w:tcW w:w="1356" w:type="dxa"/>
            <w:vAlign w:val="bottom"/>
          </w:tcPr>
          <w:p w:rsidR="002B3844" w:rsidRPr="002B3844" w:rsidRDefault="002B3844" w:rsidP="00F8167F">
            <w:pPr>
              <w:jc w:val="center"/>
            </w:pPr>
            <w:r w:rsidRPr="002B3844">
              <w:t>0,57</w:t>
            </w:r>
          </w:p>
        </w:tc>
      </w:tr>
      <w:tr w:rsidR="002B3844" w:rsidRPr="001C3B10" w:rsidTr="002B3844">
        <w:trPr>
          <w:trHeight w:val="402"/>
        </w:trPr>
        <w:tc>
          <w:tcPr>
            <w:tcW w:w="2256" w:type="dxa"/>
            <w:shd w:val="clear" w:color="auto" w:fill="D9D9D9" w:themeFill="background1" w:themeFillShade="D9"/>
            <w:vAlign w:val="bottom"/>
          </w:tcPr>
          <w:p w:rsidR="002B3844" w:rsidRPr="002B3844" w:rsidRDefault="002B3844" w:rsidP="00F8167F">
            <w:pPr>
              <w:jc w:val="center"/>
            </w:pPr>
            <w:r w:rsidRPr="002B3844">
              <w:t>Nizozemsko</w:t>
            </w:r>
          </w:p>
        </w:tc>
        <w:tc>
          <w:tcPr>
            <w:tcW w:w="1356" w:type="dxa"/>
            <w:shd w:val="clear" w:color="auto" w:fill="D9D9D9" w:themeFill="background1" w:themeFillShade="D9"/>
            <w:vAlign w:val="bottom"/>
          </w:tcPr>
          <w:p w:rsidR="002B3844" w:rsidRPr="002B3844" w:rsidRDefault="002B3844" w:rsidP="00F8167F">
            <w:pPr>
              <w:jc w:val="center"/>
            </w:pPr>
            <w:r w:rsidRPr="002B3844">
              <w:t>1,05</w:t>
            </w:r>
          </w:p>
        </w:tc>
        <w:tc>
          <w:tcPr>
            <w:tcW w:w="1788" w:type="dxa"/>
            <w:shd w:val="clear" w:color="auto" w:fill="D9D9D9" w:themeFill="background1" w:themeFillShade="D9"/>
            <w:vAlign w:val="bottom"/>
          </w:tcPr>
          <w:p w:rsidR="002B3844" w:rsidRPr="002B3844" w:rsidRDefault="002B3844" w:rsidP="00F8167F">
            <w:pPr>
              <w:jc w:val="center"/>
            </w:pPr>
            <w:r w:rsidRPr="002B3844">
              <w:t>0,72</w:t>
            </w:r>
          </w:p>
        </w:tc>
        <w:tc>
          <w:tcPr>
            <w:tcW w:w="1356" w:type="dxa"/>
            <w:shd w:val="clear" w:color="auto" w:fill="D9D9D9" w:themeFill="background1" w:themeFillShade="D9"/>
            <w:vAlign w:val="bottom"/>
          </w:tcPr>
          <w:p w:rsidR="002B3844" w:rsidRPr="002B3844" w:rsidRDefault="002B3844" w:rsidP="00F8167F">
            <w:pPr>
              <w:jc w:val="center"/>
            </w:pPr>
            <w:r w:rsidRPr="002B3844">
              <w:t>4,44</w:t>
            </w:r>
          </w:p>
        </w:tc>
        <w:tc>
          <w:tcPr>
            <w:tcW w:w="1476" w:type="dxa"/>
            <w:shd w:val="clear" w:color="auto" w:fill="D9D9D9" w:themeFill="background1" w:themeFillShade="D9"/>
            <w:vAlign w:val="bottom"/>
          </w:tcPr>
          <w:p w:rsidR="002B3844" w:rsidRPr="002B3844" w:rsidRDefault="002B3844" w:rsidP="00F8167F">
            <w:pPr>
              <w:jc w:val="center"/>
            </w:pPr>
            <w:r w:rsidRPr="002B3844">
              <w:t>6,21</w:t>
            </w:r>
          </w:p>
        </w:tc>
        <w:tc>
          <w:tcPr>
            <w:tcW w:w="1356" w:type="dxa"/>
            <w:shd w:val="clear" w:color="auto" w:fill="D9D9D9" w:themeFill="background1" w:themeFillShade="D9"/>
            <w:vAlign w:val="bottom"/>
          </w:tcPr>
          <w:p w:rsidR="002B3844" w:rsidRPr="002B3844" w:rsidRDefault="002B3844" w:rsidP="00F8167F">
            <w:pPr>
              <w:jc w:val="center"/>
            </w:pPr>
            <w:r w:rsidRPr="002B3844">
              <w:t>0,67</w:t>
            </w:r>
          </w:p>
        </w:tc>
      </w:tr>
      <w:tr w:rsidR="002B3844" w:rsidRPr="001C3B10" w:rsidTr="002B3844">
        <w:trPr>
          <w:trHeight w:val="386"/>
        </w:trPr>
        <w:tc>
          <w:tcPr>
            <w:tcW w:w="2256" w:type="dxa"/>
            <w:vAlign w:val="bottom"/>
          </w:tcPr>
          <w:p w:rsidR="002B3844" w:rsidRPr="002B3844" w:rsidRDefault="002B3844" w:rsidP="00F8167F">
            <w:pPr>
              <w:jc w:val="center"/>
            </w:pPr>
            <w:r w:rsidRPr="002B3844">
              <w:t>Polsko</w:t>
            </w:r>
          </w:p>
        </w:tc>
        <w:tc>
          <w:tcPr>
            <w:tcW w:w="1356" w:type="dxa"/>
            <w:vAlign w:val="bottom"/>
          </w:tcPr>
          <w:p w:rsidR="002B3844" w:rsidRPr="002B3844" w:rsidRDefault="002B3844" w:rsidP="00F8167F">
            <w:pPr>
              <w:jc w:val="center"/>
            </w:pPr>
            <w:r w:rsidRPr="002B3844">
              <w:t>0,92</w:t>
            </w:r>
          </w:p>
        </w:tc>
        <w:tc>
          <w:tcPr>
            <w:tcW w:w="1788" w:type="dxa"/>
            <w:vAlign w:val="bottom"/>
          </w:tcPr>
          <w:p w:rsidR="002B3844" w:rsidRPr="002B3844" w:rsidRDefault="002B3844" w:rsidP="00F8167F">
            <w:pPr>
              <w:jc w:val="center"/>
            </w:pPr>
            <w:r w:rsidRPr="002B3844">
              <w:t>0,38</w:t>
            </w:r>
          </w:p>
        </w:tc>
        <w:tc>
          <w:tcPr>
            <w:tcW w:w="1356" w:type="dxa"/>
            <w:vAlign w:val="bottom"/>
          </w:tcPr>
          <w:p w:rsidR="002B3844" w:rsidRPr="002B3844" w:rsidRDefault="002B3844" w:rsidP="00F8167F">
            <w:pPr>
              <w:jc w:val="center"/>
            </w:pPr>
            <w:r w:rsidRPr="002B3844">
              <w:t>3</w:t>
            </w:r>
          </w:p>
        </w:tc>
        <w:tc>
          <w:tcPr>
            <w:tcW w:w="1476" w:type="dxa"/>
            <w:vAlign w:val="bottom"/>
          </w:tcPr>
          <w:p w:rsidR="002B3844" w:rsidRPr="002B3844" w:rsidRDefault="002B3844" w:rsidP="00F8167F">
            <w:pPr>
              <w:jc w:val="center"/>
            </w:pPr>
            <w:r w:rsidRPr="002B3844">
              <w:t>4,3</w:t>
            </w:r>
          </w:p>
        </w:tc>
        <w:tc>
          <w:tcPr>
            <w:tcW w:w="1356" w:type="dxa"/>
            <w:vAlign w:val="bottom"/>
          </w:tcPr>
          <w:p w:rsidR="002B3844" w:rsidRPr="002B3844" w:rsidRDefault="002B3844" w:rsidP="00F8167F">
            <w:pPr>
              <w:jc w:val="center"/>
            </w:pPr>
            <w:r w:rsidRPr="002B3844">
              <w:t>0,69</w:t>
            </w:r>
          </w:p>
        </w:tc>
      </w:tr>
      <w:tr w:rsidR="002B3844" w:rsidRPr="001C3B10" w:rsidTr="002B3844">
        <w:trPr>
          <w:trHeight w:val="386"/>
        </w:trPr>
        <w:tc>
          <w:tcPr>
            <w:tcW w:w="2256" w:type="dxa"/>
            <w:shd w:val="clear" w:color="auto" w:fill="D9D9D9" w:themeFill="background1" w:themeFillShade="D9"/>
            <w:vAlign w:val="bottom"/>
          </w:tcPr>
          <w:p w:rsidR="002B3844" w:rsidRPr="002B3844" w:rsidRDefault="002B3844" w:rsidP="00F8167F">
            <w:pPr>
              <w:jc w:val="center"/>
            </w:pPr>
            <w:r w:rsidRPr="002B3844">
              <w:t>Portugalsko</w:t>
            </w:r>
          </w:p>
        </w:tc>
        <w:tc>
          <w:tcPr>
            <w:tcW w:w="1356" w:type="dxa"/>
            <w:shd w:val="clear" w:color="auto" w:fill="D9D9D9" w:themeFill="background1" w:themeFillShade="D9"/>
            <w:vAlign w:val="bottom"/>
          </w:tcPr>
          <w:p w:rsidR="002B3844" w:rsidRPr="002B3844" w:rsidRDefault="002B3844" w:rsidP="00F8167F">
            <w:pPr>
              <w:jc w:val="center"/>
            </w:pPr>
            <w:r w:rsidRPr="002B3844">
              <w:t>0</w:t>
            </w:r>
          </w:p>
        </w:tc>
        <w:tc>
          <w:tcPr>
            <w:tcW w:w="1788" w:type="dxa"/>
            <w:shd w:val="clear" w:color="auto" w:fill="D9D9D9" w:themeFill="background1" w:themeFillShade="D9"/>
            <w:vAlign w:val="bottom"/>
          </w:tcPr>
          <w:p w:rsidR="002B3844" w:rsidRPr="002B3844" w:rsidRDefault="002B3844" w:rsidP="00F8167F">
            <w:pPr>
              <w:jc w:val="center"/>
            </w:pPr>
            <w:r w:rsidRPr="002B3844">
              <w:t>0</w:t>
            </w:r>
          </w:p>
        </w:tc>
        <w:tc>
          <w:tcPr>
            <w:tcW w:w="1356" w:type="dxa"/>
            <w:shd w:val="clear" w:color="auto" w:fill="D9D9D9" w:themeFill="background1" w:themeFillShade="D9"/>
            <w:vAlign w:val="bottom"/>
          </w:tcPr>
          <w:p w:rsidR="002B3844" w:rsidRPr="002B3844" w:rsidRDefault="002B3844" w:rsidP="00F8167F">
            <w:pPr>
              <w:jc w:val="center"/>
            </w:pPr>
            <w:r w:rsidRPr="002B3844">
              <w:t>0,07</w:t>
            </w:r>
          </w:p>
        </w:tc>
        <w:tc>
          <w:tcPr>
            <w:tcW w:w="1476" w:type="dxa"/>
            <w:shd w:val="clear" w:color="auto" w:fill="D9D9D9" w:themeFill="background1" w:themeFillShade="D9"/>
            <w:vAlign w:val="bottom"/>
          </w:tcPr>
          <w:p w:rsidR="002B3844" w:rsidRPr="002B3844" w:rsidRDefault="002B3844" w:rsidP="00F8167F">
            <w:pPr>
              <w:jc w:val="center"/>
            </w:pPr>
            <w:r w:rsidRPr="002B3844">
              <w:t>0,08</w:t>
            </w:r>
          </w:p>
        </w:tc>
        <w:tc>
          <w:tcPr>
            <w:tcW w:w="1356" w:type="dxa"/>
            <w:shd w:val="clear" w:color="auto" w:fill="D9D9D9" w:themeFill="background1" w:themeFillShade="D9"/>
            <w:vAlign w:val="bottom"/>
          </w:tcPr>
          <w:p w:rsidR="002B3844" w:rsidRPr="002B3844" w:rsidRDefault="002B3844" w:rsidP="00F8167F">
            <w:pPr>
              <w:jc w:val="center"/>
            </w:pPr>
            <w:r w:rsidRPr="002B3844">
              <w:t>0,03</w:t>
            </w:r>
          </w:p>
        </w:tc>
      </w:tr>
      <w:tr w:rsidR="002B3844" w:rsidRPr="001C3B10" w:rsidTr="002B3844">
        <w:trPr>
          <w:trHeight w:val="386"/>
        </w:trPr>
        <w:tc>
          <w:tcPr>
            <w:tcW w:w="2256" w:type="dxa"/>
            <w:vAlign w:val="bottom"/>
          </w:tcPr>
          <w:p w:rsidR="002B3844" w:rsidRPr="002B3844" w:rsidRDefault="002B3844" w:rsidP="00F8167F">
            <w:pPr>
              <w:jc w:val="center"/>
            </w:pPr>
            <w:r w:rsidRPr="002B3844">
              <w:t>Rakouskou</w:t>
            </w:r>
          </w:p>
        </w:tc>
        <w:tc>
          <w:tcPr>
            <w:tcW w:w="1356" w:type="dxa"/>
            <w:vAlign w:val="bottom"/>
          </w:tcPr>
          <w:p w:rsidR="002B3844" w:rsidRPr="002B3844" w:rsidRDefault="002B3844" w:rsidP="00F8167F">
            <w:pPr>
              <w:jc w:val="center"/>
            </w:pPr>
            <w:r w:rsidRPr="002B3844">
              <w:t>0,68</w:t>
            </w:r>
          </w:p>
        </w:tc>
        <w:tc>
          <w:tcPr>
            <w:tcW w:w="1788" w:type="dxa"/>
            <w:vAlign w:val="bottom"/>
          </w:tcPr>
          <w:p w:rsidR="002B3844" w:rsidRPr="002B3844" w:rsidRDefault="002B3844" w:rsidP="00F8167F">
            <w:pPr>
              <w:jc w:val="center"/>
            </w:pPr>
            <w:r w:rsidRPr="002B3844">
              <w:t>0,12</w:t>
            </w:r>
          </w:p>
        </w:tc>
        <w:tc>
          <w:tcPr>
            <w:tcW w:w="1356" w:type="dxa"/>
            <w:vAlign w:val="bottom"/>
          </w:tcPr>
          <w:p w:rsidR="002B3844" w:rsidRPr="002B3844" w:rsidRDefault="002B3844" w:rsidP="00F8167F">
            <w:pPr>
              <w:jc w:val="center"/>
            </w:pPr>
            <w:r w:rsidRPr="002B3844">
              <w:t>0</w:t>
            </w:r>
          </w:p>
        </w:tc>
        <w:tc>
          <w:tcPr>
            <w:tcW w:w="1476" w:type="dxa"/>
            <w:vAlign w:val="bottom"/>
          </w:tcPr>
          <w:p w:rsidR="002B3844" w:rsidRPr="002B3844" w:rsidRDefault="002B3844" w:rsidP="00F8167F">
            <w:pPr>
              <w:jc w:val="center"/>
            </w:pPr>
            <w:r w:rsidRPr="002B3844">
              <w:t>0,8</w:t>
            </w:r>
          </w:p>
        </w:tc>
        <w:tc>
          <w:tcPr>
            <w:tcW w:w="1356" w:type="dxa"/>
            <w:vAlign w:val="bottom"/>
          </w:tcPr>
          <w:p w:rsidR="002B3844" w:rsidRPr="002B3844" w:rsidRDefault="002B3844" w:rsidP="00F8167F">
            <w:pPr>
              <w:jc w:val="center"/>
            </w:pPr>
            <w:r w:rsidRPr="002B3844">
              <w:t>0,18</w:t>
            </w:r>
          </w:p>
        </w:tc>
      </w:tr>
      <w:tr w:rsidR="002B3844" w:rsidRPr="001C3B10" w:rsidTr="002B3844">
        <w:trPr>
          <w:trHeight w:val="386"/>
        </w:trPr>
        <w:tc>
          <w:tcPr>
            <w:tcW w:w="2256" w:type="dxa"/>
            <w:shd w:val="clear" w:color="auto" w:fill="D9D9D9" w:themeFill="background1" w:themeFillShade="D9"/>
            <w:vAlign w:val="bottom"/>
          </w:tcPr>
          <w:p w:rsidR="002B3844" w:rsidRPr="002B3844" w:rsidRDefault="002B3844" w:rsidP="00F8167F">
            <w:pPr>
              <w:jc w:val="center"/>
            </w:pPr>
            <w:r w:rsidRPr="002B3844">
              <w:t>Rumunsko</w:t>
            </w:r>
          </w:p>
        </w:tc>
        <w:tc>
          <w:tcPr>
            <w:tcW w:w="1356" w:type="dxa"/>
            <w:shd w:val="clear" w:color="auto" w:fill="D9D9D9" w:themeFill="background1" w:themeFillShade="D9"/>
            <w:vAlign w:val="bottom"/>
          </w:tcPr>
          <w:p w:rsidR="002B3844" w:rsidRPr="002B3844" w:rsidRDefault="002B3844" w:rsidP="00F8167F">
            <w:pPr>
              <w:jc w:val="center"/>
            </w:pPr>
            <w:r w:rsidRPr="002B3844">
              <w:t>0</w:t>
            </w:r>
          </w:p>
        </w:tc>
        <w:tc>
          <w:tcPr>
            <w:tcW w:w="1788" w:type="dxa"/>
            <w:shd w:val="clear" w:color="auto" w:fill="D9D9D9" w:themeFill="background1" w:themeFillShade="D9"/>
            <w:vAlign w:val="bottom"/>
          </w:tcPr>
          <w:p w:rsidR="002B3844" w:rsidRPr="002B3844" w:rsidRDefault="002B3844" w:rsidP="00F8167F">
            <w:pPr>
              <w:jc w:val="center"/>
            </w:pPr>
            <w:r w:rsidRPr="002B3844">
              <w:t>0,12</w:t>
            </w:r>
          </w:p>
        </w:tc>
        <w:tc>
          <w:tcPr>
            <w:tcW w:w="1356" w:type="dxa"/>
            <w:shd w:val="clear" w:color="auto" w:fill="D9D9D9" w:themeFill="background1" w:themeFillShade="D9"/>
            <w:vAlign w:val="bottom"/>
          </w:tcPr>
          <w:p w:rsidR="002B3844" w:rsidRPr="002B3844" w:rsidRDefault="002B3844" w:rsidP="00F8167F">
            <w:pPr>
              <w:jc w:val="center"/>
            </w:pPr>
            <w:r w:rsidRPr="002B3844">
              <w:t>0</w:t>
            </w:r>
          </w:p>
        </w:tc>
        <w:tc>
          <w:tcPr>
            <w:tcW w:w="1476" w:type="dxa"/>
            <w:shd w:val="clear" w:color="auto" w:fill="D9D9D9" w:themeFill="background1" w:themeFillShade="D9"/>
            <w:vAlign w:val="bottom"/>
          </w:tcPr>
          <w:p w:rsidR="002B3844" w:rsidRPr="002B3844" w:rsidRDefault="002B3844" w:rsidP="00F8167F">
            <w:pPr>
              <w:jc w:val="center"/>
            </w:pPr>
            <w:r w:rsidRPr="002B3844">
              <w:t>0,13</w:t>
            </w:r>
          </w:p>
        </w:tc>
        <w:tc>
          <w:tcPr>
            <w:tcW w:w="1356" w:type="dxa"/>
            <w:shd w:val="clear" w:color="auto" w:fill="D9D9D9" w:themeFill="background1" w:themeFillShade="D9"/>
            <w:vAlign w:val="bottom"/>
          </w:tcPr>
          <w:p w:rsidR="002B3844" w:rsidRPr="002B3844" w:rsidRDefault="002B3844" w:rsidP="00F8167F">
            <w:pPr>
              <w:jc w:val="center"/>
            </w:pPr>
            <w:r w:rsidRPr="002B3844">
              <w:t>0,05</w:t>
            </w:r>
          </w:p>
        </w:tc>
      </w:tr>
      <w:tr w:rsidR="002B3844" w:rsidRPr="001C3B10" w:rsidTr="002B3844">
        <w:trPr>
          <w:trHeight w:val="386"/>
        </w:trPr>
        <w:tc>
          <w:tcPr>
            <w:tcW w:w="2256" w:type="dxa"/>
            <w:vAlign w:val="bottom"/>
          </w:tcPr>
          <w:p w:rsidR="002B3844" w:rsidRPr="002B3844" w:rsidRDefault="002B3844" w:rsidP="00F8167F">
            <w:pPr>
              <w:jc w:val="center"/>
            </w:pPr>
            <w:r w:rsidRPr="002B3844">
              <w:t>Řecko</w:t>
            </w:r>
          </w:p>
        </w:tc>
        <w:tc>
          <w:tcPr>
            <w:tcW w:w="1356" w:type="dxa"/>
            <w:vAlign w:val="bottom"/>
          </w:tcPr>
          <w:p w:rsidR="002B3844" w:rsidRPr="002B3844" w:rsidRDefault="002B3844" w:rsidP="00F8167F">
            <w:pPr>
              <w:jc w:val="center"/>
            </w:pPr>
            <w:r w:rsidRPr="002B3844">
              <w:t>0</w:t>
            </w:r>
          </w:p>
        </w:tc>
        <w:tc>
          <w:tcPr>
            <w:tcW w:w="1788" w:type="dxa"/>
            <w:vAlign w:val="bottom"/>
          </w:tcPr>
          <w:p w:rsidR="002B3844" w:rsidRPr="002B3844" w:rsidRDefault="002B3844" w:rsidP="00F8167F">
            <w:pPr>
              <w:jc w:val="center"/>
            </w:pPr>
            <w:r w:rsidRPr="002B3844">
              <w:t>0</w:t>
            </w:r>
          </w:p>
        </w:tc>
        <w:tc>
          <w:tcPr>
            <w:tcW w:w="1356" w:type="dxa"/>
            <w:vAlign w:val="bottom"/>
          </w:tcPr>
          <w:p w:rsidR="002B3844" w:rsidRPr="002B3844" w:rsidRDefault="002B3844" w:rsidP="00F8167F">
            <w:pPr>
              <w:jc w:val="center"/>
            </w:pPr>
            <w:r w:rsidRPr="002B3844">
              <w:t>0,19</w:t>
            </w:r>
          </w:p>
        </w:tc>
        <w:tc>
          <w:tcPr>
            <w:tcW w:w="1476" w:type="dxa"/>
            <w:vAlign w:val="bottom"/>
          </w:tcPr>
          <w:p w:rsidR="002B3844" w:rsidRPr="002B3844" w:rsidRDefault="002B3844" w:rsidP="00F8167F">
            <w:pPr>
              <w:jc w:val="center"/>
            </w:pPr>
            <w:r w:rsidRPr="002B3844">
              <w:t>0,19</w:t>
            </w:r>
          </w:p>
        </w:tc>
        <w:tc>
          <w:tcPr>
            <w:tcW w:w="1356" w:type="dxa"/>
            <w:vAlign w:val="bottom"/>
          </w:tcPr>
          <w:p w:rsidR="002B3844" w:rsidRPr="002B3844" w:rsidRDefault="002B3844" w:rsidP="00F8167F">
            <w:pPr>
              <w:jc w:val="center"/>
            </w:pPr>
            <w:r w:rsidRPr="002B3844">
              <w:t>0,09</w:t>
            </w:r>
          </w:p>
        </w:tc>
      </w:tr>
      <w:tr w:rsidR="002B3844" w:rsidRPr="001C3B10" w:rsidTr="002B3844">
        <w:trPr>
          <w:trHeight w:val="386"/>
        </w:trPr>
        <w:tc>
          <w:tcPr>
            <w:tcW w:w="2256" w:type="dxa"/>
            <w:shd w:val="clear" w:color="auto" w:fill="D9D9D9" w:themeFill="background1" w:themeFillShade="D9"/>
            <w:vAlign w:val="bottom"/>
          </w:tcPr>
          <w:p w:rsidR="002B3844" w:rsidRPr="002B3844" w:rsidRDefault="002B3844" w:rsidP="00F8167F">
            <w:pPr>
              <w:jc w:val="center"/>
            </w:pPr>
            <w:r w:rsidRPr="002B3844">
              <w:t>Slovensko</w:t>
            </w:r>
          </w:p>
        </w:tc>
        <w:tc>
          <w:tcPr>
            <w:tcW w:w="1356" w:type="dxa"/>
            <w:shd w:val="clear" w:color="auto" w:fill="D9D9D9" w:themeFill="background1" w:themeFillShade="D9"/>
            <w:vAlign w:val="bottom"/>
          </w:tcPr>
          <w:p w:rsidR="002B3844" w:rsidRPr="002B3844" w:rsidRDefault="002B3844" w:rsidP="00F8167F">
            <w:pPr>
              <w:jc w:val="center"/>
            </w:pPr>
            <w:r w:rsidRPr="002B3844">
              <w:t>0,01</w:t>
            </w:r>
          </w:p>
        </w:tc>
        <w:tc>
          <w:tcPr>
            <w:tcW w:w="1788" w:type="dxa"/>
            <w:shd w:val="clear" w:color="auto" w:fill="D9D9D9" w:themeFill="background1" w:themeFillShade="D9"/>
            <w:vAlign w:val="bottom"/>
          </w:tcPr>
          <w:p w:rsidR="002B3844" w:rsidRPr="002B3844" w:rsidRDefault="002B3844" w:rsidP="00F8167F">
            <w:pPr>
              <w:jc w:val="center"/>
            </w:pPr>
            <w:r w:rsidRPr="002B3844">
              <w:t>0,01</w:t>
            </w:r>
          </w:p>
        </w:tc>
        <w:tc>
          <w:tcPr>
            <w:tcW w:w="1356" w:type="dxa"/>
            <w:shd w:val="clear" w:color="auto" w:fill="D9D9D9" w:themeFill="background1" w:themeFillShade="D9"/>
            <w:vAlign w:val="bottom"/>
          </w:tcPr>
          <w:p w:rsidR="002B3844" w:rsidRPr="002B3844" w:rsidRDefault="002B3844" w:rsidP="00F8167F">
            <w:pPr>
              <w:jc w:val="center"/>
            </w:pPr>
            <w:r w:rsidRPr="002B3844">
              <w:t>0,67</w:t>
            </w:r>
          </w:p>
        </w:tc>
        <w:tc>
          <w:tcPr>
            <w:tcW w:w="1476" w:type="dxa"/>
            <w:shd w:val="clear" w:color="auto" w:fill="D9D9D9" w:themeFill="background1" w:themeFillShade="D9"/>
            <w:vAlign w:val="bottom"/>
          </w:tcPr>
          <w:p w:rsidR="002B3844" w:rsidRPr="002B3844" w:rsidRDefault="002B3844" w:rsidP="00F8167F">
            <w:pPr>
              <w:jc w:val="center"/>
            </w:pPr>
            <w:r w:rsidRPr="002B3844">
              <w:t>0,69</w:t>
            </w:r>
          </w:p>
        </w:tc>
        <w:tc>
          <w:tcPr>
            <w:tcW w:w="1356" w:type="dxa"/>
            <w:shd w:val="clear" w:color="auto" w:fill="D9D9D9" w:themeFill="background1" w:themeFillShade="D9"/>
            <w:vAlign w:val="bottom"/>
          </w:tcPr>
          <w:p w:rsidR="002B3844" w:rsidRPr="002B3844" w:rsidRDefault="002B3844" w:rsidP="00F8167F">
            <w:pPr>
              <w:jc w:val="center"/>
            </w:pPr>
            <w:r w:rsidRPr="002B3844">
              <w:t>0,65</w:t>
            </w:r>
          </w:p>
        </w:tc>
      </w:tr>
      <w:tr w:rsidR="002B3844" w:rsidRPr="001C3B10" w:rsidTr="002B3844">
        <w:trPr>
          <w:trHeight w:val="386"/>
        </w:trPr>
        <w:tc>
          <w:tcPr>
            <w:tcW w:w="2256" w:type="dxa"/>
            <w:vAlign w:val="bottom"/>
          </w:tcPr>
          <w:p w:rsidR="002B3844" w:rsidRPr="002B3844" w:rsidRDefault="002B3844" w:rsidP="00F8167F">
            <w:pPr>
              <w:jc w:val="center"/>
            </w:pPr>
            <w:r w:rsidRPr="002B3844">
              <w:t>Slovinsko</w:t>
            </w:r>
          </w:p>
        </w:tc>
        <w:tc>
          <w:tcPr>
            <w:tcW w:w="1356" w:type="dxa"/>
            <w:vAlign w:val="bottom"/>
          </w:tcPr>
          <w:p w:rsidR="002B3844" w:rsidRPr="002B3844" w:rsidRDefault="002B3844" w:rsidP="00F8167F">
            <w:pPr>
              <w:jc w:val="center"/>
            </w:pPr>
            <w:r w:rsidRPr="002B3844">
              <w:t>0</w:t>
            </w:r>
          </w:p>
        </w:tc>
        <w:tc>
          <w:tcPr>
            <w:tcW w:w="1788" w:type="dxa"/>
            <w:vAlign w:val="bottom"/>
          </w:tcPr>
          <w:p w:rsidR="002B3844" w:rsidRPr="002B3844" w:rsidRDefault="002B3844" w:rsidP="00F8167F">
            <w:pPr>
              <w:jc w:val="center"/>
            </w:pPr>
            <w:r w:rsidRPr="002B3844">
              <w:t>0,01</w:t>
            </w:r>
          </w:p>
        </w:tc>
        <w:tc>
          <w:tcPr>
            <w:tcW w:w="1356" w:type="dxa"/>
            <w:vAlign w:val="bottom"/>
          </w:tcPr>
          <w:p w:rsidR="002B3844" w:rsidRPr="002B3844" w:rsidRDefault="002B3844" w:rsidP="00F8167F">
            <w:pPr>
              <w:jc w:val="center"/>
            </w:pPr>
            <w:r w:rsidRPr="002B3844">
              <w:t>0,06</w:t>
            </w:r>
          </w:p>
        </w:tc>
        <w:tc>
          <w:tcPr>
            <w:tcW w:w="1476" w:type="dxa"/>
            <w:vAlign w:val="bottom"/>
          </w:tcPr>
          <w:p w:rsidR="002B3844" w:rsidRPr="002B3844" w:rsidRDefault="002B3844" w:rsidP="00F8167F">
            <w:pPr>
              <w:jc w:val="center"/>
            </w:pPr>
            <w:r w:rsidRPr="002B3844">
              <w:t>0,08</w:t>
            </w:r>
          </w:p>
        </w:tc>
        <w:tc>
          <w:tcPr>
            <w:tcW w:w="1356" w:type="dxa"/>
            <w:vAlign w:val="bottom"/>
          </w:tcPr>
          <w:p w:rsidR="002B3844" w:rsidRPr="002B3844" w:rsidRDefault="002B3844" w:rsidP="00F8167F">
            <w:pPr>
              <w:jc w:val="center"/>
            </w:pPr>
            <w:r w:rsidRPr="002B3844">
              <w:t>0,14</w:t>
            </w:r>
          </w:p>
        </w:tc>
      </w:tr>
      <w:tr w:rsidR="002B3844" w:rsidRPr="001C3B10" w:rsidTr="002B3844">
        <w:trPr>
          <w:trHeight w:val="386"/>
        </w:trPr>
        <w:tc>
          <w:tcPr>
            <w:tcW w:w="2256" w:type="dxa"/>
            <w:shd w:val="clear" w:color="auto" w:fill="D9D9D9" w:themeFill="background1" w:themeFillShade="D9"/>
            <w:vAlign w:val="bottom"/>
          </w:tcPr>
          <w:p w:rsidR="002B3844" w:rsidRPr="002B3844" w:rsidRDefault="002B3844" w:rsidP="00F8167F">
            <w:pPr>
              <w:jc w:val="center"/>
            </w:pPr>
            <w:r w:rsidRPr="002B3844">
              <w:t>Španělsko</w:t>
            </w:r>
          </w:p>
        </w:tc>
        <w:tc>
          <w:tcPr>
            <w:tcW w:w="1356" w:type="dxa"/>
            <w:shd w:val="clear" w:color="auto" w:fill="D9D9D9" w:themeFill="background1" w:themeFillShade="D9"/>
            <w:vAlign w:val="bottom"/>
          </w:tcPr>
          <w:p w:rsidR="002B3844" w:rsidRPr="002B3844" w:rsidRDefault="002B3844" w:rsidP="00F8167F">
            <w:pPr>
              <w:jc w:val="center"/>
            </w:pPr>
            <w:r w:rsidRPr="002B3844">
              <w:t>0,52</w:t>
            </w:r>
          </w:p>
        </w:tc>
        <w:tc>
          <w:tcPr>
            <w:tcW w:w="1788" w:type="dxa"/>
            <w:shd w:val="clear" w:color="auto" w:fill="D9D9D9" w:themeFill="background1" w:themeFillShade="D9"/>
            <w:vAlign w:val="bottom"/>
          </w:tcPr>
          <w:p w:rsidR="002B3844" w:rsidRPr="002B3844" w:rsidRDefault="002B3844" w:rsidP="00F8167F">
            <w:pPr>
              <w:jc w:val="center"/>
            </w:pPr>
            <w:r w:rsidRPr="002B3844">
              <w:t>0,08</w:t>
            </w:r>
          </w:p>
        </w:tc>
        <w:tc>
          <w:tcPr>
            <w:tcW w:w="1356" w:type="dxa"/>
            <w:shd w:val="clear" w:color="auto" w:fill="D9D9D9" w:themeFill="background1" w:themeFillShade="D9"/>
            <w:vAlign w:val="bottom"/>
          </w:tcPr>
          <w:p w:rsidR="002B3844" w:rsidRPr="002B3844" w:rsidRDefault="002B3844" w:rsidP="00F8167F">
            <w:pPr>
              <w:jc w:val="center"/>
            </w:pPr>
            <w:r w:rsidRPr="002B3844">
              <w:t>0,33</w:t>
            </w:r>
          </w:p>
        </w:tc>
        <w:tc>
          <w:tcPr>
            <w:tcW w:w="1476" w:type="dxa"/>
            <w:shd w:val="clear" w:color="auto" w:fill="D9D9D9" w:themeFill="background1" w:themeFillShade="D9"/>
            <w:vAlign w:val="bottom"/>
          </w:tcPr>
          <w:p w:rsidR="002B3844" w:rsidRPr="002B3844" w:rsidRDefault="002B3844" w:rsidP="00F8167F">
            <w:pPr>
              <w:jc w:val="center"/>
            </w:pPr>
            <w:r w:rsidRPr="002B3844">
              <w:t>0,93</w:t>
            </w:r>
          </w:p>
        </w:tc>
        <w:tc>
          <w:tcPr>
            <w:tcW w:w="1356" w:type="dxa"/>
            <w:shd w:val="clear" w:color="auto" w:fill="D9D9D9" w:themeFill="background1" w:themeFillShade="D9"/>
            <w:vAlign w:val="bottom"/>
          </w:tcPr>
          <w:p w:rsidR="002B3844" w:rsidRPr="002B3844" w:rsidRDefault="002B3844" w:rsidP="00F8167F">
            <w:pPr>
              <w:jc w:val="center"/>
            </w:pPr>
            <w:r w:rsidRPr="002B3844">
              <w:t>0,07</w:t>
            </w:r>
          </w:p>
        </w:tc>
      </w:tr>
      <w:tr w:rsidR="002B3844" w:rsidRPr="001C3B10" w:rsidTr="002B3844">
        <w:trPr>
          <w:trHeight w:val="386"/>
        </w:trPr>
        <w:tc>
          <w:tcPr>
            <w:tcW w:w="2256" w:type="dxa"/>
            <w:vAlign w:val="bottom"/>
          </w:tcPr>
          <w:p w:rsidR="002B3844" w:rsidRPr="002B3844" w:rsidRDefault="002B3844" w:rsidP="00F8167F">
            <w:pPr>
              <w:jc w:val="center"/>
            </w:pPr>
            <w:r w:rsidRPr="002B3844">
              <w:t>Švédsko</w:t>
            </w:r>
          </w:p>
        </w:tc>
        <w:tc>
          <w:tcPr>
            <w:tcW w:w="1356" w:type="dxa"/>
            <w:vAlign w:val="bottom"/>
          </w:tcPr>
          <w:p w:rsidR="002B3844" w:rsidRPr="002B3844" w:rsidRDefault="002B3844" w:rsidP="00F8167F">
            <w:pPr>
              <w:jc w:val="center"/>
            </w:pPr>
            <w:r w:rsidRPr="002B3844">
              <w:t>0,31</w:t>
            </w:r>
          </w:p>
        </w:tc>
        <w:tc>
          <w:tcPr>
            <w:tcW w:w="1788" w:type="dxa"/>
            <w:vAlign w:val="bottom"/>
          </w:tcPr>
          <w:p w:rsidR="002B3844" w:rsidRPr="002B3844" w:rsidRDefault="002B3844" w:rsidP="00F8167F">
            <w:pPr>
              <w:jc w:val="center"/>
            </w:pPr>
            <w:r w:rsidRPr="002B3844">
              <w:t>0,64</w:t>
            </w:r>
          </w:p>
        </w:tc>
        <w:tc>
          <w:tcPr>
            <w:tcW w:w="1356" w:type="dxa"/>
            <w:vAlign w:val="bottom"/>
          </w:tcPr>
          <w:p w:rsidR="002B3844" w:rsidRPr="002B3844" w:rsidRDefault="002B3844" w:rsidP="00F8167F">
            <w:pPr>
              <w:jc w:val="center"/>
            </w:pPr>
            <w:r w:rsidRPr="002B3844">
              <w:t>2,03</w:t>
            </w:r>
          </w:p>
        </w:tc>
        <w:tc>
          <w:tcPr>
            <w:tcW w:w="1476" w:type="dxa"/>
            <w:vAlign w:val="bottom"/>
          </w:tcPr>
          <w:p w:rsidR="002B3844" w:rsidRPr="002B3844" w:rsidRDefault="002B3844" w:rsidP="00F8167F">
            <w:pPr>
              <w:jc w:val="center"/>
            </w:pPr>
            <w:r w:rsidRPr="002B3844">
              <w:t>2,97</w:t>
            </w:r>
          </w:p>
        </w:tc>
        <w:tc>
          <w:tcPr>
            <w:tcW w:w="1356" w:type="dxa"/>
            <w:vAlign w:val="bottom"/>
          </w:tcPr>
          <w:p w:rsidR="002B3844" w:rsidRPr="002B3844" w:rsidRDefault="002B3844" w:rsidP="00F8167F">
            <w:pPr>
              <w:jc w:val="center"/>
            </w:pPr>
            <w:r w:rsidRPr="002B3844">
              <w:t>0,51</w:t>
            </w:r>
          </w:p>
        </w:tc>
      </w:tr>
    </w:tbl>
    <w:p w:rsidR="00B167F1" w:rsidRDefault="00B167F1" w:rsidP="00F8167F">
      <w:pPr>
        <w:pStyle w:val="Bezmezer"/>
        <w:spacing w:line="360" w:lineRule="auto"/>
        <w:ind w:firstLine="0"/>
      </w:pPr>
      <w:r w:rsidRPr="001C3B10">
        <w:t xml:space="preserve">Zdroj: </w:t>
      </w:r>
      <w:r w:rsidRPr="001C3B10">
        <w:tab/>
        <w:t>Kielský institut pro světovou ekonomiku (2024)</w:t>
      </w:r>
    </w:p>
    <w:p w:rsidR="00B167F1" w:rsidRDefault="00B167F1" w:rsidP="00F8167F">
      <w:pPr>
        <w:pStyle w:val="Bezmezer"/>
        <w:spacing w:line="360" w:lineRule="auto"/>
        <w:ind w:firstLine="0"/>
      </w:pPr>
      <w:r>
        <w:t>Tabulka</w:t>
      </w:r>
      <w:r w:rsidR="00C80817">
        <w:t xml:space="preserve"> 1</w:t>
      </w:r>
      <w:r>
        <w:t>: autor</w:t>
      </w:r>
    </w:p>
    <w:p w:rsidR="00C327E4" w:rsidRPr="00C53FBF" w:rsidRDefault="006B750C" w:rsidP="00F8167F">
      <w:pPr>
        <w:pStyle w:val="Bezmezer"/>
        <w:spacing w:line="360" w:lineRule="auto"/>
        <w:ind w:firstLine="0"/>
        <w:jc w:val="center"/>
        <w:rPr>
          <w:b/>
        </w:rPr>
      </w:pPr>
      <w:r>
        <w:rPr>
          <w:b/>
        </w:rPr>
        <w:lastRenderedPageBreak/>
        <w:t>Tabulka 2</w:t>
      </w:r>
    </w:p>
    <w:p w:rsidR="004F471D" w:rsidRPr="00C53FBF" w:rsidRDefault="004F471D" w:rsidP="00F8167F">
      <w:pPr>
        <w:pStyle w:val="Bezmezer"/>
        <w:spacing w:line="360" w:lineRule="auto"/>
        <w:ind w:firstLine="0"/>
        <w:jc w:val="center"/>
        <w:rPr>
          <w:b/>
        </w:rPr>
      </w:pPr>
      <w:r w:rsidRPr="00C53FBF">
        <w:rPr>
          <w:b/>
        </w:rPr>
        <w:t xml:space="preserve">Hodnoty pro kalibraci </w:t>
      </w:r>
      <w:r w:rsidR="00060A6C" w:rsidRPr="00C53FBF">
        <w:rPr>
          <w:b/>
        </w:rPr>
        <w:t>důsledku</w:t>
      </w:r>
    </w:p>
    <w:tbl>
      <w:tblPr>
        <w:tblStyle w:val="Mkatabulky"/>
        <w:tblpPr w:leftFromText="141" w:rightFromText="141" w:vertAnchor="text" w:horzAnchor="margin" w:tblpY="-31"/>
        <w:tblW w:w="0" w:type="auto"/>
        <w:tblBorders>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B167F1" w:rsidRPr="00C53FBF" w:rsidTr="00B167F1">
        <w:tc>
          <w:tcPr>
            <w:tcW w:w="2265" w:type="dxa"/>
            <w:shd w:val="clear" w:color="auto" w:fill="404040" w:themeFill="text1" w:themeFillTint="BF"/>
          </w:tcPr>
          <w:p w:rsidR="00B167F1" w:rsidRPr="00C53FBF" w:rsidRDefault="00B167F1" w:rsidP="00F8167F">
            <w:pPr>
              <w:pStyle w:val="Bezmezer"/>
              <w:spacing w:line="360" w:lineRule="auto"/>
              <w:ind w:firstLine="0"/>
              <w:jc w:val="center"/>
              <w:rPr>
                <w:b/>
                <w:color w:val="FFFFFF" w:themeColor="background1"/>
              </w:rPr>
            </w:pPr>
            <w:r w:rsidRPr="00C53FBF">
              <w:rPr>
                <w:b/>
                <w:color w:val="FFFFFF" w:themeColor="background1"/>
              </w:rPr>
              <w:t>Důsledek</w:t>
            </w:r>
          </w:p>
        </w:tc>
        <w:tc>
          <w:tcPr>
            <w:tcW w:w="2265" w:type="dxa"/>
            <w:shd w:val="clear" w:color="auto" w:fill="404040" w:themeFill="text1" w:themeFillTint="BF"/>
          </w:tcPr>
          <w:p w:rsidR="00B167F1" w:rsidRPr="00C53FBF" w:rsidRDefault="00B167F1" w:rsidP="00F8167F">
            <w:pPr>
              <w:pStyle w:val="Bezmezer"/>
              <w:spacing w:line="360" w:lineRule="auto"/>
              <w:ind w:firstLine="0"/>
              <w:jc w:val="center"/>
              <w:rPr>
                <w:b/>
                <w:color w:val="FFFFFF" w:themeColor="background1"/>
              </w:rPr>
            </w:pPr>
            <w:r w:rsidRPr="00C53FBF">
              <w:rPr>
                <w:b/>
                <w:color w:val="FFFFFF" w:themeColor="background1"/>
              </w:rPr>
              <w:t>Plné členství</w:t>
            </w:r>
          </w:p>
        </w:tc>
        <w:tc>
          <w:tcPr>
            <w:tcW w:w="2266" w:type="dxa"/>
            <w:shd w:val="clear" w:color="auto" w:fill="404040" w:themeFill="text1" w:themeFillTint="BF"/>
          </w:tcPr>
          <w:p w:rsidR="00B167F1" w:rsidRPr="00C53FBF" w:rsidRDefault="00B167F1" w:rsidP="00F8167F">
            <w:pPr>
              <w:pStyle w:val="Bezmezer"/>
              <w:spacing w:line="360" w:lineRule="auto"/>
              <w:ind w:firstLine="0"/>
              <w:jc w:val="center"/>
              <w:rPr>
                <w:b/>
                <w:color w:val="FFFFFF" w:themeColor="background1"/>
              </w:rPr>
            </w:pPr>
            <w:r w:rsidRPr="00C53FBF">
              <w:rPr>
                <w:b/>
                <w:color w:val="FFFFFF" w:themeColor="background1"/>
              </w:rPr>
              <w:t>Střední bod</w:t>
            </w:r>
          </w:p>
        </w:tc>
        <w:tc>
          <w:tcPr>
            <w:tcW w:w="2266" w:type="dxa"/>
            <w:shd w:val="clear" w:color="auto" w:fill="404040" w:themeFill="text1" w:themeFillTint="BF"/>
          </w:tcPr>
          <w:p w:rsidR="00B167F1" w:rsidRPr="00C53FBF" w:rsidRDefault="00B167F1" w:rsidP="00F8167F">
            <w:pPr>
              <w:pStyle w:val="Bezmezer"/>
              <w:spacing w:line="360" w:lineRule="auto"/>
              <w:ind w:firstLine="0"/>
              <w:jc w:val="center"/>
              <w:rPr>
                <w:b/>
                <w:color w:val="FFFFFF" w:themeColor="background1"/>
              </w:rPr>
            </w:pPr>
            <w:r w:rsidRPr="00C53FBF">
              <w:rPr>
                <w:b/>
                <w:color w:val="FFFFFF" w:themeColor="background1"/>
              </w:rPr>
              <w:t>Plné vyloučení</w:t>
            </w:r>
          </w:p>
        </w:tc>
      </w:tr>
      <w:tr w:rsidR="00B167F1" w:rsidRPr="00C53FBF" w:rsidTr="00B167F1">
        <w:tc>
          <w:tcPr>
            <w:tcW w:w="2265" w:type="dxa"/>
          </w:tcPr>
          <w:p w:rsidR="00B167F1" w:rsidRPr="00C53FBF" w:rsidRDefault="00B167F1" w:rsidP="00F8167F">
            <w:pPr>
              <w:pStyle w:val="Bezmezer"/>
              <w:spacing w:line="360" w:lineRule="auto"/>
              <w:ind w:firstLine="0"/>
              <w:jc w:val="center"/>
            </w:pPr>
            <w:r w:rsidRPr="00C53FBF">
              <w:t>Pomoc (% HDP)</w:t>
            </w:r>
          </w:p>
        </w:tc>
        <w:tc>
          <w:tcPr>
            <w:tcW w:w="2265" w:type="dxa"/>
          </w:tcPr>
          <w:p w:rsidR="00B167F1" w:rsidRPr="00C53FBF" w:rsidRDefault="00B167F1" w:rsidP="00F8167F">
            <w:pPr>
              <w:pStyle w:val="Bezmezer"/>
              <w:spacing w:line="360" w:lineRule="auto"/>
              <w:ind w:firstLine="0"/>
              <w:jc w:val="center"/>
            </w:pPr>
            <w:r w:rsidRPr="00C53FBF">
              <w:t>2,5</w:t>
            </w:r>
          </w:p>
        </w:tc>
        <w:tc>
          <w:tcPr>
            <w:tcW w:w="2266" w:type="dxa"/>
          </w:tcPr>
          <w:p w:rsidR="00B167F1" w:rsidRPr="00C53FBF" w:rsidRDefault="00B167F1" w:rsidP="00F8167F">
            <w:pPr>
              <w:pStyle w:val="Bezmezer"/>
              <w:spacing w:line="360" w:lineRule="auto"/>
              <w:ind w:firstLine="0"/>
              <w:jc w:val="center"/>
            </w:pPr>
            <w:r w:rsidRPr="00C53FBF">
              <w:t>0,54</w:t>
            </w:r>
          </w:p>
        </w:tc>
        <w:tc>
          <w:tcPr>
            <w:tcW w:w="2266" w:type="dxa"/>
          </w:tcPr>
          <w:p w:rsidR="00B167F1" w:rsidRPr="00C53FBF" w:rsidRDefault="00B167F1" w:rsidP="00F8167F">
            <w:pPr>
              <w:pStyle w:val="Bezmezer"/>
              <w:spacing w:line="360" w:lineRule="auto"/>
              <w:ind w:firstLine="0"/>
              <w:jc w:val="center"/>
            </w:pPr>
            <w:r w:rsidRPr="00C53FBF">
              <w:t>0,03</w:t>
            </w:r>
          </w:p>
        </w:tc>
      </w:tr>
    </w:tbl>
    <w:p w:rsidR="004B5271" w:rsidRDefault="00EA5B1B" w:rsidP="00F8167F">
      <w:pPr>
        <w:pStyle w:val="Bezmezer"/>
        <w:spacing w:line="360" w:lineRule="auto"/>
        <w:ind w:firstLine="0"/>
        <w:jc w:val="left"/>
      </w:pPr>
      <w:r w:rsidRPr="00C53FBF">
        <w:t>Tabulka</w:t>
      </w:r>
      <w:r w:rsidR="00C80817">
        <w:t xml:space="preserve"> 2</w:t>
      </w:r>
      <w:r w:rsidR="004F471D" w:rsidRPr="00C53FBF">
        <w:t>: autor</w:t>
      </w:r>
    </w:p>
    <w:p w:rsidR="004B5271" w:rsidRPr="00C53FBF" w:rsidRDefault="00FD13CA" w:rsidP="002B3844">
      <w:pPr>
        <w:pStyle w:val="Nadpis2"/>
        <w:spacing w:before="240" w:after="240"/>
        <w:ind w:firstLine="0"/>
        <w:jc w:val="left"/>
        <w:rPr>
          <w:rFonts w:ascii="Times New Roman" w:hAnsi="Times New Roman" w:cs="Times New Roman"/>
          <w:b/>
          <w:color w:val="auto"/>
          <w:sz w:val="28"/>
        </w:rPr>
      </w:pPr>
      <w:bookmarkStart w:id="27" w:name="_Toc164767392"/>
      <w:bookmarkStart w:id="28" w:name="_Toc164808708"/>
      <w:r>
        <w:rPr>
          <w:rFonts w:ascii="Times New Roman" w:hAnsi="Times New Roman" w:cs="Times New Roman"/>
          <w:b/>
          <w:color w:val="auto"/>
          <w:sz w:val="28"/>
        </w:rPr>
        <w:t xml:space="preserve">4. 3. </w:t>
      </w:r>
      <w:r w:rsidR="004B5271" w:rsidRPr="00C53FBF">
        <w:rPr>
          <w:rFonts w:ascii="Times New Roman" w:hAnsi="Times New Roman" w:cs="Times New Roman"/>
          <w:b/>
          <w:color w:val="auto"/>
          <w:sz w:val="28"/>
        </w:rPr>
        <w:t xml:space="preserve">Operacionalizace </w:t>
      </w:r>
      <w:r w:rsidR="00060A6C" w:rsidRPr="00C53FBF">
        <w:rPr>
          <w:rFonts w:ascii="Times New Roman" w:hAnsi="Times New Roman" w:cs="Times New Roman"/>
          <w:b/>
          <w:color w:val="auto"/>
          <w:sz w:val="28"/>
        </w:rPr>
        <w:t>faktorů ovlivňujících podporu</w:t>
      </w:r>
      <w:bookmarkEnd w:id="27"/>
      <w:bookmarkEnd w:id="28"/>
    </w:p>
    <w:p w:rsidR="00E6241D" w:rsidRDefault="003D3E88" w:rsidP="002B3844">
      <w:pPr>
        <w:pStyle w:val="Bezmezer"/>
        <w:spacing w:before="240" w:after="240" w:line="360" w:lineRule="auto"/>
        <w:ind w:firstLine="0"/>
      </w:pPr>
      <w:r w:rsidRPr="007418C9">
        <w:t xml:space="preserve">Obdobně jako u operacionalizace </w:t>
      </w:r>
      <w:r w:rsidR="006E7B63" w:rsidRPr="007418C9">
        <w:t>důs</w:t>
      </w:r>
      <w:r w:rsidR="00B826DD" w:rsidRPr="007418C9">
        <w:t>l</w:t>
      </w:r>
      <w:r w:rsidR="006E7B63" w:rsidRPr="007418C9">
        <w:t>e</w:t>
      </w:r>
      <w:r w:rsidR="00B826DD" w:rsidRPr="007418C9">
        <w:t>dku</w:t>
      </w:r>
      <w:r w:rsidRPr="007418C9">
        <w:t xml:space="preserve">, je potřeba určit hodnoty plného členství, středního bodu a plného vyloučení pro všechny </w:t>
      </w:r>
      <w:r w:rsidR="00B826DD" w:rsidRPr="007418C9">
        <w:t>faktory, které ovlivňují důsledek</w:t>
      </w:r>
      <w:r w:rsidR="00425E03" w:rsidRPr="007418C9">
        <w:t>. Pro každý</w:t>
      </w:r>
      <w:r w:rsidRPr="007418C9">
        <w:t xml:space="preserve"> je však důležité určit tyto hodnoty tak, aby odpovídaly </w:t>
      </w:r>
      <w:r w:rsidR="00A74619" w:rsidRPr="007418C9">
        <w:t xml:space="preserve">co nejvíce </w:t>
      </w:r>
      <w:r w:rsidRPr="007418C9">
        <w:t>skutečnosti</w:t>
      </w:r>
      <w:r w:rsidR="00A74619" w:rsidRPr="007418C9">
        <w:t xml:space="preserve"> (kvalitat</w:t>
      </w:r>
      <w:r w:rsidR="00E6241D">
        <w:t>ivní posouzení dostupných dat).</w:t>
      </w:r>
    </w:p>
    <w:p w:rsidR="005D141C" w:rsidRPr="00F63C92" w:rsidRDefault="00425E03" w:rsidP="002B3844">
      <w:pPr>
        <w:pStyle w:val="Bezmezer"/>
        <w:spacing w:before="240" w:after="240" w:line="360" w:lineRule="auto"/>
        <w:ind w:firstLine="708"/>
      </w:pPr>
      <w:r w:rsidRPr="007418C9">
        <w:t xml:space="preserve">V </w:t>
      </w:r>
      <w:r w:rsidR="003D3E88" w:rsidRPr="007418C9">
        <w:t>případě první</w:t>
      </w:r>
      <w:r w:rsidR="00B826DD" w:rsidRPr="007418C9">
        <w:t>ho</w:t>
      </w:r>
      <w:r w:rsidR="003D3E88" w:rsidRPr="007418C9">
        <w:t xml:space="preserve"> zkoumané</w:t>
      </w:r>
      <w:r w:rsidR="00B826DD" w:rsidRPr="007418C9">
        <w:t>ho</w:t>
      </w:r>
      <w:r w:rsidR="003D3E88" w:rsidRPr="007418C9">
        <w:t xml:space="preserve"> </w:t>
      </w:r>
      <w:r w:rsidR="00B826DD" w:rsidRPr="007418C9">
        <w:t>faktoru</w:t>
      </w:r>
      <w:r w:rsidR="003D3E88" w:rsidRPr="007418C9">
        <w:t xml:space="preserve"> – energetické bezpečnosti, je důležité určit hodnotu, která by odpovídala plné závislosti dovozu na ruském plynu. </w:t>
      </w:r>
      <w:r w:rsidR="00EF1D9B" w:rsidRPr="007418C9">
        <w:t xml:space="preserve">Ten </w:t>
      </w:r>
      <w:r w:rsidR="001B79CF" w:rsidRPr="007418C9">
        <w:t>je po ropě nejvíce</w:t>
      </w:r>
      <w:r w:rsidR="00F240AF" w:rsidRPr="007418C9">
        <w:t xml:space="preserve"> dováženým</w:t>
      </w:r>
      <w:r w:rsidR="001B79CF" w:rsidRPr="007418C9">
        <w:t xml:space="preserve"> </w:t>
      </w:r>
      <w:r w:rsidR="00A74619" w:rsidRPr="007418C9">
        <w:t>primárním energetickým zdrojem</w:t>
      </w:r>
      <w:r w:rsidR="001B79CF" w:rsidRPr="007418C9">
        <w:t xml:space="preserve"> z Ruska do EU.</w:t>
      </w:r>
      <w:r w:rsidR="00E31EEC" w:rsidRPr="007418C9">
        <w:rPr>
          <w:rStyle w:val="Znakapoznpodarou"/>
        </w:rPr>
        <w:footnoteReference w:id="33"/>
      </w:r>
      <w:r w:rsidR="001B79CF" w:rsidRPr="007418C9">
        <w:t xml:space="preserve"> Zatímco závislost na ropě by šlo řešit pomocí zvýšení dosavadních obchodních toků (Saudská Arábie, Spojené arabské emiráty), tak zastavení pro</w:t>
      </w:r>
      <w:r w:rsidR="00F240AF" w:rsidRPr="007418C9">
        <w:t>u</w:t>
      </w:r>
      <w:r w:rsidR="001B79CF" w:rsidRPr="007418C9">
        <w:t>dění zemního plynu by Evropa nahradit nedokázala, ani ve střednědobém horizontu.</w:t>
      </w:r>
      <w:r w:rsidR="001B79CF" w:rsidRPr="007418C9">
        <w:rPr>
          <w:rStyle w:val="Znakapoznpodarou"/>
        </w:rPr>
        <w:footnoteReference w:id="34"/>
      </w:r>
      <w:r w:rsidR="001B79CF" w:rsidRPr="007418C9">
        <w:t xml:space="preserve"> </w:t>
      </w:r>
      <w:r w:rsidR="00A74619" w:rsidRPr="007418C9">
        <w:t xml:space="preserve">Nahrazovat plyn by tak musela Evropa pomocí LNG, pro který má sice obstojnou distribuční síť, ale musela by o něj soupeřit s dalšími konkurenty (Japonsko, Jižní Korea), které jsou na dovozu LNG také závislé. To by ovšem znamenalo pokles množství dostupného zemního plynu na spotových trzích, což by znamenalo další růst cen. </w:t>
      </w:r>
      <w:r w:rsidR="00F240AF" w:rsidRPr="007418C9">
        <w:t>Zemní p</w:t>
      </w:r>
      <w:r w:rsidR="00A74619" w:rsidRPr="007418C9">
        <w:t xml:space="preserve">lyn je navíc momentálně víceméně jedinou alternativou pro vyvažování obnovitelných zdrojů, které jsou </w:t>
      </w:r>
      <w:r w:rsidR="00EF1D9B" w:rsidRPr="007418C9">
        <w:t xml:space="preserve">silně </w:t>
      </w:r>
      <w:r w:rsidR="00A74619" w:rsidRPr="007418C9">
        <w:t>zá</w:t>
      </w:r>
      <w:r w:rsidR="00AD1A6A" w:rsidRPr="007418C9">
        <w:t>vislé na počasí</w:t>
      </w:r>
      <w:r w:rsidR="00A74619" w:rsidRPr="007418C9">
        <w:t xml:space="preserve"> (Česká národní banka, 2022).</w:t>
      </w:r>
      <w:r w:rsidR="00621FD6" w:rsidRPr="007418C9">
        <w:t xml:space="preserve"> Mimo výrobu elektřiny se plyn používá a zároveň je</w:t>
      </w:r>
      <w:r w:rsidR="00EF1D9B" w:rsidRPr="007418C9">
        <w:t xml:space="preserve"> nejdůležitějším zdrojem energie ve výrobním sektoru</w:t>
      </w:r>
      <w:r w:rsidR="00AD1A6A" w:rsidRPr="007418C9">
        <w:t>, službách a domácnostech</w:t>
      </w:r>
      <w:r w:rsidR="00EF1D9B" w:rsidRPr="007418C9">
        <w:t>.</w:t>
      </w:r>
      <w:r w:rsidR="00AD1A6A" w:rsidRPr="007418C9">
        <w:rPr>
          <w:rStyle w:val="Znakapoznpodarou"/>
        </w:rPr>
        <w:footnoteReference w:id="35"/>
      </w:r>
      <w:r w:rsidR="00AD1A6A" w:rsidRPr="007418C9">
        <w:t xml:space="preserve"> </w:t>
      </w:r>
      <w:r w:rsidR="00621FD6" w:rsidRPr="007418C9">
        <w:t>Zvýšení cen by mělo za následek ekonomický úpadek v</w:t>
      </w:r>
      <w:r w:rsidR="005560CC" w:rsidRPr="007418C9">
        <w:t> </w:t>
      </w:r>
      <w:r w:rsidR="00621FD6" w:rsidRPr="007418C9">
        <w:t>Evropě</w:t>
      </w:r>
      <w:r w:rsidR="005560CC" w:rsidRPr="007418C9">
        <w:t xml:space="preserve"> (snížila by se kupní síla domácností a výroba v odvětvích, kde je plyn vstupem do výrobních procesů</w:t>
      </w:r>
      <w:r w:rsidR="00886792" w:rsidRPr="007418C9">
        <w:rPr>
          <w:rStyle w:val="Znakapoznpodarou"/>
        </w:rPr>
        <w:footnoteReference w:id="36"/>
      </w:r>
      <w:r w:rsidR="00886792" w:rsidRPr="007418C9">
        <w:t>)</w:t>
      </w:r>
      <w:r w:rsidR="00621FD6" w:rsidRPr="007418C9">
        <w:t>.</w:t>
      </w:r>
      <w:r w:rsidR="00D60D0A" w:rsidRPr="007418C9">
        <w:t xml:space="preserve"> </w:t>
      </w:r>
      <w:r w:rsidR="005D141C" w:rsidRPr="007418C9">
        <w:t xml:space="preserve">Odhad Evropské centrální banky </w:t>
      </w:r>
      <w:r w:rsidR="00E31EEC" w:rsidRPr="007418C9">
        <w:t xml:space="preserve">(ECB) </w:t>
      </w:r>
      <w:r w:rsidR="005D141C" w:rsidRPr="007418C9">
        <w:t>v roce 2022 předpokládal, že desetiprocentní pokles výroby v energetickém sektoru (dodávky elektřiny, plynu, páry a chlazení)</w:t>
      </w:r>
      <w:r w:rsidR="007532AE" w:rsidRPr="007418C9">
        <w:t xml:space="preserve">, který je největším přímým spotřebitelem plynu a který především mění zemní plyn na elektřinu, by znamenal </w:t>
      </w:r>
      <w:r w:rsidR="007532AE" w:rsidRPr="00F63C92">
        <w:lastRenderedPageBreak/>
        <w:t xml:space="preserve">pokles HDP zemí eurozóny </w:t>
      </w:r>
      <w:r w:rsidR="00F240AF" w:rsidRPr="00F63C92">
        <w:t>o 0,7 %</w:t>
      </w:r>
      <w:r w:rsidR="007532AE" w:rsidRPr="00F63C92">
        <w:t>, přičemž by se takový pokles podepsal nejvíce na zemích s vyšší závislostí na plynu</w:t>
      </w:r>
      <w:r w:rsidR="00F240AF" w:rsidRPr="00F63C92">
        <w:t>. Byť bývá dopad nárůstu cen plynu obvykle nižší, mimořádný n</w:t>
      </w:r>
      <w:r w:rsidR="008A633E" w:rsidRPr="00F63C92">
        <w:t>árůst cen plynu v energetice je</w:t>
      </w:r>
      <w:r w:rsidR="00F240AF" w:rsidRPr="00F63C92">
        <w:t xml:space="preserve"> hlavním faktorem poklesu HDP v eurozóně</w:t>
      </w:r>
      <w:r w:rsidR="007532AE" w:rsidRPr="00F63C92">
        <w:t xml:space="preserve"> (European Central Bank, 2022).</w:t>
      </w:r>
    </w:p>
    <w:p w:rsidR="00E257DA" w:rsidRPr="00F63C92" w:rsidRDefault="008F55CC" w:rsidP="004A418F">
      <w:pPr>
        <w:pStyle w:val="Bezmezer"/>
        <w:spacing w:before="240" w:after="240" w:line="360" w:lineRule="auto"/>
        <w:ind w:firstLine="708"/>
      </w:pPr>
      <w:r w:rsidRPr="00CB718E">
        <w:t>V této práci vycházím z dat Bruegel</w:t>
      </w:r>
      <w:r w:rsidR="00742D54" w:rsidRPr="00CB718E">
        <w:t xml:space="preserve"> (Zachmann et al.</w:t>
      </w:r>
      <w:r w:rsidRPr="00CB718E">
        <w:t>,</w:t>
      </w:r>
      <w:r w:rsidR="00742D54" w:rsidRPr="00CB718E">
        <w:t xml:space="preserve"> 2022),</w:t>
      </w:r>
      <w:r w:rsidRPr="00CB718E">
        <w:t xml:space="preserve"> kde je uvedena závislost na plynu v celkovém energetickém balíčku za rok 2020 a importu plynu podle země, ze které je plyn dovážen za rok 2021. Pro zohlednění závislosti na dovozu plynu z Ruska jsem postupoval následovně: celkovou závislost na dovozu plynu </w:t>
      </w:r>
      <w:r w:rsidR="00982CA1" w:rsidRPr="00CB718E">
        <w:t>(</w:t>
      </w:r>
      <m:oMath>
        <m:sSub>
          <m:sSubPr>
            <m:ctrlPr>
              <w:rPr>
                <w:rFonts w:ascii="Cambria Math" w:hAnsi="Cambria Math"/>
                <w:i/>
              </w:rPr>
            </m:ctrlPr>
          </m:sSubPr>
          <m:e>
            <m:r>
              <w:rPr>
                <w:rFonts w:ascii="Cambria Math" w:hAnsi="Cambria Math"/>
              </w:rPr>
              <m:t>Z</m:t>
            </m:r>
          </m:e>
          <m:sub>
            <m:r>
              <w:rPr>
                <w:rFonts w:ascii="Cambria Math" w:hAnsi="Cambria Math"/>
              </w:rPr>
              <m:t>c</m:t>
            </m:r>
          </m:sub>
        </m:sSub>
      </m:oMath>
      <w:r w:rsidR="00E345CD" w:rsidRPr="00CB718E">
        <w:t xml:space="preserve">) </w:t>
      </w:r>
      <w:r w:rsidRPr="00CB718E">
        <w:t>jsem vydělil 100 a následně vynásobil závislostí na Rusku</w:t>
      </w:r>
      <w:r w:rsidR="00E345CD" w:rsidRPr="00CB718E">
        <w:t xml:space="preserve"> </w:t>
      </w:r>
      <w:r w:rsidR="00C2428B" w:rsidRPr="00CB718E">
        <w:t>(</w:t>
      </w:r>
      <m:oMath>
        <m:sSub>
          <m:sSubPr>
            <m:ctrlPr>
              <w:rPr>
                <w:rFonts w:ascii="Cambria Math" w:hAnsi="Cambria Math"/>
                <w:i/>
              </w:rPr>
            </m:ctrlPr>
          </m:sSubPr>
          <m:e>
            <m:r>
              <w:rPr>
                <w:rFonts w:ascii="Cambria Math" w:hAnsi="Cambria Math"/>
              </w:rPr>
              <m:t>Z</m:t>
            </m:r>
          </m:e>
          <m:sub>
            <m:r>
              <w:rPr>
                <w:rFonts w:ascii="Cambria Math" w:hAnsi="Cambria Math"/>
              </w:rPr>
              <m:t>r</m:t>
            </m:r>
          </m:sub>
        </m:sSub>
      </m:oMath>
      <w:r w:rsidR="00E345CD" w:rsidRPr="00CB718E">
        <w:t>)</w:t>
      </w:r>
      <w:r w:rsidRPr="00CB718E">
        <w:t>.</w:t>
      </w:r>
      <w:r w:rsidRPr="00CB718E">
        <w:rPr>
          <w:rStyle w:val="Znakapoznpodarou"/>
        </w:rPr>
        <w:footnoteReference w:id="37"/>
      </w:r>
      <w:r w:rsidRPr="00CB718E">
        <w:t xml:space="preserve"> Vznikne tedy index</w:t>
      </w:r>
      <w:r w:rsidR="00C2428B" w:rsidRPr="00CB718E">
        <w:t xml:space="preserve"> (</w:t>
      </w:r>
      <m:oMath>
        <m:sSub>
          <m:sSubPr>
            <m:ctrlPr>
              <w:rPr>
                <w:rFonts w:ascii="Cambria Math" w:hAnsi="Cambria Math"/>
                <w:i/>
              </w:rPr>
            </m:ctrlPr>
          </m:sSubPr>
          <m:e>
            <m:r>
              <w:rPr>
                <w:rFonts w:ascii="Cambria Math" w:hAnsi="Cambria Math"/>
              </w:rPr>
              <m:t>I</m:t>
            </m:r>
          </m:e>
          <m:sub>
            <m:r>
              <w:rPr>
                <w:rFonts w:ascii="Cambria Math" w:hAnsi="Cambria Math"/>
              </w:rPr>
              <m:t>z</m:t>
            </m:r>
          </m:sub>
        </m:sSub>
      </m:oMath>
      <w:r w:rsidR="00C2428B" w:rsidRPr="00CB718E">
        <w:t>)</w:t>
      </w:r>
      <w:r w:rsidRPr="00CB718E">
        <w:t xml:space="preserve">, který bere v potaz jak závislost na plynu, tak na ruských dodávkách. </w:t>
      </w:r>
      <w:r w:rsidR="00427D22" w:rsidRPr="00CB718E">
        <w:t>Plnému členst</w:t>
      </w:r>
      <w:r w:rsidR="003C3206" w:rsidRPr="00CB718E">
        <w:t>ví jsem přiřkl hodnotu 15</w:t>
      </w:r>
      <w:r w:rsidR="00427D22" w:rsidRPr="00CB718E">
        <w:t>. Střední bod má hodnotu</w:t>
      </w:r>
      <w:r w:rsidR="003C3206" w:rsidRPr="00CB718E">
        <w:t xml:space="preserve"> 7,55</w:t>
      </w:r>
      <w:r w:rsidR="00427D22" w:rsidRPr="00CB718E">
        <w:t xml:space="preserve">, </w:t>
      </w:r>
      <w:r w:rsidR="003C3206" w:rsidRPr="00CB718E">
        <w:t>tedy téměř polovin</w:t>
      </w:r>
      <w:r w:rsidR="00AC2A6A" w:rsidRPr="00CB718E">
        <w:t>u</w:t>
      </w:r>
      <w:r w:rsidR="003C3206" w:rsidRPr="00CB718E">
        <w:t xml:space="preserve"> plného členství (</w:t>
      </w:r>
      <w:r w:rsidR="00427D22" w:rsidRPr="00CB718E">
        <w:t xml:space="preserve">kolem </w:t>
      </w:r>
      <w:r w:rsidR="003C3206" w:rsidRPr="00CB718E">
        <w:t>této hranice se nachází hned tři státy: Rumunsko, Litva a Lotyšsko). Bod plného vyloučení nese hodnotu 1.</w:t>
      </w:r>
      <w:r w:rsidR="00E345CD" w:rsidRPr="00F63C92">
        <w:t xml:space="preserve"> </w:t>
      </w:r>
      <w:r w:rsidR="007418C9" w:rsidRPr="00F63C92">
        <w:br/>
      </w:r>
      <w:r w:rsidR="00E345CD" w:rsidRPr="00F63C92">
        <w:t>Vyjádřeno vzorcem:</w:t>
      </w:r>
      <w:r w:rsidR="00E345CD" w:rsidRPr="00F63C92">
        <w:tab/>
      </w:r>
      <m:oMath>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z =</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Z</m:t>
            </m:r>
          </m:e>
          <m:sub>
            <m:r>
              <m:rPr>
                <m:sty m:val="bi"/>
              </m:rPr>
              <w:rPr>
                <w:rFonts w:ascii="Cambria Math" w:hAnsi="Cambria Math"/>
              </w:rPr>
              <m:t>c</m:t>
            </m:r>
          </m:sub>
        </m:sSub>
        <m:r>
          <m:rPr>
            <m:sty m:val="bi"/>
          </m:rPr>
          <w:rPr>
            <w:rFonts w:ascii="Cambria Math" w:hAnsi="Cambria Math"/>
          </w:rPr>
          <m:t>÷100×</m:t>
        </m:r>
        <m:sSub>
          <m:sSubPr>
            <m:ctrlPr>
              <w:rPr>
                <w:rFonts w:ascii="Cambria Math" w:hAnsi="Cambria Math"/>
                <w:b/>
                <w:i/>
              </w:rPr>
            </m:ctrlPr>
          </m:sSubPr>
          <m:e>
            <m:r>
              <m:rPr>
                <m:sty m:val="bi"/>
              </m:rPr>
              <w:rPr>
                <w:rFonts w:ascii="Cambria Math" w:hAnsi="Cambria Math"/>
              </w:rPr>
              <m:t>Z</m:t>
            </m:r>
          </m:e>
          <m:sub>
            <m:r>
              <m:rPr>
                <m:sty m:val="bi"/>
              </m:rPr>
              <w:rPr>
                <w:rFonts w:ascii="Cambria Math" w:hAnsi="Cambria Math"/>
              </w:rPr>
              <m:t>r</m:t>
            </m:r>
          </m:sub>
        </m:sSub>
      </m:oMath>
    </w:p>
    <w:p w:rsidR="002B5B4D" w:rsidRPr="00CB718E" w:rsidRDefault="00A3499C" w:rsidP="002B3844">
      <w:pPr>
        <w:spacing w:before="240" w:after="240"/>
        <w:ind w:firstLine="708"/>
        <w:rPr>
          <w:color w:val="FF0000"/>
        </w:rPr>
      </w:pPr>
      <w:r w:rsidRPr="00CB718E">
        <w:t>Počet ukrajinských uprchlíků v zemích EU je operacionalizován jejich podílem k celkovému počtu obyvatel v jednotlivých státech</w:t>
      </w:r>
      <w:r w:rsidR="00D6243F" w:rsidRPr="00CB718E">
        <w:t xml:space="preserve"> (v %)</w:t>
      </w:r>
      <w:r w:rsidRPr="00CB718E">
        <w:t>.</w:t>
      </w:r>
      <w:r w:rsidR="00AF3930" w:rsidRPr="00CB718E">
        <w:t xml:space="preserve"> Baubock (2001) navrhuje při zkoumání migrační politiky nahlížet na vnitřní struktury státu. Greenhill (2016) pak upozorňuje na fakt, že liberální demokracie mohou být na migraci náchylné a může být proti nim dokonce zneužita jako zbraň. Takový přístup k migraci a zohlednění liberální demokracie podléhá kritice již mnoho let. V liberálně demokratických státech, kde je politická legitimita založena na myšlence suverenity lidu a které zohledňují aktéry, jakými jsou zájmové skupiny či elektorát, označuje Freeman (1995: 886) kontrolu imigrace jako „klientskou politiku“, jelikož je zátěž rozprostřena v rámci celé společnosti, ale přínos je koncentrován pouze v určitých sektorech. Podle Holliefielda (2004: 885) se pak státy: </w:t>
      </w:r>
      <w:r w:rsidR="00AF3930" w:rsidRPr="00CB718E">
        <w:rPr>
          <w:i/>
        </w:rPr>
        <w:t>„ocitají v pasti "liberálního" paradoxu - aby si udržely konkurenční výhodu, musí vlády udržovat své ekonomiky a společnosti otevřené obchodu, investicím a migraci. Na rozdíl od zboží, kapitálu a služeb je však pohyb osob spojen s většími politickými riziky.“</w:t>
      </w:r>
      <w:r w:rsidR="00AF3930" w:rsidRPr="00CB718E">
        <w:t xml:space="preserve"> Zatímco liberální ekonomická logika velí k otevřenosti globálního trhu, politická logika liberálních demokracií je vůči migraci často restriktivní. Natter (2018) pak ve své studii, kde komparuje imigrační politiky Tuniska a Maroka ve 21. století, tvrdí, že autokratické režimy jsou často v imigrační politice flexibilnější a dokáží v případě ekonomických či diplomatických zájmů tvořit „liberálnější“ migrační politiku než liberálně </w:t>
      </w:r>
      <w:r w:rsidR="00AF3930" w:rsidRPr="00CB718E">
        <w:lastRenderedPageBreak/>
        <w:t>demokratické státy. Státy EU se však v případě přijímání ukrajinských uprch</w:t>
      </w:r>
      <w:r w:rsidR="002B5B4D" w:rsidRPr="00CB718E">
        <w:t>líků zachovaly velice liberálně.</w:t>
      </w:r>
      <w:r w:rsidR="002B5B4D" w:rsidRPr="00CB718E">
        <w:rPr>
          <w:color w:val="FF0000"/>
        </w:rPr>
        <w:t xml:space="preserve"> </w:t>
      </w:r>
    </w:p>
    <w:p w:rsidR="002B5B4D" w:rsidRPr="00CB718E" w:rsidRDefault="00577135" w:rsidP="004A418F">
      <w:pPr>
        <w:spacing w:before="240" w:after="240"/>
        <w:ind w:firstLine="708"/>
      </w:pPr>
      <w:r w:rsidRPr="00CB718E">
        <w:t>Zdrojem dat pro počet uprchlíků v jednotlivých zemích je opět Kielský institut pro světovou ekonomiku. Tato data jsem doplnil o počet obyvatel</w:t>
      </w:r>
      <w:r w:rsidR="00A07327" w:rsidRPr="00CB718E">
        <w:t xml:space="preserve"> za rok 2023 </w:t>
      </w:r>
      <w:r w:rsidR="008A633E" w:rsidRPr="00CB718E">
        <w:t>po</w:t>
      </w:r>
      <w:r w:rsidR="00A07327" w:rsidRPr="00CB718E">
        <w:t>dle Eurostat</w:t>
      </w:r>
      <w:r w:rsidR="008A633E" w:rsidRPr="00CB718E">
        <w:t>u</w:t>
      </w:r>
      <w:r w:rsidRPr="00CB718E">
        <w:t xml:space="preserve"> (2024) a počet </w:t>
      </w:r>
      <w:r w:rsidR="00F772A6" w:rsidRPr="00CB718E">
        <w:t>uprchlíků</w:t>
      </w:r>
      <w:r w:rsidR="003C27EE" w:rsidRPr="00CB718E">
        <w:t xml:space="preserve"> (U)</w:t>
      </w:r>
      <w:r w:rsidRPr="00CB718E">
        <w:t xml:space="preserve"> vydělil </w:t>
      </w:r>
      <w:r w:rsidR="00F772A6" w:rsidRPr="00CB718E">
        <w:t xml:space="preserve">celkovým </w:t>
      </w:r>
      <w:r w:rsidRPr="00CB718E">
        <w:t>počtem</w:t>
      </w:r>
      <w:r w:rsidR="00F772A6" w:rsidRPr="00CB718E">
        <w:t xml:space="preserve"> obyvatel </w:t>
      </w:r>
      <w:r w:rsidR="003C27EE" w:rsidRPr="00CB718E">
        <w:t xml:space="preserve">(O) </w:t>
      </w:r>
      <w:r w:rsidR="00F772A6" w:rsidRPr="00CB718E">
        <w:t xml:space="preserve">a </w:t>
      </w:r>
      <w:r w:rsidR="003C27EE" w:rsidRPr="00CB718E">
        <w:t xml:space="preserve">následně </w:t>
      </w:r>
      <w:r w:rsidR="00F772A6" w:rsidRPr="00CB718E">
        <w:t>vynásobil 100</w:t>
      </w:r>
      <w:r w:rsidRPr="00CB718E">
        <w:t>, z čehož vzešel podíl uprchlíků v dané zemi</w:t>
      </w:r>
      <w:r w:rsidR="00505B09" w:rsidRPr="00CB718E">
        <w:t xml:space="preserve"> </w:t>
      </w:r>
      <m:oMath>
        <m:sSub>
          <m:sSubPr>
            <m:ctrlPr>
              <w:rPr>
                <w:rFonts w:ascii="Cambria Math" w:hAnsi="Cambria Math"/>
                <w:i/>
              </w:rPr>
            </m:ctrlPr>
          </m:sSubPr>
          <m:e>
            <m:r>
              <w:rPr>
                <w:rFonts w:ascii="Cambria Math" w:hAnsi="Cambria Math"/>
              </w:rPr>
              <m:t>(I</m:t>
            </m:r>
          </m:e>
          <m:sub>
            <m:r>
              <w:rPr>
                <w:rFonts w:ascii="Cambria Math" w:hAnsi="Cambria Math"/>
              </w:rPr>
              <m:t>m</m:t>
            </m:r>
          </m:sub>
        </m:sSub>
      </m:oMath>
      <w:r w:rsidR="00505B09" w:rsidRPr="00CB718E">
        <w:t>)</w:t>
      </w:r>
      <w:r w:rsidRPr="00CB718E">
        <w:t>.</w:t>
      </w:r>
      <w:r w:rsidR="004A418F" w:rsidRPr="00CB718E">
        <w:t xml:space="preserve"> </w:t>
      </w:r>
      <w:r w:rsidR="003C27EE" w:rsidRPr="00CB718E">
        <w:t>Vyjádřeno vzorcem:</w:t>
      </w:r>
      <w:r w:rsidR="003C27EE" w:rsidRPr="00CB718E">
        <w:tab/>
      </w:r>
      <m:oMath>
        <m:r>
          <w:rPr>
            <w:rFonts w:ascii="Cambria Math" w:hAnsi="Cambria Math"/>
          </w:rPr>
          <m:t xml:space="preserve"> </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m:t>
            </m:r>
          </m:sub>
        </m:sSub>
        <m:r>
          <m:rPr>
            <m:sty m:val="bi"/>
          </m:rPr>
          <w:rPr>
            <w:rFonts w:ascii="Cambria Math" w:hAnsi="Cambria Math"/>
          </w:rPr>
          <m:t>=U÷O*100</m:t>
        </m:r>
      </m:oMath>
    </w:p>
    <w:p w:rsidR="00425E03" w:rsidRPr="00CB718E" w:rsidRDefault="00E6035D" w:rsidP="002B3844">
      <w:pPr>
        <w:spacing w:before="240" w:after="240"/>
        <w:ind w:firstLine="708"/>
      </w:pPr>
      <w:r w:rsidRPr="00CB718E">
        <w:t>Míra</w:t>
      </w:r>
      <w:r w:rsidR="00A3499C" w:rsidRPr="00CB718E">
        <w:t xml:space="preserve"> plného členství dosahuje hodnoty 2,5</w:t>
      </w:r>
      <w:r w:rsidR="00505B09" w:rsidRPr="00CB718E">
        <w:t xml:space="preserve"> %</w:t>
      </w:r>
      <w:r w:rsidR="00A3499C" w:rsidRPr="00CB718E">
        <w:t>, která je lehce pod hodnotou Polska (2,6</w:t>
      </w:r>
      <w:r w:rsidR="00505B09" w:rsidRPr="00CB718E">
        <w:t xml:space="preserve"> %</w:t>
      </w:r>
      <w:r w:rsidR="00A3499C" w:rsidRPr="00CB718E">
        <w:t>) a které těsně nedosahuje Lotyšsko (2,33</w:t>
      </w:r>
      <w:r w:rsidR="00505B09" w:rsidRPr="00CB718E">
        <w:t xml:space="preserve"> %). Nejvyšší</w:t>
      </w:r>
      <w:r w:rsidR="00A3499C" w:rsidRPr="00CB718E">
        <w:t xml:space="preserve"> podíl uprchlíků na počet obyvatel má Česká republika (3,47 %), jejichž kalib</w:t>
      </w:r>
      <w:r w:rsidR="00EF0C86" w:rsidRPr="00CB718E">
        <w:t>rovaná hodnota je na úrovni 0,989</w:t>
      </w:r>
      <w:r w:rsidR="00A3499C" w:rsidRPr="00CB718E">
        <w:t xml:space="preserve">. </w:t>
      </w:r>
      <w:r w:rsidR="0021771C" w:rsidRPr="00CB718E">
        <w:t>Nad hodnotou 2,5</w:t>
      </w:r>
      <w:r w:rsidR="00505B09" w:rsidRPr="00CB718E">
        <w:t xml:space="preserve"> %</w:t>
      </w:r>
      <w:r w:rsidR="0021771C" w:rsidRPr="00CB718E">
        <w:t xml:space="preserve"> se nachází ještě Estonsko (2,8</w:t>
      </w:r>
      <w:r w:rsidR="00505B09" w:rsidRPr="00CB718E">
        <w:t xml:space="preserve"> %</w:t>
      </w:r>
      <w:r w:rsidR="0021771C" w:rsidRPr="00CB718E">
        <w:t>). Střední bod je stanoven na 0,65</w:t>
      </w:r>
      <w:r w:rsidR="00505B09" w:rsidRPr="00CB718E">
        <w:t xml:space="preserve"> %</w:t>
      </w:r>
      <w:r w:rsidR="0021771C" w:rsidRPr="00CB718E">
        <w:t>. Tato hodnota je lehce pod mediánem (0,68</w:t>
      </w:r>
      <w:r w:rsidR="00505B09" w:rsidRPr="00CB718E">
        <w:t xml:space="preserve"> %</w:t>
      </w:r>
      <w:r w:rsidR="007477B2" w:rsidRPr="00CB718E">
        <w:t>), ovšem hodnoty mediánu</w:t>
      </w:r>
      <w:r w:rsidR="0021771C" w:rsidRPr="00CB718E">
        <w:t xml:space="preserve"> dosahuje Maďarsko</w:t>
      </w:r>
      <w:r w:rsidR="00904B6E" w:rsidRPr="00CB718E">
        <w:t xml:space="preserve">, což by v následné analýze mohlo působit potíže, na což mj. upozorňuje Oana et al. (2021: 42-43): </w:t>
      </w:r>
      <w:r w:rsidR="00904B6E" w:rsidRPr="00CB718E">
        <w:rPr>
          <w:i/>
        </w:rPr>
        <w:t>„Přiřazení příslušnosti případu přesně k hodnotě 0,5 se rovná tvrzení, že nevíme, zda je daný případ členem množiny, či nikoli. V podstatě se to rovná přiznání, že o daném případu nemáme žádné přesvědčivé znalosti týkající se pojmu, který má být kalibrován. [...] Například případy s příslušností k množině přesně 0,5 nelze jednoznačně přiřadit k řádku pravdivostní tabulky.“</w:t>
      </w:r>
      <w:r w:rsidR="007477B2" w:rsidRPr="00CB718E">
        <w:t xml:space="preserve"> Střední bod byl tedy posunut níže, jelikož se ji blíží hned další čtyři státy (Lucembursko 0,64</w:t>
      </w:r>
      <w:r w:rsidR="00505B09" w:rsidRPr="00CB718E">
        <w:t xml:space="preserve"> %</w:t>
      </w:r>
      <w:r w:rsidR="007477B2" w:rsidRPr="00CB718E">
        <w:t>; Belgie 0,64</w:t>
      </w:r>
      <w:r w:rsidR="00505B09" w:rsidRPr="00CB718E">
        <w:t xml:space="preserve"> %</w:t>
      </w:r>
      <w:r w:rsidR="007477B2" w:rsidRPr="00CB718E">
        <w:t xml:space="preserve">; </w:t>
      </w:r>
      <w:r w:rsidR="00577135" w:rsidRPr="00CB718E">
        <w:t>Chorvatsko 0,63</w:t>
      </w:r>
      <w:r w:rsidR="00505B09" w:rsidRPr="00CB718E">
        <w:t xml:space="preserve"> %</w:t>
      </w:r>
      <w:r w:rsidR="00577135" w:rsidRPr="00CB718E">
        <w:t>; Dánsko 0,62</w:t>
      </w:r>
      <w:r w:rsidR="00505B09" w:rsidRPr="00CB718E">
        <w:t xml:space="preserve"> %</w:t>
      </w:r>
      <w:r w:rsidR="00577135" w:rsidRPr="00CB718E">
        <w:t>). Hranice plného vyloučení je pak stanovena na úrovni 0,2</w:t>
      </w:r>
      <w:r w:rsidR="00505B09" w:rsidRPr="00CB718E">
        <w:t xml:space="preserve"> %</w:t>
      </w:r>
      <w:r w:rsidR="00577135" w:rsidRPr="00CB718E">
        <w:t>, pod kterou se nachází Francie (0,1</w:t>
      </w:r>
      <w:r w:rsidR="00505B09" w:rsidRPr="00CB718E">
        <w:t xml:space="preserve"> %</w:t>
      </w:r>
      <w:r w:rsidR="00172B27" w:rsidRPr="00CB718E">
        <w:t>; hodnota po kalibraci je 0,027</w:t>
      </w:r>
      <w:r w:rsidR="00577135" w:rsidRPr="00CB718E">
        <w:t>).</w:t>
      </w:r>
    </w:p>
    <w:p w:rsidR="00DD3B7F" w:rsidRPr="00C53FBF" w:rsidRDefault="00425E03" w:rsidP="002B3844">
      <w:pPr>
        <w:spacing w:before="240" w:after="240"/>
        <w:ind w:firstLine="0"/>
      </w:pPr>
      <w:r w:rsidRPr="00CB718E">
        <w:tab/>
        <w:t> Pro z</w:t>
      </w:r>
      <w:r w:rsidR="005450A8" w:rsidRPr="00CB718E">
        <w:t>koumání kvality libe</w:t>
      </w:r>
      <w:r w:rsidRPr="00CB718E">
        <w:t>rální demokracie využívám index</w:t>
      </w:r>
      <w:r w:rsidR="005450A8" w:rsidRPr="00CB718E">
        <w:t xml:space="preserve"> V-Dem institutu. </w:t>
      </w:r>
      <w:r w:rsidR="002E17DE" w:rsidRPr="00CB718E">
        <w:t>Ten ve svém reportu (Nord et al. 2024:</w:t>
      </w:r>
      <w:r w:rsidR="00A54D13" w:rsidRPr="00CB718E">
        <w:t xml:space="preserve"> </w:t>
      </w:r>
      <w:r w:rsidR="002E17DE" w:rsidRPr="00CB718E">
        <w:t>54</w:t>
      </w:r>
      <w:r w:rsidR="006C1DB8" w:rsidRPr="00CB718E">
        <w:t>)</w:t>
      </w:r>
      <w:r w:rsidR="002E17DE" w:rsidRPr="00CB718E">
        <w:t xml:space="preserve"> liberální demokracii definuje jako: </w:t>
      </w:r>
      <w:r w:rsidR="002E17DE" w:rsidRPr="00CB718E">
        <w:rPr>
          <w:i/>
        </w:rPr>
        <w:t>„V koncepčním schématu V-Dem liberální princip demokracie ztělesňuje důležitost ochrany práv jednotlivců a menšin jak před tyranií státu, tak před tyranií většiny. Zachycuje také „horizontální“ metody odpovědnosti mezi více či méně rovnocennými institucemi, které zajišťují účinné kontroly a rovnováhy mezi institucemi a zejména omezují výkon výkonné moci. Toho je dosaženo silným právním státem a ústavně chráněnými občanskými svobodami, nezávislým soudnictvím a silným parlamentem, které jsou schopny volat exekutivu k odpovědnosti a omezovat její pravomoci.“</w:t>
      </w:r>
      <w:r w:rsidR="002E17DE" w:rsidRPr="00CB718E">
        <w:t xml:space="preserve"> Tato defi</w:t>
      </w:r>
      <w:r w:rsidR="006C1DB8" w:rsidRPr="00CB718E">
        <w:t xml:space="preserve">nice </w:t>
      </w:r>
      <w:r w:rsidR="00A54D13" w:rsidRPr="00CB718E">
        <w:t>je v souladu</w:t>
      </w:r>
      <w:r w:rsidR="006C1DB8" w:rsidRPr="00CB718E">
        <w:t xml:space="preserve"> </w:t>
      </w:r>
      <w:r w:rsidR="00DD3B7F" w:rsidRPr="00CB718E">
        <w:t xml:space="preserve">s </w:t>
      </w:r>
      <w:r w:rsidR="006C1DB8" w:rsidRPr="00CB718E">
        <w:t>výše zmíněn</w:t>
      </w:r>
      <w:r w:rsidR="00DD3B7F" w:rsidRPr="00CB718E">
        <w:t>ou</w:t>
      </w:r>
      <w:r w:rsidR="002E17DE" w:rsidRPr="00CB718E">
        <w:t xml:space="preserve"> definicí podle Dahla. Plné členství je určeno na hodnotu 0,8. Tuto hodnotu sice hned 11 států,</w:t>
      </w:r>
      <w:r w:rsidR="00F27255" w:rsidRPr="00CB718E">
        <w:rPr>
          <w:rStyle w:val="Znakapoznpodarou"/>
        </w:rPr>
        <w:footnoteReference w:id="38"/>
      </w:r>
      <w:r w:rsidR="002E17DE" w:rsidRPr="00CB718E">
        <w:t xml:space="preserve"> ale uvážíme-li, že celosv</w:t>
      </w:r>
      <w:r w:rsidR="0037552F" w:rsidRPr="00CB718E">
        <w:t>ětově na tuto hodnotu dosáhne kromě států EU pouze pět dalších</w:t>
      </w:r>
      <w:r w:rsidR="002E17DE" w:rsidRPr="00CB718E">
        <w:t xml:space="preserve"> států, tak je jasné, že liberální demokracie jsou v EU </w:t>
      </w:r>
      <w:r w:rsidR="0037552F" w:rsidRPr="00C53FBF">
        <w:lastRenderedPageBreak/>
        <w:t xml:space="preserve">naprosto dominantní. Jednoznačně lze označit drtivou většinu členských států za liberálně </w:t>
      </w:r>
      <w:r w:rsidR="004F6EF9" w:rsidRPr="00C53FBF">
        <w:t>demokratické, proto je hodnota</w:t>
      </w:r>
      <w:r w:rsidR="0037552F" w:rsidRPr="00C53FBF">
        <w:t xml:space="preserve"> nastavena</w:t>
      </w:r>
      <w:r w:rsidR="004F6EF9" w:rsidRPr="00C53FBF">
        <w:t xml:space="preserve"> tímto způsobem</w:t>
      </w:r>
      <w:r w:rsidR="0037552F" w:rsidRPr="00C53FBF">
        <w:t>. Střední bod je určen na hodnotě 0,7, od kterého lze státy považovat za liberálně demokratické.</w:t>
      </w:r>
      <w:r w:rsidR="0037552F" w:rsidRPr="00C53FBF">
        <w:rPr>
          <w:rStyle w:val="Znakapoznpodarou"/>
        </w:rPr>
        <w:footnoteReference w:id="39"/>
      </w:r>
      <w:r w:rsidR="007B470F" w:rsidRPr="00C53FBF">
        <w:t xml:space="preserve"> Bod plného vyloučení je nastaven na hodnotu 0,5, kdy už o liberální demokracii lze pochybovat. Pod touto hranicí je z členských zemí EU </w:t>
      </w:r>
      <w:r w:rsidR="00F27255" w:rsidRPr="00C53FBF">
        <w:t>Polsko (0,44) a Maďarsko (0,32). Přesně na úrovni je Rumunsko a lehce nad bodem plného vyloučení je Řecko (0,58) a Bulharsko (0,59).</w:t>
      </w:r>
    </w:p>
    <w:p w:rsidR="00524A7C" w:rsidRPr="00C53FBF" w:rsidRDefault="00377134" w:rsidP="002B3844">
      <w:pPr>
        <w:spacing w:before="240" w:after="240"/>
        <w:ind w:firstLine="708"/>
      </w:pPr>
      <w:r w:rsidRPr="00C53FBF">
        <w:t>Rozdělení na starou a novou Evropu lze provést různě. Já ji ve své práci operacionalizuji jako počet let strávených v EU.</w:t>
      </w:r>
      <w:r w:rsidR="00B2245C" w:rsidRPr="00C53FBF">
        <w:rPr>
          <w:rStyle w:val="Znakapoznpodarou"/>
        </w:rPr>
        <w:footnoteReference w:id="40"/>
      </w:r>
      <w:r w:rsidRPr="00C53FBF">
        <w:t xml:space="preserve"> </w:t>
      </w:r>
      <w:r w:rsidR="00152471" w:rsidRPr="00C53FBF">
        <w:t>Bod plného vyloučení je zvolen na 40 let od vstupu do tehdy Evropských společenství. Lze si povšimnout, že mnoho zemí takhle nastavenou hranici překoná. To je ovšem pro účely ověřování hypotézy o nové a staré Evropě vhodnější, jelikož se státy zřetelněji rozdělí do staré či nové Evropy.</w:t>
      </w:r>
      <w:r w:rsidR="004B3D6C" w:rsidRPr="00C53FBF">
        <w:t xml:space="preserve"> Skóre tedy roste s nižším počtem strávených let v EU.</w:t>
      </w:r>
      <w:r w:rsidR="00152471" w:rsidRPr="00C53FBF">
        <w:t xml:space="preserve"> Střední bod představuje rok 1999</w:t>
      </w:r>
      <w:r w:rsidR="00CB7C91" w:rsidRPr="00C53FBF">
        <w:t xml:space="preserve"> resp. 25 let od vstupu do EU. Jde o střední hodnotu mezi Švédskem, Finskem a Rakouskem, které lze považovat spíše za západní Evropu, a východním rozšířením v roce 2004. Bod plného členství je pak stanoven na 17 let od vstupu, což se týká dvou zemí – Rumunska a Bulharska. Tuto hodnotu překonává Chorvatsko, které do EU vstoupilo v roce 2013.</w:t>
      </w:r>
    </w:p>
    <w:p w:rsidR="00742EB4" w:rsidRPr="00173C9D" w:rsidRDefault="00602B13" w:rsidP="002B3844">
      <w:pPr>
        <w:spacing w:before="240" w:after="240"/>
        <w:ind w:firstLine="708"/>
      </w:pPr>
      <w:r w:rsidRPr="00C53FBF">
        <w:t xml:space="preserve">Výdaje na obranu jsou operacionalizovány celkovými výdaji na obranu vůči HDP </w:t>
      </w:r>
      <w:r w:rsidR="00B565E2" w:rsidRPr="00C53FBF">
        <w:t xml:space="preserve">(v %) </w:t>
      </w:r>
      <w:r w:rsidRPr="00C53FBF">
        <w:t>podle dat Evropské obranné agentury pro rok 2022</w:t>
      </w:r>
      <w:r w:rsidR="00FC57D0" w:rsidRPr="00C53FBF">
        <w:t xml:space="preserve"> </w:t>
      </w:r>
      <w:r w:rsidR="00DA035A" w:rsidRPr="00C53FBF">
        <w:t>(</w:t>
      </w:r>
      <w:r w:rsidR="00FC57D0" w:rsidRPr="00C53FBF">
        <w:t>European Defence Agency, 2023)</w:t>
      </w:r>
      <w:r w:rsidRPr="00C53FBF">
        <w:t xml:space="preserve">. </w:t>
      </w:r>
      <w:r w:rsidR="00B565E2" w:rsidRPr="00C53FBF">
        <w:t>Hranici plného člen</w:t>
      </w:r>
      <w:r w:rsidR="00F30860" w:rsidRPr="00C53FBF">
        <w:t xml:space="preserve">ství jsem určil na hranici 2,2 </w:t>
      </w:r>
      <w:r w:rsidR="00110126" w:rsidRPr="00C53FBF">
        <w:t>%</w:t>
      </w:r>
      <w:r w:rsidR="00B565E2" w:rsidRPr="00C53FBF">
        <w:t xml:space="preserve">.  </w:t>
      </w:r>
      <w:r w:rsidR="00F30860" w:rsidRPr="00C53FBF">
        <w:t>Této hranice nedosahuje drtivá většina států a lze</w:t>
      </w:r>
      <w:r w:rsidR="00F30860" w:rsidRPr="00173C9D">
        <w:t xml:space="preserve"> kvantitativně odlišit státy podle jejich míry výdajů na obranu vůči HDP. Hranici v roce 2022 překr</w:t>
      </w:r>
      <w:r w:rsidR="00732FDD" w:rsidRPr="00173C9D">
        <w:t>očilo Řecko (3,87 %), Litva (2,</w:t>
      </w:r>
      <w:r w:rsidR="00F30860" w:rsidRPr="00173C9D">
        <w:t>46 %) a těsně také Polsko (2,22 %). Po kalibraci dosahují hodnot 1 (Řecko)</w:t>
      </w:r>
      <w:r w:rsidR="001E6B6F" w:rsidRPr="00173C9D">
        <w:t>,</w:t>
      </w:r>
      <w:r w:rsidR="00F30860" w:rsidRPr="00173C9D">
        <w:t xml:space="preserve"> 0,985 (Litva) a 0,954 (Polsko). Střední bod tvoří hodnota identická s průměrem – tedy 1,58 %. Hodnoty mediánu 1, 51 byla naměřena Německu a It</w:t>
      </w:r>
      <w:r w:rsidR="00E6035D" w:rsidRPr="00173C9D">
        <w:t xml:space="preserve">álii. Podle výše zmíněné rady </w:t>
      </w:r>
      <w:r w:rsidR="00732FDD" w:rsidRPr="00173C9D">
        <w:t>o středním bodu a hodnotě obsažené v datasetu (Oana et al. 2021: 42-43) tedy volím průměrnou hodnotu. Bod plného vyloučení jsem stanovil na 0,5 %. Této hodnoty nedosahuje Irsko (0,22 %) a Malta (0,41 %). Tyto státy dosahují kalibrovaného skóre 0,024 resp. 0,396.</w:t>
      </w:r>
    </w:p>
    <w:p w:rsidR="00240591" w:rsidRPr="00173C9D" w:rsidRDefault="00FD261D" w:rsidP="002B3844">
      <w:pPr>
        <w:spacing w:before="240" w:after="240"/>
        <w:ind w:firstLine="708"/>
      </w:pPr>
      <w:r w:rsidRPr="00173C9D">
        <w:lastRenderedPageBreak/>
        <w:t>V</w:t>
      </w:r>
      <w:r w:rsidR="00762995" w:rsidRPr="00173C9D">
        <w:t xml:space="preserve">zdálenost bude operacionalizována jako vzdálenost mezi hlavními městy, i přes to, že Pickering (2012: 440) upozorňuje, že takto měřená vzdálenost může být lepší pro kulturní podobnosti a obchod by lépe mohla vysvětlovat tzv. minimální vzdálenost. Ale je důležité pro každou práci volit optimální měření vzdálenosti a to v případě vzdálenosti od Ruska znamená zohlednění Kaliningradské oblasti, která by značně ovlivnila výsledky. Keshk et al. (2010: 4) navíc uvádí: </w:t>
      </w:r>
      <w:r w:rsidR="00762995" w:rsidRPr="00173C9D">
        <w:rPr>
          <w:i/>
        </w:rPr>
        <w:t>„Studie o obchodu obvykle modelují blízkost jako vzdálenost mezi hlavními městy</w:t>
      </w:r>
      <w:r w:rsidR="00824ED4" w:rsidRPr="00173C9D">
        <w:rPr>
          <w:i/>
        </w:rPr>
        <w:t>.</w:t>
      </w:r>
      <w:r w:rsidR="00762995" w:rsidRPr="00173C9D">
        <w:rPr>
          <w:i/>
        </w:rPr>
        <w:t>“</w:t>
      </w:r>
      <w:r w:rsidR="00762995" w:rsidRPr="00173C9D">
        <w:t xml:space="preserve"> </w:t>
      </w:r>
      <w:r w:rsidR="00824ED4" w:rsidRPr="00173C9D">
        <w:t xml:space="preserve">A </w:t>
      </w:r>
      <w:r w:rsidR="00762995" w:rsidRPr="00173C9D">
        <w:t xml:space="preserve">protože následně zohledňuji také vliv obchodu na podporu Ukrajiny, ponechám indikátor vzdálenosti mezi hlavními městy, tedy mezi Moskvou a hlavními městy jednotlivých členských zemí EU. Význam obchodu budu zkoumat procentem exportu jednotlivých zemí do Ruska. </w:t>
      </w:r>
    </w:p>
    <w:p w:rsidR="00E257DA" w:rsidRDefault="00524A7C" w:rsidP="002B3844">
      <w:pPr>
        <w:spacing w:before="240" w:after="240"/>
        <w:ind w:firstLine="708"/>
      </w:pPr>
      <w:r w:rsidRPr="00173C9D">
        <w:t xml:space="preserve">Bod plného </w:t>
      </w:r>
      <w:r w:rsidR="004A6901" w:rsidRPr="00173C9D">
        <w:t>členství</w:t>
      </w:r>
      <w:r w:rsidR="00240591" w:rsidRPr="00173C9D">
        <w:t xml:space="preserve"> geografické vzdálenosti</w:t>
      </w:r>
      <w:r w:rsidR="004A6901" w:rsidRPr="00173C9D">
        <w:t xml:space="preserve"> je zvolen na 800 km. To je lehce nad vzdáleností mezi Moskvou a Vilniusem (790 km). Riga, Tallinn a Helsinky se nachází do 900 km od Moskvy. Naopak nejdále od ruského hlavního města je Lisabon (3905 km) následovaný Madridem (3439 km). Plné vyloučení představuje hodnota</w:t>
      </w:r>
      <w:r w:rsidR="004D0B74" w:rsidRPr="00173C9D">
        <w:t xml:space="preserve"> 3500 km. Střední bod je pak stanoven na 2250 km.</w:t>
      </w:r>
      <w:r w:rsidR="007370D5" w:rsidRPr="00173C9D">
        <w:t xml:space="preserve"> Tato vzdálenost odpovídá zhruba vzdáleno</w:t>
      </w:r>
      <w:r w:rsidR="00583403" w:rsidRPr="00173C9D">
        <w:t>sti mezi Moskvou a At</w:t>
      </w:r>
      <w:r w:rsidR="007370D5" w:rsidRPr="00173C9D">
        <w:t>énami či Bruselem.</w:t>
      </w:r>
      <w:r w:rsidR="00D849FB" w:rsidRPr="00173C9D">
        <w:t xml:space="preserve"> </w:t>
      </w:r>
      <w:r w:rsidR="00FF61D9" w:rsidRPr="00173C9D">
        <w:t>Vzdálenost mezi městy byla měřena pomocí webové stránky distance.to.</w:t>
      </w:r>
    </w:p>
    <w:p w:rsidR="004D0B74" w:rsidRPr="00173C9D" w:rsidRDefault="00D77560" w:rsidP="002B3844">
      <w:pPr>
        <w:spacing w:before="240" w:after="240"/>
        <w:ind w:firstLine="708"/>
      </w:pPr>
      <w:r w:rsidRPr="00173C9D">
        <w:t>Pro ověření šesté hypotézy se opírám o data Světové banky (World Bank, n.d.)</w:t>
      </w:r>
      <w:r w:rsidR="006E7B63" w:rsidRPr="00173C9D">
        <w:t xml:space="preserve">, kde </w:t>
      </w:r>
      <w:r w:rsidR="0071257E" w:rsidRPr="00173C9D">
        <w:t xml:space="preserve">jsou k dispozici údaje o exportu jednotlivých zemí EU s Ruskem za rok 2021. Co se hodnot exportu týče, na první pohled vyčnívají pobaltské státy a Finsko. To v roce 2021 exportovalo do Ruska 5,35 %, Estonsko 6,39 %, Lotyšsko 7,28 % a Litva dokonce 10,85 %. Po nich však žádný jiný stát </w:t>
      </w:r>
      <w:r w:rsidR="00235E5F" w:rsidRPr="00173C9D">
        <w:t>nesměřoval svůj export</w:t>
      </w:r>
      <w:r w:rsidR="0071257E" w:rsidRPr="00173C9D">
        <w:t xml:space="preserve"> do Ruska ani ze tří procent. Plné členství je tedy nastaveno na </w:t>
      </w:r>
      <w:r w:rsidR="00E57B70" w:rsidRPr="00173C9D">
        <w:t>5,35 %, tedy úroveň exportu Finska. Střední bod je stanoven na 1,4 %, která je lehce nad mediánovou</w:t>
      </w:r>
      <w:r w:rsidR="00AE5C0E" w:rsidRPr="00173C9D">
        <w:t xml:space="preserve"> hodnotou (1,37 %) a kolem níž se nachází kormě Rumunska, které dosahuje mediánové hodnoty, ještě Maďarsko (1,46 %) a Itálie (1,47 %). Plné vyloučení je nastaveno na 0,38 %, což odpovídá exportu Irska do Ruska. Pod zmíněnou hranicí se nachází Malta (</w:t>
      </w:r>
      <w:r w:rsidR="00A43997" w:rsidRPr="00173C9D">
        <w:t>0,33 %) a Portugalsko (0,28 %).</w:t>
      </w:r>
    </w:p>
    <w:p w:rsidR="00F071DD" w:rsidRPr="000F760A" w:rsidRDefault="00AE19A4" w:rsidP="002B3844">
      <w:pPr>
        <w:pStyle w:val="Bezmezer"/>
        <w:spacing w:before="240" w:after="240" w:line="360" w:lineRule="auto"/>
        <w:ind w:firstLine="708"/>
      </w:pPr>
      <w:r w:rsidRPr="00173C9D">
        <w:t xml:space="preserve">Poslední hypotéza, týkající se populistů ve vládě a jejich podpory Ukrajiny, je </w:t>
      </w:r>
      <w:r w:rsidR="00A15DB5" w:rsidRPr="00173C9D">
        <w:t>o</w:t>
      </w:r>
      <w:r w:rsidRPr="00173C9D">
        <w:t xml:space="preserve">peracionalizována indexem populistů ve vládě. Tento index byl vytvořen počtem členů vlády (předseda vlády a ministři), kteří jsou </w:t>
      </w:r>
      <w:r w:rsidR="00FE1A2E" w:rsidRPr="00173C9D">
        <w:t>členy populistické strany</w:t>
      </w:r>
      <w:r w:rsidRPr="00173C9D">
        <w:t xml:space="preserve"> podle The PopuList (</w:t>
      </w:r>
      <w:r w:rsidRPr="00173C9D">
        <w:rPr>
          <w:rStyle w:val="Hypertextovodkaz"/>
          <w:color w:val="auto"/>
          <w:u w:val="none"/>
        </w:rPr>
        <w:t xml:space="preserve">Rooduijn </w:t>
      </w:r>
      <w:r w:rsidRPr="00173C9D">
        <w:rPr>
          <w:rStyle w:val="Hypertextovodkaz"/>
          <w:color w:val="auto"/>
          <w:u w:val="none"/>
        </w:rPr>
        <w:lastRenderedPageBreak/>
        <w:t>et al., 20</w:t>
      </w:r>
      <w:r w:rsidR="00FE1A2E" w:rsidRPr="00173C9D">
        <w:rPr>
          <w:rStyle w:val="Hypertextovodkaz"/>
          <w:color w:val="auto"/>
          <w:u w:val="none"/>
        </w:rPr>
        <w:t xml:space="preserve">23), </w:t>
      </w:r>
      <w:r w:rsidR="008B2012" w:rsidRPr="00173C9D">
        <w:rPr>
          <w:rStyle w:val="Hypertextovodkaz"/>
          <w:color w:val="auto"/>
          <w:u w:val="none"/>
        </w:rPr>
        <w:t>přičemž</w:t>
      </w:r>
      <w:r w:rsidR="00FE1A2E" w:rsidRPr="00173C9D">
        <w:rPr>
          <w:rStyle w:val="Hypertextovodkaz"/>
          <w:color w:val="auto"/>
          <w:u w:val="none"/>
        </w:rPr>
        <w:t xml:space="preserve"> je zohledněno, jak dlouho byli součástí vlády (v měsících</w:t>
      </w:r>
      <w:r w:rsidR="00FE1A2E" w:rsidRPr="00173C9D">
        <w:rPr>
          <w:rStyle w:val="Znakapoznpodarou"/>
        </w:rPr>
        <w:footnoteReference w:id="41"/>
      </w:r>
      <w:r w:rsidR="00FE1A2E" w:rsidRPr="00173C9D">
        <w:rPr>
          <w:rStyle w:val="Hypertextovodkaz"/>
          <w:color w:val="auto"/>
          <w:u w:val="none"/>
        </w:rPr>
        <w:t xml:space="preserve">) od </w:t>
      </w:r>
      <w:r w:rsidR="005D7DE0" w:rsidRPr="00173C9D">
        <w:rPr>
          <w:rStyle w:val="Hypertextovodkaz"/>
          <w:color w:val="auto"/>
          <w:u w:val="none"/>
        </w:rPr>
        <w:t xml:space="preserve">1. března </w:t>
      </w:r>
      <w:r w:rsidR="005D7DE0" w:rsidRPr="000F760A">
        <w:rPr>
          <w:rStyle w:val="Hypertextovodkaz"/>
          <w:color w:val="auto"/>
          <w:u w:val="none"/>
        </w:rPr>
        <w:t>2022</w:t>
      </w:r>
      <w:r w:rsidR="00FE1A2E" w:rsidRPr="000F760A">
        <w:rPr>
          <w:rStyle w:val="Hypertextovodkaz"/>
          <w:color w:val="auto"/>
          <w:u w:val="none"/>
        </w:rPr>
        <w:t xml:space="preserve"> do 1. ledna 2024.</w:t>
      </w:r>
      <w:r w:rsidR="000369B1" w:rsidRPr="000F760A">
        <w:rPr>
          <w:rStyle w:val="Hypertextovodkaz"/>
          <w:color w:val="auto"/>
          <w:u w:val="none"/>
        </w:rPr>
        <w:t xml:space="preserve"> K</w:t>
      </w:r>
      <w:r w:rsidR="008A240B" w:rsidRPr="000F760A">
        <w:rPr>
          <w:rStyle w:val="Hypertextovodkaz"/>
          <w:color w:val="auto"/>
          <w:u w:val="none"/>
        </w:rPr>
        <w:t xml:space="preserve">aždá vláda, jejichž součástí byly alespoň jeden měsíc populistické strany, </w:t>
      </w:r>
      <w:r w:rsidR="00A15DB5" w:rsidRPr="000F760A">
        <w:rPr>
          <w:rStyle w:val="Hypertextovodkaz"/>
          <w:color w:val="auto"/>
          <w:u w:val="none"/>
        </w:rPr>
        <w:t xml:space="preserve">je </w:t>
      </w:r>
      <w:r w:rsidR="008A240B" w:rsidRPr="000F760A">
        <w:rPr>
          <w:rStyle w:val="Hypertextovodkaz"/>
          <w:color w:val="auto"/>
          <w:u w:val="none"/>
        </w:rPr>
        <w:t>podrobena zkoumání, kolik měsíců (z 22 možných) a v jakém zastoupení</w:t>
      </w:r>
      <w:r w:rsidR="00A15DB5" w:rsidRPr="000F760A">
        <w:rPr>
          <w:rStyle w:val="Hypertextovodkaz"/>
          <w:color w:val="auto"/>
          <w:u w:val="none"/>
        </w:rPr>
        <w:t xml:space="preserve"> (počet)</w:t>
      </w:r>
      <w:r w:rsidR="008A240B" w:rsidRPr="000F760A">
        <w:rPr>
          <w:rStyle w:val="Hypertextovodkaz"/>
          <w:color w:val="auto"/>
          <w:u w:val="none"/>
        </w:rPr>
        <w:t xml:space="preserve">, byli populisté součástí vlády. </w:t>
      </w:r>
      <w:r w:rsidR="00F071DD" w:rsidRPr="000F760A">
        <w:t>Jde tedy o sumu počtu populistických členů vlády (i = 1; n = 22) vydělenou sumou celkového počtu členů vlády (i = 1; n = 22).</w:t>
      </w:r>
    </w:p>
    <w:p w:rsidR="008B2012" w:rsidRPr="000F760A" w:rsidRDefault="003C27EE" w:rsidP="002B3844">
      <w:pPr>
        <w:pStyle w:val="Bezmezer"/>
        <w:spacing w:before="240" w:after="240" w:line="360" w:lineRule="auto"/>
        <w:ind w:firstLine="0"/>
        <w:rPr>
          <w:b/>
        </w:rPr>
      </w:pPr>
      <w:r w:rsidRPr="000F760A">
        <w:t>Vyjádřeno vzorcem:</w:t>
      </w:r>
      <w:r w:rsidR="00DA6F24" w:rsidRPr="000F760A">
        <w:rPr>
          <w:b/>
        </w:rPr>
        <w:tab/>
      </w:r>
      <m:oMath>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p</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i=1</m:t>
            </m:r>
          </m:sub>
          <m:sup>
            <m:r>
              <m:rPr>
                <m:sty m:val="bi"/>
              </m:rPr>
              <w:rPr>
                <w:rFonts w:ascii="Cambria Math" w:hAnsi="Cambria Math"/>
              </w:rPr>
              <m:t>n=22</m:t>
            </m:r>
          </m:sup>
          <m:e>
            <m:r>
              <m:rPr>
                <m:sty m:val="bi"/>
              </m:rPr>
              <w:rPr>
                <w:rFonts w:ascii="Cambria Math" w:hAnsi="Cambria Math"/>
              </w:rPr>
              <m:t>A</m:t>
            </m:r>
          </m:e>
        </m:nary>
      </m:oMath>
      <w:r w:rsidR="00F071DD" w:rsidRPr="000F760A">
        <w:rPr>
          <w:b/>
        </w:rPr>
        <w:t xml:space="preserve"> </w:t>
      </w:r>
      <m:oMath>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i==1</m:t>
            </m:r>
          </m:sub>
          <m:sup>
            <m:r>
              <m:rPr>
                <m:sty m:val="bi"/>
              </m:rPr>
              <w:rPr>
                <w:rFonts w:ascii="Cambria Math" w:hAnsi="Cambria Math"/>
              </w:rPr>
              <m:t>n=22</m:t>
            </m:r>
          </m:sup>
          <m:e>
            <m:r>
              <m:rPr>
                <m:sty m:val="bi"/>
              </m:rPr>
              <w:rPr>
                <w:rFonts w:ascii="Cambria Math" w:hAnsi="Cambria Math"/>
              </w:rPr>
              <m:t>B</m:t>
            </m:r>
          </m:e>
        </m:nary>
      </m:oMath>
    </w:p>
    <w:p w:rsidR="000F760A" w:rsidRDefault="000F760A" w:rsidP="002B3844">
      <w:pPr>
        <w:pStyle w:val="Bezmezer"/>
        <w:spacing w:before="240" w:after="240" w:line="360" w:lineRule="auto"/>
      </w:pPr>
      <w:r>
        <w:rPr>
          <w:rStyle w:val="Hypertextovodkaz"/>
          <w:color w:val="auto"/>
          <w:u w:val="none"/>
        </w:rPr>
        <w:t>Pro názornost uvedu příklad Slovenska</w:t>
      </w:r>
      <w:r w:rsidR="00986224">
        <w:rPr>
          <w:rStyle w:val="Hypertextovodkaz"/>
          <w:color w:val="auto"/>
          <w:u w:val="none"/>
        </w:rPr>
        <w:t>.</w:t>
      </w:r>
      <w:r w:rsidRPr="001563E0">
        <w:rPr>
          <w:rStyle w:val="Hypertextovodkaz"/>
          <w:color w:val="auto"/>
          <w:u w:val="none"/>
        </w:rPr>
        <w:t xml:space="preserve"> The PopuList na Slovensku identifikuje tři strany jako populistické, a to sice Sme Rodina (SR), SMER a OľaNO. Během zkoumaných let se na Slovensku vystřídali tři vlády</w:t>
      </w:r>
      <w:r w:rsidR="00EE33E4">
        <w:rPr>
          <w:rStyle w:val="Hypertextovodkaz"/>
          <w:color w:val="auto"/>
          <w:u w:val="none"/>
        </w:rPr>
        <w:t>.</w:t>
      </w:r>
      <w:r w:rsidRPr="001563E0">
        <w:rPr>
          <w:rStyle w:val="Hypertextovodkaz"/>
          <w:color w:val="auto"/>
          <w:u w:val="none"/>
        </w:rPr>
        <w:t xml:space="preserve"> Eduarda Hegera, který byl na začátku invaze slovenským premiérem za OľaNO čtrnáct měsíců (březen 2022 – duben 2023). Toho nahradila úřednická vláda Ľudovíta Ódora vládnoucí od květena do října 2023 (6 měsíců) a v listopadu a prosinci 2023 vládl Robert Fico. Zatímco na začátku prvně zmíněné Hegerově vládě bylo hned 11 ministrů za populistické strany (8 za OľaNO, 3 za SR), na jejím konci se počet populistických členů vlády zredukoval na šest. Stálo za tím rozhodnutí hned čtyř ministrů a samotného premiéra odejít z OľaNO do strany Demokrati, kterou The PopuList nedefinuje jako populistickou. Také probíhala výměna ministrů, které pro zjednodušení nebudu uvádět. Nicméně platí, že pokud je ministr členem populistické strany, tak je brán jako populista. Za období 14 měsíců, které vládla Hegerova strana, bylo součástí vlády 16 ministrů. Vynásobíme-li počet měsíců (14) počtem ministrů (16) vyjde číslo 224. Podíváme-li se na složení vlády v každém měsíci, zjistíme, že celkem byli populisté součástí vlády 157 měsíců (první měsíc 11, </w:t>
      </w:r>
      <w:r w:rsidRPr="001563E0">
        <w:t>[...] čtrnáctý měsíc 6) z 224. Úřednická vláda, která vládla šest měsíců, žádné populisty neobsahovala (tedy 0 z 16*6 = 0/96) a ve vládě premiéra Fica sedí 10 populistických ministrů a samotný premiér z šestnáctičlenné vlády po dobu dvou měsíců (tedy 22/34). Po sečtení všech tří vlád a následném podílu populistů vůči celku vzejde, že Slovensko má skóre indexu 0,51. Výsledné skóre se pak logicky pohybuje od 0 do 1.</w:t>
      </w:r>
    </w:p>
    <w:p w:rsidR="0071153F" w:rsidRDefault="00517FCE" w:rsidP="002B3844">
      <w:pPr>
        <w:pStyle w:val="Bezmezer"/>
        <w:spacing w:before="240" w:after="240" w:line="360" w:lineRule="auto"/>
        <w:ind w:firstLine="708"/>
      </w:pPr>
      <w:r w:rsidRPr="000F760A">
        <w:t xml:space="preserve">Alespoň nějakou část vlády tvořili populisté pouze v osmi státech. </w:t>
      </w:r>
      <w:r w:rsidR="008B2012" w:rsidRPr="000F760A">
        <w:t>Plné členství je nastaveno na hodnotu 0,5. Tu přesahují hned čtyři státy: Slovensko (0,51), Maďarsko (0,57), Polsko a Itálie dosahují shodně hodnoty 0,61. Střední bod je stanoven na hodnotě 0,1</w:t>
      </w:r>
      <w:r w:rsidR="00E057D5" w:rsidRPr="000F760A">
        <w:t>5</w:t>
      </w:r>
      <w:r w:rsidR="008B2012" w:rsidRPr="000F760A">
        <w:t xml:space="preserve">. Té se </w:t>
      </w:r>
      <w:r w:rsidR="008B2012" w:rsidRPr="000F760A">
        <w:lastRenderedPageBreak/>
        <w:t xml:space="preserve">blíží Finsko (0,12) a o něco menší hodnoty dosahují </w:t>
      </w:r>
      <w:r w:rsidR="00E057D5" w:rsidRPr="000F760A">
        <w:t>Estonsko a Bulharsko (0,07 resp. 0,06). Plné vyloučen</w:t>
      </w:r>
      <w:r w:rsidRPr="000F760A">
        <w:t>í je stanoveno na úrovni 0,05.</w:t>
      </w:r>
    </w:p>
    <w:p w:rsidR="00FD4B71" w:rsidRPr="00173C9D" w:rsidRDefault="006B750C" w:rsidP="00F8167F">
      <w:pPr>
        <w:pStyle w:val="Bezmezer"/>
        <w:spacing w:line="360" w:lineRule="auto"/>
        <w:ind w:firstLine="0"/>
        <w:jc w:val="center"/>
        <w:rPr>
          <w:b/>
        </w:rPr>
      </w:pPr>
      <w:r>
        <w:rPr>
          <w:b/>
        </w:rPr>
        <w:t>Tabulka 3</w:t>
      </w:r>
    </w:p>
    <w:p w:rsidR="00FD4B71" w:rsidRPr="00173C9D" w:rsidRDefault="00FD4B71" w:rsidP="00F8167F">
      <w:pPr>
        <w:pStyle w:val="Bezmezer"/>
        <w:spacing w:line="360" w:lineRule="auto"/>
        <w:ind w:firstLine="0"/>
        <w:jc w:val="center"/>
        <w:rPr>
          <w:b/>
        </w:rPr>
      </w:pPr>
      <w:r w:rsidRPr="00173C9D">
        <w:rPr>
          <w:b/>
        </w:rPr>
        <w:t xml:space="preserve">Hodnoty určené ke kalibraci </w:t>
      </w:r>
      <w:r w:rsidR="00B826DD" w:rsidRPr="00173C9D">
        <w:rPr>
          <w:b/>
        </w:rPr>
        <w:t>faktorů</w:t>
      </w:r>
    </w:p>
    <w:tbl>
      <w:tblPr>
        <w:tblStyle w:val="Mkatabulky"/>
        <w:tblpPr w:leftFromText="141" w:rightFromText="141" w:vertAnchor="text" w:horzAnchor="margin" w:tblpXSpec="center" w:tblpY="116"/>
        <w:tblW w:w="9175" w:type="dxa"/>
        <w:tblBorders>
          <w:insideH w:val="none" w:sz="0" w:space="0" w:color="auto"/>
          <w:insideV w:val="none" w:sz="0" w:space="0" w:color="auto"/>
        </w:tblBorders>
        <w:tblLook w:val="04A0" w:firstRow="1" w:lastRow="0" w:firstColumn="1" w:lastColumn="0" w:noHBand="0" w:noVBand="1"/>
      </w:tblPr>
      <w:tblGrid>
        <w:gridCol w:w="3397"/>
        <w:gridCol w:w="1560"/>
        <w:gridCol w:w="1969"/>
        <w:gridCol w:w="2249"/>
      </w:tblGrid>
      <w:tr w:rsidR="00527656" w:rsidRPr="00173C9D" w:rsidTr="00414BC5">
        <w:trPr>
          <w:trHeight w:val="373"/>
        </w:trPr>
        <w:tc>
          <w:tcPr>
            <w:tcW w:w="3397" w:type="dxa"/>
            <w:shd w:val="clear" w:color="auto" w:fill="404040" w:themeFill="text1" w:themeFillTint="BF"/>
          </w:tcPr>
          <w:p w:rsidR="00527656" w:rsidRPr="00173C9D" w:rsidRDefault="00B826DD" w:rsidP="00F8167F">
            <w:pPr>
              <w:pStyle w:val="Bezmezer"/>
              <w:spacing w:line="360" w:lineRule="auto"/>
              <w:ind w:firstLine="0"/>
              <w:jc w:val="center"/>
              <w:rPr>
                <w:b/>
                <w:color w:val="FFFFFF" w:themeColor="background1"/>
              </w:rPr>
            </w:pPr>
            <w:r w:rsidRPr="00173C9D">
              <w:rPr>
                <w:b/>
                <w:color w:val="FFFFFF" w:themeColor="background1"/>
              </w:rPr>
              <w:t>Faktor</w:t>
            </w:r>
          </w:p>
        </w:tc>
        <w:tc>
          <w:tcPr>
            <w:tcW w:w="1560" w:type="dxa"/>
            <w:shd w:val="clear" w:color="auto" w:fill="404040" w:themeFill="text1" w:themeFillTint="BF"/>
          </w:tcPr>
          <w:p w:rsidR="00527656" w:rsidRPr="00173C9D" w:rsidRDefault="00527656" w:rsidP="00F8167F">
            <w:pPr>
              <w:pStyle w:val="Bezmezer"/>
              <w:spacing w:line="360" w:lineRule="auto"/>
              <w:ind w:firstLine="0"/>
              <w:jc w:val="center"/>
              <w:rPr>
                <w:b/>
                <w:color w:val="FFFFFF" w:themeColor="background1"/>
              </w:rPr>
            </w:pPr>
            <w:r w:rsidRPr="00173C9D">
              <w:rPr>
                <w:b/>
                <w:color w:val="FFFFFF" w:themeColor="background1"/>
              </w:rPr>
              <w:t>Plné členství</w:t>
            </w:r>
          </w:p>
        </w:tc>
        <w:tc>
          <w:tcPr>
            <w:tcW w:w="1969" w:type="dxa"/>
            <w:shd w:val="clear" w:color="auto" w:fill="404040" w:themeFill="text1" w:themeFillTint="BF"/>
          </w:tcPr>
          <w:p w:rsidR="00527656" w:rsidRPr="00173C9D" w:rsidRDefault="00527656" w:rsidP="00F8167F">
            <w:pPr>
              <w:pStyle w:val="Bezmezer"/>
              <w:spacing w:line="360" w:lineRule="auto"/>
              <w:ind w:firstLine="0"/>
              <w:jc w:val="center"/>
              <w:rPr>
                <w:b/>
                <w:color w:val="FFFFFF" w:themeColor="background1"/>
              </w:rPr>
            </w:pPr>
            <w:r w:rsidRPr="00173C9D">
              <w:rPr>
                <w:b/>
                <w:color w:val="FFFFFF" w:themeColor="background1"/>
              </w:rPr>
              <w:t>Střední bod</w:t>
            </w:r>
          </w:p>
        </w:tc>
        <w:tc>
          <w:tcPr>
            <w:tcW w:w="2249" w:type="dxa"/>
            <w:shd w:val="clear" w:color="auto" w:fill="404040" w:themeFill="text1" w:themeFillTint="BF"/>
          </w:tcPr>
          <w:p w:rsidR="00527656" w:rsidRPr="00173C9D" w:rsidRDefault="00527656" w:rsidP="00F8167F">
            <w:pPr>
              <w:pStyle w:val="Bezmezer"/>
              <w:spacing w:line="360" w:lineRule="auto"/>
              <w:ind w:firstLine="0"/>
              <w:jc w:val="center"/>
              <w:rPr>
                <w:b/>
                <w:color w:val="FFFFFF" w:themeColor="background1"/>
              </w:rPr>
            </w:pPr>
            <w:r w:rsidRPr="00173C9D">
              <w:rPr>
                <w:b/>
                <w:color w:val="FFFFFF" w:themeColor="background1"/>
              </w:rPr>
              <w:t>Plné vyloučení</w:t>
            </w:r>
          </w:p>
        </w:tc>
      </w:tr>
      <w:tr w:rsidR="00527656" w:rsidRPr="00173C9D" w:rsidTr="0068088F">
        <w:trPr>
          <w:trHeight w:val="387"/>
        </w:trPr>
        <w:tc>
          <w:tcPr>
            <w:tcW w:w="3397" w:type="dxa"/>
          </w:tcPr>
          <w:p w:rsidR="00527656" w:rsidRPr="00173C9D" w:rsidRDefault="00527656" w:rsidP="00F8167F">
            <w:pPr>
              <w:pStyle w:val="Bezmezer"/>
              <w:spacing w:line="360" w:lineRule="auto"/>
              <w:ind w:firstLine="0"/>
              <w:jc w:val="center"/>
            </w:pPr>
            <w:r w:rsidRPr="00173C9D">
              <w:t>Plyn z Ruska – index</w:t>
            </w:r>
          </w:p>
        </w:tc>
        <w:tc>
          <w:tcPr>
            <w:tcW w:w="1560" w:type="dxa"/>
          </w:tcPr>
          <w:p w:rsidR="00527656" w:rsidRPr="00173C9D" w:rsidRDefault="00527656" w:rsidP="00F8167F">
            <w:pPr>
              <w:pStyle w:val="Bezmezer"/>
              <w:spacing w:line="360" w:lineRule="auto"/>
              <w:ind w:firstLine="0"/>
              <w:jc w:val="center"/>
            </w:pPr>
            <w:r w:rsidRPr="00173C9D">
              <w:t>15</w:t>
            </w:r>
          </w:p>
        </w:tc>
        <w:tc>
          <w:tcPr>
            <w:tcW w:w="1969" w:type="dxa"/>
          </w:tcPr>
          <w:p w:rsidR="00527656" w:rsidRPr="00173C9D" w:rsidRDefault="00527656" w:rsidP="00F8167F">
            <w:pPr>
              <w:pStyle w:val="Bezmezer"/>
              <w:spacing w:line="360" w:lineRule="auto"/>
              <w:ind w:firstLine="0"/>
              <w:jc w:val="center"/>
            </w:pPr>
            <w:r w:rsidRPr="00173C9D">
              <w:t>7,55</w:t>
            </w:r>
          </w:p>
        </w:tc>
        <w:tc>
          <w:tcPr>
            <w:tcW w:w="2249" w:type="dxa"/>
          </w:tcPr>
          <w:p w:rsidR="00527656" w:rsidRPr="00173C9D" w:rsidRDefault="00527656" w:rsidP="00F8167F">
            <w:pPr>
              <w:pStyle w:val="Bezmezer"/>
              <w:spacing w:line="360" w:lineRule="auto"/>
              <w:ind w:firstLine="0"/>
              <w:jc w:val="center"/>
            </w:pPr>
            <w:r w:rsidRPr="00173C9D">
              <w:t>1</w:t>
            </w:r>
          </w:p>
        </w:tc>
      </w:tr>
      <w:tr w:rsidR="00527656" w:rsidRPr="00173C9D" w:rsidTr="0068088F">
        <w:trPr>
          <w:trHeight w:val="373"/>
        </w:trPr>
        <w:tc>
          <w:tcPr>
            <w:tcW w:w="3397" w:type="dxa"/>
            <w:shd w:val="clear" w:color="auto" w:fill="D9D9D9" w:themeFill="background1" w:themeFillShade="D9"/>
          </w:tcPr>
          <w:p w:rsidR="00527656" w:rsidRPr="00173C9D" w:rsidRDefault="00527656" w:rsidP="00F8167F">
            <w:pPr>
              <w:pStyle w:val="Bezmezer"/>
              <w:spacing w:line="360" w:lineRule="auto"/>
              <w:ind w:firstLine="0"/>
              <w:jc w:val="center"/>
            </w:pPr>
            <w:r w:rsidRPr="00173C9D">
              <w:t>Podíl migrantů v populaci</w:t>
            </w:r>
          </w:p>
        </w:tc>
        <w:tc>
          <w:tcPr>
            <w:tcW w:w="1560" w:type="dxa"/>
            <w:shd w:val="clear" w:color="auto" w:fill="D9D9D9" w:themeFill="background1" w:themeFillShade="D9"/>
          </w:tcPr>
          <w:p w:rsidR="00527656" w:rsidRPr="00173C9D" w:rsidRDefault="00527656" w:rsidP="00F8167F">
            <w:pPr>
              <w:pStyle w:val="Bezmezer"/>
              <w:spacing w:line="360" w:lineRule="auto"/>
              <w:ind w:firstLine="0"/>
              <w:jc w:val="center"/>
            </w:pPr>
            <w:r w:rsidRPr="00173C9D">
              <w:t>2,5</w:t>
            </w:r>
          </w:p>
        </w:tc>
        <w:tc>
          <w:tcPr>
            <w:tcW w:w="1969" w:type="dxa"/>
            <w:shd w:val="clear" w:color="auto" w:fill="D9D9D9" w:themeFill="background1" w:themeFillShade="D9"/>
          </w:tcPr>
          <w:p w:rsidR="00527656" w:rsidRPr="00173C9D" w:rsidRDefault="00527656" w:rsidP="00F8167F">
            <w:pPr>
              <w:pStyle w:val="Bezmezer"/>
              <w:spacing w:line="360" w:lineRule="auto"/>
              <w:ind w:firstLine="0"/>
              <w:jc w:val="center"/>
            </w:pPr>
            <w:r w:rsidRPr="00173C9D">
              <w:t>0,65</w:t>
            </w:r>
          </w:p>
        </w:tc>
        <w:tc>
          <w:tcPr>
            <w:tcW w:w="2249" w:type="dxa"/>
            <w:shd w:val="clear" w:color="auto" w:fill="D9D9D9" w:themeFill="background1" w:themeFillShade="D9"/>
          </w:tcPr>
          <w:p w:rsidR="00527656" w:rsidRPr="00173C9D" w:rsidRDefault="00527656" w:rsidP="00F8167F">
            <w:pPr>
              <w:pStyle w:val="Bezmezer"/>
              <w:spacing w:line="360" w:lineRule="auto"/>
              <w:ind w:firstLine="0"/>
              <w:jc w:val="center"/>
            </w:pPr>
            <w:r w:rsidRPr="00173C9D">
              <w:t>0,2</w:t>
            </w:r>
          </w:p>
        </w:tc>
      </w:tr>
      <w:tr w:rsidR="00527656" w:rsidRPr="00173C9D" w:rsidTr="0068088F">
        <w:trPr>
          <w:trHeight w:val="373"/>
        </w:trPr>
        <w:tc>
          <w:tcPr>
            <w:tcW w:w="3397" w:type="dxa"/>
          </w:tcPr>
          <w:p w:rsidR="00527656" w:rsidRPr="00173C9D" w:rsidRDefault="00527656" w:rsidP="00F8167F">
            <w:pPr>
              <w:pStyle w:val="Bezmezer"/>
              <w:spacing w:line="360" w:lineRule="auto"/>
              <w:ind w:firstLine="0"/>
              <w:jc w:val="center"/>
            </w:pPr>
            <w:r w:rsidRPr="00173C9D">
              <w:t>Skóre liberální demokracie</w:t>
            </w:r>
          </w:p>
        </w:tc>
        <w:tc>
          <w:tcPr>
            <w:tcW w:w="1560" w:type="dxa"/>
          </w:tcPr>
          <w:p w:rsidR="00527656" w:rsidRPr="00173C9D" w:rsidRDefault="00527656" w:rsidP="00F8167F">
            <w:pPr>
              <w:pStyle w:val="Bezmezer"/>
              <w:spacing w:line="360" w:lineRule="auto"/>
              <w:ind w:firstLine="0"/>
              <w:jc w:val="center"/>
            </w:pPr>
            <w:r w:rsidRPr="00173C9D">
              <w:t>0,8</w:t>
            </w:r>
          </w:p>
        </w:tc>
        <w:tc>
          <w:tcPr>
            <w:tcW w:w="1969" w:type="dxa"/>
          </w:tcPr>
          <w:p w:rsidR="00527656" w:rsidRPr="00173C9D" w:rsidRDefault="00527656" w:rsidP="00F8167F">
            <w:pPr>
              <w:pStyle w:val="Bezmezer"/>
              <w:spacing w:line="360" w:lineRule="auto"/>
              <w:ind w:firstLine="0"/>
              <w:jc w:val="center"/>
            </w:pPr>
            <w:r w:rsidRPr="00173C9D">
              <w:t>0,7</w:t>
            </w:r>
          </w:p>
        </w:tc>
        <w:tc>
          <w:tcPr>
            <w:tcW w:w="2249" w:type="dxa"/>
          </w:tcPr>
          <w:p w:rsidR="00527656" w:rsidRPr="00173C9D" w:rsidRDefault="00527656" w:rsidP="00F8167F">
            <w:pPr>
              <w:pStyle w:val="Bezmezer"/>
              <w:spacing w:line="360" w:lineRule="auto"/>
              <w:ind w:firstLine="0"/>
              <w:jc w:val="center"/>
            </w:pPr>
            <w:r w:rsidRPr="00173C9D">
              <w:t>0,5</w:t>
            </w:r>
          </w:p>
        </w:tc>
      </w:tr>
      <w:tr w:rsidR="00527656" w:rsidRPr="00173C9D" w:rsidTr="0068088F">
        <w:trPr>
          <w:trHeight w:val="373"/>
        </w:trPr>
        <w:tc>
          <w:tcPr>
            <w:tcW w:w="3397" w:type="dxa"/>
            <w:shd w:val="clear" w:color="auto" w:fill="D9D9D9" w:themeFill="background1" w:themeFillShade="D9"/>
          </w:tcPr>
          <w:p w:rsidR="00527656" w:rsidRPr="00173C9D" w:rsidRDefault="004D29C9" w:rsidP="00F8167F">
            <w:pPr>
              <w:pStyle w:val="Bezmezer"/>
              <w:spacing w:line="360" w:lineRule="auto"/>
              <w:ind w:firstLine="0"/>
              <w:jc w:val="center"/>
            </w:pPr>
            <w:r w:rsidRPr="00173C9D">
              <w:t>Roky v EU</w:t>
            </w:r>
          </w:p>
        </w:tc>
        <w:tc>
          <w:tcPr>
            <w:tcW w:w="1560" w:type="dxa"/>
            <w:shd w:val="clear" w:color="auto" w:fill="D9D9D9" w:themeFill="background1" w:themeFillShade="D9"/>
          </w:tcPr>
          <w:p w:rsidR="00527656" w:rsidRPr="00173C9D" w:rsidRDefault="004D29C9" w:rsidP="00F8167F">
            <w:pPr>
              <w:pStyle w:val="Bezmezer"/>
              <w:spacing w:line="360" w:lineRule="auto"/>
              <w:ind w:firstLine="0"/>
              <w:jc w:val="center"/>
            </w:pPr>
            <w:r w:rsidRPr="00173C9D">
              <w:t>17</w:t>
            </w:r>
          </w:p>
        </w:tc>
        <w:tc>
          <w:tcPr>
            <w:tcW w:w="1969" w:type="dxa"/>
            <w:shd w:val="clear" w:color="auto" w:fill="D9D9D9" w:themeFill="background1" w:themeFillShade="D9"/>
          </w:tcPr>
          <w:p w:rsidR="00527656" w:rsidRPr="00173C9D" w:rsidRDefault="004D29C9" w:rsidP="00F8167F">
            <w:pPr>
              <w:pStyle w:val="Bezmezer"/>
              <w:spacing w:line="360" w:lineRule="auto"/>
              <w:ind w:firstLine="0"/>
              <w:jc w:val="center"/>
            </w:pPr>
            <w:r w:rsidRPr="00173C9D">
              <w:t>25</w:t>
            </w:r>
          </w:p>
        </w:tc>
        <w:tc>
          <w:tcPr>
            <w:tcW w:w="2249" w:type="dxa"/>
            <w:shd w:val="clear" w:color="auto" w:fill="D9D9D9" w:themeFill="background1" w:themeFillShade="D9"/>
          </w:tcPr>
          <w:p w:rsidR="00527656" w:rsidRPr="00173C9D" w:rsidRDefault="004D29C9" w:rsidP="00F8167F">
            <w:pPr>
              <w:pStyle w:val="Bezmezer"/>
              <w:spacing w:line="360" w:lineRule="auto"/>
              <w:ind w:firstLine="0"/>
              <w:jc w:val="center"/>
            </w:pPr>
            <w:r w:rsidRPr="00173C9D">
              <w:t>40</w:t>
            </w:r>
          </w:p>
        </w:tc>
      </w:tr>
      <w:tr w:rsidR="004D29C9" w:rsidRPr="00173C9D" w:rsidTr="0068088F">
        <w:trPr>
          <w:trHeight w:val="387"/>
        </w:trPr>
        <w:tc>
          <w:tcPr>
            <w:tcW w:w="3397" w:type="dxa"/>
          </w:tcPr>
          <w:p w:rsidR="004D29C9" w:rsidRPr="00173C9D" w:rsidRDefault="004D29C9" w:rsidP="00F8167F">
            <w:pPr>
              <w:pStyle w:val="Bezmezer"/>
              <w:spacing w:line="360" w:lineRule="auto"/>
              <w:ind w:firstLine="0"/>
              <w:jc w:val="center"/>
            </w:pPr>
            <w:r w:rsidRPr="00173C9D">
              <w:t>Obranný rozpočet (%)</w:t>
            </w:r>
          </w:p>
        </w:tc>
        <w:tc>
          <w:tcPr>
            <w:tcW w:w="1560" w:type="dxa"/>
          </w:tcPr>
          <w:p w:rsidR="004D29C9" w:rsidRPr="00173C9D" w:rsidRDefault="004D29C9" w:rsidP="00F8167F">
            <w:pPr>
              <w:pStyle w:val="Bezmezer"/>
              <w:spacing w:line="360" w:lineRule="auto"/>
              <w:ind w:firstLine="0"/>
              <w:jc w:val="center"/>
            </w:pPr>
            <w:r w:rsidRPr="00173C9D">
              <w:t>2,2</w:t>
            </w:r>
          </w:p>
        </w:tc>
        <w:tc>
          <w:tcPr>
            <w:tcW w:w="1969" w:type="dxa"/>
          </w:tcPr>
          <w:p w:rsidR="004D29C9" w:rsidRPr="00173C9D" w:rsidRDefault="004D29C9" w:rsidP="00F8167F">
            <w:pPr>
              <w:pStyle w:val="Bezmezer"/>
              <w:spacing w:line="360" w:lineRule="auto"/>
              <w:ind w:firstLine="0"/>
              <w:jc w:val="center"/>
            </w:pPr>
            <w:r w:rsidRPr="00173C9D">
              <w:t>1,58</w:t>
            </w:r>
          </w:p>
        </w:tc>
        <w:tc>
          <w:tcPr>
            <w:tcW w:w="2249" w:type="dxa"/>
          </w:tcPr>
          <w:p w:rsidR="004D29C9" w:rsidRPr="00173C9D" w:rsidRDefault="004D29C9" w:rsidP="00F8167F">
            <w:pPr>
              <w:pStyle w:val="Bezmezer"/>
              <w:spacing w:line="360" w:lineRule="auto"/>
              <w:ind w:firstLine="0"/>
              <w:jc w:val="center"/>
            </w:pPr>
            <w:r w:rsidRPr="00173C9D">
              <w:t>0,5</w:t>
            </w:r>
          </w:p>
        </w:tc>
      </w:tr>
      <w:tr w:rsidR="00527656" w:rsidRPr="00173C9D" w:rsidTr="0068088F">
        <w:trPr>
          <w:trHeight w:val="430"/>
        </w:trPr>
        <w:tc>
          <w:tcPr>
            <w:tcW w:w="3397" w:type="dxa"/>
            <w:shd w:val="clear" w:color="auto" w:fill="D9D9D9" w:themeFill="background1" w:themeFillShade="D9"/>
          </w:tcPr>
          <w:p w:rsidR="00527656" w:rsidRPr="00173C9D" w:rsidRDefault="00527656" w:rsidP="00F8167F">
            <w:pPr>
              <w:pStyle w:val="Bezmezer"/>
              <w:spacing w:line="360" w:lineRule="auto"/>
              <w:ind w:firstLine="0"/>
              <w:jc w:val="center"/>
            </w:pPr>
            <w:r w:rsidRPr="00173C9D">
              <w:t>Vzdálenost mezi hl. městy (km)</w:t>
            </w:r>
          </w:p>
        </w:tc>
        <w:tc>
          <w:tcPr>
            <w:tcW w:w="1560" w:type="dxa"/>
            <w:shd w:val="clear" w:color="auto" w:fill="D9D9D9" w:themeFill="background1" w:themeFillShade="D9"/>
          </w:tcPr>
          <w:p w:rsidR="00527656" w:rsidRPr="00173C9D" w:rsidRDefault="00527656" w:rsidP="00F8167F">
            <w:pPr>
              <w:pStyle w:val="Bezmezer"/>
              <w:spacing w:line="360" w:lineRule="auto"/>
              <w:ind w:firstLine="0"/>
              <w:jc w:val="center"/>
            </w:pPr>
            <w:r w:rsidRPr="00173C9D">
              <w:t>800</w:t>
            </w:r>
          </w:p>
        </w:tc>
        <w:tc>
          <w:tcPr>
            <w:tcW w:w="1969" w:type="dxa"/>
            <w:shd w:val="clear" w:color="auto" w:fill="D9D9D9" w:themeFill="background1" w:themeFillShade="D9"/>
          </w:tcPr>
          <w:p w:rsidR="00527656" w:rsidRPr="00173C9D" w:rsidRDefault="00527656" w:rsidP="00F8167F">
            <w:pPr>
              <w:pStyle w:val="Bezmezer"/>
              <w:spacing w:line="360" w:lineRule="auto"/>
              <w:ind w:firstLine="0"/>
              <w:jc w:val="center"/>
            </w:pPr>
            <w:r w:rsidRPr="00173C9D">
              <w:t>2250</w:t>
            </w:r>
          </w:p>
        </w:tc>
        <w:tc>
          <w:tcPr>
            <w:tcW w:w="2249" w:type="dxa"/>
            <w:shd w:val="clear" w:color="auto" w:fill="D9D9D9" w:themeFill="background1" w:themeFillShade="D9"/>
          </w:tcPr>
          <w:p w:rsidR="00527656" w:rsidRPr="00173C9D" w:rsidRDefault="00527656" w:rsidP="00F8167F">
            <w:pPr>
              <w:pStyle w:val="Bezmezer"/>
              <w:spacing w:line="360" w:lineRule="auto"/>
              <w:ind w:firstLine="0"/>
              <w:jc w:val="center"/>
            </w:pPr>
            <w:r w:rsidRPr="00173C9D">
              <w:t>3500</w:t>
            </w:r>
          </w:p>
        </w:tc>
      </w:tr>
      <w:tr w:rsidR="00527656" w:rsidRPr="00173C9D" w:rsidTr="0068088F">
        <w:trPr>
          <w:trHeight w:val="430"/>
        </w:trPr>
        <w:tc>
          <w:tcPr>
            <w:tcW w:w="3397" w:type="dxa"/>
          </w:tcPr>
          <w:p w:rsidR="00527656" w:rsidRPr="00173C9D" w:rsidRDefault="00527656" w:rsidP="00F8167F">
            <w:pPr>
              <w:pStyle w:val="Bezmezer"/>
              <w:spacing w:line="360" w:lineRule="auto"/>
              <w:ind w:firstLine="0"/>
              <w:jc w:val="center"/>
            </w:pPr>
            <w:r w:rsidRPr="00173C9D">
              <w:t>Export do Ruska (%)</w:t>
            </w:r>
          </w:p>
        </w:tc>
        <w:tc>
          <w:tcPr>
            <w:tcW w:w="1560" w:type="dxa"/>
          </w:tcPr>
          <w:p w:rsidR="00527656" w:rsidRPr="00173C9D" w:rsidRDefault="00527656" w:rsidP="00F8167F">
            <w:pPr>
              <w:pStyle w:val="Bezmezer"/>
              <w:spacing w:line="360" w:lineRule="auto"/>
              <w:ind w:firstLine="0"/>
              <w:jc w:val="center"/>
            </w:pPr>
            <w:r w:rsidRPr="00173C9D">
              <w:t>5</w:t>
            </w:r>
          </w:p>
        </w:tc>
        <w:tc>
          <w:tcPr>
            <w:tcW w:w="1969" w:type="dxa"/>
          </w:tcPr>
          <w:p w:rsidR="00527656" w:rsidRPr="00173C9D" w:rsidRDefault="00527656" w:rsidP="00F8167F">
            <w:pPr>
              <w:pStyle w:val="Bezmezer"/>
              <w:spacing w:line="360" w:lineRule="auto"/>
              <w:ind w:firstLine="0"/>
              <w:jc w:val="center"/>
            </w:pPr>
            <w:r w:rsidRPr="00173C9D">
              <w:t>1,4</w:t>
            </w:r>
          </w:p>
        </w:tc>
        <w:tc>
          <w:tcPr>
            <w:tcW w:w="2249" w:type="dxa"/>
          </w:tcPr>
          <w:p w:rsidR="00527656" w:rsidRPr="00173C9D" w:rsidRDefault="00527656" w:rsidP="00F8167F">
            <w:pPr>
              <w:pStyle w:val="Bezmezer"/>
              <w:spacing w:line="360" w:lineRule="auto"/>
              <w:ind w:firstLine="0"/>
              <w:jc w:val="center"/>
            </w:pPr>
            <w:r w:rsidRPr="00173C9D">
              <w:t>0,38</w:t>
            </w:r>
          </w:p>
        </w:tc>
      </w:tr>
      <w:tr w:rsidR="00527656" w:rsidRPr="00173C9D" w:rsidTr="0068088F">
        <w:trPr>
          <w:trHeight w:val="430"/>
        </w:trPr>
        <w:tc>
          <w:tcPr>
            <w:tcW w:w="3397" w:type="dxa"/>
            <w:shd w:val="clear" w:color="auto" w:fill="D9D9D9" w:themeFill="background1" w:themeFillShade="D9"/>
          </w:tcPr>
          <w:p w:rsidR="00527656" w:rsidRPr="00173C9D" w:rsidRDefault="00527656" w:rsidP="00F8167F">
            <w:pPr>
              <w:pStyle w:val="Bezmezer"/>
              <w:spacing w:line="360" w:lineRule="auto"/>
              <w:ind w:firstLine="0"/>
              <w:jc w:val="center"/>
            </w:pPr>
            <w:r w:rsidRPr="00173C9D">
              <w:t>Populisté – index</w:t>
            </w:r>
          </w:p>
        </w:tc>
        <w:tc>
          <w:tcPr>
            <w:tcW w:w="1560" w:type="dxa"/>
            <w:shd w:val="clear" w:color="auto" w:fill="D9D9D9" w:themeFill="background1" w:themeFillShade="D9"/>
          </w:tcPr>
          <w:p w:rsidR="00527656" w:rsidRPr="00173C9D" w:rsidRDefault="00527656" w:rsidP="00F8167F">
            <w:pPr>
              <w:pStyle w:val="Bezmezer"/>
              <w:spacing w:line="360" w:lineRule="auto"/>
              <w:ind w:firstLine="0"/>
              <w:jc w:val="center"/>
            </w:pPr>
            <w:r w:rsidRPr="00173C9D">
              <w:t>0,5</w:t>
            </w:r>
          </w:p>
        </w:tc>
        <w:tc>
          <w:tcPr>
            <w:tcW w:w="1969" w:type="dxa"/>
            <w:shd w:val="clear" w:color="auto" w:fill="D9D9D9" w:themeFill="background1" w:themeFillShade="D9"/>
          </w:tcPr>
          <w:p w:rsidR="00527656" w:rsidRPr="00173C9D" w:rsidRDefault="00527656" w:rsidP="00F8167F">
            <w:pPr>
              <w:pStyle w:val="Bezmezer"/>
              <w:spacing w:line="360" w:lineRule="auto"/>
              <w:ind w:firstLine="0"/>
              <w:jc w:val="center"/>
            </w:pPr>
            <w:r w:rsidRPr="00173C9D">
              <w:t>0,15</w:t>
            </w:r>
          </w:p>
        </w:tc>
        <w:tc>
          <w:tcPr>
            <w:tcW w:w="2249" w:type="dxa"/>
            <w:shd w:val="clear" w:color="auto" w:fill="D9D9D9" w:themeFill="background1" w:themeFillShade="D9"/>
          </w:tcPr>
          <w:p w:rsidR="00527656" w:rsidRPr="00173C9D" w:rsidRDefault="00527656" w:rsidP="00F8167F">
            <w:pPr>
              <w:pStyle w:val="Bezmezer"/>
              <w:spacing w:line="360" w:lineRule="auto"/>
              <w:ind w:firstLine="0"/>
              <w:jc w:val="center"/>
            </w:pPr>
            <w:r w:rsidRPr="00173C9D">
              <w:t>0,05</w:t>
            </w:r>
          </w:p>
        </w:tc>
      </w:tr>
    </w:tbl>
    <w:p w:rsidR="006B750C" w:rsidRPr="00173C9D" w:rsidRDefault="00EA5B1B" w:rsidP="00F8167F">
      <w:pPr>
        <w:pStyle w:val="Bezmezer"/>
        <w:spacing w:line="360" w:lineRule="auto"/>
        <w:ind w:firstLine="0"/>
        <w:jc w:val="left"/>
      </w:pPr>
      <w:r w:rsidRPr="00173C9D">
        <w:t>Tabulka</w:t>
      </w:r>
      <w:r w:rsidR="00C80817">
        <w:t xml:space="preserve"> 3</w:t>
      </w:r>
      <w:r w:rsidR="00FD4B71" w:rsidRPr="00173C9D">
        <w:t>: autor</w:t>
      </w:r>
    </w:p>
    <w:p w:rsidR="00742EB4" w:rsidRPr="00173C9D" w:rsidRDefault="00FD13CA" w:rsidP="002B3844">
      <w:pPr>
        <w:pStyle w:val="Nadpis1"/>
        <w:spacing w:after="240"/>
        <w:ind w:firstLine="0"/>
        <w:rPr>
          <w:rFonts w:ascii="Times New Roman" w:hAnsi="Times New Roman" w:cs="Times New Roman"/>
          <w:b/>
          <w:color w:val="auto"/>
        </w:rPr>
      </w:pPr>
      <w:bookmarkStart w:id="29" w:name="_Toc164767393"/>
      <w:bookmarkStart w:id="30" w:name="_Toc164808709"/>
      <w:r>
        <w:rPr>
          <w:rFonts w:ascii="Times New Roman" w:hAnsi="Times New Roman" w:cs="Times New Roman"/>
          <w:b/>
          <w:color w:val="auto"/>
        </w:rPr>
        <w:t xml:space="preserve">5. </w:t>
      </w:r>
      <w:r w:rsidR="00B52D6D" w:rsidRPr="00173C9D">
        <w:rPr>
          <w:rFonts w:ascii="Times New Roman" w:hAnsi="Times New Roman" w:cs="Times New Roman"/>
          <w:b/>
          <w:color w:val="auto"/>
        </w:rPr>
        <w:t>Analytická část</w:t>
      </w:r>
      <w:bookmarkEnd w:id="29"/>
      <w:bookmarkEnd w:id="30"/>
    </w:p>
    <w:p w:rsidR="008B2012" w:rsidRPr="00173C9D" w:rsidRDefault="00FD13CA" w:rsidP="002B3844">
      <w:pPr>
        <w:pStyle w:val="Nadpis2"/>
        <w:spacing w:before="240" w:after="240"/>
        <w:ind w:firstLine="0"/>
        <w:rPr>
          <w:rFonts w:ascii="Times New Roman" w:hAnsi="Times New Roman" w:cs="Times New Roman"/>
          <w:b/>
          <w:color w:val="auto"/>
        </w:rPr>
      </w:pPr>
      <w:bookmarkStart w:id="31" w:name="_Toc164767394"/>
      <w:bookmarkStart w:id="32" w:name="_Toc164808710"/>
      <w:r>
        <w:rPr>
          <w:rFonts w:ascii="Times New Roman" w:hAnsi="Times New Roman" w:cs="Times New Roman"/>
          <w:b/>
          <w:color w:val="auto"/>
        </w:rPr>
        <w:t xml:space="preserve">5. 1. </w:t>
      </w:r>
      <w:r w:rsidR="00A43062" w:rsidRPr="00173C9D">
        <w:rPr>
          <w:rFonts w:ascii="Times New Roman" w:hAnsi="Times New Roman" w:cs="Times New Roman"/>
          <w:b/>
          <w:color w:val="auto"/>
        </w:rPr>
        <w:t>Analýza nutných podmínek</w:t>
      </w:r>
      <w:bookmarkEnd w:id="31"/>
      <w:bookmarkEnd w:id="32"/>
    </w:p>
    <w:p w:rsidR="001F01D7" w:rsidRDefault="00A43062" w:rsidP="002B3844">
      <w:pPr>
        <w:pStyle w:val="Bezmezer"/>
        <w:spacing w:before="240" w:after="240" w:line="360" w:lineRule="auto"/>
        <w:ind w:firstLine="0"/>
      </w:pPr>
      <w:r w:rsidRPr="00173C9D">
        <w:t xml:space="preserve">Jako první je potřeba identifikovat nutné podmínky. K tomu je </w:t>
      </w:r>
      <w:r w:rsidR="00B968CE">
        <w:t>nezbytné</w:t>
      </w:r>
      <w:r w:rsidRPr="00173C9D">
        <w:t xml:space="preserve"> nastavit práh konzistence</w:t>
      </w:r>
      <w:r w:rsidR="00AD5065" w:rsidRPr="00173C9D">
        <w:t xml:space="preserve"> –</w:t>
      </w:r>
      <w:r w:rsidR="00E90E4C" w:rsidRPr="00173C9D">
        <w:t xml:space="preserve"> pro účely této práce 0,95.</w:t>
      </w:r>
      <w:r w:rsidR="00D524B7" w:rsidRPr="00173C9D">
        <w:t xml:space="preserve"> Tedy že alespoň 95 % zkoumaných případů by mělo vykazovat tuto podmínku. Takové kritérium splňuje pouze </w:t>
      </w:r>
      <w:r w:rsidR="00B07D0A" w:rsidRPr="00173C9D">
        <w:rPr>
          <w:i/>
        </w:rPr>
        <w:t>„</w:t>
      </w:r>
      <w:r w:rsidR="000539E5" w:rsidRPr="00173C9D">
        <w:rPr>
          <w:i/>
        </w:rPr>
        <w:t>V</w:t>
      </w:r>
      <w:r w:rsidR="00B07D0A" w:rsidRPr="00173C9D">
        <w:rPr>
          <w:i/>
        </w:rPr>
        <w:t>zdálenost“</w:t>
      </w:r>
      <w:r w:rsidR="00B07D0A" w:rsidRPr="00173C9D">
        <w:t xml:space="preserve"> s konzistencí 0,975. To znamená, že </w:t>
      </w:r>
      <w:r w:rsidR="00B968CE">
        <w:t>s rostoucí vzdáleností pomoc kelsá</w:t>
      </w:r>
      <w:r w:rsidR="00B07D0A" w:rsidRPr="00173C9D">
        <w:t xml:space="preserve">, což vysvětlí 97,5 % pozorovaných případů. Jako další kritérium, které se během analýzy nutných podmínek musí zohlednit, je </w:t>
      </w:r>
      <w:r w:rsidR="005B67C9" w:rsidRPr="00173C9D">
        <w:t>nutnost pokrytí (consistency necessity; Cov.Nec.) a relevance nutnosti (Relevance of Necessity; RoN). Tyto parametry</w:t>
      </w:r>
      <w:r w:rsidR="00D016A7" w:rsidRPr="00173C9D">
        <w:t xml:space="preserve"> nabývají hodnot 0</w:t>
      </w:r>
      <w:r w:rsidR="00B968CE">
        <w:t>–</w:t>
      </w:r>
      <w:r w:rsidR="00D016A7" w:rsidRPr="00173C9D">
        <w:t>1 a</w:t>
      </w:r>
      <w:r w:rsidR="005B67C9" w:rsidRPr="00173C9D">
        <w:t xml:space="preserve"> ukazují, zda se nejedná o triviální nutné podmínky, přičemž vyšší číslo znamená méně triviální vztah. Pokud však podmínka nepřekročí práh nastavený pro konzistenci, nemá smysl tyto indikátory brát v</w:t>
      </w:r>
      <w:r w:rsidR="008F0994" w:rsidRPr="00173C9D">
        <w:t> potaz.</w:t>
      </w:r>
      <w:r w:rsidR="00B968CE">
        <w:t xml:space="preserve"> Oana et al. (2021: 83–</w:t>
      </w:r>
      <w:r w:rsidR="000539E5" w:rsidRPr="00173C9D">
        <w:t>84) doporučuje tyto indikátory doplnit o vizualizaci šikmosti a rozložení případů (</w:t>
      </w:r>
      <w:r w:rsidR="009F0AEC" w:rsidRPr="00173C9D">
        <w:t>viz Graf</w:t>
      </w:r>
      <w:r w:rsidR="000539E5" w:rsidRPr="00173C9D">
        <w:t xml:space="preserve"> 1</w:t>
      </w:r>
      <w:r w:rsidR="004037B4">
        <w:t>; Histogram 1</w:t>
      </w:r>
      <w:r w:rsidR="000539E5" w:rsidRPr="00173C9D">
        <w:t xml:space="preserve">). </w:t>
      </w:r>
    </w:p>
    <w:p w:rsidR="004A418F" w:rsidRDefault="004A418F" w:rsidP="002B3844">
      <w:pPr>
        <w:pStyle w:val="Bezmezer"/>
        <w:spacing w:before="240" w:after="240" w:line="360" w:lineRule="auto"/>
        <w:ind w:firstLine="0"/>
      </w:pPr>
    </w:p>
    <w:p w:rsidR="0071153F" w:rsidRDefault="0071153F" w:rsidP="001167A3">
      <w:pPr>
        <w:pStyle w:val="Bezmezer"/>
        <w:spacing w:before="120" w:line="360" w:lineRule="auto"/>
        <w:ind w:firstLine="0"/>
      </w:pPr>
    </w:p>
    <w:p w:rsidR="001F01D7" w:rsidRPr="00173C9D" w:rsidRDefault="001F01D7" w:rsidP="004A418F">
      <w:pPr>
        <w:pStyle w:val="Bezmezer"/>
        <w:spacing w:line="360" w:lineRule="auto"/>
        <w:ind w:firstLine="0"/>
        <w:jc w:val="center"/>
        <w:rPr>
          <w:b/>
        </w:rPr>
      </w:pPr>
      <w:r w:rsidRPr="00173C9D">
        <w:rPr>
          <w:b/>
        </w:rPr>
        <w:lastRenderedPageBreak/>
        <w:t>Graf 1</w:t>
      </w:r>
    </w:p>
    <w:p w:rsidR="001F01D7" w:rsidRPr="00173C9D" w:rsidRDefault="001F01D7" w:rsidP="004A418F">
      <w:pPr>
        <w:pStyle w:val="Bezmezer"/>
        <w:spacing w:line="360" w:lineRule="auto"/>
        <w:ind w:firstLine="0"/>
        <w:jc w:val="center"/>
        <w:rPr>
          <w:b/>
        </w:rPr>
      </w:pPr>
      <w:r w:rsidRPr="00173C9D">
        <w:rPr>
          <w:b/>
          <w:noProof/>
          <w:lang w:val="cs-CZ"/>
        </w:rPr>
        <w:drawing>
          <wp:anchor distT="0" distB="0" distL="114300" distR="114300" simplePos="0" relativeHeight="251660800" behindDoc="1" locked="0" layoutInCell="1" allowOverlap="1">
            <wp:simplePos x="0" y="0"/>
            <wp:positionH relativeFrom="margin">
              <wp:posOffset>483235</wp:posOffset>
            </wp:positionH>
            <wp:positionV relativeFrom="paragraph">
              <wp:posOffset>180147</wp:posOffset>
            </wp:positionV>
            <wp:extent cx="4615815" cy="4290060"/>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5815" cy="4290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XY plot nutné podmínky</w:t>
      </w:r>
      <w:r w:rsidRPr="00173C9D">
        <w:rPr>
          <w:b/>
        </w:rPr>
        <w:t xml:space="preserve"> „Vzdálenost“</w:t>
      </w:r>
    </w:p>
    <w:p w:rsidR="000C04AF" w:rsidRDefault="001F01D7" w:rsidP="004A418F">
      <w:pPr>
        <w:pStyle w:val="Bezmezer"/>
        <w:spacing w:line="360" w:lineRule="auto"/>
        <w:ind w:firstLine="708"/>
        <w:jc w:val="left"/>
      </w:pPr>
      <w:r w:rsidRPr="00173C9D">
        <w:t>Graf</w:t>
      </w:r>
      <w:r>
        <w:t xml:space="preserve"> 1</w:t>
      </w:r>
      <w:r w:rsidRPr="00173C9D">
        <w:t>: autor</w:t>
      </w:r>
    </w:p>
    <w:p w:rsidR="004A418F" w:rsidRPr="00173C9D" w:rsidRDefault="004A418F" w:rsidP="004A418F">
      <w:pPr>
        <w:pStyle w:val="Bezmezer"/>
        <w:spacing w:before="120" w:line="360" w:lineRule="auto"/>
        <w:ind w:firstLine="708"/>
        <w:jc w:val="left"/>
      </w:pPr>
    </w:p>
    <w:p w:rsidR="001F01D7" w:rsidRDefault="000539E5" w:rsidP="00CB718E">
      <w:pPr>
        <w:pStyle w:val="Bezmezer"/>
        <w:spacing w:before="240" w:after="240" w:line="360" w:lineRule="auto"/>
        <w:ind w:firstLine="708"/>
      </w:pPr>
      <w:r w:rsidRPr="00173C9D">
        <w:t xml:space="preserve">Nutnost pokrytí je v případě </w:t>
      </w:r>
      <w:r w:rsidRPr="00173C9D">
        <w:rPr>
          <w:i/>
        </w:rPr>
        <w:t>„Vzdálenosti“</w:t>
      </w:r>
      <w:r w:rsidRPr="00173C9D">
        <w:t xml:space="preserve"> 0,509 a relevance nutnosti 0,545. </w:t>
      </w:r>
      <w:r w:rsidR="00801F58" w:rsidRPr="00173C9D">
        <w:t>To jsou poměrně hraniční hodnoty, byť (zatím) neexistuje hranice, která by ty</w:t>
      </w:r>
      <w:r w:rsidR="009F0AEC" w:rsidRPr="00173C9D">
        <w:t>to parametry spolehlivě oddělila</w:t>
      </w:r>
      <w:r w:rsidR="00801F58" w:rsidRPr="00173C9D">
        <w:t xml:space="preserve">. Tyto hodnoty jsou problematické, jelikož dosahuje-li nutnost pokrytí hodnot kolem 0,5, tak to značí trivialitu. </w:t>
      </w:r>
      <w:r w:rsidRPr="00173C9D">
        <w:t>Po v</w:t>
      </w:r>
      <w:r w:rsidR="00801F58" w:rsidRPr="00173C9D">
        <w:t>izuální inspekci rozložení dat</w:t>
      </w:r>
      <w:r w:rsidRPr="00173C9D">
        <w:t xml:space="preserve"> lze tvrdit, že nutná podmínka </w:t>
      </w:r>
      <w:r w:rsidR="006552C0" w:rsidRPr="00173C9D">
        <w:t xml:space="preserve">je </w:t>
      </w:r>
      <w:r w:rsidRPr="00173C9D">
        <w:t>triviální</w:t>
      </w:r>
      <w:r w:rsidR="00583001">
        <w:t>.</w:t>
      </w:r>
      <w:r w:rsidRPr="00173C9D">
        <w:t xml:space="preserve"> </w:t>
      </w:r>
      <w:r w:rsidR="006552C0" w:rsidRPr="00173C9D">
        <w:t>N</w:t>
      </w:r>
      <w:r w:rsidRPr="00173C9D">
        <w:t>adpoloviční hodnoty dosahuje</w:t>
      </w:r>
      <w:r w:rsidR="00801F58" w:rsidRPr="00173C9D">
        <w:t xml:space="preserve"> hned</w:t>
      </w:r>
      <w:r w:rsidRPr="00173C9D">
        <w:t xml:space="preserve"> 20 států z 27 případů (74,07 %).</w:t>
      </w:r>
      <w:r w:rsidR="006D1BB5" w:rsidRPr="00173C9D">
        <w:t xml:space="preserve"> </w:t>
      </w:r>
      <w:r w:rsidR="00945FB8">
        <w:t xml:space="preserve">Po kontrole rozložení dat </w:t>
      </w:r>
      <w:r w:rsidR="009F0AEC" w:rsidRPr="00173C9D">
        <w:t>lze pozorovat</w:t>
      </w:r>
      <w:r w:rsidR="006552C0" w:rsidRPr="00173C9D">
        <w:t xml:space="preserve"> </w:t>
      </w:r>
      <w:r w:rsidR="006D1BB5" w:rsidRPr="00173C9D">
        <w:t>sedm příp</w:t>
      </w:r>
      <w:r w:rsidR="006552C0" w:rsidRPr="00173C9D">
        <w:t>adů</w:t>
      </w:r>
      <w:r w:rsidR="009F0AEC" w:rsidRPr="00173C9D">
        <w:t>, které nabývají</w:t>
      </w:r>
      <w:r w:rsidR="001F01D7">
        <w:t xml:space="preserve"> hodnoty od 0,9 do 1.</w:t>
      </w:r>
    </w:p>
    <w:p w:rsidR="005965E0" w:rsidRDefault="005965E0" w:rsidP="004A418F">
      <w:pPr>
        <w:pStyle w:val="Bezmezer"/>
        <w:spacing w:before="240" w:after="240" w:line="360" w:lineRule="auto"/>
        <w:ind w:firstLine="0"/>
      </w:pPr>
    </w:p>
    <w:p w:rsidR="004A418F" w:rsidRDefault="004A418F" w:rsidP="004A418F">
      <w:pPr>
        <w:pStyle w:val="Bezmezer"/>
        <w:spacing w:before="240" w:after="240" w:line="360" w:lineRule="auto"/>
        <w:ind w:firstLine="0"/>
      </w:pPr>
    </w:p>
    <w:p w:rsidR="005965E0" w:rsidRDefault="005965E0" w:rsidP="001167A3">
      <w:pPr>
        <w:pStyle w:val="Bezmezer"/>
        <w:spacing w:before="120" w:line="360" w:lineRule="auto"/>
        <w:ind w:firstLine="0"/>
      </w:pPr>
    </w:p>
    <w:p w:rsidR="005965E0" w:rsidRDefault="005965E0" w:rsidP="001167A3">
      <w:pPr>
        <w:pStyle w:val="Bezmezer"/>
        <w:spacing w:before="120" w:line="360" w:lineRule="auto"/>
        <w:ind w:firstLine="0"/>
      </w:pPr>
    </w:p>
    <w:p w:rsidR="00B167F1" w:rsidRDefault="00B167F1" w:rsidP="001167A3">
      <w:pPr>
        <w:pStyle w:val="Bezmezer"/>
        <w:spacing w:before="120" w:line="360" w:lineRule="auto"/>
        <w:ind w:firstLine="0"/>
      </w:pPr>
    </w:p>
    <w:p w:rsidR="005965E0" w:rsidRPr="001C3B10" w:rsidRDefault="00A93E57" w:rsidP="005965E0">
      <w:pPr>
        <w:pStyle w:val="Bezmezer"/>
        <w:spacing w:line="360" w:lineRule="auto"/>
        <w:ind w:firstLine="0"/>
        <w:jc w:val="center"/>
        <w:rPr>
          <w:b/>
        </w:rPr>
      </w:pPr>
      <w:r>
        <w:rPr>
          <w:b/>
        </w:rPr>
        <w:t>Graf</w:t>
      </w:r>
      <w:r w:rsidR="005965E0">
        <w:rPr>
          <w:b/>
        </w:rPr>
        <w:t xml:space="preserve"> </w:t>
      </w:r>
      <w:r>
        <w:rPr>
          <w:b/>
        </w:rPr>
        <w:t>2</w:t>
      </w:r>
    </w:p>
    <w:p w:rsidR="005965E0" w:rsidRPr="001C3B10" w:rsidRDefault="005965E0" w:rsidP="005965E0">
      <w:pPr>
        <w:pStyle w:val="Bezmezer"/>
        <w:ind w:firstLine="0"/>
        <w:jc w:val="center"/>
      </w:pPr>
      <w:r w:rsidRPr="001C3B10">
        <w:rPr>
          <w:noProof/>
          <w:lang w:val="cs-CZ"/>
        </w:rPr>
        <w:drawing>
          <wp:anchor distT="0" distB="0" distL="114300" distR="114300" simplePos="0" relativeHeight="251672064" behindDoc="1" locked="0" layoutInCell="1" allowOverlap="1" wp14:anchorId="3771FC53" wp14:editId="2AE9D2D9">
            <wp:simplePos x="0" y="0"/>
            <wp:positionH relativeFrom="margin">
              <wp:posOffset>652338</wp:posOffset>
            </wp:positionH>
            <wp:positionV relativeFrom="paragraph">
              <wp:posOffset>466697</wp:posOffset>
            </wp:positionV>
            <wp:extent cx="4690745" cy="4272915"/>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0745" cy="427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3B10">
        <w:rPr>
          <w:b/>
        </w:rPr>
        <w:t>Histogram rozložení zkoumaných případů</w:t>
      </w:r>
      <w:r>
        <w:rPr>
          <w:b/>
        </w:rPr>
        <w:t xml:space="preserve"> v množině</w:t>
      </w:r>
      <w:r>
        <w:rPr>
          <w:b/>
        </w:rPr>
        <w:br/>
        <w:t xml:space="preserve">Vzdálenost – nutná podmínka </w:t>
      </w:r>
    </w:p>
    <w:p w:rsidR="005965E0" w:rsidRPr="001C3B10" w:rsidRDefault="005965E0" w:rsidP="005965E0">
      <w:pPr>
        <w:pStyle w:val="Bezmezer"/>
        <w:spacing w:line="360" w:lineRule="auto"/>
        <w:ind w:left="708" w:firstLine="708"/>
        <w:jc w:val="left"/>
      </w:pPr>
      <w:r w:rsidRPr="001C3B10">
        <w:t>Histogram</w:t>
      </w:r>
      <w:r w:rsidR="00C80817">
        <w:t xml:space="preserve"> </w:t>
      </w:r>
      <w:r w:rsidR="00A93E57">
        <w:t>2</w:t>
      </w:r>
      <w:r w:rsidRPr="001C3B10">
        <w:t>: autor</w:t>
      </w:r>
    </w:p>
    <w:p w:rsidR="005965E0" w:rsidRDefault="005965E0" w:rsidP="001167A3">
      <w:pPr>
        <w:pStyle w:val="Bezmezer"/>
        <w:spacing w:before="120" w:line="360" w:lineRule="auto"/>
        <w:ind w:firstLine="0"/>
      </w:pPr>
    </w:p>
    <w:p w:rsidR="00B07D0A" w:rsidRPr="00173C9D" w:rsidRDefault="00FD13CA" w:rsidP="004A418F">
      <w:pPr>
        <w:pStyle w:val="Nadpis2"/>
        <w:spacing w:before="240" w:after="240"/>
        <w:ind w:firstLine="0"/>
        <w:rPr>
          <w:rFonts w:ascii="Times New Roman" w:hAnsi="Times New Roman" w:cs="Times New Roman"/>
          <w:b/>
          <w:color w:val="auto"/>
        </w:rPr>
      </w:pPr>
      <w:bookmarkStart w:id="33" w:name="_Toc164767395"/>
      <w:bookmarkStart w:id="34" w:name="_Toc164808711"/>
      <w:r>
        <w:rPr>
          <w:rFonts w:ascii="Times New Roman" w:hAnsi="Times New Roman" w:cs="Times New Roman"/>
          <w:b/>
          <w:color w:val="auto"/>
        </w:rPr>
        <w:t>5</w:t>
      </w:r>
      <w:r w:rsidR="00602764">
        <w:rPr>
          <w:rFonts w:ascii="Times New Roman" w:hAnsi="Times New Roman" w:cs="Times New Roman"/>
          <w:b/>
          <w:color w:val="auto"/>
        </w:rPr>
        <w:t>.</w:t>
      </w:r>
      <w:r>
        <w:rPr>
          <w:rFonts w:ascii="Times New Roman" w:hAnsi="Times New Roman" w:cs="Times New Roman"/>
          <w:b/>
          <w:color w:val="auto"/>
        </w:rPr>
        <w:t xml:space="preserve"> </w:t>
      </w:r>
      <w:r w:rsidR="00602764">
        <w:rPr>
          <w:rFonts w:ascii="Times New Roman" w:hAnsi="Times New Roman" w:cs="Times New Roman"/>
          <w:b/>
          <w:color w:val="auto"/>
        </w:rPr>
        <w:t>2</w:t>
      </w:r>
      <w:r>
        <w:rPr>
          <w:rFonts w:ascii="Times New Roman" w:hAnsi="Times New Roman" w:cs="Times New Roman"/>
          <w:b/>
          <w:color w:val="auto"/>
        </w:rPr>
        <w:t>.</w:t>
      </w:r>
      <w:r w:rsidR="00602764">
        <w:rPr>
          <w:rFonts w:ascii="Times New Roman" w:hAnsi="Times New Roman" w:cs="Times New Roman"/>
          <w:b/>
          <w:color w:val="auto"/>
        </w:rPr>
        <w:t xml:space="preserve"> </w:t>
      </w:r>
      <w:r w:rsidR="00057151" w:rsidRPr="00173C9D">
        <w:rPr>
          <w:rFonts w:ascii="Times New Roman" w:hAnsi="Times New Roman" w:cs="Times New Roman"/>
          <w:b/>
          <w:color w:val="auto"/>
        </w:rPr>
        <w:t>Analýza dostatečných podmínek</w:t>
      </w:r>
      <w:bookmarkEnd w:id="33"/>
      <w:bookmarkEnd w:id="34"/>
    </w:p>
    <w:p w:rsidR="000C04AF" w:rsidRDefault="00B23A93" w:rsidP="004A418F">
      <w:pPr>
        <w:pStyle w:val="Bezmezer"/>
        <w:spacing w:before="240" w:after="240" w:line="360" w:lineRule="auto"/>
        <w:ind w:firstLine="0"/>
      </w:pPr>
      <w:r w:rsidRPr="00173C9D">
        <w:t xml:space="preserve">Dalším krokem analýzy je určení </w:t>
      </w:r>
      <w:r w:rsidR="001C3B10" w:rsidRPr="00173C9D">
        <w:t>dostatečných podmínek. J</w:t>
      </w:r>
      <w:r w:rsidRPr="00173C9D">
        <w:t>elikož žádný faktor není sám o sobě dostatečný</w:t>
      </w:r>
      <w:r w:rsidR="001C3B10" w:rsidRPr="00173C9D">
        <w:t>, je nutné analyzovat kombinace faktorů, které lze označit za dostatečné pro důsledek</w:t>
      </w:r>
      <w:r w:rsidRPr="00173C9D">
        <w:t xml:space="preserve">. </w:t>
      </w:r>
      <w:r w:rsidR="001C3B10" w:rsidRPr="00173C9D">
        <w:t>Stejně jako při identifikaci nutných podmínek, tak i při odhalení</w:t>
      </w:r>
      <w:r w:rsidRPr="00173C9D">
        <w:t xml:space="preserve"> </w:t>
      </w:r>
      <w:r w:rsidR="001C3B10" w:rsidRPr="00173C9D">
        <w:t xml:space="preserve">dostatečných podmínek </w:t>
      </w:r>
      <w:r w:rsidRPr="00173C9D">
        <w:t xml:space="preserve">je </w:t>
      </w:r>
      <w:r w:rsidR="00B968CE">
        <w:t>nezbytn</w:t>
      </w:r>
      <w:r w:rsidRPr="00173C9D">
        <w:t>é určit hranici konzistence</w:t>
      </w:r>
      <w:r w:rsidR="009F0AEC" w:rsidRPr="00173C9D">
        <w:t xml:space="preserve"> (</w:t>
      </w:r>
      <w:r w:rsidR="009F0AEC" w:rsidRPr="00173C9D">
        <w:rPr>
          <w:lang w:val="cs-CZ"/>
        </w:rPr>
        <w:t>c</w:t>
      </w:r>
      <w:r w:rsidR="009F0AEC" w:rsidRPr="00173C9D">
        <w:t>onsistency cutoff)</w:t>
      </w:r>
      <w:r w:rsidRPr="00173C9D">
        <w:t xml:space="preserve"> a hranici pro počet případů</w:t>
      </w:r>
      <w:r w:rsidR="00DC18FF" w:rsidRPr="00173C9D">
        <w:t xml:space="preserve"> (frequency cutoff)</w:t>
      </w:r>
      <w:r w:rsidRPr="00173C9D">
        <w:t>, které k</w:t>
      </w:r>
      <w:r w:rsidR="00DC18FF" w:rsidRPr="00173C9D">
        <w:t xml:space="preserve">ombinace vysvětluje. Hranice pro počet případů je nastavena tak, aby kombinace vysvětlila alespoň jeden empiricky zaznamenaný případ. Hraniční hodnota konzistence by se měla </w:t>
      </w:r>
      <w:r w:rsidR="0013698C" w:rsidRPr="00173C9D">
        <w:t xml:space="preserve">podle literatury </w:t>
      </w:r>
      <w:r w:rsidR="00940202" w:rsidRPr="00173C9D">
        <w:t>pohybovat kolem 0,8</w:t>
      </w:r>
      <w:r w:rsidR="00DC18FF" w:rsidRPr="00173C9D">
        <w:t xml:space="preserve">. Takové hodnoty sice dosahují </w:t>
      </w:r>
      <w:r w:rsidR="00143472" w:rsidRPr="00173C9D">
        <w:t>hned čtyři</w:t>
      </w:r>
      <w:r w:rsidR="00DC18FF" w:rsidRPr="00173C9D">
        <w:t xml:space="preserve"> kombinace, ale další důležitý indikátor, který se musí vzít při analýze v</w:t>
      </w:r>
      <w:r w:rsidR="0013698C" w:rsidRPr="00173C9D">
        <w:t> </w:t>
      </w:r>
      <w:r w:rsidR="00DC18FF" w:rsidRPr="00173C9D">
        <w:t>potaz</w:t>
      </w:r>
      <w:r w:rsidR="0013698C" w:rsidRPr="00173C9D">
        <w:t>,</w:t>
      </w:r>
      <w:r w:rsidR="00DC18FF" w:rsidRPr="00173C9D">
        <w:t xml:space="preserve"> je hodnota PRI. PRI je číselné vyjádření, do jaké míry je faktor podmnožinou spíše výsledku než </w:t>
      </w:r>
      <w:r w:rsidR="00DC18FF" w:rsidRPr="00173C9D">
        <w:lastRenderedPageBreak/>
        <w:t xml:space="preserve">jeho negace. Hodnota větší jak 0,5 značí větší přítomnost v množině výsledku, menší pak v jeho </w:t>
      </w:r>
      <w:r w:rsidR="0013698C" w:rsidRPr="00173C9D">
        <w:t>negaci</w:t>
      </w:r>
      <w:r w:rsidR="00C91AAE" w:rsidRPr="00173C9D">
        <w:t xml:space="preserve"> (Oana et. al., 2021: 86-109)</w:t>
      </w:r>
      <w:r w:rsidR="00143472" w:rsidRPr="00173C9D">
        <w:t>. Hranici PRI větší jak 0,5 pak dosahují pouze dvě kombinace (viz</w:t>
      </w:r>
      <w:r w:rsidR="00945FB8">
        <w:t xml:space="preserve"> Tabulka</w:t>
      </w:r>
      <w:r w:rsidR="002A3712" w:rsidRPr="00173C9D">
        <w:t xml:space="preserve"> </w:t>
      </w:r>
      <w:r w:rsidR="004037B4">
        <w:t>5</w:t>
      </w:r>
      <w:r w:rsidR="00143472" w:rsidRPr="00173C9D">
        <w:t>)</w:t>
      </w:r>
      <w:r w:rsidR="009F0AEC" w:rsidRPr="00173C9D">
        <w:t xml:space="preserve">, které </w:t>
      </w:r>
      <w:r w:rsidR="005411B4">
        <w:t xml:space="preserve">zároveň </w:t>
      </w:r>
      <w:r w:rsidR="009F0AEC" w:rsidRPr="00173C9D">
        <w:t>vykazují hodnoty konzistence vyšší jak 0,9</w:t>
      </w:r>
      <w:r w:rsidR="00672BF5" w:rsidRPr="00173C9D">
        <w:t xml:space="preserve">. </w:t>
      </w:r>
      <w:r w:rsidR="002F4DEA" w:rsidRPr="00173C9D">
        <w:t>A</w:t>
      </w:r>
      <w:r w:rsidR="006D28A4" w:rsidRPr="00173C9D">
        <w:t>nalýza nabízí tři možnosti řešení: komplexní (complex), minimální (parsimonious) a střední (intermediate), přičemž se zpravidla reportuje střední řešení.</w:t>
      </w:r>
      <w:r w:rsidR="00D71A4A" w:rsidRPr="00173C9D">
        <w:t xml:space="preserve"> Minimální řešení </w:t>
      </w:r>
      <w:r w:rsidR="00BA666F" w:rsidRPr="00173C9D">
        <w:t>sestává z</w:t>
      </w:r>
      <w:r w:rsidR="006D28A4" w:rsidRPr="00173C9D">
        <w:t xml:space="preserve"> maximální možné logické</w:t>
      </w:r>
      <w:r w:rsidR="00BA666F" w:rsidRPr="00173C9D">
        <w:t xml:space="preserve"> minimalizace</w:t>
      </w:r>
      <w:r w:rsidR="006D28A4" w:rsidRPr="00173C9D">
        <w:t xml:space="preserve"> empir</w:t>
      </w:r>
      <w:r w:rsidR="00274C4B" w:rsidRPr="00173C9D">
        <w:t>i</w:t>
      </w:r>
      <w:r w:rsidR="00945FB8">
        <w:t>cky zaznamenaných případů (viz Tabulka</w:t>
      </w:r>
      <w:r w:rsidR="004037B4">
        <w:t xml:space="preserve"> 7). Komplex</w:t>
      </w:r>
      <w:r w:rsidR="006D28A4" w:rsidRPr="00173C9D">
        <w:t>ní řešení nabízí hodnoty před logickou minimalizací</w:t>
      </w:r>
      <w:r w:rsidR="00945FB8">
        <w:t xml:space="preserve"> (viz Tabulka</w:t>
      </w:r>
      <w:r w:rsidR="006D28A4" w:rsidRPr="00173C9D">
        <w:t xml:space="preserve"> </w:t>
      </w:r>
      <w:r w:rsidR="004037B4">
        <w:t>6</w:t>
      </w:r>
      <w:r w:rsidR="006D28A4" w:rsidRPr="00173C9D">
        <w:t xml:space="preserve">). </w:t>
      </w:r>
    </w:p>
    <w:p w:rsidR="00FB66D7" w:rsidRDefault="00FB66D7" w:rsidP="001167A3">
      <w:pPr>
        <w:pStyle w:val="Bezmezer"/>
        <w:spacing w:before="120" w:line="360" w:lineRule="auto"/>
        <w:ind w:firstLine="0"/>
      </w:pPr>
    </w:p>
    <w:p w:rsidR="005C237C" w:rsidRPr="00173C9D" w:rsidRDefault="006B750C" w:rsidP="004A418F">
      <w:pPr>
        <w:pStyle w:val="Bezmezer"/>
        <w:spacing w:line="360" w:lineRule="auto"/>
        <w:ind w:firstLine="0"/>
        <w:jc w:val="center"/>
        <w:rPr>
          <w:b/>
        </w:rPr>
      </w:pPr>
      <w:r>
        <w:rPr>
          <w:b/>
        </w:rPr>
        <w:t>Tabulka 4</w:t>
      </w:r>
    </w:p>
    <w:p w:rsidR="005C237C" w:rsidRPr="00173C9D" w:rsidRDefault="005C237C" w:rsidP="004A418F">
      <w:pPr>
        <w:pStyle w:val="Bezmezer"/>
        <w:spacing w:line="360" w:lineRule="auto"/>
        <w:ind w:firstLine="0"/>
        <w:jc w:val="center"/>
        <w:rPr>
          <w:b/>
        </w:rPr>
      </w:pPr>
      <w:r w:rsidRPr="00173C9D">
        <w:rPr>
          <w:b/>
        </w:rPr>
        <w:t>Kombinace vedoucí k důsledku po logické minimalizaci – střední řešení</w:t>
      </w:r>
    </w:p>
    <w:tbl>
      <w:tblPr>
        <w:tblStyle w:val="Mkatabulky"/>
        <w:tblW w:w="8030" w:type="dxa"/>
        <w:jc w:val="center"/>
        <w:tblLook w:val="04A0" w:firstRow="1" w:lastRow="0" w:firstColumn="1" w:lastColumn="0" w:noHBand="0" w:noVBand="1"/>
      </w:tblPr>
      <w:tblGrid>
        <w:gridCol w:w="2367"/>
        <w:gridCol w:w="1598"/>
        <w:gridCol w:w="2001"/>
        <w:gridCol w:w="2064"/>
      </w:tblGrid>
      <w:tr w:rsidR="005C237C" w:rsidRPr="00173C9D" w:rsidTr="00AA1D04">
        <w:trPr>
          <w:trHeight w:val="760"/>
          <w:jc w:val="center"/>
        </w:trPr>
        <w:tc>
          <w:tcPr>
            <w:tcW w:w="2367" w:type="dxa"/>
            <w:tcBorders>
              <w:top w:val="single" w:sz="4" w:space="0" w:color="auto"/>
              <w:left w:val="single" w:sz="4" w:space="0" w:color="auto"/>
              <w:bottom w:val="single" w:sz="4" w:space="0" w:color="auto"/>
              <w:right w:val="nil"/>
            </w:tcBorders>
            <w:shd w:val="clear" w:color="auto" w:fill="404040" w:themeFill="text1" w:themeFillTint="BF"/>
          </w:tcPr>
          <w:p w:rsidR="005C237C" w:rsidRPr="00173C9D" w:rsidRDefault="005C237C" w:rsidP="004A418F">
            <w:pPr>
              <w:pStyle w:val="Bezmezer"/>
              <w:spacing w:line="360" w:lineRule="auto"/>
              <w:ind w:firstLine="0"/>
              <w:jc w:val="center"/>
              <w:rPr>
                <w:b/>
                <w:color w:val="FFFFFF" w:themeColor="background1"/>
              </w:rPr>
            </w:pPr>
            <w:r w:rsidRPr="00173C9D">
              <w:rPr>
                <w:b/>
                <w:color w:val="FFFFFF" w:themeColor="background1"/>
              </w:rPr>
              <w:t>Kombinace</w:t>
            </w:r>
          </w:p>
        </w:tc>
        <w:tc>
          <w:tcPr>
            <w:tcW w:w="1598" w:type="dxa"/>
            <w:tcBorders>
              <w:top w:val="single" w:sz="4" w:space="0" w:color="auto"/>
              <w:left w:val="nil"/>
              <w:bottom w:val="single" w:sz="4" w:space="0" w:color="auto"/>
              <w:right w:val="nil"/>
            </w:tcBorders>
            <w:shd w:val="clear" w:color="auto" w:fill="404040" w:themeFill="text1" w:themeFillTint="BF"/>
          </w:tcPr>
          <w:p w:rsidR="005C237C" w:rsidRPr="00173C9D" w:rsidRDefault="005C237C" w:rsidP="004A418F">
            <w:pPr>
              <w:pStyle w:val="Bezmezer"/>
              <w:spacing w:line="360" w:lineRule="auto"/>
              <w:ind w:firstLine="0"/>
              <w:jc w:val="center"/>
              <w:rPr>
                <w:b/>
                <w:color w:val="FFFFFF" w:themeColor="background1"/>
              </w:rPr>
            </w:pPr>
            <w:r w:rsidRPr="00173C9D">
              <w:rPr>
                <w:b/>
                <w:color w:val="FFFFFF" w:themeColor="background1"/>
              </w:rPr>
              <w:t>Konzistence</w:t>
            </w:r>
          </w:p>
        </w:tc>
        <w:tc>
          <w:tcPr>
            <w:tcW w:w="2001" w:type="dxa"/>
            <w:tcBorders>
              <w:top w:val="single" w:sz="4" w:space="0" w:color="auto"/>
              <w:left w:val="nil"/>
              <w:bottom w:val="single" w:sz="4" w:space="0" w:color="auto"/>
              <w:right w:val="nil"/>
            </w:tcBorders>
            <w:shd w:val="clear" w:color="auto" w:fill="404040" w:themeFill="text1" w:themeFillTint="BF"/>
          </w:tcPr>
          <w:p w:rsidR="005C237C" w:rsidRPr="00173C9D" w:rsidRDefault="005C237C" w:rsidP="004A418F">
            <w:pPr>
              <w:pStyle w:val="Bezmezer"/>
              <w:spacing w:line="360" w:lineRule="auto"/>
              <w:ind w:firstLine="0"/>
              <w:jc w:val="center"/>
              <w:rPr>
                <w:b/>
                <w:color w:val="FFFFFF" w:themeColor="background1"/>
              </w:rPr>
            </w:pPr>
            <w:r w:rsidRPr="00173C9D">
              <w:rPr>
                <w:b/>
                <w:color w:val="FFFFFF" w:themeColor="background1"/>
              </w:rPr>
              <w:t>Hrubé pokrytí</w:t>
            </w:r>
          </w:p>
        </w:tc>
        <w:tc>
          <w:tcPr>
            <w:tcW w:w="2064" w:type="dxa"/>
            <w:tcBorders>
              <w:top w:val="single" w:sz="4" w:space="0" w:color="auto"/>
              <w:left w:val="nil"/>
              <w:bottom w:val="single" w:sz="4" w:space="0" w:color="auto"/>
              <w:right w:val="single" w:sz="4" w:space="0" w:color="auto"/>
            </w:tcBorders>
            <w:shd w:val="clear" w:color="auto" w:fill="404040" w:themeFill="text1" w:themeFillTint="BF"/>
          </w:tcPr>
          <w:p w:rsidR="005C237C" w:rsidRPr="00173C9D" w:rsidRDefault="005C237C" w:rsidP="004A418F">
            <w:pPr>
              <w:pStyle w:val="Bezmezer"/>
              <w:spacing w:line="360" w:lineRule="auto"/>
              <w:ind w:firstLine="0"/>
              <w:jc w:val="center"/>
              <w:rPr>
                <w:b/>
                <w:color w:val="FFFFFF" w:themeColor="background1"/>
              </w:rPr>
            </w:pPr>
            <w:r w:rsidRPr="00173C9D">
              <w:rPr>
                <w:b/>
                <w:color w:val="FFFFFF" w:themeColor="background1"/>
              </w:rPr>
              <w:t>Unikátní pokrytí</w:t>
            </w:r>
          </w:p>
        </w:tc>
      </w:tr>
      <w:tr w:rsidR="005C237C" w:rsidRPr="00173C9D" w:rsidTr="00AA1D04">
        <w:trPr>
          <w:trHeight w:val="510"/>
          <w:jc w:val="center"/>
        </w:trPr>
        <w:tc>
          <w:tcPr>
            <w:tcW w:w="2367" w:type="dxa"/>
            <w:tcBorders>
              <w:top w:val="single" w:sz="4" w:space="0" w:color="auto"/>
              <w:left w:val="single" w:sz="4" w:space="0" w:color="auto"/>
              <w:bottom w:val="single" w:sz="4" w:space="0" w:color="auto"/>
              <w:right w:val="nil"/>
            </w:tcBorders>
          </w:tcPr>
          <w:p w:rsidR="005C237C" w:rsidRPr="00173C9D" w:rsidRDefault="005C237C" w:rsidP="004A418F">
            <w:pPr>
              <w:pStyle w:val="Bezmezer"/>
              <w:spacing w:line="360" w:lineRule="auto"/>
              <w:ind w:firstLine="0"/>
              <w:jc w:val="left"/>
            </w:pPr>
            <w:r w:rsidRPr="00173C9D">
              <w:t>Severní Balt</w:t>
            </w:r>
          </w:p>
        </w:tc>
        <w:tc>
          <w:tcPr>
            <w:tcW w:w="1598" w:type="dxa"/>
            <w:tcBorders>
              <w:top w:val="single" w:sz="4" w:space="0" w:color="auto"/>
              <w:left w:val="nil"/>
              <w:bottom w:val="single" w:sz="4" w:space="0" w:color="auto"/>
              <w:right w:val="nil"/>
            </w:tcBorders>
          </w:tcPr>
          <w:p w:rsidR="005C237C" w:rsidRPr="00173C9D" w:rsidRDefault="005C237C" w:rsidP="004A418F">
            <w:pPr>
              <w:pStyle w:val="Bezmezer"/>
              <w:spacing w:line="360" w:lineRule="auto"/>
              <w:ind w:firstLine="0"/>
              <w:jc w:val="center"/>
            </w:pPr>
            <w:r w:rsidRPr="00173C9D">
              <w:t>0.88</w:t>
            </w:r>
          </w:p>
        </w:tc>
        <w:tc>
          <w:tcPr>
            <w:tcW w:w="2001" w:type="dxa"/>
            <w:tcBorders>
              <w:top w:val="single" w:sz="4" w:space="0" w:color="auto"/>
              <w:left w:val="nil"/>
              <w:bottom w:val="single" w:sz="4" w:space="0" w:color="auto"/>
              <w:right w:val="nil"/>
            </w:tcBorders>
          </w:tcPr>
          <w:p w:rsidR="005C237C" w:rsidRPr="00173C9D" w:rsidRDefault="005C237C" w:rsidP="004A418F">
            <w:pPr>
              <w:pStyle w:val="Bezmezer"/>
              <w:spacing w:line="360" w:lineRule="auto"/>
              <w:ind w:firstLine="0"/>
              <w:jc w:val="center"/>
            </w:pPr>
            <w:r w:rsidRPr="00173C9D">
              <w:t>0.63</w:t>
            </w:r>
          </w:p>
        </w:tc>
        <w:tc>
          <w:tcPr>
            <w:tcW w:w="2064" w:type="dxa"/>
            <w:tcBorders>
              <w:top w:val="single" w:sz="4" w:space="0" w:color="auto"/>
              <w:left w:val="nil"/>
              <w:bottom w:val="single" w:sz="4" w:space="0" w:color="auto"/>
              <w:right w:val="single" w:sz="4" w:space="0" w:color="auto"/>
            </w:tcBorders>
          </w:tcPr>
          <w:p w:rsidR="005C237C" w:rsidRPr="00173C9D" w:rsidRDefault="005C237C" w:rsidP="004A418F">
            <w:pPr>
              <w:pStyle w:val="Bezmezer"/>
              <w:spacing w:line="360" w:lineRule="auto"/>
              <w:ind w:firstLine="0"/>
              <w:jc w:val="center"/>
            </w:pPr>
            <w:r w:rsidRPr="00173C9D">
              <w:t>0.63</w:t>
            </w:r>
          </w:p>
        </w:tc>
      </w:tr>
      <w:tr w:rsidR="005C237C" w:rsidRPr="00173C9D" w:rsidTr="00AA1D04">
        <w:trPr>
          <w:gridAfter w:val="2"/>
          <w:wAfter w:w="4065" w:type="dxa"/>
          <w:trHeight w:val="250"/>
          <w:jc w:val="center"/>
        </w:trPr>
        <w:tc>
          <w:tcPr>
            <w:tcW w:w="2367" w:type="dxa"/>
            <w:tcBorders>
              <w:top w:val="nil"/>
              <w:left w:val="single" w:sz="4" w:space="0" w:color="auto"/>
              <w:bottom w:val="nil"/>
              <w:right w:val="nil"/>
            </w:tcBorders>
            <w:shd w:val="clear" w:color="auto" w:fill="D9D9D9" w:themeFill="background1" w:themeFillShade="D9"/>
          </w:tcPr>
          <w:p w:rsidR="005C237C" w:rsidRPr="00173C9D" w:rsidRDefault="005C237C" w:rsidP="004A418F">
            <w:pPr>
              <w:ind w:firstLine="0"/>
              <w:jc w:val="left"/>
            </w:pPr>
            <w:r w:rsidRPr="00173C9D">
              <w:t>Pokrytí řešení</w:t>
            </w:r>
          </w:p>
        </w:tc>
        <w:tc>
          <w:tcPr>
            <w:tcW w:w="1598" w:type="dxa"/>
            <w:tcBorders>
              <w:top w:val="nil"/>
              <w:left w:val="nil"/>
              <w:bottom w:val="nil"/>
              <w:right w:val="single" w:sz="4" w:space="0" w:color="auto"/>
            </w:tcBorders>
            <w:shd w:val="clear" w:color="auto" w:fill="D9D9D9" w:themeFill="background1" w:themeFillShade="D9"/>
          </w:tcPr>
          <w:p w:rsidR="005C237C" w:rsidRPr="00173C9D" w:rsidRDefault="005C237C" w:rsidP="004A418F">
            <w:pPr>
              <w:ind w:firstLine="0"/>
              <w:jc w:val="center"/>
            </w:pPr>
            <w:r w:rsidRPr="00173C9D">
              <w:t>0.55</w:t>
            </w:r>
          </w:p>
        </w:tc>
      </w:tr>
      <w:tr w:rsidR="005C237C" w:rsidRPr="00173C9D" w:rsidTr="00AA1D04">
        <w:trPr>
          <w:gridAfter w:val="2"/>
          <w:wAfter w:w="4065" w:type="dxa"/>
          <w:trHeight w:val="250"/>
          <w:jc w:val="center"/>
        </w:trPr>
        <w:tc>
          <w:tcPr>
            <w:tcW w:w="2367" w:type="dxa"/>
            <w:tcBorders>
              <w:top w:val="nil"/>
              <w:left w:val="single" w:sz="4" w:space="0" w:color="auto"/>
              <w:bottom w:val="single" w:sz="4" w:space="0" w:color="auto"/>
              <w:right w:val="nil"/>
            </w:tcBorders>
          </w:tcPr>
          <w:p w:rsidR="005C237C" w:rsidRPr="00173C9D" w:rsidRDefault="005C237C" w:rsidP="004A418F">
            <w:pPr>
              <w:ind w:firstLine="0"/>
              <w:jc w:val="left"/>
              <w:rPr>
                <w:lang w:val="cs-CZ"/>
              </w:rPr>
            </w:pPr>
            <w:r w:rsidRPr="00173C9D">
              <w:rPr>
                <w:lang w:val="cs-CZ"/>
              </w:rPr>
              <w:t>Konzistence řešení</w:t>
            </w:r>
          </w:p>
        </w:tc>
        <w:tc>
          <w:tcPr>
            <w:tcW w:w="1598" w:type="dxa"/>
            <w:tcBorders>
              <w:top w:val="nil"/>
              <w:left w:val="nil"/>
              <w:bottom w:val="single" w:sz="4" w:space="0" w:color="auto"/>
              <w:right w:val="single" w:sz="4" w:space="0" w:color="auto"/>
            </w:tcBorders>
          </w:tcPr>
          <w:p w:rsidR="005C237C" w:rsidRPr="00173C9D" w:rsidRDefault="005C237C" w:rsidP="004A418F">
            <w:pPr>
              <w:ind w:firstLine="0"/>
              <w:jc w:val="center"/>
              <w:rPr>
                <w:lang w:val="cs-CZ"/>
              </w:rPr>
            </w:pPr>
            <w:r w:rsidRPr="00173C9D">
              <w:t>0.70</w:t>
            </w:r>
          </w:p>
        </w:tc>
      </w:tr>
    </w:tbl>
    <w:p w:rsidR="00945FB8" w:rsidRDefault="006A14A9" w:rsidP="004A418F">
      <w:pPr>
        <w:pStyle w:val="Bezmezer"/>
        <w:spacing w:line="360" w:lineRule="auto"/>
        <w:ind w:firstLine="0"/>
        <w:jc w:val="left"/>
      </w:pPr>
      <w:r>
        <w:t xml:space="preserve">        </w:t>
      </w:r>
      <w:r w:rsidR="005C237C" w:rsidRPr="00173C9D">
        <w:t>Tabulka</w:t>
      </w:r>
      <w:r w:rsidR="00C80817">
        <w:t xml:space="preserve"> 4</w:t>
      </w:r>
      <w:r w:rsidR="00945FB8">
        <w:t>: autor</w:t>
      </w:r>
    </w:p>
    <w:p w:rsidR="00945FB8" w:rsidRDefault="00945FB8" w:rsidP="00945FB8">
      <w:pPr>
        <w:pStyle w:val="Bezmezer"/>
        <w:spacing w:before="120" w:line="360" w:lineRule="auto"/>
        <w:ind w:firstLine="0"/>
        <w:jc w:val="left"/>
      </w:pPr>
    </w:p>
    <w:p w:rsidR="00945FB8" w:rsidRPr="001C3B10" w:rsidRDefault="00945FB8" w:rsidP="00945FB8">
      <w:pPr>
        <w:pStyle w:val="Bezmezer"/>
        <w:spacing w:line="360" w:lineRule="auto"/>
        <w:ind w:firstLine="0"/>
        <w:jc w:val="center"/>
        <w:rPr>
          <w:b/>
        </w:rPr>
      </w:pPr>
      <w:r>
        <w:rPr>
          <w:b/>
        </w:rPr>
        <w:t>Tabulka</w:t>
      </w:r>
      <w:r w:rsidR="006B750C">
        <w:rPr>
          <w:b/>
        </w:rPr>
        <w:t xml:space="preserve"> 5</w:t>
      </w:r>
    </w:p>
    <w:p w:rsidR="00945FB8" w:rsidRPr="001C3B10" w:rsidRDefault="00945FB8" w:rsidP="00945FB8">
      <w:pPr>
        <w:pStyle w:val="Bezmezer"/>
        <w:spacing w:line="360" w:lineRule="auto"/>
        <w:ind w:firstLine="0"/>
        <w:jc w:val="center"/>
        <w:rPr>
          <w:b/>
        </w:rPr>
      </w:pPr>
      <w:r w:rsidRPr="001C3B10">
        <w:rPr>
          <w:b/>
        </w:rPr>
        <w:t>Kombinace vedoucí k důsledku – střední řešení</w:t>
      </w:r>
    </w:p>
    <w:tbl>
      <w:tblPr>
        <w:tblStyle w:val="Mkatabulky"/>
        <w:tblW w:w="9175" w:type="dxa"/>
        <w:tblLook w:val="04A0" w:firstRow="1" w:lastRow="0" w:firstColumn="1" w:lastColumn="0" w:noHBand="0" w:noVBand="1"/>
      </w:tblPr>
      <w:tblGrid>
        <w:gridCol w:w="4157"/>
        <w:gridCol w:w="1458"/>
        <w:gridCol w:w="1264"/>
        <w:gridCol w:w="1180"/>
        <w:gridCol w:w="1116"/>
      </w:tblGrid>
      <w:tr w:rsidR="00945FB8" w:rsidRPr="001C3B10" w:rsidTr="00F63C92">
        <w:tc>
          <w:tcPr>
            <w:tcW w:w="4157" w:type="dxa"/>
            <w:tcBorders>
              <w:top w:val="single" w:sz="4" w:space="0" w:color="auto"/>
              <w:left w:val="single" w:sz="4" w:space="0" w:color="auto"/>
              <w:bottom w:val="nil"/>
              <w:right w:val="nil"/>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Kombinace</w:t>
            </w:r>
          </w:p>
        </w:tc>
        <w:tc>
          <w:tcPr>
            <w:tcW w:w="1458" w:type="dxa"/>
            <w:tcBorders>
              <w:top w:val="single" w:sz="4" w:space="0" w:color="auto"/>
              <w:left w:val="nil"/>
              <w:bottom w:val="nil"/>
              <w:right w:val="nil"/>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Konzistence</w:t>
            </w:r>
          </w:p>
        </w:tc>
        <w:tc>
          <w:tcPr>
            <w:tcW w:w="1264" w:type="dxa"/>
            <w:tcBorders>
              <w:top w:val="single" w:sz="4" w:space="0" w:color="auto"/>
              <w:left w:val="nil"/>
              <w:bottom w:val="nil"/>
              <w:right w:val="nil"/>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Hrubé pokrytí</w:t>
            </w:r>
          </w:p>
        </w:tc>
        <w:tc>
          <w:tcPr>
            <w:tcW w:w="1180" w:type="dxa"/>
            <w:tcBorders>
              <w:top w:val="single" w:sz="4" w:space="0" w:color="auto"/>
              <w:left w:val="nil"/>
              <w:bottom w:val="nil"/>
              <w:right w:val="nil"/>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Unikátní pokrytí</w:t>
            </w:r>
          </w:p>
        </w:tc>
        <w:tc>
          <w:tcPr>
            <w:tcW w:w="1116" w:type="dxa"/>
            <w:tcBorders>
              <w:top w:val="single" w:sz="4" w:space="0" w:color="auto"/>
              <w:left w:val="nil"/>
              <w:bottom w:val="nil"/>
              <w:right w:val="single" w:sz="4" w:space="0" w:color="auto"/>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PRI</w:t>
            </w:r>
          </w:p>
        </w:tc>
      </w:tr>
      <w:tr w:rsidR="00945FB8" w:rsidRPr="001C3B10" w:rsidTr="00F63C92">
        <w:tc>
          <w:tcPr>
            <w:tcW w:w="4157" w:type="dxa"/>
            <w:tcBorders>
              <w:top w:val="nil"/>
              <w:left w:val="single" w:sz="4" w:space="0" w:color="auto"/>
              <w:bottom w:val="nil"/>
              <w:right w:val="nil"/>
            </w:tcBorders>
          </w:tcPr>
          <w:p w:rsidR="00945FB8" w:rsidRPr="001C3B10" w:rsidRDefault="00945FB8" w:rsidP="00F63C92">
            <w:pPr>
              <w:ind w:firstLine="0"/>
            </w:pPr>
            <w:r w:rsidRPr="001C3B10">
              <w:t>Uprchlíci*Demokracie*~Plyn*Obrana*</w:t>
            </w:r>
            <w:r w:rsidRPr="001C3B10">
              <w:br/>
              <w:t>~Evropa*Vzdálenost*Export*~Populisté</w:t>
            </w:r>
          </w:p>
        </w:tc>
        <w:tc>
          <w:tcPr>
            <w:tcW w:w="1458" w:type="dxa"/>
            <w:tcBorders>
              <w:top w:val="nil"/>
              <w:left w:val="nil"/>
              <w:bottom w:val="nil"/>
              <w:right w:val="nil"/>
            </w:tcBorders>
          </w:tcPr>
          <w:p w:rsidR="00945FB8" w:rsidRPr="001C3B10" w:rsidRDefault="00945FB8" w:rsidP="00F63C92">
            <w:pPr>
              <w:ind w:firstLine="0"/>
              <w:jc w:val="center"/>
            </w:pPr>
            <w:r w:rsidRPr="001C3B10">
              <w:t>0.905797</w:t>
            </w:r>
          </w:p>
        </w:tc>
        <w:tc>
          <w:tcPr>
            <w:tcW w:w="1264" w:type="dxa"/>
            <w:tcBorders>
              <w:top w:val="nil"/>
              <w:left w:val="nil"/>
              <w:bottom w:val="nil"/>
              <w:right w:val="nil"/>
            </w:tcBorders>
          </w:tcPr>
          <w:p w:rsidR="00945FB8" w:rsidRPr="001C3B10" w:rsidRDefault="00945FB8" w:rsidP="00F63C92">
            <w:pPr>
              <w:ind w:firstLine="0"/>
              <w:jc w:val="center"/>
            </w:pPr>
            <w:r w:rsidRPr="001C3B10">
              <w:t>0.282167</w:t>
            </w:r>
          </w:p>
        </w:tc>
        <w:tc>
          <w:tcPr>
            <w:tcW w:w="1180" w:type="dxa"/>
            <w:tcBorders>
              <w:top w:val="nil"/>
              <w:left w:val="nil"/>
              <w:bottom w:val="nil"/>
              <w:right w:val="nil"/>
            </w:tcBorders>
          </w:tcPr>
          <w:p w:rsidR="00945FB8" w:rsidRPr="001C3B10" w:rsidRDefault="00945FB8" w:rsidP="00F63C92">
            <w:pPr>
              <w:ind w:firstLine="0"/>
              <w:jc w:val="center"/>
            </w:pPr>
            <w:r w:rsidRPr="001C3B10">
              <w:t>0.160271</w:t>
            </w:r>
          </w:p>
        </w:tc>
        <w:tc>
          <w:tcPr>
            <w:tcW w:w="1116" w:type="dxa"/>
            <w:tcBorders>
              <w:top w:val="nil"/>
              <w:left w:val="nil"/>
              <w:bottom w:val="nil"/>
              <w:right w:val="single" w:sz="4" w:space="0" w:color="auto"/>
            </w:tcBorders>
          </w:tcPr>
          <w:p w:rsidR="00945FB8" w:rsidRPr="001C3B10" w:rsidRDefault="00945FB8" w:rsidP="00F63C92">
            <w:pPr>
              <w:ind w:firstLine="0"/>
              <w:jc w:val="center"/>
            </w:pPr>
            <w:r w:rsidRPr="001C3B10">
              <w:t>0.559322</w:t>
            </w:r>
          </w:p>
        </w:tc>
      </w:tr>
      <w:tr w:rsidR="00945FB8" w:rsidRPr="001C3B10" w:rsidTr="00F63C92">
        <w:tc>
          <w:tcPr>
            <w:tcW w:w="4157" w:type="dxa"/>
            <w:tcBorders>
              <w:top w:val="nil"/>
              <w:left w:val="single" w:sz="4" w:space="0" w:color="auto"/>
              <w:bottom w:val="single" w:sz="4" w:space="0" w:color="auto"/>
              <w:right w:val="nil"/>
            </w:tcBorders>
            <w:shd w:val="clear" w:color="auto" w:fill="D9D9D9" w:themeFill="background1" w:themeFillShade="D9"/>
          </w:tcPr>
          <w:p w:rsidR="00945FB8" w:rsidRPr="001C3B10" w:rsidRDefault="00945FB8" w:rsidP="00F63C92">
            <w:pPr>
              <w:ind w:firstLine="0"/>
            </w:pPr>
            <w:r w:rsidRPr="001C3B10">
              <w:t>Uprchlíci*Demokracie*Plyn*Obrana*</w:t>
            </w:r>
            <w:r w:rsidRPr="001C3B10">
              <w:br/>
              <w:t>Evropa*Vzdálenost*Export*~Populisté</w:t>
            </w:r>
          </w:p>
        </w:tc>
        <w:tc>
          <w:tcPr>
            <w:tcW w:w="1458" w:type="dxa"/>
            <w:tcBorders>
              <w:top w:val="nil"/>
              <w:left w:val="nil"/>
              <w:bottom w:val="single" w:sz="4" w:space="0" w:color="auto"/>
              <w:right w:val="nil"/>
            </w:tcBorders>
            <w:shd w:val="clear" w:color="auto" w:fill="D9D9D9" w:themeFill="background1" w:themeFillShade="D9"/>
          </w:tcPr>
          <w:p w:rsidR="00945FB8" w:rsidRPr="001C3B10" w:rsidRDefault="00945FB8" w:rsidP="00F63C92">
            <w:pPr>
              <w:ind w:firstLine="0"/>
              <w:jc w:val="center"/>
            </w:pPr>
            <w:r w:rsidRPr="001C3B10">
              <w:t>0.943038</w:t>
            </w:r>
          </w:p>
        </w:tc>
        <w:tc>
          <w:tcPr>
            <w:tcW w:w="1264" w:type="dxa"/>
            <w:tcBorders>
              <w:top w:val="nil"/>
              <w:left w:val="nil"/>
              <w:bottom w:val="single" w:sz="4" w:space="0" w:color="auto"/>
              <w:right w:val="nil"/>
            </w:tcBorders>
            <w:shd w:val="clear" w:color="auto" w:fill="D9D9D9" w:themeFill="background1" w:themeFillShade="D9"/>
          </w:tcPr>
          <w:p w:rsidR="00945FB8" w:rsidRPr="001C3B10" w:rsidRDefault="00945FB8" w:rsidP="00F63C92">
            <w:pPr>
              <w:ind w:firstLine="0"/>
              <w:jc w:val="center"/>
            </w:pPr>
            <w:r w:rsidRPr="001C3B10">
              <w:t>0.336344</w:t>
            </w:r>
          </w:p>
        </w:tc>
        <w:tc>
          <w:tcPr>
            <w:tcW w:w="1180" w:type="dxa"/>
            <w:tcBorders>
              <w:top w:val="nil"/>
              <w:left w:val="nil"/>
              <w:bottom w:val="single" w:sz="4" w:space="0" w:color="auto"/>
              <w:right w:val="nil"/>
            </w:tcBorders>
            <w:shd w:val="clear" w:color="auto" w:fill="D9D9D9" w:themeFill="background1" w:themeFillShade="D9"/>
          </w:tcPr>
          <w:p w:rsidR="00945FB8" w:rsidRPr="001C3B10" w:rsidRDefault="00945FB8" w:rsidP="00F63C92">
            <w:pPr>
              <w:ind w:firstLine="0"/>
              <w:jc w:val="center"/>
            </w:pPr>
            <w:r w:rsidRPr="001C3B10">
              <w:t>0.214447</w:t>
            </w:r>
          </w:p>
        </w:tc>
        <w:tc>
          <w:tcPr>
            <w:tcW w:w="1116" w:type="dxa"/>
            <w:tcBorders>
              <w:top w:val="nil"/>
              <w:left w:val="nil"/>
              <w:bottom w:val="single" w:sz="4" w:space="0" w:color="auto"/>
              <w:right w:val="single" w:sz="4" w:space="0" w:color="auto"/>
            </w:tcBorders>
            <w:shd w:val="clear" w:color="auto" w:fill="D9D9D9" w:themeFill="background1" w:themeFillShade="D9"/>
          </w:tcPr>
          <w:p w:rsidR="00945FB8" w:rsidRPr="001C3B10" w:rsidRDefault="00945FB8" w:rsidP="00F63C92">
            <w:pPr>
              <w:ind w:firstLine="0"/>
              <w:jc w:val="center"/>
            </w:pPr>
            <w:r w:rsidRPr="001C3B10">
              <w:t>0.869565</w:t>
            </w:r>
          </w:p>
        </w:tc>
      </w:tr>
      <w:tr w:rsidR="00945FB8" w:rsidRPr="001C3B10" w:rsidTr="00F63C92">
        <w:trPr>
          <w:gridAfter w:val="3"/>
          <w:wAfter w:w="3560" w:type="dxa"/>
        </w:trPr>
        <w:tc>
          <w:tcPr>
            <w:tcW w:w="4157" w:type="dxa"/>
            <w:tcBorders>
              <w:top w:val="nil"/>
              <w:left w:val="single" w:sz="4" w:space="0" w:color="auto"/>
              <w:bottom w:val="nil"/>
              <w:right w:val="nil"/>
            </w:tcBorders>
          </w:tcPr>
          <w:p w:rsidR="00945FB8" w:rsidRPr="001C3B10" w:rsidRDefault="00945FB8" w:rsidP="00F63C92">
            <w:pPr>
              <w:ind w:firstLine="0"/>
              <w:jc w:val="left"/>
            </w:pPr>
            <w:r w:rsidRPr="001C3B10">
              <w:t>Hranice počtu případů</w:t>
            </w:r>
          </w:p>
        </w:tc>
        <w:tc>
          <w:tcPr>
            <w:tcW w:w="1458" w:type="dxa"/>
            <w:tcBorders>
              <w:top w:val="nil"/>
              <w:left w:val="nil"/>
              <w:bottom w:val="nil"/>
              <w:right w:val="single" w:sz="4" w:space="0" w:color="auto"/>
            </w:tcBorders>
          </w:tcPr>
          <w:p w:rsidR="00945FB8" w:rsidRPr="001C3B10" w:rsidRDefault="00945FB8" w:rsidP="00F63C92">
            <w:pPr>
              <w:ind w:firstLine="0"/>
              <w:jc w:val="center"/>
            </w:pPr>
            <w:r w:rsidRPr="001C3B10">
              <w:rPr>
                <w:lang w:val="cs-CZ"/>
              </w:rPr>
              <w:t>1</w:t>
            </w:r>
          </w:p>
        </w:tc>
      </w:tr>
      <w:tr w:rsidR="00945FB8" w:rsidRPr="001C3B10" w:rsidTr="00F63C92">
        <w:trPr>
          <w:gridAfter w:val="3"/>
          <w:wAfter w:w="3560" w:type="dxa"/>
        </w:trPr>
        <w:tc>
          <w:tcPr>
            <w:tcW w:w="4157" w:type="dxa"/>
            <w:tcBorders>
              <w:top w:val="nil"/>
              <w:left w:val="single" w:sz="4" w:space="0" w:color="auto"/>
              <w:bottom w:val="nil"/>
              <w:right w:val="nil"/>
            </w:tcBorders>
            <w:shd w:val="clear" w:color="auto" w:fill="D9D9D9" w:themeFill="background1" w:themeFillShade="D9"/>
          </w:tcPr>
          <w:p w:rsidR="00945FB8" w:rsidRPr="001C3B10" w:rsidRDefault="00945FB8" w:rsidP="00F63C92">
            <w:pPr>
              <w:ind w:firstLine="0"/>
              <w:jc w:val="left"/>
            </w:pPr>
            <w:r w:rsidRPr="001C3B10">
              <w:rPr>
                <w:lang w:val="cs-CZ"/>
              </w:rPr>
              <w:t>Hranice konzistence</w:t>
            </w:r>
          </w:p>
        </w:tc>
        <w:tc>
          <w:tcPr>
            <w:tcW w:w="1458" w:type="dxa"/>
            <w:tcBorders>
              <w:top w:val="nil"/>
              <w:left w:val="nil"/>
              <w:bottom w:val="nil"/>
              <w:right w:val="single" w:sz="4" w:space="0" w:color="auto"/>
            </w:tcBorders>
            <w:shd w:val="clear" w:color="auto" w:fill="D9D9D9" w:themeFill="background1" w:themeFillShade="D9"/>
          </w:tcPr>
          <w:p w:rsidR="00945FB8" w:rsidRPr="001C3B10" w:rsidRDefault="00945FB8" w:rsidP="00F63C92">
            <w:pPr>
              <w:ind w:firstLine="0"/>
              <w:jc w:val="center"/>
            </w:pPr>
            <w:r w:rsidRPr="001C3B10">
              <w:t>0.905797</w:t>
            </w:r>
          </w:p>
        </w:tc>
      </w:tr>
      <w:tr w:rsidR="00945FB8" w:rsidRPr="001C3B10" w:rsidTr="00F63C92">
        <w:trPr>
          <w:gridAfter w:val="3"/>
          <w:wAfter w:w="3560" w:type="dxa"/>
        </w:trPr>
        <w:tc>
          <w:tcPr>
            <w:tcW w:w="4157" w:type="dxa"/>
            <w:tcBorders>
              <w:top w:val="nil"/>
              <w:left w:val="single" w:sz="4" w:space="0" w:color="auto"/>
              <w:bottom w:val="nil"/>
              <w:right w:val="nil"/>
            </w:tcBorders>
          </w:tcPr>
          <w:p w:rsidR="00945FB8" w:rsidRPr="001C3B10" w:rsidRDefault="00945FB8" w:rsidP="00F63C92">
            <w:pPr>
              <w:ind w:firstLine="0"/>
              <w:jc w:val="left"/>
            </w:pPr>
            <w:r w:rsidRPr="001C3B10">
              <w:t>Pokrytí řešení</w:t>
            </w:r>
          </w:p>
        </w:tc>
        <w:tc>
          <w:tcPr>
            <w:tcW w:w="1458" w:type="dxa"/>
            <w:tcBorders>
              <w:top w:val="nil"/>
              <w:left w:val="nil"/>
              <w:bottom w:val="nil"/>
              <w:right w:val="single" w:sz="4" w:space="0" w:color="auto"/>
            </w:tcBorders>
          </w:tcPr>
          <w:p w:rsidR="00945FB8" w:rsidRPr="001C3B10" w:rsidRDefault="00945FB8" w:rsidP="00F63C92">
            <w:pPr>
              <w:ind w:firstLine="0"/>
              <w:jc w:val="center"/>
            </w:pPr>
            <w:r w:rsidRPr="001C3B10">
              <w:t>0.496615</w:t>
            </w:r>
          </w:p>
        </w:tc>
      </w:tr>
      <w:tr w:rsidR="00945FB8" w:rsidRPr="001C3B10" w:rsidTr="00F63C92">
        <w:trPr>
          <w:gridAfter w:val="3"/>
          <w:wAfter w:w="3560" w:type="dxa"/>
        </w:trPr>
        <w:tc>
          <w:tcPr>
            <w:tcW w:w="4157" w:type="dxa"/>
            <w:tcBorders>
              <w:top w:val="nil"/>
              <w:left w:val="single" w:sz="4" w:space="0" w:color="auto"/>
              <w:bottom w:val="single" w:sz="4" w:space="0" w:color="auto"/>
              <w:right w:val="nil"/>
            </w:tcBorders>
            <w:shd w:val="clear" w:color="auto" w:fill="D9D9D9" w:themeFill="background1" w:themeFillShade="D9"/>
          </w:tcPr>
          <w:p w:rsidR="00945FB8" w:rsidRPr="001C3B10" w:rsidRDefault="00945FB8" w:rsidP="00F63C92">
            <w:pPr>
              <w:ind w:firstLine="0"/>
              <w:jc w:val="left"/>
              <w:rPr>
                <w:lang w:val="cs-CZ"/>
              </w:rPr>
            </w:pPr>
            <w:r w:rsidRPr="001C3B10">
              <w:rPr>
                <w:lang w:val="cs-CZ"/>
              </w:rPr>
              <w:t>Konzistence řešení</w:t>
            </w:r>
          </w:p>
        </w:tc>
        <w:tc>
          <w:tcPr>
            <w:tcW w:w="1458" w:type="dxa"/>
            <w:tcBorders>
              <w:top w:val="nil"/>
              <w:left w:val="nil"/>
              <w:bottom w:val="single" w:sz="4" w:space="0" w:color="auto"/>
              <w:right w:val="single" w:sz="4" w:space="0" w:color="auto"/>
            </w:tcBorders>
            <w:shd w:val="clear" w:color="auto" w:fill="D9D9D9" w:themeFill="background1" w:themeFillShade="D9"/>
          </w:tcPr>
          <w:p w:rsidR="00945FB8" w:rsidRPr="001C3B10" w:rsidRDefault="00945FB8" w:rsidP="00F63C92">
            <w:pPr>
              <w:ind w:firstLine="0"/>
              <w:jc w:val="center"/>
              <w:rPr>
                <w:lang w:val="cs-CZ"/>
              </w:rPr>
            </w:pPr>
            <w:r w:rsidRPr="001C3B10">
              <w:t>0.916667</w:t>
            </w:r>
          </w:p>
        </w:tc>
      </w:tr>
    </w:tbl>
    <w:p w:rsidR="00945FB8" w:rsidRPr="001C3B10" w:rsidRDefault="00945FB8" w:rsidP="00945FB8">
      <w:pPr>
        <w:pStyle w:val="Bezmezer"/>
        <w:spacing w:line="360" w:lineRule="auto"/>
        <w:ind w:firstLine="0"/>
        <w:jc w:val="left"/>
      </w:pPr>
      <w:r w:rsidRPr="001C3B10">
        <w:t>Tabulka</w:t>
      </w:r>
      <w:r w:rsidR="00C80817">
        <w:t xml:space="preserve"> 5</w:t>
      </w:r>
      <w:r w:rsidRPr="001C3B10">
        <w:t>: autor</w:t>
      </w:r>
    </w:p>
    <w:p w:rsidR="00945FB8" w:rsidRDefault="00945FB8" w:rsidP="005C237C">
      <w:pPr>
        <w:pStyle w:val="Bezmezer"/>
        <w:spacing w:before="120" w:line="360" w:lineRule="auto"/>
        <w:ind w:firstLine="708"/>
      </w:pPr>
    </w:p>
    <w:p w:rsidR="00945FB8" w:rsidRDefault="00945FB8" w:rsidP="005C237C">
      <w:pPr>
        <w:pStyle w:val="Bezmezer"/>
        <w:spacing w:before="120" w:line="360" w:lineRule="auto"/>
        <w:ind w:firstLine="708"/>
      </w:pPr>
    </w:p>
    <w:p w:rsidR="00945FB8" w:rsidRPr="008F1D8A" w:rsidRDefault="00945FB8" w:rsidP="00945FB8">
      <w:pPr>
        <w:ind w:firstLine="0"/>
        <w:jc w:val="center"/>
        <w:rPr>
          <w:b/>
        </w:rPr>
      </w:pPr>
      <w:r>
        <w:rPr>
          <w:b/>
        </w:rPr>
        <w:lastRenderedPageBreak/>
        <w:t xml:space="preserve">Tabulka </w:t>
      </w:r>
      <w:r w:rsidR="006B750C">
        <w:rPr>
          <w:b/>
        </w:rPr>
        <w:t>6</w:t>
      </w:r>
      <w:r w:rsidRPr="008F1D8A">
        <w:rPr>
          <w:b/>
        </w:rPr>
        <w:br/>
      </w:r>
      <w:r w:rsidRPr="0013698C">
        <w:rPr>
          <w:b/>
        </w:rPr>
        <w:t>Kombinace vedoucí k</w:t>
      </w:r>
      <w:r>
        <w:rPr>
          <w:b/>
        </w:rPr>
        <w:t> </w:t>
      </w:r>
      <w:r w:rsidRPr="0013698C">
        <w:rPr>
          <w:b/>
        </w:rPr>
        <w:t>důsledku</w:t>
      </w:r>
      <w:r>
        <w:rPr>
          <w:b/>
        </w:rPr>
        <w:t xml:space="preserve"> – k</w:t>
      </w:r>
      <w:r w:rsidRPr="008F1D8A">
        <w:rPr>
          <w:b/>
        </w:rPr>
        <w:t>omplexní řešení</w:t>
      </w:r>
    </w:p>
    <w:tbl>
      <w:tblPr>
        <w:tblStyle w:val="Mkatabulky"/>
        <w:tblW w:w="9175" w:type="dxa"/>
        <w:tblLook w:val="04A0" w:firstRow="1" w:lastRow="0" w:firstColumn="1" w:lastColumn="0" w:noHBand="0" w:noVBand="1"/>
      </w:tblPr>
      <w:tblGrid>
        <w:gridCol w:w="4156"/>
        <w:gridCol w:w="1576"/>
        <w:gridCol w:w="1823"/>
        <w:gridCol w:w="1620"/>
      </w:tblGrid>
      <w:tr w:rsidR="00945FB8" w:rsidRPr="00414BC5" w:rsidTr="00F63C92">
        <w:tc>
          <w:tcPr>
            <w:tcW w:w="4156" w:type="dxa"/>
            <w:tcBorders>
              <w:top w:val="single" w:sz="4" w:space="0" w:color="auto"/>
              <w:left w:val="single" w:sz="4" w:space="0" w:color="auto"/>
              <w:bottom w:val="nil"/>
              <w:right w:val="nil"/>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Kombinace</w:t>
            </w:r>
          </w:p>
        </w:tc>
        <w:tc>
          <w:tcPr>
            <w:tcW w:w="1576" w:type="dxa"/>
            <w:tcBorders>
              <w:top w:val="single" w:sz="4" w:space="0" w:color="auto"/>
              <w:left w:val="nil"/>
              <w:bottom w:val="nil"/>
              <w:right w:val="nil"/>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Konzistence</w:t>
            </w:r>
          </w:p>
        </w:tc>
        <w:tc>
          <w:tcPr>
            <w:tcW w:w="1823" w:type="dxa"/>
            <w:tcBorders>
              <w:top w:val="single" w:sz="4" w:space="0" w:color="auto"/>
              <w:left w:val="nil"/>
              <w:bottom w:val="nil"/>
              <w:right w:val="nil"/>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Hrubé pokrytí</w:t>
            </w:r>
          </w:p>
        </w:tc>
        <w:tc>
          <w:tcPr>
            <w:tcW w:w="1620" w:type="dxa"/>
            <w:tcBorders>
              <w:top w:val="single" w:sz="4" w:space="0" w:color="auto"/>
              <w:left w:val="nil"/>
              <w:bottom w:val="nil"/>
              <w:right w:val="single" w:sz="4" w:space="0" w:color="auto"/>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Unikátní pokrytí</w:t>
            </w:r>
          </w:p>
        </w:tc>
      </w:tr>
      <w:tr w:rsidR="00945FB8" w:rsidTr="00F63C92">
        <w:tc>
          <w:tcPr>
            <w:tcW w:w="4156" w:type="dxa"/>
            <w:tcBorders>
              <w:top w:val="nil"/>
              <w:left w:val="single" w:sz="4" w:space="0" w:color="auto"/>
              <w:bottom w:val="nil"/>
              <w:right w:val="nil"/>
            </w:tcBorders>
          </w:tcPr>
          <w:p w:rsidR="00945FB8" w:rsidRDefault="00945FB8" w:rsidP="00F63C92">
            <w:pPr>
              <w:ind w:firstLine="0"/>
              <w:jc w:val="center"/>
            </w:pPr>
            <w:r>
              <w:t>Uprchlíci*Demokracie*~Plyn*Obrana*</w:t>
            </w:r>
            <w:r>
              <w:br/>
              <w:t>~Evropa*Vzdálenost*Export*~Populisté</w:t>
            </w:r>
          </w:p>
        </w:tc>
        <w:tc>
          <w:tcPr>
            <w:tcW w:w="1576" w:type="dxa"/>
            <w:tcBorders>
              <w:top w:val="nil"/>
              <w:left w:val="nil"/>
              <w:bottom w:val="nil"/>
              <w:right w:val="nil"/>
            </w:tcBorders>
          </w:tcPr>
          <w:p w:rsidR="00945FB8" w:rsidRDefault="00945FB8" w:rsidP="00F63C92">
            <w:pPr>
              <w:ind w:firstLine="0"/>
              <w:jc w:val="center"/>
            </w:pPr>
            <w:r>
              <w:t>0.905797</w:t>
            </w:r>
          </w:p>
        </w:tc>
        <w:tc>
          <w:tcPr>
            <w:tcW w:w="1823" w:type="dxa"/>
            <w:tcBorders>
              <w:top w:val="nil"/>
              <w:left w:val="nil"/>
              <w:bottom w:val="nil"/>
              <w:right w:val="nil"/>
            </w:tcBorders>
          </w:tcPr>
          <w:p w:rsidR="00945FB8" w:rsidRDefault="00945FB8" w:rsidP="00F63C92">
            <w:pPr>
              <w:ind w:firstLine="0"/>
              <w:jc w:val="left"/>
            </w:pPr>
            <w:r>
              <w:t>0.282167</w:t>
            </w:r>
          </w:p>
        </w:tc>
        <w:tc>
          <w:tcPr>
            <w:tcW w:w="1620" w:type="dxa"/>
            <w:tcBorders>
              <w:top w:val="nil"/>
              <w:left w:val="nil"/>
              <w:bottom w:val="nil"/>
              <w:right w:val="single" w:sz="4" w:space="0" w:color="auto"/>
            </w:tcBorders>
          </w:tcPr>
          <w:p w:rsidR="00945FB8" w:rsidRDefault="00945FB8" w:rsidP="00F63C92">
            <w:pPr>
              <w:ind w:firstLine="0"/>
              <w:jc w:val="left"/>
            </w:pPr>
            <w:r>
              <w:t>0.160271</w:t>
            </w:r>
          </w:p>
        </w:tc>
      </w:tr>
      <w:tr w:rsidR="00945FB8" w:rsidTr="00F63C92">
        <w:tc>
          <w:tcPr>
            <w:tcW w:w="4156" w:type="dxa"/>
            <w:tcBorders>
              <w:top w:val="nil"/>
              <w:left w:val="single" w:sz="4" w:space="0" w:color="auto"/>
              <w:bottom w:val="single" w:sz="4" w:space="0" w:color="auto"/>
              <w:right w:val="nil"/>
            </w:tcBorders>
            <w:shd w:val="clear" w:color="auto" w:fill="D9D9D9" w:themeFill="background1" w:themeFillShade="D9"/>
          </w:tcPr>
          <w:p w:rsidR="00945FB8" w:rsidRDefault="00945FB8" w:rsidP="00F63C92">
            <w:pPr>
              <w:ind w:firstLine="0"/>
              <w:jc w:val="center"/>
            </w:pPr>
            <w:r>
              <w:t>Uprchlíci*Demokracie*Plyn*Obrana*</w:t>
            </w:r>
            <w:r>
              <w:br/>
              <w:t>Evropa*Vzdálenost*Export*~Populisté</w:t>
            </w:r>
          </w:p>
        </w:tc>
        <w:tc>
          <w:tcPr>
            <w:tcW w:w="1576" w:type="dxa"/>
            <w:tcBorders>
              <w:top w:val="nil"/>
              <w:left w:val="nil"/>
              <w:bottom w:val="single" w:sz="4" w:space="0" w:color="auto"/>
              <w:right w:val="nil"/>
            </w:tcBorders>
            <w:shd w:val="clear" w:color="auto" w:fill="D9D9D9" w:themeFill="background1" w:themeFillShade="D9"/>
          </w:tcPr>
          <w:p w:rsidR="00945FB8" w:rsidRDefault="00945FB8" w:rsidP="00F63C92">
            <w:pPr>
              <w:ind w:firstLine="0"/>
              <w:jc w:val="center"/>
            </w:pPr>
            <w:r>
              <w:t>0.943038</w:t>
            </w:r>
          </w:p>
        </w:tc>
        <w:tc>
          <w:tcPr>
            <w:tcW w:w="1823" w:type="dxa"/>
            <w:tcBorders>
              <w:top w:val="nil"/>
              <w:left w:val="nil"/>
              <w:bottom w:val="single" w:sz="4" w:space="0" w:color="auto"/>
              <w:right w:val="nil"/>
            </w:tcBorders>
            <w:shd w:val="clear" w:color="auto" w:fill="D9D9D9" w:themeFill="background1" w:themeFillShade="D9"/>
          </w:tcPr>
          <w:p w:rsidR="00945FB8" w:rsidRDefault="00945FB8" w:rsidP="00F63C92">
            <w:pPr>
              <w:ind w:firstLine="0"/>
              <w:jc w:val="left"/>
            </w:pPr>
            <w:r>
              <w:t>0.336344</w:t>
            </w:r>
          </w:p>
        </w:tc>
        <w:tc>
          <w:tcPr>
            <w:tcW w:w="1620" w:type="dxa"/>
            <w:tcBorders>
              <w:top w:val="nil"/>
              <w:left w:val="nil"/>
              <w:bottom w:val="single" w:sz="4" w:space="0" w:color="auto"/>
              <w:right w:val="single" w:sz="4" w:space="0" w:color="auto"/>
            </w:tcBorders>
            <w:shd w:val="clear" w:color="auto" w:fill="D9D9D9" w:themeFill="background1" w:themeFillShade="D9"/>
          </w:tcPr>
          <w:p w:rsidR="00945FB8" w:rsidRDefault="00945FB8" w:rsidP="00F63C92">
            <w:pPr>
              <w:ind w:firstLine="0"/>
              <w:jc w:val="left"/>
            </w:pPr>
            <w:r>
              <w:t>0.214447</w:t>
            </w:r>
          </w:p>
        </w:tc>
      </w:tr>
      <w:tr w:rsidR="00F8167F" w:rsidTr="00F63C92">
        <w:trPr>
          <w:gridAfter w:val="2"/>
          <w:wAfter w:w="3443" w:type="dxa"/>
        </w:trPr>
        <w:tc>
          <w:tcPr>
            <w:tcW w:w="4156" w:type="dxa"/>
            <w:tcBorders>
              <w:top w:val="nil"/>
              <w:left w:val="single" w:sz="4" w:space="0" w:color="auto"/>
              <w:bottom w:val="nil"/>
              <w:right w:val="nil"/>
            </w:tcBorders>
          </w:tcPr>
          <w:p w:rsidR="00F8167F" w:rsidRPr="001C3B10" w:rsidRDefault="00F8167F" w:rsidP="00F8167F">
            <w:pPr>
              <w:ind w:firstLine="0"/>
              <w:jc w:val="left"/>
            </w:pPr>
            <w:r w:rsidRPr="001C3B10">
              <w:t>Hranice počtu případů</w:t>
            </w:r>
          </w:p>
        </w:tc>
        <w:tc>
          <w:tcPr>
            <w:tcW w:w="1576" w:type="dxa"/>
            <w:tcBorders>
              <w:top w:val="nil"/>
              <w:left w:val="nil"/>
              <w:bottom w:val="nil"/>
              <w:right w:val="single" w:sz="4" w:space="0" w:color="auto"/>
            </w:tcBorders>
          </w:tcPr>
          <w:p w:rsidR="00F8167F" w:rsidRDefault="00F8167F" w:rsidP="00F8167F">
            <w:pPr>
              <w:ind w:firstLine="0"/>
              <w:jc w:val="center"/>
            </w:pPr>
            <w:r>
              <w:rPr>
                <w:lang w:val="cs-CZ"/>
              </w:rPr>
              <w:t>1</w:t>
            </w:r>
          </w:p>
        </w:tc>
      </w:tr>
      <w:tr w:rsidR="00F8167F" w:rsidTr="00F63C92">
        <w:trPr>
          <w:gridAfter w:val="2"/>
          <w:wAfter w:w="3443" w:type="dxa"/>
        </w:trPr>
        <w:tc>
          <w:tcPr>
            <w:tcW w:w="4156" w:type="dxa"/>
            <w:tcBorders>
              <w:top w:val="nil"/>
              <w:left w:val="single" w:sz="4" w:space="0" w:color="auto"/>
              <w:bottom w:val="nil"/>
              <w:right w:val="nil"/>
            </w:tcBorders>
            <w:shd w:val="clear" w:color="auto" w:fill="D9D9D9" w:themeFill="background1" w:themeFillShade="D9"/>
          </w:tcPr>
          <w:p w:rsidR="00F8167F" w:rsidRPr="001C3B10" w:rsidRDefault="00F8167F" w:rsidP="00F8167F">
            <w:pPr>
              <w:ind w:firstLine="0"/>
              <w:jc w:val="left"/>
            </w:pPr>
            <w:r w:rsidRPr="001C3B10">
              <w:rPr>
                <w:lang w:val="cs-CZ"/>
              </w:rPr>
              <w:t>Hranice konzistence</w:t>
            </w:r>
          </w:p>
        </w:tc>
        <w:tc>
          <w:tcPr>
            <w:tcW w:w="1576" w:type="dxa"/>
            <w:tcBorders>
              <w:top w:val="nil"/>
              <w:left w:val="nil"/>
              <w:bottom w:val="nil"/>
              <w:right w:val="single" w:sz="4" w:space="0" w:color="auto"/>
            </w:tcBorders>
            <w:shd w:val="clear" w:color="auto" w:fill="D9D9D9" w:themeFill="background1" w:themeFillShade="D9"/>
          </w:tcPr>
          <w:p w:rsidR="00F8167F" w:rsidRDefault="00F8167F" w:rsidP="00F8167F">
            <w:pPr>
              <w:ind w:firstLine="0"/>
              <w:jc w:val="center"/>
            </w:pPr>
            <w:r>
              <w:t>0.905797</w:t>
            </w:r>
          </w:p>
        </w:tc>
      </w:tr>
      <w:tr w:rsidR="00F8167F" w:rsidTr="00F63C92">
        <w:trPr>
          <w:gridAfter w:val="2"/>
          <w:wAfter w:w="3443" w:type="dxa"/>
        </w:trPr>
        <w:tc>
          <w:tcPr>
            <w:tcW w:w="4156" w:type="dxa"/>
            <w:tcBorders>
              <w:top w:val="nil"/>
              <w:left w:val="single" w:sz="4" w:space="0" w:color="auto"/>
              <w:bottom w:val="nil"/>
              <w:right w:val="nil"/>
            </w:tcBorders>
          </w:tcPr>
          <w:p w:rsidR="00F8167F" w:rsidRPr="001C3B10" w:rsidRDefault="00F8167F" w:rsidP="00F8167F">
            <w:pPr>
              <w:ind w:firstLine="0"/>
              <w:jc w:val="left"/>
            </w:pPr>
            <w:r w:rsidRPr="001C3B10">
              <w:t>Pokrytí řešení</w:t>
            </w:r>
          </w:p>
        </w:tc>
        <w:tc>
          <w:tcPr>
            <w:tcW w:w="1576" w:type="dxa"/>
            <w:tcBorders>
              <w:top w:val="nil"/>
              <w:left w:val="nil"/>
              <w:bottom w:val="nil"/>
              <w:right w:val="single" w:sz="4" w:space="0" w:color="auto"/>
            </w:tcBorders>
          </w:tcPr>
          <w:p w:rsidR="00F8167F" w:rsidRDefault="00F8167F" w:rsidP="00F8167F">
            <w:pPr>
              <w:ind w:firstLine="0"/>
              <w:jc w:val="center"/>
            </w:pPr>
            <w:r>
              <w:t>0.717834</w:t>
            </w:r>
          </w:p>
        </w:tc>
      </w:tr>
      <w:tr w:rsidR="00F8167F" w:rsidTr="00F63C92">
        <w:trPr>
          <w:gridAfter w:val="2"/>
          <w:wAfter w:w="3443" w:type="dxa"/>
        </w:trPr>
        <w:tc>
          <w:tcPr>
            <w:tcW w:w="4156" w:type="dxa"/>
            <w:tcBorders>
              <w:top w:val="nil"/>
              <w:left w:val="single" w:sz="4" w:space="0" w:color="auto"/>
              <w:bottom w:val="single" w:sz="4" w:space="0" w:color="auto"/>
              <w:right w:val="nil"/>
            </w:tcBorders>
            <w:shd w:val="clear" w:color="auto" w:fill="D9D9D9" w:themeFill="background1" w:themeFillShade="D9"/>
          </w:tcPr>
          <w:p w:rsidR="00F8167F" w:rsidRPr="001C3B10" w:rsidRDefault="00F8167F" w:rsidP="00F8167F">
            <w:pPr>
              <w:ind w:firstLine="0"/>
              <w:jc w:val="left"/>
              <w:rPr>
                <w:lang w:val="cs-CZ"/>
              </w:rPr>
            </w:pPr>
            <w:r w:rsidRPr="001C3B10">
              <w:rPr>
                <w:lang w:val="cs-CZ"/>
              </w:rPr>
              <w:t>Konzistence řešení</w:t>
            </w:r>
          </w:p>
        </w:tc>
        <w:tc>
          <w:tcPr>
            <w:tcW w:w="1576" w:type="dxa"/>
            <w:tcBorders>
              <w:top w:val="nil"/>
              <w:left w:val="nil"/>
              <w:bottom w:val="single" w:sz="4" w:space="0" w:color="auto"/>
              <w:right w:val="single" w:sz="4" w:space="0" w:color="auto"/>
            </w:tcBorders>
            <w:shd w:val="clear" w:color="auto" w:fill="D9D9D9" w:themeFill="background1" w:themeFillShade="D9"/>
          </w:tcPr>
          <w:p w:rsidR="00F8167F" w:rsidRPr="00B25796" w:rsidRDefault="00F8167F" w:rsidP="00F8167F">
            <w:pPr>
              <w:ind w:firstLine="0"/>
              <w:jc w:val="center"/>
              <w:rPr>
                <w:lang w:val="cs-CZ"/>
              </w:rPr>
            </w:pPr>
            <w:r>
              <w:t>0.700441</w:t>
            </w:r>
          </w:p>
        </w:tc>
      </w:tr>
    </w:tbl>
    <w:p w:rsidR="00945FB8" w:rsidRDefault="00945FB8" w:rsidP="00945FB8">
      <w:pPr>
        <w:ind w:firstLine="0"/>
        <w:jc w:val="left"/>
      </w:pPr>
      <w:r>
        <w:t>Tabulka</w:t>
      </w:r>
      <w:r w:rsidR="00C80817">
        <w:t xml:space="preserve"> 6</w:t>
      </w:r>
      <w:r>
        <w:t>: autor</w:t>
      </w:r>
    </w:p>
    <w:p w:rsidR="006B750C" w:rsidRDefault="006B750C" w:rsidP="00945FB8">
      <w:pPr>
        <w:ind w:firstLine="0"/>
        <w:rPr>
          <w:b/>
        </w:rPr>
      </w:pPr>
    </w:p>
    <w:p w:rsidR="00945FB8" w:rsidRPr="001C3B10" w:rsidRDefault="006B750C" w:rsidP="00945FB8">
      <w:pPr>
        <w:ind w:firstLine="0"/>
        <w:jc w:val="center"/>
        <w:rPr>
          <w:b/>
        </w:rPr>
      </w:pPr>
      <w:r>
        <w:rPr>
          <w:b/>
        </w:rPr>
        <w:t>Tabulka 7</w:t>
      </w:r>
    </w:p>
    <w:p w:rsidR="00945FB8" w:rsidRPr="001C3B10" w:rsidRDefault="00945FB8" w:rsidP="00945FB8">
      <w:pPr>
        <w:ind w:firstLine="0"/>
        <w:jc w:val="center"/>
        <w:rPr>
          <w:b/>
        </w:rPr>
      </w:pPr>
      <w:r w:rsidRPr="001C3B10">
        <w:rPr>
          <w:b/>
        </w:rPr>
        <w:t>Kombinace vedoucí k důsledku – minimální řešení</w:t>
      </w:r>
    </w:p>
    <w:tbl>
      <w:tblPr>
        <w:tblStyle w:val="Mkatabulky"/>
        <w:tblW w:w="9175" w:type="dxa"/>
        <w:jc w:val="center"/>
        <w:tblLook w:val="04A0" w:firstRow="1" w:lastRow="0" w:firstColumn="1" w:lastColumn="0" w:noHBand="0" w:noVBand="1"/>
      </w:tblPr>
      <w:tblGrid>
        <w:gridCol w:w="4558"/>
        <w:gridCol w:w="1551"/>
        <w:gridCol w:w="1414"/>
        <w:gridCol w:w="1652"/>
      </w:tblGrid>
      <w:tr w:rsidR="00945FB8" w:rsidRPr="001C3B10" w:rsidTr="00F63C92">
        <w:trPr>
          <w:jc w:val="center"/>
        </w:trPr>
        <w:tc>
          <w:tcPr>
            <w:tcW w:w="4558" w:type="dxa"/>
            <w:tcBorders>
              <w:top w:val="single" w:sz="4" w:space="0" w:color="auto"/>
              <w:left w:val="single" w:sz="4" w:space="0" w:color="auto"/>
              <w:bottom w:val="nil"/>
              <w:right w:val="nil"/>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Kombinace</w:t>
            </w:r>
          </w:p>
        </w:tc>
        <w:tc>
          <w:tcPr>
            <w:tcW w:w="1551" w:type="dxa"/>
            <w:tcBorders>
              <w:top w:val="single" w:sz="4" w:space="0" w:color="auto"/>
              <w:left w:val="nil"/>
              <w:bottom w:val="nil"/>
              <w:right w:val="nil"/>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Konzistence</w:t>
            </w:r>
          </w:p>
        </w:tc>
        <w:tc>
          <w:tcPr>
            <w:tcW w:w="1414" w:type="dxa"/>
            <w:tcBorders>
              <w:top w:val="single" w:sz="4" w:space="0" w:color="auto"/>
              <w:left w:val="nil"/>
              <w:bottom w:val="nil"/>
              <w:right w:val="nil"/>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Hrubé pokrytí</w:t>
            </w:r>
          </w:p>
        </w:tc>
        <w:tc>
          <w:tcPr>
            <w:tcW w:w="1652" w:type="dxa"/>
            <w:tcBorders>
              <w:top w:val="single" w:sz="4" w:space="0" w:color="auto"/>
              <w:left w:val="nil"/>
              <w:bottom w:val="nil"/>
              <w:right w:val="single" w:sz="4" w:space="0" w:color="auto"/>
            </w:tcBorders>
            <w:shd w:val="clear" w:color="auto" w:fill="404040" w:themeFill="text1" w:themeFillTint="BF"/>
          </w:tcPr>
          <w:p w:rsidR="00945FB8" w:rsidRPr="00414BC5" w:rsidRDefault="00945FB8" w:rsidP="00F63C92">
            <w:pPr>
              <w:ind w:firstLine="0"/>
              <w:jc w:val="center"/>
              <w:rPr>
                <w:b/>
                <w:color w:val="FFFFFF" w:themeColor="background1"/>
              </w:rPr>
            </w:pPr>
            <w:r w:rsidRPr="00414BC5">
              <w:rPr>
                <w:b/>
                <w:color w:val="FFFFFF" w:themeColor="background1"/>
              </w:rPr>
              <w:t>Unikátní pokrytí</w:t>
            </w:r>
          </w:p>
        </w:tc>
      </w:tr>
      <w:tr w:rsidR="00945FB8" w:rsidRPr="001C3B10" w:rsidTr="00F63C92">
        <w:trPr>
          <w:jc w:val="center"/>
        </w:trPr>
        <w:tc>
          <w:tcPr>
            <w:tcW w:w="4558" w:type="dxa"/>
            <w:tcBorders>
              <w:top w:val="nil"/>
              <w:left w:val="single" w:sz="4" w:space="0" w:color="auto"/>
              <w:bottom w:val="nil"/>
              <w:right w:val="nil"/>
            </w:tcBorders>
          </w:tcPr>
          <w:p w:rsidR="00945FB8" w:rsidRPr="001C3B10" w:rsidRDefault="00945FB8" w:rsidP="007B5668">
            <w:pPr>
              <w:ind w:firstLine="0"/>
              <w:jc w:val="center"/>
            </w:pPr>
            <w:r w:rsidRPr="001C3B10">
              <w:rPr>
                <w:lang w:val="cs-CZ"/>
              </w:rPr>
              <w:t>Uprchlíci*Demokracie*Obrana*~Populisté</w:t>
            </w:r>
          </w:p>
        </w:tc>
        <w:tc>
          <w:tcPr>
            <w:tcW w:w="1551" w:type="dxa"/>
            <w:tcBorders>
              <w:top w:val="nil"/>
              <w:left w:val="nil"/>
              <w:bottom w:val="nil"/>
              <w:right w:val="nil"/>
            </w:tcBorders>
          </w:tcPr>
          <w:p w:rsidR="00945FB8" w:rsidRPr="001C3B10" w:rsidRDefault="00945FB8" w:rsidP="00F63C92">
            <w:pPr>
              <w:ind w:firstLine="0"/>
              <w:jc w:val="center"/>
            </w:pPr>
            <w:r w:rsidRPr="001C3B10">
              <w:rPr>
                <w:lang w:val="cs-CZ"/>
              </w:rPr>
              <w:t>0.834278</w:t>
            </w:r>
          </w:p>
        </w:tc>
        <w:tc>
          <w:tcPr>
            <w:tcW w:w="1414" w:type="dxa"/>
            <w:tcBorders>
              <w:top w:val="nil"/>
              <w:left w:val="nil"/>
              <w:bottom w:val="nil"/>
              <w:right w:val="nil"/>
            </w:tcBorders>
          </w:tcPr>
          <w:p w:rsidR="00945FB8" w:rsidRPr="001C3B10" w:rsidRDefault="00945FB8" w:rsidP="00F63C92">
            <w:pPr>
              <w:ind w:firstLine="0"/>
              <w:jc w:val="center"/>
            </w:pPr>
            <w:r w:rsidRPr="001C3B10">
              <w:rPr>
                <w:lang w:val="cs-CZ"/>
              </w:rPr>
              <w:t>0.664787</w:t>
            </w:r>
          </w:p>
        </w:tc>
        <w:tc>
          <w:tcPr>
            <w:tcW w:w="1652" w:type="dxa"/>
            <w:tcBorders>
              <w:top w:val="nil"/>
              <w:left w:val="nil"/>
              <w:bottom w:val="nil"/>
              <w:right w:val="single" w:sz="4" w:space="0" w:color="auto"/>
            </w:tcBorders>
          </w:tcPr>
          <w:p w:rsidR="00945FB8" w:rsidRPr="001C3B10" w:rsidRDefault="00945FB8" w:rsidP="00F63C92">
            <w:pPr>
              <w:ind w:firstLine="0"/>
              <w:jc w:val="center"/>
            </w:pPr>
            <w:r w:rsidRPr="001C3B10">
              <w:rPr>
                <w:lang w:val="cs-CZ"/>
              </w:rPr>
              <w:t>0.00112873</w:t>
            </w:r>
          </w:p>
        </w:tc>
      </w:tr>
      <w:tr w:rsidR="00945FB8" w:rsidRPr="001C3B10" w:rsidTr="00F63C92">
        <w:trPr>
          <w:jc w:val="center"/>
        </w:trPr>
        <w:tc>
          <w:tcPr>
            <w:tcW w:w="4558" w:type="dxa"/>
            <w:tcBorders>
              <w:top w:val="nil"/>
              <w:left w:val="single" w:sz="4" w:space="0" w:color="auto"/>
              <w:bottom w:val="nil"/>
              <w:right w:val="nil"/>
            </w:tcBorders>
            <w:shd w:val="clear" w:color="auto" w:fill="D9D9D9" w:themeFill="background1" w:themeFillShade="D9"/>
          </w:tcPr>
          <w:p w:rsidR="00945FB8" w:rsidRPr="001C3B10" w:rsidRDefault="00945FB8" w:rsidP="007B5668">
            <w:pPr>
              <w:ind w:firstLine="0"/>
              <w:jc w:val="center"/>
            </w:pPr>
            <w:r w:rsidRPr="001C3B10">
              <w:rPr>
                <w:lang w:val="cs-CZ"/>
              </w:rPr>
              <w:t>Uprchlíci*Obrana*Vzdálenost*~Populisté</w:t>
            </w:r>
          </w:p>
        </w:tc>
        <w:tc>
          <w:tcPr>
            <w:tcW w:w="1551" w:type="dxa"/>
            <w:tcBorders>
              <w:top w:val="nil"/>
              <w:left w:val="nil"/>
              <w:bottom w:val="nil"/>
              <w:right w:val="nil"/>
            </w:tcBorders>
            <w:shd w:val="clear" w:color="auto" w:fill="D9D9D9" w:themeFill="background1" w:themeFillShade="D9"/>
          </w:tcPr>
          <w:p w:rsidR="00945FB8" w:rsidRPr="001C3B10" w:rsidRDefault="00945FB8" w:rsidP="00F63C92">
            <w:pPr>
              <w:ind w:firstLine="0"/>
              <w:jc w:val="center"/>
            </w:pPr>
            <w:r w:rsidRPr="001C3B10">
              <w:rPr>
                <w:lang w:val="cs-CZ"/>
              </w:rPr>
              <w:t>0.803714</w:t>
            </w:r>
          </w:p>
        </w:tc>
        <w:tc>
          <w:tcPr>
            <w:tcW w:w="1414" w:type="dxa"/>
            <w:tcBorders>
              <w:top w:val="nil"/>
              <w:left w:val="nil"/>
              <w:bottom w:val="nil"/>
              <w:right w:val="nil"/>
            </w:tcBorders>
            <w:shd w:val="clear" w:color="auto" w:fill="D9D9D9" w:themeFill="background1" w:themeFillShade="D9"/>
          </w:tcPr>
          <w:p w:rsidR="00945FB8" w:rsidRPr="001C3B10" w:rsidRDefault="00945FB8" w:rsidP="00F63C92">
            <w:pPr>
              <w:ind w:firstLine="0"/>
              <w:jc w:val="center"/>
            </w:pPr>
            <w:r w:rsidRPr="001C3B10">
              <w:rPr>
                <w:lang w:val="cs-CZ"/>
              </w:rPr>
              <w:t>0.683974</w:t>
            </w:r>
          </w:p>
        </w:tc>
        <w:tc>
          <w:tcPr>
            <w:tcW w:w="1652" w:type="dxa"/>
            <w:tcBorders>
              <w:top w:val="nil"/>
              <w:left w:val="nil"/>
              <w:bottom w:val="nil"/>
              <w:right w:val="single" w:sz="4" w:space="0" w:color="auto"/>
            </w:tcBorders>
            <w:shd w:val="clear" w:color="auto" w:fill="D9D9D9" w:themeFill="background1" w:themeFillShade="D9"/>
          </w:tcPr>
          <w:p w:rsidR="00945FB8" w:rsidRPr="001C3B10" w:rsidRDefault="00945FB8" w:rsidP="00F63C92">
            <w:pPr>
              <w:ind w:firstLine="0"/>
              <w:jc w:val="center"/>
            </w:pPr>
            <w:r w:rsidRPr="001C3B10">
              <w:rPr>
                <w:lang w:val="cs-CZ"/>
              </w:rPr>
              <w:t>0.00677204</w:t>
            </w:r>
          </w:p>
        </w:tc>
      </w:tr>
      <w:tr w:rsidR="00945FB8" w:rsidRPr="001C3B10" w:rsidTr="00F63C92">
        <w:trPr>
          <w:jc w:val="center"/>
        </w:trPr>
        <w:tc>
          <w:tcPr>
            <w:tcW w:w="4558" w:type="dxa"/>
            <w:tcBorders>
              <w:top w:val="nil"/>
              <w:left w:val="single" w:sz="4" w:space="0" w:color="auto"/>
              <w:bottom w:val="nil"/>
              <w:right w:val="nil"/>
            </w:tcBorders>
          </w:tcPr>
          <w:p w:rsidR="00945FB8" w:rsidRPr="001C3B10" w:rsidRDefault="00945FB8" w:rsidP="007B5668">
            <w:pPr>
              <w:ind w:firstLine="0"/>
              <w:jc w:val="center"/>
            </w:pPr>
            <w:r w:rsidRPr="001C3B10">
              <w:rPr>
                <w:lang w:val="cs-CZ"/>
              </w:rPr>
              <w:t>Demokracie*Obrana*Vzdálenost*~Populisté</w:t>
            </w:r>
          </w:p>
        </w:tc>
        <w:tc>
          <w:tcPr>
            <w:tcW w:w="1551" w:type="dxa"/>
            <w:tcBorders>
              <w:top w:val="nil"/>
              <w:left w:val="nil"/>
              <w:bottom w:val="nil"/>
              <w:right w:val="nil"/>
            </w:tcBorders>
          </w:tcPr>
          <w:p w:rsidR="00945FB8" w:rsidRPr="001C3B10" w:rsidRDefault="00945FB8" w:rsidP="007B5668">
            <w:pPr>
              <w:ind w:firstLine="0"/>
              <w:jc w:val="center"/>
            </w:pPr>
            <w:r w:rsidRPr="001C3B10">
              <w:rPr>
                <w:lang w:val="cs-CZ"/>
              </w:rPr>
              <w:t>0.842759</w:t>
            </w:r>
          </w:p>
        </w:tc>
        <w:tc>
          <w:tcPr>
            <w:tcW w:w="1414" w:type="dxa"/>
            <w:tcBorders>
              <w:top w:val="nil"/>
              <w:left w:val="nil"/>
              <w:bottom w:val="nil"/>
              <w:right w:val="nil"/>
            </w:tcBorders>
          </w:tcPr>
          <w:p w:rsidR="00945FB8" w:rsidRPr="001C3B10" w:rsidRDefault="00945FB8" w:rsidP="00F63C92">
            <w:pPr>
              <w:ind w:firstLine="0"/>
              <w:jc w:val="center"/>
            </w:pPr>
            <w:r w:rsidRPr="001C3B10">
              <w:rPr>
                <w:lang w:val="cs-CZ"/>
              </w:rPr>
              <w:t>0.689617</w:t>
            </w:r>
          </w:p>
        </w:tc>
        <w:tc>
          <w:tcPr>
            <w:tcW w:w="1652" w:type="dxa"/>
            <w:tcBorders>
              <w:top w:val="nil"/>
              <w:left w:val="nil"/>
              <w:bottom w:val="nil"/>
              <w:right w:val="single" w:sz="4" w:space="0" w:color="auto"/>
            </w:tcBorders>
          </w:tcPr>
          <w:p w:rsidR="00945FB8" w:rsidRPr="001C3B10" w:rsidRDefault="00945FB8" w:rsidP="00F63C92">
            <w:pPr>
              <w:ind w:firstLine="0"/>
              <w:jc w:val="center"/>
            </w:pPr>
            <w:r w:rsidRPr="001C3B10">
              <w:t>0</w:t>
            </w:r>
          </w:p>
        </w:tc>
      </w:tr>
      <w:tr w:rsidR="00945FB8" w:rsidRPr="001C3B10" w:rsidTr="00F63C92">
        <w:trPr>
          <w:jc w:val="center"/>
        </w:trPr>
        <w:tc>
          <w:tcPr>
            <w:tcW w:w="4558" w:type="dxa"/>
            <w:tcBorders>
              <w:top w:val="nil"/>
              <w:left w:val="single" w:sz="4" w:space="0" w:color="auto"/>
              <w:bottom w:val="nil"/>
              <w:right w:val="nil"/>
            </w:tcBorders>
            <w:shd w:val="clear" w:color="auto" w:fill="D9D9D9" w:themeFill="background1" w:themeFillShade="D9"/>
          </w:tcPr>
          <w:p w:rsidR="00945FB8" w:rsidRPr="001C3B10" w:rsidRDefault="00945FB8" w:rsidP="007B5668">
            <w:pPr>
              <w:ind w:firstLine="0"/>
              <w:jc w:val="center"/>
            </w:pPr>
            <w:r w:rsidRPr="001C3B10">
              <w:rPr>
                <w:lang w:val="cs-CZ"/>
              </w:rPr>
              <w:t>Demokracie*Obrana*Export*~Populisté</w:t>
            </w:r>
          </w:p>
        </w:tc>
        <w:tc>
          <w:tcPr>
            <w:tcW w:w="1551" w:type="dxa"/>
            <w:tcBorders>
              <w:top w:val="nil"/>
              <w:left w:val="nil"/>
              <w:bottom w:val="nil"/>
              <w:right w:val="nil"/>
            </w:tcBorders>
            <w:shd w:val="clear" w:color="auto" w:fill="D9D9D9" w:themeFill="background1" w:themeFillShade="D9"/>
          </w:tcPr>
          <w:p w:rsidR="00945FB8" w:rsidRPr="001C3B10" w:rsidRDefault="00945FB8" w:rsidP="00F63C92">
            <w:pPr>
              <w:ind w:firstLine="0"/>
              <w:jc w:val="center"/>
              <w:rPr>
                <w:lang w:val="cs-CZ"/>
              </w:rPr>
            </w:pPr>
            <w:r w:rsidRPr="001C3B10">
              <w:rPr>
                <w:lang w:val="cs-CZ"/>
              </w:rPr>
              <w:t>0.834512</w:t>
            </w:r>
          </w:p>
        </w:tc>
        <w:tc>
          <w:tcPr>
            <w:tcW w:w="1414" w:type="dxa"/>
            <w:tcBorders>
              <w:top w:val="nil"/>
              <w:left w:val="nil"/>
              <w:bottom w:val="nil"/>
              <w:right w:val="nil"/>
            </w:tcBorders>
            <w:shd w:val="clear" w:color="auto" w:fill="D9D9D9" w:themeFill="background1" w:themeFillShade="D9"/>
          </w:tcPr>
          <w:p w:rsidR="00945FB8" w:rsidRPr="001C3B10" w:rsidRDefault="00945FB8" w:rsidP="00F63C92">
            <w:pPr>
              <w:ind w:firstLine="0"/>
              <w:jc w:val="center"/>
              <w:rPr>
                <w:lang w:val="cs-CZ"/>
              </w:rPr>
            </w:pPr>
            <w:r w:rsidRPr="001C3B10">
              <w:rPr>
                <w:lang w:val="cs-CZ"/>
              </w:rPr>
              <w:t>0.665915</w:t>
            </w:r>
          </w:p>
        </w:tc>
        <w:tc>
          <w:tcPr>
            <w:tcW w:w="1652" w:type="dxa"/>
            <w:tcBorders>
              <w:top w:val="nil"/>
              <w:left w:val="nil"/>
              <w:bottom w:val="nil"/>
              <w:right w:val="single" w:sz="4" w:space="0" w:color="auto"/>
            </w:tcBorders>
            <w:shd w:val="clear" w:color="auto" w:fill="D9D9D9" w:themeFill="background1" w:themeFillShade="D9"/>
          </w:tcPr>
          <w:p w:rsidR="00945FB8" w:rsidRPr="001C3B10" w:rsidRDefault="00945FB8" w:rsidP="00F63C92">
            <w:pPr>
              <w:ind w:firstLine="0"/>
              <w:jc w:val="center"/>
            </w:pPr>
            <w:r w:rsidRPr="001C3B10">
              <w:t>0</w:t>
            </w:r>
          </w:p>
        </w:tc>
      </w:tr>
      <w:tr w:rsidR="00945FB8" w:rsidRPr="001C3B10" w:rsidTr="00F63C92">
        <w:trPr>
          <w:jc w:val="center"/>
        </w:trPr>
        <w:tc>
          <w:tcPr>
            <w:tcW w:w="4558" w:type="dxa"/>
            <w:tcBorders>
              <w:top w:val="nil"/>
              <w:left w:val="single" w:sz="4" w:space="0" w:color="auto"/>
              <w:bottom w:val="single" w:sz="4" w:space="0" w:color="auto"/>
              <w:right w:val="nil"/>
            </w:tcBorders>
          </w:tcPr>
          <w:p w:rsidR="00945FB8" w:rsidRPr="001C3B10" w:rsidRDefault="00945FB8" w:rsidP="007B5668">
            <w:pPr>
              <w:ind w:firstLine="0"/>
              <w:jc w:val="center"/>
              <w:rPr>
                <w:lang w:val="cs-CZ"/>
              </w:rPr>
            </w:pPr>
            <w:r w:rsidRPr="001C3B10">
              <w:rPr>
                <w:lang w:val="cs-CZ"/>
              </w:rPr>
              <w:t>Obrana*Vzdálenost*Export*~Populisté</w:t>
            </w:r>
          </w:p>
        </w:tc>
        <w:tc>
          <w:tcPr>
            <w:tcW w:w="1551" w:type="dxa"/>
            <w:tcBorders>
              <w:top w:val="nil"/>
              <w:left w:val="nil"/>
              <w:bottom w:val="single" w:sz="4" w:space="0" w:color="auto"/>
              <w:right w:val="nil"/>
            </w:tcBorders>
          </w:tcPr>
          <w:p w:rsidR="00945FB8" w:rsidRPr="001C3B10" w:rsidRDefault="00945FB8" w:rsidP="00F63C92">
            <w:pPr>
              <w:ind w:firstLine="0"/>
              <w:jc w:val="center"/>
              <w:rPr>
                <w:lang w:val="cs-CZ"/>
              </w:rPr>
            </w:pPr>
            <w:r w:rsidRPr="001C3B10">
              <w:rPr>
                <w:lang w:val="cs-CZ"/>
              </w:rPr>
              <w:t>0.750623</w:t>
            </w:r>
          </w:p>
        </w:tc>
        <w:tc>
          <w:tcPr>
            <w:tcW w:w="1414" w:type="dxa"/>
            <w:tcBorders>
              <w:top w:val="nil"/>
              <w:left w:val="nil"/>
              <w:bottom w:val="single" w:sz="4" w:space="0" w:color="auto"/>
              <w:right w:val="nil"/>
            </w:tcBorders>
          </w:tcPr>
          <w:p w:rsidR="00945FB8" w:rsidRPr="001C3B10" w:rsidRDefault="00945FB8" w:rsidP="00F63C92">
            <w:pPr>
              <w:ind w:firstLine="0"/>
              <w:jc w:val="center"/>
              <w:rPr>
                <w:lang w:val="cs-CZ"/>
              </w:rPr>
            </w:pPr>
            <w:r w:rsidRPr="001C3B10">
              <w:rPr>
                <w:lang w:val="cs-CZ"/>
              </w:rPr>
              <w:t>0.679459</w:t>
            </w:r>
          </w:p>
        </w:tc>
        <w:tc>
          <w:tcPr>
            <w:tcW w:w="1652" w:type="dxa"/>
            <w:tcBorders>
              <w:top w:val="nil"/>
              <w:left w:val="nil"/>
              <w:bottom w:val="single" w:sz="4" w:space="0" w:color="auto"/>
              <w:right w:val="single" w:sz="4" w:space="0" w:color="auto"/>
            </w:tcBorders>
          </w:tcPr>
          <w:p w:rsidR="00945FB8" w:rsidRPr="001C3B10" w:rsidRDefault="00945FB8" w:rsidP="00F63C92">
            <w:pPr>
              <w:ind w:firstLine="0"/>
              <w:jc w:val="center"/>
            </w:pPr>
            <w:r w:rsidRPr="001C3B10">
              <w:t>0</w:t>
            </w:r>
          </w:p>
        </w:tc>
      </w:tr>
      <w:tr w:rsidR="00F8167F" w:rsidRPr="001C3B10" w:rsidTr="00F63C92">
        <w:trPr>
          <w:gridAfter w:val="2"/>
          <w:wAfter w:w="3066" w:type="dxa"/>
          <w:jc w:val="center"/>
        </w:trPr>
        <w:tc>
          <w:tcPr>
            <w:tcW w:w="4558" w:type="dxa"/>
            <w:tcBorders>
              <w:top w:val="nil"/>
              <w:left w:val="single" w:sz="4" w:space="0" w:color="auto"/>
              <w:bottom w:val="nil"/>
              <w:right w:val="nil"/>
            </w:tcBorders>
            <w:shd w:val="clear" w:color="auto" w:fill="D9D9D9" w:themeFill="background1" w:themeFillShade="D9"/>
          </w:tcPr>
          <w:p w:rsidR="00F8167F" w:rsidRPr="001C3B10" w:rsidRDefault="00F8167F" w:rsidP="00F8167F">
            <w:pPr>
              <w:ind w:firstLine="0"/>
              <w:jc w:val="left"/>
            </w:pPr>
            <w:r w:rsidRPr="001C3B10">
              <w:t>Hranice počtu případů</w:t>
            </w:r>
          </w:p>
        </w:tc>
        <w:tc>
          <w:tcPr>
            <w:tcW w:w="1551" w:type="dxa"/>
            <w:tcBorders>
              <w:top w:val="nil"/>
              <w:left w:val="nil"/>
              <w:bottom w:val="nil"/>
              <w:right w:val="single" w:sz="4" w:space="0" w:color="auto"/>
            </w:tcBorders>
            <w:shd w:val="clear" w:color="auto" w:fill="D9D9D9" w:themeFill="background1" w:themeFillShade="D9"/>
          </w:tcPr>
          <w:p w:rsidR="00F8167F" w:rsidRPr="001C3B10" w:rsidRDefault="00F8167F" w:rsidP="00F8167F">
            <w:pPr>
              <w:ind w:firstLine="0"/>
              <w:jc w:val="center"/>
              <w:rPr>
                <w:lang w:val="cs-CZ"/>
              </w:rPr>
            </w:pPr>
            <w:r w:rsidRPr="001C3B10">
              <w:rPr>
                <w:lang w:val="cs-CZ"/>
              </w:rPr>
              <w:t>1</w:t>
            </w:r>
          </w:p>
        </w:tc>
      </w:tr>
      <w:tr w:rsidR="00F8167F" w:rsidRPr="001C3B10" w:rsidTr="00F63C92">
        <w:trPr>
          <w:gridAfter w:val="2"/>
          <w:wAfter w:w="3066" w:type="dxa"/>
          <w:jc w:val="center"/>
        </w:trPr>
        <w:tc>
          <w:tcPr>
            <w:tcW w:w="4558" w:type="dxa"/>
            <w:tcBorders>
              <w:top w:val="nil"/>
              <w:left w:val="single" w:sz="4" w:space="0" w:color="auto"/>
              <w:bottom w:val="nil"/>
              <w:right w:val="nil"/>
            </w:tcBorders>
          </w:tcPr>
          <w:p w:rsidR="00F8167F" w:rsidRPr="001C3B10" w:rsidRDefault="00F8167F" w:rsidP="00F8167F">
            <w:pPr>
              <w:ind w:firstLine="0"/>
              <w:jc w:val="left"/>
            </w:pPr>
            <w:r w:rsidRPr="001C3B10">
              <w:rPr>
                <w:lang w:val="cs-CZ"/>
              </w:rPr>
              <w:t>Hranice konzistence</w:t>
            </w:r>
          </w:p>
        </w:tc>
        <w:tc>
          <w:tcPr>
            <w:tcW w:w="1551" w:type="dxa"/>
            <w:tcBorders>
              <w:top w:val="nil"/>
              <w:left w:val="nil"/>
              <w:bottom w:val="nil"/>
              <w:right w:val="single" w:sz="4" w:space="0" w:color="auto"/>
            </w:tcBorders>
          </w:tcPr>
          <w:p w:rsidR="00F8167F" w:rsidRPr="001C3B10" w:rsidRDefault="00F8167F" w:rsidP="00F8167F">
            <w:pPr>
              <w:ind w:firstLine="0"/>
              <w:jc w:val="center"/>
              <w:rPr>
                <w:lang w:val="cs-CZ"/>
              </w:rPr>
            </w:pPr>
            <w:r w:rsidRPr="001C3B10">
              <w:t>0.905797</w:t>
            </w:r>
          </w:p>
        </w:tc>
      </w:tr>
      <w:tr w:rsidR="00F8167F" w:rsidRPr="001C3B10" w:rsidTr="00F63C92">
        <w:trPr>
          <w:gridAfter w:val="2"/>
          <w:wAfter w:w="3066" w:type="dxa"/>
          <w:jc w:val="center"/>
        </w:trPr>
        <w:tc>
          <w:tcPr>
            <w:tcW w:w="4558" w:type="dxa"/>
            <w:tcBorders>
              <w:top w:val="nil"/>
              <w:left w:val="single" w:sz="4" w:space="0" w:color="auto"/>
              <w:bottom w:val="nil"/>
              <w:right w:val="nil"/>
            </w:tcBorders>
            <w:shd w:val="clear" w:color="auto" w:fill="D9D9D9" w:themeFill="background1" w:themeFillShade="D9"/>
          </w:tcPr>
          <w:p w:rsidR="00F8167F" w:rsidRPr="001C3B10" w:rsidRDefault="00F8167F" w:rsidP="00F8167F">
            <w:pPr>
              <w:ind w:firstLine="0"/>
              <w:jc w:val="left"/>
            </w:pPr>
            <w:r w:rsidRPr="001C3B10">
              <w:t>Pokrytí řešení</w:t>
            </w:r>
          </w:p>
        </w:tc>
        <w:tc>
          <w:tcPr>
            <w:tcW w:w="1551" w:type="dxa"/>
            <w:tcBorders>
              <w:top w:val="nil"/>
              <w:left w:val="nil"/>
              <w:bottom w:val="nil"/>
              <w:right w:val="single" w:sz="4" w:space="0" w:color="auto"/>
            </w:tcBorders>
            <w:shd w:val="clear" w:color="auto" w:fill="D9D9D9" w:themeFill="background1" w:themeFillShade="D9"/>
          </w:tcPr>
          <w:p w:rsidR="00F8167F" w:rsidRPr="001C3B10" w:rsidRDefault="00F8167F" w:rsidP="00F8167F">
            <w:pPr>
              <w:ind w:firstLine="0"/>
              <w:jc w:val="center"/>
              <w:rPr>
                <w:lang w:val="cs-CZ"/>
              </w:rPr>
            </w:pPr>
            <w:r w:rsidRPr="001C3B10">
              <w:t>0.717834</w:t>
            </w:r>
          </w:p>
        </w:tc>
      </w:tr>
      <w:tr w:rsidR="00F8167F" w:rsidRPr="001C3B10" w:rsidTr="00F63C92">
        <w:trPr>
          <w:gridAfter w:val="2"/>
          <w:wAfter w:w="3066" w:type="dxa"/>
          <w:jc w:val="center"/>
        </w:trPr>
        <w:tc>
          <w:tcPr>
            <w:tcW w:w="4558" w:type="dxa"/>
            <w:tcBorders>
              <w:top w:val="nil"/>
              <w:left w:val="single" w:sz="4" w:space="0" w:color="auto"/>
              <w:bottom w:val="single" w:sz="4" w:space="0" w:color="auto"/>
              <w:right w:val="nil"/>
            </w:tcBorders>
          </w:tcPr>
          <w:p w:rsidR="00F8167F" w:rsidRPr="001C3B10" w:rsidRDefault="00F8167F" w:rsidP="00F8167F">
            <w:pPr>
              <w:ind w:firstLine="0"/>
              <w:jc w:val="left"/>
              <w:rPr>
                <w:lang w:val="cs-CZ"/>
              </w:rPr>
            </w:pPr>
            <w:r w:rsidRPr="001C3B10">
              <w:rPr>
                <w:lang w:val="cs-CZ"/>
              </w:rPr>
              <w:t>Konzistence řešení</w:t>
            </w:r>
          </w:p>
        </w:tc>
        <w:tc>
          <w:tcPr>
            <w:tcW w:w="1551" w:type="dxa"/>
            <w:tcBorders>
              <w:top w:val="nil"/>
              <w:left w:val="nil"/>
              <w:bottom w:val="single" w:sz="4" w:space="0" w:color="auto"/>
              <w:right w:val="single" w:sz="4" w:space="0" w:color="auto"/>
            </w:tcBorders>
          </w:tcPr>
          <w:p w:rsidR="00F8167F" w:rsidRPr="001C3B10" w:rsidRDefault="00F8167F" w:rsidP="00F8167F">
            <w:pPr>
              <w:ind w:firstLine="0"/>
              <w:jc w:val="center"/>
              <w:rPr>
                <w:lang w:val="cs-CZ"/>
              </w:rPr>
            </w:pPr>
            <w:r w:rsidRPr="001C3B10">
              <w:t>0.700441</w:t>
            </w:r>
          </w:p>
        </w:tc>
      </w:tr>
    </w:tbl>
    <w:p w:rsidR="00945FB8" w:rsidRDefault="00945FB8" w:rsidP="00945FB8">
      <w:pPr>
        <w:ind w:firstLine="0"/>
        <w:jc w:val="left"/>
      </w:pPr>
      <w:r>
        <w:t>Tabulka</w:t>
      </w:r>
      <w:r w:rsidR="00C80817">
        <w:t xml:space="preserve"> 7</w:t>
      </w:r>
      <w:r>
        <w:t>: autor</w:t>
      </w:r>
    </w:p>
    <w:p w:rsidR="00FB66D7" w:rsidRPr="00CB718E" w:rsidRDefault="006D28A4" w:rsidP="004A418F">
      <w:pPr>
        <w:pStyle w:val="Bezmezer"/>
        <w:spacing w:before="240" w:after="240" w:line="360" w:lineRule="auto"/>
        <w:ind w:firstLine="708"/>
      </w:pPr>
      <w:r w:rsidRPr="00CB718E">
        <w:t>Logická minimalizace</w:t>
      </w:r>
      <w:r w:rsidR="00B46291" w:rsidRPr="00CB718E">
        <w:t xml:space="preserve"> je provedena</w:t>
      </w:r>
      <w:r w:rsidRPr="00CB718E">
        <w:t>, pokud se některé z </w:t>
      </w:r>
      <w:r w:rsidR="00CA120C" w:rsidRPr="00CB718E">
        <w:t>kombinací</w:t>
      </w:r>
      <w:r w:rsidRPr="00CB718E">
        <w:t xml:space="preserve"> liší</w:t>
      </w:r>
      <w:r w:rsidR="00CA120C" w:rsidRPr="00CB718E">
        <w:t xml:space="preserve"> v některém z faktorů, ale neodlišují se </w:t>
      </w:r>
      <w:r w:rsidR="00583001" w:rsidRPr="00CB718E">
        <w:t>v důsledku</w:t>
      </w:r>
      <w:r w:rsidR="00CA120C" w:rsidRPr="00CB718E">
        <w:t>. To znamená, že tento faktor je irelevantní a může být vypuštěn.</w:t>
      </w:r>
      <w:r w:rsidR="004A418F" w:rsidRPr="00CB718E">
        <w:t xml:space="preserve"> Příklad, který uvádí Oana et al. (2021: 112): </w:t>
      </w:r>
      <w:r w:rsidR="004A418F" w:rsidRPr="00CB718E">
        <w:rPr>
          <w:i/>
        </w:rPr>
        <w:t>„Uvažujme dva primitivní výrazy XAC a XA</w:t>
      </w:r>
      <w:r w:rsidR="004A418F" w:rsidRPr="00CB718E">
        <w:rPr>
          <w:rFonts w:ascii="Cambria Math" w:hAnsi="Cambria Math" w:cs="Cambria Math"/>
          <w:i/>
        </w:rPr>
        <w:t>∼</w:t>
      </w:r>
      <w:r w:rsidR="004A418F" w:rsidRPr="00CB718E">
        <w:rPr>
          <w:i/>
        </w:rPr>
        <w:t>C. Oba vedou k důsledku Y a jsou navzájem totožné s výjimkou hodnoty C. V jednom výrazu je C přítomno a ve druhém absentuje (~C). To znamená, že pokud jsou případy členy</w:t>
      </w:r>
      <w:r w:rsidR="004A418F" w:rsidRPr="00F63C92">
        <w:rPr>
          <w:i/>
        </w:rPr>
        <w:t xml:space="preserve"> </w:t>
      </w:r>
      <w:r w:rsidR="004A418F" w:rsidRPr="00CB718E">
        <w:rPr>
          <w:i/>
        </w:rPr>
        <w:lastRenderedPageBreak/>
        <w:t>XA, jejich členství v podmínce C je pro vysvětlení výsledku irelevantní. Můžeme tedy logicky minimalizovat XAC + XA</w:t>
      </w:r>
      <w:r w:rsidR="004A418F" w:rsidRPr="00CB718E">
        <w:rPr>
          <w:rFonts w:ascii="Cambria Math" w:hAnsi="Cambria Math" w:cs="Cambria Math"/>
          <w:i/>
        </w:rPr>
        <w:t>∼</w:t>
      </w:r>
      <w:r w:rsidR="004A418F" w:rsidRPr="00CB718E">
        <w:rPr>
          <w:i/>
        </w:rPr>
        <w:t>C → Y na XA → Y. Podobně můžeme minimalizovat XA</w:t>
      </w:r>
      <w:r w:rsidR="004A418F" w:rsidRPr="00CB718E">
        <w:rPr>
          <w:rFonts w:ascii="Cambria Math" w:hAnsi="Cambria Math" w:cs="Cambria Math"/>
          <w:i/>
        </w:rPr>
        <w:t>∼</w:t>
      </w:r>
      <w:r w:rsidR="004A418F" w:rsidRPr="00CB718E">
        <w:rPr>
          <w:i/>
        </w:rPr>
        <w:t>C + X</w:t>
      </w:r>
      <w:r w:rsidR="004A418F" w:rsidRPr="00CB718E">
        <w:rPr>
          <w:rFonts w:ascii="Cambria Math" w:hAnsi="Cambria Math" w:cs="Cambria Math"/>
          <w:i/>
        </w:rPr>
        <w:t>∼</w:t>
      </w:r>
      <w:r w:rsidR="004A418F" w:rsidRPr="00CB718E">
        <w:rPr>
          <w:i/>
        </w:rPr>
        <w:t>A</w:t>
      </w:r>
      <w:r w:rsidR="004A418F" w:rsidRPr="00CB718E">
        <w:rPr>
          <w:rFonts w:ascii="Cambria Math" w:hAnsi="Cambria Math" w:cs="Cambria Math"/>
          <w:i/>
        </w:rPr>
        <w:t>∼</w:t>
      </w:r>
      <w:r w:rsidR="004A418F" w:rsidRPr="00CB718E">
        <w:rPr>
          <w:i/>
        </w:rPr>
        <w:t>C → Y na X</w:t>
      </w:r>
      <w:r w:rsidR="004A418F" w:rsidRPr="00CB718E">
        <w:rPr>
          <w:rFonts w:ascii="Cambria Math" w:hAnsi="Cambria Math" w:cs="Cambria Math"/>
          <w:i/>
        </w:rPr>
        <w:t>∼</w:t>
      </w:r>
      <w:r w:rsidR="004A418F" w:rsidRPr="00CB718E">
        <w:rPr>
          <w:i/>
        </w:rPr>
        <w:t>C → Y. Podle stejné logiky můžeme také shrnout první a druhý primitivní výraz jako AC → Y. Identifikovali jsme všechna prvočísla. XA+X</w:t>
      </w:r>
      <w:r w:rsidR="004A418F" w:rsidRPr="00CB718E">
        <w:rPr>
          <w:rFonts w:ascii="Cambria Math" w:hAnsi="Cambria Math" w:cs="Cambria Math"/>
          <w:i/>
        </w:rPr>
        <w:t>∼</w:t>
      </w:r>
      <w:r w:rsidR="004A418F" w:rsidRPr="00CB718E">
        <w:rPr>
          <w:i/>
        </w:rPr>
        <w:t>C +AC → Y.“</w:t>
      </w:r>
      <w:r w:rsidR="00D850F9" w:rsidRPr="00CB718E">
        <w:t xml:space="preserve"> </w:t>
      </w:r>
      <w:r w:rsidR="004F4CA3" w:rsidRPr="00CB718E">
        <w:t>V mém mo</w:t>
      </w:r>
      <w:r w:rsidR="00672BF5" w:rsidRPr="00CB718E">
        <w:t>delu to z</w:t>
      </w:r>
      <w:r w:rsidR="009E117D" w:rsidRPr="00CB718E">
        <w:t>namená</w:t>
      </w:r>
      <w:r w:rsidR="001167A3" w:rsidRPr="00CB718E">
        <w:t>, že po</w:t>
      </w:r>
      <w:r w:rsidR="009E117D" w:rsidRPr="00CB718E">
        <w:t xml:space="preserve"> </w:t>
      </w:r>
      <w:r w:rsidR="0018234E" w:rsidRPr="00CB718E">
        <w:t>prov</w:t>
      </w:r>
      <w:r w:rsidR="001167A3" w:rsidRPr="00CB718E">
        <w:t>edení logické minimalizace</w:t>
      </w:r>
      <w:r w:rsidR="004906DD" w:rsidRPr="00CB718E">
        <w:t xml:space="preserve"> </w:t>
      </w:r>
      <w:r w:rsidR="00BA666F" w:rsidRPr="00CB718E">
        <w:t>byly odstraněny</w:t>
      </w:r>
      <w:r w:rsidR="004906DD" w:rsidRPr="00CB718E">
        <w:t xml:space="preserve"> fakt</w:t>
      </w:r>
      <w:r w:rsidR="0018234E" w:rsidRPr="00CB718E">
        <w:t>o</w:t>
      </w:r>
      <w:r w:rsidR="004906DD" w:rsidRPr="00CB718E">
        <w:t xml:space="preserve">ry </w:t>
      </w:r>
      <w:r w:rsidR="0018234E" w:rsidRPr="00CB718E">
        <w:rPr>
          <w:i/>
        </w:rPr>
        <w:t>„</w:t>
      </w:r>
      <w:r w:rsidR="004906DD" w:rsidRPr="00CB718E">
        <w:rPr>
          <w:i/>
        </w:rPr>
        <w:t>Plyn</w:t>
      </w:r>
      <w:r w:rsidR="0018234E" w:rsidRPr="00CB718E">
        <w:rPr>
          <w:i/>
        </w:rPr>
        <w:t>“</w:t>
      </w:r>
      <w:r w:rsidR="004906DD" w:rsidRPr="00CB718E">
        <w:t xml:space="preserve"> a </w:t>
      </w:r>
      <w:r w:rsidR="0018234E" w:rsidRPr="00CB718E">
        <w:rPr>
          <w:i/>
        </w:rPr>
        <w:t>„</w:t>
      </w:r>
      <w:r w:rsidR="004906DD" w:rsidRPr="00CB718E">
        <w:rPr>
          <w:i/>
        </w:rPr>
        <w:t>Evropa</w:t>
      </w:r>
      <w:r w:rsidR="0018234E" w:rsidRPr="00CB718E">
        <w:rPr>
          <w:i/>
        </w:rPr>
        <w:t>“</w:t>
      </w:r>
      <w:r w:rsidR="0018234E" w:rsidRPr="00CB718E">
        <w:t>.</w:t>
      </w:r>
      <w:r w:rsidR="00AB589B" w:rsidRPr="00CB718E">
        <w:t xml:space="preserve"> </w:t>
      </w:r>
      <w:r w:rsidR="00583001" w:rsidRPr="00CB718E">
        <w:t>S</w:t>
      </w:r>
      <w:r w:rsidR="00AB589B" w:rsidRPr="00CB718E">
        <w:t>oučástí tohoto modelu</w:t>
      </w:r>
      <w:r w:rsidR="00583001" w:rsidRPr="00CB718E">
        <w:t xml:space="preserve"> jsou čtyři pozorované případy</w:t>
      </w:r>
      <w:r w:rsidR="00AB589B" w:rsidRPr="00CB718E">
        <w:t xml:space="preserve">, a to Litva, Lotyšsko, Finsko a Estonsko. Jde o případy, které dosahují nadpoloviční hodnoty v množině </w:t>
      </w:r>
      <w:r w:rsidR="00AB589B" w:rsidRPr="00CB718E">
        <w:rPr>
          <w:i/>
        </w:rPr>
        <w:t>„Severní Balt“</w:t>
      </w:r>
      <w:r w:rsidR="00AB589B" w:rsidRPr="00CB718E">
        <w:t>, což je označení množiny po logické minimalizaci, která vypadá následovně (viz Obrázek 4</w:t>
      </w:r>
      <w:r w:rsidR="00216A5E">
        <w:t>; Tabulka 4</w:t>
      </w:r>
      <w:r w:rsidR="00AB589B" w:rsidRPr="00CB718E">
        <w:t xml:space="preserve">): </w:t>
      </w:r>
      <w:r w:rsidR="00AB589B" w:rsidRPr="00CB718E">
        <w:rPr>
          <w:i/>
        </w:rPr>
        <w:t>Uprchlíci * Demokracie * Obrana * Vzdálenost * Export * ~Populisté</w:t>
      </w:r>
      <w:r w:rsidR="00AB589B" w:rsidRPr="00CB718E">
        <w:t>. Tato množina dosahuje konzistence 0.88, čili 88 % případů odpovídá této kombinaci, zbylých 12 % se od ní odchyluje. Hrubé a unikátní pokrytí má shodné hodnoty, a to sice 0,63. Z toho vyplývá, že množina „Severní Balt“ nám vysvětlí 63 % případů důsledku – podporu Ukrajině.</w:t>
      </w:r>
    </w:p>
    <w:p w:rsidR="009763FD" w:rsidRPr="00C1104E" w:rsidRDefault="009763FD" w:rsidP="004A418F">
      <w:pPr>
        <w:pStyle w:val="Bezmezer"/>
        <w:spacing w:before="240" w:after="240" w:line="360" w:lineRule="auto"/>
        <w:ind w:firstLine="708"/>
      </w:pPr>
    </w:p>
    <w:p w:rsidR="00AB589B" w:rsidRPr="00290319" w:rsidRDefault="00AB589B" w:rsidP="004A418F">
      <w:pPr>
        <w:pStyle w:val="Bezmezer"/>
        <w:spacing w:line="360" w:lineRule="auto"/>
        <w:ind w:firstLine="0"/>
        <w:jc w:val="center"/>
        <w:rPr>
          <w:b/>
        </w:rPr>
      </w:pPr>
      <w:r w:rsidRPr="00290319">
        <w:rPr>
          <w:b/>
        </w:rPr>
        <w:t>Obrázek 4</w:t>
      </w:r>
    </w:p>
    <w:p w:rsidR="009E117D" w:rsidRPr="00290319" w:rsidRDefault="001167A3" w:rsidP="004A418F">
      <w:pPr>
        <w:ind w:firstLine="0"/>
        <w:jc w:val="center"/>
        <w:rPr>
          <w:b/>
        </w:rPr>
      </w:pPr>
      <w:r w:rsidRPr="00290319">
        <w:rPr>
          <w:b/>
          <w:noProof/>
          <w:lang w:val="cs-CZ"/>
        </w:rPr>
        <mc:AlternateContent>
          <mc:Choice Requires="wps">
            <w:drawing>
              <wp:anchor distT="0" distB="0" distL="114300" distR="114300" simplePos="0" relativeHeight="251667968" behindDoc="0" locked="0" layoutInCell="1" allowOverlap="1">
                <wp:simplePos x="0" y="0"/>
                <wp:positionH relativeFrom="column">
                  <wp:posOffset>3422650</wp:posOffset>
                </wp:positionH>
                <wp:positionV relativeFrom="paragraph">
                  <wp:posOffset>1991774</wp:posOffset>
                </wp:positionV>
                <wp:extent cx="397510" cy="278130"/>
                <wp:effectExtent l="0" t="19050" r="40640" b="45720"/>
                <wp:wrapNone/>
                <wp:docPr id="4" name="Šipka doprava 4"/>
                <wp:cNvGraphicFramePr/>
                <a:graphic xmlns:a="http://schemas.openxmlformats.org/drawingml/2006/main">
                  <a:graphicData uri="http://schemas.microsoft.com/office/word/2010/wordprocessingShape">
                    <wps:wsp>
                      <wps:cNvSpPr/>
                      <wps:spPr>
                        <a:xfrm>
                          <a:off x="0" y="0"/>
                          <a:ext cx="397510" cy="278130"/>
                        </a:xfrm>
                        <a:prstGeom prst="right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331B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 o:spid="_x0000_s1026" type="#_x0000_t13" style="position:absolute;margin-left:269.5pt;margin-top:156.85pt;width:31.3pt;height:21.9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" adj="14043" fillcolor="#aaa [3030]" strokecolor="#a5a5a5 [3206]" strokeweight=".5pt">
                <v:fill color2="#a3a3a3 [3174]" rotate="t" colors="0 #afafaf;.5 #a5a5a5;1 #929292" focus="100%" type="gradient">
                  <o:fill v:ext="view" type="gradientUnscaled"/>
                </v:fill>
              </v:shape>
            </w:pict>
          </mc:Fallback>
        </mc:AlternateContent>
      </w:r>
      <w:r w:rsidRPr="00290319">
        <w:rPr>
          <w:b/>
          <w:noProof/>
          <w:lang w:val="cs-CZ"/>
        </w:rPr>
        <w:drawing>
          <wp:anchor distT="0" distB="0" distL="114300" distR="114300" simplePos="0" relativeHeight="251665407" behindDoc="1" locked="0" layoutInCell="1" allowOverlap="1" wp14:anchorId="19D827C3" wp14:editId="147A1F09">
            <wp:simplePos x="0" y="0"/>
            <wp:positionH relativeFrom="margin">
              <wp:align>right</wp:align>
            </wp:positionH>
            <wp:positionV relativeFrom="paragraph">
              <wp:posOffset>330973</wp:posOffset>
            </wp:positionV>
            <wp:extent cx="5754370" cy="3627755"/>
            <wp:effectExtent l="0" t="19050" r="0" b="48895"/>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00AB589B" w:rsidRPr="00290319">
        <w:rPr>
          <w:b/>
        </w:rPr>
        <w:t>Vysvětlující model</w:t>
      </w:r>
    </w:p>
    <w:p w:rsidR="00C1104E" w:rsidRDefault="00AB589B" w:rsidP="004A418F">
      <w:pPr>
        <w:pStyle w:val="Bezmezer"/>
        <w:spacing w:line="360" w:lineRule="auto"/>
        <w:ind w:left="708" w:firstLine="0"/>
        <w:jc w:val="left"/>
      </w:pPr>
      <w:r>
        <w:t xml:space="preserve">  </w:t>
      </w:r>
      <w:r w:rsidR="00C103C1">
        <w:t xml:space="preserve">        </w:t>
      </w:r>
      <w:r w:rsidR="00D2774C">
        <w:t>Obrázek 4</w:t>
      </w:r>
      <w:r w:rsidR="00612824">
        <w:t>: autor</w:t>
      </w:r>
    </w:p>
    <w:p w:rsidR="00C1104E" w:rsidRDefault="00C1104E" w:rsidP="00C1104E">
      <w:pPr>
        <w:pStyle w:val="Bezmezer"/>
        <w:spacing w:before="120" w:line="360" w:lineRule="auto"/>
        <w:ind w:left="708" w:firstLine="0"/>
        <w:jc w:val="left"/>
      </w:pPr>
    </w:p>
    <w:p w:rsidR="004A418F" w:rsidRDefault="004A418F" w:rsidP="00C1104E">
      <w:pPr>
        <w:pStyle w:val="Bezmezer"/>
        <w:spacing w:before="120" w:line="360" w:lineRule="auto"/>
        <w:ind w:left="708" w:firstLine="0"/>
        <w:jc w:val="left"/>
      </w:pPr>
    </w:p>
    <w:p w:rsidR="005D4173" w:rsidRDefault="00AB589B" w:rsidP="004A418F">
      <w:pPr>
        <w:pStyle w:val="Bezmezer"/>
        <w:spacing w:before="240" w:after="240" w:line="360" w:lineRule="auto"/>
        <w:ind w:firstLine="708"/>
      </w:pPr>
      <w:r>
        <w:lastRenderedPageBreak/>
        <w:t>Asymetrické pojetí QCA však znamená, že nelze pomocí tohoto modelu vysvětlit také absenci důsledku. To, proč státy nepodporují Ukrajinu, si žádá zcela odlišné vysvětlení, ale i uvažované faktory, které budou teoreticky zaštítěny.</w:t>
      </w:r>
      <w:r w:rsidR="001167A3">
        <w:t xml:space="preserve"> Pro ověření hypotéz určím</w:t>
      </w:r>
      <w:r w:rsidR="001070C9">
        <w:t xml:space="preserve"> hodnotu jednotlivých </w:t>
      </w:r>
      <w:r w:rsidR="001167A3">
        <w:t>faktorů na důsledek, jelikož ž</w:t>
      </w:r>
      <w:r w:rsidR="005D4173">
        <w:t>ádný faktor sám o sobě není pro důsledek</w:t>
      </w:r>
      <w:r w:rsidR="00D47D64">
        <w:t xml:space="preserve"> dostatečný</w:t>
      </w:r>
      <w:r w:rsidR="005D4173">
        <w:t xml:space="preserve">. </w:t>
      </w:r>
      <w:r w:rsidR="00AA1D04">
        <w:t xml:space="preserve">První zkoumanou hypotézu </w:t>
      </w:r>
      <w:r w:rsidR="00D47D64">
        <w:t>lze</w:t>
      </w:r>
      <w:r w:rsidR="00AA1D04">
        <w:t xml:space="preserve"> potvrdit. </w:t>
      </w:r>
      <w:r w:rsidR="005D4173">
        <w:t>Závislost na plynu</w:t>
      </w:r>
      <w:r w:rsidR="00D47D64">
        <w:t xml:space="preserve"> na absenci důsledku (více závislé státy podporují méně)</w:t>
      </w:r>
      <w:r w:rsidR="005D4173">
        <w:t xml:space="preserve"> d</w:t>
      </w:r>
      <w:r w:rsidR="00AA1D04">
        <w:t>osahuje</w:t>
      </w:r>
      <w:r w:rsidR="00D47D64">
        <w:t xml:space="preserve"> hodnoty konzistence 0,72</w:t>
      </w:r>
      <w:r w:rsidR="00AA1D04">
        <w:t>, což je hranice, která ne</w:t>
      </w:r>
      <w:r w:rsidR="00D47D64">
        <w:t xml:space="preserve">dosahuje potřebnou hodnotu 0,8, avšak </w:t>
      </w:r>
      <w:r w:rsidR="00583001">
        <w:t>Oana et al.</w:t>
      </w:r>
      <w:r w:rsidR="00AA1D04">
        <w:t xml:space="preserve"> </w:t>
      </w:r>
      <w:r w:rsidR="00583001">
        <w:t>(</w:t>
      </w:r>
      <w:r w:rsidR="00AA1D04">
        <w:t>2021: 92</w:t>
      </w:r>
      <w:r w:rsidR="00583001">
        <w:t>)</w:t>
      </w:r>
      <w:r w:rsidR="00AA1D04">
        <w:t xml:space="preserve"> uvádí možnost určení mezní hranice na úrovni 0,75, aby byl zkoumaný fakt</w:t>
      </w:r>
      <w:r w:rsidR="00D47D64">
        <w:t xml:space="preserve">or alespoň hrubě konzistentní, které se blíží. </w:t>
      </w:r>
      <w:r w:rsidR="009A616F">
        <w:t xml:space="preserve">Pokrývá sice pouze 43 % případů, ale státy, které v množině </w:t>
      </w:r>
      <w:r w:rsidR="009A616F" w:rsidRPr="00170BF7">
        <w:rPr>
          <w:i/>
        </w:rPr>
        <w:t>„Plyn“</w:t>
      </w:r>
      <w:r w:rsidR="009A616F">
        <w:t xml:space="preserve"> dosahují hodnoty alespoň 0,75</w:t>
      </w:r>
      <w:r w:rsidR="00170BF7">
        <w:t>,</w:t>
      </w:r>
      <w:r w:rsidR="009A616F">
        <w:t xml:space="preserve"> </w:t>
      </w:r>
      <w:r w:rsidR="00170BF7">
        <w:t>čili státy, které jsou na plynu více závislé, poskytují Ukrajině buď menší (Maďarsko, Rakousko, Bulharsko, Itálie, Slovinsko), nebo střední míru pomoci (Česko, Německo, Slovensko, Polsko).</w:t>
      </w:r>
    </w:p>
    <w:p w:rsidR="00612824" w:rsidRDefault="004859F8" w:rsidP="004A418F">
      <w:pPr>
        <w:pStyle w:val="Bezmezer"/>
        <w:spacing w:before="240" w:after="240" w:line="360" w:lineRule="auto"/>
        <w:ind w:firstLine="708"/>
      </w:pPr>
      <w:r>
        <w:t>Kombinace podílu uprchl</w:t>
      </w:r>
      <w:r w:rsidR="00DC40D3">
        <w:t xml:space="preserve">íků </w:t>
      </w:r>
      <w:r w:rsidR="00583001">
        <w:t xml:space="preserve">a kvality liberální dosahuje </w:t>
      </w:r>
      <w:r w:rsidR="00E22B6F">
        <w:t>o něco</w:t>
      </w:r>
      <w:r w:rsidR="00C366A3">
        <w:t xml:space="preserve"> niž</w:t>
      </w:r>
      <w:r>
        <w:t>ší hodnot</w:t>
      </w:r>
      <w:r w:rsidR="00C366A3">
        <w:t>y</w:t>
      </w:r>
      <w:r>
        <w:t xml:space="preserve"> konzistence, než v případě zkoumání energetické závislosti</w:t>
      </w:r>
      <w:r w:rsidR="00D750E4">
        <w:t>, a to sice 0,64</w:t>
      </w:r>
      <w:r>
        <w:t>.</w:t>
      </w:r>
      <w:r w:rsidR="00D750E4">
        <w:t xml:space="preserve"> Pokud bychom odhlédli od kombinace faktorů a bral</w:t>
      </w:r>
      <w:r w:rsidR="00DC40D3">
        <w:t>y</w:t>
      </w:r>
      <w:r w:rsidR="00D750E4">
        <w:t xml:space="preserve"> je jednotlivě, tak dosahují ještě nižších hodnot. V případě uprchlíků je konzistence rovna 0,55, kvalita demokracie dosahuje ještě o jednu desetinu nižší hodnoty.</w:t>
      </w:r>
      <w:r w:rsidR="0095797A">
        <w:t xml:space="preserve"> Nicméně tato kombinace je přítomna v 82 %</w:t>
      </w:r>
      <w:r w:rsidR="00DC40D3">
        <w:t xml:space="preserve"> kombinací vysvětlujících bilaterální pomoc Ukrajině</w:t>
      </w:r>
      <w:r w:rsidR="00D12936">
        <w:t xml:space="preserve"> (vč. vysvětlujícího modelu)</w:t>
      </w:r>
      <w:r w:rsidR="009406B3">
        <w:t>, což značí, že faktor je poměrně významný. Při bližším pohledu na státy vykazující vysoké skóre demokracie s</w:t>
      </w:r>
      <w:r w:rsidR="00390A0F">
        <w:t xml:space="preserve"> vyšším</w:t>
      </w:r>
      <w:r w:rsidR="009406B3">
        <w:t xml:space="preserve"> podílem uprchlíků v populaci </w:t>
      </w:r>
      <w:r w:rsidR="005459FA">
        <w:t>daného státu si lze</w:t>
      </w:r>
      <w:r w:rsidR="00390A0F">
        <w:t xml:space="preserve"> všimnout,</w:t>
      </w:r>
      <w:r w:rsidR="009406B3">
        <w:t xml:space="preserve"> že </w:t>
      </w:r>
      <w:r w:rsidR="00390A0F">
        <w:t>vyšší měrou podporuje Ukrajinu</w:t>
      </w:r>
      <w:r w:rsidR="009406B3">
        <w:t xml:space="preserve"> </w:t>
      </w:r>
      <w:r w:rsidR="00390A0F">
        <w:t>Estonsko, Litva a vyšší míru podpory vykazuje ještě Lotyšs</w:t>
      </w:r>
      <w:r w:rsidR="00583001">
        <w:t>ko,</w:t>
      </w:r>
      <w:r w:rsidR="00390A0F">
        <w:t xml:space="preserve"> tedy Baltské státy. Kolem kalibrované hodnoty </w:t>
      </w:r>
      <w:r w:rsidR="00583001">
        <w:t xml:space="preserve">důsledku </w:t>
      </w:r>
      <w:r w:rsidR="000A2B20">
        <w:t>(</w:t>
      </w:r>
      <w:r w:rsidR="009A616F" w:rsidRPr="009A616F">
        <w:rPr>
          <w:i/>
        </w:rPr>
        <w:t>„</w:t>
      </w:r>
      <w:r w:rsidR="000A2B20" w:rsidRPr="009A616F">
        <w:rPr>
          <w:i/>
        </w:rPr>
        <w:t>Pomoc</w:t>
      </w:r>
      <w:r w:rsidR="009A616F" w:rsidRPr="009A616F">
        <w:rPr>
          <w:i/>
        </w:rPr>
        <w:t>“</w:t>
      </w:r>
      <w:r w:rsidR="000A2B20" w:rsidRPr="009A616F">
        <w:t>)</w:t>
      </w:r>
      <w:r w:rsidR="00390A0F" w:rsidRPr="009A616F">
        <w:t xml:space="preserve"> </w:t>
      </w:r>
      <w:r w:rsidR="00390A0F">
        <w:t>0,5 se pohybují Česko, Dánsko, Finsko a Slovensko. Naopak při vyšším skóre zmíněných faktorů v podstatě nepodporuje Ukrajinu Irsko.</w:t>
      </w:r>
      <w:r w:rsidR="002515CA">
        <w:t xml:space="preserve"> Samotný počet uprchlíků poměrně silně koreluje s poskytnutou pomocí. Pearsonův korelační koeficient dosahuje hodnoty 0,559, přičemž je statisticky významný, avšak je důležité vzít v potaz poměrně malý vzorek 27 států. Nicméně druhou hypotézu lze potvrdit, ale v</w:t>
      </w:r>
      <w:r w:rsidR="005459FA">
        <w:t>zhledem k p</w:t>
      </w:r>
      <w:r w:rsidR="00DE42FB">
        <w:t>oměrně nízké konzistenci je</w:t>
      </w:r>
      <w:r w:rsidR="005459FA">
        <w:t xml:space="preserve"> nutné </w:t>
      </w:r>
      <w:r w:rsidR="00FB66D7">
        <w:t>brát tato pozorování s rezervou.</w:t>
      </w:r>
    </w:p>
    <w:p w:rsidR="00FB66D7" w:rsidRDefault="00FB66D7" w:rsidP="00612824">
      <w:pPr>
        <w:pStyle w:val="Bezmezer"/>
        <w:spacing w:before="120" w:line="360" w:lineRule="auto"/>
        <w:ind w:firstLine="708"/>
      </w:pPr>
    </w:p>
    <w:p w:rsidR="00B167F1" w:rsidRDefault="00B167F1" w:rsidP="00612824">
      <w:pPr>
        <w:pStyle w:val="Bezmezer"/>
        <w:spacing w:before="120" w:line="360" w:lineRule="auto"/>
        <w:ind w:firstLine="708"/>
      </w:pPr>
    </w:p>
    <w:p w:rsidR="00B167F1" w:rsidRDefault="00B167F1" w:rsidP="00612824">
      <w:pPr>
        <w:pStyle w:val="Bezmezer"/>
        <w:spacing w:before="120" w:line="360" w:lineRule="auto"/>
        <w:ind w:firstLine="708"/>
      </w:pPr>
    </w:p>
    <w:p w:rsidR="00B167F1" w:rsidRDefault="00B167F1" w:rsidP="00612824">
      <w:pPr>
        <w:pStyle w:val="Bezmezer"/>
        <w:spacing w:before="120" w:line="360" w:lineRule="auto"/>
        <w:ind w:firstLine="708"/>
      </w:pPr>
    </w:p>
    <w:p w:rsidR="00B167F1" w:rsidRDefault="00B167F1" w:rsidP="00612824">
      <w:pPr>
        <w:pStyle w:val="Bezmezer"/>
        <w:spacing w:before="120" w:line="360" w:lineRule="auto"/>
        <w:ind w:firstLine="708"/>
      </w:pPr>
    </w:p>
    <w:p w:rsidR="00BF40D6" w:rsidRPr="00612824" w:rsidRDefault="00BF40D6" w:rsidP="004A418F">
      <w:pPr>
        <w:pStyle w:val="Bezmezer"/>
        <w:spacing w:line="360" w:lineRule="auto"/>
        <w:ind w:firstLine="708"/>
        <w:jc w:val="center"/>
      </w:pPr>
      <w:r w:rsidRPr="00BF40D6">
        <w:rPr>
          <w:b/>
        </w:rPr>
        <w:lastRenderedPageBreak/>
        <w:t xml:space="preserve">Obrázek </w:t>
      </w:r>
      <w:r>
        <w:rPr>
          <w:b/>
        </w:rPr>
        <w:t>5</w:t>
      </w:r>
    </w:p>
    <w:p w:rsidR="00BF40D6" w:rsidRDefault="00BF40D6" w:rsidP="004A418F">
      <w:pPr>
        <w:pStyle w:val="Bezmezer"/>
        <w:spacing w:line="360" w:lineRule="auto"/>
        <w:ind w:firstLine="708"/>
        <w:jc w:val="center"/>
        <w:rPr>
          <w:b/>
        </w:rPr>
      </w:pPr>
      <w:r>
        <w:rPr>
          <w:b/>
        </w:rPr>
        <w:t>Pearsonův korelační koeficient</w:t>
      </w:r>
    </w:p>
    <w:p w:rsidR="002515CA" w:rsidRPr="00BF40D6" w:rsidRDefault="00BF40D6" w:rsidP="004A418F">
      <w:pPr>
        <w:pStyle w:val="Bezmezer"/>
        <w:spacing w:line="360" w:lineRule="auto"/>
        <w:ind w:firstLine="708"/>
        <w:jc w:val="center"/>
        <w:rPr>
          <w:b/>
        </w:rPr>
      </w:pPr>
      <w:r>
        <w:rPr>
          <w:b/>
        </w:rPr>
        <w:t>Uprchlíci →</w:t>
      </w:r>
      <w:r w:rsidRPr="00BF40D6">
        <w:rPr>
          <w:b/>
        </w:rPr>
        <w:t xml:space="preserve"> Pomoc</w:t>
      </w:r>
    </w:p>
    <w:p w:rsidR="002515CA" w:rsidRDefault="00BF40D6" w:rsidP="004A418F">
      <w:pPr>
        <w:pStyle w:val="Bezmezer"/>
        <w:spacing w:line="360" w:lineRule="auto"/>
        <w:ind w:firstLine="708"/>
      </w:pPr>
      <w:r>
        <w:rPr>
          <w:noProof/>
          <w:lang w:val="cs-CZ"/>
        </w:rPr>
        <w:drawing>
          <wp:inline distT="0" distB="0" distL="0" distR="0">
            <wp:extent cx="5257800" cy="1809115"/>
            <wp:effectExtent l="0" t="0" r="0" b="63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0" cy="1809115"/>
                    </a:xfrm>
                    <a:prstGeom prst="rect">
                      <a:avLst/>
                    </a:prstGeom>
                    <a:noFill/>
                    <a:ln>
                      <a:noFill/>
                    </a:ln>
                  </pic:spPr>
                </pic:pic>
              </a:graphicData>
            </a:graphic>
          </wp:inline>
        </w:drawing>
      </w:r>
    </w:p>
    <w:p w:rsidR="00F32F65" w:rsidRDefault="00BF40D6" w:rsidP="004A418F">
      <w:pPr>
        <w:pStyle w:val="Bezmezer"/>
        <w:spacing w:line="360" w:lineRule="auto"/>
        <w:ind w:firstLine="708"/>
      </w:pPr>
      <w:r>
        <w:t>Obrázek 5: autor</w:t>
      </w:r>
    </w:p>
    <w:p w:rsidR="00446381" w:rsidRDefault="00446381" w:rsidP="00C141AC">
      <w:pPr>
        <w:pStyle w:val="Bezmezer"/>
        <w:spacing w:before="120" w:line="360" w:lineRule="auto"/>
        <w:ind w:firstLine="0"/>
      </w:pPr>
    </w:p>
    <w:p w:rsidR="00B021B1" w:rsidRDefault="00C141AC" w:rsidP="004A418F">
      <w:pPr>
        <w:pStyle w:val="Bezmezer"/>
        <w:spacing w:before="240" w:after="240" w:line="360" w:lineRule="auto"/>
        <w:ind w:firstLine="708"/>
      </w:pPr>
      <w:r>
        <w:t xml:space="preserve">Mezi zmíněnými státy, které vykazují vyšší kvalitu demokracie a podíl uprchlíků, si lze všimnout, že státy nové Evropy poskytují alespoň středně vysokou míru pomoci. Pouze Irsko, člen staré Evropy, vykazuje velmi nízkou podporu. Avšak příslušnost k nové Evropě je konzistentní pouze na úrovni 0,45, přičemž pokrývá asi 65 % případů. Ze států nové Evropy více podporují Ukrajinu opět pouze Baltské státy. </w:t>
      </w:r>
    </w:p>
    <w:p w:rsidR="00C141AC" w:rsidRDefault="00C141AC" w:rsidP="004A418F">
      <w:pPr>
        <w:pStyle w:val="Bezmezer"/>
        <w:spacing w:before="240" w:after="240" w:line="360" w:lineRule="auto"/>
        <w:ind w:firstLine="708"/>
      </w:pPr>
      <w:r>
        <w:t>Příslušnost k nové Evropě tedy není ani vysvětlujícím, ani nikterak významným faktorem poskytnuté podpory</w:t>
      </w:r>
      <w:r w:rsidR="00B021B1">
        <w:t>. Hodnota konzistence dosahuje hodnoty pouze 0,45. Je součástí pouze jedné kombinace vedoucí k důsledku. Je tedy logickou minimalizací vynechána a ve výsledném modelu chybí. Třetí hypotézu tedy zamítám.</w:t>
      </w:r>
      <w:r>
        <w:t xml:space="preserve"> Stejně tak lze hodnotit hypotézu o obranných rozpočtech</w:t>
      </w:r>
      <w:r w:rsidR="00914C80">
        <w:t>, která dosahuje konzistence pouhých 0,52</w:t>
      </w:r>
      <w:r w:rsidR="00B021B1">
        <w:t>. A byť dosahuje poměrně vysokého pokrytí (</w:t>
      </w:r>
      <w:r w:rsidR="00143305">
        <w:t>0,85</w:t>
      </w:r>
      <w:r w:rsidR="00B021B1">
        <w:t>)</w:t>
      </w:r>
      <w:r w:rsidR="00143305">
        <w:t>, což by značilo poměrně významný aspekt pomoci, tak hypotézu falzifikuje bližší pohled na pozorované případy.</w:t>
      </w:r>
      <w:r>
        <w:t xml:space="preserve"> Vysokou míru </w:t>
      </w:r>
      <w:r w:rsidR="001167A3">
        <w:t xml:space="preserve">obranného rozpočtu a poskytnuté pomoci </w:t>
      </w:r>
      <w:r>
        <w:t xml:space="preserve">vykazují opět státy Pobaltí. Na druhé straně Řecko, Francie a Kypr, které vykazují poměrně vysoké obranné rozpočty, narušují čtvrtou hypotézu, jelikož Ukrajinu podporují pouze </w:t>
      </w:r>
      <w:r w:rsidR="001167A3">
        <w:t>marginálně</w:t>
      </w:r>
      <w:r>
        <w:t>.</w:t>
      </w:r>
    </w:p>
    <w:p w:rsidR="00307DCC" w:rsidRDefault="00F60288" w:rsidP="004A418F">
      <w:pPr>
        <w:pStyle w:val="Bezmezer"/>
        <w:spacing w:before="240" w:after="240" w:line="360" w:lineRule="auto"/>
        <w:ind w:firstLine="708"/>
      </w:pPr>
      <w:r>
        <w:t xml:space="preserve">Naopak potvrdit lze pátou hypotézu této práce. Vzdálenost se ukázala být dokonce nutnou podmínkou s konzistencí 0,975. Pouze Rumunsko a Maďarsko tuto hypotézu narušují, avšak jinak čím jsou </w:t>
      </w:r>
      <w:r w:rsidR="009C5C88">
        <w:t xml:space="preserve">státy </w:t>
      </w:r>
      <w:r>
        <w:t>blíže konfliktu, tím více podporují Ukra</w:t>
      </w:r>
      <w:r w:rsidR="00307DCC">
        <w:t>jinu. To je patrné také z mapy (Obrázek 6)</w:t>
      </w:r>
      <w:r w:rsidR="00637621">
        <w:t>, která nabízí vizuální zobrazení států podle toho, jak moc Ukrajinu podporují.</w:t>
      </w:r>
      <w:r w:rsidR="00E607AA">
        <w:t xml:space="preserve"> </w:t>
      </w:r>
    </w:p>
    <w:p w:rsidR="000C04AF" w:rsidRDefault="00E607AA" w:rsidP="004A418F">
      <w:pPr>
        <w:pStyle w:val="Bezmezer"/>
        <w:spacing w:before="240" w:after="240" w:line="360" w:lineRule="auto"/>
        <w:ind w:firstLine="708"/>
      </w:pPr>
      <w:r>
        <w:lastRenderedPageBreak/>
        <w:t xml:space="preserve">Šestá hypotéza o exportu mezi Ruskem a jednotlivými státy </w:t>
      </w:r>
      <w:r w:rsidR="00C141AC">
        <w:t>lze považovat jako významnou</w:t>
      </w:r>
      <w:r>
        <w:t>.</w:t>
      </w:r>
      <w:r w:rsidR="00C141AC">
        <w:t xml:space="preserve"> Export</w:t>
      </w:r>
      <w:r>
        <w:t xml:space="preserve"> </w:t>
      </w:r>
      <w:r w:rsidR="00C141AC">
        <w:t xml:space="preserve">dosahuje hodnoty konzistence </w:t>
      </w:r>
      <w:r w:rsidR="00A850C5">
        <w:t>0,61</w:t>
      </w:r>
      <w:r w:rsidR="00C141AC">
        <w:t>. Vysvětlení se nabízí tím</w:t>
      </w:r>
      <w:r>
        <w:t>, že státy, které jsou geograficky blíže, vykazují vyšší míru exportu</w:t>
      </w:r>
      <w:r w:rsidR="004B16C4">
        <w:t>, což odpovídá tvrzení Robst et al. (</w:t>
      </w:r>
      <w:r w:rsidR="004B16C4" w:rsidRPr="00C53FBF">
        <w:t>2007: 21-22)</w:t>
      </w:r>
      <w:r w:rsidR="0015281C">
        <w:t xml:space="preserve"> o vyšší interakci mezi státy, které jsou si geograficky blíže</w:t>
      </w:r>
      <w:r w:rsidR="004B16C4">
        <w:t>. P</w:t>
      </w:r>
      <w:r>
        <w:t xml:space="preserve">otvrzuje </w:t>
      </w:r>
      <w:r w:rsidR="004B16C4">
        <w:t xml:space="preserve">to </w:t>
      </w:r>
      <w:r>
        <w:t>i Pearsonův korelační k</w:t>
      </w:r>
      <w:r w:rsidR="00C141AC">
        <w:t>oeficient,</w:t>
      </w:r>
      <w:r>
        <w:t xml:space="preserve"> který mezi exportem a vzdálenosti dosahuje statisticky významné hodnoty 0,738 (p &lt; 0,001</w:t>
      </w:r>
      <w:r w:rsidR="00BA276F">
        <w:t xml:space="preserve">). </w:t>
      </w:r>
      <w:r w:rsidR="00307DCC">
        <w:t>Hypotézu tedy zamítám.</w:t>
      </w:r>
    </w:p>
    <w:p w:rsidR="00446381" w:rsidRPr="00173C9D" w:rsidRDefault="00C80817" w:rsidP="00B167F1">
      <w:pPr>
        <w:pStyle w:val="Bezmezer"/>
        <w:spacing w:before="120" w:line="360" w:lineRule="auto"/>
        <w:ind w:firstLine="708"/>
        <w:jc w:val="center"/>
        <w:rPr>
          <w:b/>
        </w:rPr>
      </w:pPr>
      <w:r>
        <w:rPr>
          <w:b/>
        </w:rPr>
        <w:t>Obrázek 6</w:t>
      </w:r>
    </w:p>
    <w:p w:rsidR="00446381" w:rsidRPr="006A5B6F" w:rsidRDefault="00C80817" w:rsidP="006A5B6F">
      <w:pPr>
        <w:spacing w:before="120"/>
        <w:jc w:val="center"/>
        <w:rPr>
          <w:b/>
        </w:rPr>
      </w:pPr>
      <w:r>
        <w:rPr>
          <w:b/>
        </w:rPr>
        <w:t>Mapa – s</w:t>
      </w:r>
      <w:r w:rsidR="00446381" w:rsidRPr="00173C9D">
        <w:rPr>
          <w:b/>
        </w:rPr>
        <w:t xml:space="preserve">táty </w:t>
      </w:r>
      <w:r w:rsidR="00446381">
        <w:rPr>
          <w:b/>
        </w:rPr>
        <w:t xml:space="preserve">zvýrazněné </w:t>
      </w:r>
      <w:r w:rsidR="00446381" w:rsidRPr="00173C9D">
        <w:rPr>
          <w:b/>
        </w:rPr>
        <w:t>podle</w:t>
      </w:r>
      <w:r w:rsidR="00446381">
        <w:rPr>
          <w:b/>
        </w:rPr>
        <w:t xml:space="preserve"> poskytnuté podpory</w:t>
      </w:r>
    </w:p>
    <w:p w:rsidR="0004118A" w:rsidRDefault="00E87465" w:rsidP="004A418F">
      <w:pPr>
        <w:spacing w:before="120"/>
      </w:pPr>
      <w:r>
        <w:rPr>
          <w:noProof/>
          <w:lang w:val="cs-CZ"/>
        </w:rPr>
        <w:drawing>
          <wp:anchor distT="0" distB="0" distL="114300" distR="114300" simplePos="0" relativeHeight="251670016" behindDoc="1" locked="0" layoutInCell="1" allowOverlap="1" wp14:anchorId="5B0580BD" wp14:editId="7D28C8AB">
            <wp:simplePos x="0" y="0"/>
            <wp:positionH relativeFrom="margin">
              <wp:align>right</wp:align>
            </wp:positionH>
            <wp:positionV relativeFrom="paragraph">
              <wp:posOffset>245855</wp:posOffset>
            </wp:positionV>
            <wp:extent cx="5754370" cy="4881880"/>
            <wp:effectExtent l="0" t="0" r="0" b="0"/>
            <wp:wrapTight wrapText="bothSides">
              <wp:wrapPolygon edited="0">
                <wp:start x="0" y="0"/>
                <wp:lineTo x="0" y="21493"/>
                <wp:lineTo x="21524" y="21493"/>
                <wp:lineTo x="21524" y="0"/>
                <wp:lineTo x="0" y="0"/>
              </wp:wrapPolygon>
            </wp:wrapTight>
            <wp:docPr id="2" name="Obrázek 2" descr="Rplo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lot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4370" cy="488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0817">
        <w:t>Obrázek 6</w:t>
      </w:r>
      <w:r w:rsidR="000C04AF">
        <w:t>: autor</w:t>
      </w:r>
    </w:p>
    <w:p w:rsidR="004A418F" w:rsidRDefault="004A418F" w:rsidP="004A418F">
      <w:pPr>
        <w:spacing w:before="120"/>
      </w:pPr>
    </w:p>
    <w:p w:rsidR="00BE7EED" w:rsidRDefault="00BE7EED" w:rsidP="000D51C1">
      <w:pPr>
        <w:pStyle w:val="Bezmezer"/>
        <w:spacing w:before="240" w:after="240" w:line="360" w:lineRule="auto"/>
        <w:ind w:firstLine="708"/>
      </w:pPr>
    </w:p>
    <w:p w:rsidR="004A418F" w:rsidRDefault="004A418F" w:rsidP="000D51C1">
      <w:pPr>
        <w:pStyle w:val="Bezmezer"/>
        <w:spacing w:before="240" w:after="240" w:line="360" w:lineRule="auto"/>
        <w:ind w:firstLine="708"/>
      </w:pPr>
      <w:r w:rsidRPr="00612824">
        <w:lastRenderedPageBreak/>
        <w:t>Poslední hypotéza této práce, vzhledem k tomu jak je kódována, vykazuje hodnotu konzistence vůči absenci důsledku (čím větší podíl populistů, tím méně pomáhají) 0.77, což je hodnota, která je alespoň hrubě konzistentní. Státy s vyšší mírou populistů podporují Ukrajinu středně (Polsko, Slovensko), nebo méně (Itálie, Maďarsko). V případě Slovenska hraje roli půlroční vládnutí úřednické vlády, která pomoc Ukrajině poskytla. Poslední hypotézu tedy lze potvrdit, avšak i s přihlédnutím k tomu, že pouze 8 států mělo během let 2022 a 2023 ve vládě populistické strany, tak pokrývají pouze 22 % případů.</w:t>
      </w:r>
    </w:p>
    <w:p w:rsidR="000D51C1" w:rsidRPr="00282BB7" w:rsidRDefault="00282BB7" w:rsidP="00282BB7">
      <w:pPr>
        <w:pStyle w:val="Nadpis2"/>
        <w:spacing w:before="240" w:after="240"/>
        <w:ind w:firstLine="0"/>
        <w:rPr>
          <w:rFonts w:ascii="Times New Roman" w:hAnsi="Times New Roman" w:cs="Times New Roman"/>
          <w:b/>
          <w:color w:val="auto"/>
        </w:rPr>
      </w:pPr>
      <w:bookmarkStart w:id="35" w:name="_Toc164808712"/>
      <w:r>
        <w:rPr>
          <w:rFonts w:ascii="Times New Roman" w:hAnsi="Times New Roman" w:cs="Times New Roman"/>
          <w:b/>
          <w:color w:val="auto"/>
        </w:rPr>
        <w:t xml:space="preserve">5.3. </w:t>
      </w:r>
      <w:r w:rsidRPr="00282BB7">
        <w:rPr>
          <w:rFonts w:ascii="Times New Roman" w:hAnsi="Times New Roman" w:cs="Times New Roman"/>
          <w:b/>
          <w:color w:val="auto"/>
        </w:rPr>
        <w:t>P</w:t>
      </w:r>
      <w:r w:rsidR="000D51C1" w:rsidRPr="00282BB7">
        <w:rPr>
          <w:rFonts w:ascii="Times New Roman" w:hAnsi="Times New Roman" w:cs="Times New Roman"/>
          <w:b/>
          <w:color w:val="auto"/>
        </w:rPr>
        <w:t>řípadová studie Polska</w:t>
      </w:r>
      <w:bookmarkEnd w:id="35"/>
    </w:p>
    <w:p w:rsidR="00F91EA1" w:rsidRDefault="00F91EA1" w:rsidP="00BE7EED">
      <w:pPr>
        <w:spacing w:before="240" w:after="240"/>
        <w:ind w:firstLine="0"/>
      </w:pPr>
      <w:r w:rsidRPr="008062AA">
        <w:t>Polsko je státem, který</w:t>
      </w:r>
      <w:r>
        <w:t xml:space="preserve"> vykazuje vyšší míru členství (</w:t>
      </w:r>
      <w:r w:rsidRPr="008062AA">
        <w:t>&gt; 0,75) ve všech množinách zvažovaných faktorů, kromě kvality liberální demokracie, ve které dosahuje druhé nejmenší hodnoty po Maďarsku. Vůči HDP je pátým největším přispěvatelem s celkovou pomocí 0,69 % HDP. Čtvrté Lotyšsko ale přispívá o téměř půl procentního bodu více. Členství v množině důsledku je 0,56. Podle dat Bruegelu bylo Polsko v roce 2020 závislé z 81 %, přičemž v celkovém energetické mixu byl plyn v roce 2021 zastoupen ze 13 %. Celkové skóre indexu pak dosahovalo hodnoty 10,57, což značilo stát poměrně dost závislý na Rusku. Plyn z Ruska byl veden plynovodem Jamal, ale Polsku se podařilo závislost redukovat vůbec nejrychleji ze všech států EU a v prvním čtvrtletí</w:t>
      </w:r>
      <w:r>
        <w:t xml:space="preserve"> roku 2023</w:t>
      </w:r>
      <w:r w:rsidRPr="008062AA">
        <w:t xml:space="preserve"> se přísun plynu z Ruska zastavil úplně (Polish Economic Institute, 2023).  Navíc vybudovalo nové plynovody (s podporou EU), které se propojily se Slovenskem, čímž Polsko získalo přístup k plynu ze severní Afriky, Kavkazu či a jižní Evropy</w:t>
      </w:r>
      <w:r>
        <w:t xml:space="preserve"> </w:t>
      </w:r>
      <w:r w:rsidRPr="008062AA">
        <w:t>(ČTK, 2022).</w:t>
      </w:r>
    </w:p>
    <w:p w:rsidR="00C14937" w:rsidRDefault="008062AA" w:rsidP="00BE7EED">
      <w:pPr>
        <w:spacing w:before="240" w:after="240"/>
        <w:ind w:firstLine="0"/>
      </w:pPr>
      <w:r>
        <w:tab/>
        <w:t>Podíl migrantů v Polsku je</w:t>
      </w:r>
      <w:r w:rsidR="00910D2E">
        <w:t xml:space="preserve"> ze států</w:t>
      </w:r>
      <w:r>
        <w:t xml:space="preserve"> Evropské </w:t>
      </w:r>
      <w:r w:rsidR="00910D2E">
        <w:t>unie</w:t>
      </w:r>
      <w:r>
        <w:t xml:space="preserve"> třetí nejvyšší (po Česku a Estonsku). V </w:t>
      </w:r>
      <w:r w:rsidR="00910D2E">
        <w:t>absolutních</w:t>
      </w:r>
      <w:r>
        <w:t xml:space="preserve"> číslech je po Německu dokonce druhé s téměř jedním milionem ukrajinských uprchlíků. Migrační saldo bylo přitom ještě v roce 2004 záporné a příliv imigrantů do Polska byl z dlouhodobého hlediska </w:t>
      </w:r>
      <w:r w:rsidR="00910D2E">
        <w:t>nízký</w:t>
      </w:r>
      <w:r>
        <w:t>. Změna nastala v roce 2014, kdy do Polska začali proudit ukrajinští migranti. Polsko se náhle stalo zemí s největším počtem vydaných pov</w:t>
      </w:r>
      <w:r w:rsidR="00910D2E">
        <w:t>ole</w:t>
      </w:r>
      <w:r>
        <w:t xml:space="preserve">ní k pobytu v Evropě a dokonce </w:t>
      </w:r>
      <w:r w:rsidR="00705F1E">
        <w:t>zemí s nejvyšším počtem sezónních pracovníků. Počet imigrantů v Polsku se zvýšil od roku 2011 ze sta tisíc na dva miliony v roce 2019, přičemž většinu představovali právě imigranti z</w:t>
      </w:r>
      <w:r w:rsidR="00F55A34">
        <w:t> </w:t>
      </w:r>
      <w:r w:rsidR="00705F1E">
        <w:t>Ukrajiny</w:t>
      </w:r>
      <w:r w:rsidR="00F55A34">
        <w:t xml:space="preserve"> (95 %</w:t>
      </w:r>
      <w:r w:rsidR="00910D2E">
        <w:t xml:space="preserve"> z nich</w:t>
      </w:r>
      <w:r w:rsidR="00F55A34">
        <w:t xml:space="preserve"> pracovně aktivních)</w:t>
      </w:r>
      <w:r w:rsidR="00705F1E">
        <w:t>.</w:t>
      </w:r>
      <w:r w:rsidR="00F55A34">
        <w:t xml:space="preserve"> P</w:t>
      </w:r>
      <w:r w:rsidR="00705F1E">
        <w:t>olsko značně zjednodušilo imigrační politiku a stalo se jednou z nejvíce liberálních Evropských zemí</w:t>
      </w:r>
      <w:r w:rsidR="00F55A34">
        <w:t>, co se týče migrační politiky a přístup na trh práce se neustále liberalizuje</w:t>
      </w:r>
      <w:r w:rsidR="008D55BA">
        <w:t xml:space="preserve"> (</w:t>
      </w:r>
      <w:r w:rsidR="008D55BA" w:rsidRPr="00C53FBF">
        <w:t>Duszczyk a Kaczmarczykn</w:t>
      </w:r>
      <w:r w:rsidR="008D55BA">
        <w:t>, 2022)</w:t>
      </w:r>
      <w:r w:rsidR="00F55A34">
        <w:t>.</w:t>
      </w:r>
    </w:p>
    <w:p w:rsidR="00910D2E" w:rsidRPr="008062AA" w:rsidRDefault="00910D2E" w:rsidP="00910D2E">
      <w:pPr>
        <w:spacing w:before="240" w:after="240"/>
        <w:ind w:firstLine="0"/>
      </w:pPr>
    </w:p>
    <w:p w:rsidR="004854D2" w:rsidRDefault="002E2398" w:rsidP="00282BB7">
      <w:pPr>
        <w:pStyle w:val="Bezmezer"/>
        <w:spacing w:before="240" w:after="240" w:line="360" w:lineRule="auto"/>
        <w:ind w:firstLine="708"/>
      </w:pPr>
      <w:r>
        <w:lastRenderedPageBreak/>
        <w:t xml:space="preserve">Polsko však </w:t>
      </w:r>
      <w:r w:rsidR="008D55BA">
        <w:t xml:space="preserve">má hodnotu </w:t>
      </w:r>
      <w:r>
        <w:t>V–Dem indexu jen 0,44, což je po Maďarsku vůbec nejnižší skóre</w:t>
      </w:r>
      <w:r w:rsidR="008D55BA">
        <w:t>. To souvisí s vysokým podílem populistů ve vládě. V mnou vytvořeném indexu vykazuje Polsko společně s Itálií nejvyšší hodnoty. Avšak z</w:t>
      </w:r>
      <w:r w:rsidR="009F5027">
        <w:t xml:space="preserve"> výše zmíněného citátu premiéra M. </w:t>
      </w:r>
      <w:r w:rsidR="000C71DF">
        <w:t>Morawieckého při návštěvě Washingtonu z dubnu 2023 lze usou</w:t>
      </w:r>
      <w:r w:rsidR="008D55BA">
        <w:t>dit, že Polský postoj vůči Rusku je zřejmý a zvyšování obranného rozpočtu a budování polské armády</w:t>
      </w:r>
      <w:r w:rsidR="00AB3712">
        <w:t xml:space="preserve"> </w:t>
      </w:r>
      <w:r w:rsidR="008D55BA">
        <w:t xml:space="preserve">značí, že </w:t>
      </w:r>
      <w:r w:rsidR="00AB3712">
        <w:t>se Polsko ruského útoku</w:t>
      </w:r>
      <w:r w:rsidR="008D55BA">
        <w:t xml:space="preserve"> obává a chystá se na případnou konfrontaci</w:t>
      </w:r>
      <w:r w:rsidR="00AB3712">
        <w:t xml:space="preserve"> </w:t>
      </w:r>
      <w:r w:rsidR="00AB3712" w:rsidRPr="00AB3712">
        <w:t>(Jones, 2023)</w:t>
      </w:r>
      <w:r w:rsidR="008D55BA">
        <w:t xml:space="preserve">. </w:t>
      </w:r>
      <w:r w:rsidR="00AB3712">
        <w:t xml:space="preserve">Podle dat SIPRI (2024) Polsko vydávalo na obranu v roce 2023 celkově 31 miliard dolarů, což </w:t>
      </w:r>
      <w:r w:rsidR="00E3235E">
        <w:t>ho</w:t>
      </w:r>
      <w:r w:rsidR="00AB3712">
        <w:t xml:space="preserve"> posunulo na 14. místo žebříčku celkových</w:t>
      </w:r>
      <w:r w:rsidR="00E3235E">
        <w:t xml:space="preserve"> světových</w:t>
      </w:r>
      <w:r w:rsidR="00AB3712">
        <w:t xml:space="preserve"> vojenských výdajů, které navíc po Alžírsku navýšilo nejvíce a v roce 2023 vydávalo na obranu 3,8 % HDP.</w:t>
      </w:r>
      <w:r w:rsidR="00986224">
        <w:t xml:space="preserve"> </w:t>
      </w:r>
      <w:r w:rsidR="004854D2">
        <w:t>V Polsku se v říjnu 2023 konaly volby</w:t>
      </w:r>
      <w:r w:rsidR="00986224">
        <w:t>, ze kterých vzešla nová vláda v</w:t>
      </w:r>
      <w:r w:rsidR="00E3235E">
        <w:t xml:space="preserve"> </w:t>
      </w:r>
      <w:r w:rsidR="00986224">
        <w:t xml:space="preserve">čele s premiérem Donaldem Tuskem. Avšak polský náhled na Rusko se příliš nezmění, což je patrné z D. Tuskova vyjádření: </w:t>
      </w:r>
      <w:r w:rsidR="00986224" w:rsidRPr="00986224">
        <w:rPr>
          <w:i/>
        </w:rPr>
        <w:t>„Neexistuje žádný důvod, proč bychom měli být vojensky slabší než Rusko... Zvýšení výroby [zbraní] a zintenzivnění naší spolupráce jsou</w:t>
      </w:r>
      <w:r w:rsidR="00E3235E">
        <w:rPr>
          <w:i/>
        </w:rPr>
        <w:t xml:space="preserve"> naprosto nespornými prioritami,</w:t>
      </w:r>
      <w:r w:rsidR="00986224" w:rsidRPr="00986224">
        <w:rPr>
          <w:i/>
        </w:rPr>
        <w:t>“</w:t>
      </w:r>
      <w:r w:rsidR="00E3235E">
        <w:rPr>
          <w:i/>
        </w:rPr>
        <w:t xml:space="preserve"> </w:t>
      </w:r>
      <w:r w:rsidR="00E3235E" w:rsidRPr="00E3235E">
        <w:t>(</w:t>
      </w:r>
      <w:r w:rsidR="00E3235E" w:rsidRPr="00E3235E">
        <w:rPr>
          <w:rStyle w:val="Hypertextovodkaz"/>
          <w:color w:val="auto"/>
          <w:u w:val="none"/>
        </w:rPr>
        <w:t>Tisdall, 2024).</w:t>
      </w:r>
    </w:p>
    <w:p w:rsidR="00526D8E" w:rsidRPr="00526D8E" w:rsidRDefault="00FD13CA" w:rsidP="00F10DD7">
      <w:pPr>
        <w:pStyle w:val="Nadpis1"/>
        <w:spacing w:before="120"/>
        <w:ind w:firstLine="0"/>
        <w:rPr>
          <w:rFonts w:ascii="Times New Roman" w:hAnsi="Times New Roman" w:cs="Times New Roman"/>
          <w:b/>
          <w:color w:val="auto"/>
        </w:rPr>
      </w:pPr>
      <w:bookmarkStart w:id="36" w:name="_Toc164767396"/>
      <w:bookmarkStart w:id="37" w:name="_Toc164808713"/>
      <w:r>
        <w:rPr>
          <w:rFonts w:ascii="Times New Roman" w:hAnsi="Times New Roman" w:cs="Times New Roman"/>
          <w:b/>
          <w:color w:val="auto"/>
        </w:rPr>
        <w:t xml:space="preserve">6. </w:t>
      </w:r>
      <w:r w:rsidR="00526D8E" w:rsidRPr="00526D8E">
        <w:rPr>
          <w:rFonts w:ascii="Times New Roman" w:hAnsi="Times New Roman" w:cs="Times New Roman"/>
          <w:b/>
          <w:color w:val="auto"/>
        </w:rPr>
        <w:t>Závěr</w:t>
      </w:r>
      <w:bookmarkEnd w:id="36"/>
      <w:bookmarkEnd w:id="37"/>
    </w:p>
    <w:p w:rsidR="00256CDA" w:rsidRDefault="00805934" w:rsidP="004A418F">
      <w:pPr>
        <w:spacing w:before="240" w:after="240"/>
        <w:ind w:firstLine="0"/>
      </w:pPr>
      <w:r>
        <w:t xml:space="preserve">V rusko-ukrajinské válce stojí státy EU na straně Ukrajiny a podporují ji v obranných </w:t>
      </w:r>
      <w:r w:rsidR="005E3F20">
        <w:t>snahách,</w:t>
      </w:r>
      <w:r>
        <w:t xml:space="preserve"> </w:t>
      </w:r>
      <w:r w:rsidR="005E3F20">
        <w:t>a</w:t>
      </w:r>
      <w:r>
        <w:t>ť už se jedná o pomoc vojenskou, humanitární či finanční, ze kterých vychází celková podpora</w:t>
      </w:r>
      <w:r w:rsidR="0062687B">
        <w:t xml:space="preserve"> (vůči HDP)</w:t>
      </w:r>
      <w:r>
        <w:t>. Cílem této práce bylo zjistit, které ze zkoumaných faktorů ovlivňují celkovou pomoc</w:t>
      </w:r>
      <w:r w:rsidR="00256CDA">
        <w:t xml:space="preserve"> států EU </w:t>
      </w:r>
      <w:r>
        <w:t>U</w:t>
      </w:r>
      <w:r w:rsidR="00256CDA">
        <w:t>krajině</w:t>
      </w:r>
      <w:r w:rsidR="00E5072C">
        <w:t xml:space="preserve"> a odpovědět na výzkumnou otázku: </w:t>
      </w:r>
      <w:r w:rsidR="00E5072C" w:rsidRPr="00C53FBF">
        <w:rPr>
          <w:i/>
        </w:rPr>
        <w:t>„Které faktory ovlivňují ochotu států Evropské unie podporovat Ukrajinu v rusko-ukrajinské válce?“</w:t>
      </w:r>
      <w:r>
        <w:t xml:space="preserve">. </w:t>
      </w:r>
      <w:r w:rsidR="00E5072C">
        <w:t>S</w:t>
      </w:r>
      <w:r>
        <w:t>táty, které jsou</w:t>
      </w:r>
      <w:r w:rsidR="007B5668">
        <w:t xml:space="preserve"> navzájem</w:t>
      </w:r>
      <w:r>
        <w:t xml:space="preserve"> geograficky </w:t>
      </w:r>
      <w:r w:rsidR="00C12B7D">
        <w:t xml:space="preserve">k němu </w:t>
      </w:r>
      <w:r>
        <w:t>blíže Rusku, podporují Ukrajinu více.</w:t>
      </w:r>
      <w:r w:rsidR="00E5072C">
        <w:t xml:space="preserve"> Jedná se dokonce o nutnou podmínku zkouman</w:t>
      </w:r>
      <w:r w:rsidR="005E3F20">
        <w:t>é</w:t>
      </w:r>
      <w:r w:rsidR="00E5072C">
        <w:t>ho důsledku.</w:t>
      </w:r>
      <w:r>
        <w:t xml:space="preserve"> S rostoucí vzdáleností</w:t>
      </w:r>
      <w:r w:rsidR="00E5072C">
        <w:t xml:space="preserve"> pak</w:t>
      </w:r>
      <w:r>
        <w:t xml:space="preserve"> míra pomoci</w:t>
      </w:r>
      <w:r w:rsidR="00E5072C">
        <w:t xml:space="preserve"> klesá</w:t>
      </w:r>
      <w:r>
        <w:t>.</w:t>
      </w:r>
      <w:r w:rsidR="00FB6FFF">
        <w:t xml:space="preserve"> </w:t>
      </w:r>
      <w:r>
        <w:t>Toto zjištění se nejeví jako překvapivé, ale metodou fsQCA se podařilo zjistit, že existuje kombinace faktorů, která pokrývá 63 % v množině důsledku, tedy že vysvětlí 63 % případů, přičemž se od této kombinace odchyluje 12 % případů.</w:t>
      </w:r>
      <w:r w:rsidR="001E04BA">
        <w:t xml:space="preserve"> </w:t>
      </w:r>
    </w:p>
    <w:p w:rsidR="001E04BA" w:rsidRDefault="00FB6FFF" w:rsidP="004A418F">
      <w:pPr>
        <w:spacing w:before="240" w:after="240"/>
        <w:ind w:firstLine="708"/>
      </w:pPr>
      <w:r>
        <w:t>N</w:t>
      </w:r>
      <w:r w:rsidR="00E5072C">
        <w:t xml:space="preserve">ejvětší podporu </w:t>
      </w:r>
      <w:r>
        <w:t xml:space="preserve">Ukrajině </w:t>
      </w:r>
      <w:r w:rsidR="00E5072C">
        <w:t>poskytují</w:t>
      </w:r>
      <w:r>
        <w:t xml:space="preserve"> </w:t>
      </w:r>
      <w:r w:rsidR="00E5072C">
        <w:t>Baltské státy</w:t>
      </w:r>
      <w:r>
        <w:t xml:space="preserve"> a D</w:t>
      </w:r>
      <w:r w:rsidR="00E5072C">
        <w:t>ánsko</w:t>
      </w:r>
      <w:r>
        <w:t>. Baltské státy jsou</w:t>
      </w:r>
      <w:r w:rsidR="00AF1CA0">
        <w:t xml:space="preserve"> společně s Finskem</w:t>
      </w:r>
      <w:r>
        <w:t xml:space="preserve"> součástí skupiny států</w:t>
      </w:r>
      <w:r w:rsidR="00AE646A">
        <w:t xml:space="preserve"> (Severní Balt)</w:t>
      </w:r>
      <w:r>
        <w:t>, které kombinace</w:t>
      </w:r>
      <w:r w:rsidR="002B5F32">
        <w:t xml:space="preserve"> (</w:t>
      </w:r>
      <w:r w:rsidR="002B5F32" w:rsidRPr="00173C9D">
        <w:rPr>
          <w:i/>
        </w:rPr>
        <w:t>Uprchlíci * Demokracie * Obrana * Vzdálenost * Export * ~Populisté</w:t>
      </w:r>
      <w:r w:rsidR="002B5F32">
        <w:rPr>
          <w:i/>
        </w:rPr>
        <w:t>)</w:t>
      </w:r>
      <w:r>
        <w:t xml:space="preserve">, </w:t>
      </w:r>
      <w:r w:rsidR="00E5072C">
        <w:t>jež</w:t>
      </w:r>
      <w:r>
        <w:t xml:space="preserve"> tvoří</w:t>
      </w:r>
      <w:r w:rsidR="00E5072C">
        <w:t xml:space="preserve"> dostatečnou podmínku důsledku, </w:t>
      </w:r>
      <w:r>
        <w:t>vysvětlí.</w:t>
      </w:r>
      <w:r w:rsidR="00AF1CA0">
        <w:t xml:space="preserve">  </w:t>
      </w:r>
      <w:r w:rsidR="00E5072C">
        <w:t>Jako přínosná zjištění</w:t>
      </w:r>
      <w:r w:rsidR="00AF1CA0">
        <w:t xml:space="preserve"> (nikoli však dostačující podmínky)</w:t>
      </w:r>
      <w:r w:rsidR="00E5072C">
        <w:t xml:space="preserve"> lze uvést, že </w:t>
      </w:r>
      <w:r w:rsidR="005E3F20">
        <w:t>určitý vliv mají následující</w:t>
      </w:r>
      <w:r w:rsidR="00E5072C">
        <w:t xml:space="preserve"> faktory ovlivňující </w:t>
      </w:r>
      <w:r w:rsidR="005E3F20">
        <w:t xml:space="preserve">bilaterální pomoc: </w:t>
      </w:r>
      <w:r w:rsidR="00AF1CA0">
        <w:t>migrace (také společně s kvalitou liberální demokracie); závislost na ruském plynu, kdy státy, které jsou více závislé na ruském</w:t>
      </w:r>
      <w:r w:rsidR="00DF2AFD">
        <w:t xml:space="preserve"> plynu, podporují Ukrajinu méně</w:t>
      </w:r>
      <w:r w:rsidR="00AF1CA0">
        <w:t xml:space="preserve"> a populismus. Ten byl měřen </w:t>
      </w:r>
      <w:r w:rsidR="008A40A5">
        <w:t>indexem členů vlády populistických stran</w:t>
      </w:r>
      <w:r w:rsidR="00AF1CA0">
        <w:t>, avšak během let 2022 a 2023</w:t>
      </w:r>
      <w:r w:rsidR="003C20E5">
        <w:t>.</w:t>
      </w:r>
      <w:r w:rsidR="00AF1CA0">
        <w:t xml:space="preserve"> </w:t>
      </w:r>
      <w:r w:rsidR="0071706B">
        <w:t>Bylo by žádoucí, aby</w:t>
      </w:r>
      <w:r w:rsidR="00DB1A77">
        <w:t xml:space="preserve"> v rámci</w:t>
      </w:r>
      <w:r w:rsidR="0071706B">
        <w:t xml:space="preserve"> další</w:t>
      </w:r>
      <w:r w:rsidR="00DB1A77">
        <w:t>ho</w:t>
      </w:r>
      <w:r w:rsidR="0071706B">
        <w:t xml:space="preserve"> výzkum</w:t>
      </w:r>
      <w:r w:rsidR="00DB1A77">
        <w:t xml:space="preserve">u byly buď </w:t>
      </w:r>
      <w:r w:rsidR="00DB1A77">
        <w:lastRenderedPageBreak/>
        <w:t>provedeny</w:t>
      </w:r>
      <w:r w:rsidR="0071706B">
        <w:t xml:space="preserve"> případové studi</w:t>
      </w:r>
      <w:r w:rsidR="00DB1A77">
        <w:t xml:space="preserve">e, které by </w:t>
      </w:r>
      <w:r w:rsidR="0071706B">
        <w:t>vysvětlil</w:t>
      </w:r>
      <w:r w:rsidR="00DB1A77">
        <w:t>y</w:t>
      </w:r>
      <w:r w:rsidR="0071706B">
        <w:t xml:space="preserve"> odchýlené případy</w:t>
      </w:r>
      <w:r w:rsidR="00DB1A77">
        <w:t>, nebo zváženy</w:t>
      </w:r>
      <w:r w:rsidR="0071706B">
        <w:t xml:space="preserve"> </w:t>
      </w:r>
      <w:r w:rsidR="0008356C">
        <w:t>další</w:t>
      </w:r>
      <w:r w:rsidR="0071706B">
        <w:t xml:space="preserve"> faktory vedoucí k pomoci, popřípadě její absenci. Přínosná by mohla být také studie, která by se věnovala podpoře v </w:t>
      </w:r>
      <w:r w:rsidR="00256CDA">
        <w:t>čase</w:t>
      </w:r>
      <w:r w:rsidR="005D2871">
        <w:t>. Podařil</w:t>
      </w:r>
      <w:r w:rsidR="00DF2AFD">
        <w:t>o se potvrdit čtyři</w:t>
      </w:r>
      <w:r w:rsidR="005D2871">
        <w:t xml:space="preserve"> ze sedmi hypotéz, avšak pouze vliv geografické vzdálenosti se jeví jako hypotéza, která je </w:t>
      </w:r>
      <w:r w:rsidR="0099502D">
        <w:t xml:space="preserve">dostatečně </w:t>
      </w:r>
      <w:r w:rsidR="005D2871">
        <w:t>konzistentní</w:t>
      </w:r>
      <w:r w:rsidR="0099502D">
        <w:t>m faktorem</w:t>
      </w:r>
      <w:r w:rsidR="005D2871">
        <w:t>. Nepodařilo se ověřit hypotézy o nové Evropě</w:t>
      </w:r>
      <w:r w:rsidR="00DF2AFD">
        <w:t>,</w:t>
      </w:r>
      <w:r w:rsidR="00FA57F0">
        <w:t xml:space="preserve"> obranném rozpočtu</w:t>
      </w:r>
      <w:r w:rsidR="00DF2AFD">
        <w:t xml:space="preserve"> a exportu</w:t>
      </w:r>
      <w:r w:rsidR="005D2871">
        <w:t>.</w:t>
      </w:r>
    </w:p>
    <w:p w:rsidR="001D2E63" w:rsidRDefault="008C613E" w:rsidP="004A418F">
      <w:pPr>
        <w:spacing w:before="240" w:after="240"/>
      </w:pPr>
      <w:r>
        <w:t xml:space="preserve"> </w:t>
      </w:r>
      <w:r w:rsidR="001D2E63">
        <w:t>Vliv vzdálenosti na konflikt byl potvrzen v různých studiích (</w:t>
      </w:r>
      <w:r w:rsidR="001D2E63" w:rsidRPr="00C53FBF">
        <w:t>Joyce &amp; Braithwaite, 2013: 598; Pickering, 2012: 426-427</w:t>
      </w:r>
      <w:r w:rsidR="001D2E63">
        <w:t xml:space="preserve">; Robst et al., </w:t>
      </w:r>
      <w:r w:rsidR="001D2E63" w:rsidRPr="00C53FBF">
        <w:t>2007: 21-22</w:t>
      </w:r>
      <w:r w:rsidR="001D2E63">
        <w:t xml:space="preserve">; </w:t>
      </w:r>
      <w:r w:rsidR="001D2E63" w:rsidRPr="00C53FBF">
        <w:t>Senese, 1996: 133-134</w:t>
      </w:r>
      <w:r w:rsidR="001D2E63">
        <w:t>), nyní lze konstatovat, že geografická vzdá</w:t>
      </w:r>
      <w:r w:rsidR="00E22832">
        <w:t>lenost má vliv také na podporu. Státy vnímají problémy méně</w:t>
      </w:r>
      <w:r w:rsidR="006E74FE">
        <w:t xml:space="preserve"> intenzivně</w:t>
      </w:r>
      <w:r w:rsidR="00E22832">
        <w:t xml:space="preserve">, pokud jsou více vzdálené. </w:t>
      </w:r>
      <w:r w:rsidR="001D2E63">
        <w:t>V konkrétním</w:t>
      </w:r>
      <w:r w:rsidR="00960C8A">
        <w:t xml:space="preserve"> případě rusko-ukrajinské války</w:t>
      </w:r>
      <w:r w:rsidR="001D2E63">
        <w:t xml:space="preserve"> může </w:t>
      </w:r>
      <w:r w:rsidR="00E22832">
        <w:t>toto konstatování vysvětlit</w:t>
      </w:r>
      <w:r w:rsidR="001D2E63">
        <w:t xml:space="preserve"> historická</w:t>
      </w:r>
      <w:r w:rsidR="00960C8A">
        <w:t xml:space="preserve"> zkušenost s ruskou nadvládou, b</w:t>
      </w:r>
      <w:r w:rsidR="001D2E63">
        <w:t xml:space="preserve">yť se nepodařilo potvrdit hypotézu o nové Evropě. Tu narušují především </w:t>
      </w:r>
      <w:r w:rsidR="00960C8A">
        <w:t>Kypr a Malta, jejichž pomoc je marginální</w:t>
      </w:r>
      <w:r w:rsidR="001D2E63">
        <w:t>.</w:t>
      </w:r>
      <w:r w:rsidR="00E22832">
        <w:t xml:space="preserve"> Tyto státy však nebyly součástí Východního bloku.</w:t>
      </w:r>
    </w:p>
    <w:p w:rsidR="000F760A" w:rsidRDefault="000F760A" w:rsidP="004A418F">
      <w:pPr>
        <w:spacing w:before="240" w:after="240"/>
      </w:pPr>
      <w:r>
        <w:t>Energetická závislost na dovozu ruského plynu na podporu Ukrajiny není dostatečně konzistentní (0,72)</w:t>
      </w:r>
      <w:r w:rsidR="00B73A60">
        <w:t xml:space="preserve"> a není ani součástí dostačující kombinace vedoucí k důsledku. </w:t>
      </w:r>
      <w:r>
        <w:t>Avšak státy, které dosahují vysoké závislosti na dovozu ruského plynu, podporují Ukrajinu buď méně, nebo středně (Maďarsko, Rakousko, Bulharsko,</w:t>
      </w:r>
      <w:r w:rsidR="00170BF7">
        <w:t xml:space="preserve"> Itálie, Slovinsko,</w:t>
      </w:r>
      <w:r>
        <w:t xml:space="preserve"> Česko, </w:t>
      </w:r>
      <w:r w:rsidR="00170BF7">
        <w:t>Německo,</w:t>
      </w:r>
      <w:r>
        <w:t xml:space="preserve"> Slovensko</w:t>
      </w:r>
      <w:r w:rsidR="00170BF7">
        <w:t xml:space="preserve"> a Polsko</w:t>
      </w:r>
      <w:r>
        <w:t>).</w:t>
      </w:r>
      <w:r w:rsidR="00B73A60">
        <w:t xml:space="preserve"> Důležitost ruského zemního plynu pro státy EU potvrzuje i fakt, že byl plyn vyňat ze sankčních listů EU </w:t>
      </w:r>
      <w:r w:rsidR="00B73A60" w:rsidRPr="00C53FBF">
        <w:t>(Evropská rada, 2024)</w:t>
      </w:r>
      <w:r w:rsidR="009A616F">
        <w:t xml:space="preserve">, čehož využívá Rusko jako zbraň (Baldwin, </w:t>
      </w:r>
      <w:r w:rsidR="009A616F" w:rsidRPr="00C53FBF">
        <w:t>2023</w:t>
      </w:r>
      <w:r w:rsidR="009A616F">
        <w:t>).</w:t>
      </w:r>
      <w:r w:rsidR="00B73A60">
        <w:t xml:space="preserve"> </w:t>
      </w:r>
      <w:r w:rsidR="009A616F">
        <w:t>Navíc je klíčový v doplnění obnovitelných zdrojů, které jsou náchylné na počasí</w:t>
      </w:r>
      <w:r w:rsidR="00F35599">
        <w:t xml:space="preserve"> (Česká národní banka, 2022)</w:t>
      </w:r>
      <w:r w:rsidR="009A616F">
        <w:t xml:space="preserve">. </w:t>
      </w:r>
      <w:r w:rsidR="00F35599">
        <w:t>Odchylujíc</w:t>
      </w:r>
      <w:r w:rsidR="00170BF7">
        <w:t xml:space="preserve">í se případy lze vysvětlit geografickou vzdáleností. </w:t>
      </w:r>
    </w:p>
    <w:p w:rsidR="009D02EC" w:rsidRDefault="009D02EC" w:rsidP="004A418F">
      <w:pPr>
        <w:spacing w:before="240" w:after="240"/>
      </w:pPr>
      <w:r>
        <w:t>Hypotéza o podílu migrantů v jednotlivých státech a kvalitě liberální demokracie těsně nedosáhla potřebné hodnoty konzistence pro alespoň hrubě konzistentní</w:t>
      </w:r>
      <w:r w:rsidR="0085546E">
        <w:t xml:space="preserve"> hodnotu</w:t>
      </w:r>
      <w:r>
        <w:t xml:space="preserve"> 0,75, když dosahuje hodnoty 0,72. Objevuje se však v 82 % pozorovaných případů, vč. výsledné kombinace, což značí</w:t>
      </w:r>
      <w:r w:rsidR="00581FFC">
        <w:t>, že jsou</w:t>
      </w:r>
      <w:r>
        <w:t xml:space="preserve"> poměrně významný</w:t>
      </w:r>
      <w:r w:rsidR="00581FFC">
        <w:t>m</w:t>
      </w:r>
      <w:r>
        <w:t xml:space="preserve"> faktor. Státy, které jsou konfliktu blíže, vykazují také vyšší podíl uprchlíků, což potvrzuje tvrzení o </w:t>
      </w:r>
      <w:r w:rsidR="003363D8">
        <w:t>kulturní blízkosti a volbě předvídatelných tras uprchlíků</w:t>
      </w:r>
      <w:r>
        <w:t xml:space="preserve"> (Baubock, 2001; Duszczyk a Kaczmarczykn, </w:t>
      </w:r>
      <w:r w:rsidRPr="00C53FBF">
        <w:t>2022</w:t>
      </w:r>
      <w:r>
        <w:t>)</w:t>
      </w:r>
      <w:r w:rsidR="003363D8">
        <w:t>.</w:t>
      </w:r>
    </w:p>
    <w:p w:rsidR="003363D8" w:rsidRDefault="00914C80" w:rsidP="004A418F">
      <w:pPr>
        <w:spacing w:before="240" w:after="240"/>
      </w:pPr>
      <w:r>
        <w:t xml:space="preserve">Podle </w:t>
      </w:r>
      <w:r w:rsidRPr="00C53FBF">
        <w:t>Lanoszk</w:t>
      </w:r>
      <w:r w:rsidR="00F10DD7">
        <w:t>y</w:t>
      </w:r>
      <w:r w:rsidRPr="00C53FBF">
        <w:t xml:space="preserve"> a Becker</w:t>
      </w:r>
      <w:r w:rsidR="00F10DD7">
        <w:t>a</w:t>
      </w:r>
      <w:r>
        <w:t xml:space="preserve"> (2023) byl důležitým aspektem vojenské pomoci vysoký obranný rozpočet</w:t>
      </w:r>
      <w:r w:rsidR="00F10DD7">
        <w:t xml:space="preserve">, ale </w:t>
      </w:r>
      <w:r w:rsidR="00C52A5C">
        <w:t xml:space="preserve">při zkoumání </w:t>
      </w:r>
      <w:r>
        <w:t xml:space="preserve">celkové pomoci se tento faktor ukázal jako málo konzistentní a </w:t>
      </w:r>
      <w:r w:rsidR="003363D8">
        <w:t>nepodařilo</w:t>
      </w:r>
      <w:r>
        <w:t xml:space="preserve"> se</w:t>
      </w:r>
      <w:r w:rsidR="003363D8">
        <w:t xml:space="preserve"> potvrdit, že by se vý</w:t>
      </w:r>
      <w:r>
        <w:t>znamně podílel</w:t>
      </w:r>
      <w:r w:rsidR="003363D8">
        <w:t xml:space="preserve"> na celkové </w:t>
      </w:r>
      <w:r w:rsidR="00C52A5C">
        <w:t>podpoře</w:t>
      </w:r>
      <w:r w:rsidR="003363D8">
        <w:t xml:space="preserve"> Ukrajině. Státy sice důsledkem ruské invaze začaly navyšovat své obranné rozpočty, a tím značně přispěly k tomu, že za rok 2022 byly vykázány rekordní obranné výdaje </w:t>
      </w:r>
      <w:r w:rsidR="003363D8" w:rsidRPr="00C53FBF">
        <w:t>(SIPRI,</w:t>
      </w:r>
      <w:r w:rsidR="003363D8">
        <w:t xml:space="preserve"> 2023</w:t>
      </w:r>
      <w:r w:rsidR="003363D8" w:rsidRPr="00C53FBF">
        <w:t xml:space="preserve">; </w:t>
      </w:r>
      <w:r w:rsidR="003363D8" w:rsidRPr="00C53FBF">
        <w:lastRenderedPageBreak/>
        <w:t>Wallentine,</w:t>
      </w:r>
      <w:r w:rsidR="003363D8">
        <w:t xml:space="preserve"> 2023;</w:t>
      </w:r>
      <w:r w:rsidR="003363D8" w:rsidRPr="00C53FBF">
        <w:t xml:space="preserve"> Tian et al.,</w:t>
      </w:r>
      <w:r w:rsidR="003363D8">
        <w:t xml:space="preserve"> 2023</w:t>
      </w:r>
      <w:r w:rsidR="003363D8" w:rsidRPr="00C53FBF">
        <w:t>)</w:t>
      </w:r>
      <w:r w:rsidR="003363D8">
        <w:t xml:space="preserve">, ale </w:t>
      </w:r>
      <w:r w:rsidR="008A0F8B">
        <w:t xml:space="preserve">konzistence se neblíží požadovaným hodnotám. Státy s vyššími výdaji navíc lze pozorovat jak mezi aktivními přispěvateli (Baltské státy), tak také </w:t>
      </w:r>
      <w:r>
        <w:t>mezi těmi, kteří svou pomoc téměř neposkytují (Řecko, Francie, Kypr). Přínosné by mohlo být budoucí zkoumání obranných rozpočtů na vliv celkové podpory, jelikož evropské státy NATO mají v roce 2024 průměrně vykazovat slíbená dvě procenta. Navíc hned 18 států by mělo tuto hranici překonat</w:t>
      </w:r>
      <w:r w:rsidR="00C52A5C">
        <w:t xml:space="preserve"> (NATO, 2024)</w:t>
      </w:r>
      <w:r>
        <w:t>. V této práci jsem pracoval s poskytnutými daty pouze za rok 2022, čili by se tato změna dynamiky mohla</w:t>
      </w:r>
      <w:r w:rsidR="00B92005">
        <w:t xml:space="preserve"> promítnout</w:t>
      </w:r>
      <w:r>
        <w:t xml:space="preserve"> do celkové pomoci. </w:t>
      </w:r>
    </w:p>
    <w:p w:rsidR="00A850C5" w:rsidRDefault="00A850C5" w:rsidP="004A418F">
      <w:pPr>
        <w:spacing w:before="240" w:after="240"/>
      </w:pPr>
      <w:r>
        <w:t>Export se ukázal jako faktor, který se blíží hodnotě hrubé konzistence, když dosahoval hodnoty 0,</w:t>
      </w:r>
      <w:r w:rsidR="003C20E5">
        <w:t>61</w:t>
      </w:r>
      <w:r>
        <w:t>. Při měření se však projevilo, že s Ruskem nejvíce obchodují státy, které jsou geograficky blíže.</w:t>
      </w:r>
      <w:r w:rsidR="00DF2AFD">
        <w:t xml:space="preserve"> Hypotéza byla zamítnuta, jelikož státy, které s Ruskem více obchodují, nevykazují menší podporu Ukrajiny.</w:t>
      </w:r>
      <w:r>
        <w:t xml:space="preserve"> To prokázal Pearsonův korelační koeficient, který měl hodnotu 0,738, což značí silnou, statisticky významnou (</w:t>
      </w:r>
      <w:r w:rsidR="003C20E5">
        <w:t xml:space="preserve">p </w:t>
      </w:r>
      <w:r>
        <w:t>&lt;</w:t>
      </w:r>
      <w:r w:rsidR="003C20E5">
        <w:t xml:space="preserve"> </w:t>
      </w:r>
      <w:r>
        <w:t xml:space="preserve">0,001) korelaci. </w:t>
      </w:r>
      <w:r w:rsidR="003C20E5">
        <w:t xml:space="preserve">Potvrzuje to tvrzení </w:t>
      </w:r>
      <w:r w:rsidR="003C20E5" w:rsidRPr="00C53FBF">
        <w:t>Pickering</w:t>
      </w:r>
      <w:r w:rsidR="003C20E5">
        <w:t>a</w:t>
      </w:r>
      <w:r w:rsidR="003C20E5" w:rsidRPr="00C53FBF">
        <w:t xml:space="preserve"> </w:t>
      </w:r>
      <w:r w:rsidR="003C20E5">
        <w:t>(</w:t>
      </w:r>
      <w:r w:rsidR="003C20E5" w:rsidRPr="00C53FBF">
        <w:t>2012</w:t>
      </w:r>
      <w:r w:rsidR="003C20E5">
        <w:t xml:space="preserve">) a </w:t>
      </w:r>
      <w:r w:rsidR="003C20E5" w:rsidRPr="00C53FBF">
        <w:t xml:space="preserve"> Robst</w:t>
      </w:r>
      <w:r w:rsidR="003C20E5">
        <w:t>a</w:t>
      </w:r>
      <w:r w:rsidR="003C20E5" w:rsidRPr="00C53FBF">
        <w:t xml:space="preserve"> </w:t>
      </w:r>
      <w:r w:rsidR="003C20E5">
        <w:t>(</w:t>
      </w:r>
      <w:r w:rsidR="003C20E5" w:rsidRPr="00C53FBF">
        <w:t>2007)</w:t>
      </w:r>
      <w:r w:rsidR="003C20E5">
        <w:t>, že státy, které jsou geograficky blíže, spolu více obchodují.</w:t>
      </w:r>
    </w:p>
    <w:p w:rsidR="00DB3A7C" w:rsidRDefault="003C20E5" w:rsidP="00DB3A7C">
      <w:pPr>
        <w:spacing w:before="240" w:after="240"/>
      </w:pPr>
      <w:r>
        <w:t xml:space="preserve">Posledním zkoumaným faktorem byl vliv populistických vlád na celkovou podporu. Tento faktor splnil alespoň hrubou konzistenci 0,77. Avšak během let 2022 a 2023 byly součástí vlád populisté pouze v osmi zemích, proto by stálo za zvážení např. všímat si počtu poslanců populistických stran. Státy, které vykazovaly větší přítomnost v množině </w:t>
      </w:r>
      <w:r w:rsidRPr="003C20E5">
        <w:rPr>
          <w:i/>
        </w:rPr>
        <w:t>„Populisté“</w:t>
      </w:r>
      <w:r>
        <w:t xml:space="preserve"> podporují Ukrajinu méně (Itálie, Maďarsko) nebo středně (Polsko, Slovensko). V případě S</w:t>
      </w:r>
      <w:r w:rsidR="008B6A82">
        <w:t>lovenska je bráno v potaz</w:t>
      </w:r>
      <w:r>
        <w:t xml:space="preserve"> </w:t>
      </w:r>
      <w:r w:rsidR="008B6A82">
        <w:t xml:space="preserve">půlroční vládnutí úřednické vlády </w:t>
      </w:r>
      <w:r w:rsidR="008B6A82" w:rsidRPr="008B6A82">
        <w:t>Ľ</w:t>
      </w:r>
      <w:r w:rsidR="008B6A82">
        <w:t xml:space="preserve">. </w:t>
      </w:r>
      <w:r w:rsidR="008B6A82" w:rsidRPr="008B6A82">
        <w:t>Ódor</w:t>
      </w:r>
      <w:r w:rsidR="008B6A82">
        <w:t>a, která pomoc Ukrajině poskytla. Nová Slovenská vláda má k 1. lednu 2024 11 členů populistických stran (z celkových 17), proto by se další výzkum mohl zabývat, jak se slovenská pomoc Ukrajině bude vyvíjet.</w:t>
      </w:r>
      <w:r w:rsidR="00DB3A7C">
        <w:t xml:space="preserve"> </w:t>
      </w:r>
      <w:r w:rsidR="00DB3A7C" w:rsidRPr="008062AA">
        <w:t xml:space="preserve">Polsko </w:t>
      </w:r>
      <w:r w:rsidR="00DB3A7C">
        <w:t>vykazuje vyšší míru členství (</w:t>
      </w:r>
      <w:r w:rsidR="00DB3A7C" w:rsidRPr="008062AA">
        <w:t>&gt; 0,75) ve všech množinách zvažovaných faktorů, kromě kvality liberální demokracie, ve které dosahuje druhé nejmenší hodnoty</w:t>
      </w:r>
      <w:r w:rsidR="00DB3A7C">
        <w:t>.</w:t>
      </w:r>
    </w:p>
    <w:p w:rsidR="009731C5" w:rsidRDefault="00960C8A" w:rsidP="009731C5">
      <w:pPr>
        <w:spacing w:before="240" w:after="240"/>
      </w:pPr>
      <w:r>
        <w:t>Ačkoli</w:t>
      </w:r>
      <w:r w:rsidR="001D2E63">
        <w:t xml:space="preserve"> se podpora Ukrajiny neomezuje pouze na členské státy EU, jejich podpora je klíčová zejména ve finanční pomoci. Vojensky Ukrajinu zdaleka nejvíce podporují USA. </w:t>
      </w:r>
      <w:r w:rsidR="00767F7B">
        <w:t xml:space="preserve">Ze států EU je největším přispěvatel v celkových číslech Německo, následované, možná překvapivě Dánskem, které vydává na obranu 1,54 % HDP. Dánsko je </w:t>
      </w:r>
      <w:r w:rsidR="0008356C">
        <w:t>druhý největší</w:t>
      </w:r>
      <w:r w:rsidR="00767F7B">
        <w:t xml:space="preserve"> přispěvatel celkové </w:t>
      </w:r>
      <w:r w:rsidR="00F35599">
        <w:t xml:space="preserve">poskytnuté </w:t>
      </w:r>
      <w:r w:rsidR="00767F7B">
        <w:t>pomoci vůči HDP, ale v této práci se mi nepodařilo jejich vysoké zapojení vysvětlit, což naznačuje výskyt jiných, mnou nezohledněných faktorů.</w:t>
      </w:r>
      <w:r w:rsidR="004B68F0">
        <w:t xml:space="preserve"> Je zásadní vzít v potaz, že v rámci této práce byly uvažovány jen některé faktory a pouze za první dva roky války, které se v čase mohou vyvíjet různě.</w:t>
      </w:r>
      <w:bookmarkStart w:id="38" w:name="_Toc164767397"/>
      <w:bookmarkStart w:id="39" w:name="_Toc164808714"/>
    </w:p>
    <w:p w:rsidR="009731C5" w:rsidRPr="009731C5" w:rsidRDefault="009731C5" w:rsidP="009731C5">
      <w:pPr>
        <w:spacing w:before="240" w:after="240"/>
        <w:ind w:firstLine="0"/>
        <w:rPr>
          <w:b/>
          <w:sz w:val="32"/>
          <w:szCs w:val="32"/>
        </w:rPr>
      </w:pPr>
      <w:r w:rsidRPr="009731C5">
        <w:rPr>
          <w:b/>
          <w:sz w:val="32"/>
          <w:szCs w:val="32"/>
        </w:rPr>
        <w:lastRenderedPageBreak/>
        <w:t>Anotace</w:t>
      </w:r>
    </w:p>
    <w:p w:rsidR="009731C5" w:rsidRDefault="009731C5" w:rsidP="009731C5">
      <w:pPr>
        <w:spacing w:before="240" w:after="240"/>
        <w:ind w:firstLine="0"/>
      </w:pPr>
      <w:r w:rsidRPr="009731C5">
        <w:t>24. února 2022 vstoupila ruská vojska na území Ukrajiny. Ruská federace tím započala největší ozbrojený konflikt na území Evropy od druhé světové války. Vyvrcholila tak rusko-ukrajinská krize, která začala již v únoru 2014. Pro celé mezinárodní společenství to byl šok. V následném hlasování Organizace spojených národů (dále OSN) se proti ruské agresi vyslovilo 141 států, vč. všech států Evropské unie (dále EU), a odsoudily tím ruský útok. EU reagovala jednotně a téměř všechny členské státy více či méně podporují Ukrajinu. Míra podpory lze vyčíst z dostupných dat Kielského institutu pro světovou ekonomii, kter</w:t>
      </w:r>
      <w:r>
        <w:t>á jsou pravidelně aktualizována. Nelz</w:t>
      </w:r>
      <w:r w:rsidRPr="009731C5">
        <w:t xml:space="preserve">e z nich však zjistit, které faktory míru podpory ovlivňují. Tato bakalářská práce se zabývá, které ze zkoumaných faktorů ovlivňují bilaterální pomoc jednotlivých států Evropské unie Ukrajině. Zkoumáno je osm faktorů a formulováno sedm hypotéz. H1: </w:t>
      </w:r>
      <w:r w:rsidRPr="009731C5">
        <w:rPr>
          <w:i/>
        </w:rPr>
        <w:t>"Státy, které jsou na zemním plynu z Ruska více závislé, podporují Ukrajinu méně."</w:t>
      </w:r>
      <w:r w:rsidRPr="009731C5">
        <w:t xml:space="preserve"> H2: </w:t>
      </w:r>
      <w:r w:rsidRPr="009731C5">
        <w:rPr>
          <w:i/>
        </w:rPr>
        <w:t>"Státy s vyšším skóre indexu liberální demokracie v kombinaci s vyšším podílem uprchlíků se budou více angažovat v pomoci Ukrajině."</w:t>
      </w:r>
      <w:r w:rsidRPr="009731C5">
        <w:t xml:space="preserve"> H3: </w:t>
      </w:r>
      <w:r w:rsidRPr="009731C5">
        <w:rPr>
          <w:i/>
        </w:rPr>
        <w:t>"Státy patřící k nové Evropě budou podporovat Ukrajinu více než státy staré Evropy"</w:t>
      </w:r>
      <w:r w:rsidRPr="009731C5">
        <w:t xml:space="preserve"> H4: </w:t>
      </w:r>
      <w:r w:rsidRPr="009731C5">
        <w:rPr>
          <w:i/>
        </w:rPr>
        <w:t xml:space="preserve">"Státy s vyšším obranným rozpočtem vůči HDP budou více podporovat Ukrajinu." </w:t>
      </w:r>
      <w:r w:rsidRPr="009731C5">
        <w:t xml:space="preserve">H5: </w:t>
      </w:r>
      <w:r w:rsidRPr="009731C5">
        <w:rPr>
          <w:i/>
        </w:rPr>
        <w:t>"Státy budou s rostoucí vzdáleností podporovat Ukrajinu méně."</w:t>
      </w:r>
      <w:r w:rsidRPr="009731C5">
        <w:t xml:space="preserve"> " H6: </w:t>
      </w:r>
      <w:r w:rsidRPr="009731C5">
        <w:rPr>
          <w:i/>
        </w:rPr>
        <w:t>"Státy s vyšším exportem do Ruska budou Ukrajinu podporovat méně."</w:t>
      </w:r>
      <w:r w:rsidRPr="009731C5">
        <w:t xml:space="preserve"> H7</w:t>
      </w:r>
      <w:r w:rsidRPr="009731C5">
        <w:rPr>
          <w:i/>
        </w:rPr>
        <w:t>: "Státy s větším podílem populistů ve vládě, budou Ukrajinu méně podporovat."</w:t>
      </w:r>
      <w:r w:rsidRPr="009731C5">
        <w:t xml:space="preserve"> Ke zkoumání je využito metody fsQCA a výsledkem je kombinace faktorů, které vysvětlí podporu Ukrajině.</w:t>
      </w:r>
      <w:bookmarkStart w:id="40" w:name="_GoBack"/>
      <w:bookmarkEnd w:id="40"/>
    </w:p>
    <w:p w:rsidR="00801324" w:rsidRPr="00B167F1" w:rsidRDefault="002C7B5B" w:rsidP="00B167F1">
      <w:pPr>
        <w:pStyle w:val="Nadpis1"/>
        <w:spacing w:before="0"/>
        <w:ind w:firstLine="0"/>
        <w:jc w:val="left"/>
        <w:rPr>
          <w:rFonts w:ascii="Times New Roman" w:hAnsi="Times New Roman" w:cs="Times New Roman"/>
          <w:b/>
          <w:color w:val="auto"/>
        </w:rPr>
      </w:pPr>
      <w:r w:rsidRPr="00B167F1">
        <w:rPr>
          <w:rFonts w:ascii="Times New Roman" w:hAnsi="Times New Roman" w:cs="Times New Roman"/>
          <w:b/>
          <w:color w:val="auto"/>
        </w:rPr>
        <w:t>Literatura</w:t>
      </w:r>
      <w:bookmarkEnd w:id="38"/>
      <w:bookmarkEnd w:id="39"/>
    </w:p>
    <w:p w:rsidR="005965E0" w:rsidRPr="00B167F1" w:rsidRDefault="005965E0" w:rsidP="00F87DF2">
      <w:pPr>
        <w:spacing w:before="240" w:after="240"/>
        <w:ind w:firstLine="0"/>
      </w:pPr>
      <w:r w:rsidRPr="00B167F1">
        <w:t>Aghdaei, A. A. (2023). Putting bilateral aid where their mouths are: Evaluating democratic coalition commitment in the Russo-Ukrainian war. Journal Title, Volume(Issue), page range. DOI: 10.5642/urceu.VQYW8429</w:t>
      </w:r>
    </w:p>
    <w:p w:rsidR="005965E0" w:rsidRPr="00B167F1" w:rsidRDefault="005965E0" w:rsidP="00F87DF2">
      <w:pPr>
        <w:spacing w:before="240" w:after="240"/>
        <w:ind w:firstLine="0"/>
      </w:pPr>
      <w:r w:rsidRPr="00B167F1">
        <w:t xml:space="preserve">Aleprete, M. (2017). Minimizing Loss: Explaining Russian Policy Choices during the Ukrainian Crisis. The Soviet and Post-Soviet Review, 44(1), 53–75. </w:t>
      </w:r>
      <w:hyperlink r:id="rId30" w:history="1">
        <w:r w:rsidRPr="00B167F1">
          <w:rPr>
            <w:rStyle w:val="Hypertextovodkaz"/>
            <w:color w:val="auto"/>
            <w:u w:val="none"/>
          </w:rPr>
          <w:t>https://doi.org/10.1163/18763324-04401005</w:t>
        </w:r>
      </w:hyperlink>
    </w:p>
    <w:p w:rsidR="005965E0" w:rsidRPr="00B167F1" w:rsidRDefault="005965E0" w:rsidP="00F87DF2">
      <w:pPr>
        <w:spacing w:before="240" w:after="240"/>
        <w:ind w:firstLine="0"/>
        <w:rPr>
          <w:rStyle w:val="Hypertextovodkaz"/>
          <w:color w:val="auto"/>
          <w:u w:val="none"/>
        </w:rPr>
      </w:pPr>
      <w:r w:rsidRPr="00B167F1">
        <w:t xml:space="preserve">Ang, B. W., Choong, W. L., &amp; Ng, T. S. (2015). Energy security: Definitions, dimensions and indexes [Online]. </w:t>
      </w:r>
      <w:r w:rsidRPr="00B167F1">
        <w:rPr>
          <w:iCs/>
        </w:rPr>
        <w:t>Renewable And Sustainable Energy Reviews, 42</w:t>
      </w:r>
      <w:r w:rsidRPr="00B167F1">
        <w:t xml:space="preserve">, 1077-1093. </w:t>
      </w:r>
      <w:hyperlink r:id="rId31" w:history="1">
        <w:r w:rsidRPr="00B167F1">
          <w:rPr>
            <w:rStyle w:val="Hypertextovodkaz"/>
            <w:color w:val="auto"/>
            <w:u w:val="none"/>
          </w:rPr>
          <w:t>https://doi.org/10.1016/j.rser.2014.10.064</w:t>
        </w:r>
      </w:hyperlink>
    </w:p>
    <w:p w:rsidR="005965E0" w:rsidRPr="00B167F1" w:rsidRDefault="005965E0" w:rsidP="00F87DF2">
      <w:pPr>
        <w:spacing w:before="240" w:after="240"/>
        <w:ind w:firstLine="0"/>
      </w:pPr>
      <w:r w:rsidRPr="00B167F1">
        <w:lastRenderedPageBreak/>
        <w:t>Aversa, P., Furnari, S., &amp; Haefliger, S. (2015). Business model configurations and performance: A qualitative comparative analysis in Formula One racing, 2005–2013. Industrial and Corporate Change, 24(3), 655-676.</w:t>
      </w:r>
    </w:p>
    <w:p w:rsidR="005965E0" w:rsidRPr="00B167F1" w:rsidRDefault="005965E0" w:rsidP="00F87DF2">
      <w:pPr>
        <w:spacing w:before="240" w:after="240"/>
        <w:ind w:firstLine="0"/>
        <w:rPr>
          <w:rStyle w:val="Hypertextovodkaz"/>
          <w:color w:val="auto"/>
          <w:u w:val="none"/>
        </w:rPr>
      </w:pPr>
      <w:r w:rsidRPr="00B167F1">
        <w:t xml:space="preserve">Baker, M. (2003, January 24). U.S.: Rumsfeld's 'Old' And 'New' Europe Touches On Uneasy Divide. Radio Free Europe/Radio Liberty. Retrieved from </w:t>
      </w:r>
      <w:hyperlink r:id="rId32" w:history="1">
        <w:r w:rsidRPr="00B167F1">
          <w:rPr>
            <w:rStyle w:val="Hypertextovodkaz"/>
            <w:color w:val="auto"/>
            <w:u w:val="none"/>
          </w:rPr>
          <w:t>https://www.rferl.org/a/1102012.html</w:t>
        </w:r>
      </w:hyperlink>
    </w:p>
    <w:p w:rsidR="005965E0" w:rsidRPr="00B167F1" w:rsidRDefault="005965E0" w:rsidP="00F87DF2">
      <w:pPr>
        <w:spacing w:before="240" w:after="240"/>
        <w:ind w:firstLine="0"/>
      </w:pPr>
      <w:r w:rsidRPr="00B167F1">
        <w:t xml:space="preserve">Baldwin, H. (2023, October 8). Russia’s War on Ukraine and Transatlantic Energy Security Challenges: General Report. [Document]. Retrieved from NATO Parliamentary Assembly website: </w:t>
      </w:r>
      <w:hyperlink r:id="rId33" w:history="1">
        <w:r w:rsidRPr="00B167F1">
          <w:rPr>
            <w:rStyle w:val="Hypertextovodkaz"/>
            <w:color w:val="auto"/>
            <w:u w:val="none"/>
          </w:rPr>
          <w:t>https://www.nato-pa.int/document/2023-energy-security-report-baldwin-023-esc</w:t>
        </w:r>
      </w:hyperlink>
    </w:p>
    <w:p w:rsidR="005965E0" w:rsidRPr="00B167F1" w:rsidRDefault="005965E0" w:rsidP="00F87DF2">
      <w:pPr>
        <w:spacing w:before="240" w:after="240"/>
        <w:ind w:firstLine="0"/>
      </w:pPr>
      <w:r w:rsidRPr="00B167F1">
        <w:t>Bara, C. (2014). Incentives and opportunities. Journal of Peace Research, 51(6), 696–710.</w:t>
      </w:r>
    </w:p>
    <w:p w:rsidR="005965E0" w:rsidRPr="00B167F1" w:rsidRDefault="005965E0" w:rsidP="00F87DF2">
      <w:pPr>
        <w:spacing w:before="240" w:after="240"/>
        <w:ind w:firstLine="0"/>
        <w:rPr>
          <w:rStyle w:val="Hypertextovodkaz"/>
          <w:color w:val="auto"/>
          <w:u w:val="none"/>
        </w:rPr>
      </w:pPr>
      <w:r w:rsidRPr="00B167F1">
        <w:t xml:space="preserve">Baubock, R. (2001). International migration and liberal democracies: the challenge of integration. Patterns of Prejudice, 35(4), 33–49. </w:t>
      </w:r>
      <w:hyperlink r:id="rId34" w:history="1">
        <w:r w:rsidRPr="00B167F1">
          <w:rPr>
            <w:rStyle w:val="Hypertextovodkaz"/>
            <w:color w:val="auto"/>
            <w:u w:val="none"/>
          </w:rPr>
          <w:t>https://doi.org/10.1080/003132201128811278</w:t>
        </w:r>
      </w:hyperlink>
    </w:p>
    <w:p w:rsidR="005965E0" w:rsidRPr="00B167F1" w:rsidRDefault="005965E0" w:rsidP="00F87DF2">
      <w:pPr>
        <w:spacing w:before="240" w:after="240"/>
        <w:ind w:firstLine="0"/>
      </w:pPr>
      <w:r w:rsidRPr="00B167F1">
        <w:t>Beneš, V., &amp; Drulák, P. (2020). Kvalitativní srovnávací analýza. In Metodologie výzkumu politiky (str. 81–96). SLON.</w:t>
      </w:r>
    </w:p>
    <w:p w:rsidR="005965E0" w:rsidRPr="00B167F1" w:rsidRDefault="005965E0" w:rsidP="00F87DF2">
      <w:pPr>
        <w:spacing w:before="240" w:after="240"/>
        <w:ind w:firstLine="0"/>
        <w:rPr>
          <w:rStyle w:val="Hypertextovodkaz"/>
          <w:color w:val="auto"/>
          <w:u w:val="none"/>
        </w:rPr>
      </w:pPr>
      <w:r w:rsidRPr="00B167F1">
        <w:t xml:space="preserve">Bran, A.-C. (2023). A brutal examination: The efficiency of defense policies on military expenditure, in the context of Ukraine war. Proceedings of the 17th International Conference on Business Excellence 2023, pp. 169-177. </w:t>
      </w:r>
      <w:hyperlink r:id="rId35" w:history="1">
        <w:r w:rsidRPr="00B167F1">
          <w:rPr>
            <w:rStyle w:val="Hypertextovodkaz"/>
            <w:color w:val="auto"/>
            <w:u w:val="none"/>
          </w:rPr>
          <w:t>https://doi.org/10.2478/picbe-2023-0019</w:t>
        </w:r>
      </w:hyperlink>
    </w:p>
    <w:p w:rsidR="005965E0" w:rsidRPr="00B167F1" w:rsidRDefault="005965E0" w:rsidP="00F87DF2">
      <w:pPr>
        <w:widowControl w:val="0"/>
        <w:spacing w:before="240" w:after="240"/>
        <w:ind w:firstLine="0"/>
      </w:pPr>
      <w:r w:rsidRPr="00B167F1">
        <w:t>Buzan, B., Waever, O., &amp; de Wilde, J. (1998). Security: A New Framework for Analysis. Boulder: Lynne Rienner.</w:t>
      </w:r>
    </w:p>
    <w:p w:rsidR="005965E0" w:rsidRPr="00B167F1" w:rsidRDefault="005965E0" w:rsidP="00F87DF2">
      <w:pPr>
        <w:widowControl w:val="0"/>
        <w:spacing w:before="240" w:after="240"/>
        <w:ind w:firstLine="0"/>
      </w:pPr>
      <w:r w:rsidRPr="00B167F1">
        <w:t>Collins, A. (2016). Introduction: What is security studies? In A. Collins (Ed.), Contemporary Security Studies (4th ed., pp. 1–10). Oxford, Oxford University Press.</w:t>
      </w:r>
    </w:p>
    <w:p w:rsidR="00C14937" w:rsidRDefault="005965E0" w:rsidP="00F87DF2">
      <w:pPr>
        <w:widowControl w:val="0"/>
        <w:spacing w:before="240" w:after="240"/>
        <w:ind w:firstLine="0"/>
        <w:rPr>
          <w:rStyle w:val="Hypertextovodkaz"/>
          <w:color w:val="auto"/>
          <w:u w:val="none"/>
        </w:rPr>
      </w:pPr>
      <w:r w:rsidRPr="00B167F1">
        <w:t xml:space="preserve">Česká národní banka. (2022, 6. května). Závislost Evropy na dovozu energetických surovin z Ruska v kontextu ruské invaze na Ukrajinu. [Zpráva o měnové politice, Box 1]. Retrieved from </w:t>
      </w:r>
      <w:hyperlink r:id="rId36" w:history="1">
        <w:r w:rsidRPr="00B167F1">
          <w:rPr>
            <w:rStyle w:val="Hypertextovodkaz"/>
            <w:color w:val="auto"/>
            <w:u w:val="none"/>
          </w:rPr>
          <w:t>https://www.cnb.cz/cs/menova-politika/zpravy-o-menove-politice/boxy-a-clanky/Zavislost-Evropy-na-dovozu-energetickych-surovin-z-Ruska-v-kontextu-ruske-invaze-na-Ukrajinu/</w:t>
        </w:r>
      </w:hyperlink>
    </w:p>
    <w:p w:rsidR="00C14937" w:rsidRDefault="00C14937" w:rsidP="00F87DF2">
      <w:pPr>
        <w:widowControl w:val="0"/>
        <w:spacing w:before="240" w:after="240"/>
        <w:ind w:firstLine="0"/>
      </w:pPr>
      <w:r w:rsidRPr="00C14937">
        <w:t xml:space="preserve">ČTK. (2022, August 29). Hlavně žádná závislost na Rusku. Polsko a Slovensko spojil plynovod. Hospodářské noviny. </w:t>
      </w:r>
      <w:hyperlink r:id="rId37" w:history="1">
        <w:r w:rsidRPr="00C14937">
          <w:rPr>
            <w:rStyle w:val="Hypertextovodkaz"/>
            <w:color w:val="auto"/>
            <w:u w:val="none"/>
          </w:rPr>
          <w:t>https://archiv.hn.cz/c1-67107210-krok-k-vetsi-energeticke-bezpecnosti-polsko-a-slovensko-spojil-plynovod</w:t>
        </w:r>
      </w:hyperlink>
    </w:p>
    <w:p w:rsidR="005965E0" w:rsidRPr="00B167F1" w:rsidRDefault="005965E0" w:rsidP="00F87DF2">
      <w:pPr>
        <w:widowControl w:val="0"/>
        <w:spacing w:before="240" w:after="240"/>
        <w:ind w:firstLine="0"/>
      </w:pPr>
      <w:r w:rsidRPr="00B167F1">
        <w:lastRenderedPageBreak/>
        <w:t>Dahl, Robert A. 2001. O demokracii: průvodce pro občany. Praha: Portál.</w:t>
      </w:r>
    </w:p>
    <w:p w:rsidR="005965E0" w:rsidRPr="00B167F1" w:rsidRDefault="005965E0" w:rsidP="00F87DF2">
      <w:pPr>
        <w:widowControl w:val="0"/>
        <w:spacing w:before="240" w:after="240"/>
        <w:ind w:firstLine="0"/>
      </w:pPr>
      <w:r w:rsidRPr="00B167F1">
        <w:t>Der Derian, J. (2009). Critical Practices in International Theory: Selected Essays. Routledge.</w:t>
      </w:r>
    </w:p>
    <w:p w:rsidR="005965E0" w:rsidRPr="00B167F1" w:rsidRDefault="005965E0" w:rsidP="00F87DF2">
      <w:pPr>
        <w:widowControl w:val="0"/>
        <w:spacing w:before="240" w:after="240"/>
        <w:ind w:firstLine="0"/>
      </w:pPr>
      <w:r w:rsidRPr="00B167F1">
        <w:t xml:space="preserve">Distance.to. (n.d.). Distance calculator [Mobile application software]. Retrieved from </w:t>
      </w:r>
      <w:hyperlink r:id="rId38" w:history="1">
        <w:r w:rsidRPr="00B167F1">
          <w:rPr>
            <w:rStyle w:val="Hypertextovodkaz"/>
            <w:color w:val="auto"/>
            <w:u w:val="none"/>
          </w:rPr>
          <w:t>https://www.distance.to/</w:t>
        </w:r>
      </w:hyperlink>
    </w:p>
    <w:p w:rsidR="005965E0" w:rsidRPr="00B167F1" w:rsidRDefault="005965E0" w:rsidP="00F87DF2">
      <w:pPr>
        <w:widowControl w:val="0"/>
        <w:spacing w:before="240" w:after="240"/>
        <w:ind w:firstLine="0"/>
      </w:pPr>
      <w:r w:rsidRPr="00B167F1">
        <w:t xml:space="preserve">Donaldson, R. H. (2017). The Role of NATO Enlargement in the Ukraine Crisis. The Soviet and Post-Soviet Review, 44(1), 32–52. </w:t>
      </w:r>
      <w:hyperlink r:id="rId39" w:history="1">
        <w:r w:rsidRPr="00B167F1">
          <w:rPr>
            <w:rStyle w:val="Hypertextovodkaz"/>
            <w:color w:val="auto"/>
            <w:u w:val="none"/>
          </w:rPr>
          <w:t>https://doi.org/10.1163/18763324-04401004</w:t>
        </w:r>
      </w:hyperlink>
    </w:p>
    <w:p w:rsidR="005965E0" w:rsidRPr="00B167F1" w:rsidRDefault="005965E0" w:rsidP="00F87DF2">
      <w:pPr>
        <w:spacing w:before="240" w:after="240"/>
        <w:ind w:firstLine="0"/>
        <w:rPr>
          <w:shd w:val="clear" w:color="auto" w:fill="FFFFFF"/>
        </w:rPr>
      </w:pPr>
      <w:r w:rsidRPr="00B167F1">
        <w:rPr>
          <w:shd w:val="clear" w:color="auto" w:fill="FFFFFF"/>
        </w:rPr>
        <w:t>Došek, J. (2012). Kvalitativní komparativní analýza zapojení evropských členů NATO do operací v Afghánistánu. Mezinárodní vztahy, 2(2012), 29-56.</w:t>
      </w:r>
    </w:p>
    <w:p w:rsidR="005965E0" w:rsidRPr="00B167F1" w:rsidRDefault="005965E0" w:rsidP="00F87DF2">
      <w:pPr>
        <w:spacing w:before="240" w:after="240"/>
        <w:ind w:firstLine="0"/>
        <w:rPr>
          <w:rStyle w:val="Hypertextovodkaz"/>
          <w:color w:val="auto"/>
          <w:u w:val="none"/>
        </w:rPr>
      </w:pPr>
      <w:r w:rsidRPr="00B167F1">
        <w:t xml:space="preserve">Duszczyk, M., &amp; Kaczmarczyk, P. (2022, April). War and migration: the recent influx from Ukraine into Poland and possible scenarios for the future. Spotlight, No. 4 (39). Retrieved from </w:t>
      </w:r>
      <w:hyperlink r:id="rId40" w:history="1">
        <w:r w:rsidRPr="00B167F1">
          <w:rPr>
            <w:rStyle w:val="Hypertextovodkaz"/>
            <w:color w:val="auto"/>
            <w:u w:val="none"/>
          </w:rPr>
          <w:t>https://www.migracje.uw.edu.pl/wp-content/uploads/2022/04/Spotlight-APRIL-2022.pdf</w:t>
        </w:r>
      </w:hyperlink>
    </w:p>
    <w:p w:rsidR="005965E0" w:rsidRPr="00B167F1" w:rsidRDefault="005965E0" w:rsidP="00F87DF2">
      <w:pPr>
        <w:widowControl w:val="0"/>
        <w:spacing w:before="240" w:after="240"/>
        <w:ind w:firstLine="0"/>
        <w:rPr>
          <w:rStyle w:val="Hypertextovodkaz"/>
          <w:color w:val="auto"/>
          <w:u w:val="none"/>
        </w:rPr>
      </w:pPr>
      <w:r w:rsidRPr="00B167F1">
        <w:t xml:space="preserve">Environmental and Energy Study Institute. (2021, July 22). Fossil Fuels. </w:t>
      </w:r>
      <w:hyperlink r:id="rId41" w:history="1">
        <w:r w:rsidRPr="00B167F1">
          <w:rPr>
            <w:rStyle w:val="Hypertextovodkaz"/>
            <w:color w:val="auto"/>
            <w:u w:val="none"/>
          </w:rPr>
          <w:t>https://www.eesi.org/topics/fossil-fuels/description</w:t>
        </w:r>
      </w:hyperlink>
    </w:p>
    <w:p w:rsidR="005965E0" w:rsidRPr="00B167F1" w:rsidRDefault="005965E0" w:rsidP="00F87DF2">
      <w:pPr>
        <w:pStyle w:val="Bezmezer"/>
        <w:spacing w:before="240" w:after="240" w:line="360" w:lineRule="auto"/>
        <w:ind w:firstLine="0"/>
      </w:pPr>
      <w:r w:rsidRPr="00B167F1">
        <w:t xml:space="preserve">European Central Bank. (2022). Natural gas dependence and risks to euro area activity. In Vanessa Gunnella, Valerie Jarvis, Richard Morris, &amp; Máté Tóth (Eds.), ECB Economic Bulletin, Issue 1/2022. Retrieved from </w:t>
      </w:r>
      <w:hyperlink r:id="rId42" w:history="1">
        <w:r w:rsidRPr="00B167F1">
          <w:rPr>
            <w:rStyle w:val="Hypertextovodkaz"/>
            <w:color w:val="auto"/>
            <w:u w:val="none"/>
          </w:rPr>
          <w:t>https://www.ecb.europa.eu/press/economic-bulletin/focus/2022/html/ecb.ebbox202201_04~63d8786255.en.html</w:t>
        </w:r>
      </w:hyperlink>
    </w:p>
    <w:p w:rsidR="005965E0" w:rsidRPr="00B167F1" w:rsidRDefault="005965E0" w:rsidP="00F87DF2">
      <w:pPr>
        <w:widowControl w:val="0"/>
        <w:spacing w:before="240" w:after="240"/>
        <w:ind w:firstLine="0"/>
        <w:rPr>
          <w:rStyle w:val="Hypertextovodkaz"/>
          <w:color w:val="auto"/>
          <w:u w:val="none"/>
        </w:rPr>
      </w:pPr>
      <w:r w:rsidRPr="00B167F1">
        <w:t xml:space="preserve">European Commission (EC), (2006). </w:t>
      </w:r>
      <w:r w:rsidRPr="00B167F1">
        <w:rPr>
          <w:iCs/>
        </w:rPr>
        <w:t>Green Paper A European Strategy for Sustainable, Competitive and Secure Energy</w:t>
      </w:r>
      <w:r w:rsidRPr="00B167F1">
        <w:t xml:space="preserve">. Dostupné z </w:t>
      </w:r>
      <w:hyperlink r:id="rId43" w:history="1">
        <w:r w:rsidRPr="00B167F1">
          <w:rPr>
            <w:rStyle w:val="Hypertextovodkaz"/>
            <w:color w:val="auto"/>
            <w:u w:val="none"/>
          </w:rPr>
          <w:t>https://europa.eu/documents/comm/green_papers/pdf/com2006_105_en.pdf</w:t>
        </w:r>
      </w:hyperlink>
    </w:p>
    <w:p w:rsidR="005965E0" w:rsidRPr="00B167F1" w:rsidRDefault="005965E0" w:rsidP="00F87DF2">
      <w:pPr>
        <w:spacing w:before="240" w:after="240"/>
        <w:ind w:firstLine="0"/>
      </w:pPr>
      <w:r w:rsidRPr="00B167F1">
        <w:t>European Commission. (2016). Communication from the Commission to the European Parliament, the European Council, the European Economic and Social Committee and the Committee of the Regions - European Defence Action Plan (COM(2016) 950 final). Brussels.</w:t>
      </w:r>
    </w:p>
    <w:p w:rsidR="005965E0" w:rsidRPr="00B167F1" w:rsidRDefault="005965E0" w:rsidP="00F87DF2">
      <w:pPr>
        <w:widowControl w:val="0"/>
        <w:spacing w:before="240" w:after="240"/>
        <w:ind w:firstLine="0"/>
      </w:pPr>
      <w:r w:rsidRPr="00B167F1">
        <w:t xml:space="preserve">European Defence Agency. (2023). Defence Data. Retrieved from </w:t>
      </w:r>
      <w:hyperlink r:id="rId44" w:history="1">
        <w:r w:rsidRPr="00B167F1">
          <w:rPr>
            <w:rStyle w:val="Hypertextovodkaz"/>
            <w:color w:val="auto"/>
            <w:u w:val="none"/>
          </w:rPr>
          <w:t>https://eda.europa.eu/publications-and-data/defence-data</w:t>
        </w:r>
      </w:hyperlink>
    </w:p>
    <w:p w:rsidR="005965E0" w:rsidRPr="00B167F1" w:rsidRDefault="005965E0" w:rsidP="00F87DF2">
      <w:pPr>
        <w:spacing w:before="240" w:after="240"/>
        <w:ind w:firstLine="0"/>
      </w:pPr>
      <w:r w:rsidRPr="00B167F1">
        <w:lastRenderedPageBreak/>
        <w:t xml:space="preserve">Eurostat. (2024). Population on 1 January [Data file]. Retrieved from </w:t>
      </w:r>
      <w:hyperlink r:id="rId45" w:history="1">
        <w:r w:rsidRPr="00B167F1">
          <w:rPr>
            <w:rStyle w:val="Hypertextovodkaz"/>
            <w:color w:val="auto"/>
            <w:u w:val="none"/>
          </w:rPr>
          <w:t>https://ec.europa.eu/eurostat/databrowser/view/tps00001/default/table?lang=en&amp;category=t_demo.t_demo_pop</w:t>
        </w:r>
      </w:hyperlink>
    </w:p>
    <w:p w:rsidR="005965E0" w:rsidRPr="00B167F1" w:rsidRDefault="005965E0" w:rsidP="00F87DF2">
      <w:pPr>
        <w:spacing w:before="240" w:after="240"/>
        <w:ind w:firstLine="0"/>
      </w:pPr>
      <w:r w:rsidRPr="00B167F1">
        <w:t xml:space="preserve">Evropská rada. (bez data). Reakce EU na válečnou agresi Ruska vůči Ukrajině [webová stránka]. Získáno z </w:t>
      </w:r>
      <w:hyperlink r:id="rId46" w:anchor="invasion" w:history="1">
        <w:r w:rsidRPr="00B167F1">
          <w:rPr>
            <w:rStyle w:val="Hypertextovodkaz"/>
            <w:color w:val="auto"/>
            <w:u w:val="none"/>
          </w:rPr>
          <w:t>https://www.consilium.europa.eu/cs/policies/eu-response-ukraine-invasion/#invasion</w:t>
        </w:r>
      </w:hyperlink>
    </w:p>
    <w:p w:rsidR="005965E0" w:rsidRPr="00B167F1" w:rsidRDefault="005965E0" w:rsidP="00F87DF2">
      <w:pPr>
        <w:spacing w:before="240" w:after="240"/>
        <w:ind w:firstLine="0"/>
        <w:rPr>
          <w:shd w:val="clear" w:color="auto" w:fill="FFFFFF"/>
        </w:rPr>
      </w:pPr>
      <w:r w:rsidRPr="00B167F1">
        <w:rPr>
          <w:shd w:val="clear" w:color="auto" w:fill="FFFFFF"/>
        </w:rPr>
        <w:t xml:space="preserve">Evropský parlament. (2023). Rozšiřování Unie a politika sousedství: Rozšiřování Unie. [Online]. Dostupné z: </w:t>
      </w:r>
      <w:hyperlink r:id="rId47" w:history="1">
        <w:r w:rsidRPr="00B167F1">
          <w:rPr>
            <w:rStyle w:val="Hypertextovodkaz"/>
            <w:color w:val="auto"/>
            <w:u w:val="none"/>
            <w:shd w:val="clear" w:color="auto" w:fill="FFFFFF"/>
          </w:rPr>
          <w:t>https://www.europarl.europa.eu/factsheets/cs/sheet/167/rozsirovani-unie</w:t>
        </w:r>
      </w:hyperlink>
    </w:p>
    <w:p w:rsidR="005965E0" w:rsidRPr="002B3844" w:rsidRDefault="005965E0" w:rsidP="00F87DF2">
      <w:pPr>
        <w:spacing w:before="240" w:after="240"/>
        <w:ind w:firstLine="0"/>
      </w:pPr>
      <w:r w:rsidRPr="002B3844">
        <w:t>Fiss, P., Sharapov, D., &amp; Cronqvist, L. (2013). Opposites attract? Opportunities and challenges for integrating large-N QCA and econometric analysis. Political Research Quarterly, 66, 191-197.</w:t>
      </w:r>
    </w:p>
    <w:p w:rsidR="005965E0" w:rsidRPr="002B3844" w:rsidRDefault="005965E0" w:rsidP="00F87DF2">
      <w:pPr>
        <w:spacing w:before="240" w:after="240"/>
        <w:ind w:firstLine="0"/>
        <w:rPr>
          <w:rStyle w:val="Hypertextovodkaz"/>
          <w:color w:val="auto"/>
          <w:u w:val="none"/>
        </w:rPr>
      </w:pPr>
      <w:r w:rsidRPr="002B3844">
        <w:t xml:space="preserve">Freeman, G. P. (1995). Modes of Immigration Politics in Liberal Democratic States. International Migration Review, 29(4). </w:t>
      </w:r>
      <w:hyperlink r:id="rId48" w:history="1">
        <w:r w:rsidRPr="002B3844">
          <w:rPr>
            <w:rStyle w:val="Hypertextovodkaz"/>
            <w:color w:val="auto"/>
            <w:u w:val="none"/>
          </w:rPr>
          <w:t>https://doi.org/10.1177/019791839502900401</w:t>
        </w:r>
      </w:hyperlink>
    </w:p>
    <w:p w:rsidR="005965E0" w:rsidRPr="002B3844" w:rsidRDefault="005965E0" w:rsidP="00F87DF2">
      <w:pPr>
        <w:spacing w:before="240" w:after="240"/>
        <w:ind w:firstLine="0"/>
      </w:pPr>
      <w:r w:rsidRPr="002B3844">
        <w:t>Galeotti, M. (2018, March 5). I’m sorry for creating the ‘Gerasimov Doctrine’. Foreign Policy. https://foreignpolicy.com/2018/03/05/im-sorry-for-creating-the-gerasimov-doctrine/</w:t>
      </w:r>
    </w:p>
    <w:p w:rsidR="005965E0" w:rsidRPr="002B3844" w:rsidRDefault="005965E0" w:rsidP="00F87DF2">
      <w:pPr>
        <w:spacing w:before="240" w:after="240"/>
        <w:ind w:firstLine="0"/>
      </w:pPr>
      <w:r w:rsidRPr="002B3844">
        <w:t xml:space="preserve">Gershkovich, E. (2022, February 10). Russia’s Massive Military Drills on Ukraine Border Stir Invasion Fears. The Wall Street Journal. </w:t>
      </w:r>
      <w:hyperlink r:id="rId49" w:history="1">
        <w:r w:rsidRPr="002B3844">
          <w:rPr>
            <w:rStyle w:val="Hypertextovodkaz"/>
            <w:color w:val="auto"/>
            <w:u w:val="none"/>
          </w:rPr>
          <w:t>https://www.wsj.com/articles/massive-russian-military-drills-on-ukraine-border-ratchet-up-threat-11644496231</w:t>
        </w:r>
      </w:hyperlink>
    </w:p>
    <w:p w:rsidR="005965E0" w:rsidRPr="002B3844" w:rsidRDefault="005965E0" w:rsidP="00F87DF2">
      <w:pPr>
        <w:spacing w:before="240" w:after="240"/>
        <w:ind w:firstLine="0"/>
      </w:pPr>
      <w:r w:rsidRPr="002B3844">
        <w:t xml:space="preserve">Greenhill, K. M. (2016). Migration as a Weapon in Theory and in Practice. Military Review, November-December 2016. Retrieved from </w:t>
      </w:r>
      <w:hyperlink r:id="rId50" w:history="1">
        <w:r w:rsidRPr="002B3844">
          <w:rPr>
            <w:rStyle w:val="Hypertextovodkaz"/>
            <w:color w:val="auto"/>
            <w:u w:val="none"/>
          </w:rPr>
          <w:t>https://www.armyupress.army.mil/Portals/7/military-review/Archives/English/MilitaryReview_20161231_art007.pdf</w:t>
        </w:r>
      </w:hyperlink>
    </w:p>
    <w:p w:rsidR="005965E0" w:rsidRPr="002B3844" w:rsidRDefault="005965E0" w:rsidP="00F87DF2">
      <w:pPr>
        <w:spacing w:before="240" w:after="240"/>
        <w:ind w:firstLine="0"/>
        <w:rPr>
          <w:rStyle w:val="Hypertextovodkaz"/>
          <w:color w:val="auto"/>
          <w:u w:val="none"/>
        </w:rPr>
      </w:pPr>
      <w:r w:rsidRPr="002B3844">
        <w:t xml:space="preserve">Hollifield, J. F. (2004). The emerging migration state. International Migration Review, 38(3), 885–912. </w:t>
      </w:r>
      <w:hyperlink r:id="rId51" w:history="1">
        <w:r w:rsidRPr="002B3844">
          <w:rPr>
            <w:rStyle w:val="Hypertextovodkaz"/>
            <w:color w:val="auto"/>
            <w:u w:val="none"/>
          </w:rPr>
          <w:t>https://doi.org/10.1111/j.1747-7379.2004.tb00223.x</w:t>
        </w:r>
      </w:hyperlink>
    </w:p>
    <w:p w:rsidR="005965E0" w:rsidRPr="002B3844" w:rsidRDefault="005965E0" w:rsidP="00F87DF2">
      <w:pPr>
        <w:spacing w:before="240" w:after="240"/>
        <w:ind w:firstLine="0"/>
      </w:pPr>
      <w:r w:rsidRPr="002B3844">
        <w:t xml:space="preserve">Charap, S. (2021, November 19). The U.S. Approach to Ukraine’s Border War Isn’t Working. Here’s What Biden Should Do Instead. Politico. </w:t>
      </w:r>
      <w:hyperlink r:id="rId52" w:history="1">
        <w:r w:rsidRPr="002B3844">
          <w:rPr>
            <w:rStyle w:val="Hypertextovodkaz"/>
            <w:color w:val="auto"/>
            <w:u w:val="none"/>
          </w:rPr>
          <w:t>https://www.politico.com/news/magazine/2021/11/19/ukraine-russia-putin-border-522989</w:t>
        </w:r>
      </w:hyperlink>
    </w:p>
    <w:p w:rsidR="005965E0" w:rsidRPr="002B3844" w:rsidRDefault="005965E0" w:rsidP="00F87DF2">
      <w:pPr>
        <w:spacing w:before="240" w:after="240"/>
        <w:ind w:firstLine="0"/>
      </w:pPr>
      <w:r w:rsidRPr="002B3844">
        <w:lastRenderedPageBreak/>
        <w:t xml:space="preserve">Checchi, A., Behrens, A., &amp; Egenhofer, Ch. (2009). </w:t>
      </w:r>
      <w:r w:rsidRPr="002B3844">
        <w:rPr>
          <w:iCs/>
        </w:rPr>
        <w:t>Long-Term Energy Security Risks for Europe: A Sector-Specific Approach</w:t>
      </w:r>
      <w:r w:rsidRPr="002B3844">
        <w:t xml:space="preserve">. </w:t>
      </w:r>
      <w:hyperlink r:id="rId53">
        <w:r w:rsidRPr="002B3844">
          <w:t>doi.org/10.2139/ssrn.1334620</w:t>
        </w:r>
      </w:hyperlink>
    </w:p>
    <w:p w:rsidR="005965E0" w:rsidRPr="002B3844" w:rsidRDefault="005965E0" w:rsidP="00F87DF2">
      <w:pPr>
        <w:spacing w:before="240" w:after="240"/>
        <w:ind w:firstLine="0"/>
      </w:pPr>
      <w:r w:rsidRPr="002B3844">
        <w:t xml:space="preserve">Chester, L, (2010). Conceptualising Energy Security and Making Explicit its Polysemic Nature. </w:t>
      </w:r>
      <w:r w:rsidRPr="002B3844">
        <w:rPr>
          <w:iCs/>
        </w:rPr>
        <w:t>Energy Policy</w:t>
      </w:r>
      <w:r w:rsidRPr="002B3844">
        <w:t xml:space="preserve">, </w:t>
      </w:r>
      <w:r w:rsidRPr="002B3844">
        <w:rPr>
          <w:iCs/>
        </w:rPr>
        <w:t>38</w:t>
      </w:r>
      <w:r w:rsidRPr="002B3844">
        <w:t xml:space="preserve">(2), 887–895. </w:t>
      </w:r>
      <w:hyperlink r:id="rId54">
        <w:r w:rsidRPr="002B3844">
          <w:t>doi.org/10.1016/j.enpol.2009.10.039</w:t>
        </w:r>
      </w:hyperlink>
    </w:p>
    <w:p w:rsidR="005965E0" w:rsidRPr="008D55BA" w:rsidRDefault="005965E0" w:rsidP="00F87DF2">
      <w:pPr>
        <w:spacing w:before="240" w:after="240"/>
        <w:ind w:firstLine="0"/>
      </w:pPr>
      <w:r w:rsidRPr="002B3844">
        <w:t xml:space="preserve">Jenne, E. K. (2021). Populism, nationalism and revisionist foreign policy. International Affairs, </w:t>
      </w:r>
      <w:r w:rsidRPr="008D55BA">
        <w:t>97(2), 323–343. doi:10.1093/ia/iiaa230</w:t>
      </w:r>
    </w:p>
    <w:p w:rsidR="005965E0" w:rsidRPr="008D55BA" w:rsidRDefault="005965E0" w:rsidP="00F87DF2">
      <w:pPr>
        <w:spacing w:before="240" w:after="240"/>
        <w:ind w:firstLine="0"/>
      </w:pPr>
      <w:r w:rsidRPr="008D55BA">
        <w:t>Jones, E. (2003). New Dynamics of “Old Europe.” French Politics, 1(2), 233–242. doi:10.1057/palgrave.fp.8200035</w:t>
      </w:r>
    </w:p>
    <w:p w:rsidR="008D55BA" w:rsidRPr="002B3844" w:rsidRDefault="008D55BA" w:rsidP="00F87DF2">
      <w:pPr>
        <w:spacing w:before="240" w:after="240"/>
        <w:ind w:firstLine="0"/>
      </w:pPr>
      <w:r w:rsidRPr="008D55BA">
        <w:t xml:space="preserve">Jones, P. (2023, September 28). Poland Becomes a Defense Colossus. CEPA. </w:t>
      </w:r>
      <w:hyperlink r:id="rId55" w:history="1">
        <w:r w:rsidRPr="008D55BA">
          <w:rPr>
            <w:rStyle w:val="Hypertextovodkaz"/>
            <w:color w:val="auto"/>
            <w:u w:val="none"/>
          </w:rPr>
          <w:t>https://cepa.org/article/poland-becomes-a-defense-colossus/</w:t>
        </w:r>
      </w:hyperlink>
    </w:p>
    <w:p w:rsidR="005965E0" w:rsidRPr="002B3844" w:rsidRDefault="005965E0" w:rsidP="00F87DF2">
      <w:pPr>
        <w:spacing w:before="240" w:after="240"/>
        <w:ind w:firstLine="0"/>
      </w:pPr>
      <w:r w:rsidRPr="002B3844">
        <w:t>Joyce, K. A., &amp; Braithwaite, A. (2013). Geographic proximity and third-party joiners in militarized interstate disputes. Journal of Peace Research, 50(5), 595–608. DOI: 10.1177/0022343313489587</w:t>
      </w:r>
    </w:p>
    <w:p w:rsidR="005965E0" w:rsidRPr="002B3844" w:rsidRDefault="005965E0" w:rsidP="00F87DF2">
      <w:pPr>
        <w:spacing w:before="240" w:after="240"/>
        <w:ind w:firstLine="0"/>
      </w:pPr>
      <w:r w:rsidRPr="002B3844">
        <w:t>Kapoor, N. (2021, March). Russia-EU Relations: The End of a Strategic Partnership. Brief, Issue No. 451.</w:t>
      </w:r>
    </w:p>
    <w:p w:rsidR="005965E0" w:rsidRPr="002B3844" w:rsidRDefault="005965E0" w:rsidP="00F87DF2">
      <w:pPr>
        <w:spacing w:before="240" w:after="240"/>
        <w:ind w:firstLine="0"/>
      </w:pPr>
      <w:r w:rsidRPr="002B3844">
        <w:t>Keshk, O. M. G., Reuveny, R., &amp; Pollins, B. M. (2010). Trade and Conflict: Proximity, Country Size, and Measures. Conflict Management and Peace Science, 27(1), 3–27. DOI: 10.1177/0265659009352137</w:t>
      </w:r>
    </w:p>
    <w:p w:rsidR="005965E0" w:rsidRPr="002B3844" w:rsidRDefault="005965E0" w:rsidP="00F87DF2">
      <w:pPr>
        <w:spacing w:before="240" w:after="240"/>
        <w:ind w:firstLine="0"/>
      </w:pPr>
      <w:r w:rsidRPr="002B3844">
        <w:t>Kouba, K. (2011). Kvalitativní srovnávací analýza (QCA) a konfigurativní metody v politologii. In: M. Novák (Ed.), Úvod do studia politiky (s. 468–507). Praha: Sociologické nakladatelství.</w:t>
      </w:r>
    </w:p>
    <w:p w:rsidR="005965E0" w:rsidRPr="002B3844" w:rsidRDefault="005965E0" w:rsidP="00F87DF2">
      <w:pPr>
        <w:spacing w:before="240" w:after="240"/>
        <w:ind w:firstLine="0"/>
      </w:pPr>
      <w:r w:rsidRPr="002B3844">
        <w:t>Kouba, K., &amp; Došek, J. (2020). Metodologie výzkumu politiky. In V. Beneš &amp; P. Drulák (Eds.), Metodologie výzkumu politiky (pp. 195-212). SLON.</w:t>
      </w:r>
    </w:p>
    <w:p w:rsidR="005965E0" w:rsidRPr="002B3844" w:rsidRDefault="005965E0" w:rsidP="00F87DF2">
      <w:pPr>
        <w:spacing w:before="240" w:after="240"/>
        <w:ind w:firstLine="0"/>
      </w:pPr>
      <w:r w:rsidRPr="002B3844">
        <w:t>Kříž, Z. (2023). Cesta z Ruska: Ruská agrese proti Ukrajině a její důsledky. Masarykova univerzita.</w:t>
      </w:r>
    </w:p>
    <w:p w:rsidR="005965E0" w:rsidRPr="002B3844" w:rsidRDefault="005965E0" w:rsidP="00F87DF2">
      <w:pPr>
        <w:spacing w:before="240" w:after="240"/>
        <w:ind w:firstLine="0"/>
      </w:pPr>
      <w:r w:rsidRPr="002B3844">
        <w:lastRenderedPageBreak/>
        <w:t xml:space="preserve">Lanoszka, A., &amp; Becker, J. (2023). The art of partial commitment: the politics of military assistance to Ukraine. Post-Soviet Affairs, 39(3), 173-194. </w:t>
      </w:r>
      <w:hyperlink r:id="rId56" w:history="1">
        <w:r w:rsidRPr="002B3844">
          <w:rPr>
            <w:rStyle w:val="Hypertextovodkaz"/>
            <w:color w:val="auto"/>
            <w:u w:val="none"/>
          </w:rPr>
          <w:t>https://doi.org/10.1080/1060586X.2022.2162758</w:t>
        </w:r>
      </w:hyperlink>
    </w:p>
    <w:p w:rsidR="005965E0" w:rsidRPr="002B3844" w:rsidRDefault="005965E0" w:rsidP="00F87DF2">
      <w:pPr>
        <w:widowControl w:val="0"/>
        <w:spacing w:before="240" w:after="240"/>
        <w:ind w:firstLine="0"/>
      </w:pPr>
      <w:r w:rsidRPr="002B3844">
        <w:t>Le Cacheux, J., Laurent, E. (2015). The EU as a Global Ecological Leader. In: Report on the State of the European Union. Palgrave Macmillan, London. https://doi.org/10.1057/9781137451088_9</w:t>
      </w:r>
    </w:p>
    <w:p w:rsidR="005965E0" w:rsidRPr="002B3844" w:rsidRDefault="005965E0" w:rsidP="00F87DF2">
      <w:pPr>
        <w:widowControl w:val="0"/>
        <w:spacing w:before="240" w:after="240"/>
        <w:ind w:firstLine="0"/>
      </w:pPr>
      <w:r w:rsidRPr="002B3844">
        <w:t xml:space="preserve">Löschel, A., Moslener, U., Rubbelke, D.T.G., (2010). Indicators of energy security in  industrialised countries. </w:t>
      </w:r>
      <w:r w:rsidRPr="002B3844">
        <w:rPr>
          <w:iCs/>
        </w:rPr>
        <w:t>Energy Policy, 38</w:t>
      </w:r>
      <w:r w:rsidRPr="002B3844">
        <w:t xml:space="preserve"> (4), 1665–1671. DOI: </w:t>
      </w:r>
      <w:hyperlink r:id="rId57">
        <w:r w:rsidRPr="002B3844">
          <w:t>10.1016/j.enpol.2009.03.061</w:t>
        </w:r>
      </w:hyperlink>
    </w:p>
    <w:p w:rsidR="005965E0" w:rsidRPr="002B3844" w:rsidRDefault="005965E0" w:rsidP="00F87DF2">
      <w:pPr>
        <w:widowControl w:val="0"/>
        <w:spacing w:before="240" w:after="240"/>
        <w:ind w:firstLine="0"/>
      </w:pPr>
      <w:r w:rsidRPr="002B3844">
        <w:t>Mackie, J. (1966). The Direction of Causation. The Philosophical Review, 75(4), 441-466.</w:t>
      </w:r>
    </w:p>
    <w:p w:rsidR="005965E0" w:rsidRPr="002B3844" w:rsidRDefault="005965E0" w:rsidP="00F87DF2">
      <w:pPr>
        <w:widowControl w:val="0"/>
        <w:spacing w:before="240" w:after="240"/>
        <w:ind w:firstLine="0"/>
      </w:pPr>
      <w:r w:rsidRPr="002B3844">
        <w:t xml:space="preserve">Makhanov, K. (n.d.). Old Europe, New Europe and the Associated Trio. Eurasian Research Institute. Retrieved from </w:t>
      </w:r>
      <w:hyperlink r:id="rId58" w:history="1">
        <w:r w:rsidRPr="002B3844">
          <w:rPr>
            <w:rStyle w:val="Hypertextovodkaz"/>
            <w:color w:val="auto"/>
            <w:u w:val="none"/>
          </w:rPr>
          <w:t>https://www.eurasian-research.org/publication/old-europe-new-europe-and-the-associated-trio/</w:t>
        </w:r>
      </w:hyperlink>
    </w:p>
    <w:p w:rsidR="005965E0" w:rsidRPr="002B3844" w:rsidRDefault="005965E0" w:rsidP="00F87DF2">
      <w:pPr>
        <w:widowControl w:val="0"/>
        <w:spacing w:before="240" w:after="240"/>
        <w:ind w:firstLine="0"/>
      </w:pPr>
      <w:r w:rsidRPr="002B3844">
        <w:t>Mitchell, J. V., (2002)</w:t>
      </w:r>
      <w:r w:rsidRPr="002B3844">
        <w:rPr>
          <w:iCs/>
        </w:rPr>
        <w:t>. Renewing Energy Security.</w:t>
      </w:r>
      <w:r w:rsidRPr="002B3844">
        <w:t xml:space="preserve"> Royal Institute of International Affairs</w:t>
      </w:r>
    </w:p>
    <w:p w:rsidR="005965E0" w:rsidRPr="002B3844" w:rsidRDefault="005965E0" w:rsidP="00F87DF2">
      <w:pPr>
        <w:widowControl w:val="0"/>
        <w:spacing w:before="240" w:after="240"/>
        <w:ind w:firstLine="0"/>
        <w:rPr>
          <w:rStyle w:val="Hypertextovodkaz"/>
          <w:color w:val="auto"/>
          <w:u w:val="none"/>
        </w:rPr>
      </w:pPr>
      <w:r w:rsidRPr="002B3844">
        <w:t xml:space="preserve">Nate, S., Stavytskyy, A., &amp; Kharlamova, G. (2023). Index of the openness and transparency of budgeting and financial management of the defence and security sector: Case of Ukraine. Sustainability, 15(7), 5617. </w:t>
      </w:r>
      <w:hyperlink r:id="rId59" w:history="1">
        <w:r w:rsidRPr="002B3844">
          <w:rPr>
            <w:rStyle w:val="Hypertextovodkaz"/>
            <w:color w:val="auto"/>
            <w:u w:val="none"/>
          </w:rPr>
          <w:t>https://doi.org/10.3390/su15075617</w:t>
        </w:r>
      </w:hyperlink>
    </w:p>
    <w:p w:rsidR="005965E0" w:rsidRPr="002B3844" w:rsidRDefault="005965E0" w:rsidP="00F87DF2">
      <w:pPr>
        <w:spacing w:before="240" w:after="240"/>
        <w:ind w:firstLine="0"/>
        <w:rPr>
          <w:rStyle w:val="Hypertextovodkaz"/>
          <w:color w:val="auto"/>
          <w:u w:val="none"/>
        </w:rPr>
      </w:pPr>
      <w:r w:rsidRPr="002B3844">
        <w:t xml:space="preserve">NATO. (2023, July 7). Defence expenditures of NATO countries (2014-2023) [Press release]. </w:t>
      </w:r>
      <w:hyperlink r:id="rId60" w:history="1">
        <w:r w:rsidRPr="002B3844">
          <w:rPr>
            <w:rStyle w:val="Hypertextovodkaz"/>
            <w:color w:val="auto"/>
            <w:u w:val="none"/>
          </w:rPr>
          <w:t>https://www.nato.int/cps/en/natohq/news_216897.htm</w:t>
        </w:r>
      </w:hyperlink>
    </w:p>
    <w:p w:rsidR="005965E0" w:rsidRPr="002B3844" w:rsidRDefault="005965E0" w:rsidP="00F87DF2">
      <w:pPr>
        <w:spacing w:before="240" w:after="240"/>
        <w:ind w:firstLine="0"/>
      </w:pPr>
      <w:r w:rsidRPr="002B3844">
        <w:t xml:space="preserve">NATO. (2024, February 14). Secretary General welcomes unprecedented rise in NATO defence spending [Press release]. </w:t>
      </w:r>
      <w:hyperlink r:id="rId61" w:history="1">
        <w:r w:rsidRPr="002B3844">
          <w:rPr>
            <w:rStyle w:val="Hypertextovodkaz"/>
            <w:color w:val="auto"/>
            <w:u w:val="none"/>
          </w:rPr>
          <w:t>https://www.nato.int/cps/en/natohq/news_222664.htm</w:t>
        </w:r>
      </w:hyperlink>
    </w:p>
    <w:p w:rsidR="005965E0" w:rsidRPr="002B3844" w:rsidRDefault="005965E0" w:rsidP="00F87DF2">
      <w:pPr>
        <w:widowControl w:val="0"/>
        <w:spacing w:before="240" w:after="240"/>
        <w:ind w:firstLine="0"/>
        <w:rPr>
          <w:rStyle w:val="Hypertextovodkaz"/>
          <w:color w:val="auto"/>
          <w:u w:val="none"/>
        </w:rPr>
      </w:pPr>
      <w:r w:rsidRPr="002B3844">
        <w:t xml:space="preserve">Natter, K. (2018). Rethinking immigration policy theory beyond ‘Western liberal democracies’. Comparative Migration Studies, 6(4). </w:t>
      </w:r>
      <w:hyperlink r:id="rId62" w:history="1">
        <w:r w:rsidRPr="002B3844">
          <w:rPr>
            <w:rStyle w:val="Hypertextovodkaz"/>
            <w:color w:val="auto"/>
            <w:u w:val="none"/>
          </w:rPr>
          <w:t>https://doi.org/10.1186/s40878-018-0075-8</w:t>
        </w:r>
      </w:hyperlink>
    </w:p>
    <w:p w:rsidR="005965E0" w:rsidRPr="002B3844" w:rsidRDefault="005965E0" w:rsidP="00F87DF2">
      <w:pPr>
        <w:widowControl w:val="0"/>
        <w:spacing w:before="240" w:after="240"/>
        <w:ind w:firstLine="0"/>
        <w:rPr>
          <w:rStyle w:val="Hypertextovodkaz"/>
          <w:color w:val="auto"/>
          <w:u w:val="none"/>
        </w:rPr>
      </w:pPr>
      <w:r w:rsidRPr="002B3844">
        <w:rPr>
          <w:rStyle w:val="Hypertextovodkaz"/>
          <w:color w:val="auto"/>
          <w:u w:val="none"/>
        </w:rPr>
        <w:t xml:space="preserve">Nord, M., Lundstedt, M., Altman, D., Angiolillo, F., Borella, C., Fernandes, T., Gastaldi, L., Good God, A., Natsika, N., &amp; Lindberg, S. I. (2024). Democracy Report 2024: Democracy Winning and Losing at the Ballot. V-Dem Institute, University of Gothenburg. Retrieved from </w:t>
      </w:r>
      <w:hyperlink r:id="rId63" w:history="1">
        <w:r w:rsidRPr="002B3844">
          <w:rPr>
            <w:rStyle w:val="Hypertextovodkaz"/>
            <w:color w:val="auto"/>
            <w:u w:val="none"/>
          </w:rPr>
          <w:t>https://v-dem.net/documents/43/v-dem_dr2024_lowres.pdf</w:t>
        </w:r>
      </w:hyperlink>
    </w:p>
    <w:p w:rsidR="005965E0" w:rsidRPr="002B3844" w:rsidRDefault="005965E0" w:rsidP="00F87DF2">
      <w:pPr>
        <w:spacing w:before="240" w:after="240"/>
        <w:ind w:firstLine="0"/>
      </w:pPr>
      <w:r w:rsidRPr="002B3844">
        <w:lastRenderedPageBreak/>
        <w:t xml:space="preserve">Oana, I.-E., Schneider, C. Q., &amp; Thomann, E. (2021). Qualitative Comparative Analysis Using R: A Beginner’s Guide. Cambridge University Press. </w:t>
      </w:r>
      <w:hyperlink r:id="rId64" w:history="1">
        <w:r w:rsidRPr="002B3844">
          <w:rPr>
            <w:rStyle w:val="Hypertextovodkaz"/>
            <w:color w:val="auto"/>
            <w:u w:val="none"/>
          </w:rPr>
          <w:t>https://doi.org/10.1017/9781009006781</w:t>
        </w:r>
      </w:hyperlink>
    </w:p>
    <w:p w:rsidR="005965E0" w:rsidRPr="002B3844" w:rsidRDefault="005965E0" w:rsidP="00F87DF2">
      <w:pPr>
        <w:spacing w:before="240" w:after="240"/>
        <w:ind w:firstLine="0"/>
        <w:rPr>
          <w:rStyle w:val="Hypertextovodkaz"/>
          <w:color w:val="auto"/>
          <w:u w:val="none"/>
        </w:rPr>
      </w:pPr>
      <w:r w:rsidRPr="002B3844">
        <w:t xml:space="preserve">Pepinsky, T. B., Reiff, Á., &amp; Szabó, K. (2022, September 13). The Ukrainian Refugee Crisis and the Politics of Public Opinion: Evidence from Hungary. Abstract. Retrieved from </w:t>
      </w:r>
      <w:hyperlink r:id="rId65" w:history="1">
        <w:r w:rsidRPr="002B3844">
          <w:rPr>
            <w:rStyle w:val="Hypertextovodkaz"/>
            <w:color w:val="auto"/>
            <w:u w:val="none"/>
          </w:rPr>
          <w:t>https://doi.org/10.31219/osf.io/4mvc6</w:t>
        </w:r>
      </w:hyperlink>
    </w:p>
    <w:p w:rsidR="005965E0" w:rsidRPr="002B3844" w:rsidRDefault="005965E0" w:rsidP="00F87DF2">
      <w:pPr>
        <w:spacing w:before="240" w:after="240"/>
        <w:ind w:firstLine="0"/>
      </w:pPr>
      <w:r w:rsidRPr="002B3844">
        <w:t xml:space="preserve">Perrigo, B. (2022, February 22). How Putin's Denial of Ukraine's Statehood Rewrites History. Time. </w:t>
      </w:r>
      <w:hyperlink r:id="rId66" w:history="1">
        <w:r w:rsidRPr="002B3844">
          <w:rPr>
            <w:rStyle w:val="Hypertextovodkaz"/>
            <w:color w:val="auto"/>
            <w:u w:val="none"/>
          </w:rPr>
          <w:t>https://time.com/6150046/ukraine-statehood-russia-history-putin/</w:t>
        </w:r>
      </w:hyperlink>
    </w:p>
    <w:p w:rsidR="005965E0" w:rsidRPr="002B3844" w:rsidRDefault="005965E0" w:rsidP="00F87DF2">
      <w:pPr>
        <w:spacing w:before="240" w:after="240"/>
        <w:ind w:firstLine="0"/>
      </w:pPr>
      <w:r w:rsidRPr="002B3844">
        <w:t>Pickering, S. (2012). Proximity, Maps and Conflict: New Measures, New Maps and New Findings. Conflict Management and Peace Science, 29(4), 425–443. DOI: 10.1177/0738894212449092</w:t>
      </w:r>
    </w:p>
    <w:p w:rsidR="001F572C" w:rsidRDefault="005965E0" w:rsidP="00F87DF2">
      <w:pPr>
        <w:spacing w:before="240" w:after="240"/>
        <w:ind w:firstLine="0"/>
      </w:pPr>
      <w:r w:rsidRPr="002B3844">
        <w:t>Plagemann, J., &amp; Destradi, S. (2018). Populism and Foreign Policy: The Case of India. Foreign Policy Analysis. doi:10.1093/fpa/ory010</w:t>
      </w:r>
    </w:p>
    <w:p w:rsidR="001F572C" w:rsidRDefault="001F572C" w:rsidP="00F87DF2">
      <w:pPr>
        <w:spacing w:before="240" w:after="240"/>
        <w:ind w:firstLine="0"/>
      </w:pPr>
      <w:r w:rsidRPr="001F572C">
        <w:t xml:space="preserve">Polish Economic Institute. (2023, June 20). Poland leads the way in Europe by reducing its dependence on Russian gas. Retrieved from </w:t>
      </w:r>
      <w:hyperlink r:id="rId67" w:history="1">
        <w:r w:rsidRPr="001F572C">
          <w:rPr>
            <w:rStyle w:val="Hypertextovodkaz"/>
            <w:color w:val="auto"/>
            <w:u w:val="none"/>
          </w:rPr>
          <w:t>https://pie.net.pl/en/poland-leads-the-way-in-europe-by-reducing-its-dependence-on-russian-gas/</w:t>
        </w:r>
      </w:hyperlink>
    </w:p>
    <w:p w:rsidR="005965E0" w:rsidRPr="002B3844" w:rsidRDefault="005965E0" w:rsidP="00F87DF2">
      <w:pPr>
        <w:spacing w:before="240" w:after="240"/>
        <w:ind w:firstLine="0"/>
      </w:pPr>
      <w:r w:rsidRPr="002B3844">
        <w:t xml:space="preserve">Putin, V. (2021, July 12). On the historical unity of Russians and Ukrainians. Retrieved from </w:t>
      </w:r>
      <w:hyperlink r:id="rId68" w:history="1">
        <w:r w:rsidRPr="002B3844">
          <w:rPr>
            <w:rStyle w:val="Hypertextovodkaz"/>
            <w:color w:val="auto"/>
            <w:u w:val="none"/>
          </w:rPr>
          <w:t>http://en.kremlin.ru/events/president/news/66181</w:t>
        </w:r>
      </w:hyperlink>
    </w:p>
    <w:p w:rsidR="005965E0" w:rsidRPr="002B3844" w:rsidRDefault="005965E0" w:rsidP="00F87DF2">
      <w:pPr>
        <w:spacing w:before="240" w:after="240"/>
        <w:ind w:firstLine="0"/>
      </w:pPr>
      <w:r w:rsidRPr="002B3844">
        <w:t xml:space="preserve">Rada Evropské unie. (2022, březen 21). Strategický kompas pro bezpečnost a obranu – Za Evropskou unii, která chrání své občany, hodnoty a zájmy a přispívá k mezinárodnímu míru a bezpečnosti (Dokument č. 7371/22). Získáno z </w:t>
      </w:r>
      <w:hyperlink r:id="rId69" w:history="1">
        <w:r w:rsidRPr="002B3844">
          <w:rPr>
            <w:rStyle w:val="Hypertextovodkaz"/>
            <w:color w:val="auto"/>
            <w:u w:val="none"/>
          </w:rPr>
          <w:t>https://data.consilium.europa.eu/doc/document/ST-7371-2022-INIT/cs/pdf</w:t>
        </w:r>
      </w:hyperlink>
    </w:p>
    <w:p w:rsidR="005965E0" w:rsidRPr="002B3844" w:rsidRDefault="005965E0" w:rsidP="00F87DF2">
      <w:pPr>
        <w:widowControl w:val="0"/>
        <w:spacing w:before="240" w:after="240"/>
        <w:ind w:firstLine="0"/>
        <w:rPr>
          <w:rStyle w:val="Hypertextovodkaz"/>
          <w:color w:val="auto"/>
          <w:u w:val="none"/>
          <w:shd w:val="clear" w:color="auto" w:fill="FFFFFF"/>
        </w:rPr>
      </w:pPr>
      <w:r w:rsidRPr="002B3844">
        <w:rPr>
          <w:shd w:val="clear" w:color="auto" w:fill="FFFFFF"/>
        </w:rPr>
        <w:t xml:space="preserve">Rada Evropské unie. (2024, March 8). Infographic - Where does the EU’s gas come from? [Infographics]. Consilium. </w:t>
      </w:r>
      <w:hyperlink r:id="rId70" w:history="1">
        <w:r w:rsidRPr="002B3844">
          <w:rPr>
            <w:rStyle w:val="Hypertextovodkaz"/>
            <w:color w:val="auto"/>
            <w:u w:val="none"/>
            <w:shd w:val="clear" w:color="auto" w:fill="FFFFFF"/>
          </w:rPr>
          <w:t>https://www.consilium.europa.eu/en/infographics/eu-gas-supply/</w:t>
        </w:r>
      </w:hyperlink>
    </w:p>
    <w:p w:rsidR="005965E0" w:rsidRPr="002B3844" w:rsidRDefault="005965E0" w:rsidP="00F87DF2">
      <w:pPr>
        <w:spacing w:before="240" w:after="240"/>
        <w:ind w:firstLine="0"/>
      </w:pPr>
      <w:r w:rsidRPr="002B3844">
        <w:t>Ragin, C. (2008). Redesigning social inquiry. Chicago: University of Chicago Press.</w:t>
      </w:r>
    </w:p>
    <w:p w:rsidR="005965E0" w:rsidRPr="002B3844" w:rsidRDefault="005965E0" w:rsidP="00F87DF2">
      <w:pPr>
        <w:spacing w:before="240" w:after="240"/>
        <w:ind w:firstLine="0"/>
        <w:rPr>
          <w:rStyle w:val="Hypertextovodkaz"/>
          <w:color w:val="auto"/>
          <w:u w:val="none"/>
          <w:shd w:val="clear" w:color="auto" w:fill="FFFFFF"/>
        </w:rPr>
      </w:pPr>
      <w:r w:rsidRPr="002B3844">
        <w:t>Ragin, C. C. (1987), The comparative method: Moving beyond qualitative and quantitative strategies. University of California Press.</w:t>
      </w:r>
    </w:p>
    <w:p w:rsidR="005965E0" w:rsidRPr="002B3844" w:rsidRDefault="005965E0" w:rsidP="00F87DF2">
      <w:pPr>
        <w:spacing w:before="240" w:after="240"/>
        <w:ind w:firstLine="0"/>
      </w:pPr>
      <w:r w:rsidRPr="002B3844">
        <w:t>Ragin, C. C. (2000). Fuzzy-Set Social Science. Chicago: University of Chicago Press.</w:t>
      </w:r>
    </w:p>
    <w:p w:rsidR="005965E0" w:rsidRPr="002B3844" w:rsidRDefault="005965E0" w:rsidP="00F87DF2">
      <w:pPr>
        <w:spacing w:before="240" w:after="240"/>
        <w:ind w:firstLine="0"/>
      </w:pPr>
      <w:r w:rsidRPr="002B3844">
        <w:lastRenderedPageBreak/>
        <w:t>Robst, J., Polachek, S., &amp; Chang, Y.-C. (2007). Geographic Proximity, Trade, and International Conflict/Cooperation. Conflict Management and Peace Science, 24(1), 1–24. DOI: 10.1080/07388940600837680</w:t>
      </w:r>
    </w:p>
    <w:p w:rsidR="005965E0" w:rsidRPr="002B3844" w:rsidRDefault="005965E0" w:rsidP="00F87DF2">
      <w:pPr>
        <w:spacing w:before="240" w:after="240"/>
        <w:ind w:firstLine="0"/>
        <w:rPr>
          <w:rStyle w:val="Hypertextovodkaz"/>
          <w:color w:val="auto"/>
          <w:u w:val="none"/>
        </w:rPr>
      </w:pPr>
      <w:r w:rsidRPr="002B3844">
        <w:rPr>
          <w:rStyle w:val="Hypertextovodkaz"/>
          <w:color w:val="auto"/>
          <w:u w:val="none"/>
        </w:rPr>
        <w:t xml:space="preserve">Rooduijn, M., Pirro, A. L. P., Halikiopoulou, D., Froio, C., van Kessel, S., de Lange, S. L., Mudde, C., &amp; Taggart, P. (2023). The PopuList: A Database of Populist, Far-Left, and Far-Right Parties Using Expert-Informed Qualitative Comparative Classification (EiQCC). British Journal of Political Science, 1–10. </w:t>
      </w:r>
      <w:hyperlink r:id="rId71" w:history="1">
        <w:r w:rsidRPr="002B3844">
          <w:rPr>
            <w:rStyle w:val="Hypertextovodkaz"/>
            <w:color w:val="auto"/>
            <w:u w:val="none"/>
          </w:rPr>
          <w:t>https://doi.org/10.1017/S0007123423000431</w:t>
        </w:r>
      </w:hyperlink>
    </w:p>
    <w:p w:rsidR="005965E0" w:rsidRPr="002B3844" w:rsidRDefault="005965E0" w:rsidP="00F87DF2">
      <w:pPr>
        <w:spacing w:before="240" w:after="240"/>
        <w:ind w:firstLine="0"/>
      </w:pPr>
      <w:r w:rsidRPr="002B3844">
        <w:t>Rubinson, C., Gerrits, L. M., Rutten, R., &amp; Greckhamer, T. (2019). Avoiding Common Errors in QCA: A ShortGuide for New Practitioners. COMPASSS - Working Paper (</w:t>
      </w:r>
      <w:hyperlink r:id="rId72" w:history="1">
        <w:r w:rsidRPr="002B3844">
          <w:rPr>
            <w:rStyle w:val="Hypertextovodkaz"/>
            <w:color w:val="auto"/>
            <w:u w:val="none"/>
          </w:rPr>
          <w:t>http://compasss.org/wp-content/uploads/2019/07/Common_Errors_in_QCA.pdf</w:t>
        </w:r>
      </w:hyperlink>
      <w:r w:rsidRPr="002B3844">
        <w:t>).</w:t>
      </w:r>
    </w:p>
    <w:p w:rsidR="005965E0" w:rsidRPr="002B3844" w:rsidRDefault="005965E0" w:rsidP="00F87DF2">
      <w:pPr>
        <w:spacing w:before="240" w:after="240"/>
        <w:ind w:firstLine="0"/>
      </w:pPr>
      <w:r w:rsidRPr="002B3844">
        <w:t xml:space="preserve">Rutland, P. (2013). Neoliberalism and the Russian transition. Review of International Political Economy, 20(2), 332–362. </w:t>
      </w:r>
      <w:hyperlink r:id="rId73" w:history="1">
        <w:r w:rsidRPr="002B3844">
          <w:rPr>
            <w:rStyle w:val="Hypertextovodkaz"/>
            <w:color w:val="auto"/>
            <w:u w:val="none"/>
          </w:rPr>
          <w:t>https://doi.org/10.1080/09692290.2012.727844</w:t>
        </w:r>
      </w:hyperlink>
    </w:p>
    <w:p w:rsidR="005965E0" w:rsidRPr="002B3844" w:rsidRDefault="005965E0" w:rsidP="00F87DF2">
      <w:pPr>
        <w:spacing w:before="240" w:after="240"/>
        <w:ind w:firstLine="0"/>
      </w:pPr>
      <w:r w:rsidRPr="002B3844">
        <w:t xml:space="preserve">Senese, P. D. (1996). Geographical Proximity and Issue Salience: Their Effects on the Escalation of Militarized Interstate Conflict. Conflict Management and Peace Science, 15(2), 133–161. </w:t>
      </w:r>
      <w:hyperlink r:id="rId74" w:history="1">
        <w:r w:rsidRPr="002B3844">
          <w:rPr>
            <w:rStyle w:val="Hypertextovodkaz"/>
            <w:color w:val="auto"/>
            <w:u w:val="none"/>
          </w:rPr>
          <w:t>https://doi.org/10.1177/073889429601500202</w:t>
        </w:r>
      </w:hyperlink>
    </w:p>
    <w:p w:rsidR="005965E0" w:rsidRPr="002B3844" w:rsidRDefault="005965E0" w:rsidP="00F87DF2">
      <w:pPr>
        <w:spacing w:before="240" w:after="240"/>
        <w:ind w:firstLine="0"/>
        <w:rPr>
          <w:rStyle w:val="Hypertextovodkaz"/>
          <w:color w:val="auto"/>
          <w:u w:val="none"/>
        </w:rPr>
      </w:pPr>
      <w:r w:rsidRPr="002B3844">
        <w:t xml:space="preserve">SIPRI (Stockholm International Peace Research Institute). (2023). SIPRI Yearbook 2023 Summary. In Armaments, Disarmament and International Security. Retrieved from </w:t>
      </w:r>
      <w:hyperlink r:id="rId75" w:history="1">
        <w:r w:rsidRPr="002B3844">
          <w:rPr>
            <w:rStyle w:val="Hypertextovodkaz"/>
            <w:color w:val="auto"/>
            <w:u w:val="none"/>
          </w:rPr>
          <w:t>www.sipriyearbook.org</w:t>
        </w:r>
      </w:hyperlink>
    </w:p>
    <w:p w:rsidR="005965E0" w:rsidRPr="002B3844" w:rsidRDefault="005965E0" w:rsidP="00F87DF2">
      <w:pPr>
        <w:spacing w:before="240" w:after="240"/>
        <w:ind w:firstLine="0"/>
      </w:pPr>
      <w:r w:rsidRPr="002B3844">
        <w:t xml:space="preserve">Slobodchikoff, M. O. (2017). Challenging US Hegemony: The Ukrainian Crisis and Russian Regional Order. The Soviet and Post-Soviet Review, 44(1), 76–95. </w:t>
      </w:r>
      <w:hyperlink r:id="rId76" w:history="1">
        <w:r w:rsidRPr="002B3844">
          <w:rPr>
            <w:rStyle w:val="Hypertextovodkaz"/>
            <w:color w:val="auto"/>
            <w:u w:val="none"/>
          </w:rPr>
          <w:t>https://doi.org/10.1163/18763324-04401006</w:t>
        </w:r>
      </w:hyperlink>
    </w:p>
    <w:p w:rsidR="005965E0" w:rsidRPr="002B3844" w:rsidRDefault="005965E0" w:rsidP="00986224">
      <w:pPr>
        <w:spacing w:before="240" w:after="240"/>
        <w:ind w:firstLine="0"/>
        <w:rPr>
          <w:rStyle w:val="Hypertextovodkaz"/>
          <w:color w:val="auto"/>
          <w:u w:val="none"/>
        </w:rPr>
      </w:pPr>
      <w:r w:rsidRPr="002B3844">
        <w:t xml:space="preserve">Teke Lloyd, A., &amp; Sirkeci, I. (2022). A Long-Term View of Refugee Flows from Ukraine: War, Insecurities, and Migration. Migration Letters, 19(4), 523–535. </w:t>
      </w:r>
      <w:hyperlink r:id="rId77" w:history="1">
        <w:r w:rsidRPr="002B3844">
          <w:rPr>
            <w:rStyle w:val="Hypertextovodkaz"/>
            <w:color w:val="auto"/>
            <w:u w:val="none"/>
          </w:rPr>
          <w:t>https://doi.org/10.33182/ml.v19i4.2313</w:t>
        </w:r>
      </w:hyperlink>
    </w:p>
    <w:p w:rsidR="005965E0" w:rsidRPr="002B3844" w:rsidRDefault="005965E0" w:rsidP="00986224">
      <w:pPr>
        <w:spacing w:before="240" w:after="240"/>
        <w:ind w:firstLine="0"/>
        <w:rPr>
          <w:rStyle w:val="Hypertextovodkaz"/>
          <w:color w:val="auto"/>
          <w:u w:val="none"/>
        </w:rPr>
      </w:pPr>
      <w:r w:rsidRPr="002B3844">
        <w:t xml:space="preserve">Tharoor, I. (2023, April 17). The ‘old Europe’ vs. ‘new Europe’ paradigm is back. The Washington Post. </w:t>
      </w:r>
      <w:hyperlink r:id="rId78" w:history="1">
        <w:r w:rsidRPr="002B3844">
          <w:rPr>
            <w:rStyle w:val="Hypertextovodkaz"/>
            <w:color w:val="auto"/>
            <w:u w:val="none"/>
          </w:rPr>
          <w:t>https://www.washingtonpost.com/world/2023/04/17/old-europe-new-rumsfeld-eastern-europe/</w:t>
        </w:r>
      </w:hyperlink>
    </w:p>
    <w:p w:rsidR="005965E0" w:rsidRDefault="005965E0" w:rsidP="00986224">
      <w:pPr>
        <w:spacing w:before="240" w:after="240"/>
        <w:ind w:firstLine="0"/>
        <w:rPr>
          <w:rStyle w:val="Hypertextovodkaz"/>
          <w:color w:val="auto"/>
          <w:u w:val="none"/>
        </w:rPr>
      </w:pPr>
      <w:r w:rsidRPr="002B3844">
        <w:lastRenderedPageBreak/>
        <w:t xml:space="preserve">Tian, N., da Silva, D. L., Béraud-Sudreau, L., Liang, X., Scarazzato, L., &amp; Assis, A. (2023). Developments in Military Expenditure and the Effects of the War in Ukraine. Defence and Peace Economics, 34(5), 547-562. </w:t>
      </w:r>
      <w:hyperlink r:id="rId79" w:history="1">
        <w:r w:rsidRPr="002B3844">
          <w:rPr>
            <w:rStyle w:val="Hypertextovodkaz"/>
            <w:color w:val="auto"/>
            <w:u w:val="none"/>
          </w:rPr>
          <w:t>https://doi.org/10.1080/10242694.2023.2221877</w:t>
        </w:r>
      </w:hyperlink>
    </w:p>
    <w:p w:rsidR="00986224" w:rsidRDefault="00986224" w:rsidP="00986224">
      <w:pPr>
        <w:spacing w:before="240" w:after="240"/>
        <w:ind w:firstLine="0"/>
        <w:rPr>
          <w:rStyle w:val="Hypertextovodkaz"/>
          <w:color w:val="auto"/>
          <w:u w:val="none"/>
        </w:rPr>
      </w:pPr>
      <w:r w:rsidRPr="00986224">
        <w:rPr>
          <w:rStyle w:val="Hypertextovodkaz"/>
          <w:color w:val="auto"/>
          <w:u w:val="none"/>
        </w:rPr>
        <w:t xml:space="preserve">Tisdall, S. (2024, February 17). Poland is again threatened by a tyrant. This time, Europe must not look away. The Guardian. Retrieved from </w:t>
      </w:r>
      <w:hyperlink r:id="rId80" w:history="1">
        <w:r w:rsidRPr="00986224">
          <w:rPr>
            <w:rStyle w:val="Hypertextovodkaz"/>
            <w:color w:val="auto"/>
            <w:u w:val="none"/>
          </w:rPr>
          <w:t>https://www.theguardian.com/commentisfree/2024/feb/17/poland-russia-vladimir-putin-donald-tusk</w:t>
        </w:r>
      </w:hyperlink>
    </w:p>
    <w:p w:rsidR="00986224" w:rsidRPr="002B3844" w:rsidRDefault="00986224" w:rsidP="00F87DF2">
      <w:pPr>
        <w:spacing w:before="240" w:after="240"/>
        <w:ind w:firstLine="0"/>
        <w:rPr>
          <w:rStyle w:val="Hypertextovodkaz"/>
          <w:color w:val="auto"/>
          <w:u w:val="none"/>
        </w:rPr>
      </w:pPr>
    </w:p>
    <w:p w:rsidR="005965E0" w:rsidRPr="002B3844" w:rsidRDefault="005965E0" w:rsidP="00F87DF2">
      <w:pPr>
        <w:spacing w:before="240" w:after="240"/>
        <w:ind w:firstLine="0"/>
      </w:pPr>
      <w:r w:rsidRPr="002B3844">
        <w:t>Trebesch, C. (2023). Foreign support to Ukraine: Evidence from a database of military, financial, and humanitarian aid. In Y. Gorodnichenko &amp; V. Rashkovan (Eds.), Supporting Ukraine: More critical than ever (pp. 129–146). CEPR Press.</w:t>
      </w:r>
    </w:p>
    <w:p w:rsidR="005965E0" w:rsidRPr="002B3844" w:rsidRDefault="005965E0" w:rsidP="00F87DF2">
      <w:pPr>
        <w:spacing w:before="240" w:after="240"/>
        <w:ind w:firstLine="0"/>
      </w:pPr>
      <w:r w:rsidRPr="002B3844">
        <w:t>Trebesch, C., Antezza, A., Bushnell, K., Bomprezzi, P., Dyussimbinov, Y., Frank, A., Frank, P., Franz, L., Kharitonov, I., Kumar, B., Rebinskaya, E., Schade, C., Schramm, S., &amp; Weiser, L. (2024). The Ukraine Support Tracker: Which countries help Ukraine and how? Kiel Working Paper, No. 2218, 1-75.</w:t>
      </w:r>
    </w:p>
    <w:p w:rsidR="005965E0" w:rsidRPr="002B3844" w:rsidRDefault="005965E0" w:rsidP="00F87DF2">
      <w:pPr>
        <w:spacing w:before="240" w:after="240"/>
        <w:ind w:firstLine="0"/>
        <w:rPr>
          <w:rStyle w:val="Hypertextovodkaz"/>
          <w:color w:val="auto"/>
          <w:u w:val="none"/>
        </w:rPr>
      </w:pPr>
      <w:r w:rsidRPr="002B3844">
        <w:t xml:space="preserve">UNHCR. (2024, March 14). Refugees from Ukraine recorded in Europe. Retrieved from </w:t>
      </w:r>
      <w:hyperlink r:id="rId81" w:history="1">
        <w:r w:rsidRPr="002B3844">
          <w:rPr>
            <w:rStyle w:val="Hypertextovodkaz"/>
            <w:color w:val="auto"/>
            <w:u w:val="none"/>
          </w:rPr>
          <w:t>https://data.unhcr.org/en/situations/ukraine</w:t>
        </w:r>
      </w:hyperlink>
    </w:p>
    <w:p w:rsidR="005965E0" w:rsidRPr="002B3844" w:rsidRDefault="005965E0" w:rsidP="00F87DF2">
      <w:pPr>
        <w:spacing w:before="240" w:after="240"/>
        <w:ind w:firstLine="0"/>
        <w:rPr>
          <w:rStyle w:val="Hypertextovodkaz"/>
          <w:color w:val="auto"/>
          <w:u w:val="none"/>
        </w:rPr>
      </w:pPr>
      <w:r w:rsidRPr="002B3844">
        <w:t xml:space="preserve">United Nations. (2014). Territorial integrity of Ukraine: Resolution. General Assembly Resolution, 68/262. </w:t>
      </w:r>
      <w:hyperlink r:id="rId82" w:history="1">
        <w:r w:rsidRPr="002B3844">
          <w:rPr>
            <w:rStyle w:val="Hypertextovodkaz"/>
            <w:color w:val="auto"/>
            <w:u w:val="none"/>
          </w:rPr>
          <w:t>https://digitallibrary.un.org/record/767565</w:t>
        </w:r>
      </w:hyperlink>
    </w:p>
    <w:p w:rsidR="005965E0" w:rsidRPr="002B3844" w:rsidRDefault="005965E0" w:rsidP="00F87DF2">
      <w:pPr>
        <w:spacing w:before="240" w:after="240"/>
        <w:ind w:firstLine="0"/>
        <w:rPr>
          <w:rStyle w:val="Hypertextovodkaz"/>
          <w:color w:val="auto"/>
          <w:u w:val="none"/>
        </w:rPr>
      </w:pPr>
      <w:r w:rsidRPr="002B3844">
        <w:t xml:space="preserve">United Nations. (2023). Principles of the Charter of the United Nations underlying a comprehensive, just and lasting peace in Ukraine (Resolution ES-11/6). A/RES/ES-11/6. Retrieved from </w:t>
      </w:r>
      <w:hyperlink r:id="rId83" w:history="1">
        <w:r w:rsidRPr="002B3844">
          <w:rPr>
            <w:rStyle w:val="Hypertextovodkaz"/>
            <w:color w:val="auto"/>
            <w:u w:val="none"/>
          </w:rPr>
          <w:t>https://documents.un.org/doc/undoc/gen/n23/063/07/pdf/n2306307.pdf?token=EY4ckEzQrUqW1whitT&amp;fe=true</w:t>
        </w:r>
      </w:hyperlink>
    </w:p>
    <w:p w:rsidR="005965E0" w:rsidRPr="002B3844" w:rsidRDefault="005965E0" w:rsidP="00F87DF2">
      <w:pPr>
        <w:spacing w:before="240" w:after="240"/>
        <w:ind w:firstLine="0"/>
      </w:pPr>
      <w:r w:rsidRPr="002B3844">
        <w:t xml:space="preserve">V-Dem Institute. (2023). Democracy Report 2023: Defiance in the Face of Autocratization. University of Gothenburg: Varieties of Democracy Institute. Retrieved from </w:t>
      </w:r>
      <w:hyperlink r:id="rId84" w:history="1">
        <w:r w:rsidRPr="002B3844">
          <w:rPr>
            <w:rStyle w:val="Hypertextovodkaz"/>
            <w:color w:val="auto"/>
            <w:u w:val="none"/>
          </w:rPr>
          <w:t>https://www.v-dem.net/documents/29/V-dem_democracyreport2023_lowres.pdf</w:t>
        </w:r>
      </w:hyperlink>
    </w:p>
    <w:p w:rsidR="005965E0" w:rsidRPr="002B3844" w:rsidRDefault="005965E0" w:rsidP="00F87DF2">
      <w:pPr>
        <w:spacing w:before="240" w:after="240"/>
        <w:ind w:firstLine="0"/>
        <w:rPr>
          <w:rStyle w:val="Hypertextovodkaz"/>
          <w:color w:val="auto"/>
          <w:u w:val="none"/>
        </w:rPr>
      </w:pPr>
      <w:r w:rsidRPr="002B3844">
        <w:lastRenderedPageBreak/>
        <w:t xml:space="preserve">Wagner, M. (2015). 2015 in Review: How Europe Reacted to the Refugee Crisis. International Centre for Migration Policy Development. Retrieved from </w:t>
      </w:r>
      <w:hyperlink r:id="rId85" w:history="1">
        <w:r w:rsidRPr="002B3844">
          <w:rPr>
            <w:rStyle w:val="Hypertextovodkaz"/>
            <w:color w:val="auto"/>
            <w:u w:val="none"/>
          </w:rPr>
          <w:t>https://www.icmpd.org/blog/2015/2015-in-review-how-europe-reacted-to-the-refugee-crisis</w:t>
        </w:r>
      </w:hyperlink>
    </w:p>
    <w:p w:rsidR="005965E0" w:rsidRPr="002B3844" w:rsidRDefault="005965E0" w:rsidP="00F87DF2">
      <w:pPr>
        <w:spacing w:before="240" w:after="240"/>
        <w:ind w:firstLine="0"/>
        <w:rPr>
          <w:rStyle w:val="Hypertextovodkaz"/>
          <w:color w:val="auto"/>
          <w:u w:val="none"/>
        </w:rPr>
      </w:pPr>
      <w:r w:rsidRPr="002B3844">
        <w:t xml:space="preserve">Wallentine, K. (2023). Never enough: EU military spending challenges in the face of open conflict. The Journal of International Relations, Peace Studies, and Development, 8(1), Article 4. Retrieved from </w:t>
      </w:r>
      <w:hyperlink r:id="rId86" w:history="1">
        <w:r w:rsidRPr="002B3844">
          <w:rPr>
            <w:rStyle w:val="Hypertextovodkaz"/>
            <w:color w:val="auto"/>
            <w:u w:val="none"/>
          </w:rPr>
          <w:t>https://scholarworks.arcadia.edu/agsjournal/vol8/iss1/4</w:t>
        </w:r>
      </w:hyperlink>
    </w:p>
    <w:p w:rsidR="005965E0" w:rsidRPr="002B3844" w:rsidRDefault="005965E0" w:rsidP="00F87DF2">
      <w:pPr>
        <w:spacing w:before="240" w:after="240"/>
        <w:ind w:firstLine="0"/>
      </w:pPr>
      <w:r w:rsidRPr="002B3844">
        <w:t xml:space="preserve">Wehner, L. E., &amp; Thies, C. G. (2020). The nexus of populism and foreign policy: The case of Latin America. International Relations. Advance online publication. </w:t>
      </w:r>
      <w:hyperlink r:id="rId87" w:history="1">
        <w:r w:rsidRPr="002B3844">
          <w:rPr>
            <w:rStyle w:val="Hypertextovodkaz"/>
            <w:color w:val="auto"/>
            <w:u w:val="none"/>
          </w:rPr>
          <w:t>https://doi.org/10.1177/0047117820944430</w:t>
        </w:r>
      </w:hyperlink>
    </w:p>
    <w:p w:rsidR="005965E0" w:rsidRPr="002B3844" w:rsidRDefault="005965E0" w:rsidP="00F87DF2">
      <w:pPr>
        <w:spacing w:before="240" w:after="240"/>
        <w:ind w:firstLine="0"/>
      </w:pPr>
      <w:r w:rsidRPr="002B3844">
        <w:t xml:space="preserve">Winzer, C. (2012). Conceptualizing energy security [Online]. </w:t>
      </w:r>
      <w:r w:rsidRPr="002B3844">
        <w:rPr>
          <w:iCs/>
        </w:rPr>
        <w:t>Energy Policy, 46</w:t>
      </w:r>
      <w:r w:rsidRPr="002B3844">
        <w:t xml:space="preserve">, 36-48. </w:t>
      </w:r>
      <w:hyperlink r:id="rId88">
        <w:r w:rsidRPr="002B3844">
          <w:t>https://doi.org/10.1016/j.enpol.2012.02.067</w:t>
        </w:r>
      </w:hyperlink>
    </w:p>
    <w:p w:rsidR="005965E0" w:rsidRPr="002B3844" w:rsidRDefault="005965E0" w:rsidP="00F87DF2">
      <w:pPr>
        <w:spacing w:before="240" w:after="240"/>
        <w:ind w:firstLine="0"/>
      </w:pPr>
      <w:r w:rsidRPr="002B3844">
        <w:t>Wojczewski, T. (2019). Trump, Populism, and American Foreign Policy. Foreign Policy Analysis. doi:10.1093/fpa/orz021</w:t>
      </w:r>
    </w:p>
    <w:p w:rsidR="005965E0" w:rsidRPr="002B3844" w:rsidRDefault="005965E0" w:rsidP="00F87DF2">
      <w:pPr>
        <w:tabs>
          <w:tab w:val="left" w:pos="2970"/>
        </w:tabs>
        <w:spacing w:before="240" w:after="240"/>
        <w:ind w:firstLine="0"/>
        <w:rPr>
          <w:rStyle w:val="Hypertextovodkaz"/>
          <w:color w:val="auto"/>
          <w:u w:val="none"/>
        </w:rPr>
      </w:pPr>
      <w:r w:rsidRPr="002B3844">
        <w:t xml:space="preserve">World Bank. (2024). The World BankData [Data file]. Retrieved from </w:t>
      </w:r>
      <w:hyperlink r:id="rId89" w:history="1">
        <w:r w:rsidRPr="002B3844">
          <w:rPr>
            <w:rStyle w:val="Hypertextovodkaz"/>
            <w:color w:val="auto"/>
            <w:u w:val="none"/>
          </w:rPr>
          <w:t>https://data.worldbank.org/indicator/NY.GDP.MKTP.CD?end=2022&amp;start=2004&amp;view=map</w:t>
        </w:r>
      </w:hyperlink>
    </w:p>
    <w:p w:rsidR="005965E0" w:rsidRPr="002B3844" w:rsidRDefault="005965E0" w:rsidP="00F87DF2">
      <w:pPr>
        <w:tabs>
          <w:tab w:val="left" w:pos="2970"/>
        </w:tabs>
        <w:spacing w:before="240" w:after="240"/>
        <w:ind w:firstLine="0"/>
        <w:rPr>
          <w:rStyle w:val="Hypertextovodkaz"/>
          <w:color w:val="auto"/>
          <w:u w:val="none"/>
        </w:rPr>
      </w:pPr>
      <w:r w:rsidRPr="002B3844">
        <w:rPr>
          <w:rStyle w:val="Hypertextovodkaz"/>
          <w:color w:val="auto"/>
          <w:u w:val="none"/>
        </w:rPr>
        <w:t>World Bank. (n.d.). WITS [Computer software]. Retrieved from https://wits.worldbank.org/Default.aspx?lang=en&amp;fbclid=IwAR0SAIgF6034LkTVM5Hm_o6Z61em8_Ps3eSii8sVkSqjGgDz-55w2ds8Cjw</w:t>
      </w:r>
    </w:p>
    <w:p w:rsidR="00E95B31" w:rsidRDefault="005965E0" w:rsidP="00F87DF2">
      <w:pPr>
        <w:pStyle w:val="Bezmezer"/>
        <w:spacing w:before="240" w:after="240" w:line="360" w:lineRule="auto"/>
        <w:ind w:firstLine="0"/>
        <w:rPr>
          <w:rStyle w:val="Hypertextovodkaz"/>
          <w:color w:val="auto"/>
          <w:u w:val="none"/>
        </w:rPr>
      </w:pPr>
      <w:r w:rsidRPr="002B3844">
        <w:t xml:space="preserve">Zachmann, G., Tagliapietra, S., McWilliams, B., &amp; Sgaravatti, G. (2022, February 28). Preparing for the first winter without Russian gas. Bruegel. </w:t>
      </w:r>
      <w:hyperlink r:id="rId90" w:history="1">
        <w:r w:rsidRPr="002B3844">
          <w:rPr>
            <w:rStyle w:val="Hypertextovodkaz"/>
            <w:color w:val="auto"/>
            <w:u w:val="none"/>
          </w:rPr>
          <w:t>https://www.bruegel.org/blog-post/preparing-first-winter-without-russian-gas</w:t>
        </w:r>
      </w:hyperlink>
    </w:p>
    <w:p w:rsidR="005A738B" w:rsidRDefault="005A738B" w:rsidP="00F87DF2">
      <w:pPr>
        <w:pStyle w:val="Bezmezer"/>
        <w:spacing w:before="240" w:after="240" w:line="360" w:lineRule="auto"/>
        <w:ind w:firstLine="0"/>
        <w:rPr>
          <w:rStyle w:val="Hypertextovodkaz"/>
          <w:color w:val="auto"/>
          <w:u w:val="none"/>
        </w:rPr>
      </w:pPr>
    </w:p>
    <w:p w:rsidR="00A93E57" w:rsidRDefault="00A93E57" w:rsidP="00A93E57">
      <w:pPr>
        <w:pStyle w:val="Bezmezer"/>
        <w:spacing w:before="240" w:after="240"/>
        <w:ind w:firstLine="0"/>
        <w:rPr>
          <w:rStyle w:val="Hypertextovodkaz"/>
          <w:color w:val="auto"/>
          <w:u w:val="none"/>
        </w:rPr>
      </w:pPr>
      <w:bookmarkStart w:id="41" w:name="_Toc164775252"/>
      <w:r>
        <w:rPr>
          <w:rStyle w:val="Hypertextovodkaz"/>
          <w:color w:val="auto"/>
          <w:u w:val="none"/>
        </w:rPr>
        <w:t>Graf 1: autor</w:t>
      </w:r>
    </w:p>
    <w:p w:rsidR="00A93E57" w:rsidRDefault="00A93E57" w:rsidP="00A93E57">
      <w:pPr>
        <w:pStyle w:val="Bezmezer"/>
        <w:spacing w:before="240" w:after="240"/>
        <w:ind w:firstLine="0"/>
        <w:rPr>
          <w:rStyle w:val="Hypertextovodkaz"/>
          <w:color w:val="auto"/>
          <w:u w:val="none"/>
        </w:rPr>
      </w:pPr>
      <w:r>
        <w:rPr>
          <w:rStyle w:val="Hypertextovodkaz"/>
          <w:color w:val="auto"/>
          <w:u w:val="none"/>
        </w:rPr>
        <w:t>Graf 2: autor</w:t>
      </w:r>
    </w:p>
    <w:p w:rsidR="00C80817" w:rsidRDefault="00C80817" w:rsidP="00A93E57">
      <w:pPr>
        <w:pStyle w:val="Bezmezer"/>
        <w:spacing w:before="240" w:after="240"/>
        <w:ind w:firstLine="0"/>
        <w:rPr>
          <w:rStyle w:val="Hypertextovodkaz"/>
          <w:color w:val="auto"/>
          <w:u w:val="none"/>
        </w:rPr>
      </w:pPr>
      <w:r>
        <w:rPr>
          <w:rStyle w:val="Hypertextovodkaz"/>
          <w:color w:val="auto"/>
          <w:u w:val="none"/>
        </w:rPr>
        <w:t>Obrázek 1: autor</w:t>
      </w:r>
    </w:p>
    <w:p w:rsidR="00C80817" w:rsidRPr="00C80817" w:rsidRDefault="00C80817" w:rsidP="00A93E57">
      <w:pPr>
        <w:pStyle w:val="Bezmezer"/>
        <w:spacing w:before="240" w:after="240"/>
        <w:ind w:firstLine="0"/>
        <w:rPr>
          <w:rStyle w:val="Hypertextovodkaz"/>
          <w:color w:val="auto"/>
          <w:u w:val="none"/>
        </w:rPr>
      </w:pPr>
      <w:r>
        <w:rPr>
          <w:rStyle w:val="Hypertextovodkaz"/>
          <w:color w:val="auto"/>
          <w:u w:val="none"/>
        </w:rPr>
        <w:t>Obrázek 2: autor</w:t>
      </w:r>
    </w:p>
    <w:p w:rsidR="00C80817" w:rsidRPr="00C80817" w:rsidRDefault="00C80817" w:rsidP="00A93E57">
      <w:pPr>
        <w:pStyle w:val="Bezmezer"/>
        <w:spacing w:before="240" w:after="240"/>
        <w:ind w:firstLine="0"/>
        <w:rPr>
          <w:rStyle w:val="Hypertextovodkaz"/>
          <w:color w:val="auto"/>
          <w:u w:val="none"/>
        </w:rPr>
      </w:pPr>
      <w:r>
        <w:rPr>
          <w:rStyle w:val="Hypertextovodkaz"/>
          <w:color w:val="auto"/>
          <w:u w:val="none"/>
        </w:rPr>
        <w:t>Obrázek 3: autor</w:t>
      </w:r>
    </w:p>
    <w:p w:rsidR="00C80817" w:rsidRPr="00C80817" w:rsidRDefault="00C80817" w:rsidP="00A93E57">
      <w:pPr>
        <w:pStyle w:val="Bezmezer"/>
        <w:spacing w:before="240" w:after="240"/>
        <w:ind w:firstLine="0"/>
        <w:rPr>
          <w:rStyle w:val="Hypertextovodkaz"/>
          <w:color w:val="auto"/>
          <w:u w:val="none"/>
        </w:rPr>
      </w:pPr>
      <w:r>
        <w:rPr>
          <w:rStyle w:val="Hypertextovodkaz"/>
          <w:color w:val="auto"/>
          <w:u w:val="none"/>
        </w:rPr>
        <w:lastRenderedPageBreak/>
        <w:t>Obrázek 4: autor</w:t>
      </w:r>
    </w:p>
    <w:p w:rsidR="00C80817" w:rsidRPr="00C80817" w:rsidRDefault="00C80817" w:rsidP="00A93E57">
      <w:pPr>
        <w:pStyle w:val="Bezmezer"/>
        <w:spacing w:before="240" w:after="240"/>
        <w:ind w:firstLine="0"/>
        <w:rPr>
          <w:rStyle w:val="Hypertextovodkaz"/>
          <w:color w:val="auto"/>
          <w:u w:val="none"/>
        </w:rPr>
      </w:pPr>
      <w:r>
        <w:rPr>
          <w:rStyle w:val="Hypertextovodkaz"/>
          <w:color w:val="auto"/>
          <w:u w:val="none"/>
        </w:rPr>
        <w:t>Obrázek 5: autor</w:t>
      </w:r>
    </w:p>
    <w:p w:rsidR="00C80817" w:rsidRDefault="00C80817" w:rsidP="00A93E57">
      <w:pPr>
        <w:pStyle w:val="Bezmezer"/>
        <w:spacing w:before="240" w:after="240"/>
        <w:ind w:firstLine="0"/>
        <w:rPr>
          <w:rStyle w:val="Hypertextovodkaz"/>
          <w:color w:val="auto"/>
          <w:u w:val="none"/>
        </w:rPr>
      </w:pPr>
      <w:r>
        <w:rPr>
          <w:rStyle w:val="Hypertextovodkaz"/>
          <w:color w:val="auto"/>
          <w:u w:val="none"/>
        </w:rPr>
        <w:t>Obrázek 6: autor</w:t>
      </w:r>
    </w:p>
    <w:p w:rsidR="00FF6AA0" w:rsidRDefault="00FF6AA0" w:rsidP="00FF6AA0">
      <w:pPr>
        <w:pStyle w:val="Bezmezer"/>
        <w:spacing w:before="240" w:after="240"/>
        <w:ind w:firstLine="0"/>
        <w:rPr>
          <w:rStyle w:val="Hypertextovodkaz"/>
          <w:color w:val="auto"/>
          <w:u w:val="none"/>
        </w:rPr>
      </w:pPr>
      <w:r>
        <w:rPr>
          <w:rStyle w:val="Hypertextovodkaz"/>
          <w:color w:val="auto"/>
          <w:u w:val="none"/>
        </w:rPr>
        <w:t>Příloha 1: autor</w:t>
      </w:r>
    </w:p>
    <w:p w:rsidR="00FF6AA0" w:rsidRDefault="00FF6AA0" w:rsidP="00A93E57">
      <w:pPr>
        <w:pStyle w:val="Bezmezer"/>
        <w:spacing w:before="240" w:after="240"/>
        <w:ind w:firstLine="0"/>
        <w:rPr>
          <w:rStyle w:val="Hypertextovodkaz"/>
          <w:color w:val="auto"/>
          <w:u w:val="none"/>
        </w:rPr>
      </w:pPr>
      <w:r>
        <w:rPr>
          <w:rStyle w:val="Hypertextovodkaz"/>
          <w:color w:val="auto"/>
          <w:u w:val="none"/>
        </w:rPr>
        <w:t>Příloha 2: autor</w:t>
      </w:r>
    </w:p>
    <w:p w:rsidR="00C80817" w:rsidRDefault="00A93E57" w:rsidP="00A93E57">
      <w:pPr>
        <w:pStyle w:val="Bezmezer"/>
        <w:spacing w:before="240" w:after="240"/>
        <w:ind w:firstLine="0"/>
        <w:rPr>
          <w:rStyle w:val="Hypertextovodkaz"/>
          <w:color w:val="auto"/>
          <w:u w:val="none"/>
        </w:rPr>
      </w:pPr>
      <w:r>
        <w:rPr>
          <w:rStyle w:val="Hypertextovodkaz"/>
          <w:color w:val="auto"/>
          <w:u w:val="none"/>
        </w:rPr>
        <w:t>Tabulka: 1: autor</w:t>
      </w:r>
    </w:p>
    <w:p w:rsidR="00A93E57" w:rsidRDefault="00A93E57" w:rsidP="00A93E57">
      <w:pPr>
        <w:pStyle w:val="Bezmezer"/>
        <w:spacing w:before="240" w:after="240"/>
        <w:ind w:firstLine="0"/>
        <w:rPr>
          <w:rStyle w:val="Hypertextovodkaz"/>
          <w:color w:val="auto"/>
          <w:u w:val="none"/>
        </w:rPr>
      </w:pPr>
      <w:r>
        <w:rPr>
          <w:rStyle w:val="Hypertextovodkaz"/>
          <w:color w:val="auto"/>
          <w:u w:val="none"/>
        </w:rPr>
        <w:t>Tabulka: 2: autor</w:t>
      </w:r>
    </w:p>
    <w:p w:rsidR="00A93E57" w:rsidRDefault="00A93E57" w:rsidP="00A93E57">
      <w:pPr>
        <w:pStyle w:val="Bezmezer"/>
        <w:spacing w:before="240" w:after="240"/>
        <w:ind w:firstLine="0"/>
        <w:rPr>
          <w:rStyle w:val="Hypertextovodkaz"/>
          <w:color w:val="auto"/>
          <w:u w:val="none"/>
        </w:rPr>
      </w:pPr>
      <w:r>
        <w:rPr>
          <w:rStyle w:val="Hypertextovodkaz"/>
          <w:color w:val="auto"/>
          <w:u w:val="none"/>
        </w:rPr>
        <w:t>Tabulka: 3: autor</w:t>
      </w:r>
    </w:p>
    <w:p w:rsidR="00A93E57" w:rsidRDefault="00A93E57" w:rsidP="00BE7EED">
      <w:pPr>
        <w:pStyle w:val="Bezmezer"/>
        <w:spacing w:before="240" w:after="240"/>
        <w:ind w:firstLine="0"/>
        <w:rPr>
          <w:rStyle w:val="Hypertextovodkaz"/>
          <w:color w:val="auto"/>
          <w:u w:val="none"/>
        </w:rPr>
      </w:pPr>
      <w:r>
        <w:rPr>
          <w:rStyle w:val="Hypertextovodkaz"/>
          <w:color w:val="auto"/>
          <w:u w:val="none"/>
        </w:rPr>
        <w:t>Tabulka: 4: autor</w:t>
      </w:r>
    </w:p>
    <w:p w:rsidR="00A93E57" w:rsidRDefault="00A93E57" w:rsidP="00BE7EED">
      <w:pPr>
        <w:pStyle w:val="Bezmezer"/>
        <w:spacing w:before="240" w:after="240"/>
        <w:ind w:firstLine="0"/>
        <w:rPr>
          <w:rStyle w:val="Hypertextovodkaz"/>
          <w:color w:val="auto"/>
          <w:u w:val="none"/>
        </w:rPr>
      </w:pPr>
      <w:r>
        <w:rPr>
          <w:rStyle w:val="Hypertextovodkaz"/>
          <w:color w:val="auto"/>
          <w:u w:val="none"/>
        </w:rPr>
        <w:t>Tabulka: 5: autor</w:t>
      </w:r>
    </w:p>
    <w:p w:rsidR="00A93E57" w:rsidRDefault="00A93E57" w:rsidP="00BE7EED">
      <w:pPr>
        <w:pStyle w:val="Bezmezer"/>
        <w:spacing w:before="240" w:after="240"/>
        <w:ind w:firstLine="0"/>
        <w:rPr>
          <w:rStyle w:val="Hypertextovodkaz"/>
          <w:color w:val="auto"/>
          <w:u w:val="none"/>
        </w:rPr>
      </w:pPr>
      <w:r>
        <w:rPr>
          <w:rStyle w:val="Hypertextovodkaz"/>
          <w:color w:val="auto"/>
          <w:u w:val="none"/>
        </w:rPr>
        <w:t>Tabulka: 6: autor</w:t>
      </w:r>
    </w:p>
    <w:p w:rsidR="00A93E57" w:rsidRDefault="00A93E57" w:rsidP="00BE7EED">
      <w:pPr>
        <w:pStyle w:val="Bezmezer"/>
        <w:spacing w:before="240" w:after="240"/>
        <w:ind w:firstLine="0"/>
        <w:rPr>
          <w:rStyle w:val="Hypertextovodkaz"/>
          <w:color w:val="auto"/>
          <w:u w:val="none"/>
        </w:rPr>
      </w:pPr>
      <w:r>
        <w:rPr>
          <w:rStyle w:val="Hypertextovodkaz"/>
          <w:color w:val="auto"/>
          <w:u w:val="none"/>
        </w:rPr>
        <w:t>Tabulka: 7: autor</w:t>
      </w:r>
    </w:p>
    <w:p w:rsidR="00B951E1" w:rsidRDefault="00B951E1"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E7EED" w:rsidRDefault="00BE7EED" w:rsidP="00BE7EED">
      <w:pPr>
        <w:pStyle w:val="Bezmezer"/>
      </w:pPr>
    </w:p>
    <w:p w:rsidR="00B951E1" w:rsidRPr="00B951E1" w:rsidRDefault="00B951E1" w:rsidP="00B951E1">
      <w:pPr>
        <w:pStyle w:val="Nadpis1"/>
        <w:ind w:firstLine="0"/>
        <w:rPr>
          <w:rFonts w:ascii="Times New Roman" w:hAnsi="Times New Roman" w:cs="Times New Roman"/>
          <w:b/>
          <w:color w:val="auto"/>
        </w:rPr>
      </w:pPr>
      <w:bookmarkStart w:id="42" w:name="_Toc164808715"/>
      <w:r w:rsidRPr="00B951E1">
        <w:rPr>
          <w:rFonts w:ascii="Times New Roman" w:hAnsi="Times New Roman" w:cs="Times New Roman"/>
          <w:b/>
          <w:color w:val="auto"/>
        </w:rPr>
        <w:t>Přílohy</w:t>
      </w:r>
      <w:bookmarkEnd w:id="42"/>
    </w:p>
    <w:p w:rsidR="00B951E1" w:rsidRPr="008237E7" w:rsidRDefault="00B951E1" w:rsidP="00B951E1">
      <w:pPr>
        <w:jc w:val="center"/>
        <w:rPr>
          <w:b/>
        </w:rPr>
      </w:pPr>
      <w:r w:rsidRPr="008237E7">
        <w:rPr>
          <w:b/>
        </w:rPr>
        <w:t>Příloha 1</w:t>
      </w:r>
    </w:p>
    <w:p w:rsidR="00B951E1" w:rsidRPr="008237E7" w:rsidRDefault="00B951E1" w:rsidP="00B951E1">
      <w:pPr>
        <w:jc w:val="center"/>
        <w:rPr>
          <w:b/>
        </w:rPr>
      </w:pPr>
      <w:r>
        <w:rPr>
          <w:b/>
        </w:rPr>
        <w:t>Nekalibrovaná</w:t>
      </w:r>
      <w:r w:rsidRPr="008237E7">
        <w:rPr>
          <w:b/>
        </w:rPr>
        <w:t xml:space="preserve"> data</w:t>
      </w:r>
      <w:r>
        <w:rPr>
          <w:b/>
        </w:rPr>
        <w:t xml:space="preserve"> 1</w:t>
      </w:r>
    </w:p>
    <w:tbl>
      <w:tblPr>
        <w:tblStyle w:val="Mkatabulky"/>
        <w:tblpPr w:leftFromText="141" w:rightFromText="141" w:vertAnchor="page" w:horzAnchor="margin" w:tblpY="2764"/>
        <w:tblW w:w="9588" w:type="dxa"/>
        <w:tblBorders>
          <w:insideH w:val="none" w:sz="0" w:space="0" w:color="auto"/>
          <w:insideV w:val="none" w:sz="0" w:space="0" w:color="auto"/>
        </w:tblBorders>
        <w:tblLook w:val="04A0" w:firstRow="1" w:lastRow="0" w:firstColumn="1" w:lastColumn="0" w:noHBand="0" w:noVBand="1"/>
      </w:tblPr>
      <w:tblGrid>
        <w:gridCol w:w="2256"/>
        <w:gridCol w:w="1425"/>
        <w:gridCol w:w="1719"/>
        <w:gridCol w:w="1356"/>
        <w:gridCol w:w="1476"/>
        <w:gridCol w:w="1356"/>
      </w:tblGrid>
      <w:tr w:rsidR="00B951E1" w:rsidRPr="001C3B10" w:rsidTr="00B951E1">
        <w:trPr>
          <w:trHeight w:val="799"/>
        </w:trPr>
        <w:tc>
          <w:tcPr>
            <w:tcW w:w="2256" w:type="dxa"/>
            <w:shd w:val="clear" w:color="auto" w:fill="404040" w:themeFill="text1" w:themeFillTint="BF"/>
          </w:tcPr>
          <w:p w:rsidR="00B951E1" w:rsidRPr="00C32124" w:rsidRDefault="00B951E1" w:rsidP="00B951E1">
            <w:pPr>
              <w:tabs>
                <w:tab w:val="center" w:pos="1020"/>
                <w:tab w:val="right" w:pos="2040"/>
              </w:tabs>
              <w:ind w:firstLine="0"/>
              <w:jc w:val="left"/>
              <w:rPr>
                <w:b/>
                <w:color w:val="FFFFFF" w:themeColor="background1"/>
                <w:sz w:val="28"/>
                <w:szCs w:val="28"/>
              </w:rPr>
            </w:pPr>
            <w:r w:rsidRPr="00C32124">
              <w:rPr>
                <w:b/>
                <w:color w:val="FFFFFF" w:themeColor="background1"/>
                <w:sz w:val="28"/>
                <w:szCs w:val="28"/>
              </w:rPr>
              <w:lastRenderedPageBreak/>
              <w:tab/>
              <w:t>Stát</w:t>
            </w:r>
            <w:r w:rsidRPr="00C32124">
              <w:rPr>
                <w:b/>
                <w:color w:val="FFFFFF" w:themeColor="background1"/>
                <w:sz w:val="28"/>
                <w:szCs w:val="28"/>
              </w:rPr>
              <w:tab/>
            </w:r>
          </w:p>
        </w:tc>
        <w:tc>
          <w:tcPr>
            <w:tcW w:w="1425" w:type="dxa"/>
            <w:shd w:val="clear" w:color="auto" w:fill="404040" w:themeFill="text1" w:themeFillTint="BF"/>
          </w:tcPr>
          <w:p w:rsidR="00B951E1" w:rsidRPr="00C32124" w:rsidRDefault="00B951E1" w:rsidP="00B951E1">
            <w:pPr>
              <w:ind w:firstLine="0"/>
              <w:jc w:val="center"/>
              <w:rPr>
                <w:b/>
                <w:color w:val="FFFFFF" w:themeColor="background1"/>
                <w:sz w:val="28"/>
                <w:szCs w:val="28"/>
              </w:rPr>
            </w:pPr>
            <w:r w:rsidRPr="00C32124">
              <w:rPr>
                <w:b/>
                <w:color w:val="FFFFFF" w:themeColor="background1"/>
                <w:sz w:val="28"/>
                <w:szCs w:val="28"/>
              </w:rPr>
              <w:t>Pomoc</w:t>
            </w:r>
          </w:p>
          <w:p w:rsidR="00B951E1" w:rsidRPr="00C32124" w:rsidRDefault="00B951E1" w:rsidP="00B951E1">
            <w:pPr>
              <w:ind w:firstLine="0"/>
              <w:jc w:val="center"/>
              <w:rPr>
                <w:color w:val="FFFFFF" w:themeColor="background1"/>
              </w:rPr>
            </w:pPr>
            <w:r w:rsidRPr="00C32124">
              <w:rPr>
                <w:color w:val="FFFFFF" w:themeColor="background1"/>
              </w:rPr>
              <w:t>(% HDP)</w:t>
            </w:r>
          </w:p>
        </w:tc>
        <w:tc>
          <w:tcPr>
            <w:tcW w:w="1719" w:type="dxa"/>
            <w:tcBorders>
              <w:bottom w:val="nil"/>
            </w:tcBorders>
            <w:shd w:val="clear" w:color="auto" w:fill="404040" w:themeFill="text1" w:themeFillTint="BF"/>
          </w:tcPr>
          <w:p w:rsidR="00B951E1" w:rsidRPr="00C32124" w:rsidRDefault="00B951E1" w:rsidP="00B951E1">
            <w:pPr>
              <w:ind w:firstLine="0"/>
              <w:jc w:val="center"/>
              <w:rPr>
                <w:b/>
                <w:color w:val="FFFFFF" w:themeColor="background1"/>
                <w:sz w:val="28"/>
                <w:szCs w:val="28"/>
              </w:rPr>
            </w:pPr>
            <w:r w:rsidRPr="00C32124">
              <w:rPr>
                <w:b/>
                <w:color w:val="FFFFFF" w:themeColor="background1"/>
                <w:sz w:val="28"/>
                <w:szCs w:val="28"/>
              </w:rPr>
              <w:t>Uprchlíci</w:t>
            </w:r>
          </w:p>
          <w:p w:rsidR="00B951E1" w:rsidRPr="00C32124" w:rsidRDefault="00B951E1" w:rsidP="00B951E1">
            <w:pPr>
              <w:ind w:firstLine="0"/>
              <w:jc w:val="center"/>
              <w:rPr>
                <w:color w:val="FFFFFF" w:themeColor="background1"/>
              </w:rPr>
            </w:pPr>
            <w:r w:rsidRPr="00C32124">
              <w:rPr>
                <w:color w:val="FFFFFF" w:themeColor="background1"/>
              </w:rPr>
              <w:t>(podíl)</w:t>
            </w:r>
          </w:p>
        </w:tc>
        <w:tc>
          <w:tcPr>
            <w:tcW w:w="1356" w:type="dxa"/>
            <w:tcBorders>
              <w:bottom w:val="nil"/>
            </w:tcBorders>
            <w:shd w:val="clear" w:color="auto" w:fill="404040" w:themeFill="text1" w:themeFillTint="BF"/>
          </w:tcPr>
          <w:p w:rsidR="00B951E1" w:rsidRPr="00C32124" w:rsidRDefault="00B951E1" w:rsidP="00B951E1">
            <w:pPr>
              <w:ind w:firstLine="0"/>
              <w:jc w:val="center"/>
              <w:rPr>
                <w:b/>
                <w:color w:val="FFFFFF" w:themeColor="background1"/>
                <w:sz w:val="28"/>
                <w:szCs w:val="28"/>
              </w:rPr>
            </w:pPr>
            <w:r w:rsidRPr="00C32124">
              <w:rPr>
                <w:b/>
                <w:color w:val="FFFFFF" w:themeColor="background1"/>
                <w:sz w:val="28"/>
                <w:szCs w:val="28"/>
              </w:rPr>
              <w:t>Plyn</w:t>
            </w:r>
          </w:p>
          <w:p w:rsidR="00B951E1" w:rsidRPr="00C32124" w:rsidRDefault="00B951E1" w:rsidP="00B951E1">
            <w:pPr>
              <w:ind w:firstLine="0"/>
              <w:jc w:val="center"/>
              <w:rPr>
                <w:color w:val="FFFFFF" w:themeColor="background1"/>
              </w:rPr>
            </w:pPr>
            <w:r w:rsidRPr="00C32124">
              <w:rPr>
                <w:color w:val="FFFFFF" w:themeColor="background1"/>
              </w:rPr>
              <w:t>(index)</w:t>
            </w:r>
          </w:p>
        </w:tc>
        <w:tc>
          <w:tcPr>
            <w:tcW w:w="1476" w:type="dxa"/>
            <w:shd w:val="clear" w:color="auto" w:fill="404040" w:themeFill="text1" w:themeFillTint="BF"/>
          </w:tcPr>
          <w:p w:rsidR="00B951E1" w:rsidRPr="00C32124" w:rsidRDefault="00B951E1" w:rsidP="00B951E1">
            <w:pPr>
              <w:ind w:firstLine="0"/>
              <w:jc w:val="center"/>
              <w:rPr>
                <w:b/>
                <w:color w:val="FFFFFF" w:themeColor="background1"/>
                <w:sz w:val="28"/>
                <w:szCs w:val="28"/>
              </w:rPr>
            </w:pPr>
            <w:r w:rsidRPr="00C32124">
              <w:rPr>
                <w:b/>
                <w:color w:val="FFFFFF" w:themeColor="background1"/>
                <w:sz w:val="28"/>
                <w:szCs w:val="28"/>
              </w:rPr>
              <w:t>Obrana</w:t>
            </w:r>
          </w:p>
          <w:p w:rsidR="00B951E1" w:rsidRPr="00C32124" w:rsidRDefault="00B951E1" w:rsidP="00B951E1">
            <w:pPr>
              <w:tabs>
                <w:tab w:val="center" w:pos="630"/>
              </w:tabs>
              <w:ind w:firstLine="0"/>
              <w:jc w:val="center"/>
              <w:rPr>
                <w:color w:val="FFFFFF" w:themeColor="background1"/>
              </w:rPr>
            </w:pPr>
            <w:r w:rsidRPr="00C32124">
              <w:rPr>
                <w:color w:val="FFFFFF" w:themeColor="background1"/>
              </w:rPr>
              <w:t>(% HDP)</w:t>
            </w:r>
          </w:p>
        </w:tc>
        <w:tc>
          <w:tcPr>
            <w:tcW w:w="1356" w:type="dxa"/>
            <w:shd w:val="clear" w:color="auto" w:fill="404040" w:themeFill="text1" w:themeFillTint="BF"/>
          </w:tcPr>
          <w:p w:rsidR="00B951E1" w:rsidRPr="00C32124" w:rsidRDefault="00B951E1" w:rsidP="00B951E1">
            <w:pPr>
              <w:ind w:firstLine="0"/>
              <w:jc w:val="center"/>
              <w:rPr>
                <w:b/>
                <w:color w:val="FFFFFF" w:themeColor="background1"/>
                <w:sz w:val="28"/>
                <w:szCs w:val="28"/>
              </w:rPr>
            </w:pPr>
            <w:r w:rsidRPr="00C32124">
              <w:rPr>
                <w:b/>
                <w:color w:val="FFFFFF" w:themeColor="background1"/>
                <w:sz w:val="28"/>
                <w:szCs w:val="28"/>
              </w:rPr>
              <w:t>Evropa</w:t>
            </w:r>
          </w:p>
          <w:p w:rsidR="00B951E1" w:rsidRPr="00C32124" w:rsidRDefault="00B951E1" w:rsidP="00B951E1">
            <w:pPr>
              <w:ind w:firstLine="0"/>
              <w:jc w:val="center"/>
              <w:rPr>
                <w:color w:val="FFFFFF" w:themeColor="background1"/>
                <w:sz w:val="22"/>
                <w:szCs w:val="22"/>
              </w:rPr>
            </w:pPr>
            <w:r w:rsidRPr="00C32124">
              <w:rPr>
                <w:color w:val="FFFFFF" w:themeColor="background1"/>
                <w:sz w:val="22"/>
                <w:szCs w:val="22"/>
              </w:rPr>
              <w:t>(roky)</w:t>
            </w:r>
          </w:p>
        </w:tc>
      </w:tr>
      <w:tr w:rsidR="00B951E1" w:rsidRPr="001C3B10" w:rsidTr="00B951E1">
        <w:trPr>
          <w:trHeight w:val="386"/>
        </w:trPr>
        <w:tc>
          <w:tcPr>
            <w:tcW w:w="2256" w:type="dxa"/>
            <w:vAlign w:val="bottom"/>
          </w:tcPr>
          <w:p w:rsidR="00B951E1" w:rsidRPr="00C32124" w:rsidRDefault="00B951E1" w:rsidP="00B951E1">
            <w:pPr>
              <w:jc w:val="center"/>
            </w:pPr>
            <w:r w:rsidRPr="00C32124">
              <w:t>Belgie</w:t>
            </w:r>
          </w:p>
        </w:tc>
        <w:tc>
          <w:tcPr>
            <w:tcW w:w="1425" w:type="dxa"/>
            <w:vAlign w:val="bottom"/>
          </w:tcPr>
          <w:p w:rsidR="00B951E1" w:rsidRPr="00C32124" w:rsidRDefault="00B951E1" w:rsidP="00B951E1">
            <w:pPr>
              <w:spacing w:line="240" w:lineRule="auto"/>
              <w:ind w:firstLine="0"/>
              <w:jc w:val="right"/>
              <w:rPr>
                <w:lang w:val="cs-CZ"/>
              </w:rPr>
            </w:pPr>
            <w:r w:rsidRPr="00C32124">
              <w:t>0,41</w:t>
            </w:r>
          </w:p>
        </w:tc>
        <w:tc>
          <w:tcPr>
            <w:tcW w:w="1719" w:type="dxa"/>
            <w:tcBorders>
              <w:top w:val="nil"/>
              <w:bottom w:val="nil"/>
            </w:tcBorders>
            <w:vAlign w:val="bottom"/>
          </w:tcPr>
          <w:p w:rsidR="00B951E1" w:rsidRPr="00C32124" w:rsidRDefault="00B951E1" w:rsidP="00B951E1">
            <w:pPr>
              <w:spacing w:line="240" w:lineRule="auto"/>
              <w:ind w:firstLine="0"/>
              <w:jc w:val="center"/>
              <w:rPr>
                <w:color w:val="000000"/>
                <w:szCs w:val="22"/>
                <w:lang w:val="cs-CZ"/>
              </w:rPr>
            </w:pPr>
            <w:r w:rsidRPr="00C32124">
              <w:rPr>
                <w:color w:val="000000"/>
                <w:szCs w:val="22"/>
              </w:rPr>
              <w:t xml:space="preserve">             0,64</w:t>
            </w:r>
          </w:p>
        </w:tc>
        <w:tc>
          <w:tcPr>
            <w:tcW w:w="1356" w:type="dxa"/>
            <w:tcBorders>
              <w:top w:val="nil"/>
              <w:bottom w:val="nil"/>
            </w:tcBorders>
            <w:vAlign w:val="bottom"/>
          </w:tcPr>
          <w:p w:rsidR="00B951E1" w:rsidRPr="00C32124" w:rsidRDefault="00B951E1" w:rsidP="00B951E1">
            <w:pPr>
              <w:spacing w:line="240" w:lineRule="auto"/>
              <w:ind w:firstLine="0"/>
              <w:jc w:val="right"/>
              <w:rPr>
                <w:color w:val="000000"/>
                <w:lang w:val="cs-CZ"/>
              </w:rPr>
            </w:pPr>
            <w:r w:rsidRPr="00C32124">
              <w:rPr>
                <w:color w:val="000000"/>
              </w:rPr>
              <w:t>0,64</w:t>
            </w:r>
          </w:p>
        </w:tc>
        <w:tc>
          <w:tcPr>
            <w:tcW w:w="1476" w:type="dxa"/>
            <w:vAlign w:val="bottom"/>
          </w:tcPr>
          <w:p w:rsidR="00B951E1" w:rsidRPr="00C32124" w:rsidRDefault="00B951E1" w:rsidP="00B951E1">
            <w:pPr>
              <w:spacing w:line="240" w:lineRule="auto"/>
              <w:ind w:firstLine="0"/>
              <w:jc w:val="right"/>
              <w:rPr>
                <w:color w:val="000000"/>
                <w:lang w:val="cs-CZ"/>
              </w:rPr>
            </w:pPr>
            <w:r w:rsidRPr="00C32124">
              <w:rPr>
                <w:color w:val="000000"/>
              </w:rPr>
              <w:t>1,19</w:t>
            </w:r>
          </w:p>
        </w:tc>
        <w:tc>
          <w:tcPr>
            <w:tcW w:w="1356" w:type="dxa"/>
            <w:vAlign w:val="bottom"/>
          </w:tcPr>
          <w:p w:rsidR="00B951E1" w:rsidRPr="00C32124" w:rsidRDefault="00B951E1" w:rsidP="00B951E1">
            <w:pPr>
              <w:spacing w:line="240" w:lineRule="auto"/>
              <w:ind w:firstLine="0"/>
              <w:jc w:val="right"/>
              <w:rPr>
                <w:color w:val="000000"/>
                <w:lang w:val="cs-CZ"/>
              </w:rPr>
            </w:pPr>
            <w:r w:rsidRPr="00C32124">
              <w:rPr>
                <w:color w:val="000000"/>
              </w:rPr>
              <w:t>66</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Bulharsko</w:t>
            </w:r>
          </w:p>
        </w:tc>
        <w:tc>
          <w:tcPr>
            <w:tcW w:w="1425" w:type="dxa"/>
            <w:shd w:val="clear" w:color="auto" w:fill="D9D9D9" w:themeFill="background1" w:themeFillShade="D9"/>
            <w:vAlign w:val="bottom"/>
          </w:tcPr>
          <w:p w:rsidR="00B951E1" w:rsidRPr="00C32124" w:rsidRDefault="00B951E1" w:rsidP="00B951E1">
            <w:pPr>
              <w:jc w:val="right"/>
            </w:pPr>
            <w:r w:rsidRPr="00C32124">
              <w:t>0,32</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0,8</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0,8</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1,50</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17</w:t>
            </w:r>
          </w:p>
        </w:tc>
      </w:tr>
      <w:tr w:rsidR="00B951E1" w:rsidRPr="001C3B10" w:rsidTr="00B951E1">
        <w:trPr>
          <w:trHeight w:val="386"/>
        </w:trPr>
        <w:tc>
          <w:tcPr>
            <w:tcW w:w="2256" w:type="dxa"/>
            <w:vAlign w:val="bottom"/>
          </w:tcPr>
          <w:p w:rsidR="00B951E1" w:rsidRPr="00C32124" w:rsidRDefault="00B951E1" w:rsidP="00B951E1">
            <w:pPr>
              <w:jc w:val="center"/>
            </w:pPr>
            <w:r w:rsidRPr="00C32124">
              <w:t>Česko</w:t>
            </w:r>
          </w:p>
        </w:tc>
        <w:tc>
          <w:tcPr>
            <w:tcW w:w="1425" w:type="dxa"/>
            <w:vAlign w:val="bottom"/>
          </w:tcPr>
          <w:p w:rsidR="00B951E1" w:rsidRPr="00C32124" w:rsidRDefault="00B951E1" w:rsidP="00B951E1">
            <w:pPr>
              <w:jc w:val="right"/>
            </w:pPr>
            <w:r w:rsidRPr="00C32124">
              <w:t>0,52</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3,47</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3,47</w:t>
            </w:r>
          </w:p>
        </w:tc>
        <w:tc>
          <w:tcPr>
            <w:tcW w:w="1476" w:type="dxa"/>
            <w:vAlign w:val="bottom"/>
          </w:tcPr>
          <w:p w:rsidR="00B951E1" w:rsidRPr="00C32124" w:rsidRDefault="00B951E1" w:rsidP="00B951E1">
            <w:pPr>
              <w:jc w:val="right"/>
              <w:rPr>
                <w:color w:val="000000"/>
              </w:rPr>
            </w:pPr>
            <w:r w:rsidRPr="00C32124">
              <w:rPr>
                <w:color w:val="000000"/>
              </w:rPr>
              <w:t>1,34</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Dánsko</w:t>
            </w:r>
          </w:p>
        </w:tc>
        <w:tc>
          <w:tcPr>
            <w:tcW w:w="1425" w:type="dxa"/>
            <w:shd w:val="clear" w:color="auto" w:fill="D9D9D9" w:themeFill="background1" w:themeFillShade="D9"/>
            <w:vAlign w:val="bottom"/>
          </w:tcPr>
          <w:p w:rsidR="00B951E1" w:rsidRPr="00C32124" w:rsidRDefault="00B951E1" w:rsidP="00B951E1">
            <w:pPr>
              <w:jc w:val="right"/>
            </w:pPr>
            <w:r w:rsidRPr="00C32124">
              <w:t>2,41</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0,62</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0,62</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1,38</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51</w:t>
            </w:r>
          </w:p>
        </w:tc>
      </w:tr>
      <w:tr w:rsidR="00B951E1" w:rsidRPr="001C3B10" w:rsidTr="00B951E1">
        <w:trPr>
          <w:trHeight w:val="386"/>
        </w:trPr>
        <w:tc>
          <w:tcPr>
            <w:tcW w:w="2256" w:type="dxa"/>
            <w:vAlign w:val="bottom"/>
          </w:tcPr>
          <w:p w:rsidR="00B951E1" w:rsidRPr="00C32124" w:rsidRDefault="00B951E1" w:rsidP="00B951E1">
            <w:pPr>
              <w:jc w:val="center"/>
            </w:pPr>
            <w:r w:rsidRPr="00C32124">
              <w:t>Estonsko</w:t>
            </w:r>
          </w:p>
        </w:tc>
        <w:tc>
          <w:tcPr>
            <w:tcW w:w="1425" w:type="dxa"/>
            <w:vAlign w:val="bottom"/>
          </w:tcPr>
          <w:p w:rsidR="00B951E1" w:rsidRPr="00C32124" w:rsidRDefault="00B951E1" w:rsidP="00B951E1">
            <w:pPr>
              <w:jc w:val="right"/>
            </w:pPr>
            <w:r w:rsidRPr="00C32124">
              <w:t>3,55</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2,8</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2,8</w:t>
            </w:r>
          </w:p>
        </w:tc>
        <w:tc>
          <w:tcPr>
            <w:tcW w:w="1476" w:type="dxa"/>
            <w:vAlign w:val="bottom"/>
          </w:tcPr>
          <w:p w:rsidR="00B951E1" w:rsidRPr="00C32124" w:rsidRDefault="00B951E1" w:rsidP="00B951E1">
            <w:pPr>
              <w:jc w:val="right"/>
              <w:rPr>
                <w:color w:val="000000"/>
              </w:rPr>
            </w:pPr>
            <w:r w:rsidRPr="00C32124">
              <w:rPr>
                <w:color w:val="000000"/>
              </w:rPr>
              <w:t>2,15</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Finsko</w:t>
            </w:r>
          </w:p>
        </w:tc>
        <w:tc>
          <w:tcPr>
            <w:tcW w:w="1425" w:type="dxa"/>
            <w:shd w:val="clear" w:color="auto" w:fill="D9D9D9" w:themeFill="background1" w:themeFillShade="D9"/>
            <w:vAlign w:val="bottom"/>
          </w:tcPr>
          <w:p w:rsidR="00B951E1" w:rsidRPr="00C32124" w:rsidRDefault="00B951E1" w:rsidP="00B951E1">
            <w:pPr>
              <w:jc w:val="right"/>
            </w:pPr>
            <w:r w:rsidRPr="00C32124">
              <w:t>0,71</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1,16</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1,16</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1,94</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29</w:t>
            </w:r>
          </w:p>
        </w:tc>
      </w:tr>
      <w:tr w:rsidR="00B951E1" w:rsidRPr="001C3B10" w:rsidTr="00B951E1">
        <w:trPr>
          <w:trHeight w:val="402"/>
        </w:trPr>
        <w:tc>
          <w:tcPr>
            <w:tcW w:w="2256" w:type="dxa"/>
            <w:vAlign w:val="bottom"/>
          </w:tcPr>
          <w:p w:rsidR="00B951E1" w:rsidRPr="00C32124" w:rsidRDefault="00B951E1" w:rsidP="00B951E1">
            <w:pPr>
              <w:jc w:val="center"/>
            </w:pPr>
            <w:r w:rsidRPr="00C32124">
              <w:t>Francie</w:t>
            </w:r>
          </w:p>
        </w:tc>
        <w:tc>
          <w:tcPr>
            <w:tcW w:w="1425" w:type="dxa"/>
            <w:vAlign w:val="bottom"/>
          </w:tcPr>
          <w:p w:rsidR="00B951E1" w:rsidRPr="00C32124" w:rsidRDefault="00B951E1" w:rsidP="00B951E1">
            <w:pPr>
              <w:jc w:val="right"/>
            </w:pPr>
            <w:r w:rsidRPr="00C32124">
              <w:t>0,07</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0,1</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0,1</w:t>
            </w:r>
          </w:p>
        </w:tc>
        <w:tc>
          <w:tcPr>
            <w:tcW w:w="1476" w:type="dxa"/>
            <w:vAlign w:val="bottom"/>
          </w:tcPr>
          <w:p w:rsidR="00B951E1" w:rsidRPr="00C32124" w:rsidRDefault="00B951E1" w:rsidP="00B951E1">
            <w:pPr>
              <w:jc w:val="right"/>
              <w:rPr>
                <w:color w:val="000000"/>
              </w:rPr>
            </w:pPr>
            <w:r w:rsidRPr="00C32124">
              <w:rPr>
                <w:color w:val="000000"/>
              </w:rPr>
              <w:t>1,88</w:t>
            </w:r>
          </w:p>
        </w:tc>
        <w:tc>
          <w:tcPr>
            <w:tcW w:w="1356" w:type="dxa"/>
            <w:vAlign w:val="bottom"/>
          </w:tcPr>
          <w:p w:rsidR="00B951E1" w:rsidRPr="00C32124" w:rsidRDefault="00B951E1" w:rsidP="00B951E1">
            <w:pPr>
              <w:jc w:val="right"/>
              <w:rPr>
                <w:color w:val="000000"/>
              </w:rPr>
            </w:pPr>
            <w:r w:rsidRPr="00C32124">
              <w:rPr>
                <w:color w:val="000000"/>
              </w:rPr>
              <w:t>66</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Chorvatsko</w:t>
            </w:r>
          </w:p>
        </w:tc>
        <w:tc>
          <w:tcPr>
            <w:tcW w:w="1425" w:type="dxa"/>
            <w:shd w:val="clear" w:color="auto" w:fill="D9D9D9" w:themeFill="background1" w:themeFillShade="D9"/>
            <w:vAlign w:val="bottom"/>
          </w:tcPr>
          <w:p w:rsidR="00B951E1" w:rsidRPr="00C32124" w:rsidRDefault="00B951E1" w:rsidP="00B951E1">
            <w:pPr>
              <w:jc w:val="right"/>
            </w:pPr>
            <w:r w:rsidRPr="00C32124">
              <w:t>0,44</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0,63</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0,63</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1,86</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11</w:t>
            </w:r>
          </w:p>
        </w:tc>
      </w:tr>
      <w:tr w:rsidR="00B951E1" w:rsidRPr="001C3B10" w:rsidTr="00B951E1">
        <w:trPr>
          <w:trHeight w:val="386"/>
        </w:trPr>
        <w:tc>
          <w:tcPr>
            <w:tcW w:w="2256" w:type="dxa"/>
            <w:vAlign w:val="bottom"/>
          </w:tcPr>
          <w:p w:rsidR="00B951E1" w:rsidRPr="00C32124" w:rsidRDefault="00B951E1" w:rsidP="00B951E1">
            <w:pPr>
              <w:jc w:val="center"/>
            </w:pPr>
            <w:r w:rsidRPr="00C32124">
              <w:t>Irsko</w:t>
            </w:r>
          </w:p>
        </w:tc>
        <w:tc>
          <w:tcPr>
            <w:tcW w:w="1425" w:type="dxa"/>
            <w:vAlign w:val="bottom"/>
          </w:tcPr>
          <w:p w:rsidR="00B951E1" w:rsidRPr="00C32124" w:rsidRDefault="00B951E1" w:rsidP="00B951E1">
            <w:pPr>
              <w:jc w:val="right"/>
            </w:pPr>
            <w:r w:rsidRPr="00C32124">
              <w:t>0,03</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1,97</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1,97</w:t>
            </w:r>
          </w:p>
        </w:tc>
        <w:tc>
          <w:tcPr>
            <w:tcW w:w="1476" w:type="dxa"/>
            <w:vAlign w:val="bottom"/>
          </w:tcPr>
          <w:p w:rsidR="00B951E1" w:rsidRPr="00C32124" w:rsidRDefault="00B951E1" w:rsidP="00B951E1">
            <w:pPr>
              <w:jc w:val="right"/>
              <w:rPr>
                <w:color w:val="000000"/>
              </w:rPr>
            </w:pPr>
            <w:r w:rsidRPr="00C32124">
              <w:rPr>
                <w:color w:val="000000"/>
              </w:rPr>
              <w:t>0,22</w:t>
            </w:r>
          </w:p>
        </w:tc>
        <w:tc>
          <w:tcPr>
            <w:tcW w:w="1356" w:type="dxa"/>
            <w:vAlign w:val="bottom"/>
          </w:tcPr>
          <w:p w:rsidR="00B951E1" w:rsidRPr="00C32124" w:rsidRDefault="00B951E1" w:rsidP="00B951E1">
            <w:pPr>
              <w:jc w:val="right"/>
              <w:rPr>
                <w:color w:val="000000"/>
              </w:rPr>
            </w:pPr>
            <w:r w:rsidRPr="00C32124">
              <w:rPr>
                <w:color w:val="000000"/>
              </w:rPr>
              <w:t>51</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Itálie</w:t>
            </w:r>
          </w:p>
        </w:tc>
        <w:tc>
          <w:tcPr>
            <w:tcW w:w="1425" w:type="dxa"/>
            <w:shd w:val="clear" w:color="auto" w:fill="D9D9D9" w:themeFill="background1" w:themeFillShade="D9"/>
            <w:vAlign w:val="bottom"/>
          </w:tcPr>
          <w:p w:rsidR="00B951E1" w:rsidRPr="00C32124" w:rsidRDefault="00B951E1" w:rsidP="00B951E1">
            <w:pPr>
              <w:jc w:val="right"/>
            </w:pPr>
            <w:r w:rsidRPr="00C32124">
              <w:t>0,07</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0,29</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0,29</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1,51</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66</w:t>
            </w:r>
          </w:p>
        </w:tc>
      </w:tr>
      <w:tr w:rsidR="00B951E1" w:rsidRPr="001C3B10" w:rsidTr="00B951E1">
        <w:trPr>
          <w:trHeight w:val="386"/>
        </w:trPr>
        <w:tc>
          <w:tcPr>
            <w:tcW w:w="2256" w:type="dxa"/>
            <w:vAlign w:val="bottom"/>
          </w:tcPr>
          <w:p w:rsidR="00B951E1" w:rsidRPr="00C32124" w:rsidRDefault="00B951E1" w:rsidP="00B951E1">
            <w:pPr>
              <w:jc w:val="center"/>
            </w:pPr>
            <w:r w:rsidRPr="00C32124">
              <w:t>Kypr</w:t>
            </w:r>
          </w:p>
        </w:tc>
        <w:tc>
          <w:tcPr>
            <w:tcW w:w="1425" w:type="dxa"/>
            <w:vAlign w:val="bottom"/>
          </w:tcPr>
          <w:p w:rsidR="00B951E1" w:rsidRPr="00C32124" w:rsidRDefault="00B951E1" w:rsidP="00B951E1">
            <w:pPr>
              <w:jc w:val="right"/>
            </w:pPr>
            <w:r w:rsidRPr="00C32124">
              <w:t>0,02</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1,98</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1,98</w:t>
            </w:r>
          </w:p>
        </w:tc>
        <w:tc>
          <w:tcPr>
            <w:tcW w:w="1476" w:type="dxa"/>
            <w:vAlign w:val="bottom"/>
          </w:tcPr>
          <w:p w:rsidR="00B951E1" w:rsidRPr="00C32124" w:rsidRDefault="00B951E1" w:rsidP="00B951E1">
            <w:pPr>
              <w:jc w:val="right"/>
              <w:rPr>
                <w:color w:val="000000"/>
              </w:rPr>
            </w:pPr>
            <w:r w:rsidRPr="00C32124">
              <w:rPr>
                <w:color w:val="000000"/>
              </w:rPr>
              <w:t>1,87</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Litva</w:t>
            </w:r>
          </w:p>
        </w:tc>
        <w:tc>
          <w:tcPr>
            <w:tcW w:w="1425" w:type="dxa"/>
            <w:shd w:val="clear" w:color="auto" w:fill="D9D9D9" w:themeFill="background1" w:themeFillShade="D9"/>
            <w:vAlign w:val="bottom"/>
          </w:tcPr>
          <w:p w:rsidR="00B951E1" w:rsidRPr="00C32124" w:rsidRDefault="00B951E1" w:rsidP="00B951E1">
            <w:pPr>
              <w:jc w:val="right"/>
            </w:pPr>
            <w:r w:rsidRPr="00C32124">
              <w:t>1,54</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1,83</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1,83</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2,46</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vAlign w:val="bottom"/>
          </w:tcPr>
          <w:p w:rsidR="00B951E1" w:rsidRPr="00C32124" w:rsidRDefault="00B951E1" w:rsidP="00B951E1">
            <w:pPr>
              <w:jc w:val="center"/>
            </w:pPr>
            <w:r w:rsidRPr="00C32124">
              <w:t>Lotyšsko</w:t>
            </w:r>
          </w:p>
        </w:tc>
        <w:tc>
          <w:tcPr>
            <w:tcW w:w="1425" w:type="dxa"/>
            <w:vAlign w:val="bottom"/>
          </w:tcPr>
          <w:p w:rsidR="00B951E1" w:rsidRPr="00C32124" w:rsidRDefault="00B951E1" w:rsidP="00B951E1">
            <w:pPr>
              <w:jc w:val="right"/>
            </w:pPr>
            <w:r w:rsidRPr="00C32124">
              <w:t>1,15</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2,33</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2,33</w:t>
            </w:r>
          </w:p>
        </w:tc>
        <w:tc>
          <w:tcPr>
            <w:tcW w:w="1476" w:type="dxa"/>
            <w:vAlign w:val="bottom"/>
          </w:tcPr>
          <w:p w:rsidR="00B951E1" w:rsidRPr="00C32124" w:rsidRDefault="00B951E1" w:rsidP="00B951E1">
            <w:pPr>
              <w:jc w:val="right"/>
              <w:rPr>
                <w:color w:val="000000"/>
              </w:rPr>
            </w:pPr>
            <w:r w:rsidRPr="00C32124">
              <w:rPr>
                <w:color w:val="000000"/>
              </w:rPr>
              <w:t>2,08</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Lucembursko</w:t>
            </w:r>
          </w:p>
        </w:tc>
        <w:tc>
          <w:tcPr>
            <w:tcW w:w="1425" w:type="dxa"/>
            <w:shd w:val="clear" w:color="auto" w:fill="D9D9D9" w:themeFill="background1" w:themeFillShade="D9"/>
            <w:vAlign w:val="bottom"/>
          </w:tcPr>
          <w:p w:rsidR="00B951E1" w:rsidRPr="00C32124" w:rsidRDefault="00B951E1" w:rsidP="00B951E1">
            <w:pPr>
              <w:jc w:val="right"/>
            </w:pPr>
            <w:r w:rsidRPr="00C32124">
              <w:t>0,17</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0,64</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0,64</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0,59</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66</w:t>
            </w:r>
          </w:p>
        </w:tc>
      </w:tr>
      <w:tr w:rsidR="00B951E1" w:rsidRPr="001C3B10" w:rsidTr="00B951E1">
        <w:trPr>
          <w:trHeight w:val="386"/>
        </w:trPr>
        <w:tc>
          <w:tcPr>
            <w:tcW w:w="2256" w:type="dxa"/>
            <w:vAlign w:val="bottom"/>
          </w:tcPr>
          <w:p w:rsidR="00B951E1" w:rsidRPr="00C32124" w:rsidRDefault="00B951E1" w:rsidP="00B951E1">
            <w:pPr>
              <w:jc w:val="center"/>
            </w:pPr>
            <w:r w:rsidRPr="00C32124">
              <w:t>Maďarsko</w:t>
            </w:r>
          </w:p>
        </w:tc>
        <w:tc>
          <w:tcPr>
            <w:tcW w:w="1425" w:type="dxa"/>
            <w:vAlign w:val="bottom"/>
          </w:tcPr>
          <w:p w:rsidR="00B951E1" w:rsidRPr="00C32124" w:rsidRDefault="00B951E1" w:rsidP="00B951E1">
            <w:pPr>
              <w:jc w:val="right"/>
            </w:pPr>
            <w:r w:rsidRPr="00C32124">
              <w:t>0,03</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0,68</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0,68</w:t>
            </w:r>
          </w:p>
        </w:tc>
        <w:tc>
          <w:tcPr>
            <w:tcW w:w="1476" w:type="dxa"/>
            <w:vAlign w:val="bottom"/>
          </w:tcPr>
          <w:p w:rsidR="00B951E1" w:rsidRPr="00C32124" w:rsidRDefault="00B951E1" w:rsidP="00B951E1">
            <w:pPr>
              <w:jc w:val="right"/>
              <w:rPr>
                <w:color w:val="000000"/>
              </w:rPr>
            </w:pPr>
            <w:r w:rsidRPr="00C32124">
              <w:rPr>
                <w:color w:val="000000"/>
              </w:rPr>
              <w:t>1,82</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Malta</w:t>
            </w:r>
          </w:p>
        </w:tc>
        <w:tc>
          <w:tcPr>
            <w:tcW w:w="1425" w:type="dxa"/>
            <w:shd w:val="clear" w:color="auto" w:fill="D9D9D9" w:themeFill="background1" w:themeFillShade="D9"/>
            <w:vAlign w:val="bottom"/>
          </w:tcPr>
          <w:p w:rsidR="00B951E1" w:rsidRPr="00C32124" w:rsidRDefault="00B951E1" w:rsidP="00B951E1">
            <w:pPr>
              <w:jc w:val="right"/>
            </w:pPr>
            <w:r w:rsidRPr="00C32124">
              <w:t>0,01</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0,39</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0,39</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0,41</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vAlign w:val="bottom"/>
          </w:tcPr>
          <w:p w:rsidR="00B951E1" w:rsidRPr="00C32124" w:rsidRDefault="00B951E1" w:rsidP="00B951E1">
            <w:pPr>
              <w:jc w:val="center"/>
            </w:pPr>
            <w:r w:rsidRPr="00C32124">
              <w:t>Německo</w:t>
            </w:r>
          </w:p>
        </w:tc>
        <w:tc>
          <w:tcPr>
            <w:tcW w:w="1425" w:type="dxa"/>
            <w:vAlign w:val="bottom"/>
          </w:tcPr>
          <w:p w:rsidR="00B951E1" w:rsidRPr="00C32124" w:rsidRDefault="00B951E1" w:rsidP="00B951E1">
            <w:pPr>
              <w:jc w:val="right"/>
            </w:pPr>
            <w:r w:rsidRPr="00C32124">
              <w:t>0,57</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1,33</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1,33</w:t>
            </w:r>
          </w:p>
        </w:tc>
        <w:tc>
          <w:tcPr>
            <w:tcW w:w="1476" w:type="dxa"/>
            <w:vAlign w:val="bottom"/>
          </w:tcPr>
          <w:p w:rsidR="00B951E1" w:rsidRPr="00C32124" w:rsidRDefault="00B951E1" w:rsidP="00B951E1">
            <w:pPr>
              <w:jc w:val="right"/>
              <w:rPr>
                <w:color w:val="000000"/>
              </w:rPr>
            </w:pPr>
            <w:r w:rsidRPr="00C32124">
              <w:rPr>
                <w:color w:val="000000"/>
              </w:rPr>
              <w:t>1,51</w:t>
            </w:r>
          </w:p>
        </w:tc>
        <w:tc>
          <w:tcPr>
            <w:tcW w:w="1356" w:type="dxa"/>
            <w:vAlign w:val="bottom"/>
          </w:tcPr>
          <w:p w:rsidR="00B951E1" w:rsidRPr="00C32124" w:rsidRDefault="00B951E1" w:rsidP="00B951E1">
            <w:pPr>
              <w:jc w:val="right"/>
              <w:rPr>
                <w:color w:val="000000"/>
              </w:rPr>
            </w:pPr>
            <w:r w:rsidRPr="00C32124">
              <w:rPr>
                <w:color w:val="000000"/>
              </w:rPr>
              <w:t>66</w:t>
            </w:r>
          </w:p>
        </w:tc>
      </w:tr>
      <w:tr w:rsidR="00B951E1" w:rsidRPr="001C3B10" w:rsidTr="00B951E1">
        <w:trPr>
          <w:trHeight w:val="402"/>
        </w:trPr>
        <w:tc>
          <w:tcPr>
            <w:tcW w:w="2256" w:type="dxa"/>
            <w:shd w:val="clear" w:color="auto" w:fill="D9D9D9" w:themeFill="background1" w:themeFillShade="D9"/>
            <w:vAlign w:val="bottom"/>
          </w:tcPr>
          <w:p w:rsidR="00B951E1" w:rsidRPr="00C32124" w:rsidRDefault="00B951E1" w:rsidP="00B951E1">
            <w:pPr>
              <w:jc w:val="center"/>
            </w:pPr>
            <w:r w:rsidRPr="00C32124">
              <w:t>Nizozemsko</w:t>
            </w:r>
          </w:p>
        </w:tc>
        <w:tc>
          <w:tcPr>
            <w:tcW w:w="1425" w:type="dxa"/>
            <w:shd w:val="clear" w:color="auto" w:fill="D9D9D9" w:themeFill="background1" w:themeFillShade="D9"/>
            <w:vAlign w:val="bottom"/>
          </w:tcPr>
          <w:p w:rsidR="00B951E1" w:rsidRPr="00C32124" w:rsidRDefault="00B951E1" w:rsidP="00B951E1">
            <w:pPr>
              <w:jc w:val="right"/>
            </w:pPr>
            <w:r w:rsidRPr="00C32124">
              <w:t>0,67</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0,82</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0,82</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1,15</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66</w:t>
            </w:r>
          </w:p>
        </w:tc>
      </w:tr>
      <w:tr w:rsidR="00B951E1" w:rsidRPr="001C3B10" w:rsidTr="00B951E1">
        <w:trPr>
          <w:trHeight w:val="386"/>
        </w:trPr>
        <w:tc>
          <w:tcPr>
            <w:tcW w:w="2256" w:type="dxa"/>
            <w:vAlign w:val="bottom"/>
          </w:tcPr>
          <w:p w:rsidR="00B951E1" w:rsidRPr="00C32124" w:rsidRDefault="00B951E1" w:rsidP="00B951E1">
            <w:pPr>
              <w:jc w:val="center"/>
            </w:pPr>
            <w:r w:rsidRPr="00C32124">
              <w:t>Polsko</w:t>
            </w:r>
          </w:p>
        </w:tc>
        <w:tc>
          <w:tcPr>
            <w:tcW w:w="1425" w:type="dxa"/>
            <w:vAlign w:val="bottom"/>
          </w:tcPr>
          <w:p w:rsidR="00B951E1" w:rsidRPr="00C32124" w:rsidRDefault="00B951E1" w:rsidP="00B951E1">
            <w:pPr>
              <w:jc w:val="right"/>
            </w:pPr>
            <w:r w:rsidRPr="00C32124">
              <w:t>0,69</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2,6</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2,6</w:t>
            </w:r>
          </w:p>
        </w:tc>
        <w:tc>
          <w:tcPr>
            <w:tcW w:w="1476" w:type="dxa"/>
            <w:vAlign w:val="bottom"/>
          </w:tcPr>
          <w:p w:rsidR="00B951E1" w:rsidRPr="00C32124" w:rsidRDefault="00B951E1" w:rsidP="00B951E1">
            <w:pPr>
              <w:jc w:val="right"/>
              <w:rPr>
                <w:color w:val="000000"/>
              </w:rPr>
            </w:pPr>
            <w:r w:rsidRPr="00C32124">
              <w:rPr>
                <w:color w:val="000000"/>
              </w:rPr>
              <w:t>2,22</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Portugalsko</w:t>
            </w:r>
          </w:p>
        </w:tc>
        <w:tc>
          <w:tcPr>
            <w:tcW w:w="1425" w:type="dxa"/>
            <w:shd w:val="clear" w:color="auto" w:fill="D9D9D9" w:themeFill="background1" w:themeFillShade="D9"/>
            <w:vAlign w:val="bottom"/>
          </w:tcPr>
          <w:p w:rsidR="00B951E1" w:rsidRPr="00C32124" w:rsidRDefault="00B951E1" w:rsidP="00B951E1">
            <w:pPr>
              <w:jc w:val="right"/>
            </w:pPr>
            <w:r w:rsidRPr="00C32124">
              <w:t>0,03</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0,57</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0,57</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1,43</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38</w:t>
            </w:r>
          </w:p>
        </w:tc>
      </w:tr>
      <w:tr w:rsidR="00B951E1" w:rsidRPr="001C3B10" w:rsidTr="00B951E1">
        <w:trPr>
          <w:trHeight w:val="386"/>
        </w:trPr>
        <w:tc>
          <w:tcPr>
            <w:tcW w:w="2256" w:type="dxa"/>
            <w:vAlign w:val="bottom"/>
          </w:tcPr>
          <w:p w:rsidR="00B951E1" w:rsidRPr="00C32124" w:rsidRDefault="00B951E1" w:rsidP="00B951E1">
            <w:pPr>
              <w:jc w:val="center"/>
            </w:pPr>
            <w:r w:rsidRPr="00C32124">
              <w:t>Rakouskou</w:t>
            </w:r>
          </w:p>
        </w:tc>
        <w:tc>
          <w:tcPr>
            <w:tcW w:w="1425" w:type="dxa"/>
            <w:vAlign w:val="bottom"/>
          </w:tcPr>
          <w:p w:rsidR="00B951E1" w:rsidRPr="00C32124" w:rsidRDefault="00B951E1" w:rsidP="00B951E1">
            <w:pPr>
              <w:jc w:val="right"/>
            </w:pPr>
            <w:r w:rsidRPr="00C32124">
              <w:t>0,18</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0,92</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0,92</w:t>
            </w:r>
          </w:p>
        </w:tc>
        <w:tc>
          <w:tcPr>
            <w:tcW w:w="1476" w:type="dxa"/>
            <w:vAlign w:val="bottom"/>
          </w:tcPr>
          <w:p w:rsidR="00B951E1" w:rsidRPr="00C32124" w:rsidRDefault="00B951E1" w:rsidP="00B951E1">
            <w:pPr>
              <w:jc w:val="right"/>
              <w:rPr>
                <w:color w:val="000000"/>
              </w:rPr>
            </w:pPr>
            <w:r w:rsidRPr="00C32124">
              <w:rPr>
                <w:color w:val="000000"/>
              </w:rPr>
              <w:t>0,77</w:t>
            </w:r>
          </w:p>
        </w:tc>
        <w:tc>
          <w:tcPr>
            <w:tcW w:w="1356" w:type="dxa"/>
            <w:vAlign w:val="bottom"/>
          </w:tcPr>
          <w:p w:rsidR="00B951E1" w:rsidRPr="00C32124" w:rsidRDefault="00B951E1" w:rsidP="00B951E1">
            <w:pPr>
              <w:jc w:val="right"/>
              <w:rPr>
                <w:color w:val="000000"/>
              </w:rPr>
            </w:pPr>
            <w:r w:rsidRPr="00C32124">
              <w:rPr>
                <w:color w:val="000000"/>
              </w:rPr>
              <w:t>29</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Rumunsko</w:t>
            </w:r>
          </w:p>
        </w:tc>
        <w:tc>
          <w:tcPr>
            <w:tcW w:w="1425" w:type="dxa"/>
            <w:shd w:val="clear" w:color="auto" w:fill="D9D9D9" w:themeFill="background1" w:themeFillShade="D9"/>
            <w:vAlign w:val="bottom"/>
          </w:tcPr>
          <w:p w:rsidR="00B951E1" w:rsidRPr="00C32124" w:rsidRDefault="00B951E1" w:rsidP="00B951E1">
            <w:pPr>
              <w:jc w:val="right"/>
            </w:pPr>
            <w:r w:rsidRPr="00C32124">
              <w:t>0,05</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0,45</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0,45</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1,72</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17</w:t>
            </w:r>
          </w:p>
        </w:tc>
      </w:tr>
      <w:tr w:rsidR="00B951E1" w:rsidRPr="001C3B10" w:rsidTr="00B951E1">
        <w:trPr>
          <w:trHeight w:val="386"/>
        </w:trPr>
        <w:tc>
          <w:tcPr>
            <w:tcW w:w="2256" w:type="dxa"/>
            <w:vAlign w:val="bottom"/>
          </w:tcPr>
          <w:p w:rsidR="00B951E1" w:rsidRPr="00C32124" w:rsidRDefault="00B951E1" w:rsidP="00B951E1">
            <w:pPr>
              <w:jc w:val="center"/>
            </w:pPr>
            <w:r w:rsidRPr="00C32124">
              <w:t>Řecko</w:t>
            </w:r>
          </w:p>
        </w:tc>
        <w:tc>
          <w:tcPr>
            <w:tcW w:w="1425" w:type="dxa"/>
            <w:vAlign w:val="bottom"/>
          </w:tcPr>
          <w:p w:rsidR="00B951E1" w:rsidRPr="00C32124" w:rsidRDefault="00B951E1" w:rsidP="00B951E1">
            <w:pPr>
              <w:jc w:val="right"/>
            </w:pPr>
            <w:r w:rsidRPr="00C32124">
              <w:t>0,09</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0,26</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0,26</w:t>
            </w:r>
          </w:p>
        </w:tc>
        <w:tc>
          <w:tcPr>
            <w:tcW w:w="1476" w:type="dxa"/>
            <w:vAlign w:val="bottom"/>
          </w:tcPr>
          <w:p w:rsidR="00B951E1" w:rsidRPr="00C32124" w:rsidRDefault="00B951E1" w:rsidP="00B951E1">
            <w:pPr>
              <w:jc w:val="right"/>
              <w:rPr>
                <w:color w:val="000000"/>
              </w:rPr>
            </w:pPr>
            <w:r w:rsidRPr="00C32124">
              <w:rPr>
                <w:color w:val="000000"/>
              </w:rPr>
              <w:t>3,87</w:t>
            </w:r>
          </w:p>
        </w:tc>
        <w:tc>
          <w:tcPr>
            <w:tcW w:w="1356" w:type="dxa"/>
            <w:vAlign w:val="bottom"/>
          </w:tcPr>
          <w:p w:rsidR="00B951E1" w:rsidRPr="00C32124" w:rsidRDefault="00B951E1" w:rsidP="00B951E1">
            <w:pPr>
              <w:jc w:val="right"/>
              <w:rPr>
                <w:color w:val="000000"/>
              </w:rPr>
            </w:pPr>
            <w:r w:rsidRPr="00C32124">
              <w:rPr>
                <w:color w:val="000000"/>
              </w:rPr>
              <w:t>43</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Slovensko</w:t>
            </w:r>
          </w:p>
        </w:tc>
        <w:tc>
          <w:tcPr>
            <w:tcW w:w="1425" w:type="dxa"/>
            <w:shd w:val="clear" w:color="auto" w:fill="D9D9D9" w:themeFill="background1" w:themeFillShade="D9"/>
            <w:vAlign w:val="bottom"/>
          </w:tcPr>
          <w:p w:rsidR="00B951E1" w:rsidRPr="00C32124" w:rsidRDefault="00B951E1" w:rsidP="00B951E1">
            <w:pPr>
              <w:jc w:val="right"/>
            </w:pPr>
            <w:r w:rsidRPr="00C32124">
              <w:t>0,65</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2,1</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2,1</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1,81</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vAlign w:val="bottom"/>
          </w:tcPr>
          <w:p w:rsidR="00B951E1" w:rsidRPr="00C32124" w:rsidRDefault="00B951E1" w:rsidP="00B951E1">
            <w:pPr>
              <w:jc w:val="center"/>
            </w:pPr>
            <w:r w:rsidRPr="00C32124">
              <w:t>Slovinsko</w:t>
            </w:r>
          </w:p>
        </w:tc>
        <w:tc>
          <w:tcPr>
            <w:tcW w:w="1425" w:type="dxa"/>
            <w:vAlign w:val="bottom"/>
          </w:tcPr>
          <w:p w:rsidR="00B951E1" w:rsidRPr="00C32124" w:rsidRDefault="00B951E1" w:rsidP="00B951E1">
            <w:pPr>
              <w:jc w:val="right"/>
            </w:pPr>
            <w:r w:rsidRPr="00C32124">
              <w:t>0,14</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0,5</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0,5</w:t>
            </w:r>
          </w:p>
        </w:tc>
        <w:tc>
          <w:tcPr>
            <w:tcW w:w="1476" w:type="dxa"/>
            <w:vAlign w:val="bottom"/>
          </w:tcPr>
          <w:p w:rsidR="00B951E1" w:rsidRPr="00C32124" w:rsidRDefault="00B951E1" w:rsidP="00B951E1">
            <w:pPr>
              <w:jc w:val="right"/>
              <w:rPr>
                <w:color w:val="000000"/>
              </w:rPr>
            </w:pPr>
            <w:r w:rsidRPr="00C32124">
              <w:rPr>
                <w:color w:val="000000"/>
              </w:rPr>
              <w:t>1,25</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Španělsko</w:t>
            </w:r>
          </w:p>
        </w:tc>
        <w:tc>
          <w:tcPr>
            <w:tcW w:w="1425" w:type="dxa"/>
            <w:shd w:val="clear" w:color="auto" w:fill="D9D9D9" w:themeFill="background1" w:themeFillShade="D9"/>
            <w:vAlign w:val="bottom"/>
          </w:tcPr>
          <w:p w:rsidR="00B951E1" w:rsidRPr="00C32124" w:rsidRDefault="00B951E1" w:rsidP="00B951E1">
            <w:pPr>
              <w:jc w:val="right"/>
            </w:pPr>
            <w:r w:rsidRPr="00C32124">
              <w:t>0,07</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0,41</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0,41</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1,18</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38</w:t>
            </w:r>
          </w:p>
        </w:tc>
      </w:tr>
      <w:tr w:rsidR="00B951E1" w:rsidRPr="001C3B10" w:rsidTr="00B951E1">
        <w:trPr>
          <w:trHeight w:val="386"/>
        </w:trPr>
        <w:tc>
          <w:tcPr>
            <w:tcW w:w="2256" w:type="dxa"/>
            <w:vAlign w:val="bottom"/>
          </w:tcPr>
          <w:p w:rsidR="00B951E1" w:rsidRPr="00C32124" w:rsidRDefault="00B951E1" w:rsidP="00B951E1">
            <w:pPr>
              <w:jc w:val="center"/>
            </w:pPr>
            <w:r w:rsidRPr="00C32124">
              <w:t>Švédsko</w:t>
            </w:r>
          </w:p>
        </w:tc>
        <w:tc>
          <w:tcPr>
            <w:tcW w:w="1425" w:type="dxa"/>
            <w:vAlign w:val="bottom"/>
          </w:tcPr>
          <w:p w:rsidR="00B951E1" w:rsidRPr="00C32124" w:rsidRDefault="00B951E1" w:rsidP="00B951E1">
            <w:pPr>
              <w:jc w:val="right"/>
            </w:pPr>
            <w:r w:rsidRPr="00C32124">
              <w:t>0,51</w:t>
            </w:r>
          </w:p>
        </w:tc>
        <w:tc>
          <w:tcPr>
            <w:tcW w:w="1719" w:type="dxa"/>
            <w:tcBorders>
              <w:top w:val="nil"/>
              <w:bottom w:val="single" w:sz="4" w:space="0" w:color="auto"/>
            </w:tcBorders>
            <w:vAlign w:val="bottom"/>
          </w:tcPr>
          <w:p w:rsidR="00B951E1" w:rsidRPr="00C32124" w:rsidRDefault="00B951E1" w:rsidP="00B951E1">
            <w:pPr>
              <w:jc w:val="center"/>
              <w:rPr>
                <w:color w:val="000000"/>
                <w:szCs w:val="22"/>
              </w:rPr>
            </w:pPr>
            <w:r w:rsidRPr="00C32124">
              <w:rPr>
                <w:color w:val="000000"/>
                <w:szCs w:val="22"/>
              </w:rPr>
              <w:t>0,4</w:t>
            </w:r>
          </w:p>
        </w:tc>
        <w:tc>
          <w:tcPr>
            <w:tcW w:w="1356" w:type="dxa"/>
            <w:tcBorders>
              <w:top w:val="nil"/>
              <w:bottom w:val="single" w:sz="4" w:space="0" w:color="auto"/>
            </w:tcBorders>
            <w:vAlign w:val="bottom"/>
          </w:tcPr>
          <w:p w:rsidR="00B951E1" w:rsidRPr="00C32124" w:rsidRDefault="00B951E1" w:rsidP="00B951E1">
            <w:pPr>
              <w:jc w:val="right"/>
              <w:rPr>
                <w:color w:val="000000"/>
              </w:rPr>
            </w:pPr>
            <w:r w:rsidRPr="00C32124">
              <w:rPr>
                <w:color w:val="000000"/>
              </w:rPr>
              <w:t>0,4</w:t>
            </w:r>
          </w:p>
        </w:tc>
        <w:tc>
          <w:tcPr>
            <w:tcW w:w="1476" w:type="dxa"/>
            <w:vAlign w:val="bottom"/>
          </w:tcPr>
          <w:p w:rsidR="00B951E1" w:rsidRPr="00C32124" w:rsidRDefault="00B951E1" w:rsidP="00B951E1">
            <w:pPr>
              <w:jc w:val="right"/>
              <w:rPr>
                <w:color w:val="000000"/>
              </w:rPr>
            </w:pPr>
            <w:r w:rsidRPr="00C32124">
              <w:rPr>
                <w:color w:val="000000"/>
              </w:rPr>
              <w:t>1,41</w:t>
            </w:r>
          </w:p>
        </w:tc>
        <w:tc>
          <w:tcPr>
            <w:tcW w:w="1356" w:type="dxa"/>
            <w:vAlign w:val="bottom"/>
          </w:tcPr>
          <w:p w:rsidR="00B951E1" w:rsidRPr="00C32124" w:rsidRDefault="00B951E1" w:rsidP="00B951E1">
            <w:pPr>
              <w:jc w:val="right"/>
              <w:rPr>
                <w:color w:val="000000"/>
              </w:rPr>
            </w:pPr>
            <w:r w:rsidRPr="00C32124">
              <w:rPr>
                <w:color w:val="000000"/>
              </w:rPr>
              <w:t>29</w:t>
            </w:r>
          </w:p>
        </w:tc>
      </w:tr>
    </w:tbl>
    <w:p w:rsidR="00B951E1" w:rsidRPr="009F459D" w:rsidRDefault="00B951E1" w:rsidP="00B951E1">
      <w:r>
        <w:t xml:space="preserve"> Zdroj: autor</w:t>
      </w:r>
    </w:p>
    <w:p w:rsidR="00B951E1" w:rsidRDefault="00B951E1" w:rsidP="008237E7">
      <w:pPr>
        <w:jc w:val="center"/>
        <w:rPr>
          <w:b/>
        </w:rPr>
      </w:pPr>
    </w:p>
    <w:p w:rsidR="00B951E1" w:rsidRPr="008237E7" w:rsidRDefault="00BA05E4" w:rsidP="00B951E1">
      <w:pPr>
        <w:jc w:val="center"/>
        <w:rPr>
          <w:b/>
        </w:rPr>
      </w:pPr>
      <w:r>
        <w:rPr>
          <w:b/>
        </w:rPr>
        <w:t>Příloha 2</w:t>
      </w:r>
    </w:p>
    <w:p w:rsidR="00B951E1" w:rsidRPr="008237E7" w:rsidRDefault="00B951E1" w:rsidP="00B951E1">
      <w:pPr>
        <w:jc w:val="center"/>
        <w:rPr>
          <w:b/>
        </w:rPr>
      </w:pPr>
      <w:r>
        <w:rPr>
          <w:b/>
        </w:rPr>
        <w:t>Nekalibrovaná</w:t>
      </w:r>
      <w:r w:rsidRPr="008237E7">
        <w:rPr>
          <w:b/>
        </w:rPr>
        <w:t xml:space="preserve"> data</w:t>
      </w:r>
      <w:r w:rsidR="00BA05E4">
        <w:rPr>
          <w:b/>
        </w:rPr>
        <w:t xml:space="preserve"> 2</w:t>
      </w:r>
    </w:p>
    <w:tbl>
      <w:tblPr>
        <w:tblStyle w:val="Mkatabulky"/>
        <w:tblpPr w:leftFromText="141" w:rightFromText="141" w:vertAnchor="page" w:horzAnchor="margin" w:tblpY="2780"/>
        <w:tblW w:w="9588" w:type="dxa"/>
        <w:tblBorders>
          <w:insideH w:val="none" w:sz="0" w:space="0" w:color="auto"/>
          <w:insideV w:val="none" w:sz="0" w:space="0" w:color="auto"/>
        </w:tblBorders>
        <w:tblLook w:val="04A0" w:firstRow="1" w:lastRow="0" w:firstColumn="1" w:lastColumn="0" w:noHBand="0" w:noVBand="1"/>
      </w:tblPr>
      <w:tblGrid>
        <w:gridCol w:w="2256"/>
        <w:gridCol w:w="1425"/>
        <w:gridCol w:w="1719"/>
        <w:gridCol w:w="1356"/>
        <w:gridCol w:w="1476"/>
        <w:gridCol w:w="1356"/>
      </w:tblGrid>
      <w:tr w:rsidR="00B951E1" w:rsidRPr="001C3B10" w:rsidTr="00B951E1">
        <w:trPr>
          <w:trHeight w:val="799"/>
        </w:trPr>
        <w:tc>
          <w:tcPr>
            <w:tcW w:w="2256" w:type="dxa"/>
            <w:shd w:val="clear" w:color="auto" w:fill="404040" w:themeFill="text1" w:themeFillTint="BF"/>
          </w:tcPr>
          <w:p w:rsidR="00B951E1" w:rsidRPr="00C32124" w:rsidRDefault="00B951E1" w:rsidP="00B951E1">
            <w:pPr>
              <w:tabs>
                <w:tab w:val="center" w:pos="1020"/>
                <w:tab w:val="right" w:pos="2040"/>
              </w:tabs>
              <w:ind w:firstLine="0"/>
              <w:jc w:val="left"/>
              <w:rPr>
                <w:b/>
                <w:color w:val="FFFFFF" w:themeColor="background1"/>
                <w:sz w:val="28"/>
                <w:szCs w:val="28"/>
              </w:rPr>
            </w:pPr>
            <w:r w:rsidRPr="00C32124">
              <w:rPr>
                <w:b/>
                <w:color w:val="FFFFFF" w:themeColor="background1"/>
                <w:sz w:val="28"/>
                <w:szCs w:val="28"/>
              </w:rPr>
              <w:lastRenderedPageBreak/>
              <w:tab/>
              <w:t>Stát</w:t>
            </w:r>
            <w:r w:rsidRPr="00C32124">
              <w:rPr>
                <w:b/>
                <w:color w:val="FFFFFF" w:themeColor="background1"/>
                <w:sz w:val="28"/>
                <w:szCs w:val="28"/>
              </w:rPr>
              <w:tab/>
            </w:r>
          </w:p>
        </w:tc>
        <w:tc>
          <w:tcPr>
            <w:tcW w:w="1425" w:type="dxa"/>
            <w:shd w:val="clear" w:color="auto" w:fill="404040" w:themeFill="text1" w:themeFillTint="BF"/>
          </w:tcPr>
          <w:p w:rsidR="00B951E1" w:rsidRPr="00C32124" w:rsidRDefault="00B951E1" w:rsidP="00B951E1">
            <w:pPr>
              <w:ind w:firstLine="0"/>
              <w:jc w:val="center"/>
              <w:rPr>
                <w:b/>
                <w:color w:val="FFFFFF" w:themeColor="background1"/>
                <w:sz w:val="28"/>
                <w:szCs w:val="28"/>
              </w:rPr>
            </w:pPr>
            <w:r w:rsidRPr="00C32124">
              <w:rPr>
                <w:b/>
                <w:color w:val="FFFFFF" w:themeColor="background1"/>
                <w:sz w:val="28"/>
                <w:szCs w:val="28"/>
              </w:rPr>
              <w:t>Pomoc</w:t>
            </w:r>
          </w:p>
          <w:p w:rsidR="00B951E1" w:rsidRPr="00C32124" w:rsidRDefault="00B951E1" w:rsidP="00B951E1">
            <w:pPr>
              <w:ind w:firstLine="0"/>
              <w:jc w:val="center"/>
              <w:rPr>
                <w:color w:val="FFFFFF" w:themeColor="background1"/>
              </w:rPr>
            </w:pPr>
            <w:r w:rsidRPr="00C32124">
              <w:rPr>
                <w:color w:val="FFFFFF" w:themeColor="background1"/>
              </w:rPr>
              <w:t>(% HDP)</w:t>
            </w:r>
          </w:p>
        </w:tc>
        <w:tc>
          <w:tcPr>
            <w:tcW w:w="1719" w:type="dxa"/>
            <w:tcBorders>
              <w:bottom w:val="nil"/>
            </w:tcBorders>
            <w:shd w:val="clear" w:color="auto" w:fill="404040" w:themeFill="text1" w:themeFillTint="BF"/>
          </w:tcPr>
          <w:p w:rsidR="00B951E1" w:rsidRPr="00C32124" w:rsidRDefault="00B951E1" w:rsidP="00B951E1">
            <w:pPr>
              <w:ind w:firstLine="0"/>
              <w:jc w:val="center"/>
              <w:rPr>
                <w:b/>
                <w:color w:val="FFFFFF" w:themeColor="background1"/>
                <w:sz w:val="28"/>
                <w:szCs w:val="28"/>
              </w:rPr>
            </w:pPr>
            <w:r w:rsidRPr="00C32124">
              <w:rPr>
                <w:b/>
                <w:color w:val="FFFFFF" w:themeColor="background1"/>
                <w:sz w:val="28"/>
                <w:szCs w:val="28"/>
              </w:rPr>
              <w:t>Uprchlíci</w:t>
            </w:r>
          </w:p>
          <w:p w:rsidR="00B951E1" w:rsidRPr="00C32124" w:rsidRDefault="00B951E1" w:rsidP="00B951E1">
            <w:pPr>
              <w:ind w:firstLine="0"/>
              <w:jc w:val="center"/>
              <w:rPr>
                <w:color w:val="FFFFFF" w:themeColor="background1"/>
              </w:rPr>
            </w:pPr>
            <w:r w:rsidRPr="00C32124">
              <w:rPr>
                <w:color w:val="FFFFFF" w:themeColor="background1"/>
              </w:rPr>
              <w:t>(podíl)</w:t>
            </w:r>
          </w:p>
        </w:tc>
        <w:tc>
          <w:tcPr>
            <w:tcW w:w="1356" w:type="dxa"/>
            <w:tcBorders>
              <w:bottom w:val="nil"/>
            </w:tcBorders>
            <w:shd w:val="clear" w:color="auto" w:fill="404040" w:themeFill="text1" w:themeFillTint="BF"/>
          </w:tcPr>
          <w:p w:rsidR="00B951E1" w:rsidRPr="00C32124" w:rsidRDefault="00B951E1" w:rsidP="00B951E1">
            <w:pPr>
              <w:ind w:firstLine="0"/>
              <w:jc w:val="center"/>
              <w:rPr>
                <w:b/>
                <w:color w:val="FFFFFF" w:themeColor="background1"/>
                <w:sz w:val="28"/>
                <w:szCs w:val="28"/>
              </w:rPr>
            </w:pPr>
            <w:r w:rsidRPr="00C32124">
              <w:rPr>
                <w:b/>
                <w:color w:val="FFFFFF" w:themeColor="background1"/>
                <w:sz w:val="28"/>
                <w:szCs w:val="28"/>
              </w:rPr>
              <w:t>Plyn</w:t>
            </w:r>
          </w:p>
          <w:p w:rsidR="00B951E1" w:rsidRPr="00C32124" w:rsidRDefault="00B951E1" w:rsidP="00B951E1">
            <w:pPr>
              <w:ind w:firstLine="0"/>
              <w:jc w:val="center"/>
              <w:rPr>
                <w:color w:val="FFFFFF" w:themeColor="background1"/>
              </w:rPr>
            </w:pPr>
            <w:r w:rsidRPr="00C32124">
              <w:rPr>
                <w:color w:val="FFFFFF" w:themeColor="background1"/>
              </w:rPr>
              <w:t>(index)</w:t>
            </w:r>
          </w:p>
        </w:tc>
        <w:tc>
          <w:tcPr>
            <w:tcW w:w="1476" w:type="dxa"/>
            <w:shd w:val="clear" w:color="auto" w:fill="404040" w:themeFill="text1" w:themeFillTint="BF"/>
          </w:tcPr>
          <w:p w:rsidR="00B951E1" w:rsidRPr="00C32124" w:rsidRDefault="00B951E1" w:rsidP="00B951E1">
            <w:pPr>
              <w:ind w:firstLine="0"/>
              <w:jc w:val="center"/>
              <w:rPr>
                <w:b/>
                <w:color w:val="FFFFFF" w:themeColor="background1"/>
                <w:sz w:val="28"/>
                <w:szCs w:val="28"/>
              </w:rPr>
            </w:pPr>
            <w:r w:rsidRPr="00C32124">
              <w:rPr>
                <w:b/>
                <w:color w:val="FFFFFF" w:themeColor="background1"/>
                <w:sz w:val="28"/>
                <w:szCs w:val="28"/>
              </w:rPr>
              <w:t>Obrana</w:t>
            </w:r>
          </w:p>
          <w:p w:rsidR="00B951E1" w:rsidRPr="00C32124" w:rsidRDefault="00B951E1" w:rsidP="00B951E1">
            <w:pPr>
              <w:tabs>
                <w:tab w:val="center" w:pos="630"/>
              </w:tabs>
              <w:ind w:firstLine="0"/>
              <w:jc w:val="center"/>
              <w:rPr>
                <w:color w:val="FFFFFF" w:themeColor="background1"/>
              </w:rPr>
            </w:pPr>
            <w:r w:rsidRPr="00C32124">
              <w:rPr>
                <w:color w:val="FFFFFF" w:themeColor="background1"/>
              </w:rPr>
              <w:t>(% HDP)</w:t>
            </w:r>
          </w:p>
        </w:tc>
        <w:tc>
          <w:tcPr>
            <w:tcW w:w="1356" w:type="dxa"/>
            <w:shd w:val="clear" w:color="auto" w:fill="404040" w:themeFill="text1" w:themeFillTint="BF"/>
          </w:tcPr>
          <w:p w:rsidR="00B951E1" w:rsidRPr="00C32124" w:rsidRDefault="00B951E1" w:rsidP="00B951E1">
            <w:pPr>
              <w:ind w:firstLine="0"/>
              <w:jc w:val="center"/>
              <w:rPr>
                <w:b/>
                <w:color w:val="FFFFFF" w:themeColor="background1"/>
                <w:sz w:val="28"/>
                <w:szCs w:val="28"/>
              </w:rPr>
            </w:pPr>
            <w:r w:rsidRPr="00C32124">
              <w:rPr>
                <w:b/>
                <w:color w:val="FFFFFF" w:themeColor="background1"/>
                <w:sz w:val="28"/>
                <w:szCs w:val="28"/>
              </w:rPr>
              <w:t>Evropa</w:t>
            </w:r>
          </w:p>
          <w:p w:rsidR="00B951E1" w:rsidRPr="00C32124" w:rsidRDefault="00B951E1" w:rsidP="00B951E1">
            <w:pPr>
              <w:ind w:firstLine="0"/>
              <w:jc w:val="center"/>
              <w:rPr>
                <w:color w:val="FFFFFF" w:themeColor="background1"/>
                <w:sz w:val="22"/>
                <w:szCs w:val="22"/>
              </w:rPr>
            </w:pPr>
            <w:r w:rsidRPr="00C32124">
              <w:rPr>
                <w:color w:val="FFFFFF" w:themeColor="background1"/>
                <w:sz w:val="22"/>
                <w:szCs w:val="22"/>
              </w:rPr>
              <w:t>(roky)</w:t>
            </w:r>
          </w:p>
        </w:tc>
      </w:tr>
      <w:tr w:rsidR="00B951E1" w:rsidRPr="001C3B10" w:rsidTr="00B951E1">
        <w:trPr>
          <w:trHeight w:val="386"/>
        </w:trPr>
        <w:tc>
          <w:tcPr>
            <w:tcW w:w="2256" w:type="dxa"/>
            <w:vAlign w:val="bottom"/>
          </w:tcPr>
          <w:p w:rsidR="00B951E1" w:rsidRPr="00C32124" w:rsidRDefault="00B951E1" w:rsidP="00B951E1">
            <w:pPr>
              <w:jc w:val="center"/>
            </w:pPr>
            <w:r w:rsidRPr="00C32124">
              <w:t>Belgie</w:t>
            </w:r>
          </w:p>
        </w:tc>
        <w:tc>
          <w:tcPr>
            <w:tcW w:w="1425" w:type="dxa"/>
            <w:vAlign w:val="bottom"/>
          </w:tcPr>
          <w:p w:rsidR="00B951E1" w:rsidRPr="00C32124" w:rsidRDefault="00B951E1" w:rsidP="00B951E1">
            <w:pPr>
              <w:spacing w:line="240" w:lineRule="auto"/>
              <w:ind w:firstLine="0"/>
              <w:jc w:val="right"/>
              <w:rPr>
                <w:lang w:val="cs-CZ"/>
              </w:rPr>
            </w:pPr>
            <w:r w:rsidRPr="00C32124">
              <w:t>0,41</w:t>
            </w:r>
          </w:p>
        </w:tc>
        <w:tc>
          <w:tcPr>
            <w:tcW w:w="1719" w:type="dxa"/>
            <w:tcBorders>
              <w:top w:val="nil"/>
              <w:bottom w:val="nil"/>
            </w:tcBorders>
            <w:vAlign w:val="bottom"/>
          </w:tcPr>
          <w:p w:rsidR="00B951E1" w:rsidRPr="00C32124" w:rsidRDefault="00B951E1" w:rsidP="00B951E1">
            <w:pPr>
              <w:spacing w:line="240" w:lineRule="auto"/>
              <w:ind w:firstLine="0"/>
              <w:jc w:val="center"/>
              <w:rPr>
                <w:color w:val="000000"/>
                <w:szCs w:val="22"/>
                <w:lang w:val="cs-CZ"/>
              </w:rPr>
            </w:pPr>
            <w:r w:rsidRPr="00C32124">
              <w:rPr>
                <w:color w:val="000000"/>
                <w:szCs w:val="22"/>
              </w:rPr>
              <w:t xml:space="preserve">             0,64</w:t>
            </w:r>
          </w:p>
        </w:tc>
        <w:tc>
          <w:tcPr>
            <w:tcW w:w="1356" w:type="dxa"/>
            <w:tcBorders>
              <w:top w:val="nil"/>
              <w:bottom w:val="nil"/>
            </w:tcBorders>
            <w:vAlign w:val="bottom"/>
          </w:tcPr>
          <w:p w:rsidR="00B951E1" w:rsidRPr="00C32124" w:rsidRDefault="00B951E1" w:rsidP="00B951E1">
            <w:pPr>
              <w:spacing w:line="240" w:lineRule="auto"/>
              <w:ind w:firstLine="0"/>
              <w:jc w:val="right"/>
              <w:rPr>
                <w:color w:val="000000"/>
                <w:lang w:val="cs-CZ"/>
              </w:rPr>
            </w:pPr>
            <w:r w:rsidRPr="00C32124">
              <w:rPr>
                <w:color w:val="000000"/>
              </w:rPr>
              <w:t>0,64</w:t>
            </w:r>
          </w:p>
        </w:tc>
        <w:tc>
          <w:tcPr>
            <w:tcW w:w="1476" w:type="dxa"/>
            <w:vAlign w:val="bottom"/>
          </w:tcPr>
          <w:p w:rsidR="00B951E1" w:rsidRPr="00C32124" w:rsidRDefault="00B951E1" w:rsidP="00B951E1">
            <w:pPr>
              <w:spacing w:line="240" w:lineRule="auto"/>
              <w:ind w:firstLine="0"/>
              <w:jc w:val="right"/>
              <w:rPr>
                <w:color w:val="000000"/>
                <w:lang w:val="cs-CZ"/>
              </w:rPr>
            </w:pPr>
            <w:r w:rsidRPr="00C32124">
              <w:rPr>
                <w:color w:val="000000"/>
              </w:rPr>
              <w:t>1,19</w:t>
            </w:r>
          </w:p>
        </w:tc>
        <w:tc>
          <w:tcPr>
            <w:tcW w:w="1356" w:type="dxa"/>
            <w:vAlign w:val="bottom"/>
          </w:tcPr>
          <w:p w:rsidR="00B951E1" w:rsidRPr="00C32124" w:rsidRDefault="00B951E1" w:rsidP="00B951E1">
            <w:pPr>
              <w:spacing w:line="240" w:lineRule="auto"/>
              <w:ind w:firstLine="0"/>
              <w:jc w:val="right"/>
              <w:rPr>
                <w:color w:val="000000"/>
                <w:lang w:val="cs-CZ"/>
              </w:rPr>
            </w:pPr>
            <w:r w:rsidRPr="00C32124">
              <w:rPr>
                <w:color w:val="000000"/>
              </w:rPr>
              <w:t>66</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Bulharsko</w:t>
            </w:r>
          </w:p>
        </w:tc>
        <w:tc>
          <w:tcPr>
            <w:tcW w:w="1425" w:type="dxa"/>
            <w:shd w:val="clear" w:color="auto" w:fill="D9D9D9" w:themeFill="background1" w:themeFillShade="D9"/>
            <w:vAlign w:val="bottom"/>
          </w:tcPr>
          <w:p w:rsidR="00B951E1" w:rsidRPr="00C32124" w:rsidRDefault="00B951E1" w:rsidP="00B951E1">
            <w:pPr>
              <w:jc w:val="right"/>
            </w:pPr>
            <w:r w:rsidRPr="00C32124">
              <w:t>0,32</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0,8</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0,8</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1,50</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17</w:t>
            </w:r>
          </w:p>
        </w:tc>
      </w:tr>
      <w:tr w:rsidR="00B951E1" w:rsidRPr="001C3B10" w:rsidTr="00B951E1">
        <w:trPr>
          <w:trHeight w:val="386"/>
        </w:trPr>
        <w:tc>
          <w:tcPr>
            <w:tcW w:w="2256" w:type="dxa"/>
            <w:vAlign w:val="bottom"/>
          </w:tcPr>
          <w:p w:rsidR="00B951E1" w:rsidRPr="00C32124" w:rsidRDefault="00B951E1" w:rsidP="00B951E1">
            <w:pPr>
              <w:jc w:val="center"/>
            </w:pPr>
            <w:r w:rsidRPr="00C32124">
              <w:t>Česko</w:t>
            </w:r>
          </w:p>
        </w:tc>
        <w:tc>
          <w:tcPr>
            <w:tcW w:w="1425" w:type="dxa"/>
            <w:vAlign w:val="bottom"/>
          </w:tcPr>
          <w:p w:rsidR="00B951E1" w:rsidRPr="00C32124" w:rsidRDefault="00B951E1" w:rsidP="00B951E1">
            <w:pPr>
              <w:jc w:val="right"/>
            </w:pPr>
            <w:r w:rsidRPr="00C32124">
              <w:t>0,52</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3,47</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3,47</w:t>
            </w:r>
          </w:p>
        </w:tc>
        <w:tc>
          <w:tcPr>
            <w:tcW w:w="1476" w:type="dxa"/>
            <w:vAlign w:val="bottom"/>
          </w:tcPr>
          <w:p w:rsidR="00B951E1" w:rsidRPr="00C32124" w:rsidRDefault="00B951E1" w:rsidP="00B951E1">
            <w:pPr>
              <w:jc w:val="right"/>
              <w:rPr>
                <w:color w:val="000000"/>
              </w:rPr>
            </w:pPr>
            <w:r w:rsidRPr="00C32124">
              <w:rPr>
                <w:color w:val="000000"/>
              </w:rPr>
              <w:t>1,34</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Dánsko</w:t>
            </w:r>
          </w:p>
        </w:tc>
        <w:tc>
          <w:tcPr>
            <w:tcW w:w="1425" w:type="dxa"/>
            <w:shd w:val="clear" w:color="auto" w:fill="D9D9D9" w:themeFill="background1" w:themeFillShade="D9"/>
            <w:vAlign w:val="bottom"/>
          </w:tcPr>
          <w:p w:rsidR="00B951E1" w:rsidRPr="00C32124" w:rsidRDefault="00B951E1" w:rsidP="00B951E1">
            <w:pPr>
              <w:jc w:val="right"/>
            </w:pPr>
            <w:r w:rsidRPr="00C32124">
              <w:t>2,41</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0,62</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0,62</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1,38</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51</w:t>
            </w:r>
          </w:p>
        </w:tc>
      </w:tr>
      <w:tr w:rsidR="00B951E1" w:rsidRPr="001C3B10" w:rsidTr="00B951E1">
        <w:trPr>
          <w:trHeight w:val="386"/>
        </w:trPr>
        <w:tc>
          <w:tcPr>
            <w:tcW w:w="2256" w:type="dxa"/>
            <w:vAlign w:val="bottom"/>
          </w:tcPr>
          <w:p w:rsidR="00B951E1" w:rsidRPr="00C32124" w:rsidRDefault="00B951E1" w:rsidP="00B951E1">
            <w:pPr>
              <w:jc w:val="center"/>
            </w:pPr>
            <w:r w:rsidRPr="00C32124">
              <w:t>Estonsko</w:t>
            </w:r>
          </w:p>
        </w:tc>
        <w:tc>
          <w:tcPr>
            <w:tcW w:w="1425" w:type="dxa"/>
            <w:vAlign w:val="bottom"/>
          </w:tcPr>
          <w:p w:rsidR="00B951E1" w:rsidRPr="00C32124" w:rsidRDefault="00B951E1" w:rsidP="00B951E1">
            <w:pPr>
              <w:jc w:val="right"/>
            </w:pPr>
            <w:r w:rsidRPr="00C32124">
              <w:t>3,55</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2,8</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2,8</w:t>
            </w:r>
          </w:p>
        </w:tc>
        <w:tc>
          <w:tcPr>
            <w:tcW w:w="1476" w:type="dxa"/>
            <w:vAlign w:val="bottom"/>
          </w:tcPr>
          <w:p w:rsidR="00B951E1" w:rsidRPr="00C32124" w:rsidRDefault="00B951E1" w:rsidP="00B951E1">
            <w:pPr>
              <w:jc w:val="right"/>
              <w:rPr>
                <w:color w:val="000000"/>
              </w:rPr>
            </w:pPr>
            <w:r w:rsidRPr="00C32124">
              <w:rPr>
                <w:color w:val="000000"/>
              </w:rPr>
              <w:t>2,15</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Finsko</w:t>
            </w:r>
          </w:p>
        </w:tc>
        <w:tc>
          <w:tcPr>
            <w:tcW w:w="1425" w:type="dxa"/>
            <w:shd w:val="clear" w:color="auto" w:fill="D9D9D9" w:themeFill="background1" w:themeFillShade="D9"/>
            <w:vAlign w:val="bottom"/>
          </w:tcPr>
          <w:p w:rsidR="00B951E1" w:rsidRPr="00C32124" w:rsidRDefault="00B951E1" w:rsidP="00B951E1">
            <w:pPr>
              <w:jc w:val="right"/>
            </w:pPr>
            <w:r w:rsidRPr="00C32124">
              <w:t>0,71</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1,16</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1,16</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1,94</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29</w:t>
            </w:r>
          </w:p>
        </w:tc>
      </w:tr>
      <w:tr w:rsidR="00B951E1" w:rsidRPr="001C3B10" w:rsidTr="00B951E1">
        <w:trPr>
          <w:trHeight w:val="402"/>
        </w:trPr>
        <w:tc>
          <w:tcPr>
            <w:tcW w:w="2256" w:type="dxa"/>
            <w:vAlign w:val="bottom"/>
          </w:tcPr>
          <w:p w:rsidR="00B951E1" w:rsidRPr="00C32124" w:rsidRDefault="00B951E1" w:rsidP="00B951E1">
            <w:pPr>
              <w:jc w:val="center"/>
            </w:pPr>
            <w:r w:rsidRPr="00C32124">
              <w:t>Francie</w:t>
            </w:r>
          </w:p>
        </w:tc>
        <w:tc>
          <w:tcPr>
            <w:tcW w:w="1425" w:type="dxa"/>
            <w:vAlign w:val="bottom"/>
          </w:tcPr>
          <w:p w:rsidR="00B951E1" w:rsidRPr="00C32124" w:rsidRDefault="00B951E1" w:rsidP="00B951E1">
            <w:pPr>
              <w:jc w:val="right"/>
            </w:pPr>
            <w:r w:rsidRPr="00C32124">
              <w:t>0,07</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0,1</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0,1</w:t>
            </w:r>
          </w:p>
        </w:tc>
        <w:tc>
          <w:tcPr>
            <w:tcW w:w="1476" w:type="dxa"/>
            <w:vAlign w:val="bottom"/>
          </w:tcPr>
          <w:p w:rsidR="00B951E1" w:rsidRPr="00C32124" w:rsidRDefault="00B951E1" w:rsidP="00B951E1">
            <w:pPr>
              <w:jc w:val="right"/>
              <w:rPr>
                <w:color w:val="000000"/>
              </w:rPr>
            </w:pPr>
            <w:r w:rsidRPr="00C32124">
              <w:rPr>
                <w:color w:val="000000"/>
              </w:rPr>
              <w:t>1,88</w:t>
            </w:r>
          </w:p>
        </w:tc>
        <w:tc>
          <w:tcPr>
            <w:tcW w:w="1356" w:type="dxa"/>
            <w:vAlign w:val="bottom"/>
          </w:tcPr>
          <w:p w:rsidR="00B951E1" w:rsidRPr="00C32124" w:rsidRDefault="00B951E1" w:rsidP="00B951E1">
            <w:pPr>
              <w:jc w:val="right"/>
              <w:rPr>
                <w:color w:val="000000"/>
              </w:rPr>
            </w:pPr>
            <w:r w:rsidRPr="00C32124">
              <w:rPr>
                <w:color w:val="000000"/>
              </w:rPr>
              <w:t>66</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Chorvatsko</w:t>
            </w:r>
          </w:p>
        </w:tc>
        <w:tc>
          <w:tcPr>
            <w:tcW w:w="1425" w:type="dxa"/>
            <w:shd w:val="clear" w:color="auto" w:fill="D9D9D9" w:themeFill="background1" w:themeFillShade="D9"/>
            <w:vAlign w:val="bottom"/>
          </w:tcPr>
          <w:p w:rsidR="00B951E1" w:rsidRPr="00C32124" w:rsidRDefault="00B951E1" w:rsidP="00B951E1">
            <w:pPr>
              <w:jc w:val="right"/>
            </w:pPr>
            <w:r w:rsidRPr="00C32124">
              <w:t>0,44</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0,63</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0,63</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1,86</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11</w:t>
            </w:r>
          </w:p>
        </w:tc>
      </w:tr>
      <w:tr w:rsidR="00B951E1" w:rsidRPr="001C3B10" w:rsidTr="00B951E1">
        <w:trPr>
          <w:trHeight w:val="386"/>
        </w:trPr>
        <w:tc>
          <w:tcPr>
            <w:tcW w:w="2256" w:type="dxa"/>
            <w:vAlign w:val="bottom"/>
          </w:tcPr>
          <w:p w:rsidR="00B951E1" w:rsidRPr="00C32124" w:rsidRDefault="00B951E1" w:rsidP="00B951E1">
            <w:pPr>
              <w:jc w:val="center"/>
            </w:pPr>
            <w:r w:rsidRPr="00C32124">
              <w:t>Irsko</w:t>
            </w:r>
          </w:p>
        </w:tc>
        <w:tc>
          <w:tcPr>
            <w:tcW w:w="1425" w:type="dxa"/>
            <w:vAlign w:val="bottom"/>
          </w:tcPr>
          <w:p w:rsidR="00B951E1" w:rsidRPr="00C32124" w:rsidRDefault="00B951E1" w:rsidP="00B951E1">
            <w:pPr>
              <w:jc w:val="right"/>
            </w:pPr>
            <w:r w:rsidRPr="00C32124">
              <w:t>0,03</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1,97</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1,97</w:t>
            </w:r>
          </w:p>
        </w:tc>
        <w:tc>
          <w:tcPr>
            <w:tcW w:w="1476" w:type="dxa"/>
            <w:vAlign w:val="bottom"/>
          </w:tcPr>
          <w:p w:rsidR="00B951E1" w:rsidRPr="00C32124" w:rsidRDefault="00B951E1" w:rsidP="00B951E1">
            <w:pPr>
              <w:jc w:val="right"/>
              <w:rPr>
                <w:color w:val="000000"/>
              </w:rPr>
            </w:pPr>
            <w:r w:rsidRPr="00C32124">
              <w:rPr>
                <w:color w:val="000000"/>
              </w:rPr>
              <w:t>0,22</w:t>
            </w:r>
          </w:p>
        </w:tc>
        <w:tc>
          <w:tcPr>
            <w:tcW w:w="1356" w:type="dxa"/>
            <w:vAlign w:val="bottom"/>
          </w:tcPr>
          <w:p w:rsidR="00B951E1" w:rsidRPr="00C32124" w:rsidRDefault="00B951E1" w:rsidP="00B951E1">
            <w:pPr>
              <w:jc w:val="right"/>
              <w:rPr>
                <w:color w:val="000000"/>
              </w:rPr>
            </w:pPr>
            <w:r w:rsidRPr="00C32124">
              <w:rPr>
                <w:color w:val="000000"/>
              </w:rPr>
              <w:t>51</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Itálie</w:t>
            </w:r>
          </w:p>
        </w:tc>
        <w:tc>
          <w:tcPr>
            <w:tcW w:w="1425" w:type="dxa"/>
            <w:shd w:val="clear" w:color="auto" w:fill="D9D9D9" w:themeFill="background1" w:themeFillShade="D9"/>
            <w:vAlign w:val="bottom"/>
          </w:tcPr>
          <w:p w:rsidR="00B951E1" w:rsidRPr="00C32124" w:rsidRDefault="00B951E1" w:rsidP="00B951E1">
            <w:pPr>
              <w:jc w:val="right"/>
            </w:pPr>
            <w:r w:rsidRPr="00C32124">
              <w:t>0,07</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0,29</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0,29</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1,51</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66</w:t>
            </w:r>
          </w:p>
        </w:tc>
      </w:tr>
      <w:tr w:rsidR="00B951E1" w:rsidRPr="001C3B10" w:rsidTr="00B951E1">
        <w:trPr>
          <w:trHeight w:val="386"/>
        </w:trPr>
        <w:tc>
          <w:tcPr>
            <w:tcW w:w="2256" w:type="dxa"/>
            <w:vAlign w:val="bottom"/>
          </w:tcPr>
          <w:p w:rsidR="00B951E1" w:rsidRPr="00C32124" w:rsidRDefault="00B951E1" w:rsidP="00B951E1">
            <w:pPr>
              <w:jc w:val="center"/>
            </w:pPr>
            <w:r w:rsidRPr="00C32124">
              <w:t>Kypr</w:t>
            </w:r>
          </w:p>
        </w:tc>
        <w:tc>
          <w:tcPr>
            <w:tcW w:w="1425" w:type="dxa"/>
            <w:vAlign w:val="bottom"/>
          </w:tcPr>
          <w:p w:rsidR="00B951E1" w:rsidRPr="00C32124" w:rsidRDefault="00B951E1" w:rsidP="00B951E1">
            <w:pPr>
              <w:jc w:val="right"/>
            </w:pPr>
            <w:r w:rsidRPr="00C32124">
              <w:t>0,02</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1,98</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1,98</w:t>
            </w:r>
          </w:p>
        </w:tc>
        <w:tc>
          <w:tcPr>
            <w:tcW w:w="1476" w:type="dxa"/>
            <w:vAlign w:val="bottom"/>
          </w:tcPr>
          <w:p w:rsidR="00B951E1" w:rsidRPr="00C32124" w:rsidRDefault="00B951E1" w:rsidP="00B951E1">
            <w:pPr>
              <w:jc w:val="right"/>
              <w:rPr>
                <w:color w:val="000000"/>
              </w:rPr>
            </w:pPr>
            <w:r w:rsidRPr="00C32124">
              <w:rPr>
                <w:color w:val="000000"/>
              </w:rPr>
              <w:t>1,87</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Litva</w:t>
            </w:r>
          </w:p>
        </w:tc>
        <w:tc>
          <w:tcPr>
            <w:tcW w:w="1425" w:type="dxa"/>
            <w:shd w:val="clear" w:color="auto" w:fill="D9D9D9" w:themeFill="background1" w:themeFillShade="D9"/>
            <w:vAlign w:val="bottom"/>
          </w:tcPr>
          <w:p w:rsidR="00B951E1" w:rsidRPr="00C32124" w:rsidRDefault="00B951E1" w:rsidP="00B951E1">
            <w:pPr>
              <w:jc w:val="right"/>
            </w:pPr>
            <w:r w:rsidRPr="00C32124">
              <w:t>1,54</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1,83</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1,83</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2,46</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vAlign w:val="bottom"/>
          </w:tcPr>
          <w:p w:rsidR="00B951E1" w:rsidRPr="00C32124" w:rsidRDefault="00B951E1" w:rsidP="00B951E1">
            <w:pPr>
              <w:jc w:val="center"/>
            </w:pPr>
            <w:r w:rsidRPr="00C32124">
              <w:t>Lotyšsko</w:t>
            </w:r>
          </w:p>
        </w:tc>
        <w:tc>
          <w:tcPr>
            <w:tcW w:w="1425" w:type="dxa"/>
            <w:vAlign w:val="bottom"/>
          </w:tcPr>
          <w:p w:rsidR="00B951E1" w:rsidRPr="00C32124" w:rsidRDefault="00B951E1" w:rsidP="00B951E1">
            <w:pPr>
              <w:jc w:val="right"/>
            </w:pPr>
            <w:r w:rsidRPr="00C32124">
              <w:t>1,15</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2,33</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2,33</w:t>
            </w:r>
          </w:p>
        </w:tc>
        <w:tc>
          <w:tcPr>
            <w:tcW w:w="1476" w:type="dxa"/>
            <w:vAlign w:val="bottom"/>
          </w:tcPr>
          <w:p w:rsidR="00B951E1" w:rsidRPr="00C32124" w:rsidRDefault="00B951E1" w:rsidP="00B951E1">
            <w:pPr>
              <w:jc w:val="right"/>
              <w:rPr>
                <w:color w:val="000000"/>
              </w:rPr>
            </w:pPr>
            <w:r w:rsidRPr="00C32124">
              <w:rPr>
                <w:color w:val="000000"/>
              </w:rPr>
              <w:t>2,08</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Lucembursko</w:t>
            </w:r>
          </w:p>
        </w:tc>
        <w:tc>
          <w:tcPr>
            <w:tcW w:w="1425" w:type="dxa"/>
            <w:shd w:val="clear" w:color="auto" w:fill="D9D9D9" w:themeFill="background1" w:themeFillShade="D9"/>
            <w:vAlign w:val="bottom"/>
          </w:tcPr>
          <w:p w:rsidR="00B951E1" w:rsidRPr="00C32124" w:rsidRDefault="00B951E1" w:rsidP="00B951E1">
            <w:pPr>
              <w:jc w:val="right"/>
            </w:pPr>
            <w:r w:rsidRPr="00C32124">
              <w:t>0,17</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0,64</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0,64</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0,59</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66</w:t>
            </w:r>
          </w:p>
        </w:tc>
      </w:tr>
      <w:tr w:rsidR="00B951E1" w:rsidRPr="001C3B10" w:rsidTr="00B951E1">
        <w:trPr>
          <w:trHeight w:val="386"/>
        </w:trPr>
        <w:tc>
          <w:tcPr>
            <w:tcW w:w="2256" w:type="dxa"/>
            <w:vAlign w:val="bottom"/>
          </w:tcPr>
          <w:p w:rsidR="00B951E1" w:rsidRPr="00C32124" w:rsidRDefault="00B951E1" w:rsidP="00B951E1">
            <w:pPr>
              <w:jc w:val="center"/>
            </w:pPr>
            <w:r w:rsidRPr="00C32124">
              <w:t>Maďarsko</w:t>
            </w:r>
          </w:p>
        </w:tc>
        <w:tc>
          <w:tcPr>
            <w:tcW w:w="1425" w:type="dxa"/>
            <w:vAlign w:val="bottom"/>
          </w:tcPr>
          <w:p w:rsidR="00B951E1" w:rsidRPr="00C32124" w:rsidRDefault="00B951E1" w:rsidP="00B951E1">
            <w:pPr>
              <w:jc w:val="right"/>
            </w:pPr>
            <w:r w:rsidRPr="00C32124">
              <w:t>0,03</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0,68</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0,68</w:t>
            </w:r>
          </w:p>
        </w:tc>
        <w:tc>
          <w:tcPr>
            <w:tcW w:w="1476" w:type="dxa"/>
            <w:vAlign w:val="bottom"/>
          </w:tcPr>
          <w:p w:rsidR="00B951E1" w:rsidRPr="00C32124" w:rsidRDefault="00B951E1" w:rsidP="00B951E1">
            <w:pPr>
              <w:jc w:val="right"/>
              <w:rPr>
                <w:color w:val="000000"/>
              </w:rPr>
            </w:pPr>
            <w:r w:rsidRPr="00C32124">
              <w:rPr>
                <w:color w:val="000000"/>
              </w:rPr>
              <w:t>1,82</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Malta</w:t>
            </w:r>
          </w:p>
        </w:tc>
        <w:tc>
          <w:tcPr>
            <w:tcW w:w="1425" w:type="dxa"/>
            <w:shd w:val="clear" w:color="auto" w:fill="D9D9D9" w:themeFill="background1" w:themeFillShade="D9"/>
            <w:vAlign w:val="bottom"/>
          </w:tcPr>
          <w:p w:rsidR="00B951E1" w:rsidRPr="00C32124" w:rsidRDefault="00B951E1" w:rsidP="00B951E1">
            <w:pPr>
              <w:jc w:val="right"/>
            </w:pPr>
            <w:r w:rsidRPr="00C32124">
              <w:t>0,01</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0,39</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0,39</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0,41</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vAlign w:val="bottom"/>
          </w:tcPr>
          <w:p w:rsidR="00B951E1" w:rsidRPr="00C32124" w:rsidRDefault="00B951E1" w:rsidP="00B951E1">
            <w:pPr>
              <w:jc w:val="center"/>
            </w:pPr>
            <w:r w:rsidRPr="00C32124">
              <w:t>Německo</w:t>
            </w:r>
          </w:p>
        </w:tc>
        <w:tc>
          <w:tcPr>
            <w:tcW w:w="1425" w:type="dxa"/>
            <w:vAlign w:val="bottom"/>
          </w:tcPr>
          <w:p w:rsidR="00B951E1" w:rsidRPr="00C32124" w:rsidRDefault="00B951E1" w:rsidP="00B951E1">
            <w:pPr>
              <w:jc w:val="right"/>
            </w:pPr>
            <w:r w:rsidRPr="00C32124">
              <w:t>0,57</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1,33</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1,33</w:t>
            </w:r>
          </w:p>
        </w:tc>
        <w:tc>
          <w:tcPr>
            <w:tcW w:w="1476" w:type="dxa"/>
            <w:vAlign w:val="bottom"/>
          </w:tcPr>
          <w:p w:rsidR="00B951E1" w:rsidRPr="00C32124" w:rsidRDefault="00B951E1" w:rsidP="00B951E1">
            <w:pPr>
              <w:jc w:val="right"/>
              <w:rPr>
                <w:color w:val="000000"/>
              </w:rPr>
            </w:pPr>
            <w:r w:rsidRPr="00C32124">
              <w:rPr>
                <w:color w:val="000000"/>
              </w:rPr>
              <w:t>1,51</w:t>
            </w:r>
          </w:p>
        </w:tc>
        <w:tc>
          <w:tcPr>
            <w:tcW w:w="1356" w:type="dxa"/>
            <w:vAlign w:val="bottom"/>
          </w:tcPr>
          <w:p w:rsidR="00B951E1" w:rsidRPr="00C32124" w:rsidRDefault="00B951E1" w:rsidP="00B951E1">
            <w:pPr>
              <w:jc w:val="right"/>
              <w:rPr>
                <w:color w:val="000000"/>
              </w:rPr>
            </w:pPr>
            <w:r w:rsidRPr="00C32124">
              <w:rPr>
                <w:color w:val="000000"/>
              </w:rPr>
              <w:t>66</w:t>
            </w:r>
          </w:p>
        </w:tc>
      </w:tr>
      <w:tr w:rsidR="00B951E1" w:rsidRPr="001C3B10" w:rsidTr="00B951E1">
        <w:trPr>
          <w:trHeight w:val="402"/>
        </w:trPr>
        <w:tc>
          <w:tcPr>
            <w:tcW w:w="2256" w:type="dxa"/>
            <w:shd w:val="clear" w:color="auto" w:fill="D9D9D9" w:themeFill="background1" w:themeFillShade="D9"/>
            <w:vAlign w:val="bottom"/>
          </w:tcPr>
          <w:p w:rsidR="00B951E1" w:rsidRPr="00C32124" w:rsidRDefault="00B951E1" w:rsidP="00B951E1">
            <w:pPr>
              <w:jc w:val="center"/>
            </w:pPr>
            <w:r w:rsidRPr="00C32124">
              <w:t>Nizozemsko</w:t>
            </w:r>
          </w:p>
        </w:tc>
        <w:tc>
          <w:tcPr>
            <w:tcW w:w="1425" w:type="dxa"/>
            <w:shd w:val="clear" w:color="auto" w:fill="D9D9D9" w:themeFill="background1" w:themeFillShade="D9"/>
            <w:vAlign w:val="bottom"/>
          </w:tcPr>
          <w:p w:rsidR="00B951E1" w:rsidRPr="00C32124" w:rsidRDefault="00B951E1" w:rsidP="00B951E1">
            <w:pPr>
              <w:jc w:val="right"/>
            </w:pPr>
            <w:r w:rsidRPr="00C32124">
              <w:t>0,67</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0,82</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0,82</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1,15</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66</w:t>
            </w:r>
          </w:p>
        </w:tc>
      </w:tr>
      <w:tr w:rsidR="00B951E1" w:rsidRPr="001C3B10" w:rsidTr="00B951E1">
        <w:trPr>
          <w:trHeight w:val="386"/>
        </w:trPr>
        <w:tc>
          <w:tcPr>
            <w:tcW w:w="2256" w:type="dxa"/>
            <w:vAlign w:val="bottom"/>
          </w:tcPr>
          <w:p w:rsidR="00B951E1" w:rsidRPr="00C32124" w:rsidRDefault="00B951E1" w:rsidP="00B951E1">
            <w:pPr>
              <w:jc w:val="center"/>
            </w:pPr>
            <w:r w:rsidRPr="00C32124">
              <w:t>Polsko</w:t>
            </w:r>
          </w:p>
        </w:tc>
        <w:tc>
          <w:tcPr>
            <w:tcW w:w="1425" w:type="dxa"/>
            <w:vAlign w:val="bottom"/>
          </w:tcPr>
          <w:p w:rsidR="00B951E1" w:rsidRPr="00C32124" w:rsidRDefault="00B951E1" w:rsidP="00B951E1">
            <w:pPr>
              <w:jc w:val="right"/>
            </w:pPr>
            <w:r w:rsidRPr="00C32124">
              <w:t>0,69</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2,6</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2,6</w:t>
            </w:r>
          </w:p>
        </w:tc>
        <w:tc>
          <w:tcPr>
            <w:tcW w:w="1476" w:type="dxa"/>
            <w:vAlign w:val="bottom"/>
          </w:tcPr>
          <w:p w:rsidR="00B951E1" w:rsidRPr="00C32124" w:rsidRDefault="00B951E1" w:rsidP="00B951E1">
            <w:pPr>
              <w:jc w:val="right"/>
              <w:rPr>
                <w:color w:val="000000"/>
              </w:rPr>
            </w:pPr>
            <w:r w:rsidRPr="00C32124">
              <w:rPr>
                <w:color w:val="000000"/>
              </w:rPr>
              <w:t>2,22</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Portugalsko</w:t>
            </w:r>
          </w:p>
        </w:tc>
        <w:tc>
          <w:tcPr>
            <w:tcW w:w="1425" w:type="dxa"/>
            <w:shd w:val="clear" w:color="auto" w:fill="D9D9D9" w:themeFill="background1" w:themeFillShade="D9"/>
            <w:vAlign w:val="bottom"/>
          </w:tcPr>
          <w:p w:rsidR="00B951E1" w:rsidRPr="00C32124" w:rsidRDefault="00B951E1" w:rsidP="00B951E1">
            <w:pPr>
              <w:jc w:val="right"/>
            </w:pPr>
            <w:r w:rsidRPr="00C32124">
              <w:t>0,03</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0,57</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0,57</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1,43</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38</w:t>
            </w:r>
          </w:p>
        </w:tc>
      </w:tr>
      <w:tr w:rsidR="00B951E1" w:rsidRPr="001C3B10" w:rsidTr="00B951E1">
        <w:trPr>
          <w:trHeight w:val="386"/>
        </w:trPr>
        <w:tc>
          <w:tcPr>
            <w:tcW w:w="2256" w:type="dxa"/>
            <w:vAlign w:val="bottom"/>
          </w:tcPr>
          <w:p w:rsidR="00B951E1" w:rsidRPr="00C32124" w:rsidRDefault="00B951E1" w:rsidP="00B951E1">
            <w:pPr>
              <w:jc w:val="center"/>
            </w:pPr>
            <w:r w:rsidRPr="00C32124">
              <w:t>Rakouskou</w:t>
            </w:r>
          </w:p>
        </w:tc>
        <w:tc>
          <w:tcPr>
            <w:tcW w:w="1425" w:type="dxa"/>
            <w:vAlign w:val="bottom"/>
          </w:tcPr>
          <w:p w:rsidR="00B951E1" w:rsidRPr="00C32124" w:rsidRDefault="00B951E1" w:rsidP="00B951E1">
            <w:pPr>
              <w:jc w:val="right"/>
            </w:pPr>
            <w:r w:rsidRPr="00C32124">
              <w:t>0,18</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0,92</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0,92</w:t>
            </w:r>
          </w:p>
        </w:tc>
        <w:tc>
          <w:tcPr>
            <w:tcW w:w="1476" w:type="dxa"/>
            <w:vAlign w:val="bottom"/>
          </w:tcPr>
          <w:p w:rsidR="00B951E1" w:rsidRPr="00C32124" w:rsidRDefault="00B951E1" w:rsidP="00B951E1">
            <w:pPr>
              <w:jc w:val="right"/>
              <w:rPr>
                <w:color w:val="000000"/>
              </w:rPr>
            </w:pPr>
            <w:r w:rsidRPr="00C32124">
              <w:rPr>
                <w:color w:val="000000"/>
              </w:rPr>
              <w:t>0,77</w:t>
            </w:r>
          </w:p>
        </w:tc>
        <w:tc>
          <w:tcPr>
            <w:tcW w:w="1356" w:type="dxa"/>
            <w:vAlign w:val="bottom"/>
          </w:tcPr>
          <w:p w:rsidR="00B951E1" w:rsidRPr="00C32124" w:rsidRDefault="00B951E1" w:rsidP="00B951E1">
            <w:pPr>
              <w:jc w:val="right"/>
              <w:rPr>
                <w:color w:val="000000"/>
              </w:rPr>
            </w:pPr>
            <w:r w:rsidRPr="00C32124">
              <w:rPr>
                <w:color w:val="000000"/>
              </w:rPr>
              <w:t>29</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Rumunsko</w:t>
            </w:r>
          </w:p>
        </w:tc>
        <w:tc>
          <w:tcPr>
            <w:tcW w:w="1425" w:type="dxa"/>
            <w:shd w:val="clear" w:color="auto" w:fill="D9D9D9" w:themeFill="background1" w:themeFillShade="D9"/>
            <w:vAlign w:val="bottom"/>
          </w:tcPr>
          <w:p w:rsidR="00B951E1" w:rsidRPr="00C32124" w:rsidRDefault="00B951E1" w:rsidP="00B951E1">
            <w:pPr>
              <w:jc w:val="right"/>
            </w:pPr>
            <w:r w:rsidRPr="00C32124">
              <w:t>0,05</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0,45</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0,45</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1,72</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17</w:t>
            </w:r>
          </w:p>
        </w:tc>
      </w:tr>
      <w:tr w:rsidR="00B951E1" w:rsidRPr="001C3B10" w:rsidTr="00B951E1">
        <w:trPr>
          <w:trHeight w:val="386"/>
        </w:trPr>
        <w:tc>
          <w:tcPr>
            <w:tcW w:w="2256" w:type="dxa"/>
            <w:vAlign w:val="bottom"/>
          </w:tcPr>
          <w:p w:rsidR="00B951E1" w:rsidRPr="00C32124" w:rsidRDefault="00B951E1" w:rsidP="00B951E1">
            <w:pPr>
              <w:jc w:val="center"/>
            </w:pPr>
            <w:r w:rsidRPr="00C32124">
              <w:t>Řecko</w:t>
            </w:r>
          </w:p>
        </w:tc>
        <w:tc>
          <w:tcPr>
            <w:tcW w:w="1425" w:type="dxa"/>
            <w:vAlign w:val="bottom"/>
          </w:tcPr>
          <w:p w:rsidR="00B951E1" w:rsidRPr="00C32124" w:rsidRDefault="00B951E1" w:rsidP="00B951E1">
            <w:pPr>
              <w:jc w:val="right"/>
            </w:pPr>
            <w:r w:rsidRPr="00C32124">
              <w:t>0,09</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0,26</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0,26</w:t>
            </w:r>
          </w:p>
        </w:tc>
        <w:tc>
          <w:tcPr>
            <w:tcW w:w="1476" w:type="dxa"/>
            <w:vAlign w:val="bottom"/>
          </w:tcPr>
          <w:p w:rsidR="00B951E1" w:rsidRPr="00C32124" w:rsidRDefault="00B951E1" w:rsidP="00B951E1">
            <w:pPr>
              <w:jc w:val="right"/>
              <w:rPr>
                <w:color w:val="000000"/>
              </w:rPr>
            </w:pPr>
            <w:r w:rsidRPr="00C32124">
              <w:rPr>
                <w:color w:val="000000"/>
              </w:rPr>
              <w:t>3,87</w:t>
            </w:r>
          </w:p>
        </w:tc>
        <w:tc>
          <w:tcPr>
            <w:tcW w:w="1356" w:type="dxa"/>
            <w:vAlign w:val="bottom"/>
          </w:tcPr>
          <w:p w:rsidR="00B951E1" w:rsidRPr="00C32124" w:rsidRDefault="00B951E1" w:rsidP="00B951E1">
            <w:pPr>
              <w:jc w:val="right"/>
              <w:rPr>
                <w:color w:val="000000"/>
              </w:rPr>
            </w:pPr>
            <w:r w:rsidRPr="00C32124">
              <w:rPr>
                <w:color w:val="000000"/>
              </w:rPr>
              <w:t>43</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Slovensko</w:t>
            </w:r>
          </w:p>
        </w:tc>
        <w:tc>
          <w:tcPr>
            <w:tcW w:w="1425" w:type="dxa"/>
            <w:shd w:val="clear" w:color="auto" w:fill="D9D9D9" w:themeFill="background1" w:themeFillShade="D9"/>
            <w:vAlign w:val="bottom"/>
          </w:tcPr>
          <w:p w:rsidR="00B951E1" w:rsidRPr="00C32124" w:rsidRDefault="00B951E1" w:rsidP="00B951E1">
            <w:pPr>
              <w:jc w:val="right"/>
            </w:pPr>
            <w:r w:rsidRPr="00C32124">
              <w:t>0,65</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2,1</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2,1</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1,81</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vAlign w:val="bottom"/>
          </w:tcPr>
          <w:p w:rsidR="00B951E1" w:rsidRPr="00C32124" w:rsidRDefault="00B951E1" w:rsidP="00B951E1">
            <w:pPr>
              <w:jc w:val="center"/>
            </w:pPr>
            <w:r w:rsidRPr="00C32124">
              <w:t>Slovinsko</w:t>
            </w:r>
          </w:p>
        </w:tc>
        <w:tc>
          <w:tcPr>
            <w:tcW w:w="1425" w:type="dxa"/>
            <w:vAlign w:val="bottom"/>
          </w:tcPr>
          <w:p w:rsidR="00B951E1" w:rsidRPr="00C32124" w:rsidRDefault="00B951E1" w:rsidP="00B951E1">
            <w:pPr>
              <w:jc w:val="right"/>
            </w:pPr>
            <w:r w:rsidRPr="00C32124">
              <w:t>0,14</w:t>
            </w:r>
          </w:p>
        </w:tc>
        <w:tc>
          <w:tcPr>
            <w:tcW w:w="1719" w:type="dxa"/>
            <w:tcBorders>
              <w:top w:val="nil"/>
              <w:bottom w:val="nil"/>
            </w:tcBorders>
            <w:vAlign w:val="bottom"/>
          </w:tcPr>
          <w:p w:rsidR="00B951E1" w:rsidRPr="00C32124" w:rsidRDefault="00B951E1" w:rsidP="00B951E1">
            <w:pPr>
              <w:jc w:val="center"/>
              <w:rPr>
                <w:color w:val="000000"/>
                <w:szCs w:val="22"/>
              </w:rPr>
            </w:pPr>
            <w:r w:rsidRPr="00C32124">
              <w:rPr>
                <w:color w:val="000000"/>
                <w:szCs w:val="22"/>
              </w:rPr>
              <w:t>0,5</w:t>
            </w:r>
          </w:p>
        </w:tc>
        <w:tc>
          <w:tcPr>
            <w:tcW w:w="1356" w:type="dxa"/>
            <w:tcBorders>
              <w:top w:val="nil"/>
              <w:bottom w:val="nil"/>
            </w:tcBorders>
            <w:vAlign w:val="bottom"/>
          </w:tcPr>
          <w:p w:rsidR="00B951E1" w:rsidRPr="00C32124" w:rsidRDefault="00B951E1" w:rsidP="00B951E1">
            <w:pPr>
              <w:jc w:val="right"/>
              <w:rPr>
                <w:color w:val="000000"/>
              </w:rPr>
            </w:pPr>
            <w:r w:rsidRPr="00C32124">
              <w:rPr>
                <w:color w:val="000000"/>
              </w:rPr>
              <w:t>0,5</w:t>
            </w:r>
          </w:p>
        </w:tc>
        <w:tc>
          <w:tcPr>
            <w:tcW w:w="1476" w:type="dxa"/>
            <w:vAlign w:val="bottom"/>
          </w:tcPr>
          <w:p w:rsidR="00B951E1" w:rsidRPr="00C32124" w:rsidRDefault="00B951E1" w:rsidP="00B951E1">
            <w:pPr>
              <w:jc w:val="right"/>
              <w:rPr>
                <w:color w:val="000000"/>
              </w:rPr>
            </w:pPr>
            <w:r w:rsidRPr="00C32124">
              <w:rPr>
                <w:color w:val="000000"/>
              </w:rPr>
              <w:t>1,25</w:t>
            </w:r>
          </w:p>
        </w:tc>
        <w:tc>
          <w:tcPr>
            <w:tcW w:w="1356" w:type="dxa"/>
            <w:vAlign w:val="bottom"/>
          </w:tcPr>
          <w:p w:rsidR="00B951E1" w:rsidRPr="00C32124" w:rsidRDefault="00B951E1" w:rsidP="00B951E1">
            <w:pPr>
              <w:jc w:val="right"/>
              <w:rPr>
                <w:color w:val="000000"/>
              </w:rPr>
            </w:pPr>
            <w:r w:rsidRPr="00C32124">
              <w:rPr>
                <w:color w:val="000000"/>
              </w:rPr>
              <w:t>20</w:t>
            </w:r>
          </w:p>
        </w:tc>
      </w:tr>
      <w:tr w:rsidR="00B951E1" w:rsidRPr="001C3B10" w:rsidTr="00B951E1">
        <w:trPr>
          <w:trHeight w:val="386"/>
        </w:trPr>
        <w:tc>
          <w:tcPr>
            <w:tcW w:w="2256" w:type="dxa"/>
            <w:shd w:val="clear" w:color="auto" w:fill="D9D9D9" w:themeFill="background1" w:themeFillShade="D9"/>
            <w:vAlign w:val="bottom"/>
          </w:tcPr>
          <w:p w:rsidR="00B951E1" w:rsidRPr="00C32124" w:rsidRDefault="00B951E1" w:rsidP="00B951E1">
            <w:pPr>
              <w:jc w:val="center"/>
            </w:pPr>
            <w:r w:rsidRPr="00C32124">
              <w:t>Španělsko</w:t>
            </w:r>
          </w:p>
        </w:tc>
        <w:tc>
          <w:tcPr>
            <w:tcW w:w="1425" w:type="dxa"/>
            <w:shd w:val="clear" w:color="auto" w:fill="D9D9D9" w:themeFill="background1" w:themeFillShade="D9"/>
            <w:vAlign w:val="bottom"/>
          </w:tcPr>
          <w:p w:rsidR="00B951E1" w:rsidRPr="00C32124" w:rsidRDefault="00B951E1" w:rsidP="00B951E1">
            <w:pPr>
              <w:jc w:val="right"/>
            </w:pPr>
            <w:r w:rsidRPr="00C32124">
              <w:t>0,07</w:t>
            </w:r>
          </w:p>
        </w:tc>
        <w:tc>
          <w:tcPr>
            <w:tcW w:w="1719" w:type="dxa"/>
            <w:tcBorders>
              <w:top w:val="nil"/>
              <w:bottom w:val="nil"/>
            </w:tcBorders>
            <w:shd w:val="clear" w:color="auto" w:fill="D9D9D9" w:themeFill="background1" w:themeFillShade="D9"/>
            <w:vAlign w:val="bottom"/>
          </w:tcPr>
          <w:p w:rsidR="00B951E1" w:rsidRPr="00C32124" w:rsidRDefault="00B951E1" w:rsidP="00B951E1">
            <w:pPr>
              <w:jc w:val="center"/>
              <w:rPr>
                <w:color w:val="000000"/>
                <w:szCs w:val="22"/>
              </w:rPr>
            </w:pPr>
            <w:r w:rsidRPr="00C32124">
              <w:rPr>
                <w:color w:val="000000"/>
                <w:szCs w:val="22"/>
              </w:rPr>
              <w:t>0,41</w:t>
            </w:r>
          </w:p>
        </w:tc>
        <w:tc>
          <w:tcPr>
            <w:tcW w:w="1356" w:type="dxa"/>
            <w:tcBorders>
              <w:top w:val="nil"/>
              <w:bottom w:val="nil"/>
            </w:tcBorders>
            <w:shd w:val="clear" w:color="auto" w:fill="D9D9D9" w:themeFill="background1" w:themeFillShade="D9"/>
            <w:vAlign w:val="bottom"/>
          </w:tcPr>
          <w:p w:rsidR="00B951E1" w:rsidRPr="00C32124" w:rsidRDefault="00B951E1" w:rsidP="00B951E1">
            <w:pPr>
              <w:jc w:val="right"/>
              <w:rPr>
                <w:color w:val="000000"/>
              </w:rPr>
            </w:pPr>
            <w:r w:rsidRPr="00C32124">
              <w:rPr>
                <w:color w:val="000000"/>
              </w:rPr>
              <w:t>0,41</w:t>
            </w:r>
          </w:p>
        </w:tc>
        <w:tc>
          <w:tcPr>
            <w:tcW w:w="147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1,18</w:t>
            </w:r>
          </w:p>
        </w:tc>
        <w:tc>
          <w:tcPr>
            <w:tcW w:w="1356" w:type="dxa"/>
            <w:shd w:val="clear" w:color="auto" w:fill="D9D9D9" w:themeFill="background1" w:themeFillShade="D9"/>
            <w:vAlign w:val="bottom"/>
          </w:tcPr>
          <w:p w:rsidR="00B951E1" w:rsidRPr="00C32124" w:rsidRDefault="00B951E1" w:rsidP="00B951E1">
            <w:pPr>
              <w:jc w:val="right"/>
              <w:rPr>
                <w:color w:val="000000"/>
              </w:rPr>
            </w:pPr>
            <w:r w:rsidRPr="00C32124">
              <w:rPr>
                <w:color w:val="000000"/>
              </w:rPr>
              <w:t>38</w:t>
            </w:r>
          </w:p>
        </w:tc>
      </w:tr>
      <w:tr w:rsidR="00B951E1" w:rsidRPr="001C3B10" w:rsidTr="00B951E1">
        <w:trPr>
          <w:trHeight w:val="386"/>
        </w:trPr>
        <w:tc>
          <w:tcPr>
            <w:tcW w:w="2256" w:type="dxa"/>
            <w:vAlign w:val="bottom"/>
          </w:tcPr>
          <w:p w:rsidR="00B951E1" w:rsidRPr="00C32124" w:rsidRDefault="00B951E1" w:rsidP="00B951E1">
            <w:pPr>
              <w:jc w:val="center"/>
            </w:pPr>
            <w:r w:rsidRPr="00C32124">
              <w:t>Švédsko</w:t>
            </w:r>
          </w:p>
        </w:tc>
        <w:tc>
          <w:tcPr>
            <w:tcW w:w="1425" w:type="dxa"/>
            <w:vAlign w:val="bottom"/>
          </w:tcPr>
          <w:p w:rsidR="00B951E1" w:rsidRPr="00C32124" w:rsidRDefault="00B951E1" w:rsidP="00B951E1">
            <w:pPr>
              <w:jc w:val="right"/>
            </w:pPr>
            <w:r w:rsidRPr="00C32124">
              <w:t>0,51</w:t>
            </w:r>
          </w:p>
        </w:tc>
        <w:tc>
          <w:tcPr>
            <w:tcW w:w="1719" w:type="dxa"/>
            <w:tcBorders>
              <w:top w:val="nil"/>
              <w:bottom w:val="single" w:sz="4" w:space="0" w:color="auto"/>
            </w:tcBorders>
            <w:vAlign w:val="bottom"/>
          </w:tcPr>
          <w:p w:rsidR="00B951E1" w:rsidRPr="00C32124" w:rsidRDefault="00B951E1" w:rsidP="00B951E1">
            <w:pPr>
              <w:jc w:val="center"/>
              <w:rPr>
                <w:color w:val="000000"/>
                <w:szCs w:val="22"/>
              </w:rPr>
            </w:pPr>
            <w:r w:rsidRPr="00C32124">
              <w:rPr>
                <w:color w:val="000000"/>
                <w:szCs w:val="22"/>
              </w:rPr>
              <w:t>0,4</w:t>
            </w:r>
          </w:p>
        </w:tc>
        <w:tc>
          <w:tcPr>
            <w:tcW w:w="1356" w:type="dxa"/>
            <w:tcBorders>
              <w:top w:val="nil"/>
              <w:bottom w:val="single" w:sz="4" w:space="0" w:color="auto"/>
            </w:tcBorders>
            <w:vAlign w:val="bottom"/>
          </w:tcPr>
          <w:p w:rsidR="00B951E1" w:rsidRPr="00C32124" w:rsidRDefault="00B951E1" w:rsidP="00B951E1">
            <w:pPr>
              <w:jc w:val="right"/>
              <w:rPr>
                <w:color w:val="000000"/>
              </w:rPr>
            </w:pPr>
            <w:r w:rsidRPr="00C32124">
              <w:rPr>
                <w:color w:val="000000"/>
              </w:rPr>
              <w:t>0,4</w:t>
            </w:r>
          </w:p>
        </w:tc>
        <w:tc>
          <w:tcPr>
            <w:tcW w:w="1476" w:type="dxa"/>
            <w:vAlign w:val="bottom"/>
          </w:tcPr>
          <w:p w:rsidR="00B951E1" w:rsidRPr="00C32124" w:rsidRDefault="00B951E1" w:rsidP="00B951E1">
            <w:pPr>
              <w:jc w:val="right"/>
              <w:rPr>
                <w:color w:val="000000"/>
              </w:rPr>
            </w:pPr>
            <w:r w:rsidRPr="00C32124">
              <w:rPr>
                <w:color w:val="000000"/>
              </w:rPr>
              <w:t>1,41</w:t>
            </w:r>
          </w:p>
        </w:tc>
        <w:tc>
          <w:tcPr>
            <w:tcW w:w="1356" w:type="dxa"/>
            <w:vAlign w:val="bottom"/>
          </w:tcPr>
          <w:p w:rsidR="00B951E1" w:rsidRPr="00C32124" w:rsidRDefault="00B951E1" w:rsidP="00B951E1">
            <w:pPr>
              <w:jc w:val="right"/>
              <w:rPr>
                <w:color w:val="000000"/>
              </w:rPr>
            </w:pPr>
            <w:r w:rsidRPr="00C32124">
              <w:rPr>
                <w:color w:val="000000"/>
              </w:rPr>
              <w:t>29</w:t>
            </w:r>
          </w:p>
        </w:tc>
      </w:tr>
    </w:tbl>
    <w:p w:rsidR="00B951E1" w:rsidRDefault="00B951E1" w:rsidP="00B951E1">
      <w:r>
        <w:t xml:space="preserve"> Zdroj: autor</w:t>
      </w:r>
    </w:p>
    <w:p w:rsidR="00B951E1" w:rsidRDefault="00B951E1" w:rsidP="00B951E1">
      <w:pPr>
        <w:pStyle w:val="Nadpis1"/>
        <w:spacing w:after="240"/>
        <w:ind w:firstLine="0"/>
        <w:rPr>
          <w:rStyle w:val="Hypertextovodkaz"/>
          <w:rFonts w:ascii="Times New Roman" w:hAnsi="Times New Roman" w:cs="Times New Roman"/>
          <w:color w:val="auto"/>
          <w:u w:val="none"/>
        </w:rPr>
      </w:pPr>
      <w:bookmarkStart w:id="43" w:name="_Toc164808716"/>
      <w:r w:rsidRPr="00C63572">
        <w:rPr>
          <w:rStyle w:val="Hypertextovodkaz"/>
          <w:rFonts w:ascii="Times New Roman" w:hAnsi="Times New Roman" w:cs="Times New Roman"/>
          <w:b/>
          <w:color w:val="auto"/>
          <w:u w:val="none"/>
        </w:rPr>
        <w:lastRenderedPageBreak/>
        <w:t>Abstrakt</w:t>
      </w:r>
      <w:bookmarkEnd w:id="43"/>
    </w:p>
    <w:p w:rsidR="00B951E1" w:rsidRDefault="00B951E1" w:rsidP="00B951E1">
      <w:pPr>
        <w:spacing w:before="240" w:after="240"/>
        <w:ind w:firstLine="0"/>
      </w:pPr>
      <w:r>
        <w:t>Bakalářská práce se věnuje bilaterální pomoci členských států Evropské unie Ukrajině v rusko-ukrajinské válce během let 2022–2023. Cílem je určit, které ze zkoumaných faktorů ovlivňují podporu, k čemuž je využita kvalitativní komparativní analýza využívající mlhavé množiny. Zkoumaný důsledek je celková poskytnutá podpora jednotlivých států (% HDP) Ukrajině podle dat Kielského institut pro světovou ekonomiku a zk</w:t>
      </w:r>
      <w:r w:rsidR="00CC15DE">
        <w:t>oumané jsou následující faktory.</w:t>
      </w:r>
      <w:r>
        <w:t xml:space="preserve"> Závislost na ruském plynu, podíl uprchlíků, kvalita liberální demokracie, příslušnost k nové Evropě, obranné rozpočty, geografická vzdálenost, export a podíl populistů ve vládě. Základním zjištěním je, že pomoc s rostoucí vzdáleností klesá. Podařilo se také identifikovat kombinaci faktorů, která vede k podpoře Ukrajiny.</w:t>
      </w:r>
    </w:p>
    <w:p w:rsidR="00B951E1" w:rsidRDefault="00B951E1" w:rsidP="00B951E1">
      <w:pPr>
        <w:spacing w:before="240" w:after="240"/>
        <w:ind w:firstLine="0"/>
      </w:pPr>
      <w:r>
        <w:tab/>
        <w:t>Největšími přispěvateli jsou Baltské státy společně s Dánskem. Kombinace faktorů dokáže vysvětlit zapojení Baltských států společně s Finskem. Nicméně faktory, které by vysvětlily vyšší podporu Dánska, se identifikovat nepodařilo.</w:t>
      </w:r>
    </w:p>
    <w:p w:rsidR="00B951E1" w:rsidRDefault="00B951E1" w:rsidP="00B951E1">
      <w:pPr>
        <w:spacing w:before="240" w:after="240"/>
        <w:ind w:firstLine="0"/>
      </w:pPr>
      <w:r w:rsidRPr="00BC322E">
        <w:rPr>
          <w:b/>
        </w:rPr>
        <w:t>Klíčová slova:</w:t>
      </w:r>
      <w:r>
        <w:t xml:space="preserve"> </w:t>
      </w:r>
      <w:r>
        <w:rPr>
          <w:i/>
        </w:rPr>
        <w:t>bilaterální pomoc, Rusko, Ukrajina,</w:t>
      </w:r>
      <w:r w:rsidRPr="00BC322E">
        <w:rPr>
          <w:i/>
        </w:rPr>
        <w:t xml:space="preserve"> válka</w:t>
      </w:r>
      <w:r>
        <w:rPr>
          <w:i/>
        </w:rPr>
        <w:t>, fsQCA, Evropská unie</w:t>
      </w:r>
    </w:p>
    <w:p w:rsidR="00B951E1" w:rsidRPr="00494827" w:rsidRDefault="00B951E1" w:rsidP="00B951E1">
      <w:pPr>
        <w:pStyle w:val="Bezmezer"/>
        <w:ind w:firstLine="0"/>
        <w:rPr>
          <w:b/>
          <w:sz w:val="32"/>
        </w:rPr>
      </w:pPr>
      <w:r w:rsidRPr="00494827">
        <w:rPr>
          <w:b/>
          <w:sz w:val="32"/>
        </w:rPr>
        <w:t xml:space="preserve">Abstract </w:t>
      </w:r>
    </w:p>
    <w:p w:rsidR="00B951E1" w:rsidRDefault="00B951E1" w:rsidP="00B951E1">
      <w:pPr>
        <w:spacing w:before="240" w:after="240"/>
        <w:ind w:firstLine="0"/>
      </w:pPr>
      <w:r w:rsidRPr="001857DD">
        <w:t xml:space="preserve">This bachelor's thesis examines the European Union member states' bilateral assistance to Ukraine in the Russo-Ukrainian war during 2022-2023. The aim is to determine which of the examined factors influence support, for which a qualitative comparative analysis using fuzzy sets is employed. The outcome examined is the total aid provided by each country (% of GDP) to Ukraine according to Kiel Institute for the World Economy data and the following factors are examined. Dependence on Russian gas, share of refugees, quality of liberal democracy, affiliation with New Europe, defense budgets, geographic distance, exports, and share of populists in government. The basic finding is that aid declines with increasing distance. It was also possible to identify a combination of factors that leads to support for Ukraine. </w:t>
      </w:r>
    </w:p>
    <w:p w:rsidR="00B951E1" w:rsidRDefault="00B951E1" w:rsidP="00B951E1">
      <w:pPr>
        <w:spacing w:before="240" w:after="240"/>
        <w:ind w:firstLine="708"/>
      </w:pPr>
      <w:r w:rsidRPr="001857DD">
        <w:t xml:space="preserve">The Baltic States are the biggest contributors, together with Denmark. A combination of factors can explain the involvement of the Baltic States together with Finland. However, the factors that explain the higher support for Denmark could not be identified. </w:t>
      </w:r>
    </w:p>
    <w:p w:rsidR="00B951E1" w:rsidRDefault="00B951E1" w:rsidP="00B951E1">
      <w:pPr>
        <w:spacing w:before="240" w:after="240"/>
        <w:ind w:firstLine="0"/>
      </w:pPr>
      <w:r w:rsidRPr="001857DD">
        <w:rPr>
          <w:b/>
        </w:rPr>
        <w:t>Keywords:</w:t>
      </w:r>
      <w:r w:rsidRPr="001857DD">
        <w:t xml:space="preserve"> </w:t>
      </w:r>
      <w:r>
        <w:rPr>
          <w:i/>
        </w:rPr>
        <w:t>bilateral aid, Russia, Ukraine,</w:t>
      </w:r>
      <w:r w:rsidRPr="001857DD">
        <w:rPr>
          <w:i/>
        </w:rPr>
        <w:t xml:space="preserve"> war, fsQCA, European Union </w:t>
      </w:r>
      <w:bookmarkEnd w:id="41"/>
    </w:p>
    <w:sectPr w:rsidR="00B951E1" w:rsidSect="00E44C91">
      <w:footerReference w:type="default" r:id="rId91"/>
      <w:pgSz w:w="11906" w:h="16838"/>
      <w:pgMar w:top="1417" w:right="1417" w:bottom="1417" w:left="1417" w:header="708"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F79" w:rsidRDefault="00B87F79" w:rsidP="003B4808">
      <w:pPr>
        <w:spacing w:line="240" w:lineRule="auto"/>
      </w:pPr>
      <w:r>
        <w:separator/>
      </w:r>
    </w:p>
  </w:endnote>
  <w:endnote w:type="continuationSeparator" w:id="0">
    <w:p w:rsidR="00B87F79" w:rsidRDefault="00B87F79" w:rsidP="003B4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DB" w:rsidRDefault="007321DB">
    <w:pPr>
      <w:pStyle w:val="Zpat"/>
      <w:jc w:val="right"/>
    </w:pPr>
  </w:p>
  <w:p w:rsidR="007321DB" w:rsidRDefault="007321D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735253"/>
      <w:docPartObj>
        <w:docPartGallery w:val="Page Numbers (Bottom of Page)"/>
        <w:docPartUnique/>
      </w:docPartObj>
    </w:sdtPr>
    <w:sdtEndPr/>
    <w:sdtContent>
      <w:p w:rsidR="007321DB" w:rsidRDefault="007321DB" w:rsidP="00B167F1">
        <w:pPr>
          <w:pStyle w:val="Zpat"/>
          <w:jc w:val="center"/>
        </w:pPr>
      </w:p>
      <w:p w:rsidR="007321DB" w:rsidRDefault="00B87F79">
        <w:pPr>
          <w:pStyle w:val="Zpat"/>
          <w:jc w:val="right"/>
        </w:pPr>
      </w:p>
    </w:sdtContent>
  </w:sdt>
  <w:p w:rsidR="007321DB" w:rsidRDefault="007321DB" w:rsidP="00910D2E">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868193"/>
      <w:docPartObj>
        <w:docPartGallery w:val="Page Numbers (Bottom of Page)"/>
        <w:docPartUnique/>
      </w:docPartObj>
    </w:sdtPr>
    <w:sdtEndPr/>
    <w:sdtContent>
      <w:p w:rsidR="00B951E1" w:rsidRDefault="00B951E1">
        <w:pPr>
          <w:pStyle w:val="Zpat"/>
          <w:jc w:val="right"/>
        </w:pPr>
        <w:r>
          <w:fldChar w:fldCharType="begin"/>
        </w:r>
        <w:r>
          <w:instrText>PAGE   \* MERGEFORMAT</w:instrText>
        </w:r>
        <w:r>
          <w:fldChar w:fldCharType="separate"/>
        </w:r>
        <w:r w:rsidR="009731C5" w:rsidRPr="009731C5">
          <w:rPr>
            <w:noProof/>
            <w:lang w:val="cs-CZ"/>
          </w:rPr>
          <w:t>41</w:t>
        </w:r>
        <w:r>
          <w:fldChar w:fldCharType="end"/>
        </w:r>
      </w:p>
    </w:sdtContent>
  </w:sdt>
  <w:p w:rsidR="00B951E1" w:rsidRDefault="00B951E1" w:rsidP="007321DB">
    <w:pPr>
      <w:pStyle w:val="Zpat"/>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F79" w:rsidRDefault="00B87F79" w:rsidP="003B4808">
      <w:pPr>
        <w:spacing w:line="240" w:lineRule="auto"/>
      </w:pPr>
      <w:r>
        <w:separator/>
      </w:r>
    </w:p>
  </w:footnote>
  <w:footnote w:type="continuationSeparator" w:id="0">
    <w:p w:rsidR="00B87F79" w:rsidRDefault="00B87F79" w:rsidP="003B4808">
      <w:pPr>
        <w:spacing w:line="240" w:lineRule="auto"/>
      </w:pPr>
      <w:r>
        <w:continuationSeparator/>
      </w:r>
    </w:p>
  </w:footnote>
  <w:footnote w:id="1">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Rezoluce přijatá Valným shromážděním 23. února 2023 (A/ES-11/L.7).</w:t>
      </w:r>
    </w:p>
  </w:footnote>
  <w:footnote w:id="2">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Práce využívá data aktualizovaná k 15. lednu 2024.</w:t>
      </w:r>
    </w:p>
  </w:footnote>
  <w:footnote w:id="3">
    <w:p w:rsidR="007321DB" w:rsidRPr="000C04AF" w:rsidRDefault="007321DB">
      <w:pPr>
        <w:pStyle w:val="Textpoznpodarou"/>
        <w:rPr>
          <w:rFonts w:ascii="Times New Roman" w:hAnsi="Times New Roman" w:cs="Times New Roman"/>
        </w:rPr>
      </w:pPr>
      <w:r w:rsidRPr="000C04AF">
        <w:rPr>
          <w:rStyle w:val="Znakapoznpodarou"/>
          <w:rFonts w:ascii="Times New Roman" w:hAnsi="Times New Roman" w:cs="Times New Roman"/>
        </w:rPr>
        <w:footnoteRef/>
      </w:r>
      <w:r w:rsidRPr="000C04AF">
        <w:rPr>
          <w:rFonts w:ascii="Times New Roman" w:hAnsi="Times New Roman" w:cs="Times New Roman"/>
        </w:rPr>
        <w:t xml:space="preserve"> </w:t>
      </w:r>
      <w:r w:rsidRPr="000C04AF">
        <w:rPr>
          <w:rFonts w:ascii="Times New Roman" w:hAnsi="Times New Roman" w:cs="Times New Roman"/>
          <w:color w:val="000000"/>
        </w:rPr>
        <w:t>Aghdaeiova hypotéza zní</w:t>
      </w:r>
      <w:r w:rsidRPr="000C04AF">
        <w:rPr>
          <w:rFonts w:ascii="Times New Roman" w:hAnsi="Times New Roman" w:cs="Times New Roman"/>
          <w:i/>
          <w:color w:val="000000"/>
        </w:rPr>
        <w:t>: „Uprchlíci v kombinaci s levicovým stranictvím jsou dostatečnou podmínkou pro vysoké koaliční angažmá.“</w:t>
      </w:r>
      <w:r w:rsidRPr="000C04AF">
        <w:rPr>
          <w:rFonts w:ascii="Times New Roman" w:hAnsi="Times New Roman" w:cs="Times New Roman"/>
          <w:color w:val="000000"/>
        </w:rPr>
        <w:t xml:space="preserve"> (2023: 24).</w:t>
      </w:r>
    </w:p>
  </w:footnote>
  <w:footnote w:id="4">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Architektem ekonomické reformy byl Jegor Gajdar.</w:t>
      </w:r>
    </w:p>
  </w:footnote>
  <w:footnote w:id="5">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Konec 90. let znamenal úpadek až o 30 % HDP oproti roku 1991.</w:t>
      </w:r>
    </w:p>
  </w:footnote>
  <w:footnote w:id="6">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Pr>
          <w:rFonts w:ascii="Times New Roman" w:hAnsi="Times New Roman" w:cs="Times New Roman"/>
        </w:rPr>
        <w:t xml:space="preserve"> 1999–</w:t>
      </w:r>
      <w:r w:rsidRPr="001563E0">
        <w:rPr>
          <w:rFonts w:ascii="Times New Roman" w:hAnsi="Times New Roman" w:cs="Times New Roman"/>
        </w:rPr>
        <w:t>2009;</w:t>
      </w:r>
      <w:r>
        <w:rPr>
          <w:rFonts w:ascii="Times New Roman" w:hAnsi="Times New Roman" w:cs="Times New Roman"/>
        </w:rPr>
        <w:t xml:space="preserve"> v první čečenské válce (1994–</w:t>
      </w:r>
      <w:r w:rsidRPr="001563E0">
        <w:rPr>
          <w:rFonts w:ascii="Times New Roman" w:hAnsi="Times New Roman" w:cs="Times New Roman"/>
        </w:rPr>
        <w:t xml:space="preserve">1996) Rusko utrpělo vojenskou porážku. </w:t>
      </w:r>
    </w:p>
  </w:footnote>
  <w:footnote w:id="7">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2006 smrt Anny Politkovské; 2015 zemřel Boris Němcov – panuje podezření, že za jejich smrtí stojí ruské bezpečnostní složky. V roce 2024 zemřel ve vězení opoziční politik Alexej Navalnyj.</w:t>
      </w:r>
    </w:p>
  </w:footnote>
  <w:footnote w:id="8">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Nadace Ruský svět, zpravodajský kanál Russia Today, moskevský think-thank Institut pro demokracii a spolupráci a další podporují tento koncept. Dokonce i ruská pravoslavná církev.</w:t>
      </w:r>
    </w:p>
  </w:footnote>
  <w:footnote w:id="9">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Sám L. Kučma byl podezřelý z objednávky únosu a vraždy novináře Georgije Gongadzeho.</w:t>
      </w:r>
    </w:p>
  </w:footnote>
  <w:footnote w:id="10">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Ústavní soud označil původní výsledky voleb za zfalšované, což byl také primární důvod protestů v rámci Oranžové revoluce, a nařídil druhé kolo voleb.</w:t>
      </w:r>
    </w:p>
  </w:footnote>
  <w:footnote w:id="11">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Ta měla aspi</w:t>
      </w:r>
      <w:r>
        <w:rPr>
          <w:rFonts w:ascii="Times New Roman" w:hAnsi="Times New Roman" w:cs="Times New Roman"/>
        </w:rPr>
        <w:t>race na členství mezi lety 2002–</w:t>
      </w:r>
      <w:r w:rsidRPr="001563E0">
        <w:rPr>
          <w:rFonts w:ascii="Times New Roman" w:hAnsi="Times New Roman" w:cs="Times New Roman"/>
        </w:rPr>
        <w:t>2010, po Oranžové revoluci tyto snahy zesílily.</w:t>
      </w:r>
    </w:p>
  </w:footnote>
  <w:footnote w:id="12">
    <w:p w:rsidR="007321DB" w:rsidRPr="00381D4C" w:rsidRDefault="007321DB" w:rsidP="007866E9">
      <w:pPr>
        <w:pStyle w:val="Textpoznpodarou"/>
        <w:spacing w:line="360" w:lineRule="auto"/>
        <w:jc w:val="both"/>
        <w:rPr>
          <w:rFonts w:ascii="Times New Roman" w:hAnsi="Times New Roman" w:cs="Times New Roman"/>
        </w:rPr>
      </w:pPr>
      <w:r w:rsidRPr="00381D4C">
        <w:rPr>
          <w:rStyle w:val="Znakapoznpodarou"/>
          <w:rFonts w:ascii="Times New Roman" w:hAnsi="Times New Roman" w:cs="Times New Roman"/>
        </w:rPr>
        <w:footnoteRef/>
      </w:r>
      <w:r w:rsidRPr="00381D4C">
        <w:rPr>
          <w:rFonts w:ascii="Times New Roman" w:hAnsi="Times New Roman" w:cs="Times New Roman"/>
        </w:rPr>
        <w:t xml:space="preserve"> Například v červnu 1994 byla podepsána Dohoda o partnerství a spolupráci Ruska s EU.</w:t>
      </w:r>
    </w:p>
  </w:footnote>
  <w:footnote w:id="13">
    <w:p w:rsidR="007321DB" w:rsidRPr="00381D4C" w:rsidRDefault="007321DB" w:rsidP="007866E9">
      <w:pPr>
        <w:pStyle w:val="Textpoznpodarou"/>
        <w:spacing w:line="360" w:lineRule="auto"/>
        <w:jc w:val="both"/>
        <w:rPr>
          <w:rFonts w:ascii="Times New Roman" w:hAnsi="Times New Roman" w:cs="Times New Roman"/>
        </w:rPr>
      </w:pPr>
      <w:r w:rsidRPr="00381D4C">
        <w:rPr>
          <w:rStyle w:val="Znakapoznpodarou"/>
          <w:rFonts w:ascii="Times New Roman" w:hAnsi="Times New Roman" w:cs="Times New Roman"/>
        </w:rPr>
        <w:footnoteRef/>
      </w:r>
      <w:r w:rsidRPr="00381D4C">
        <w:rPr>
          <w:rFonts w:ascii="Times New Roman" w:hAnsi="Times New Roman" w:cs="Times New Roman"/>
        </w:rPr>
        <w:t xml:space="preserve"> Tehdy v kontextu tzv. protiraketového deštníku.</w:t>
      </w:r>
    </w:p>
  </w:footnote>
  <w:footnote w:id="14">
    <w:p w:rsidR="007321DB" w:rsidRPr="00381D4C" w:rsidRDefault="007321DB" w:rsidP="007866E9">
      <w:pPr>
        <w:pStyle w:val="Textpoznpodarou"/>
        <w:spacing w:line="360" w:lineRule="auto"/>
        <w:jc w:val="both"/>
        <w:rPr>
          <w:rFonts w:ascii="Times New Roman" w:hAnsi="Times New Roman" w:cs="Times New Roman"/>
        </w:rPr>
      </w:pPr>
      <w:r w:rsidRPr="00381D4C">
        <w:rPr>
          <w:rStyle w:val="Znakapoznpodarou"/>
          <w:rFonts w:ascii="Times New Roman" w:hAnsi="Times New Roman" w:cs="Times New Roman"/>
        </w:rPr>
        <w:footnoteRef/>
      </w:r>
      <w:r w:rsidRPr="00381D4C">
        <w:rPr>
          <w:rFonts w:ascii="Times New Roman" w:hAnsi="Times New Roman" w:cs="Times New Roman"/>
        </w:rPr>
        <w:t xml:space="preserve"> Nord Stream 1 a 2 jsou podmořské plynovody (momentálně neaktivní) pro přepravu zemního plynu vedoucí přes Baltské moře z Ruska do Německa.</w:t>
      </w:r>
    </w:p>
  </w:footnote>
  <w:footnote w:id="15">
    <w:p w:rsidR="007321DB" w:rsidRPr="00381D4C" w:rsidRDefault="007321DB" w:rsidP="007866E9">
      <w:pPr>
        <w:pStyle w:val="Textpoznpodarou"/>
        <w:spacing w:line="360" w:lineRule="auto"/>
        <w:jc w:val="both"/>
        <w:rPr>
          <w:rFonts w:ascii="Times New Roman" w:hAnsi="Times New Roman" w:cs="Times New Roman"/>
        </w:rPr>
      </w:pPr>
      <w:r w:rsidRPr="00381D4C">
        <w:rPr>
          <w:rStyle w:val="Znakapoznpodarou"/>
          <w:rFonts w:ascii="Times New Roman" w:hAnsi="Times New Roman" w:cs="Times New Roman"/>
        </w:rPr>
        <w:footnoteRef/>
      </w:r>
      <w:r w:rsidRPr="00381D4C">
        <w:rPr>
          <w:rFonts w:ascii="Times New Roman" w:hAnsi="Times New Roman" w:cs="Times New Roman"/>
        </w:rPr>
        <w:t xml:space="preserve"> Německo před invazí odebíralo z Ruska 40 % ropy a 50 % zemního plynu.</w:t>
      </w:r>
    </w:p>
  </w:footnote>
  <w:footnote w:id="16">
    <w:p w:rsidR="007321DB" w:rsidRPr="00381D4C" w:rsidRDefault="007321DB" w:rsidP="007866E9">
      <w:pPr>
        <w:pStyle w:val="Textpoznpodarou"/>
        <w:spacing w:line="360" w:lineRule="auto"/>
        <w:jc w:val="both"/>
        <w:rPr>
          <w:rFonts w:ascii="Times New Roman" w:hAnsi="Times New Roman" w:cs="Times New Roman"/>
        </w:rPr>
      </w:pPr>
      <w:r w:rsidRPr="00381D4C">
        <w:rPr>
          <w:rStyle w:val="Znakapoznpodarou"/>
          <w:rFonts w:ascii="Times New Roman" w:hAnsi="Times New Roman" w:cs="Times New Roman"/>
        </w:rPr>
        <w:footnoteRef/>
      </w:r>
      <w:r w:rsidRPr="00381D4C">
        <w:rPr>
          <w:rFonts w:ascii="Times New Roman" w:hAnsi="Times New Roman" w:cs="Times New Roman"/>
        </w:rPr>
        <w:t xml:space="preserve"> Předčasné volby vyhrál prozápadní kandidát Petr Porošenko.</w:t>
      </w:r>
    </w:p>
  </w:footnote>
  <w:footnote w:id="17">
    <w:p w:rsidR="007321DB" w:rsidRPr="00381D4C" w:rsidRDefault="007321DB" w:rsidP="007866E9">
      <w:pPr>
        <w:pStyle w:val="Textpoznpodarou"/>
        <w:spacing w:line="360" w:lineRule="auto"/>
        <w:jc w:val="both"/>
        <w:rPr>
          <w:rFonts w:ascii="Times New Roman" w:hAnsi="Times New Roman" w:cs="Times New Roman"/>
        </w:rPr>
      </w:pPr>
      <w:r w:rsidRPr="00381D4C">
        <w:rPr>
          <w:rStyle w:val="Znakapoznpodarou"/>
          <w:rFonts w:ascii="Times New Roman" w:hAnsi="Times New Roman" w:cs="Times New Roman"/>
        </w:rPr>
        <w:footnoteRef/>
      </w:r>
      <w:r w:rsidRPr="00381D4C">
        <w:rPr>
          <w:rFonts w:ascii="Times New Roman" w:hAnsi="Times New Roman" w:cs="Times New Roman"/>
        </w:rPr>
        <w:t xml:space="preserve"> Tzv. zelení mužíci.</w:t>
      </w:r>
    </w:p>
  </w:footnote>
  <w:footnote w:id="18">
    <w:p w:rsidR="007321DB" w:rsidRPr="00381D4C" w:rsidRDefault="007321DB" w:rsidP="007866E9">
      <w:pPr>
        <w:pStyle w:val="Textpoznpodarou"/>
        <w:spacing w:line="360" w:lineRule="auto"/>
        <w:jc w:val="both"/>
        <w:rPr>
          <w:rFonts w:ascii="Times New Roman" w:hAnsi="Times New Roman" w:cs="Times New Roman"/>
        </w:rPr>
      </w:pPr>
      <w:r w:rsidRPr="00381D4C">
        <w:rPr>
          <w:rStyle w:val="Znakapoznpodarou"/>
          <w:rFonts w:ascii="Times New Roman" w:hAnsi="Times New Roman" w:cs="Times New Roman"/>
        </w:rPr>
        <w:footnoteRef/>
      </w:r>
      <w:r w:rsidRPr="00381D4C">
        <w:rPr>
          <w:rFonts w:ascii="Times New Roman" w:hAnsi="Times New Roman" w:cs="Times New Roman"/>
        </w:rPr>
        <w:t xml:space="preserve">  V ruském kontextu se uchytil název „Gerasimova doktrína“. Věnoval se mu i její „otec“ Marc Galeotti ve svém článku (2018).</w:t>
      </w:r>
    </w:p>
  </w:footnote>
  <w:footnote w:id="19">
    <w:p w:rsidR="007321DB" w:rsidRPr="00381D4C" w:rsidRDefault="007321DB" w:rsidP="007866E9">
      <w:pPr>
        <w:pStyle w:val="Textpoznpodarou"/>
        <w:spacing w:line="360" w:lineRule="auto"/>
        <w:jc w:val="both"/>
        <w:rPr>
          <w:rFonts w:ascii="Times New Roman" w:hAnsi="Times New Roman" w:cs="Times New Roman"/>
        </w:rPr>
      </w:pPr>
      <w:r w:rsidRPr="00381D4C">
        <w:rPr>
          <w:rStyle w:val="Znakapoznpodarou"/>
          <w:rFonts w:ascii="Times New Roman" w:hAnsi="Times New Roman" w:cs="Times New Roman"/>
        </w:rPr>
        <w:footnoteRef/>
      </w:r>
      <w:r>
        <w:rPr>
          <w:rFonts w:ascii="Times New Roman" w:hAnsi="Times New Roman" w:cs="Times New Roman"/>
        </w:rPr>
        <w:t xml:space="preserve"> Od uzavření dohody Minsk 2 se počet ztrát</w:t>
      </w:r>
      <w:r w:rsidRPr="00381D4C">
        <w:rPr>
          <w:rFonts w:ascii="Times New Roman" w:hAnsi="Times New Roman" w:cs="Times New Roman"/>
        </w:rPr>
        <w:t xml:space="preserve"> odhaduje na vyšší stovky či nižší tisíce.</w:t>
      </w:r>
    </w:p>
  </w:footnote>
  <w:footnote w:id="20">
    <w:p w:rsidR="007321DB" w:rsidRPr="00381D4C" w:rsidRDefault="007321DB" w:rsidP="007866E9">
      <w:pPr>
        <w:pStyle w:val="Textpoznpodarou"/>
        <w:spacing w:line="360" w:lineRule="auto"/>
        <w:jc w:val="both"/>
        <w:rPr>
          <w:rFonts w:ascii="Times New Roman" w:hAnsi="Times New Roman" w:cs="Times New Roman"/>
        </w:rPr>
      </w:pPr>
      <w:r w:rsidRPr="00381D4C">
        <w:rPr>
          <w:rStyle w:val="Znakapoznpodarou"/>
          <w:rFonts w:ascii="Times New Roman" w:hAnsi="Times New Roman" w:cs="Times New Roman"/>
        </w:rPr>
        <w:footnoteRef/>
      </w:r>
      <w:r w:rsidRPr="00381D4C">
        <w:rPr>
          <w:rFonts w:ascii="Times New Roman" w:hAnsi="Times New Roman" w:cs="Times New Roman"/>
        </w:rPr>
        <w:t xml:space="preserve"> Příklady: zvýšení cen ruského plynu, nemožnost ukrajinských aerolinek využívat ruský vzdušný prostor, internetoví trollové, výbuchy muničních skladů a další.</w:t>
      </w:r>
    </w:p>
  </w:footnote>
  <w:footnote w:id="21">
    <w:p w:rsidR="007321DB" w:rsidRPr="00381D4C" w:rsidRDefault="007321DB" w:rsidP="007866E9">
      <w:pPr>
        <w:pStyle w:val="Textpoznpodarou"/>
        <w:spacing w:line="360" w:lineRule="auto"/>
        <w:jc w:val="both"/>
        <w:rPr>
          <w:rFonts w:ascii="Times New Roman" w:hAnsi="Times New Roman" w:cs="Times New Roman"/>
        </w:rPr>
      </w:pPr>
      <w:r w:rsidRPr="00381D4C">
        <w:rPr>
          <w:rStyle w:val="Znakapoznpodarou"/>
          <w:rFonts w:ascii="Times New Roman" w:hAnsi="Times New Roman" w:cs="Times New Roman"/>
        </w:rPr>
        <w:footnoteRef/>
      </w:r>
      <w:r w:rsidRPr="00381D4C">
        <w:rPr>
          <w:rFonts w:ascii="Times New Roman" w:hAnsi="Times New Roman" w:cs="Times New Roman"/>
        </w:rPr>
        <w:t xml:space="preserve"> V. Putin o útoku mluvil jako o vyhlášení „speciální vojenské operace“.</w:t>
      </w:r>
    </w:p>
  </w:footnote>
  <w:footnote w:id="22">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Do té doby nebyli ani mezi 30 zeměmi s nejvyšším počtem žádostí o azyl.</w:t>
      </w:r>
    </w:p>
  </w:footnote>
  <w:footnote w:id="23">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Coercive engineered migration (CEM) = „Nátlakem řízená migrace nebo nátlakově řízená migrace jsou ty skutečné nebo ohrožené přeshraniční přesuny obyvatelstva, které jsou záměrně vytvářeny nebo manipulovány jako nástroje odstrašení nebo nátlaku s cílem zabránit nebo vyvolat změny v politickém chování nebo získat politické vojenské a ekonomické ústupky od cílového státu nebo států.“ Greenhil (2016: 33)</w:t>
      </w:r>
      <w:r>
        <w:rPr>
          <w:rFonts w:ascii="Times New Roman" w:hAnsi="Times New Roman" w:cs="Times New Roman"/>
        </w:rPr>
        <w:t>.</w:t>
      </w:r>
    </w:p>
  </w:footnote>
  <w:footnote w:id="24">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Turecko umožnilo vrátit nelegální uprchlíky z Řecka výměnou za poskytnutí šesti miliard eur na pokrytí nákladů na přesídlení asi tři milionů syrských migrantů. Navíc došlo k urychlení liberalizace víz pro turecké státní příslušníky a „regeneraci“ rozhovorů o členství Turecka v EU.</w:t>
      </w:r>
    </w:p>
  </w:footnote>
  <w:footnote w:id="25">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Rezoluce Valného shromáždění OSN č. 68/262; schválena 27. března 2014</w:t>
      </w:r>
      <w:r>
        <w:rPr>
          <w:rFonts w:ascii="Times New Roman" w:hAnsi="Times New Roman" w:cs="Times New Roman"/>
        </w:rPr>
        <w:t>.</w:t>
      </w:r>
    </w:p>
  </w:footnote>
  <w:footnote w:id="26">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Devět z deseti největších přispěvatelů dosahuje vyšší hodnoty LDI než 0,7; mimo Polsko (0,43) (V-Dem Institute, 2023).</w:t>
      </w:r>
    </w:p>
  </w:footnote>
  <w:footnote w:id="27">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Finsko a Švédsko se stalo členem NATO v roce 2023 resp. 2024, ale členy EU již v roce 1995.</w:t>
      </w:r>
    </w:p>
  </w:footnote>
  <w:footnote w:id="28">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Členy NATO nejsou Rakousko, Irsko, Malta a Kypr.</w:t>
      </w:r>
    </w:p>
  </w:footnote>
  <w:footnote w:id="29">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Po ztroskotání Evropského politického společenství, jehož součástí mělo být odmítnuté Evropské obranné společenství, vznikla z původní Západní unie Západoevropská unie (ZEU), která v roce 1992 schválila tzv. Petersberské úkoly, kde státy vyčlenily ozbrojené složky pro humanitární a mírové mise. V roce 1999 byly kompetence ZEU převedeny na EU.</w:t>
      </w:r>
    </w:p>
  </w:footnote>
  <w:footnote w:id="30">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Evropská komise (2016: 2) v Evropském obranném akčním plánu odhaduje, že každé euro investované do obrany vytváří návratnost 1,6 euro (prostřednictvím kvalifikovaného zaměstnání, výzkumu a technologií a vývozu).</w:t>
      </w:r>
    </w:p>
  </w:footnote>
  <w:footnote w:id="31">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Vlivem COVIDové pandemie se snížil z původních 13 mld. €.</w:t>
      </w:r>
    </w:p>
  </w:footnote>
  <w:footnote w:id="32">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Pr>
          <w:rFonts w:ascii="Times New Roman" w:hAnsi="Times New Roman" w:cs="Times New Roman"/>
        </w:rPr>
        <w:t xml:space="preserve"> Pomoc poskytovaná EU (Komise, Rada, Evropské</w:t>
      </w:r>
      <w:r w:rsidRPr="001563E0">
        <w:rPr>
          <w:rFonts w:ascii="Times New Roman" w:hAnsi="Times New Roman" w:cs="Times New Roman"/>
        </w:rPr>
        <w:t xml:space="preserve"> mírov</w:t>
      </w:r>
      <w:r>
        <w:rPr>
          <w:rFonts w:ascii="Times New Roman" w:hAnsi="Times New Roman" w:cs="Times New Roman"/>
        </w:rPr>
        <w:t>é</w:t>
      </w:r>
      <w:r w:rsidRPr="001563E0">
        <w:rPr>
          <w:rFonts w:ascii="Times New Roman" w:hAnsi="Times New Roman" w:cs="Times New Roman"/>
        </w:rPr>
        <w:t xml:space="preserve"> nástroje a Evropské investiční banky</w:t>
      </w:r>
      <w:r>
        <w:rPr>
          <w:rFonts w:ascii="Times New Roman" w:hAnsi="Times New Roman" w:cs="Times New Roman"/>
        </w:rPr>
        <w:t>)</w:t>
      </w:r>
      <w:r w:rsidRPr="001563E0">
        <w:rPr>
          <w:rFonts w:ascii="Times New Roman" w:hAnsi="Times New Roman" w:cs="Times New Roman"/>
        </w:rPr>
        <w:t>.</w:t>
      </w:r>
    </w:p>
  </w:footnote>
  <w:footnote w:id="33">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Závislost zemí EU na ropě byla 98 %; na zemním plynu 92 % (European Central Bank, 2022).</w:t>
      </w:r>
    </w:p>
  </w:footnote>
  <w:footnote w:id="34">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Například Čína, kde jsou ložiska zemního plynu dostatečná, je geograficky příliš vzdálená, navíc chybí plynovody.</w:t>
      </w:r>
    </w:p>
  </w:footnote>
  <w:footnote w:id="35">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Ropa je nejdůležitějším zdrojem v dopravě.</w:t>
      </w:r>
    </w:p>
  </w:footnote>
  <w:footnote w:id="36">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Energetický sektor, výrobci chemikálií, kovů, nekovových minerálů, potravin, nápojů.</w:t>
      </w:r>
    </w:p>
  </w:footnote>
  <w:footnote w:id="37">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Příklad: závislost Belgie na zemním plynu představovala v roce 2020 29 %. Závislost na ruských dodávkách pak činila 3,49 %.  29/100*2,49 = 1,01. Belgie má tedy hodnotu indexu 1,01.</w:t>
      </w:r>
    </w:p>
  </w:footnote>
  <w:footnote w:id="38">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Včetně třech států s nejvyšším skóre: Dánsko (0,88), Švédsko (0,85) a Estonsko (0,84).</w:t>
      </w:r>
    </w:p>
  </w:footnote>
  <w:footnote w:id="39">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Nad hranicí 0,7 jsou státy jako Tchaj-wan (0,72) Japonsko (0,73) nebo Litva (0,74); naopak pod hranicí 0,7 je Brazílie či Argentina (oba 0,69).</w:t>
      </w:r>
    </w:p>
  </w:footnote>
  <w:footnote w:id="40">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Od roku vzniku práce (2024) je odečten rok vstupu do ES/EU.</w:t>
      </w:r>
    </w:p>
  </w:footnote>
  <w:footnote w:id="41">
    <w:p w:rsidR="007321DB" w:rsidRPr="001563E0" w:rsidRDefault="007321DB" w:rsidP="007866E9">
      <w:pPr>
        <w:pStyle w:val="Textpoznpodarou"/>
        <w:spacing w:line="360" w:lineRule="auto"/>
        <w:jc w:val="both"/>
        <w:rPr>
          <w:rFonts w:ascii="Times New Roman" w:hAnsi="Times New Roman" w:cs="Times New Roman"/>
        </w:rPr>
      </w:pPr>
      <w:r w:rsidRPr="001563E0">
        <w:rPr>
          <w:rStyle w:val="Znakapoznpodarou"/>
          <w:rFonts w:ascii="Times New Roman" w:hAnsi="Times New Roman" w:cs="Times New Roman"/>
        </w:rPr>
        <w:footnoteRef/>
      </w:r>
      <w:r w:rsidRPr="001563E0">
        <w:rPr>
          <w:rFonts w:ascii="Times New Roman" w:hAnsi="Times New Roman" w:cs="Times New Roman"/>
        </w:rPr>
        <w:t xml:space="preserve"> V případech, kdy se členové vlády měnili 15. v měsíci, se počítal tento měsíc členovy, který strávil ve vládě druhou polovinu onoho měsíce.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8AA"/>
    <w:multiLevelType w:val="hybridMultilevel"/>
    <w:tmpl w:val="BF9086A6"/>
    <w:lvl w:ilvl="0" w:tplc="F3244188">
      <w:start w:val="1"/>
      <w:numFmt w:val="bullet"/>
      <w:lvlText w:val="•"/>
      <w:lvlJc w:val="left"/>
      <w:pPr>
        <w:tabs>
          <w:tab w:val="num" w:pos="720"/>
        </w:tabs>
        <w:ind w:left="720" w:hanging="360"/>
      </w:pPr>
      <w:rPr>
        <w:rFonts w:ascii="Times New Roman" w:hAnsi="Times New Roman" w:hint="default"/>
      </w:rPr>
    </w:lvl>
    <w:lvl w:ilvl="1" w:tplc="8FB4988A" w:tentative="1">
      <w:start w:val="1"/>
      <w:numFmt w:val="bullet"/>
      <w:lvlText w:val="•"/>
      <w:lvlJc w:val="left"/>
      <w:pPr>
        <w:tabs>
          <w:tab w:val="num" w:pos="1440"/>
        </w:tabs>
        <w:ind w:left="1440" w:hanging="360"/>
      </w:pPr>
      <w:rPr>
        <w:rFonts w:ascii="Times New Roman" w:hAnsi="Times New Roman" w:hint="default"/>
      </w:rPr>
    </w:lvl>
    <w:lvl w:ilvl="2" w:tplc="4F2CAB7C" w:tentative="1">
      <w:start w:val="1"/>
      <w:numFmt w:val="bullet"/>
      <w:lvlText w:val="•"/>
      <w:lvlJc w:val="left"/>
      <w:pPr>
        <w:tabs>
          <w:tab w:val="num" w:pos="2160"/>
        </w:tabs>
        <w:ind w:left="2160" w:hanging="360"/>
      </w:pPr>
      <w:rPr>
        <w:rFonts w:ascii="Times New Roman" w:hAnsi="Times New Roman" w:hint="default"/>
      </w:rPr>
    </w:lvl>
    <w:lvl w:ilvl="3" w:tplc="43DE311A" w:tentative="1">
      <w:start w:val="1"/>
      <w:numFmt w:val="bullet"/>
      <w:lvlText w:val="•"/>
      <w:lvlJc w:val="left"/>
      <w:pPr>
        <w:tabs>
          <w:tab w:val="num" w:pos="2880"/>
        </w:tabs>
        <w:ind w:left="2880" w:hanging="360"/>
      </w:pPr>
      <w:rPr>
        <w:rFonts w:ascii="Times New Roman" w:hAnsi="Times New Roman" w:hint="default"/>
      </w:rPr>
    </w:lvl>
    <w:lvl w:ilvl="4" w:tplc="2CA4FA16" w:tentative="1">
      <w:start w:val="1"/>
      <w:numFmt w:val="bullet"/>
      <w:lvlText w:val="•"/>
      <w:lvlJc w:val="left"/>
      <w:pPr>
        <w:tabs>
          <w:tab w:val="num" w:pos="3600"/>
        </w:tabs>
        <w:ind w:left="3600" w:hanging="360"/>
      </w:pPr>
      <w:rPr>
        <w:rFonts w:ascii="Times New Roman" w:hAnsi="Times New Roman" w:hint="default"/>
      </w:rPr>
    </w:lvl>
    <w:lvl w:ilvl="5" w:tplc="ACFCB012" w:tentative="1">
      <w:start w:val="1"/>
      <w:numFmt w:val="bullet"/>
      <w:lvlText w:val="•"/>
      <w:lvlJc w:val="left"/>
      <w:pPr>
        <w:tabs>
          <w:tab w:val="num" w:pos="4320"/>
        </w:tabs>
        <w:ind w:left="4320" w:hanging="360"/>
      </w:pPr>
      <w:rPr>
        <w:rFonts w:ascii="Times New Roman" w:hAnsi="Times New Roman" w:hint="default"/>
      </w:rPr>
    </w:lvl>
    <w:lvl w:ilvl="6" w:tplc="32B80D4C" w:tentative="1">
      <w:start w:val="1"/>
      <w:numFmt w:val="bullet"/>
      <w:lvlText w:val="•"/>
      <w:lvlJc w:val="left"/>
      <w:pPr>
        <w:tabs>
          <w:tab w:val="num" w:pos="5040"/>
        </w:tabs>
        <w:ind w:left="5040" w:hanging="360"/>
      </w:pPr>
      <w:rPr>
        <w:rFonts w:ascii="Times New Roman" w:hAnsi="Times New Roman" w:hint="default"/>
      </w:rPr>
    </w:lvl>
    <w:lvl w:ilvl="7" w:tplc="8608713C" w:tentative="1">
      <w:start w:val="1"/>
      <w:numFmt w:val="bullet"/>
      <w:lvlText w:val="•"/>
      <w:lvlJc w:val="left"/>
      <w:pPr>
        <w:tabs>
          <w:tab w:val="num" w:pos="5760"/>
        </w:tabs>
        <w:ind w:left="5760" w:hanging="360"/>
      </w:pPr>
      <w:rPr>
        <w:rFonts w:ascii="Times New Roman" w:hAnsi="Times New Roman" w:hint="default"/>
      </w:rPr>
    </w:lvl>
    <w:lvl w:ilvl="8" w:tplc="725E14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73"/>
    <w:rsid w:val="00000A01"/>
    <w:rsid w:val="00001804"/>
    <w:rsid w:val="00002B05"/>
    <w:rsid w:val="0000342B"/>
    <w:rsid w:val="00007FDE"/>
    <w:rsid w:val="0001084D"/>
    <w:rsid w:val="00013161"/>
    <w:rsid w:val="00013345"/>
    <w:rsid w:val="00024B39"/>
    <w:rsid w:val="000329DA"/>
    <w:rsid w:val="000343E7"/>
    <w:rsid w:val="000343FE"/>
    <w:rsid w:val="0003599D"/>
    <w:rsid w:val="00036474"/>
    <w:rsid w:val="000369B1"/>
    <w:rsid w:val="00037ED2"/>
    <w:rsid w:val="00040FB9"/>
    <w:rsid w:val="0004118A"/>
    <w:rsid w:val="00043EA3"/>
    <w:rsid w:val="00046A4D"/>
    <w:rsid w:val="00047C0F"/>
    <w:rsid w:val="00052BF8"/>
    <w:rsid w:val="000539E5"/>
    <w:rsid w:val="00054670"/>
    <w:rsid w:val="00056D02"/>
    <w:rsid w:val="00057151"/>
    <w:rsid w:val="00060A6C"/>
    <w:rsid w:val="000618E5"/>
    <w:rsid w:val="00077E9C"/>
    <w:rsid w:val="00080CFF"/>
    <w:rsid w:val="0008356C"/>
    <w:rsid w:val="00083BEE"/>
    <w:rsid w:val="0009017F"/>
    <w:rsid w:val="00094145"/>
    <w:rsid w:val="00095678"/>
    <w:rsid w:val="0009652B"/>
    <w:rsid w:val="00097580"/>
    <w:rsid w:val="000A1566"/>
    <w:rsid w:val="000A2B20"/>
    <w:rsid w:val="000A74C0"/>
    <w:rsid w:val="000B298E"/>
    <w:rsid w:val="000B4785"/>
    <w:rsid w:val="000B5B78"/>
    <w:rsid w:val="000B6E17"/>
    <w:rsid w:val="000C04AF"/>
    <w:rsid w:val="000C10AA"/>
    <w:rsid w:val="000C4AF4"/>
    <w:rsid w:val="000C71DF"/>
    <w:rsid w:val="000D415F"/>
    <w:rsid w:val="000D51C1"/>
    <w:rsid w:val="000E18CA"/>
    <w:rsid w:val="000E1D58"/>
    <w:rsid w:val="000E2842"/>
    <w:rsid w:val="000E70D7"/>
    <w:rsid w:val="000E7E45"/>
    <w:rsid w:val="000F760A"/>
    <w:rsid w:val="00100172"/>
    <w:rsid w:val="00102794"/>
    <w:rsid w:val="0010329F"/>
    <w:rsid w:val="00104B0A"/>
    <w:rsid w:val="001070C9"/>
    <w:rsid w:val="00107787"/>
    <w:rsid w:val="00107A0F"/>
    <w:rsid w:val="00110126"/>
    <w:rsid w:val="001167A3"/>
    <w:rsid w:val="001215BE"/>
    <w:rsid w:val="00125D57"/>
    <w:rsid w:val="0012641A"/>
    <w:rsid w:val="001268B5"/>
    <w:rsid w:val="00126DC5"/>
    <w:rsid w:val="0013465C"/>
    <w:rsid w:val="0013698C"/>
    <w:rsid w:val="00141353"/>
    <w:rsid w:val="00141FFA"/>
    <w:rsid w:val="00143305"/>
    <w:rsid w:val="00143472"/>
    <w:rsid w:val="00147B6C"/>
    <w:rsid w:val="00152471"/>
    <w:rsid w:val="0015281C"/>
    <w:rsid w:val="00152A5B"/>
    <w:rsid w:val="001563E0"/>
    <w:rsid w:val="00156AD2"/>
    <w:rsid w:val="00167A1C"/>
    <w:rsid w:val="00167A1F"/>
    <w:rsid w:val="00170BF7"/>
    <w:rsid w:val="00172B27"/>
    <w:rsid w:val="0017395F"/>
    <w:rsid w:val="00173C9D"/>
    <w:rsid w:val="0017678B"/>
    <w:rsid w:val="00177B47"/>
    <w:rsid w:val="001804FD"/>
    <w:rsid w:val="00180AC6"/>
    <w:rsid w:val="0018234E"/>
    <w:rsid w:val="00184FB4"/>
    <w:rsid w:val="001858A9"/>
    <w:rsid w:val="00187184"/>
    <w:rsid w:val="00191736"/>
    <w:rsid w:val="0019450A"/>
    <w:rsid w:val="001960DC"/>
    <w:rsid w:val="0019751D"/>
    <w:rsid w:val="001A1A5F"/>
    <w:rsid w:val="001B024D"/>
    <w:rsid w:val="001B79CF"/>
    <w:rsid w:val="001C3B10"/>
    <w:rsid w:val="001C7CD7"/>
    <w:rsid w:val="001C7D1B"/>
    <w:rsid w:val="001D020D"/>
    <w:rsid w:val="001D0951"/>
    <w:rsid w:val="001D2E63"/>
    <w:rsid w:val="001D509A"/>
    <w:rsid w:val="001D688E"/>
    <w:rsid w:val="001E0270"/>
    <w:rsid w:val="001E04BA"/>
    <w:rsid w:val="001E0D7F"/>
    <w:rsid w:val="001E6B6F"/>
    <w:rsid w:val="001F01D7"/>
    <w:rsid w:val="001F1B64"/>
    <w:rsid w:val="001F2FD8"/>
    <w:rsid w:val="001F572C"/>
    <w:rsid w:val="001F6BEA"/>
    <w:rsid w:val="001F7D5F"/>
    <w:rsid w:val="00203B19"/>
    <w:rsid w:val="0020463E"/>
    <w:rsid w:val="002051BC"/>
    <w:rsid w:val="00210D8E"/>
    <w:rsid w:val="0021495B"/>
    <w:rsid w:val="002159FE"/>
    <w:rsid w:val="00216A5E"/>
    <w:rsid w:val="0021771C"/>
    <w:rsid w:val="00224F64"/>
    <w:rsid w:val="00231A6C"/>
    <w:rsid w:val="00231E87"/>
    <w:rsid w:val="00234369"/>
    <w:rsid w:val="002343C5"/>
    <w:rsid w:val="00234503"/>
    <w:rsid w:val="00235E5F"/>
    <w:rsid w:val="00236857"/>
    <w:rsid w:val="002372C5"/>
    <w:rsid w:val="00240591"/>
    <w:rsid w:val="002515CA"/>
    <w:rsid w:val="00255D88"/>
    <w:rsid w:val="00256CDA"/>
    <w:rsid w:val="002707B9"/>
    <w:rsid w:val="002724BD"/>
    <w:rsid w:val="00274C4B"/>
    <w:rsid w:val="0028220C"/>
    <w:rsid w:val="00282481"/>
    <w:rsid w:val="00282BB7"/>
    <w:rsid w:val="00290319"/>
    <w:rsid w:val="0029224C"/>
    <w:rsid w:val="002943FF"/>
    <w:rsid w:val="002A328B"/>
    <w:rsid w:val="002A32BB"/>
    <w:rsid w:val="002A3712"/>
    <w:rsid w:val="002B0A2A"/>
    <w:rsid w:val="002B1E6A"/>
    <w:rsid w:val="002B3844"/>
    <w:rsid w:val="002B47ED"/>
    <w:rsid w:val="002B5B4D"/>
    <w:rsid w:val="002B5F32"/>
    <w:rsid w:val="002C3C4A"/>
    <w:rsid w:val="002C3EB7"/>
    <w:rsid w:val="002C7B5B"/>
    <w:rsid w:val="002D30B8"/>
    <w:rsid w:val="002D351E"/>
    <w:rsid w:val="002D5AD2"/>
    <w:rsid w:val="002E17DE"/>
    <w:rsid w:val="002E22E4"/>
    <w:rsid w:val="002E2398"/>
    <w:rsid w:val="002F3525"/>
    <w:rsid w:val="002F4970"/>
    <w:rsid w:val="002F4DEA"/>
    <w:rsid w:val="002F68ED"/>
    <w:rsid w:val="00303DD6"/>
    <w:rsid w:val="003042A0"/>
    <w:rsid w:val="003044F0"/>
    <w:rsid w:val="00304EA5"/>
    <w:rsid w:val="00307DCC"/>
    <w:rsid w:val="00324A1E"/>
    <w:rsid w:val="003256D9"/>
    <w:rsid w:val="00331EFB"/>
    <w:rsid w:val="003363D8"/>
    <w:rsid w:val="00341EC5"/>
    <w:rsid w:val="0035054E"/>
    <w:rsid w:val="00362559"/>
    <w:rsid w:val="00365DC8"/>
    <w:rsid w:val="00370747"/>
    <w:rsid w:val="0037552F"/>
    <w:rsid w:val="00375E59"/>
    <w:rsid w:val="00377134"/>
    <w:rsid w:val="00377908"/>
    <w:rsid w:val="00381D4C"/>
    <w:rsid w:val="00381FDC"/>
    <w:rsid w:val="003825FA"/>
    <w:rsid w:val="00390098"/>
    <w:rsid w:val="00390A0F"/>
    <w:rsid w:val="003948B9"/>
    <w:rsid w:val="00395CAA"/>
    <w:rsid w:val="003A1880"/>
    <w:rsid w:val="003A3B90"/>
    <w:rsid w:val="003A5EA7"/>
    <w:rsid w:val="003B4808"/>
    <w:rsid w:val="003C070D"/>
    <w:rsid w:val="003C20E5"/>
    <w:rsid w:val="003C224C"/>
    <w:rsid w:val="003C27EE"/>
    <w:rsid w:val="003C3206"/>
    <w:rsid w:val="003C7BB9"/>
    <w:rsid w:val="003D3E88"/>
    <w:rsid w:val="003E60E3"/>
    <w:rsid w:val="003E6AC6"/>
    <w:rsid w:val="003F0800"/>
    <w:rsid w:val="004037B4"/>
    <w:rsid w:val="00405A11"/>
    <w:rsid w:val="00413355"/>
    <w:rsid w:val="00414697"/>
    <w:rsid w:val="00414BC5"/>
    <w:rsid w:val="00414C8E"/>
    <w:rsid w:val="00424E20"/>
    <w:rsid w:val="00425E03"/>
    <w:rsid w:val="00427D22"/>
    <w:rsid w:val="00437692"/>
    <w:rsid w:val="004420C4"/>
    <w:rsid w:val="00443B6D"/>
    <w:rsid w:val="00446381"/>
    <w:rsid w:val="00446493"/>
    <w:rsid w:val="00462059"/>
    <w:rsid w:val="00470650"/>
    <w:rsid w:val="00477463"/>
    <w:rsid w:val="0048152C"/>
    <w:rsid w:val="00481C86"/>
    <w:rsid w:val="0048468F"/>
    <w:rsid w:val="004854D2"/>
    <w:rsid w:val="004859F8"/>
    <w:rsid w:val="00485EC1"/>
    <w:rsid w:val="004906DD"/>
    <w:rsid w:val="0049404D"/>
    <w:rsid w:val="004A2CE0"/>
    <w:rsid w:val="004A3455"/>
    <w:rsid w:val="004A418F"/>
    <w:rsid w:val="004A6901"/>
    <w:rsid w:val="004A6C1F"/>
    <w:rsid w:val="004A6C89"/>
    <w:rsid w:val="004B16C4"/>
    <w:rsid w:val="004B3D6C"/>
    <w:rsid w:val="004B5271"/>
    <w:rsid w:val="004B68F0"/>
    <w:rsid w:val="004C0B14"/>
    <w:rsid w:val="004C327D"/>
    <w:rsid w:val="004C6684"/>
    <w:rsid w:val="004D0B74"/>
    <w:rsid w:val="004D10D5"/>
    <w:rsid w:val="004D29C9"/>
    <w:rsid w:val="004D4FA8"/>
    <w:rsid w:val="004D684D"/>
    <w:rsid w:val="004E399B"/>
    <w:rsid w:val="004E5073"/>
    <w:rsid w:val="004E5AEF"/>
    <w:rsid w:val="004E5B7B"/>
    <w:rsid w:val="004F28F8"/>
    <w:rsid w:val="004F471D"/>
    <w:rsid w:val="004F4CA3"/>
    <w:rsid w:val="004F6EF9"/>
    <w:rsid w:val="0050107D"/>
    <w:rsid w:val="00505108"/>
    <w:rsid w:val="00505B09"/>
    <w:rsid w:val="00506C5A"/>
    <w:rsid w:val="00510902"/>
    <w:rsid w:val="005126AF"/>
    <w:rsid w:val="0051324B"/>
    <w:rsid w:val="00515859"/>
    <w:rsid w:val="00517FCE"/>
    <w:rsid w:val="00524A7C"/>
    <w:rsid w:val="00525213"/>
    <w:rsid w:val="00526D8E"/>
    <w:rsid w:val="00527656"/>
    <w:rsid w:val="005323EF"/>
    <w:rsid w:val="00537DFB"/>
    <w:rsid w:val="005411B4"/>
    <w:rsid w:val="00541B9D"/>
    <w:rsid w:val="005450A8"/>
    <w:rsid w:val="005459FA"/>
    <w:rsid w:val="0054686C"/>
    <w:rsid w:val="00547D39"/>
    <w:rsid w:val="00550998"/>
    <w:rsid w:val="00552B1C"/>
    <w:rsid w:val="005560CC"/>
    <w:rsid w:val="005567A8"/>
    <w:rsid w:val="005604A5"/>
    <w:rsid w:val="00563429"/>
    <w:rsid w:val="0056419C"/>
    <w:rsid w:val="005659A5"/>
    <w:rsid w:val="00565D3C"/>
    <w:rsid w:val="00567280"/>
    <w:rsid w:val="00570A66"/>
    <w:rsid w:val="00576865"/>
    <w:rsid w:val="00577135"/>
    <w:rsid w:val="00577C7F"/>
    <w:rsid w:val="005804C2"/>
    <w:rsid w:val="00581FFC"/>
    <w:rsid w:val="00583001"/>
    <w:rsid w:val="00583403"/>
    <w:rsid w:val="005965E0"/>
    <w:rsid w:val="00596EFB"/>
    <w:rsid w:val="00597ACA"/>
    <w:rsid w:val="005A0E82"/>
    <w:rsid w:val="005A22D9"/>
    <w:rsid w:val="005A2969"/>
    <w:rsid w:val="005A56E8"/>
    <w:rsid w:val="005A738B"/>
    <w:rsid w:val="005B1501"/>
    <w:rsid w:val="005B2D21"/>
    <w:rsid w:val="005B67C9"/>
    <w:rsid w:val="005B75C5"/>
    <w:rsid w:val="005C237C"/>
    <w:rsid w:val="005C2E4C"/>
    <w:rsid w:val="005C4069"/>
    <w:rsid w:val="005C4114"/>
    <w:rsid w:val="005D141C"/>
    <w:rsid w:val="005D2871"/>
    <w:rsid w:val="005D4173"/>
    <w:rsid w:val="005D5F7A"/>
    <w:rsid w:val="005D7DE0"/>
    <w:rsid w:val="005E3F20"/>
    <w:rsid w:val="00602764"/>
    <w:rsid w:val="00602B13"/>
    <w:rsid w:val="00611834"/>
    <w:rsid w:val="006118FC"/>
    <w:rsid w:val="00612824"/>
    <w:rsid w:val="006132A0"/>
    <w:rsid w:val="00615088"/>
    <w:rsid w:val="00620C3B"/>
    <w:rsid w:val="00621FD6"/>
    <w:rsid w:val="0062687B"/>
    <w:rsid w:val="00627323"/>
    <w:rsid w:val="0063064E"/>
    <w:rsid w:val="006315F1"/>
    <w:rsid w:val="006365CA"/>
    <w:rsid w:val="00636ADF"/>
    <w:rsid w:val="00637621"/>
    <w:rsid w:val="006415A1"/>
    <w:rsid w:val="006433C7"/>
    <w:rsid w:val="00646E4C"/>
    <w:rsid w:val="0065494A"/>
    <w:rsid w:val="006552C0"/>
    <w:rsid w:val="00662BA8"/>
    <w:rsid w:val="00664416"/>
    <w:rsid w:val="006649A0"/>
    <w:rsid w:val="00664BC4"/>
    <w:rsid w:val="006678D0"/>
    <w:rsid w:val="00671474"/>
    <w:rsid w:val="00672BF5"/>
    <w:rsid w:val="0068088F"/>
    <w:rsid w:val="006846F1"/>
    <w:rsid w:val="0068586B"/>
    <w:rsid w:val="006911DD"/>
    <w:rsid w:val="00693572"/>
    <w:rsid w:val="00694E89"/>
    <w:rsid w:val="00697E20"/>
    <w:rsid w:val="006A0959"/>
    <w:rsid w:val="006A14A9"/>
    <w:rsid w:val="006A43A6"/>
    <w:rsid w:val="006A564A"/>
    <w:rsid w:val="006A5B6F"/>
    <w:rsid w:val="006B1D93"/>
    <w:rsid w:val="006B750C"/>
    <w:rsid w:val="006C021E"/>
    <w:rsid w:val="006C1DB8"/>
    <w:rsid w:val="006C5DAE"/>
    <w:rsid w:val="006D1BB5"/>
    <w:rsid w:val="006D28A4"/>
    <w:rsid w:val="006D47CE"/>
    <w:rsid w:val="006D616A"/>
    <w:rsid w:val="006E3673"/>
    <w:rsid w:val="006E5759"/>
    <w:rsid w:val="006E74FE"/>
    <w:rsid w:val="006E7B63"/>
    <w:rsid w:val="006F00A8"/>
    <w:rsid w:val="006F30AE"/>
    <w:rsid w:val="00701B35"/>
    <w:rsid w:val="00703F54"/>
    <w:rsid w:val="00705F1E"/>
    <w:rsid w:val="0071153F"/>
    <w:rsid w:val="0071217E"/>
    <w:rsid w:val="0071257E"/>
    <w:rsid w:val="00716640"/>
    <w:rsid w:val="0071706B"/>
    <w:rsid w:val="007175FE"/>
    <w:rsid w:val="00722A38"/>
    <w:rsid w:val="00730F4F"/>
    <w:rsid w:val="007320C5"/>
    <w:rsid w:val="007321DB"/>
    <w:rsid w:val="00732FDD"/>
    <w:rsid w:val="007344A6"/>
    <w:rsid w:val="00734EA4"/>
    <w:rsid w:val="007370D5"/>
    <w:rsid w:val="007418C9"/>
    <w:rsid w:val="00742D54"/>
    <w:rsid w:val="00742EB4"/>
    <w:rsid w:val="007477B2"/>
    <w:rsid w:val="00750EF0"/>
    <w:rsid w:val="00752A1D"/>
    <w:rsid w:val="007532AE"/>
    <w:rsid w:val="00754FF9"/>
    <w:rsid w:val="00757288"/>
    <w:rsid w:val="00757374"/>
    <w:rsid w:val="00761B26"/>
    <w:rsid w:val="00762995"/>
    <w:rsid w:val="00764F4A"/>
    <w:rsid w:val="00767F7B"/>
    <w:rsid w:val="00770C4C"/>
    <w:rsid w:val="007717C6"/>
    <w:rsid w:val="0077611A"/>
    <w:rsid w:val="00776CBB"/>
    <w:rsid w:val="00782731"/>
    <w:rsid w:val="00782D68"/>
    <w:rsid w:val="007836C1"/>
    <w:rsid w:val="00784AB5"/>
    <w:rsid w:val="007866E9"/>
    <w:rsid w:val="0079136A"/>
    <w:rsid w:val="00795DE6"/>
    <w:rsid w:val="007A2BC2"/>
    <w:rsid w:val="007A3182"/>
    <w:rsid w:val="007B0E45"/>
    <w:rsid w:val="007B470F"/>
    <w:rsid w:val="007B5442"/>
    <w:rsid w:val="007B5668"/>
    <w:rsid w:val="007D61DA"/>
    <w:rsid w:val="007E06CD"/>
    <w:rsid w:val="007E4F94"/>
    <w:rsid w:val="007F7BAB"/>
    <w:rsid w:val="007F7C49"/>
    <w:rsid w:val="00801324"/>
    <w:rsid w:val="00801F58"/>
    <w:rsid w:val="0080318C"/>
    <w:rsid w:val="00803DA1"/>
    <w:rsid w:val="00804559"/>
    <w:rsid w:val="00804FDA"/>
    <w:rsid w:val="0080571A"/>
    <w:rsid w:val="00805934"/>
    <w:rsid w:val="008062AA"/>
    <w:rsid w:val="00812D68"/>
    <w:rsid w:val="00816E25"/>
    <w:rsid w:val="00820059"/>
    <w:rsid w:val="0082145D"/>
    <w:rsid w:val="008237E7"/>
    <w:rsid w:val="00824ED4"/>
    <w:rsid w:val="00825972"/>
    <w:rsid w:val="00827AD3"/>
    <w:rsid w:val="00832B45"/>
    <w:rsid w:val="0083305F"/>
    <w:rsid w:val="00836D11"/>
    <w:rsid w:val="00842802"/>
    <w:rsid w:val="00845F46"/>
    <w:rsid w:val="00845F77"/>
    <w:rsid w:val="008471A0"/>
    <w:rsid w:val="00851D74"/>
    <w:rsid w:val="00851DE1"/>
    <w:rsid w:val="008547C6"/>
    <w:rsid w:val="0085546E"/>
    <w:rsid w:val="00857F7A"/>
    <w:rsid w:val="00863BAD"/>
    <w:rsid w:val="00886792"/>
    <w:rsid w:val="00890F71"/>
    <w:rsid w:val="008A0F8B"/>
    <w:rsid w:val="008A240B"/>
    <w:rsid w:val="008A40A5"/>
    <w:rsid w:val="008A4DBB"/>
    <w:rsid w:val="008A633E"/>
    <w:rsid w:val="008B2012"/>
    <w:rsid w:val="008B5839"/>
    <w:rsid w:val="008B6A82"/>
    <w:rsid w:val="008C3B79"/>
    <w:rsid w:val="008C4F84"/>
    <w:rsid w:val="008C613E"/>
    <w:rsid w:val="008D0990"/>
    <w:rsid w:val="008D1C49"/>
    <w:rsid w:val="008D4FE6"/>
    <w:rsid w:val="008D55BA"/>
    <w:rsid w:val="008E13AA"/>
    <w:rsid w:val="008E235B"/>
    <w:rsid w:val="008F0994"/>
    <w:rsid w:val="008F1D8A"/>
    <w:rsid w:val="008F4F04"/>
    <w:rsid w:val="008F55CC"/>
    <w:rsid w:val="008F7710"/>
    <w:rsid w:val="0090267F"/>
    <w:rsid w:val="00904B6E"/>
    <w:rsid w:val="0090767A"/>
    <w:rsid w:val="00910401"/>
    <w:rsid w:val="00910D2E"/>
    <w:rsid w:val="00914963"/>
    <w:rsid w:val="00914B61"/>
    <w:rsid w:val="00914C80"/>
    <w:rsid w:val="00925E61"/>
    <w:rsid w:val="0093072D"/>
    <w:rsid w:val="00934765"/>
    <w:rsid w:val="00935BC4"/>
    <w:rsid w:val="00936862"/>
    <w:rsid w:val="00936C3E"/>
    <w:rsid w:val="00940202"/>
    <w:rsid w:val="009406B3"/>
    <w:rsid w:val="00941046"/>
    <w:rsid w:val="00945FB8"/>
    <w:rsid w:val="00953DBA"/>
    <w:rsid w:val="00954387"/>
    <w:rsid w:val="0095797A"/>
    <w:rsid w:val="00960C8A"/>
    <w:rsid w:val="009656B6"/>
    <w:rsid w:val="00967224"/>
    <w:rsid w:val="009677AB"/>
    <w:rsid w:val="009731C5"/>
    <w:rsid w:val="009737D3"/>
    <w:rsid w:val="009763FD"/>
    <w:rsid w:val="00982CA1"/>
    <w:rsid w:val="00986224"/>
    <w:rsid w:val="00987663"/>
    <w:rsid w:val="009911FB"/>
    <w:rsid w:val="00994D5B"/>
    <w:rsid w:val="0099502D"/>
    <w:rsid w:val="0099585B"/>
    <w:rsid w:val="009967AC"/>
    <w:rsid w:val="00997474"/>
    <w:rsid w:val="009A0BFD"/>
    <w:rsid w:val="009A616F"/>
    <w:rsid w:val="009A67BA"/>
    <w:rsid w:val="009B6750"/>
    <w:rsid w:val="009C10B3"/>
    <w:rsid w:val="009C4A8E"/>
    <w:rsid w:val="009C520A"/>
    <w:rsid w:val="009C5C88"/>
    <w:rsid w:val="009D02EC"/>
    <w:rsid w:val="009D1E92"/>
    <w:rsid w:val="009D6B98"/>
    <w:rsid w:val="009D7AD6"/>
    <w:rsid w:val="009E117D"/>
    <w:rsid w:val="009E2A34"/>
    <w:rsid w:val="009E3C24"/>
    <w:rsid w:val="009E65F7"/>
    <w:rsid w:val="009E77AF"/>
    <w:rsid w:val="009F0AEC"/>
    <w:rsid w:val="009F38BC"/>
    <w:rsid w:val="009F459D"/>
    <w:rsid w:val="009F4C7E"/>
    <w:rsid w:val="009F5027"/>
    <w:rsid w:val="00A004C6"/>
    <w:rsid w:val="00A07327"/>
    <w:rsid w:val="00A10EF1"/>
    <w:rsid w:val="00A14B11"/>
    <w:rsid w:val="00A15DB5"/>
    <w:rsid w:val="00A21C72"/>
    <w:rsid w:val="00A226AC"/>
    <w:rsid w:val="00A24BAD"/>
    <w:rsid w:val="00A31170"/>
    <w:rsid w:val="00A315D3"/>
    <w:rsid w:val="00A3499C"/>
    <w:rsid w:val="00A34B06"/>
    <w:rsid w:val="00A36EDB"/>
    <w:rsid w:val="00A4104E"/>
    <w:rsid w:val="00A43062"/>
    <w:rsid w:val="00A43997"/>
    <w:rsid w:val="00A54D13"/>
    <w:rsid w:val="00A56BA3"/>
    <w:rsid w:val="00A574A4"/>
    <w:rsid w:val="00A62022"/>
    <w:rsid w:val="00A629DF"/>
    <w:rsid w:val="00A71308"/>
    <w:rsid w:val="00A72D86"/>
    <w:rsid w:val="00A74619"/>
    <w:rsid w:val="00A800F8"/>
    <w:rsid w:val="00A850C5"/>
    <w:rsid w:val="00A87EC9"/>
    <w:rsid w:val="00A901D8"/>
    <w:rsid w:val="00A93E57"/>
    <w:rsid w:val="00A9509D"/>
    <w:rsid w:val="00A95979"/>
    <w:rsid w:val="00A9672C"/>
    <w:rsid w:val="00AA0CA2"/>
    <w:rsid w:val="00AA1D04"/>
    <w:rsid w:val="00AA2573"/>
    <w:rsid w:val="00AA30E7"/>
    <w:rsid w:val="00AB05F4"/>
    <w:rsid w:val="00AB3712"/>
    <w:rsid w:val="00AB42AB"/>
    <w:rsid w:val="00AB589B"/>
    <w:rsid w:val="00AC00F4"/>
    <w:rsid w:val="00AC0E73"/>
    <w:rsid w:val="00AC2A6A"/>
    <w:rsid w:val="00AC39DA"/>
    <w:rsid w:val="00AD1A6A"/>
    <w:rsid w:val="00AD5065"/>
    <w:rsid w:val="00AE14D7"/>
    <w:rsid w:val="00AE19A4"/>
    <w:rsid w:val="00AE2115"/>
    <w:rsid w:val="00AE5768"/>
    <w:rsid w:val="00AE5C0E"/>
    <w:rsid w:val="00AE646A"/>
    <w:rsid w:val="00AF02BD"/>
    <w:rsid w:val="00AF1CA0"/>
    <w:rsid w:val="00AF1D1D"/>
    <w:rsid w:val="00AF2AC8"/>
    <w:rsid w:val="00AF3930"/>
    <w:rsid w:val="00AF72C5"/>
    <w:rsid w:val="00B021B1"/>
    <w:rsid w:val="00B02E43"/>
    <w:rsid w:val="00B02FD8"/>
    <w:rsid w:val="00B05A3E"/>
    <w:rsid w:val="00B07469"/>
    <w:rsid w:val="00B07D0A"/>
    <w:rsid w:val="00B167F1"/>
    <w:rsid w:val="00B221CF"/>
    <w:rsid w:val="00B2245C"/>
    <w:rsid w:val="00B23A93"/>
    <w:rsid w:val="00B23D4C"/>
    <w:rsid w:val="00B25796"/>
    <w:rsid w:val="00B26484"/>
    <w:rsid w:val="00B33FAD"/>
    <w:rsid w:val="00B36174"/>
    <w:rsid w:val="00B41A9F"/>
    <w:rsid w:val="00B46291"/>
    <w:rsid w:val="00B52D6D"/>
    <w:rsid w:val="00B56344"/>
    <w:rsid w:val="00B565E2"/>
    <w:rsid w:val="00B56AF1"/>
    <w:rsid w:val="00B609AD"/>
    <w:rsid w:val="00B6187E"/>
    <w:rsid w:val="00B669A7"/>
    <w:rsid w:val="00B71C69"/>
    <w:rsid w:val="00B73435"/>
    <w:rsid w:val="00B73A60"/>
    <w:rsid w:val="00B76F57"/>
    <w:rsid w:val="00B77637"/>
    <w:rsid w:val="00B77D9A"/>
    <w:rsid w:val="00B81E73"/>
    <w:rsid w:val="00B826DD"/>
    <w:rsid w:val="00B85BAE"/>
    <w:rsid w:val="00B8626F"/>
    <w:rsid w:val="00B87F79"/>
    <w:rsid w:val="00B92005"/>
    <w:rsid w:val="00B93287"/>
    <w:rsid w:val="00B950F5"/>
    <w:rsid w:val="00B951E1"/>
    <w:rsid w:val="00B968CE"/>
    <w:rsid w:val="00B9724D"/>
    <w:rsid w:val="00BA05E4"/>
    <w:rsid w:val="00BA2528"/>
    <w:rsid w:val="00BA276F"/>
    <w:rsid w:val="00BA6195"/>
    <w:rsid w:val="00BA666F"/>
    <w:rsid w:val="00BB00ED"/>
    <w:rsid w:val="00BB5A26"/>
    <w:rsid w:val="00BC1C0C"/>
    <w:rsid w:val="00BC5464"/>
    <w:rsid w:val="00BD63CE"/>
    <w:rsid w:val="00BE3D28"/>
    <w:rsid w:val="00BE7EED"/>
    <w:rsid w:val="00BF0389"/>
    <w:rsid w:val="00BF3CC6"/>
    <w:rsid w:val="00BF40D6"/>
    <w:rsid w:val="00C103C1"/>
    <w:rsid w:val="00C1104E"/>
    <w:rsid w:val="00C12B7D"/>
    <w:rsid w:val="00C141AC"/>
    <w:rsid w:val="00C14937"/>
    <w:rsid w:val="00C2428B"/>
    <w:rsid w:val="00C242A2"/>
    <w:rsid w:val="00C249C1"/>
    <w:rsid w:val="00C32124"/>
    <w:rsid w:val="00C327E4"/>
    <w:rsid w:val="00C3461B"/>
    <w:rsid w:val="00C366A3"/>
    <w:rsid w:val="00C4156B"/>
    <w:rsid w:val="00C42196"/>
    <w:rsid w:val="00C46B73"/>
    <w:rsid w:val="00C50391"/>
    <w:rsid w:val="00C52A5C"/>
    <w:rsid w:val="00C53FBF"/>
    <w:rsid w:val="00C567F8"/>
    <w:rsid w:val="00C63813"/>
    <w:rsid w:val="00C64FFB"/>
    <w:rsid w:val="00C673CD"/>
    <w:rsid w:val="00C80817"/>
    <w:rsid w:val="00C82706"/>
    <w:rsid w:val="00C82A2D"/>
    <w:rsid w:val="00C84B50"/>
    <w:rsid w:val="00C91AAE"/>
    <w:rsid w:val="00C9556F"/>
    <w:rsid w:val="00C96C22"/>
    <w:rsid w:val="00CA120C"/>
    <w:rsid w:val="00CA1228"/>
    <w:rsid w:val="00CA4648"/>
    <w:rsid w:val="00CA6C7B"/>
    <w:rsid w:val="00CA7FE9"/>
    <w:rsid w:val="00CB2E2F"/>
    <w:rsid w:val="00CB3F03"/>
    <w:rsid w:val="00CB718E"/>
    <w:rsid w:val="00CB7C91"/>
    <w:rsid w:val="00CC15DE"/>
    <w:rsid w:val="00CC3041"/>
    <w:rsid w:val="00CC427C"/>
    <w:rsid w:val="00CC669F"/>
    <w:rsid w:val="00CD203F"/>
    <w:rsid w:val="00CD31BD"/>
    <w:rsid w:val="00CD49EF"/>
    <w:rsid w:val="00CE05E2"/>
    <w:rsid w:val="00CE0B2A"/>
    <w:rsid w:val="00CE41B2"/>
    <w:rsid w:val="00CE42AC"/>
    <w:rsid w:val="00CE6BF7"/>
    <w:rsid w:val="00CF10F6"/>
    <w:rsid w:val="00CF222E"/>
    <w:rsid w:val="00CF2CA6"/>
    <w:rsid w:val="00CF349C"/>
    <w:rsid w:val="00CF4026"/>
    <w:rsid w:val="00CF533A"/>
    <w:rsid w:val="00D016A7"/>
    <w:rsid w:val="00D0202D"/>
    <w:rsid w:val="00D0463C"/>
    <w:rsid w:val="00D057FB"/>
    <w:rsid w:val="00D059AD"/>
    <w:rsid w:val="00D0697C"/>
    <w:rsid w:val="00D1133A"/>
    <w:rsid w:val="00D11405"/>
    <w:rsid w:val="00D12936"/>
    <w:rsid w:val="00D16A4E"/>
    <w:rsid w:val="00D17BAB"/>
    <w:rsid w:val="00D2774C"/>
    <w:rsid w:val="00D3013A"/>
    <w:rsid w:val="00D36E49"/>
    <w:rsid w:val="00D43A9F"/>
    <w:rsid w:val="00D43B69"/>
    <w:rsid w:val="00D47D64"/>
    <w:rsid w:val="00D524B7"/>
    <w:rsid w:val="00D56CD5"/>
    <w:rsid w:val="00D57691"/>
    <w:rsid w:val="00D609B0"/>
    <w:rsid w:val="00D60D0A"/>
    <w:rsid w:val="00D6243F"/>
    <w:rsid w:val="00D6312A"/>
    <w:rsid w:val="00D6488E"/>
    <w:rsid w:val="00D71A4A"/>
    <w:rsid w:val="00D750E4"/>
    <w:rsid w:val="00D756FF"/>
    <w:rsid w:val="00D77560"/>
    <w:rsid w:val="00D81239"/>
    <w:rsid w:val="00D849FB"/>
    <w:rsid w:val="00D850F9"/>
    <w:rsid w:val="00D87FE2"/>
    <w:rsid w:val="00D9238E"/>
    <w:rsid w:val="00DA035A"/>
    <w:rsid w:val="00DA0996"/>
    <w:rsid w:val="00DA6F24"/>
    <w:rsid w:val="00DB1A77"/>
    <w:rsid w:val="00DB2D4A"/>
    <w:rsid w:val="00DB3A7C"/>
    <w:rsid w:val="00DB4878"/>
    <w:rsid w:val="00DB4BAC"/>
    <w:rsid w:val="00DC18FF"/>
    <w:rsid w:val="00DC40D3"/>
    <w:rsid w:val="00DC58FD"/>
    <w:rsid w:val="00DC5964"/>
    <w:rsid w:val="00DD1739"/>
    <w:rsid w:val="00DD3B7F"/>
    <w:rsid w:val="00DE0E1E"/>
    <w:rsid w:val="00DE42FB"/>
    <w:rsid w:val="00DE5DE0"/>
    <w:rsid w:val="00DF24A7"/>
    <w:rsid w:val="00DF2AFD"/>
    <w:rsid w:val="00E03D01"/>
    <w:rsid w:val="00E03E60"/>
    <w:rsid w:val="00E057D5"/>
    <w:rsid w:val="00E0670C"/>
    <w:rsid w:val="00E116DD"/>
    <w:rsid w:val="00E11A58"/>
    <w:rsid w:val="00E21668"/>
    <w:rsid w:val="00E21844"/>
    <w:rsid w:val="00E224E4"/>
    <w:rsid w:val="00E22832"/>
    <w:rsid w:val="00E22B6F"/>
    <w:rsid w:val="00E256BC"/>
    <w:rsid w:val="00E257DA"/>
    <w:rsid w:val="00E308FE"/>
    <w:rsid w:val="00E31EEC"/>
    <w:rsid w:val="00E3235E"/>
    <w:rsid w:val="00E345CD"/>
    <w:rsid w:val="00E36002"/>
    <w:rsid w:val="00E44C91"/>
    <w:rsid w:val="00E504CF"/>
    <w:rsid w:val="00E5072C"/>
    <w:rsid w:val="00E57B70"/>
    <w:rsid w:val="00E6035D"/>
    <w:rsid w:val="00E607AA"/>
    <w:rsid w:val="00E6241D"/>
    <w:rsid w:val="00E64619"/>
    <w:rsid w:val="00E67D0B"/>
    <w:rsid w:val="00E82438"/>
    <w:rsid w:val="00E84574"/>
    <w:rsid w:val="00E87465"/>
    <w:rsid w:val="00E90081"/>
    <w:rsid w:val="00E90E4C"/>
    <w:rsid w:val="00E95B31"/>
    <w:rsid w:val="00E96DA4"/>
    <w:rsid w:val="00EA5B1B"/>
    <w:rsid w:val="00EA664C"/>
    <w:rsid w:val="00EB699B"/>
    <w:rsid w:val="00EC0C31"/>
    <w:rsid w:val="00EC7181"/>
    <w:rsid w:val="00EE280B"/>
    <w:rsid w:val="00EE33E4"/>
    <w:rsid w:val="00EE770F"/>
    <w:rsid w:val="00EF0C86"/>
    <w:rsid w:val="00EF1D9B"/>
    <w:rsid w:val="00EF3341"/>
    <w:rsid w:val="00EF52EF"/>
    <w:rsid w:val="00F0363A"/>
    <w:rsid w:val="00F03F52"/>
    <w:rsid w:val="00F071DD"/>
    <w:rsid w:val="00F10DD7"/>
    <w:rsid w:val="00F11A03"/>
    <w:rsid w:val="00F147F5"/>
    <w:rsid w:val="00F16176"/>
    <w:rsid w:val="00F17511"/>
    <w:rsid w:val="00F24003"/>
    <w:rsid w:val="00F240AF"/>
    <w:rsid w:val="00F249F2"/>
    <w:rsid w:val="00F27255"/>
    <w:rsid w:val="00F30860"/>
    <w:rsid w:val="00F3130B"/>
    <w:rsid w:val="00F32F65"/>
    <w:rsid w:val="00F35599"/>
    <w:rsid w:val="00F36938"/>
    <w:rsid w:val="00F406AA"/>
    <w:rsid w:val="00F40D25"/>
    <w:rsid w:val="00F45313"/>
    <w:rsid w:val="00F50B91"/>
    <w:rsid w:val="00F55A34"/>
    <w:rsid w:val="00F57C0D"/>
    <w:rsid w:val="00F60288"/>
    <w:rsid w:val="00F63552"/>
    <w:rsid w:val="00F63C92"/>
    <w:rsid w:val="00F655F8"/>
    <w:rsid w:val="00F65AF2"/>
    <w:rsid w:val="00F729F5"/>
    <w:rsid w:val="00F7319F"/>
    <w:rsid w:val="00F74333"/>
    <w:rsid w:val="00F772A6"/>
    <w:rsid w:val="00F8167F"/>
    <w:rsid w:val="00F8178D"/>
    <w:rsid w:val="00F8486E"/>
    <w:rsid w:val="00F85A73"/>
    <w:rsid w:val="00F85AFE"/>
    <w:rsid w:val="00F87DF2"/>
    <w:rsid w:val="00F91EA1"/>
    <w:rsid w:val="00F95964"/>
    <w:rsid w:val="00F97099"/>
    <w:rsid w:val="00FA57F0"/>
    <w:rsid w:val="00FB203E"/>
    <w:rsid w:val="00FB45F2"/>
    <w:rsid w:val="00FB66D7"/>
    <w:rsid w:val="00FB6FFF"/>
    <w:rsid w:val="00FC57D0"/>
    <w:rsid w:val="00FC7D2D"/>
    <w:rsid w:val="00FD13CA"/>
    <w:rsid w:val="00FD261D"/>
    <w:rsid w:val="00FD4B71"/>
    <w:rsid w:val="00FE1A2E"/>
    <w:rsid w:val="00FF0E72"/>
    <w:rsid w:val="00FF32C4"/>
    <w:rsid w:val="00FF600E"/>
    <w:rsid w:val="00FF61D9"/>
    <w:rsid w:val="00FF6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C16E46-A897-4311-84B9-6CB1061E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85A73"/>
    <w:pPr>
      <w:spacing w:after="0" w:line="360" w:lineRule="auto"/>
      <w:ind w:firstLine="720"/>
      <w:jc w:val="both"/>
    </w:pPr>
    <w:rPr>
      <w:rFonts w:ascii="Times New Roman" w:eastAsia="Times New Roman" w:hAnsi="Times New Roman" w:cs="Times New Roman"/>
      <w:sz w:val="24"/>
      <w:szCs w:val="24"/>
      <w:lang w:val="cs" w:eastAsia="cs-CZ"/>
    </w:rPr>
  </w:style>
  <w:style w:type="paragraph" w:styleId="Nadpis1">
    <w:name w:val="heading 1"/>
    <w:basedOn w:val="Normln"/>
    <w:next w:val="Normln"/>
    <w:link w:val="Nadpis1Char"/>
    <w:uiPriority w:val="9"/>
    <w:qFormat/>
    <w:rsid w:val="00F655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F655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32FDD"/>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B4808"/>
    <w:pPr>
      <w:spacing w:line="240" w:lineRule="auto"/>
      <w:ind w:firstLine="0"/>
      <w:jc w:val="left"/>
    </w:pPr>
    <w:rPr>
      <w:rFonts w:asciiTheme="minorHAnsi" w:eastAsiaTheme="minorHAnsi" w:hAnsiTheme="minorHAnsi" w:cstheme="minorBidi"/>
      <w:sz w:val="20"/>
      <w:szCs w:val="20"/>
      <w:lang w:val="cs-CZ" w:eastAsia="en-US"/>
    </w:rPr>
  </w:style>
  <w:style w:type="character" w:customStyle="1" w:styleId="TextpoznpodarouChar">
    <w:name w:val="Text pozn. pod čarou Char"/>
    <w:basedOn w:val="Standardnpsmoodstavce"/>
    <w:link w:val="Textpoznpodarou"/>
    <w:uiPriority w:val="99"/>
    <w:semiHidden/>
    <w:rsid w:val="003B4808"/>
    <w:rPr>
      <w:sz w:val="20"/>
      <w:szCs w:val="20"/>
    </w:rPr>
  </w:style>
  <w:style w:type="character" w:styleId="Znakapoznpodarou">
    <w:name w:val="footnote reference"/>
    <w:basedOn w:val="Standardnpsmoodstavce"/>
    <w:uiPriority w:val="99"/>
    <w:semiHidden/>
    <w:unhideWhenUsed/>
    <w:rsid w:val="003B4808"/>
    <w:rPr>
      <w:vertAlign w:val="superscript"/>
    </w:rPr>
  </w:style>
  <w:style w:type="character" w:customStyle="1" w:styleId="Nadpis1Char">
    <w:name w:val="Nadpis 1 Char"/>
    <w:basedOn w:val="Standardnpsmoodstavce"/>
    <w:link w:val="Nadpis1"/>
    <w:uiPriority w:val="9"/>
    <w:rsid w:val="00F655F8"/>
    <w:rPr>
      <w:rFonts w:asciiTheme="majorHAnsi" w:eastAsiaTheme="majorEastAsia" w:hAnsiTheme="majorHAnsi" w:cstheme="majorBidi"/>
      <w:color w:val="2E74B5" w:themeColor="accent1" w:themeShade="BF"/>
      <w:sz w:val="32"/>
      <w:szCs w:val="32"/>
      <w:lang w:val="cs" w:eastAsia="cs-CZ"/>
    </w:rPr>
  </w:style>
  <w:style w:type="character" w:customStyle="1" w:styleId="Nadpis2Char">
    <w:name w:val="Nadpis 2 Char"/>
    <w:basedOn w:val="Standardnpsmoodstavce"/>
    <w:link w:val="Nadpis2"/>
    <w:uiPriority w:val="9"/>
    <w:rsid w:val="00F655F8"/>
    <w:rPr>
      <w:rFonts w:asciiTheme="majorHAnsi" w:eastAsiaTheme="majorEastAsia" w:hAnsiTheme="majorHAnsi" w:cstheme="majorBidi"/>
      <w:color w:val="2E74B5" w:themeColor="accent1" w:themeShade="BF"/>
      <w:sz w:val="26"/>
      <w:szCs w:val="26"/>
      <w:lang w:val="cs" w:eastAsia="cs-CZ"/>
    </w:rPr>
  </w:style>
  <w:style w:type="paragraph" w:styleId="Nadpisobsahu">
    <w:name w:val="TOC Heading"/>
    <w:basedOn w:val="Nadpis1"/>
    <w:next w:val="Normln"/>
    <w:uiPriority w:val="39"/>
    <w:unhideWhenUsed/>
    <w:qFormat/>
    <w:rsid w:val="00F655F8"/>
    <w:pPr>
      <w:spacing w:line="259" w:lineRule="auto"/>
      <w:ind w:firstLine="0"/>
      <w:jc w:val="left"/>
      <w:outlineLvl w:val="9"/>
    </w:pPr>
    <w:rPr>
      <w:lang w:val="cs-CZ"/>
    </w:rPr>
  </w:style>
  <w:style w:type="paragraph" w:styleId="Obsah1">
    <w:name w:val="toc 1"/>
    <w:basedOn w:val="Normln"/>
    <w:next w:val="Normln"/>
    <w:autoRedefine/>
    <w:uiPriority w:val="39"/>
    <w:unhideWhenUsed/>
    <w:rsid w:val="00F655F8"/>
    <w:pPr>
      <w:spacing w:after="100"/>
    </w:pPr>
  </w:style>
  <w:style w:type="paragraph" w:styleId="Obsah2">
    <w:name w:val="toc 2"/>
    <w:basedOn w:val="Normln"/>
    <w:next w:val="Normln"/>
    <w:autoRedefine/>
    <w:uiPriority w:val="39"/>
    <w:unhideWhenUsed/>
    <w:rsid w:val="00F655F8"/>
    <w:pPr>
      <w:spacing w:after="100"/>
      <w:ind w:left="240"/>
    </w:pPr>
  </w:style>
  <w:style w:type="character" w:styleId="Hypertextovodkaz">
    <w:name w:val="Hyperlink"/>
    <w:basedOn w:val="Standardnpsmoodstavce"/>
    <w:uiPriority w:val="99"/>
    <w:unhideWhenUsed/>
    <w:rsid w:val="00F655F8"/>
    <w:rPr>
      <w:color w:val="0563C1" w:themeColor="hyperlink"/>
      <w:u w:val="single"/>
    </w:rPr>
  </w:style>
  <w:style w:type="paragraph" w:styleId="Bezmezer">
    <w:name w:val="No Spacing"/>
    <w:uiPriority w:val="1"/>
    <w:qFormat/>
    <w:rsid w:val="00C327E4"/>
    <w:pPr>
      <w:spacing w:after="0" w:line="240" w:lineRule="auto"/>
      <w:ind w:firstLine="720"/>
      <w:jc w:val="both"/>
    </w:pPr>
    <w:rPr>
      <w:rFonts w:ascii="Times New Roman" w:eastAsia="Times New Roman" w:hAnsi="Times New Roman" w:cs="Times New Roman"/>
      <w:sz w:val="24"/>
      <w:szCs w:val="24"/>
      <w:lang w:val="cs" w:eastAsia="cs-CZ"/>
    </w:rPr>
  </w:style>
  <w:style w:type="table" w:styleId="Mkatabulky">
    <w:name w:val="Table Grid"/>
    <w:basedOn w:val="Normlntabulka"/>
    <w:uiPriority w:val="39"/>
    <w:rsid w:val="001F7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1B79CF"/>
    <w:pPr>
      <w:spacing w:before="100" w:beforeAutospacing="1" w:after="100" w:afterAutospacing="1" w:line="240" w:lineRule="auto"/>
      <w:ind w:firstLine="0"/>
      <w:jc w:val="left"/>
    </w:pPr>
    <w:rPr>
      <w:lang w:val="cs-CZ"/>
    </w:rPr>
  </w:style>
  <w:style w:type="character" w:customStyle="1" w:styleId="Nadpis3Char">
    <w:name w:val="Nadpis 3 Char"/>
    <w:basedOn w:val="Standardnpsmoodstavce"/>
    <w:link w:val="Nadpis3"/>
    <w:uiPriority w:val="9"/>
    <w:rsid w:val="00732FDD"/>
    <w:rPr>
      <w:rFonts w:asciiTheme="majorHAnsi" w:eastAsiaTheme="majorEastAsia" w:hAnsiTheme="majorHAnsi" w:cstheme="majorBidi"/>
      <w:color w:val="1F4D78" w:themeColor="accent1" w:themeShade="7F"/>
      <w:sz w:val="24"/>
      <w:szCs w:val="24"/>
      <w:lang w:val="cs" w:eastAsia="cs-CZ"/>
    </w:rPr>
  </w:style>
  <w:style w:type="paragraph" w:styleId="Obsah3">
    <w:name w:val="toc 3"/>
    <w:basedOn w:val="Normln"/>
    <w:next w:val="Normln"/>
    <w:autoRedefine/>
    <w:uiPriority w:val="39"/>
    <w:unhideWhenUsed/>
    <w:rsid w:val="00732FDD"/>
    <w:pPr>
      <w:spacing w:after="100"/>
      <w:ind w:left="480"/>
    </w:pPr>
  </w:style>
  <w:style w:type="character" w:styleId="Zstupntext">
    <w:name w:val="Placeholder Text"/>
    <w:basedOn w:val="Standardnpsmoodstavce"/>
    <w:uiPriority w:val="99"/>
    <w:semiHidden/>
    <w:rsid w:val="006F00A8"/>
    <w:rPr>
      <w:color w:val="808080"/>
    </w:rPr>
  </w:style>
  <w:style w:type="character" w:styleId="Odkaznakoment">
    <w:name w:val="annotation reference"/>
    <w:basedOn w:val="Standardnpsmoodstavce"/>
    <w:uiPriority w:val="99"/>
    <w:semiHidden/>
    <w:unhideWhenUsed/>
    <w:rsid w:val="001D509A"/>
    <w:rPr>
      <w:sz w:val="16"/>
      <w:szCs w:val="16"/>
    </w:rPr>
  </w:style>
  <w:style w:type="paragraph" w:styleId="Textkomente">
    <w:name w:val="annotation text"/>
    <w:basedOn w:val="Normln"/>
    <w:link w:val="TextkomenteChar"/>
    <w:uiPriority w:val="99"/>
    <w:semiHidden/>
    <w:unhideWhenUsed/>
    <w:rsid w:val="001D509A"/>
    <w:pPr>
      <w:spacing w:line="240" w:lineRule="auto"/>
    </w:pPr>
    <w:rPr>
      <w:sz w:val="20"/>
      <w:szCs w:val="20"/>
    </w:rPr>
  </w:style>
  <w:style w:type="character" w:customStyle="1" w:styleId="TextkomenteChar">
    <w:name w:val="Text komentáře Char"/>
    <w:basedOn w:val="Standardnpsmoodstavce"/>
    <w:link w:val="Textkomente"/>
    <w:uiPriority w:val="99"/>
    <w:semiHidden/>
    <w:rsid w:val="001D509A"/>
    <w:rPr>
      <w:rFonts w:ascii="Times New Roman" w:eastAsia="Times New Roman" w:hAnsi="Times New Roman" w:cs="Times New Roman"/>
      <w:sz w:val="20"/>
      <w:szCs w:val="20"/>
      <w:lang w:val="cs" w:eastAsia="cs-CZ"/>
    </w:rPr>
  </w:style>
  <w:style w:type="paragraph" w:styleId="Pedmtkomente">
    <w:name w:val="annotation subject"/>
    <w:basedOn w:val="Textkomente"/>
    <w:next w:val="Textkomente"/>
    <w:link w:val="PedmtkomenteChar"/>
    <w:uiPriority w:val="99"/>
    <w:semiHidden/>
    <w:unhideWhenUsed/>
    <w:rsid w:val="001D509A"/>
    <w:rPr>
      <w:b/>
      <w:bCs/>
    </w:rPr>
  </w:style>
  <w:style w:type="character" w:customStyle="1" w:styleId="PedmtkomenteChar">
    <w:name w:val="Předmět komentáře Char"/>
    <w:basedOn w:val="TextkomenteChar"/>
    <w:link w:val="Pedmtkomente"/>
    <w:uiPriority w:val="99"/>
    <w:semiHidden/>
    <w:rsid w:val="001D509A"/>
    <w:rPr>
      <w:rFonts w:ascii="Times New Roman" w:eastAsia="Times New Roman" w:hAnsi="Times New Roman" w:cs="Times New Roman"/>
      <w:b/>
      <w:bCs/>
      <w:sz w:val="20"/>
      <w:szCs w:val="20"/>
      <w:lang w:val="cs" w:eastAsia="cs-CZ"/>
    </w:rPr>
  </w:style>
  <w:style w:type="paragraph" w:styleId="Textbubliny">
    <w:name w:val="Balloon Text"/>
    <w:basedOn w:val="Normln"/>
    <w:link w:val="TextbublinyChar"/>
    <w:uiPriority w:val="99"/>
    <w:semiHidden/>
    <w:unhideWhenUsed/>
    <w:rsid w:val="001D509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509A"/>
    <w:rPr>
      <w:rFonts w:ascii="Segoe UI" w:eastAsia="Times New Roman" w:hAnsi="Segoe UI" w:cs="Segoe UI"/>
      <w:sz w:val="18"/>
      <w:szCs w:val="18"/>
      <w:lang w:val="cs" w:eastAsia="cs-CZ"/>
    </w:rPr>
  </w:style>
  <w:style w:type="paragraph" w:styleId="Titulek">
    <w:name w:val="caption"/>
    <w:basedOn w:val="Normln"/>
    <w:next w:val="Normln"/>
    <w:uiPriority w:val="35"/>
    <w:unhideWhenUsed/>
    <w:qFormat/>
    <w:rsid w:val="00994D5B"/>
    <w:pPr>
      <w:spacing w:after="200" w:line="240" w:lineRule="auto"/>
    </w:pPr>
    <w:rPr>
      <w:i/>
      <w:iCs/>
      <w:color w:val="44546A" w:themeColor="text2"/>
      <w:sz w:val="18"/>
      <w:szCs w:val="18"/>
    </w:rPr>
  </w:style>
  <w:style w:type="paragraph" w:styleId="Zhlav">
    <w:name w:val="header"/>
    <w:basedOn w:val="Normln"/>
    <w:link w:val="ZhlavChar"/>
    <w:uiPriority w:val="99"/>
    <w:unhideWhenUsed/>
    <w:rsid w:val="006A14A9"/>
    <w:pPr>
      <w:tabs>
        <w:tab w:val="center" w:pos="4536"/>
        <w:tab w:val="right" w:pos="9072"/>
      </w:tabs>
      <w:spacing w:line="240" w:lineRule="auto"/>
    </w:pPr>
  </w:style>
  <w:style w:type="character" w:customStyle="1" w:styleId="ZhlavChar">
    <w:name w:val="Záhlaví Char"/>
    <w:basedOn w:val="Standardnpsmoodstavce"/>
    <w:link w:val="Zhlav"/>
    <w:uiPriority w:val="99"/>
    <w:rsid w:val="006A14A9"/>
    <w:rPr>
      <w:rFonts w:ascii="Times New Roman" w:eastAsia="Times New Roman" w:hAnsi="Times New Roman" w:cs="Times New Roman"/>
      <w:sz w:val="24"/>
      <w:szCs w:val="24"/>
      <w:lang w:val="cs" w:eastAsia="cs-CZ"/>
    </w:rPr>
  </w:style>
  <w:style w:type="paragraph" w:styleId="Zpat">
    <w:name w:val="footer"/>
    <w:basedOn w:val="Normln"/>
    <w:link w:val="ZpatChar"/>
    <w:uiPriority w:val="99"/>
    <w:unhideWhenUsed/>
    <w:rsid w:val="006A14A9"/>
    <w:pPr>
      <w:tabs>
        <w:tab w:val="center" w:pos="4536"/>
        <w:tab w:val="right" w:pos="9072"/>
      </w:tabs>
      <w:spacing w:line="240" w:lineRule="auto"/>
    </w:pPr>
  </w:style>
  <w:style w:type="character" w:customStyle="1" w:styleId="ZpatChar">
    <w:name w:val="Zápatí Char"/>
    <w:basedOn w:val="Standardnpsmoodstavce"/>
    <w:link w:val="Zpat"/>
    <w:uiPriority w:val="99"/>
    <w:rsid w:val="006A14A9"/>
    <w:rPr>
      <w:rFonts w:ascii="Times New Roman" w:eastAsia="Times New Roman" w:hAnsi="Times New Roman" w:cs="Times New Roman"/>
      <w:sz w:val="24"/>
      <w:szCs w:val="24"/>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60248">
      <w:bodyDiv w:val="1"/>
      <w:marLeft w:val="0"/>
      <w:marRight w:val="0"/>
      <w:marTop w:val="0"/>
      <w:marBottom w:val="0"/>
      <w:divBdr>
        <w:top w:val="none" w:sz="0" w:space="0" w:color="auto"/>
        <w:left w:val="none" w:sz="0" w:space="0" w:color="auto"/>
        <w:bottom w:val="none" w:sz="0" w:space="0" w:color="auto"/>
        <w:right w:val="none" w:sz="0" w:space="0" w:color="auto"/>
      </w:divBdr>
    </w:div>
    <w:div w:id="547449941">
      <w:bodyDiv w:val="1"/>
      <w:marLeft w:val="0"/>
      <w:marRight w:val="0"/>
      <w:marTop w:val="0"/>
      <w:marBottom w:val="0"/>
      <w:divBdr>
        <w:top w:val="none" w:sz="0" w:space="0" w:color="auto"/>
        <w:left w:val="none" w:sz="0" w:space="0" w:color="auto"/>
        <w:bottom w:val="none" w:sz="0" w:space="0" w:color="auto"/>
        <w:right w:val="none" w:sz="0" w:space="0" w:color="auto"/>
      </w:divBdr>
    </w:div>
    <w:div w:id="568688607">
      <w:bodyDiv w:val="1"/>
      <w:marLeft w:val="0"/>
      <w:marRight w:val="0"/>
      <w:marTop w:val="0"/>
      <w:marBottom w:val="0"/>
      <w:divBdr>
        <w:top w:val="none" w:sz="0" w:space="0" w:color="auto"/>
        <w:left w:val="none" w:sz="0" w:space="0" w:color="auto"/>
        <w:bottom w:val="none" w:sz="0" w:space="0" w:color="auto"/>
        <w:right w:val="none" w:sz="0" w:space="0" w:color="auto"/>
      </w:divBdr>
    </w:div>
    <w:div w:id="974717053">
      <w:bodyDiv w:val="1"/>
      <w:marLeft w:val="0"/>
      <w:marRight w:val="0"/>
      <w:marTop w:val="0"/>
      <w:marBottom w:val="0"/>
      <w:divBdr>
        <w:top w:val="none" w:sz="0" w:space="0" w:color="auto"/>
        <w:left w:val="none" w:sz="0" w:space="0" w:color="auto"/>
        <w:bottom w:val="none" w:sz="0" w:space="0" w:color="auto"/>
        <w:right w:val="none" w:sz="0" w:space="0" w:color="auto"/>
      </w:divBdr>
    </w:div>
    <w:div w:id="1035959401">
      <w:bodyDiv w:val="1"/>
      <w:marLeft w:val="0"/>
      <w:marRight w:val="0"/>
      <w:marTop w:val="0"/>
      <w:marBottom w:val="0"/>
      <w:divBdr>
        <w:top w:val="none" w:sz="0" w:space="0" w:color="auto"/>
        <w:left w:val="none" w:sz="0" w:space="0" w:color="auto"/>
        <w:bottom w:val="none" w:sz="0" w:space="0" w:color="auto"/>
        <w:right w:val="none" w:sz="0" w:space="0" w:color="auto"/>
      </w:divBdr>
      <w:divsChild>
        <w:div w:id="428240738">
          <w:marLeft w:val="547"/>
          <w:marRight w:val="0"/>
          <w:marTop w:val="0"/>
          <w:marBottom w:val="0"/>
          <w:divBdr>
            <w:top w:val="none" w:sz="0" w:space="0" w:color="auto"/>
            <w:left w:val="none" w:sz="0" w:space="0" w:color="auto"/>
            <w:bottom w:val="none" w:sz="0" w:space="0" w:color="auto"/>
            <w:right w:val="none" w:sz="0" w:space="0" w:color="auto"/>
          </w:divBdr>
        </w:div>
      </w:divsChild>
    </w:div>
    <w:div w:id="1115831930">
      <w:bodyDiv w:val="1"/>
      <w:marLeft w:val="0"/>
      <w:marRight w:val="0"/>
      <w:marTop w:val="0"/>
      <w:marBottom w:val="0"/>
      <w:divBdr>
        <w:top w:val="none" w:sz="0" w:space="0" w:color="auto"/>
        <w:left w:val="none" w:sz="0" w:space="0" w:color="auto"/>
        <w:bottom w:val="none" w:sz="0" w:space="0" w:color="auto"/>
        <w:right w:val="none" w:sz="0" w:space="0" w:color="auto"/>
      </w:divBdr>
    </w:div>
    <w:div w:id="1606381270">
      <w:bodyDiv w:val="1"/>
      <w:marLeft w:val="0"/>
      <w:marRight w:val="0"/>
      <w:marTop w:val="0"/>
      <w:marBottom w:val="0"/>
      <w:divBdr>
        <w:top w:val="none" w:sz="0" w:space="0" w:color="auto"/>
        <w:left w:val="none" w:sz="0" w:space="0" w:color="auto"/>
        <w:bottom w:val="none" w:sz="0" w:space="0" w:color="auto"/>
        <w:right w:val="none" w:sz="0" w:space="0" w:color="auto"/>
      </w:divBdr>
    </w:div>
    <w:div w:id="1910536741">
      <w:bodyDiv w:val="1"/>
      <w:marLeft w:val="0"/>
      <w:marRight w:val="0"/>
      <w:marTop w:val="0"/>
      <w:marBottom w:val="0"/>
      <w:divBdr>
        <w:top w:val="none" w:sz="0" w:space="0" w:color="auto"/>
        <w:left w:val="none" w:sz="0" w:space="0" w:color="auto"/>
        <w:bottom w:val="none" w:sz="0" w:space="0" w:color="auto"/>
        <w:right w:val="none" w:sz="0" w:space="0" w:color="auto"/>
      </w:divBdr>
      <w:divsChild>
        <w:div w:id="1099837112">
          <w:marLeft w:val="547"/>
          <w:marRight w:val="0"/>
          <w:marTop w:val="0"/>
          <w:marBottom w:val="0"/>
          <w:divBdr>
            <w:top w:val="none" w:sz="0" w:space="0" w:color="auto"/>
            <w:left w:val="none" w:sz="0" w:space="0" w:color="auto"/>
            <w:bottom w:val="none" w:sz="0" w:space="0" w:color="auto"/>
            <w:right w:val="none" w:sz="0" w:space="0" w:color="auto"/>
          </w:divBdr>
        </w:div>
      </w:divsChild>
    </w:div>
    <w:div w:id="2010210383">
      <w:bodyDiv w:val="1"/>
      <w:marLeft w:val="0"/>
      <w:marRight w:val="0"/>
      <w:marTop w:val="0"/>
      <w:marBottom w:val="0"/>
      <w:divBdr>
        <w:top w:val="none" w:sz="0" w:space="0" w:color="auto"/>
        <w:left w:val="none" w:sz="0" w:space="0" w:color="auto"/>
        <w:bottom w:val="none" w:sz="0" w:space="0" w:color="auto"/>
        <w:right w:val="none" w:sz="0" w:space="0" w:color="auto"/>
      </w:divBdr>
      <w:divsChild>
        <w:div w:id="2105880105">
          <w:marLeft w:val="547"/>
          <w:marRight w:val="0"/>
          <w:marTop w:val="0"/>
          <w:marBottom w:val="0"/>
          <w:divBdr>
            <w:top w:val="none" w:sz="0" w:space="0" w:color="auto"/>
            <w:left w:val="none" w:sz="0" w:space="0" w:color="auto"/>
            <w:bottom w:val="none" w:sz="0" w:space="0" w:color="auto"/>
            <w:right w:val="none" w:sz="0" w:space="0" w:color="auto"/>
          </w:divBdr>
        </w:div>
      </w:divsChild>
    </w:div>
    <w:div w:id="2049252818">
      <w:bodyDiv w:val="1"/>
      <w:marLeft w:val="0"/>
      <w:marRight w:val="0"/>
      <w:marTop w:val="0"/>
      <w:marBottom w:val="0"/>
      <w:divBdr>
        <w:top w:val="none" w:sz="0" w:space="0" w:color="auto"/>
        <w:left w:val="none" w:sz="0" w:space="0" w:color="auto"/>
        <w:bottom w:val="none" w:sz="0" w:space="0" w:color="auto"/>
        <w:right w:val="none" w:sz="0" w:space="0" w:color="auto"/>
      </w:divBdr>
      <w:divsChild>
        <w:div w:id="1424909989">
          <w:marLeft w:val="547"/>
          <w:marRight w:val="0"/>
          <w:marTop w:val="0"/>
          <w:marBottom w:val="0"/>
          <w:divBdr>
            <w:top w:val="none" w:sz="0" w:space="0" w:color="auto"/>
            <w:left w:val="none" w:sz="0" w:space="0" w:color="auto"/>
            <w:bottom w:val="none" w:sz="0" w:space="0" w:color="auto"/>
            <w:right w:val="none" w:sz="0" w:space="0" w:color="auto"/>
          </w:divBdr>
        </w:div>
      </w:divsChild>
    </w:div>
    <w:div w:id="207666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Colors" Target="diagrams/colors3.xml"/><Relationship Id="rId39" Type="http://schemas.openxmlformats.org/officeDocument/2006/relationships/hyperlink" Target="https://doi.org/10.1163/18763324-04401004" TargetMode="External"/><Relationship Id="rId21" Type="http://schemas.openxmlformats.org/officeDocument/2006/relationships/image" Target="media/image2.png"/><Relationship Id="rId34" Type="http://schemas.openxmlformats.org/officeDocument/2006/relationships/hyperlink" Target="https://doi.org/10.1080/003132201128811278" TargetMode="External"/><Relationship Id="rId42" Type="http://schemas.openxmlformats.org/officeDocument/2006/relationships/hyperlink" Target="https://www.ecb.europa.eu/press/economic-bulletin/focus/2022/html/ecb.ebbox202201_04~63d8786255.en.html" TargetMode="External"/><Relationship Id="rId47" Type="http://schemas.openxmlformats.org/officeDocument/2006/relationships/hyperlink" Target="https://www.europarl.europa.eu/factsheets/cs/sheet/167/rozsirovani-unie" TargetMode="External"/><Relationship Id="rId50" Type="http://schemas.openxmlformats.org/officeDocument/2006/relationships/hyperlink" Target="https://www.armyupress.army.mil/Portals/7/military-review/Archives/English/MilitaryReview_20161231_art007.pdf" TargetMode="External"/><Relationship Id="rId55" Type="http://schemas.openxmlformats.org/officeDocument/2006/relationships/hyperlink" Target="https://cepa.org/article/poland-becomes-a-defense-colossus/" TargetMode="External"/><Relationship Id="rId63" Type="http://schemas.openxmlformats.org/officeDocument/2006/relationships/hyperlink" Target="https://v-dem.net/documents/43/v-dem_dr2024_lowres.pdf" TargetMode="External"/><Relationship Id="rId68" Type="http://schemas.openxmlformats.org/officeDocument/2006/relationships/hyperlink" Target="http://en.kremlin.ru/events/president/news/66181" TargetMode="External"/><Relationship Id="rId76" Type="http://schemas.openxmlformats.org/officeDocument/2006/relationships/hyperlink" Target="https://doi.org/10.1163/18763324-04401006" TargetMode="External"/><Relationship Id="rId84" Type="http://schemas.openxmlformats.org/officeDocument/2006/relationships/hyperlink" Target="https://www.v-dem.net/documents/29/V-dem_democracyreport2023_lowres.pdf" TargetMode="External"/><Relationship Id="rId89" Type="http://schemas.openxmlformats.org/officeDocument/2006/relationships/hyperlink" Target="https://data.worldbank.org/indicator/NY.GDP.MKTP.CD?end=2022&amp;start=2004&amp;view=map" TargetMode="External"/><Relationship Id="rId7" Type="http://schemas.openxmlformats.org/officeDocument/2006/relationships/endnotes" Target="endnotes.xml"/><Relationship Id="rId71" Type="http://schemas.openxmlformats.org/officeDocument/2006/relationships/hyperlink" Target="https://doi.org/10.1017/S0007123423000431"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image" Target="media/image5.png"/><Relationship Id="rId11" Type="http://schemas.openxmlformats.org/officeDocument/2006/relationships/diagramData" Target="diagrams/data1.xml"/><Relationship Id="rId24" Type="http://schemas.openxmlformats.org/officeDocument/2006/relationships/diagramLayout" Target="diagrams/layout3.xml"/><Relationship Id="rId32" Type="http://schemas.openxmlformats.org/officeDocument/2006/relationships/hyperlink" Target="https://www.rferl.org/a/1102012.html" TargetMode="External"/><Relationship Id="rId37" Type="http://schemas.openxmlformats.org/officeDocument/2006/relationships/hyperlink" Target="https://archiv.hn.cz/c1-67107210-krok-k-vetsi-energeticke-bezpecnosti-polsko-a-slovensko-spojil-plynovod" TargetMode="External"/><Relationship Id="rId40" Type="http://schemas.openxmlformats.org/officeDocument/2006/relationships/hyperlink" Target="https://www.migracje.uw.edu.pl/wp-content/uploads/2022/04/Spotlight-APRIL-2022.pdf" TargetMode="External"/><Relationship Id="rId45" Type="http://schemas.openxmlformats.org/officeDocument/2006/relationships/hyperlink" Target="https://ec.europa.eu/eurostat/databrowser/view/tps00001/default/table?lang=en&amp;category=t_demo.t_demo_pop" TargetMode="External"/><Relationship Id="rId53" Type="http://schemas.openxmlformats.org/officeDocument/2006/relationships/hyperlink" Target="https://dx.doi.org/10.2139/ssrn.1334620" TargetMode="External"/><Relationship Id="rId58" Type="http://schemas.openxmlformats.org/officeDocument/2006/relationships/hyperlink" Target="https://www.eurasian-research.org/publication/old-europe-new-europe-and-the-associated-trio/" TargetMode="External"/><Relationship Id="rId66" Type="http://schemas.openxmlformats.org/officeDocument/2006/relationships/hyperlink" Target="https://time.com/6150046/ukraine-statehood-russia-history-putin/" TargetMode="External"/><Relationship Id="rId74" Type="http://schemas.openxmlformats.org/officeDocument/2006/relationships/hyperlink" Target="https://doi.org/10.1177/073889429601500202" TargetMode="External"/><Relationship Id="rId79" Type="http://schemas.openxmlformats.org/officeDocument/2006/relationships/hyperlink" Target="https://doi.org/10.1080/10242694.2023.2221877" TargetMode="External"/><Relationship Id="rId87" Type="http://schemas.openxmlformats.org/officeDocument/2006/relationships/hyperlink" Target="https://doi.org/10.1177/0047117820944430" TargetMode="External"/><Relationship Id="rId5" Type="http://schemas.openxmlformats.org/officeDocument/2006/relationships/webSettings" Target="webSettings.xml"/><Relationship Id="rId61" Type="http://schemas.openxmlformats.org/officeDocument/2006/relationships/hyperlink" Target="https://www.nato.int/cps/en/natohq/news_222664.htm" TargetMode="External"/><Relationship Id="rId82" Type="http://schemas.openxmlformats.org/officeDocument/2006/relationships/hyperlink" Target="https://digitallibrary.un.org/record/767565" TargetMode="External"/><Relationship Id="rId90" Type="http://schemas.openxmlformats.org/officeDocument/2006/relationships/hyperlink" Target="https://www.bruegel.org/blog-post/preparing-first-winter-without-russian-gas" TargetMode="Externa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image" Target="media/image3.png"/><Relationship Id="rId27" Type="http://schemas.microsoft.com/office/2007/relationships/diagramDrawing" Target="diagrams/drawing3.xml"/><Relationship Id="rId30" Type="http://schemas.openxmlformats.org/officeDocument/2006/relationships/hyperlink" Target="https://doi.org/10.1163/18763324-04401005" TargetMode="External"/><Relationship Id="rId35" Type="http://schemas.openxmlformats.org/officeDocument/2006/relationships/hyperlink" Target="https://doi.org/10.2478/picbe-2023-0019" TargetMode="External"/><Relationship Id="rId43" Type="http://schemas.openxmlformats.org/officeDocument/2006/relationships/hyperlink" Target="https://europa.eu/documents/comm/green_papers/pdf/com2006_105_en.pdf" TargetMode="External"/><Relationship Id="rId48" Type="http://schemas.openxmlformats.org/officeDocument/2006/relationships/hyperlink" Target="https://doi.org/10.1177/019791839502900401" TargetMode="External"/><Relationship Id="rId56" Type="http://schemas.openxmlformats.org/officeDocument/2006/relationships/hyperlink" Target="https://doi.org/10.1080/1060586X.2022.2162758" TargetMode="External"/><Relationship Id="rId64" Type="http://schemas.openxmlformats.org/officeDocument/2006/relationships/hyperlink" Target="https://doi.org/10.1017/9781009006781" TargetMode="External"/><Relationship Id="rId69" Type="http://schemas.openxmlformats.org/officeDocument/2006/relationships/hyperlink" Target="https://data.consilium.europa.eu/doc/document/ST-7371-2022-INIT/cs/pdf" TargetMode="External"/><Relationship Id="rId77" Type="http://schemas.openxmlformats.org/officeDocument/2006/relationships/hyperlink" Target="https://doi.org/10.33182/ml.v19i4.2313" TargetMode="External"/><Relationship Id="rId8" Type="http://schemas.openxmlformats.org/officeDocument/2006/relationships/footer" Target="footer1.xml"/><Relationship Id="rId51" Type="http://schemas.openxmlformats.org/officeDocument/2006/relationships/hyperlink" Target="https://doi.org/10.1111/j.1747-7379.2004.tb00223.x" TargetMode="External"/><Relationship Id="rId72" Type="http://schemas.openxmlformats.org/officeDocument/2006/relationships/hyperlink" Target="http://compasss.org/wp-content/uploads/2019/07/Common_Errors_in_QCA.pdf" TargetMode="External"/><Relationship Id="rId80" Type="http://schemas.openxmlformats.org/officeDocument/2006/relationships/hyperlink" Target="https://www.theguardian.com/commentisfree/2024/feb/17/poland-russia-vladimir-putin-donald-tusk" TargetMode="External"/><Relationship Id="rId85" Type="http://schemas.openxmlformats.org/officeDocument/2006/relationships/hyperlink" Target="https://www.icmpd.org/blog/2015/2015-in-review-how-europe-reacted-to-the-refugee-crisis"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QuickStyle" Target="diagrams/quickStyle3.xml"/><Relationship Id="rId33" Type="http://schemas.openxmlformats.org/officeDocument/2006/relationships/hyperlink" Target="https://www.nato-pa.int/document/2023-energy-security-report-baldwin-023-esc" TargetMode="External"/><Relationship Id="rId38" Type="http://schemas.openxmlformats.org/officeDocument/2006/relationships/hyperlink" Target="https://www.distance.to/" TargetMode="External"/><Relationship Id="rId46" Type="http://schemas.openxmlformats.org/officeDocument/2006/relationships/hyperlink" Target="https://www.consilium.europa.eu/cs/policies/eu-response-ukraine-invasion/" TargetMode="External"/><Relationship Id="rId59" Type="http://schemas.openxmlformats.org/officeDocument/2006/relationships/hyperlink" Target="https://doi.org/10.3390/su15075617" TargetMode="External"/><Relationship Id="rId67" Type="http://schemas.openxmlformats.org/officeDocument/2006/relationships/hyperlink" Target="https://pie.net.pl/en/poland-leads-the-way-in-europe-by-reducing-its-dependence-on-russian-gas/" TargetMode="External"/><Relationship Id="rId20" Type="http://schemas.microsoft.com/office/2007/relationships/diagramDrawing" Target="diagrams/drawing2.xml"/><Relationship Id="rId41" Type="http://schemas.openxmlformats.org/officeDocument/2006/relationships/hyperlink" Target="https://www.eesi.org/topics/fossil-fuels/description" TargetMode="External"/><Relationship Id="rId54" Type="http://schemas.openxmlformats.org/officeDocument/2006/relationships/hyperlink" Target="https://doi.org/10.1016/j.enpol.2009.10.039" TargetMode="External"/><Relationship Id="rId62" Type="http://schemas.openxmlformats.org/officeDocument/2006/relationships/hyperlink" Target="https://doi.org/10.1186/s40878-018-0075-8" TargetMode="External"/><Relationship Id="rId70" Type="http://schemas.openxmlformats.org/officeDocument/2006/relationships/hyperlink" Target="https://www.consilium.europa.eu/en/infographics/eu-gas-supply/" TargetMode="External"/><Relationship Id="rId75" Type="http://schemas.openxmlformats.org/officeDocument/2006/relationships/hyperlink" Target="http://www.sipriyearbook.org" TargetMode="External"/><Relationship Id="rId83" Type="http://schemas.openxmlformats.org/officeDocument/2006/relationships/hyperlink" Target="https://documents.un.org/doc/undoc/gen/n23/063/07/pdf/n2306307.pdf?token=EY4ckEzQrUqW1whitT&amp;fe=true" TargetMode="External"/><Relationship Id="rId88" Type="http://schemas.openxmlformats.org/officeDocument/2006/relationships/hyperlink" Target="https://doi.org/10.1016/j.enpol.2012.02.067" TargetMode="Externa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Data" Target="diagrams/data3.xml"/><Relationship Id="rId28" Type="http://schemas.openxmlformats.org/officeDocument/2006/relationships/image" Target="media/image4.png"/><Relationship Id="rId36" Type="http://schemas.openxmlformats.org/officeDocument/2006/relationships/hyperlink" Target="https://www.cnb.cz/cs/menova-politika/zpravy-o-menove-politice/boxy-a-clanky/Zavislost-Evropy-na-dovozu-energetickych-surovin-z-Ruska-v-kontextu-ruske-invaze-na-Ukrajinu/" TargetMode="External"/><Relationship Id="rId49" Type="http://schemas.openxmlformats.org/officeDocument/2006/relationships/hyperlink" Target="https://www.wsj.com/articles/massive-russian-military-drills-on-ukraine-border-ratchet-up-threat-11644496231" TargetMode="External"/><Relationship Id="rId57" Type="http://schemas.openxmlformats.org/officeDocument/2006/relationships/hyperlink" Target="http://dx.doi.org/10.1016/j.enpol.2009.03.061" TargetMode="External"/><Relationship Id="rId10" Type="http://schemas.openxmlformats.org/officeDocument/2006/relationships/image" Target="media/image1.png"/><Relationship Id="rId31" Type="http://schemas.openxmlformats.org/officeDocument/2006/relationships/hyperlink" Target="https://doi.org/10.1016/j.rser.2014.10.064" TargetMode="External"/><Relationship Id="rId44" Type="http://schemas.openxmlformats.org/officeDocument/2006/relationships/hyperlink" Target="https://eda.europa.eu/publications-and-data/defence-data" TargetMode="External"/><Relationship Id="rId52" Type="http://schemas.openxmlformats.org/officeDocument/2006/relationships/hyperlink" Target="https://www.politico.com/news/magazine/2021/11/19/ukraine-russia-putin-border-522989" TargetMode="External"/><Relationship Id="rId60" Type="http://schemas.openxmlformats.org/officeDocument/2006/relationships/hyperlink" Target="https://www.nato.int/cps/en/natohq/news_216897.htm" TargetMode="External"/><Relationship Id="rId65" Type="http://schemas.openxmlformats.org/officeDocument/2006/relationships/hyperlink" Target="https://doi.org/10.31219/osf.io/4mvc6" TargetMode="External"/><Relationship Id="rId73" Type="http://schemas.openxmlformats.org/officeDocument/2006/relationships/hyperlink" Target="https://doi.org/10.1080/09692290.2012.727844" TargetMode="External"/><Relationship Id="rId78" Type="http://schemas.openxmlformats.org/officeDocument/2006/relationships/hyperlink" Target="https://www.washingtonpost.com/world/2023/04/17/old-europe-new-rumsfeld-eastern-europe/" TargetMode="External"/><Relationship Id="rId81" Type="http://schemas.openxmlformats.org/officeDocument/2006/relationships/hyperlink" Target="https://data.unhcr.org/en/situations/ukraine" TargetMode="External"/><Relationship Id="rId86" Type="http://schemas.openxmlformats.org/officeDocument/2006/relationships/hyperlink" Target="https://scholarworks.arcadia.edu/agsjournal/vol8/iss1/4" TargetMode="External"/><Relationship Id="rId4" Type="http://schemas.openxmlformats.org/officeDocument/2006/relationships/settings" Target="settings.xml"/><Relationship Id="rId9"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06DFEB-DC28-4A01-BAD9-9E224DB04755}" type="doc">
      <dgm:prSet loTypeId="urn:microsoft.com/office/officeart/2005/8/layout/venn1" loCatId="relationship" qsTypeId="urn:microsoft.com/office/officeart/2005/8/quickstyle/simple4" qsCatId="simple" csTypeId="urn:microsoft.com/office/officeart/2005/8/colors/accent3_5" csCatId="accent3" phldr="1"/>
      <dgm:spPr/>
    </dgm:pt>
    <dgm:pt modelId="{BD4A90DA-D333-48A6-8394-589702C763A1}">
      <dgm:prSet phldrT="[Text]" custT="1"/>
      <dgm:spPr/>
      <dgm:t>
        <a:bodyPr/>
        <a:lstStyle/>
        <a:p>
          <a:r>
            <a:rPr lang="cs-CZ" sz="6000">
              <a:latin typeface="Times New Roman" panose="02020603050405020304" pitchFamily="18" charset="0"/>
              <a:cs typeface="Times New Roman" panose="02020603050405020304" pitchFamily="18" charset="0"/>
            </a:rPr>
            <a:t>X</a:t>
          </a:r>
        </a:p>
      </dgm:t>
    </dgm:pt>
    <dgm:pt modelId="{C2E52C7B-05C6-4EAC-A8AD-3A6AC7494391}" type="parTrans" cxnId="{3788DCD8-7FA2-4D74-AEEA-C93378CADD47}">
      <dgm:prSet/>
      <dgm:spPr/>
      <dgm:t>
        <a:bodyPr/>
        <a:lstStyle/>
        <a:p>
          <a:endParaRPr lang="cs-CZ"/>
        </a:p>
      </dgm:t>
    </dgm:pt>
    <dgm:pt modelId="{EA9AB8FB-90FC-4CBE-8D4B-46F6DEB2F4A9}" type="sibTrans" cxnId="{3788DCD8-7FA2-4D74-AEEA-C93378CADD47}">
      <dgm:prSet/>
      <dgm:spPr/>
      <dgm:t>
        <a:bodyPr/>
        <a:lstStyle/>
        <a:p>
          <a:endParaRPr lang="cs-CZ"/>
        </a:p>
      </dgm:t>
    </dgm:pt>
    <dgm:pt modelId="{24FA28C9-A84E-477E-ADD6-0D215CB18389}">
      <dgm:prSet phldrT="[Text]"/>
      <dgm:spPr/>
      <dgm:t>
        <a:bodyPr/>
        <a:lstStyle/>
        <a:p>
          <a:r>
            <a:rPr lang="cs-CZ" b="1">
              <a:latin typeface="Times New Roman" panose="02020603050405020304" pitchFamily="18" charset="0"/>
              <a:cs typeface="Times New Roman" panose="02020603050405020304" pitchFamily="18" charset="0"/>
            </a:rPr>
            <a:t>Y</a:t>
          </a:r>
        </a:p>
      </dgm:t>
    </dgm:pt>
    <dgm:pt modelId="{6D918D30-6DC7-495A-AF70-0052F34CC0AF}" type="parTrans" cxnId="{09D0BA3F-75FA-4FD3-A847-E74FA60B9FA2}">
      <dgm:prSet/>
      <dgm:spPr/>
      <dgm:t>
        <a:bodyPr/>
        <a:lstStyle/>
        <a:p>
          <a:endParaRPr lang="cs-CZ"/>
        </a:p>
      </dgm:t>
    </dgm:pt>
    <dgm:pt modelId="{4822A6E3-125F-40D8-9BDC-1840EEE3692A}" type="sibTrans" cxnId="{09D0BA3F-75FA-4FD3-A847-E74FA60B9FA2}">
      <dgm:prSet/>
      <dgm:spPr/>
      <dgm:t>
        <a:bodyPr/>
        <a:lstStyle/>
        <a:p>
          <a:endParaRPr lang="cs-CZ"/>
        </a:p>
      </dgm:t>
    </dgm:pt>
    <dgm:pt modelId="{38E1E8C3-5A64-48E9-BB0D-219CAF072DDA}" type="pres">
      <dgm:prSet presAssocID="{2A06DFEB-DC28-4A01-BAD9-9E224DB04755}" presName="compositeShape" presStyleCnt="0">
        <dgm:presLayoutVars>
          <dgm:chMax val="7"/>
          <dgm:dir/>
          <dgm:resizeHandles val="exact"/>
        </dgm:presLayoutVars>
      </dgm:prSet>
      <dgm:spPr/>
    </dgm:pt>
    <dgm:pt modelId="{79FABD56-70AD-4A47-8426-4F9C6D6D5CED}" type="pres">
      <dgm:prSet presAssocID="{BD4A90DA-D333-48A6-8394-589702C763A1}" presName="circ1" presStyleLbl="vennNode1" presStyleIdx="0" presStyleCnt="2" custScaleX="180180" custScaleY="161012" custLinFactNeighborX="1188" custLinFactNeighborY="-978"/>
      <dgm:spPr/>
      <dgm:t>
        <a:bodyPr/>
        <a:lstStyle/>
        <a:p>
          <a:endParaRPr lang="cs-CZ"/>
        </a:p>
      </dgm:t>
    </dgm:pt>
    <dgm:pt modelId="{28DDAB3B-1915-4DCF-8AC8-3EEAE4F5769F}" type="pres">
      <dgm:prSet presAssocID="{BD4A90DA-D333-48A6-8394-589702C763A1}" presName="circ1Tx" presStyleLbl="revTx" presStyleIdx="0" presStyleCnt="0">
        <dgm:presLayoutVars>
          <dgm:chMax val="0"/>
          <dgm:chPref val="0"/>
          <dgm:bulletEnabled val="1"/>
        </dgm:presLayoutVars>
      </dgm:prSet>
      <dgm:spPr/>
      <dgm:t>
        <a:bodyPr/>
        <a:lstStyle/>
        <a:p>
          <a:endParaRPr lang="cs-CZ"/>
        </a:p>
      </dgm:t>
    </dgm:pt>
    <dgm:pt modelId="{5DD39A13-97A3-438A-BF0E-31E5495DCFFE}" type="pres">
      <dgm:prSet presAssocID="{24FA28C9-A84E-477E-ADD6-0D215CB18389}" presName="circ2" presStyleLbl="vennNode1" presStyleIdx="1" presStyleCnt="2" custScaleX="51434" custScaleY="42642" custLinFactNeighborX="-35097" custLinFactNeighborY="41636"/>
      <dgm:spPr/>
      <dgm:t>
        <a:bodyPr/>
        <a:lstStyle/>
        <a:p>
          <a:endParaRPr lang="cs-CZ"/>
        </a:p>
      </dgm:t>
    </dgm:pt>
    <dgm:pt modelId="{5A61D225-5FF1-4E0E-BEA9-FF9BF94BA06C}" type="pres">
      <dgm:prSet presAssocID="{24FA28C9-A84E-477E-ADD6-0D215CB18389}" presName="circ2Tx" presStyleLbl="revTx" presStyleIdx="0" presStyleCnt="0">
        <dgm:presLayoutVars>
          <dgm:chMax val="0"/>
          <dgm:chPref val="0"/>
          <dgm:bulletEnabled val="1"/>
        </dgm:presLayoutVars>
      </dgm:prSet>
      <dgm:spPr/>
      <dgm:t>
        <a:bodyPr/>
        <a:lstStyle/>
        <a:p>
          <a:endParaRPr lang="cs-CZ"/>
        </a:p>
      </dgm:t>
    </dgm:pt>
  </dgm:ptLst>
  <dgm:cxnLst>
    <dgm:cxn modelId="{09D0BA3F-75FA-4FD3-A847-E74FA60B9FA2}" srcId="{2A06DFEB-DC28-4A01-BAD9-9E224DB04755}" destId="{24FA28C9-A84E-477E-ADD6-0D215CB18389}" srcOrd="1" destOrd="0" parTransId="{6D918D30-6DC7-495A-AF70-0052F34CC0AF}" sibTransId="{4822A6E3-125F-40D8-9BDC-1840EEE3692A}"/>
    <dgm:cxn modelId="{2D491D32-9283-47D8-B3F7-CDB53F8F1E86}" type="presOf" srcId="{24FA28C9-A84E-477E-ADD6-0D215CB18389}" destId="{5A61D225-5FF1-4E0E-BEA9-FF9BF94BA06C}" srcOrd="1" destOrd="0" presId="urn:microsoft.com/office/officeart/2005/8/layout/venn1"/>
    <dgm:cxn modelId="{F7C1C1A4-35C0-4892-922E-8AC5A5B7149C}" type="presOf" srcId="{BD4A90DA-D333-48A6-8394-589702C763A1}" destId="{79FABD56-70AD-4A47-8426-4F9C6D6D5CED}" srcOrd="0" destOrd="0" presId="urn:microsoft.com/office/officeart/2005/8/layout/venn1"/>
    <dgm:cxn modelId="{1384E8B0-1129-42F0-A8AB-DBABF420BE4A}" type="presOf" srcId="{BD4A90DA-D333-48A6-8394-589702C763A1}" destId="{28DDAB3B-1915-4DCF-8AC8-3EEAE4F5769F}" srcOrd="1" destOrd="0" presId="urn:microsoft.com/office/officeart/2005/8/layout/venn1"/>
    <dgm:cxn modelId="{3788DCD8-7FA2-4D74-AEEA-C93378CADD47}" srcId="{2A06DFEB-DC28-4A01-BAD9-9E224DB04755}" destId="{BD4A90DA-D333-48A6-8394-589702C763A1}" srcOrd="0" destOrd="0" parTransId="{C2E52C7B-05C6-4EAC-A8AD-3A6AC7494391}" sibTransId="{EA9AB8FB-90FC-4CBE-8D4B-46F6DEB2F4A9}"/>
    <dgm:cxn modelId="{E38D7BC6-750B-41A5-AB74-36BB9698D866}" type="presOf" srcId="{24FA28C9-A84E-477E-ADD6-0D215CB18389}" destId="{5DD39A13-97A3-438A-BF0E-31E5495DCFFE}" srcOrd="0" destOrd="0" presId="urn:microsoft.com/office/officeart/2005/8/layout/venn1"/>
    <dgm:cxn modelId="{6E20CFF1-E533-4E91-9288-ADAA734710FC}" type="presOf" srcId="{2A06DFEB-DC28-4A01-BAD9-9E224DB04755}" destId="{38E1E8C3-5A64-48E9-BB0D-219CAF072DDA}" srcOrd="0" destOrd="0" presId="urn:microsoft.com/office/officeart/2005/8/layout/venn1"/>
    <dgm:cxn modelId="{4FC86FEA-D646-4B1C-A1D1-033B95A58624}" type="presParOf" srcId="{38E1E8C3-5A64-48E9-BB0D-219CAF072DDA}" destId="{79FABD56-70AD-4A47-8426-4F9C6D6D5CED}" srcOrd="0" destOrd="0" presId="urn:microsoft.com/office/officeart/2005/8/layout/venn1"/>
    <dgm:cxn modelId="{D4694EED-BBF7-4BB5-BA6A-540C4A40DCDE}" type="presParOf" srcId="{38E1E8C3-5A64-48E9-BB0D-219CAF072DDA}" destId="{28DDAB3B-1915-4DCF-8AC8-3EEAE4F5769F}" srcOrd="1" destOrd="0" presId="urn:microsoft.com/office/officeart/2005/8/layout/venn1"/>
    <dgm:cxn modelId="{AEB47799-57F3-47AA-9C07-AC325FEA9FBF}" type="presParOf" srcId="{38E1E8C3-5A64-48E9-BB0D-219CAF072DDA}" destId="{5DD39A13-97A3-438A-BF0E-31E5495DCFFE}" srcOrd="2" destOrd="0" presId="urn:microsoft.com/office/officeart/2005/8/layout/venn1"/>
    <dgm:cxn modelId="{57000964-21D0-4CA4-9A23-DB874E819416}" type="presParOf" srcId="{38E1E8C3-5A64-48E9-BB0D-219CAF072DDA}" destId="{5A61D225-5FF1-4E0E-BEA9-FF9BF94BA06C}" srcOrd="3"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06DFEB-DC28-4A01-BAD9-9E224DB04755}" type="doc">
      <dgm:prSet loTypeId="urn:microsoft.com/office/officeart/2005/8/layout/venn1" loCatId="relationship" qsTypeId="urn:microsoft.com/office/officeart/2005/8/quickstyle/simple4" qsCatId="simple" csTypeId="urn:microsoft.com/office/officeart/2005/8/colors/accent3_5" csCatId="accent3" phldr="1"/>
      <dgm:spPr/>
    </dgm:pt>
    <dgm:pt modelId="{BD4A90DA-D333-48A6-8394-589702C763A1}">
      <dgm:prSet phldrT="[Text]" custT="1"/>
      <dgm:spPr/>
      <dgm:t>
        <a:bodyPr/>
        <a:lstStyle/>
        <a:p>
          <a:r>
            <a:rPr lang="cs-CZ" sz="6000">
              <a:latin typeface="Times New Roman" panose="02020603050405020304" pitchFamily="18" charset="0"/>
              <a:cs typeface="Times New Roman" panose="02020603050405020304" pitchFamily="18" charset="0"/>
            </a:rPr>
            <a:t>Y</a:t>
          </a:r>
        </a:p>
      </dgm:t>
    </dgm:pt>
    <dgm:pt modelId="{C2E52C7B-05C6-4EAC-A8AD-3A6AC7494391}" type="parTrans" cxnId="{3788DCD8-7FA2-4D74-AEEA-C93378CADD47}">
      <dgm:prSet/>
      <dgm:spPr/>
      <dgm:t>
        <a:bodyPr/>
        <a:lstStyle/>
        <a:p>
          <a:endParaRPr lang="cs-CZ"/>
        </a:p>
      </dgm:t>
    </dgm:pt>
    <dgm:pt modelId="{EA9AB8FB-90FC-4CBE-8D4B-46F6DEB2F4A9}" type="sibTrans" cxnId="{3788DCD8-7FA2-4D74-AEEA-C93378CADD47}">
      <dgm:prSet/>
      <dgm:spPr/>
      <dgm:t>
        <a:bodyPr/>
        <a:lstStyle/>
        <a:p>
          <a:endParaRPr lang="cs-CZ"/>
        </a:p>
      </dgm:t>
    </dgm:pt>
    <dgm:pt modelId="{24FA28C9-A84E-477E-ADD6-0D215CB18389}">
      <dgm:prSet phldrT="[Text]"/>
      <dgm:spPr/>
      <dgm:t>
        <a:bodyPr/>
        <a:lstStyle/>
        <a:p>
          <a:r>
            <a:rPr lang="cs-CZ" b="1">
              <a:latin typeface="Times New Roman" panose="02020603050405020304" pitchFamily="18" charset="0"/>
              <a:cs typeface="Times New Roman" panose="02020603050405020304" pitchFamily="18" charset="0"/>
            </a:rPr>
            <a:t>X</a:t>
          </a:r>
        </a:p>
      </dgm:t>
    </dgm:pt>
    <dgm:pt modelId="{6D918D30-6DC7-495A-AF70-0052F34CC0AF}" type="parTrans" cxnId="{09D0BA3F-75FA-4FD3-A847-E74FA60B9FA2}">
      <dgm:prSet/>
      <dgm:spPr/>
      <dgm:t>
        <a:bodyPr/>
        <a:lstStyle/>
        <a:p>
          <a:endParaRPr lang="cs-CZ"/>
        </a:p>
      </dgm:t>
    </dgm:pt>
    <dgm:pt modelId="{4822A6E3-125F-40D8-9BDC-1840EEE3692A}" type="sibTrans" cxnId="{09D0BA3F-75FA-4FD3-A847-E74FA60B9FA2}">
      <dgm:prSet/>
      <dgm:spPr/>
      <dgm:t>
        <a:bodyPr/>
        <a:lstStyle/>
        <a:p>
          <a:endParaRPr lang="cs-CZ"/>
        </a:p>
      </dgm:t>
    </dgm:pt>
    <dgm:pt modelId="{38E1E8C3-5A64-48E9-BB0D-219CAF072DDA}" type="pres">
      <dgm:prSet presAssocID="{2A06DFEB-DC28-4A01-BAD9-9E224DB04755}" presName="compositeShape" presStyleCnt="0">
        <dgm:presLayoutVars>
          <dgm:chMax val="7"/>
          <dgm:dir/>
          <dgm:resizeHandles val="exact"/>
        </dgm:presLayoutVars>
      </dgm:prSet>
      <dgm:spPr/>
    </dgm:pt>
    <dgm:pt modelId="{79FABD56-70AD-4A47-8426-4F9C6D6D5CED}" type="pres">
      <dgm:prSet presAssocID="{BD4A90DA-D333-48A6-8394-589702C763A1}" presName="circ1" presStyleLbl="vennNode1" presStyleIdx="0" presStyleCnt="2" custScaleX="180180" custScaleY="161012" custLinFactNeighborX="49834" custLinFactNeighborY="-3840"/>
      <dgm:spPr/>
      <dgm:t>
        <a:bodyPr/>
        <a:lstStyle/>
        <a:p>
          <a:endParaRPr lang="cs-CZ"/>
        </a:p>
      </dgm:t>
    </dgm:pt>
    <dgm:pt modelId="{28DDAB3B-1915-4DCF-8AC8-3EEAE4F5769F}" type="pres">
      <dgm:prSet presAssocID="{BD4A90DA-D333-48A6-8394-589702C763A1}" presName="circ1Tx" presStyleLbl="revTx" presStyleIdx="0" presStyleCnt="0">
        <dgm:presLayoutVars>
          <dgm:chMax val="0"/>
          <dgm:chPref val="0"/>
          <dgm:bulletEnabled val="1"/>
        </dgm:presLayoutVars>
      </dgm:prSet>
      <dgm:spPr/>
      <dgm:t>
        <a:bodyPr/>
        <a:lstStyle/>
        <a:p>
          <a:endParaRPr lang="cs-CZ"/>
        </a:p>
      </dgm:t>
    </dgm:pt>
    <dgm:pt modelId="{5DD39A13-97A3-438A-BF0E-31E5495DCFFE}" type="pres">
      <dgm:prSet presAssocID="{24FA28C9-A84E-477E-ADD6-0D215CB18389}" presName="circ2" presStyleLbl="vennNode1" presStyleIdx="1" presStyleCnt="2" custScaleX="51434" custScaleY="42642" custLinFactNeighborX="-40821" custLinFactNeighborY="43544"/>
      <dgm:spPr/>
      <dgm:t>
        <a:bodyPr/>
        <a:lstStyle/>
        <a:p>
          <a:endParaRPr lang="cs-CZ"/>
        </a:p>
      </dgm:t>
    </dgm:pt>
    <dgm:pt modelId="{5A61D225-5FF1-4E0E-BEA9-FF9BF94BA06C}" type="pres">
      <dgm:prSet presAssocID="{24FA28C9-A84E-477E-ADD6-0D215CB18389}" presName="circ2Tx" presStyleLbl="revTx" presStyleIdx="0" presStyleCnt="0">
        <dgm:presLayoutVars>
          <dgm:chMax val="0"/>
          <dgm:chPref val="0"/>
          <dgm:bulletEnabled val="1"/>
        </dgm:presLayoutVars>
      </dgm:prSet>
      <dgm:spPr/>
      <dgm:t>
        <a:bodyPr/>
        <a:lstStyle/>
        <a:p>
          <a:endParaRPr lang="cs-CZ"/>
        </a:p>
      </dgm:t>
    </dgm:pt>
  </dgm:ptLst>
  <dgm:cxnLst>
    <dgm:cxn modelId="{09D0BA3F-75FA-4FD3-A847-E74FA60B9FA2}" srcId="{2A06DFEB-DC28-4A01-BAD9-9E224DB04755}" destId="{24FA28C9-A84E-477E-ADD6-0D215CB18389}" srcOrd="1" destOrd="0" parTransId="{6D918D30-6DC7-495A-AF70-0052F34CC0AF}" sibTransId="{4822A6E3-125F-40D8-9BDC-1840EEE3692A}"/>
    <dgm:cxn modelId="{39733AEE-B7D5-491B-97F6-1024FFA907AE}" type="presOf" srcId="{24FA28C9-A84E-477E-ADD6-0D215CB18389}" destId="{5A61D225-5FF1-4E0E-BEA9-FF9BF94BA06C}" srcOrd="1" destOrd="0" presId="urn:microsoft.com/office/officeart/2005/8/layout/venn1"/>
    <dgm:cxn modelId="{AA177198-E38D-4983-B9BF-5C5D5CD2C826}" type="presOf" srcId="{2A06DFEB-DC28-4A01-BAD9-9E224DB04755}" destId="{38E1E8C3-5A64-48E9-BB0D-219CAF072DDA}" srcOrd="0" destOrd="0" presId="urn:microsoft.com/office/officeart/2005/8/layout/venn1"/>
    <dgm:cxn modelId="{3788DCD8-7FA2-4D74-AEEA-C93378CADD47}" srcId="{2A06DFEB-DC28-4A01-BAD9-9E224DB04755}" destId="{BD4A90DA-D333-48A6-8394-589702C763A1}" srcOrd="0" destOrd="0" parTransId="{C2E52C7B-05C6-4EAC-A8AD-3A6AC7494391}" sibTransId="{EA9AB8FB-90FC-4CBE-8D4B-46F6DEB2F4A9}"/>
    <dgm:cxn modelId="{18F90302-6E1B-42D6-8068-1583322B69FF}" type="presOf" srcId="{BD4A90DA-D333-48A6-8394-589702C763A1}" destId="{79FABD56-70AD-4A47-8426-4F9C6D6D5CED}" srcOrd="0" destOrd="0" presId="urn:microsoft.com/office/officeart/2005/8/layout/venn1"/>
    <dgm:cxn modelId="{1D1173B5-1572-4A75-B881-959465714B97}" type="presOf" srcId="{BD4A90DA-D333-48A6-8394-589702C763A1}" destId="{28DDAB3B-1915-4DCF-8AC8-3EEAE4F5769F}" srcOrd="1" destOrd="0" presId="urn:microsoft.com/office/officeart/2005/8/layout/venn1"/>
    <dgm:cxn modelId="{0A5C6DD1-B26B-4953-B8C5-418B93A706BB}" type="presOf" srcId="{24FA28C9-A84E-477E-ADD6-0D215CB18389}" destId="{5DD39A13-97A3-438A-BF0E-31E5495DCFFE}" srcOrd="0" destOrd="0" presId="urn:microsoft.com/office/officeart/2005/8/layout/venn1"/>
    <dgm:cxn modelId="{005120A0-E774-4712-8860-300029AEBE67}" type="presParOf" srcId="{38E1E8C3-5A64-48E9-BB0D-219CAF072DDA}" destId="{79FABD56-70AD-4A47-8426-4F9C6D6D5CED}" srcOrd="0" destOrd="0" presId="urn:microsoft.com/office/officeart/2005/8/layout/venn1"/>
    <dgm:cxn modelId="{810EE4B4-A693-46DA-89D9-0BB6A10263E8}" type="presParOf" srcId="{38E1E8C3-5A64-48E9-BB0D-219CAF072DDA}" destId="{28DDAB3B-1915-4DCF-8AC8-3EEAE4F5769F}" srcOrd="1" destOrd="0" presId="urn:microsoft.com/office/officeart/2005/8/layout/venn1"/>
    <dgm:cxn modelId="{E60BC8AF-ACBB-4566-AD51-EB2143858C45}" type="presParOf" srcId="{38E1E8C3-5A64-48E9-BB0D-219CAF072DDA}" destId="{5DD39A13-97A3-438A-BF0E-31E5495DCFFE}" srcOrd="2" destOrd="0" presId="urn:microsoft.com/office/officeart/2005/8/layout/venn1"/>
    <dgm:cxn modelId="{320C15AF-E6BE-41F4-BB63-13021BC90746}" type="presParOf" srcId="{38E1E8C3-5A64-48E9-BB0D-219CAF072DDA}" destId="{5A61D225-5FF1-4E0E-BEA9-FF9BF94BA06C}" srcOrd="3"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2D42A89-4881-49D9-821F-ED7B0CC6194F}" type="doc">
      <dgm:prSet loTypeId="urn:microsoft.com/office/officeart/2005/8/layout/hierarchy2" loCatId="hierarchy" qsTypeId="urn:microsoft.com/office/officeart/2005/8/quickstyle/simple3" qsCatId="simple" csTypeId="urn:microsoft.com/office/officeart/2005/8/colors/colorful2" csCatId="colorful" phldr="1"/>
      <dgm:spPr/>
      <dgm:t>
        <a:bodyPr/>
        <a:lstStyle/>
        <a:p>
          <a:endParaRPr lang="cs-CZ"/>
        </a:p>
      </dgm:t>
    </dgm:pt>
    <dgm:pt modelId="{2869E462-6EA3-4C62-9337-D9CCFE52EECB}">
      <dgm:prSet phldrT="[Text]"/>
      <dgm:spPr/>
      <dgm:t>
        <a:bodyPr/>
        <a:lstStyle/>
        <a:p>
          <a:r>
            <a:rPr lang="cs-CZ">
              <a:latin typeface="Times New Roman" panose="02020603050405020304" pitchFamily="18" charset="0"/>
              <a:cs typeface="Times New Roman" panose="02020603050405020304" pitchFamily="18" charset="0"/>
            </a:rPr>
            <a:t>Pomoc</a:t>
          </a:r>
        </a:p>
      </dgm:t>
    </dgm:pt>
    <dgm:pt modelId="{D0951ED7-4EC7-4BEE-9B3B-093E71724E7E}" type="parTrans" cxnId="{DD477270-F525-4232-8BB4-C393F228B012}">
      <dgm:prSet/>
      <dgm:spPr/>
      <dgm:t>
        <a:bodyPr/>
        <a:lstStyle/>
        <a:p>
          <a:endParaRPr lang="cs-CZ"/>
        </a:p>
      </dgm:t>
    </dgm:pt>
    <dgm:pt modelId="{9FA0E91A-CEE0-4606-808F-1A65E960859E}" type="sibTrans" cxnId="{DD477270-F525-4232-8BB4-C393F228B012}">
      <dgm:prSet/>
      <dgm:spPr/>
      <dgm:t>
        <a:bodyPr/>
        <a:lstStyle/>
        <a:p>
          <a:endParaRPr lang="cs-CZ"/>
        </a:p>
      </dgm:t>
    </dgm:pt>
    <dgm:pt modelId="{91FA0FFB-ED81-45EC-972B-D7CD4517082F}">
      <dgm:prSet phldrT="[Text]"/>
      <dgm:spPr/>
      <dgm:t>
        <a:bodyPr/>
        <a:lstStyle/>
        <a:p>
          <a:r>
            <a:rPr lang="cs-CZ"/>
            <a:t>Severní Balt</a:t>
          </a:r>
        </a:p>
      </dgm:t>
    </dgm:pt>
    <dgm:pt modelId="{D6423994-061F-4A89-B2C3-264C09F277DB}" type="parTrans" cxnId="{61B4DF8B-1F7C-4F38-88AA-7A3CC7788DE2}">
      <dgm:prSet/>
      <dgm:spPr/>
      <dgm:t>
        <a:bodyPr/>
        <a:lstStyle/>
        <a:p>
          <a:endParaRPr lang="cs-CZ"/>
        </a:p>
      </dgm:t>
    </dgm:pt>
    <dgm:pt modelId="{B34BE060-A2BD-482A-B8F4-C83ABF2DCF47}" type="sibTrans" cxnId="{61B4DF8B-1F7C-4F38-88AA-7A3CC7788DE2}">
      <dgm:prSet/>
      <dgm:spPr/>
      <dgm:t>
        <a:bodyPr/>
        <a:lstStyle/>
        <a:p>
          <a:endParaRPr lang="cs-CZ"/>
        </a:p>
      </dgm:t>
    </dgm:pt>
    <dgm:pt modelId="{29E58496-161C-45C4-A0C4-D7D974AB48EC}">
      <dgm:prSet phldrT="[Text]"/>
      <dgm:spPr/>
      <dgm:t>
        <a:bodyPr/>
        <a:lstStyle/>
        <a:p>
          <a:r>
            <a:rPr lang="cs-CZ"/>
            <a:t>Uprchlíci</a:t>
          </a:r>
        </a:p>
      </dgm:t>
    </dgm:pt>
    <dgm:pt modelId="{BAF81FCC-091A-4690-B6C2-CEC52778E156}" type="parTrans" cxnId="{C022F5AA-E964-438A-9DBD-2B303557E3E3}">
      <dgm:prSet/>
      <dgm:spPr/>
      <dgm:t>
        <a:bodyPr/>
        <a:lstStyle/>
        <a:p>
          <a:endParaRPr lang="cs-CZ"/>
        </a:p>
      </dgm:t>
    </dgm:pt>
    <dgm:pt modelId="{6859C727-0649-4F8B-97C6-92EAD636DE56}" type="sibTrans" cxnId="{C022F5AA-E964-438A-9DBD-2B303557E3E3}">
      <dgm:prSet/>
      <dgm:spPr/>
      <dgm:t>
        <a:bodyPr/>
        <a:lstStyle/>
        <a:p>
          <a:endParaRPr lang="cs-CZ"/>
        </a:p>
      </dgm:t>
    </dgm:pt>
    <dgm:pt modelId="{5EA516E1-19F9-48D1-9A53-21A97874D24C}">
      <dgm:prSet phldrT="[Text]"/>
      <dgm:spPr/>
      <dgm:t>
        <a:bodyPr/>
        <a:lstStyle/>
        <a:p>
          <a:r>
            <a:rPr lang="cs-CZ"/>
            <a:t>Demokracie</a:t>
          </a:r>
        </a:p>
      </dgm:t>
    </dgm:pt>
    <dgm:pt modelId="{52410DD9-A571-4C29-BCFA-5F88FA94E16A}" type="parTrans" cxnId="{71755A5D-8B9E-4476-87BC-C522AEC8DFBF}">
      <dgm:prSet/>
      <dgm:spPr/>
      <dgm:t>
        <a:bodyPr/>
        <a:lstStyle/>
        <a:p>
          <a:endParaRPr lang="cs-CZ"/>
        </a:p>
      </dgm:t>
    </dgm:pt>
    <dgm:pt modelId="{8C2E652F-C9A9-407A-8F52-BC4CD33A5741}" type="sibTrans" cxnId="{71755A5D-8B9E-4476-87BC-C522AEC8DFBF}">
      <dgm:prSet/>
      <dgm:spPr/>
      <dgm:t>
        <a:bodyPr/>
        <a:lstStyle/>
        <a:p>
          <a:endParaRPr lang="cs-CZ"/>
        </a:p>
      </dgm:t>
    </dgm:pt>
    <dgm:pt modelId="{0C29B2B3-C080-4485-AF66-A7C233B7DD72}">
      <dgm:prSet/>
      <dgm:spPr/>
      <dgm:t>
        <a:bodyPr/>
        <a:lstStyle/>
        <a:p>
          <a:r>
            <a:rPr lang="cs-CZ"/>
            <a:t>Obrana</a:t>
          </a:r>
        </a:p>
      </dgm:t>
    </dgm:pt>
    <dgm:pt modelId="{1013B02C-C02F-49EC-AD77-970055255F7B}" type="parTrans" cxnId="{4F3608F9-2C99-4275-A562-10A310EF0414}">
      <dgm:prSet/>
      <dgm:spPr/>
      <dgm:t>
        <a:bodyPr/>
        <a:lstStyle/>
        <a:p>
          <a:endParaRPr lang="cs-CZ"/>
        </a:p>
      </dgm:t>
    </dgm:pt>
    <dgm:pt modelId="{CD2E8C2A-E21D-4B97-B4E8-8CDE6D6A68F7}" type="sibTrans" cxnId="{4F3608F9-2C99-4275-A562-10A310EF0414}">
      <dgm:prSet/>
      <dgm:spPr/>
      <dgm:t>
        <a:bodyPr/>
        <a:lstStyle/>
        <a:p>
          <a:endParaRPr lang="cs-CZ"/>
        </a:p>
      </dgm:t>
    </dgm:pt>
    <dgm:pt modelId="{B5924757-B594-4291-ACEB-D21E22A7FDAD}">
      <dgm:prSet/>
      <dgm:spPr/>
      <dgm:t>
        <a:bodyPr/>
        <a:lstStyle/>
        <a:p>
          <a:r>
            <a:rPr lang="cs-CZ"/>
            <a:t>Vzdálenost</a:t>
          </a:r>
        </a:p>
      </dgm:t>
    </dgm:pt>
    <dgm:pt modelId="{3210243D-9995-470F-A1CD-E976522DF791}" type="parTrans" cxnId="{9C55DF81-9960-4F87-B101-F749965C1B9B}">
      <dgm:prSet/>
      <dgm:spPr/>
      <dgm:t>
        <a:bodyPr/>
        <a:lstStyle/>
        <a:p>
          <a:endParaRPr lang="cs-CZ"/>
        </a:p>
      </dgm:t>
    </dgm:pt>
    <dgm:pt modelId="{9860793E-454B-4ED0-9196-84848653BD31}" type="sibTrans" cxnId="{9C55DF81-9960-4F87-B101-F749965C1B9B}">
      <dgm:prSet/>
      <dgm:spPr/>
      <dgm:t>
        <a:bodyPr/>
        <a:lstStyle/>
        <a:p>
          <a:endParaRPr lang="cs-CZ"/>
        </a:p>
      </dgm:t>
    </dgm:pt>
    <dgm:pt modelId="{757D8820-B307-475C-9A5B-EC1FC9E2252A}">
      <dgm:prSet/>
      <dgm:spPr/>
      <dgm:t>
        <a:bodyPr/>
        <a:lstStyle/>
        <a:p>
          <a:r>
            <a:rPr lang="cs-CZ"/>
            <a:t>Export</a:t>
          </a:r>
        </a:p>
      </dgm:t>
    </dgm:pt>
    <dgm:pt modelId="{9E2F107E-020C-47D8-8F44-613381DE20D2}" type="parTrans" cxnId="{99140DD6-15F8-443A-866F-C70ADCDF1DAB}">
      <dgm:prSet/>
      <dgm:spPr/>
      <dgm:t>
        <a:bodyPr/>
        <a:lstStyle/>
        <a:p>
          <a:endParaRPr lang="cs-CZ"/>
        </a:p>
      </dgm:t>
    </dgm:pt>
    <dgm:pt modelId="{CFBFCF8D-10D6-4214-AFFC-37ACABDEC9C6}" type="sibTrans" cxnId="{99140DD6-15F8-443A-866F-C70ADCDF1DAB}">
      <dgm:prSet/>
      <dgm:spPr/>
      <dgm:t>
        <a:bodyPr/>
        <a:lstStyle/>
        <a:p>
          <a:endParaRPr lang="cs-CZ"/>
        </a:p>
      </dgm:t>
    </dgm:pt>
    <dgm:pt modelId="{840464C2-5471-4F2C-97C4-D0CCB6D8A3BA}">
      <dgm:prSet/>
      <dgm:spPr/>
      <dgm:t>
        <a:bodyPr/>
        <a:lstStyle/>
        <a:p>
          <a:r>
            <a:rPr lang="cs-CZ"/>
            <a:t>~Populismus</a:t>
          </a:r>
        </a:p>
      </dgm:t>
    </dgm:pt>
    <dgm:pt modelId="{DDDE9066-0306-4ADB-8CFC-23ACD44D4860}" type="parTrans" cxnId="{60311FC6-8A9C-4812-B860-058BEDBBDE07}">
      <dgm:prSet/>
      <dgm:spPr/>
      <dgm:t>
        <a:bodyPr/>
        <a:lstStyle/>
        <a:p>
          <a:endParaRPr lang="cs-CZ"/>
        </a:p>
      </dgm:t>
    </dgm:pt>
    <dgm:pt modelId="{AC13BAB5-2AED-49F2-9B2C-C7C96FF2A9C4}" type="sibTrans" cxnId="{60311FC6-8A9C-4812-B860-058BEDBBDE07}">
      <dgm:prSet/>
      <dgm:spPr/>
      <dgm:t>
        <a:bodyPr/>
        <a:lstStyle/>
        <a:p>
          <a:endParaRPr lang="cs-CZ"/>
        </a:p>
      </dgm:t>
    </dgm:pt>
    <dgm:pt modelId="{00EA28C5-9445-42A0-ADFD-D5ABE7A1CA5A}" type="pres">
      <dgm:prSet presAssocID="{42D42A89-4881-49D9-821F-ED7B0CC6194F}" presName="diagram" presStyleCnt="0">
        <dgm:presLayoutVars>
          <dgm:chPref val="1"/>
          <dgm:dir val="rev"/>
          <dgm:animOne val="branch"/>
          <dgm:animLvl val="lvl"/>
          <dgm:resizeHandles val="exact"/>
        </dgm:presLayoutVars>
      </dgm:prSet>
      <dgm:spPr/>
      <dgm:t>
        <a:bodyPr/>
        <a:lstStyle/>
        <a:p>
          <a:endParaRPr lang="cs-CZ"/>
        </a:p>
      </dgm:t>
    </dgm:pt>
    <dgm:pt modelId="{800125F7-7321-4272-9330-B8401783B587}" type="pres">
      <dgm:prSet presAssocID="{2869E462-6EA3-4C62-9337-D9CCFE52EECB}" presName="root1" presStyleCnt="0"/>
      <dgm:spPr/>
      <dgm:t>
        <a:bodyPr/>
        <a:lstStyle/>
        <a:p>
          <a:endParaRPr lang="cs-CZ"/>
        </a:p>
      </dgm:t>
    </dgm:pt>
    <dgm:pt modelId="{635049B3-40A4-4DF4-8ACF-6336977A938A}" type="pres">
      <dgm:prSet presAssocID="{2869E462-6EA3-4C62-9337-D9CCFE52EECB}" presName="LevelOneTextNode" presStyleLbl="node0" presStyleIdx="0" presStyleCnt="1" custLinFactNeighborX="-926">
        <dgm:presLayoutVars>
          <dgm:chPref val="3"/>
        </dgm:presLayoutVars>
      </dgm:prSet>
      <dgm:spPr/>
      <dgm:t>
        <a:bodyPr/>
        <a:lstStyle/>
        <a:p>
          <a:endParaRPr lang="cs-CZ"/>
        </a:p>
      </dgm:t>
    </dgm:pt>
    <dgm:pt modelId="{6CECEA1B-477D-45DC-AC27-D736431027DB}" type="pres">
      <dgm:prSet presAssocID="{2869E462-6EA3-4C62-9337-D9CCFE52EECB}" presName="level2hierChild" presStyleCnt="0"/>
      <dgm:spPr/>
      <dgm:t>
        <a:bodyPr/>
        <a:lstStyle/>
        <a:p>
          <a:endParaRPr lang="cs-CZ"/>
        </a:p>
      </dgm:t>
    </dgm:pt>
    <dgm:pt modelId="{05BFCFEE-9A09-4E2C-9CF4-508D49908747}" type="pres">
      <dgm:prSet presAssocID="{D6423994-061F-4A89-B2C3-264C09F277DB}" presName="conn2-1" presStyleLbl="parChTrans1D2" presStyleIdx="0" presStyleCnt="1"/>
      <dgm:spPr/>
      <dgm:t>
        <a:bodyPr/>
        <a:lstStyle/>
        <a:p>
          <a:endParaRPr lang="cs-CZ"/>
        </a:p>
      </dgm:t>
    </dgm:pt>
    <dgm:pt modelId="{E93CF6B8-97FC-4E12-BE3A-F11A5B24ADCA}" type="pres">
      <dgm:prSet presAssocID="{D6423994-061F-4A89-B2C3-264C09F277DB}" presName="connTx" presStyleLbl="parChTrans1D2" presStyleIdx="0" presStyleCnt="1"/>
      <dgm:spPr/>
      <dgm:t>
        <a:bodyPr/>
        <a:lstStyle/>
        <a:p>
          <a:endParaRPr lang="cs-CZ"/>
        </a:p>
      </dgm:t>
    </dgm:pt>
    <dgm:pt modelId="{E5A24C41-5EF5-4DA6-97A8-79F90E13FA49}" type="pres">
      <dgm:prSet presAssocID="{91FA0FFB-ED81-45EC-972B-D7CD4517082F}" presName="root2" presStyleCnt="0"/>
      <dgm:spPr/>
      <dgm:t>
        <a:bodyPr/>
        <a:lstStyle/>
        <a:p>
          <a:endParaRPr lang="cs-CZ"/>
        </a:p>
      </dgm:t>
    </dgm:pt>
    <dgm:pt modelId="{A3EE20D0-6BAF-47EE-AC27-DF05CD6039CA}" type="pres">
      <dgm:prSet presAssocID="{91FA0FFB-ED81-45EC-972B-D7CD4517082F}" presName="LevelTwoTextNode" presStyleLbl="node2" presStyleIdx="0" presStyleCnt="1">
        <dgm:presLayoutVars>
          <dgm:chPref val="3"/>
        </dgm:presLayoutVars>
      </dgm:prSet>
      <dgm:spPr/>
      <dgm:t>
        <a:bodyPr/>
        <a:lstStyle/>
        <a:p>
          <a:endParaRPr lang="cs-CZ"/>
        </a:p>
      </dgm:t>
    </dgm:pt>
    <dgm:pt modelId="{F35A2341-C4B5-4C24-B253-C83D7DEDDE04}" type="pres">
      <dgm:prSet presAssocID="{91FA0FFB-ED81-45EC-972B-D7CD4517082F}" presName="level3hierChild" presStyleCnt="0"/>
      <dgm:spPr/>
      <dgm:t>
        <a:bodyPr/>
        <a:lstStyle/>
        <a:p>
          <a:endParaRPr lang="cs-CZ"/>
        </a:p>
      </dgm:t>
    </dgm:pt>
    <dgm:pt modelId="{DA6D09EF-949E-41F5-9359-F0009D34CEBA}" type="pres">
      <dgm:prSet presAssocID="{BAF81FCC-091A-4690-B6C2-CEC52778E156}" presName="conn2-1" presStyleLbl="parChTrans1D3" presStyleIdx="0" presStyleCnt="6"/>
      <dgm:spPr/>
      <dgm:t>
        <a:bodyPr/>
        <a:lstStyle/>
        <a:p>
          <a:endParaRPr lang="cs-CZ"/>
        </a:p>
      </dgm:t>
    </dgm:pt>
    <dgm:pt modelId="{5476F521-F98F-4357-9DED-DBBB57776AF0}" type="pres">
      <dgm:prSet presAssocID="{BAF81FCC-091A-4690-B6C2-CEC52778E156}" presName="connTx" presStyleLbl="parChTrans1D3" presStyleIdx="0" presStyleCnt="6"/>
      <dgm:spPr/>
      <dgm:t>
        <a:bodyPr/>
        <a:lstStyle/>
        <a:p>
          <a:endParaRPr lang="cs-CZ"/>
        </a:p>
      </dgm:t>
    </dgm:pt>
    <dgm:pt modelId="{3C0420EF-118E-4350-BEC2-205F7AA83582}" type="pres">
      <dgm:prSet presAssocID="{29E58496-161C-45C4-A0C4-D7D974AB48EC}" presName="root2" presStyleCnt="0"/>
      <dgm:spPr/>
      <dgm:t>
        <a:bodyPr/>
        <a:lstStyle/>
        <a:p>
          <a:endParaRPr lang="cs-CZ"/>
        </a:p>
      </dgm:t>
    </dgm:pt>
    <dgm:pt modelId="{BA197E5E-CBF4-4C51-9B6D-6A023399C053}" type="pres">
      <dgm:prSet presAssocID="{29E58496-161C-45C4-A0C4-D7D974AB48EC}" presName="LevelTwoTextNode" presStyleLbl="node3" presStyleIdx="0" presStyleCnt="6" custLinFactNeighborY="3704">
        <dgm:presLayoutVars>
          <dgm:chPref val="3"/>
        </dgm:presLayoutVars>
      </dgm:prSet>
      <dgm:spPr/>
      <dgm:t>
        <a:bodyPr/>
        <a:lstStyle/>
        <a:p>
          <a:endParaRPr lang="cs-CZ"/>
        </a:p>
      </dgm:t>
    </dgm:pt>
    <dgm:pt modelId="{FBE374BC-3E46-47C2-8C48-59E59D8C567E}" type="pres">
      <dgm:prSet presAssocID="{29E58496-161C-45C4-A0C4-D7D974AB48EC}" presName="level3hierChild" presStyleCnt="0"/>
      <dgm:spPr/>
      <dgm:t>
        <a:bodyPr/>
        <a:lstStyle/>
        <a:p>
          <a:endParaRPr lang="cs-CZ"/>
        </a:p>
      </dgm:t>
    </dgm:pt>
    <dgm:pt modelId="{4236A9D8-B31E-431A-8042-09FF601D099B}" type="pres">
      <dgm:prSet presAssocID="{52410DD9-A571-4C29-BCFA-5F88FA94E16A}" presName="conn2-1" presStyleLbl="parChTrans1D3" presStyleIdx="1" presStyleCnt="6"/>
      <dgm:spPr/>
      <dgm:t>
        <a:bodyPr/>
        <a:lstStyle/>
        <a:p>
          <a:endParaRPr lang="cs-CZ"/>
        </a:p>
      </dgm:t>
    </dgm:pt>
    <dgm:pt modelId="{2A2411F6-7723-45F7-80C0-E525D32DB077}" type="pres">
      <dgm:prSet presAssocID="{52410DD9-A571-4C29-BCFA-5F88FA94E16A}" presName="connTx" presStyleLbl="parChTrans1D3" presStyleIdx="1" presStyleCnt="6"/>
      <dgm:spPr/>
      <dgm:t>
        <a:bodyPr/>
        <a:lstStyle/>
        <a:p>
          <a:endParaRPr lang="cs-CZ"/>
        </a:p>
      </dgm:t>
    </dgm:pt>
    <dgm:pt modelId="{97216C6A-ADAC-450B-A69E-783748B104C9}" type="pres">
      <dgm:prSet presAssocID="{5EA516E1-19F9-48D1-9A53-21A97874D24C}" presName="root2" presStyleCnt="0"/>
      <dgm:spPr/>
      <dgm:t>
        <a:bodyPr/>
        <a:lstStyle/>
        <a:p>
          <a:endParaRPr lang="cs-CZ"/>
        </a:p>
      </dgm:t>
    </dgm:pt>
    <dgm:pt modelId="{E3CE1E3C-9FF9-4F83-B694-AD0E2A25FAB4}" type="pres">
      <dgm:prSet presAssocID="{5EA516E1-19F9-48D1-9A53-21A97874D24C}" presName="LevelTwoTextNode" presStyleLbl="node3" presStyleIdx="1" presStyleCnt="6">
        <dgm:presLayoutVars>
          <dgm:chPref val="3"/>
        </dgm:presLayoutVars>
      </dgm:prSet>
      <dgm:spPr/>
      <dgm:t>
        <a:bodyPr/>
        <a:lstStyle/>
        <a:p>
          <a:endParaRPr lang="cs-CZ"/>
        </a:p>
      </dgm:t>
    </dgm:pt>
    <dgm:pt modelId="{0CC89692-E725-4E7A-B8FD-4C407D28A6B5}" type="pres">
      <dgm:prSet presAssocID="{5EA516E1-19F9-48D1-9A53-21A97874D24C}" presName="level3hierChild" presStyleCnt="0"/>
      <dgm:spPr/>
      <dgm:t>
        <a:bodyPr/>
        <a:lstStyle/>
        <a:p>
          <a:endParaRPr lang="cs-CZ"/>
        </a:p>
      </dgm:t>
    </dgm:pt>
    <dgm:pt modelId="{72B2D8BA-7DC1-4DC7-8345-EFECB3E6D296}" type="pres">
      <dgm:prSet presAssocID="{1013B02C-C02F-49EC-AD77-970055255F7B}" presName="conn2-1" presStyleLbl="parChTrans1D3" presStyleIdx="2" presStyleCnt="6"/>
      <dgm:spPr/>
      <dgm:t>
        <a:bodyPr/>
        <a:lstStyle/>
        <a:p>
          <a:endParaRPr lang="cs-CZ"/>
        </a:p>
      </dgm:t>
    </dgm:pt>
    <dgm:pt modelId="{765790E4-092A-4939-918E-3CC08572B9E4}" type="pres">
      <dgm:prSet presAssocID="{1013B02C-C02F-49EC-AD77-970055255F7B}" presName="connTx" presStyleLbl="parChTrans1D3" presStyleIdx="2" presStyleCnt="6"/>
      <dgm:spPr/>
      <dgm:t>
        <a:bodyPr/>
        <a:lstStyle/>
        <a:p>
          <a:endParaRPr lang="cs-CZ"/>
        </a:p>
      </dgm:t>
    </dgm:pt>
    <dgm:pt modelId="{8DBB1FCA-8D34-4054-ACAF-1686E9EC83B7}" type="pres">
      <dgm:prSet presAssocID="{0C29B2B3-C080-4485-AF66-A7C233B7DD72}" presName="root2" presStyleCnt="0"/>
      <dgm:spPr/>
      <dgm:t>
        <a:bodyPr/>
        <a:lstStyle/>
        <a:p>
          <a:endParaRPr lang="cs-CZ"/>
        </a:p>
      </dgm:t>
    </dgm:pt>
    <dgm:pt modelId="{4653B652-A80D-46C3-96D8-77D26C306C08}" type="pres">
      <dgm:prSet presAssocID="{0C29B2B3-C080-4485-AF66-A7C233B7DD72}" presName="LevelTwoTextNode" presStyleLbl="node3" presStyleIdx="2" presStyleCnt="6" custLinFactNeighborX="184" custLinFactNeighborY="2949">
        <dgm:presLayoutVars>
          <dgm:chPref val="3"/>
        </dgm:presLayoutVars>
      </dgm:prSet>
      <dgm:spPr/>
      <dgm:t>
        <a:bodyPr/>
        <a:lstStyle/>
        <a:p>
          <a:endParaRPr lang="cs-CZ"/>
        </a:p>
      </dgm:t>
    </dgm:pt>
    <dgm:pt modelId="{46D75D0C-0FC0-4A65-9E9F-63656ED5ECD3}" type="pres">
      <dgm:prSet presAssocID="{0C29B2B3-C080-4485-AF66-A7C233B7DD72}" presName="level3hierChild" presStyleCnt="0"/>
      <dgm:spPr/>
      <dgm:t>
        <a:bodyPr/>
        <a:lstStyle/>
        <a:p>
          <a:endParaRPr lang="cs-CZ"/>
        </a:p>
      </dgm:t>
    </dgm:pt>
    <dgm:pt modelId="{EB11A365-27D7-437B-A6F0-E3413DED2E16}" type="pres">
      <dgm:prSet presAssocID="{3210243D-9995-470F-A1CD-E976522DF791}" presName="conn2-1" presStyleLbl="parChTrans1D3" presStyleIdx="3" presStyleCnt="6"/>
      <dgm:spPr/>
      <dgm:t>
        <a:bodyPr/>
        <a:lstStyle/>
        <a:p>
          <a:endParaRPr lang="cs-CZ"/>
        </a:p>
      </dgm:t>
    </dgm:pt>
    <dgm:pt modelId="{460A4943-3130-4642-9EE1-D49C20B6EC02}" type="pres">
      <dgm:prSet presAssocID="{3210243D-9995-470F-A1CD-E976522DF791}" presName="connTx" presStyleLbl="parChTrans1D3" presStyleIdx="3" presStyleCnt="6"/>
      <dgm:spPr/>
      <dgm:t>
        <a:bodyPr/>
        <a:lstStyle/>
        <a:p>
          <a:endParaRPr lang="cs-CZ"/>
        </a:p>
      </dgm:t>
    </dgm:pt>
    <dgm:pt modelId="{C929654D-223E-45E9-AAB9-1279D7EDC8C1}" type="pres">
      <dgm:prSet presAssocID="{B5924757-B594-4291-ACEB-D21E22A7FDAD}" presName="root2" presStyleCnt="0"/>
      <dgm:spPr/>
      <dgm:t>
        <a:bodyPr/>
        <a:lstStyle/>
        <a:p>
          <a:endParaRPr lang="cs-CZ"/>
        </a:p>
      </dgm:t>
    </dgm:pt>
    <dgm:pt modelId="{4C0854FA-7DCF-4673-8A50-626F2CF043EB}" type="pres">
      <dgm:prSet presAssocID="{B5924757-B594-4291-ACEB-D21E22A7FDAD}" presName="LevelTwoTextNode" presStyleLbl="node3" presStyleIdx="3" presStyleCnt="6">
        <dgm:presLayoutVars>
          <dgm:chPref val="3"/>
        </dgm:presLayoutVars>
      </dgm:prSet>
      <dgm:spPr/>
      <dgm:t>
        <a:bodyPr/>
        <a:lstStyle/>
        <a:p>
          <a:endParaRPr lang="cs-CZ"/>
        </a:p>
      </dgm:t>
    </dgm:pt>
    <dgm:pt modelId="{E5927BAA-52CA-478E-AE03-5B901720A775}" type="pres">
      <dgm:prSet presAssocID="{B5924757-B594-4291-ACEB-D21E22A7FDAD}" presName="level3hierChild" presStyleCnt="0"/>
      <dgm:spPr/>
      <dgm:t>
        <a:bodyPr/>
        <a:lstStyle/>
        <a:p>
          <a:endParaRPr lang="cs-CZ"/>
        </a:p>
      </dgm:t>
    </dgm:pt>
    <dgm:pt modelId="{15887263-207D-4210-95AC-B592B74E4F6C}" type="pres">
      <dgm:prSet presAssocID="{9E2F107E-020C-47D8-8F44-613381DE20D2}" presName="conn2-1" presStyleLbl="parChTrans1D3" presStyleIdx="4" presStyleCnt="6"/>
      <dgm:spPr/>
      <dgm:t>
        <a:bodyPr/>
        <a:lstStyle/>
        <a:p>
          <a:endParaRPr lang="cs-CZ"/>
        </a:p>
      </dgm:t>
    </dgm:pt>
    <dgm:pt modelId="{AEA2E8D4-FB3E-4EE2-AC37-719901D3A702}" type="pres">
      <dgm:prSet presAssocID="{9E2F107E-020C-47D8-8F44-613381DE20D2}" presName="connTx" presStyleLbl="parChTrans1D3" presStyleIdx="4" presStyleCnt="6"/>
      <dgm:spPr/>
      <dgm:t>
        <a:bodyPr/>
        <a:lstStyle/>
        <a:p>
          <a:endParaRPr lang="cs-CZ"/>
        </a:p>
      </dgm:t>
    </dgm:pt>
    <dgm:pt modelId="{884F08A1-5132-4053-9F05-EB7F95607F12}" type="pres">
      <dgm:prSet presAssocID="{757D8820-B307-475C-9A5B-EC1FC9E2252A}" presName="root2" presStyleCnt="0"/>
      <dgm:spPr/>
      <dgm:t>
        <a:bodyPr/>
        <a:lstStyle/>
        <a:p>
          <a:endParaRPr lang="cs-CZ"/>
        </a:p>
      </dgm:t>
    </dgm:pt>
    <dgm:pt modelId="{F774DC6C-EE24-43D3-A7DE-8EF6E2EAAE4F}" type="pres">
      <dgm:prSet presAssocID="{757D8820-B307-475C-9A5B-EC1FC9E2252A}" presName="LevelTwoTextNode" presStyleLbl="node3" presStyleIdx="4" presStyleCnt="6">
        <dgm:presLayoutVars>
          <dgm:chPref val="3"/>
        </dgm:presLayoutVars>
      </dgm:prSet>
      <dgm:spPr/>
      <dgm:t>
        <a:bodyPr/>
        <a:lstStyle/>
        <a:p>
          <a:endParaRPr lang="cs-CZ"/>
        </a:p>
      </dgm:t>
    </dgm:pt>
    <dgm:pt modelId="{59DAAAB6-8119-472C-AAE8-D4AAA89A2E04}" type="pres">
      <dgm:prSet presAssocID="{757D8820-B307-475C-9A5B-EC1FC9E2252A}" presName="level3hierChild" presStyleCnt="0"/>
      <dgm:spPr/>
      <dgm:t>
        <a:bodyPr/>
        <a:lstStyle/>
        <a:p>
          <a:endParaRPr lang="cs-CZ"/>
        </a:p>
      </dgm:t>
    </dgm:pt>
    <dgm:pt modelId="{6042E4D5-8641-472B-A8C4-B1D85D162DE8}" type="pres">
      <dgm:prSet presAssocID="{DDDE9066-0306-4ADB-8CFC-23ACD44D4860}" presName="conn2-1" presStyleLbl="parChTrans1D3" presStyleIdx="5" presStyleCnt="6"/>
      <dgm:spPr/>
      <dgm:t>
        <a:bodyPr/>
        <a:lstStyle/>
        <a:p>
          <a:endParaRPr lang="cs-CZ"/>
        </a:p>
      </dgm:t>
    </dgm:pt>
    <dgm:pt modelId="{6B68EC45-0398-4B31-9B67-DB93902B75C5}" type="pres">
      <dgm:prSet presAssocID="{DDDE9066-0306-4ADB-8CFC-23ACD44D4860}" presName="connTx" presStyleLbl="parChTrans1D3" presStyleIdx="5" presStyleCnt="6"/>
      <dgm:spPr/>
      <dgm:t>
        <a:bodyPr/>
        <a:lstStyle/>
        <a:p>
          <a:endParaRPr lang="cs-CZ"/>
        </a:p>
      </dgm:t>
    </dgm:pt>
    <dgm:pt modelId="{6964B0E8-16ED-431A-87F6-C5AF45F765F6}" type="pres">
      <dgm:prSet presAssocID="{840464C2-5471-4F2C-97C4-D0CCB6D8A3BA}" presName="root2" presStyleCnt="0"/>
      <dgm:spPr/>
      <dgm:t>
        <a:bodyPr/>
        <a:lstStyle/>
        <a:p>
          <a:endParaRPr lang="cs-CZ"/>
        </a:p>
      </dgm:t>
    </dgm:pt>
    <dgm:pt modelId="{CE0C7CCA-08BC-4D87-BA47-412C9D29B361}" type="pres">
      <dgm:prSet presAssocID="{840464C2-5471-4F2C-97C4-D0CCB6D8A3BA}" presName="LevelTwoTextNode" presStyleLbl="node3" presStyleIdx="5" presStyleCnt="6">
        <dgm:presLayoutVars>
          <dgm:chPref val="3"/>
        </dgm:presLayoutVars>
      </dgm:prSet>
      <dgm:spPr/>
      <dgm:t>
        <a:bodyPr/>
        <a:lstStyle/>
        <a:p>
          <a:endParaRPr lang="cs-CZ"/>
        </a:p>
      </dgm:t>
    </dgm:pt>
    <dgm:pt modelId="{4246A561-1279-4988-849C-D39AD825CB47}" type="pres">
      <dgm:prSet presAssocID="{840464C2-5471-4F2C-97C4-D0CCB6D8A3BA}" presName="level3hierChild" presStyleCnt="0"/>
      <dgm:spPr/>
      <dgm:t>
        <a:bodyPr/>
        <a:lstStyle/>
        <a:p>
          <a:endParaRPr lang="cs-CZ"/>
        </a:p>
      </dgm:t>
    </dgm:pt>
  </dgm:ptLst>
  <dgm:cxnLst>
    <dgm:cxn modelId="{5E0D700A-2861-41BB-BE9F-4B444A204A01}" type="presOf" srcId="{BAF81FCC-091A-4690-B6C2-CEC52778E156}" destId="{5476F521-F98F-4357-9DED-DBBB57776AF0}" srcOrd="1" destOrd="0" presId="urn:microsoft.com/office/officeart/2005/8/layout/hierarchy2"/>
    <dgm:cxn modelId="{EADC0563-0B4C-4020-B97E-66A3CFBC6830}" type="presOf" srcId="{0C29B2B3-C080-4485-AF66-A7C233B7DD72}" destId="{4653B652-A80D-46C3-96D8-77D26C306C08}" srcOrd="0" destOrd="0" presId="urn:microsoft.com/office/officeart/2005/8/layout/hierarchy2"/>
    <dgm:cxn modelId="{E9A23260-65F1-47CC-9BB3-3000FE0A3433}" type="presOf" srcId="{29E58496-161C-45C4-A0C4-D7D974AB48EC}" destId="{BA197E5E-CBF4-4C51-9B6D-6A023399C053}" srcOrd="0" destOrd="0" presId="urn:microsoft.com/office/officeart/2005/8/layout/hierarchy2"/>
    <dgm:cxn modelId="{1E762562-7D5B-4F49-831A-14292EADF470}" type="presOf" srcId="{B5924757-B594-4291-ACEB-D21E22A7FDAD}" destId="{4C0854FA-7DCF-4673-8A50-626F2CF043EB}" srcOrd="0" destOrd="0" presId="urn:microsoft.com/office/officeart/2005/8/layout/hierarchy2"/>
    <dgm:cxn modelId="{E03DC1AF-3191-4168-AF5A-11B2624B457E}" type="presOf" srcId="{9E2F107E-020C-47D8-8F44-613381DE20D2}" destId="{15887263-207D-4210-95AC-B592B74E4F6C}" srcOrd="0" destOrd="0" presId="urn:microsoft.com/office/officeart/2005/8/layout/hierarchy2"/>
    <dgm:cxn modelId="{DD477270-F525-4232-8BB4-C393F228B012}" srcId="{42D42A89-4881-49D9-821F-ED7B0CC6194F}" destId="{2869E462-6EA3-4C62-9337-D9CCFE52EECB}" srcOrd="0" destOrd="0" parTransId="{D0951ED7-4EC7-4BEE-9B3B-093E71724E7E}" sibTransId="{9FA0E91A-CEE0-4606-808F-1A65E960859E}"/>
    <dgm:cxn modelId="{4F3608F9-2C99-4275-A562-10A310EF0414}" srcId="{91FA0FFB-ED81-45EC-972B-D7CD4517082F}" destId="{0C29B2B3-C080-4485-AF66-A7C233B7DD72}" srcOrd="2" destOrd="0" parTransId="{1013B02C-C02F-49EC-AD77-970055255F7B}" sibTransId="{CD2E8C2A-E21D-4B97-B4E8-8CDE6D6A68F7}"/>
    <dgm:cxn modelId="{9C55DF81-9960-4F87-B101-F749965C1B9B}" srcId="{91FA0FFB-ED81-45EC-972B-D7CD4517082F}" destId="{B5924757-B594-4291-ACEB-D21E22A7FDAD}" srcOrd="3" destOrd="0" parTransId="{3210243D-9995-470F-A1CD-E976522DF791}" sibTransId="{9860793E-454B-4ED0-9196-84848653BD31}"/>
    <dgm:cxn modelId="{61B4DF8B-1F7C-4F38-88AA-7A3CC7788DE2}" srcId="{2869E462-6EA3-4C62-9337-D9CCFE52EECB}" destId="{91FA0FFB-ED81-45EC-972B-D7CD4517082F}" srcOrd="0" destOrd="0" parTransId="{D6423994-061F-4A89-B2C3-264C09F277DB}" sibTransId="{B34BE060-A2BD-482A-B8F4-C83ABF2DCF47}"/>
    <dgm:cxn modelId="{C022F5AA-E964-438A-9DBD-2B303557E3E3}" srcId="{91FA0FFB-ED81-45EC-972B-D7CD4517082F}" destId="{29E58496-161C-45C4-A0C4-D7D974AB48EC}" srcOrd="0" destOrd="0" parTransId="{BAF81FCC-091A-4690-B6C2-CEC52778E156}" sibTransId="{6859C727-0649-4F8B-97C6-92EAD636DE56}"/>
    <dgm:cxn modelId="{17A27E42-D476-48DE-86F0-D585D3FB35CA}" type="presOf" srcId="{D6423994-061F-4A89-B2C3-264C09F277DB}" destId="{05BFCFEE-9A09-4E2C-9CF4-508D49908747}" srcOrd="0" destOrd="0" presId="urn:microsoft.com/office/officeart/2005/8/layout/hierarchy2"/>
    <dgm:cxn modelId="{60311FC6-8A9C-4812-B860-058BEDBBDE07}" srcId="{91FA0FFB-ED81-45EC-972B-D7CD4517082F}" destId="{840464C2-5471-4F2C-97C4-D0CCB6D8A3BA}" srcOrd="5" destOrd="0" parTransId="{DDDE9066-0306-4ADB-8CFC-23ACD44D4860}" sibTransId="{AC13BAB5-2AED-49F2-9B2C-C7C96FF2A9C4}"/>
    <dgm:cxn modelId="{74C0451C-27BA-4CAC-985E-B82E166A1D1F}" type="presOf" srcId="{3210243D-9995-470F-A1CD-E976522DF791}" destId="{460A4943-3130-4642-9EE1-D49C20B6EC02}" srcOrd="1" destOrd="0" presId="urn:microsoft.com/office/officeart/2005/8/layout/hierarchy2"/>
    <dgm:cxn modelId="{61EB0A91-818E-43ED-B2A2-BACEC3774B07}" type="presOf" srcId="{BAF81FCC-091A-4690-B6C2-CEC52778E156}" destId="{DA6D09EF-949E-41F5-9359-F0009D34CEBA}" srcOrd="0" destOrd="0" presId="urn:microsoft.com/office/officeart/2005/8/layout/hierarchy2"/>
    <dgm:cxn modelId="{DBE792C2-EDA1-49E0-B2CD-A96C44C6F7EF}" type="presOf" srcId="{9E2F107E-020C-47D8-8F44-613381DE20D2}" destId="{AEA2E8D4-FB3E-4EE2-AC37-719901D3A702}" srcOrd="1" destOrd="0" presId="urn:microsoft.com/office/officeart/2005/8/layout/hierarchy2"/>
    <dgm:cxn modelId="{294BB9AA-B9BA-42B3-A0F9-58524F91DB33}" type="presOf" srcId="{42D42A89-4881-49D9-821F-ED7B0CC6194F}" destId="{00EA28C5-9445-42A0-ADFD-D5ABE7A1CA5A}" srcOrd="0" destOrd="0" presId="urn:microsoft.com/office/officeart/2005/8/layout/hierarchy2"/>
    <dgm:cxn modelId="{71755A5D-8B9E-4476-87BC-C522AEC8DFBF}" srcId="{91FA0FFB-ED81-45EC-972B-D7CD4517082F}" destId="{5EA516E1-19F9-48D1-9A53-21A97874D24C}" srcOrd="1" destOrd="0" parTransId="{52410DD9-A571-4C29-BCFA-5F88FA94E16A}" sibTransId="{8C2E652F-C9A9-407A-8F52-BC4CD33A5741}"/>
    <dgm:cxn modelId="{DB57C0C6-C8BD-4E53-A37D-EDB79470427A}" type="presOf" srcId="{1013B02C-C02F-49EC-AD77-970055255F7B}" destId="{72B2D8BA-7DC1-4DC7-8345-EFECB3E6D296}" srcOrd="0" destOrd="0" presId="urn:microsoft.com/office/officeart/2005/8/layout/hierarchy2"/>
    <dgm:cxn modelId="{9DF8564C-FE98-4EF4-96C0-870591CDF916}" type="presOf" srcId="{52410DD9-A571-4C29-BCFA-5F88FA94E16A}" destId="{4236A9D8-B31E-431A-8042-09FF601D099B}" srcOrd="0" destOrd="0" presId="urn:microsoft.com/office/officeart/2005/8/layout/hierarchy2"/>
    <dgm:cxn modelId="{C3817626-5C08-40E5-BEB8-3051073199BC}" type="presOf" srcId="{52410DD9-A571-4C29-BCFA-5F88FA94E16A}" destId="{2A2411F6-7723-45F7-80C0-E525D32DB077}" srcOrd="1" destOrd="0" presId="urn:microsoft.com/office/officeart/2005/8/layout/hierarchy2"/>
    <dgm:cxn modelId="{15E04F0D-A5CD-4082-963D-565800279BF8}" type="presOf" srcId="{91FA0FFB-ED81-45EC-972B-D7CD4517082F}" destId="{A3EE20D0-6BAF-47EE-AC27-DF05CD6039CA}" srcOrd="0" destOrd="0" presId="urn:microsoft.com/office/officeart/2005/8/layout/hierarchy2"/>
    <dgm:cxn modelId="{AC0F5BCB-918D-4095-A114-5CCDDA67FF69}" type="presOf" srcId="{757D8820-B307-475C-9A5B-EC1FC9E2252A}" destId="{F774DC6C-EE24-43D3-A7DE-8EF6E2EAAE4F}" srcOrd="0" destOrd="0" presId="urn:microsoft.com/office/officeart/2005/8/layout/hierarchy2"/>
    <dgm:cxn modelId="{99140DD6-15F8-443A-866F-C70ADCDF1DAB}" srcId="{91FA0FFB-ED81-45EC-972B-D7CD4517082F}" destId="{757D8820-B307-475C-9A5B-EC1FC9E2252A}" srcOrd="4" destOrd="0" parTransId="{9E2F107E-020C-47D8-8F44-613381DE20D2}" sibTransId="{CFBFCF8D-10D6-4214-AFFC-37ACABDEC9C6}"/>
    <dgm:cxn modelId="{825810F1-F6B7-4296-B4D2-C7F6A2358B98}" type="presOf" srcId="{2869E462-6EA3-4C62-9337-D9CCFE52EECB}" destId="{635049B3-40A4-4DF4-8ACF-6336977A938A}" srcOrd="0" destOrd="0" presId="urn:microsoft.com/office/officeart/2005/8/layout/hierarchy2"/>
    <dgm:cxn modelId="{343C74B4-9AE2-4A5C-9511-09E2F6C92F2A}" type="presOf" srcId="{1013B02C-C02F-49EC-AD77-970055255F7B}" destId="{765790E4-092A-4939-918E-3CC08572B9E4}" srcOrd="1" destOrd="0" presId="urn:microsoft.com/office/officeart/2005/8/layout/hierarchy2"/>
    <dgm:cxn modelId="{4F5733D4-EB80-4CE2-8AFB-BE31B9B047E9}" type="presOf" srcId="{DDDE9066-0306-4ADB-8CFC-23ACD44D4860}" destId="{6B68EC45-0398-4B31-9B67-DB93902B75C5}" srcOrd="1" destOrd="0" presId="urn:microsoft.com/office/officeart/2005/8/layout/hierarchy2"/>
    <dgm:cxn modelId="{07ED5C45-4083-4C70-980B-D894853BB202}" type="presOf" srcId="{3210243D-9995-470F-A1CD-E976522DF791}" destId="{EB11A365-27D7-437B-A6F0-E3413DED2E16}" srcOrd="0" destOrd="0" presId="urn:microsoft.com/office/officeart/2005/8/layout/hierarchy2"/>
    <dgm:cxn modelId="{2C3E7DA3-6EF5-4A30-BDE8-2B0991482AF7}" type="presOf" srcId="{DDDE9066-0306-4ADB-8CFC-23ACD44D4860}" destId="{6042E4D5-8641-472B-A8C4-B1D85D162DE8}" srcOrd="0" destOrd="0" presId="urn:microsoft.com/office/officeart/2005/8/layout/hierarchy2"/>
    <dgm:cxn modelId="{710E326D-3BCC-4AC0-B552-1B9E00049C00}" type="presOf" srcId="{5EA516E1-19F9-48D1-9A53-21A97874D24C}" destId="{E3CE1E3C-9FF9-4F83-B694-AD0E2A25FAB4}" srcOrd="0" destOrd="0" presId="urn:microsoft.com/office/officeart/2005/8/layout/hierarchy2"/>
    <dgm:cxn modelId="{057F12E0-79D9-4707-B7EA-3BB35B0EE5F1}" type="presOf" srcId="{D6423994-061F-4A89-B2C3-264C09F277DB}" destId="{E93CF6B8-97FC-4E12-BE3A-F11A5B24ADCA}" srcOrd="1" destOrd="0" presId="urn:microsoft.com/office/officeart/2005/8/layout/hierarchy2"/>
    <dgm:cxn modelId="{B2CE5662-A7D8-4198-9278-709AA3956BFA}" type="presOf" srcId="{840464C2-5471-4F2C-97C4-D0CCB6D8A3BA}" destId="{CE0C7CCA-08BC-4D87-BA47-412C9D29B361}" srcOrd="0" destOrd="0" presId="urn:microsoft.com/office/officeart/2005/8/layout/hierarchy2"/>
    <dgm:cxn modelId="{48F777D7-AE84-4294-9288-CEC22FC08480}" type="presParOf" srcId="{00EA28C5-9445-42A0-ADFD-D5ABE7A1CA5A}" destId="{800125F7-7321-4272-9330-B8401783B587}" srcOrd="0" destOrd="0" presId="urn:microsoft.com/office/officeart/2005/8/layout/hierarchy2"/>
    <dgm:cxn modelId="{C4432281-60FA-4AD3-92DF-B2ABCBB755D1}" type="presParOf" srcId="{800125F7-7321-4272-9330-B8401783B587}" destId="{635049B3-40A4-4DF4-8ACF-6336977A938A}" srcOrd="0" destOrd="0" presId="urn:microsoft.com/office/officeart/2005/8/layout/hierarchy2"/>
    <dgm:cxn modelId="{F508EE05-4DDD-4DB0-A728-10AB0E48EA6B}" type="presParOf" srcId="{800125F7-7321-4272-9330-B8401783B587}" destId="{6CECEA1B-477D-45DC-AC27-D736431027DB}" srcOrd="1" destOrd="0" presId="urn:microsoft.com/office/officeart/2005/8/layout/hierarchy2"/>
    <dgm:cxn modelId="{93AE0C59-B35E-4146-8263-B8AB59CFF56B}" type="presParOf" srcId="{6CECEA1B-477D-45DC-AC27-D736431027DB}" destId="{05BFCFEE-9A09-4E2C-9CF4-508D49908747}" srcOrd="0" destOrd="0" presId="urn:microsoft.com/office/officeart/2005/8/layout/hierarchy2"/>
    <dgm:cxn modelId="{B595FAE7-8DC9-4B24-AA63-D7321C5038D0}" type="presParOf" srcId="{05BFCFEE-9A09-4E2C-9CF4-508D49908747}" destId="{E93CF6B8-97FC-4E12-BE3A-F11A5B24ADCA}" srcOrd="0" destOrd="0" presId="urn:microsoft.com/office/officeart/2005/8/layout/hierarchy2"/>
    <dgm:cxn modelId="{E7942114-767C-4FA9-8FA3-98395AE0C0A6}" type="presParOf" srcId="{6CECEA1B-477D-45DC-AC27-D736431027DB}" destId="{E5A24C41-5EF5-4DA6-97A8-79F90E13FA49}" srcOrd="1" destOrd="0" presId="urn:microsoft.com/office/officeart/2005/8/layout/hierarchy2"/>
    <dgm:cxn modelId="{32EC6D58-7882-409A-A226-9BD124325DA0}" type="presParOf" srcId="{E5A24C41-5EF5-4DA6-97A8-79F90E13FA49}" destId="{A3EE20D0-6BAF-47EE-AC27-DF05CD6039CA}" srcOrd="0" destOrd="0" presId="urn:microsoft.com/office/officeart/2005/8/layout/hierarchy2"/>
    <dgm:cxn modelId="{B4201144-9508-42E8-B088-A9307BDC62A5}" type="presParOf" srcId="{E5A24C41-5EF5-4DA6-97A8-79F90E13FA49}" destId="{F35A2341-C4B5-4C24-B253-C83D7DEDDE04}" srcOrd="1" destOrd="0" presId="urn:microsoft.com/office/officeart/2005/8/layout/hierarchy2"/>
    <dgm:cxn modelId="{3A07A346-B509-4425-8D1B-9686A6FE38F8}" type="presParOf" srcId="{F35A2341-C4B5-4C24-B253-C83D7DEDDE04}" destId="{DA6D09EF-949E-41F5-9359-F0009D34CEBA}" srcOrd="0" destOrd="0" presId="urn:microsoft.com/office/officeart/2005/8/layout/hierarchy2"/>
    <dgm:cxn modelId="{68E118C2-DDAC-4D24-B74A-44383852AE05}" type="presParOf" srcId="{DA6D09EF-949E-41F5-9359-F0009D34CEBA}" destId="{5476F521-F98F-4357-9DED-DBBB57776AF0}" srcOrd="0" destOrd="0" presId="urn:microsoft.com/office/officeart/2005/8/layout/hierarchy2"/>
    <dgm:cxn modelId="{F3FE9D8A-192C-43A8-9CD7-0893DA1675B9}" type="presParOf" srcId="{F35A2341-C4B5-4C24-B253-C83D7DEDDE04}" destId="{3C0420EF-118E-4350-BEC2-205F7AA83582}" srcOrd="1" destOrd="0" presId="urn:microsoft.com/office/officeart/2005/8/layout/hierarchy2"/>
    <dgm:cxn modelId="{063C2F13-89E3-4F39-BAC3-6C9BA5357D64}" type="presParOf" srcId="{3C0420EF-118E-4350-BEC2-205F7AA83582}" destId="{BA197E5E-CBF4-4C51-9B6D-6A023399C053}" srcOrd="0" destOrd="0" presId="urn:microsoft.com/office/officeart/2005/8/layout/hierarchy2"/>
    <dgm:cxn modelId="{3307BCA1-27AF-4FA9-9995-075E394934CA}" type="presParOf" srcId="{3C0420EF-118E-4350-BEC2-205F7AA83582}" destId="{FBE374BC-3E46-47C2-8C48-59E59D8C567E}" srcOrd="1" destOrd="0" presId="urn:microsoft.com/office/officeart/2005/8/layout/hierarchy2"/>
    <dgm:cxn modelId="{B77E5276-310C-42C6-82B2-CDB2EAEDADD5}" type="presParOf" srcId="{F35A2341-C4B5-4C24-B253-C83D7DEDDE04}" destId="{4236A9D8-B31E-431A-8042-09FF601D099B}" srcOrd="2" destOrd="0" presId="urn:microsoft.com/office/officeart/2005/8/layout/hierarchy2"/>
    <dgm:cxn modelId="{75BD2E63-43A2-448B-BE5D-2DBECA08BC99}" type="presParOf" srcId="{4236A9D8-B31E-431A-8042-09FF601D099B}" destId="{2A2411F6-7723-45F7-80C0-E525D32DB077}" srcOrd="0" destOrd="0" presId="urn:microsoft.com/office/officeart/2005/8/layout/hierarchy2"/>
    <dgm:cxn modelId="{D851C3F0-8658-408D-8C76-B039472CBAA8}" type="presParOf" srcId="{F35A2341-C4B5-4C24-B253-C83D7DEDDE04}" destId="{97216C6A-ADAC-450B-A69E-783748B104C9}" srcOrd="3" destOrd="0" presId="urn:microsoft.com/office/officeart/2005/8/layout/hierarchy2"/>
    <dgm:cxn modelId="{9AAD16B0-F796-44E2-BEA8-3CF22053267F}" type="presParOf" srcId="{97216C6A-ADAC-450B-A69E-783748B104C9}" destId="{E3CE1E3C-9FF9-4F83-B694-AD0E2A25FAB4}" srcOrd="0" destOrd="0" presId="urn:microsoft.com/office/officeart/2005/8/layout/hierarchy2"/>
    <dgm:cxn modelId="{CB20A88C-0A76-44E4-AEF1-D699BA0B8923}" type="presParOf" srcId="{97216C6A-ADAC-450B-A69E-783748B104C9}" destId="{0CC89692-E725-4E7A-B8FD-4C407D28A6B5}" srcOrd="1" destOrd="0" presId="urn:microsoft.com/office/officeart/2005/8/layout/hierarchy2"/>
    <dgm:cxn modelId="{60A567A8-8F96-4C63-82C9-2505421364F1}" type="presParOf" srcId="{F35A2341-C4B5-4C24-B253-C83D7DEDDE04}" destId="{72B2D8BA-7DC1-4DC7-8345-EFECB3E6D296}" srcOrd="4" destOrd="0" presId="urn:microsoft.com/office/officeart/2005/8/layout/hierarchy2"/>
    <dgm:cxn modelId="{50F0B986-DC33-44CF-A643-20893D825ABE}" type="presParOf" srcId="{72B2D8BA-7DC1-4DC7-8345-EFECB3E6D296}" destId="{765790E4-092A-4939-918E-3CC08572B9E4}" srcOrd="0" destOrd="0" presId="urn:microsoft.com/office/officeart/2005/8/layout/hierarchy2"/>
    <dgm:cxn modelId="{12C2677F-0654-4BB0-96A6-71EE1FB92BE9}" type="presParOf" srcId="{F35A2341-C4B5-4C24-B253-C83D7DEDDE04}" destId="{8DBB1FCA-8D34-4054-ACAF-1686E9EC83B7}" srcOrd="5" destOrd="0" presId="urn:microsoft.com/office/officeart/2005/8/layout/hierarchy2"/>
    <dgm:cxn modelId="{76401E81-3193-4AF0-8B1B-EA1F508B8A0F}" type="presParOf" srcId="{8DBB1FCA-8D34-4054-ACAF-1686E9EC83B7}" destId="{4653B652-A80D-46C3-96D8-77D26C306C08}" srcOrd="0" destOrd="0" presId="urn:microsoft.com/office/officeart/2005/8/layout/hierarchy2"/>
    <dgm:cxn modelId="{C8284A12-83E5-41EE-B84E-D58DADC050F1}" type="presParOf" srcId="{8DBB1FCA-8D34-4054-ACAF-1686E9EC83B7}" destId="{46D75D0C-0FC0-4A65-9E9F-63656ED5ECD3}" srcOrd="1" destOrd="0" presId="urn:microsoft.com/office/officeart/2005/8/layout/hierarchy2"/>
    <dgm:cxn modelId="{32799835-2EF6-4320-A844-CB2C3E51C77C}" type="presParOf" srcId="{F35A2341-C4B5-4C24-B253-C83D7DEDDE04}" destId="{EB11A365-27D7-437B-A6F0-E3413DED2E16}" srcOrd="6" destOrd="0" presId="urn:microsoft.com/office/officeart/2005/8/layout/hierarchy2"/>
    <dgm:cxn modelId="{7E7CAA55-9B5F-4999-BCCC-4F244101BD26}" type="presParOf" srcId="{EB11A365-27D7-437B-A6F0-E3413DED2E16}" destId="{460A4943-3130-4642-9EE1-D49C20B6EC02}" srcOrd="0" destOrd="0" presId="urn:microsoft.com/office/officeart/2005/8/layout/hierarchy2"/>
    <dgm:cxn modelId="{D3D84B3E-97A9-44D6-B56A-20311978BF03}" type="presParOf" srcId="{F35A2341-C4B5-4C24-B253-C83D7DEDDE04}" destId="{C929654D-223E-45E9-AAB9-1279D7EDC8C1}" srcOrd="7" destOrd="0" presId="urn:microsoft.com/office/officeart/2005/8/layout/hierarchy2"/>
    <dgm:cxn modelId="{404959AA-078E-49EF-8C3F-30D4DE8B1FB1}" type="presParOf" srcId="{C929654D-223E-45E9-AAB9-1279D7EDC8C1}" destId="{4C0854FA-7DCF-4673-8A50-626F2CF043EB}" srcOrd="0" destOrd="0" presId="urn:microsoft.com/office/officeart/2005/8/layout/hierarchy2"/>
    <dgm:cxn modelId="{A01EB1A8-9BCC-4B5E-9BCA-3368D404BF1D}" type="presParOf" srcId="{C929654D-223E-45E9-AAB9-1279D7EDC8C1}" destId="{E5927BAA-52CA-478E-AE03-5B901720A775}" srcOrd="1" destOrd="0" presId="urn:microsoft.com/office/officeart/2005/8/layout/hierarchy2"/>
    <dgm:cxn modelId="{84144C4E-7549-4D41-88E9-30A9066193E4}" type="presParOf" srcId="{F35A2341-C4B5-4C24-B253-C83D7DEDDE04}" destId="{15887263-207D-4210-95AC-B592B74E4F6C}" srcOrd="8" destOrd="0" presId="urn:microsoft.com/office/officeart/2005/8/layout/hierarchy2"/>
    <dgm:cxn modelId="{526581BE-688C-4A6E-B89C-8B414EFF1B3F}" type="presParOf" srcId="{15887263-207D-4210-95AC-B592B74E4F6C}" destId="{AEA2E8D4-FB3E-4EE2-AC37-719901D3A702}" srcOrd="0" destOrd="0" presId="urn:microsoft.com/office/officeart/2005/8/layout/hierarchy2"/>
    <dgm:cxn modelId="{0C821291-F5EA-46C8-94BB-278098577BFD}" type="presParOf" srcId="{F35A2341-C4B5-4C24-B253-C83D7DEDDE04}" destId="{884F08A1-5132-4053-9F05-EB7F95607F12}" srcOrd="9" destOrd="0" presId="urn:microsoft.com/office/officeart/2005/8/layout/hierarchy2"/>
    <dgm:cxn modelId="{84956BC8-8EE0-4D05-93A0-E0543C77AB9A}" type="presParOf" srcId="{884F08A1-5132-4053-9F05-EB7F95607F12}" destId="{F774DC6C-EE24-43D3-A7DE-8EF6E2EAAE4F}" srcOrd="0" destOrd="0" presId="urn:microsoft.com/office/officeart/2005/8/layout/hierarchy2"/>
    <dgm:cxn modelId="{2B344FA8-0F90-48A6-B2F1-FAFD330C841C}" type="presParOf" srcId="{884F08A1-5132-4053-9F05-EB7F95607F12}" destId="{59DAAAB6-8119-472C-AAE8-D4AAA89A2E04}" srcOrd="1" destOrd="0" presId="urn:microsoft.com/office/officeart/2005/8/layout/hierarchy2"/>
    <dgm:cxn modelId="{18AB5187-BB86-4F37-AA00-3E9636CCF511}" type="presParOf" srcId="{F35A2341-C4B5-4C24-B253-C83D7DEDDE04}" destId="{6042E4D5-8641-472B-A8C4-B1D85D162DE8}" srcOrd="10" destOrd="0" presId="urn:microsoft.com/office/officeart/2005/8/layout/hierarchy2"/>
    <dgm:cxn modelId="{0DE20ECE-C3AE-49FE-A2BF-87F3212AE78C}" type="presParOf" srcId="{6042E4D5-8641-472B-A8C4-B1D85D162DE8}" destId="{6B68EC45-0398-4B31-9B67-DB93902B75C5}" srcOrd="0" destOrd="0" presId="urn:microsoft.com/office/officeart/2005/8/layout/hierarchy2"/>
    <dgm:cxn modelId="{32BF84B3-5DDA-45AF-8B62-2B27CFD0F2CC}" type="presParOf" srcId="{F35A2341-C4B5-4C24-B253-C83D7DEDDE04}" destId="{6964B0E8-16ED-431A-87F6-C5AF45F765F6}" srcOrd="11" destOrd="0" presId="urn:microsoft.com/office/officeart/2005/8/layout/hierarchy2"/>
    <dgm:cxn modelId="{6AFEDAB2-4B01-465E-9634-67ACA54D2333}" type="presParOf" srcId="{6964B0E8-16ED-431A-87F6-C5AF45F765F6}" destId="{CE0C7CCA-08BC-4D87-BA47-412C9D29B361}" srcOrd="0" destOrd="0" presId="urn:microsoft.com/office/officeart/2005/8/layout/hierarchy2"/>
    <dgm:cxn modelId="{5AD6D5FA-BB32-452A-8684-F7EA08B108DB}" type="presParOf" srcId="{6964B0E8-16ED-431A-87F6-C5AF45F765F6}" destId="{4246A561-1279-4988-849C-D39AD825CB47}"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FABD56-70AD-4A47-8426-4F9C6D6D5CED}">
      <dsp:nvSpPr>
        <dsp:cNvPr id="0" name=""/>
        <dsp:cNvSpPr/>
      </dsp:nvSpPr>
      <dsp:spPr>
        <a:xfrm>
          <a:off x="-27726" y="55365"/>
          <a:ext cx="1877058" cy="1677371"/>
        </a:xfrm>
        <a:prstGeom prst="ellipse">
          <a:avLst/>
        </a:prstGeom>
        <a:gradFill rotWithShape="0">
          <a:gsLst>
            <a:gs pos="0">
              <a:schemeClr val="accent3">
                <a:shade val="80000"/>
                <a:alpha val="50000"/>
                <a:hueOff val="0"/>
                <a:satOff val="0"/>
                <a:lumOff val="0"/>
                <a:alphaOff val="0"/>
                <a:satMod val="103000"/>
                <a:lumMod val="102000"/>
                <a:tint val="94000"/>
              </a:schemeClr>
            </a:gs>
            <a:gs pos="50000">
              <a:schemeClr val="accent3">
                <a:shade val="80000"/>
                <a:alpha val="50000"/>
                <a:hueOff val="0"/>
                <a:satOff val="0"/>
                <a:lumOff val="0"/>
                <a:alphaOff val="0"/>
                <a:satMod val="110000"/>
                <a:lumMod val="100000"/>
                <a:shade val="100000"/>
              </a:schemeClr>
            </a:gs>
            <a:gs pos="100000">
              <a:schemeClr val="accent3">
                <a:shade val="80000"/>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667000">
            <a:lnSpc>
              <a:spcPct val="90000"/>
            </a:lnSpc>
            <a:spcBef>
              <a:spcPct val="0"/>
            </a:spcBef>
            <a:spcAft>
              <a:spcPct val="35000"/>
            </a:spcAft>
          </a:pPr>
          <a:r>
            <a:rPr lang="cs-CZ" sz="6000" kern="1200">
              <a:latin typeface="Times New Roman" panose="02020603050405020304" pitchFamily="18" charset="0"/>
              <a:cs typeface="Times New Roman" panose="02020603050405020304" pitchFamily="18" charset="0"/>
            </a:rPr>
            <a:t>X</a:t>
          </a:r>
        </a:p>
      </dsp:txBody>
      <dsp:txXfrm>
        <a:off x="234385" y="253163"/>
        <a:ext cx="1082267" cy="1281775"/>
      </dsp:txXfrm>
    </dsp:sp>
    <dsp:sp modelId="{5DD39A13-97A3-438A-BF0E-31E5495DCFFE}">
      <dsp:nvSpPr>
        <dsp:cNvPr id="0" name=""/>
        <dsp:cNvSpPr/>
      </dsp:nvSpPr>
      <dsp:spPr>
        <a:xfrm>
          <a:off x="1015709" y="1115875"/>
          <a:ext cx="535823" cy="444230"/>
        </a:xfrm>
        <a:prstGeom prst="ellipse">
          <a:avLst/>
        </a:prstGeom>
        <a:gradFill rotWithShape="0">
          <a:gsLst>
            <a:gs pos="0">
              <a:schemeClr val="accent3">
                <a:shade val="80000"/>
                <a:alpha val="50000"/>
                <a:hueOff val="0"/>
                <a:satOff val="0"/>
                <a:lumOff val="6233"/>
                <a:alphaOff val="30000"/>
                <a:satMod val="103000"/>
                <a:lumMod val="102000"/>
                <a:tint val="94000"/>
              </a:schemeClr>
            </a:gs>
            <a:gs pos="50000">
              <a:schemeClr val="accent3">
                <a:shade val="80000"/>
                <a:alpha val="50000"/>
                <a:hueOff val="0"/>
                <a:satOff val="0"/>
                <a:lumOff val="6233"/>
                <a:alphaOff val="30000"/>
                <a:satMod val="110000"/>
                <a:lumMod val="100000"/>
                <a:shade val="100000"/>
              </a:schemeClr>
            </a:gs>
            <a:gs pos="100000">
              <a:schemeClr val="accent3">
                <a:shade val="80000"/>
                <a:alpha val="50000"/>
                <a:hueOff val="0"/>
                <a:satOff val="0"/>
                <a:lumOff val="6233"/>
                <a:alphaOff val="3000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r>
            <a:rPr lang="cs-CZ" sz="2500" b="1" kern="1200">
              <a:latin typeface="Times New Roman" panose="02020603050405020304" pitchFamily="18" charset="0"/>
              <a:cs typeface="Times New Roman" panose="02020603050405020304" pitchFamily="18" charset="0"/>
            </a:rPr>
            <a:t>Y</a:t>
          </a:r>
        </a:p>
      </dsp:txBody>
      <dsp:txXfrm>
        <a:off x="1167767" y="1168259"/>
        <a:ext cx="308943" cy="3394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FABD56-70AD-4A47-8426-4F9C6D6D5CED}">
      <dsp:nvSpPr>
        <dsp:cNvPr id="0" name=""/>
        <dsp:cNvSpPr/>
      </dsp:nvSpPr>
      <dsp:spPr>
        <a:xfrm>
          <a:off x="1" y="25550"/>
          <a:ext cx="1877058" cy="1677371"/>
        </a:xfrm>
        <a:prstGeom prst="ellipse">
          <a:avLst/>
        </a:prstGeom>
        <a:gradFill rotWithShape="0">
          <a:gsLst>
            <a:gs pos="0">
              <a:schemeClr val="accent3">
                <a:shade val="80000"/>
                <a:alpha val="50000"/>
                <a:hueOff val="0"/>
                <a:satOff val="0"/>
                <a:lumOff val="0"/>
                <a:alphaOff val="0"/>
                <a:satMod val="103000"/>
                <a:lumMod val="102000"/>
                <a:tint val="94000"/>
              </a:schemeClr>
            </a:gs>
            <a:gs pos="50000">
              <a:schemeClr val="accent3">
                <a:shade val="80000"/>
                <a:alpha val="50000"/>
                <a:hueOff val="0"/>
                <a:satOff val="0"/>
                <a:lumOff val="0"/>
                <a:alphaOff val="0"/>
                <a:satMod val="110000"/>
                <a:lumMod val="100000"/>
                <a:shade val="100000"/>
              </a:schemeClr>
            </a:gs>
            <a:gs pos="100000">
              <a:schemeClr val="accent3">
                <a:shade val="80000"/>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667000">
            <a:lnSpc>
              <a:spcPct val="90000"/>
            </a:lnSpc>
            <a:spcBef>
              <a:spcPct val="0"/>
            </a:spcBef>
            <a:spcAft>
              <a:spcPct val="35000"/>
            </a:spcAft>
          </a:pPr>
          <a:r>
            <a:rPr lang="cs-CZ" sz="6000" kern="1200">
              <a:latin typeface="Times New Roman" panose="02020603050405020304" pitchFamily="18" charset="0"/>
              <a:cs typeface="Times New Roman" panose="02020603050405020304" pitchFamily="18" charset="0"/>
            </a:rPr>
            <a:t>Y</a:t>
          </a:r>
        </a:p>
      </dsp:txBody>
      <dsp:txXfrm>
        <a:off x="262113" y="223348"/>
        <a:ext cx="1082267" cy="1281775"/>
      </dsp:txXfrm>
    </dsp:sp>
    <dsp:sp modelId="{5DD39A13-97A3-438A-BF0E-31E5495DCFFE}">
      <dsp:nvSpPr>
        <dsp:cNvPr id="0" name=""/>
        <dsp:cNvSpPr/>
      </dsp:nvSpPr>
      <dsp:spPr>
        <a:xfrm>
          <a:off x="956078" y="1135752"/>
          <a:ext cx="535823" cy="444230"/>
        </a:xfrm>
        <a:prstGeom prst="ellipse">
          <a:avLst/>
        </a:prstGeom>
        <a:gradFill rotWithShape="0">
          <a:gsLst>
            <a:gs pos="0">
              <a:schemeClr val="accent3">
                <a:shade val="80000"/>
                <a:alpha val="50000"/>
                <a:hueOff val="0"/>
                <a:satOff val="0"/>
                <a:lumOff val="6233"/>
                <a:alphaOff val="30000"/>
                <a:satMod val="103000"/>
                <a:lumMod val="102000"/>
                <a:tint val="94000"/>
              </a:schemeClr>
            </a:gs>
            <a:gs pos="50000">
              <a:schemeClr val="accent3">
                <a:shade val="80000"/>
                <a:alpha val="50000"/>
                <a:hueOff val="0"/>
                <a:satOff val="0"/>
                <a:lumOff val="6233"/>
                <a:alphaOff val="30000"/>
                <a:satMod val="110000"/>
                <a:lumMod val="100000"/>
                <a:shade val="100000"/>
              </a:schemeClr>
            </a:gs>
            <a:gs pos="100000">
              <a:schemeClr val="accent3">
                <a:shade val="80000"/>
                <a:alpha val="50000"/>
                <a:hueOff val="0"/>
                <a:satOff val="0"/>
                <a:lumOff val="6233"/>
                <a:alphaOff val="3000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r>
            <a:rPr lang="cs-CZ" sz="2500" b="1" kern="1200">
              <a:latin typeface="Times New Roman" panose="02020603050405020304" pitchFamily="18" charset="0"/>
              <a:cs typeface="Times New Roman" panose="02020603050405020304" pitchFamily="18" charset="0"/>
            </a:rPr>
            <a:t>X</a:t>
          </a:r>
        </a:p>
      </dsp:txBody>
      <dsp:txXfrm>
        <a:off x="1108136" y="1188136"/>
        <a:ext cx="308943" cy="3394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5049B3-40A4-4DF4-8ACF-6336977A938A}">
      <dsp:nvSpPr>
        <dsp:cNvPr id="0" name=""/>
        <dsp:cNvSpPr/>
      </dsp:nvSpPr>
      <dsp:spPr>
        <a:xfrm>
          <a:off x="3833347" y="1545515"/>
          <a:ext cx="1073447" cy="53672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cs-CZ" sz="1500" kern="1200">
              <a:latin typeface="Times New Roman" panose="02020603050405020304" pitchFamily="18" charset="0"/>
              <a:cs typeface="Times New Roman" panose="02020603050405020304" pitchFamily="18" charset="0"/>
            </a:rPr>
            <a:t>Pomoc</a:t>
          </a:r>
        </a:p>
      </dsp:txBody>
      <dsp:txXfrm>
        <a:off x="3849067" y="1561235"/>
        <a:ext cx="1042007" cy="505283"/>
      </dsp:txXfrm>
    </dsp:sp>
    <dsp:sp modelId="{05BFCFEE-9A09-4E2C-9CF4-508D49908747}">
      <dsp:nvSpPr>
        <dsp:cNvPr id="0" name=""/>
        <dsp:cNvSpPr/>
      </dsp:nvSpPr>
      <dsp:spPr>
        <a:xfrm rot="10800000">
          <a:off x="3413908" y="1800562"/>
          <a:ext cx="419438" cy="26630"/>
        </a:xfrm>
        <a:custGeom>
          <a:avLst/>
          <a:gdLst/>
          <a:ahLst/>
          <a:cxnLst/>
          <a:rect l="0" t="0" r="0" b="0"/>
          <a:pathLst>
            <a:path>
              <a:moveTo>
                <a:pt x="0" y="13315"/>
              </a:moveTo>
              <a:lnTo>
                <a:pt x="419438" y="1331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0800000">
        <a:off x="3613141" y="1803391"/>
        <a:ext cx="20971" cy="20971"/>
      </dsp:txXfrm>
    </dsp:sp>
    <dsp:sp modelId="{A3EE20D0-6BAF-47EE-AC27-DF05CD6039CA}">
      <dsp:nvSpPr>
        <dsp:cNvPr id="0" name=""/>
        <dsp:cNvSpPr/>
      </dsp:nvSpPr>
      <dsp:spPr>
        <a:xfrm>
          <a:off x="2340461" y="1545515"/>
          <a:ext cx="1073447" cy="536723"/>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cs-CZ" sz="1500" kern="1200"/>
            <a:t>Severní Balt</a:t>
          </a:r>
        </a:p>
      </dsp:txBody>
      <dsp:txXfrm>
        <a:off x="2356181" y="1561235"/>
        <a:ext cx="1042007" cy="505283"/>
      </dsp:txXfrm>
    </dsp:sp>
    <dsp:sp modelId="{DA6D09EF-949E-41F5-9359-F0009D34CEBA}">
      <dsp:nvSpPr>
        <dsp:cNvPr id="0" name=""/>
        <dsp:cNvSpPr/>
      </dsp:nvSpPr>
      <dsp:spPr>
        <a:xfrm rot="15255435">
          <a:off x="1334490" y="1038962"/>
          <a:ext cx="1582562" cy="26630"/>
        </a:xfrm>
        <a:custGeom>
          <a:avLst/>
          <a:gdLst/>
          <a:ahLst/>
          <a:cxnLst/>
          <a:rect l="0" t="0" r="0" b="0"/>
          <a:pathLst>
            <a:path>
              <a:moveTo>
                <a:pt x="0" y="13315"/>
              </a:moveTo>
              <a:lnTo>
                <a:pt x="1582562" y="133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0800000">
        <a:off x="2086208" y="1012713"/>
        <a:ext cx="79128" cy="79128"/>
      </dsp:txXfrm>
    </dsp:sp>
    <dsp:sp modelId="{BA197E5E-CBF4-4C51-9B6D-6A023399C053}">
      <dsp:nvSpPr>
        <dsp:cNvPr id="0" name=""/>
        <dsp:cNvSpPr/>
      </dsp:nvSpPr>
      <dsp:spPr>
        <a:xfrm>
          <a:off x="837635" y="22315"/>
          <a:ext cx="1073447" cy="53672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cs-CZ" sz="1500" kern="1200"/>
            <a:t>Uprchlíci</a:t>
          </a:r>
        </a:p>
      </dsp:txBody>
      <dsp:txXfrm>
        <a:off x="853355" y="38035"/>
        <a:ext cx="1042007" cy="505283"/>
      </dsp:txXfrm>
    </dsp:sp>
    <dsp:sp modelId="{4236A9D8-B31E-431A-8042-09FF601D099B}">
      <dsp:nvSpPr>
        <dsp:cNvPr id="0" name=""/>
        <dsp:cNvSpPr/>
      </dsp:nvSpPr>
      <dsp:spPr>
        <a:xfrm rot="14707178">
          <a:off x="1615487" y="1337638"/>
          <a:ext cx="1020568" cy="26630"/>
        </a:xfrm>
        <a:custGeom>
          <a:avLst/>
          <a:gdLst/>
          <a:ahLst/>
          <a:cxnLst/>
          <a:rect l="0" t="0" r="0" b="0"/>
          <a:pathLst>
            <a:path>
              <a:moveTo>
                <a:pt x="0" y="13315"/>
              </a:moveTo>
              <a:lnTo>
                <a:pt x="1020568" y="133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0800000">
        <a:off x="2100257" y="1325439"/>
        <a:ext cx="51028" cy="51028"/>
      </dsp:txXfrm>
    </dsp:sp>
    <dsp:sp modelId="{E3CE1E3C-9FF9-4F83-B694-AD0E2A25FAB4}">
      <dsp:nvSpPr>
        <dsp:cNvPr id="0" name=""/>
        <dsp:cNvSpPr/>
      </dsp:nvSpPr>
      <dsp:spPr>
        <a:xfrm>
          <a:off x="837635" y="619667"/>
          <a:ext cx="1073447" cy="53672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cs-CZ" sz="1500" kern="1200"/>
            <a:t>Demokracie</a:t>
          </a:r>
        </a:p>
      </dsp:txBody>
      <dsp:txXfrm>
        <a:off x="853355" y="635387"/>
        <a:ext cx="1042007" cy="505283"/>
      </dsp:txXfrm>
    </dsp:sp>
    <dsp:sp modelId="{72B2D8BA-7DC1-4DC7-8345-EFECB3E6D296}">
      <dsp:nvSpPr>
        <dsp:cNvPr id="0" name=""/>
        <dsp:cNvSpPr/>
      </dsp:nvSpPr>
      <dsp:spPr>
        <a:xfrm rot="12864759">
          <a:off x="1867723" y="1654168"/>
          <a:ext cx="518072" cy="26630"/>
        </a:xfrm>
        <a:custGeom>
          <a:avLst/>
          <a:gdLst/>
          <a:ahLst/>
          <a:cxnLst/>
          <a:rect l="0" t="0" r="0" b="0"/>
          <a:pathLst>
            <a:path>
              <a:moveTo>
                <a:pt x="0" y="13315"/>
              </a:moveTo>
              <a:lnTo>
                <a:pt x="518072" y="133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0800000">
        <a:off x="2113807" y="1654531"/>
        <a:ext cx="25903" cy="25903"/>
      </dsp:txXfrm>
    </dsp:sp>
    <dsp:sp modelId="{4653B652-A80D-46C3-96D8-77D26C306C08}">
      <dsp:nvSpPr>
        <dsp:cNvPr id="0" name=""/>
        <dsp:cNvSpPr/>
      </dsp:nvSpPr>
      <dsp:spPr>
        <a:xfrm>
          <a:off x="839610" y="1252727"/>
          <a:ext cx="1073447" cy="53672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cs-CZ" sz="1500" kern="1200"/>
            <a:t>Obrana</a:t>
          </a:r>
        </a:p>
      </dsp:txBody>
      <dsp:txXfrm>
        <a:off x="855330" y="1268447"/>
        <a:ext cx="1042007" cy="505283"/>
      </dsp:txXfrm>
    </dsp:sp>
    <dsp:sp modelId="{EB11A365-27D7-437B-A6F0-E3413DED2E16}">
      <dsp:nvSpPr>
        <dsp:cNvPr id="0" name=""/>
        <dsp:cNvSpPr/>
      </dsp:nvSpPr>
      <dsp:spPr>
        <a:xfrm rot="8657599">
          <a:off x="1861381" y="1954870"/>
          <a:ext cx="528781" cy="26630"/>
        </a:xfrm>
        <a:custGeom>
          <a:avLst/>
          <a:gdLst/>
          <a:ahLst/>
          <a:cxnLst/>
          <a:rect l="0" t="0" r="0" b="0"/>
          <a:pathLst>
            <a:path>
              <a:moveTo>
                <a:pt x="0" y="13315"/>
              </a:moveTo>
              <a:lnTo>
                <a:pt x="528781" y="133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0800000">
        <a:off x="2112552" y="1954965"/>
        <a:ext cx="26439" cy="26439"/>
      </dsp:txXfrm>
    </dsp:sp>
    <dsp:sp modelId="{4C0854FA-7DCF-4673-8A50-626F2CF043EB}">
      <dsp:nvSpPr>
        <dsp:cNvPr id="0" name=""/>
        <dsp:cNvSpPr/>
      </dsp:nvSpPr>
      <dsp:spPr>
        <a:xfrm>
          <a:off x="837635" y="1854131"/>
          <a:ext cx="1073447" cy="53672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cs-CZ" sz="1500" kern="1200"/>
            <a:t>Vzdálenost</a:t>
          </a:r>
        </a:p>
      </dsp:txBody>
      <dsp:txXfrm>
        <a:off x="853355" y="1869851"/>
        <a:ext cx="1042007" cy="505283"/>
      </dsp:txXfrm>
    </dsp:sp>
    <dsp:sp modelId="{15887263-207D-4210-95AC-B592B74E4F6C}">
      <dsp:nvSpPr>
        <dsp:cNvPr id="0" name=""/>
        <dsp:cNvSpPr/>
      </dsp:nvSpPr>
      <dsp:spPr>
        <a:xfrm rot="6892822">
          <a:off x="1615487" y="2263486"/>
          <a:ext cx="1020568" cy="26630"/>
        </a:xfrm>
        <a:custGeom>
          <a:avLst/>
          <a:gdLst/>
          <a:ahLst/>
          <a:cxnLst/>
          <a:rect l="0" t="0" r="0" b="0"/>
          <a:pathLst>
            <a:path>
              <a:moveTo>
                <a:pt x="0" y="13315"/>
              </a:moveTo>
              <a:lnTo>
                <a:pt x="1020568" y="133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0800000">
        <a:off x="2100257" y="2251287"/>
        <a:ext cx="51028" cy="51028"/>
      </dsp:txXfrm>
    </dsp:sp>
    <dsp:sp modelId="{F774DC6C-EE24-43D3-A7DE-8EF6E2EAAE4F}">
      <dsp:nvSpPr>
        <dsp:cNvPr id="0" name=""/>
        <dsp:cNvSpPr/>
      </dsp:nvSpPr>
      <dsp:spPr>
        <a:xfrm>
          <a:off x="837635" y="2471363"/>
          <a:ext cx="1073447" cy="53672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cs-CZ" sz="1500" kern="1200"/>
            <a:t>Export</a:t>
          </a:r>
        </a:p>
      </dsp:txBody>
      <dsp:txXfrm>
        <a:off x="853355" y="2487083"/>
        <a:ext cx="1042007" cy="505283"/>
      </dsp:txXfrm>
    </dsp:sp>
    <dsp:sp modelId="{6042E4D5-8641-472B-A8C4-B1D85D162DE8}">
      <dsp:nvSpPr>
        <dsp:cNvPr id="0" name=""/>
        <dsp:cNvSpPr/>
      </dsp:nvSpPr>
      <dsp:spPr>
        <a:xfrm rot="6332988">
          <a:off x="1324919" y="2572102"/>
          <a:ext cx="1601706" cy="26630"/>
        </a:xfrm>
        <a:custGeom>
          <a:avLst/>
          <a:gdLst/>
          <a:ahLst/>
          <a:cxnLst/>
          <a:rect l="0" t="0" r="0" b="0"/>
          <a:pathLst>
            <a:path>
              <a:moveTo>
                <a:pt x="0" y="13315"/>
              </a:moveTo>
              <a:lnTo>
                <a:pt x="1601706" y="133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0800000">
        <a:off x="2085729" y="2545374"/>
        <a:ext cx="80085" cy="80085"/>
      </dsp:txXfrm>
    </dsp:sp>
    <dsp:sp modelId="{CE0C7CCA-08BC-4D87-BA47-412C9D29B361}">
      <dsp:nvSpPr>
        <dsp:cNvPr id="0" name=""/>
        <dsp:cNvSpPr/>
      </dsp:nvSpPr>
      <dsp:spPr>
        <a:xfrm>
          <a:off x="837635" y="3088595"/>
          <a:ext cx="1073447" cy="53672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cs-CZ" sz="1500" kern="1200"/>
            <a:t>~Populismus</a:t>
          </a:r>
        </a:p>
      </dsp:txBody>
      <dsp:txXfrm>
        <a:off x="853355" y="3104315"/>
        <a:ext cx="1042007" cy="50528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83EDD-2B77-4C7F-8A64-F85BECB5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17046</Words>
  <Characters>100573</Characters>
  <Application>Microsoft Office Word</Application>
  <DocSecurity>0</DocSecurity>
  <Lines>838</Lines>
  <Paragraphs>234</Paragraphs>
  <ScaleCrop>false</ScaleCrop>
  <HeadingPairs>
    <vt:vector size="2" baseType="variant">
      <vt:variant>
        <vt:lpstr>Název</vt:lpstr>
      </vt:variant>
      <vt:variant>
        <vt:i4>1</vt:i4>
      </vt:variant>
    </vt:vector>
  </HeadingPairs>
  <TitlesOfParts>
    <vt:vector size="1" baseType="lpstr">
      <vt:lpstr/>
    </vt:vector>
  </TitlesOfParts>
  <Company>Metrostav a.s.</Company>
  <LinksUpToDate>false</LinksUpToDate>
  <CharactersWithSpaces>117385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Vybíral</dc:creator>
  <cp:keywords/>
  <dc:description/>
  <cp:lastModifiedBy>Vybíral</cp:lastModifiedBy>
  <cp:revision>3</cp:revision>
  <dcterms:created xsi:type="dcterms:W3CDTF">2024-04-23T21:59:00Z</dcterms:created>
  <dcterms:modified xsi:type="dcterms:W3CDTF">2024-04-23T21:59:00Z</dcterms:modified>
</cp:coreProperties>
</file>