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Title"/>
        <w:spacing w:line="360" w:lineRule="auto"/>
        <w:rPr>
          <w:b w:val="0"/>
        </w:rPr>
      </w:pPr>
    </w:p>
    <w:p>
      <w:pPr>
        <w:pStyle w:val="Title"/>
        <w:spacing w:line="360" w:lineRule="auto"/>
        <w:rPr>
          <w:b w:val="0"/>
        </w:rPr>
      </w:pPr>
      <w:r w:rsidR="00114846">
        <w:rPr>
          <w:b w:val="0"/>
        </w:rPr>
        <w:t>UNIVERZITA PALACKÉHO V OLOMOUCI</w:t>
      </w:r>
    </w:p>
    <w:p>
      <w:pPr>
        <w:pStyle w:val="Title"/>
        <w:spacing w:line="360" w:lineRule="auto"/>
        <w:rPr>
          <w:b w:val="0"/>
        </w:rPr>
      </w:pPr>
      <w:r w:rsidR="00114846">
        <w:rPr>
          <w:b w:val="0"/>
        </w:rPr>
        <w:t>LÉKAŘSKÁ FAKULTA</w:t>
      </w:r>
    </w:p>
    <w:p>
      <w:pPr>
        <w:pStyle w:val="Title"/>
        <w:spacing w:line="360" w:lineRule="auto"/>
        <w:rPr>
          <w:b w:val="0"/>
        </w:rPr>
      </w:pPr>
    </w:p>
    <w:p>
      <w:pPr>
        <w:pStyle w:val="Title"/>
        <w:spacing w:line="360" w:lineRule="auto"/>
        <w:jc w:val="left"/>
      </w:pPr>
    </w:p>
    <w:p>
      <w:pPr>
        <w:pStyle w:val="Title"/>
        <w:jc w:val="left"/>
      </w:pPr>
    </w:p>
    <w:p>
      <w:pPr>
        <w:pStyle w:val="Title"/>
        <w:jc w:val="left"/>
      </w:pPr>
    </w:p>
    <w:p>
      <w:pPr>
        <w:pStyle w:val="Title"/>
        <w:jc w:val="left"/>
      </w:pPr>
    </w:p>
    <w:p>
      <w:pPr>
        <w:pStyle w:val="Title"/>
        <w:jc w:val="left"/>
      </w:pPr>
    </w:p>
    <w:p>
      <w:pPr>
        <w:pStyle w:val="Title"/>
        <w:jc w:val="left"/>
      </w:pPr>
    </w:p>
    <w:p>
      <w:pPr>
        <w:pStyle w:val="Title"/>
        <w:rPr>
          <w:b w:val="0"/>
        </w:rPr>
      </w:pPr>
      <w:r w:rsidR="00114846">
        <w:rPr>
          <w:b w:val="0"/>
        </w:rPr>
        <w:t>DIZERTAČNÍ PRÁCE</w:t>
      </w:r>
    </w:p>
    <w:p>
      <w:pPr>
        <w:pStyle w:val="Title"/>
        <w:jc w:val="left"/>
      </w:pPr>
    </w:p>
    <w:p>
      <w:pPr>
        <w:pStyle w:val="Title"/>
        <w:jc w:val="left"/>
      </w:pPr>
    </w:p>
    <w:p>
      <w:pPr>
        <w:pStyle w:val="Title"/>
        <w:jc w:val="left"/>
      </w:pPr>
    </w:p>
    <w:p>
      <w:pPr>
        <w:pStyle w:val="Title"/>
        <w:jc w:val="left"/>
      </w:pPr>
    </w:p>
    <w:p>
      <w:pPr>
        <w:pStyle w:val="Title"/>
        <w:jc w:val="left"/>
      </w:pPr>
    </w:p>
    <w:p>
      <w:pPr>
        <w:pStyle w:val="Title"/>
        <w:jc w:val="left"/>
      </w:pPr>
    </w:p>
    <w:p>
      <w:pPr>
        <w:pStyle w:val="Title"/>
        <w:spacing w:line="360" w:lineRule="auto"/>
      </w:pPr>
      <w:r w:rsidR="00114846">
        <w:t>Srovnání jednotlivých typů aortálních bioprotéz a vyhodnocení jejich hemodynamických parametrů</w:t>
      </w:r>
    </w:p>
    <w:p/>
    <w:p/>
    <w:p/>
    <w:p/>
    <w:p/>
    <w:p/>
    <w:p/>
    <w:p/>
    <w:p/>
    <w:p/>
    <w:p/>
    <w:p/>
    <w:p/>
    <w:p/>
    <w:p/>
    <w:p/>
    <w:p/>
    <w:p/>
    <w:p/>
    <w:p/>
    <w:p/>
    <w:p/>
    <w:p/>
    <w:p/>
    <w:p/>
    <w:p/>
    <w:p>
      <w:pPr>
        <w:jc w:val="center"/>
      </w:pPr>
      <w:r w:rsidR="00114846">
        <w:t>Obor: Kardiochirurgie</w:t>
      </w:r>
      <w:r w:rsidR="00114846">
        <w:tab/>
      </w:r>
      <w:r w:rsidR="00114846">
        <w:tab/>
      </w:r>
      <w:r w:rsidR="00114846">
        <w:tab/>
      </w:r>
      <w:r w:rsidR="00114846">
        <w:tab/>
        <w:t>MUDr. Petr Šantavý</w:t>
      </w:r>
    </w:p>
    <w:p>
      <w:pPr>
        <w:jc w:val="center"/>
      </w:pPr>
    </w:p>
    <w:p/>
    <w:p/>
    <w:p/>
    <w:p/>
    <w:p/>
    <w:p/>
    <w:p/>
    <w:p/>
    <w:p/>
    <w:p/>
    <w:p/>
    <w:p/>
    <w:p/>
    <w:p/>
    <w:p/>
    <w:p/>
    <w:p/>
    <w:p/>
    <w:p/>
    <w:p/>
    <w:p/>
    <w:p/>
    <w:p/>
    <w:p/>
    <w:p/>
    <w:p/>
    <w:p/>
    <w:p/>
    <w:p/>
    <w:p/>
    <w:p/>
    <w:p/>
    <w:p/>
    <w:p/>
    <w:p/>
    <w:p/>
    <w:p/>
    <w:p/>
    <w:p/>
    <w:p/>
    <w:p/>
    <w:p>
      <w:r w:rsidR="00114846">
        <w:t>Prohlašuji, že jsem dizertační práci vypracoval samostatně a s použitím uvedené literatury.</w:t>
      </w:r>
    </w:p>
    <w:p/>
    <w:p/>
    <w:p/>
    <w:p/>
    <w:p/>
    <w:p/>
    <w:p>
      <w:r w:rsidR="00114846">
        <w:t>V Olomouci dne 19.10.2008</w:t>
      </w:r>
      <w:r w:rsidR="00114846">
        <w:tab/>
      </w:r>
      <w:r w:rsidR="00114846">
        <w:tab/>
      </w:r>
      <w:r w:rsidR="00114846">
        <w:tab/>
      </w:r>
      <w:r w:rsidR="00114846">
        <w:tab/>
      </w:r>
      <w:r w:rsidR="00114846">
        <w:tab/>
        <w:t>MUDr. Petr Šantavý</w:t>
      </w:r>
    </w:p>
    <w:p/>
    <w:p/>
    <w:p/>
    <w:p/>
    <w:p/>
    <w:p/>
    <w:p/>
    <w:p/>
    <w:p/>
    <w:p/>
    <w:p/>
    <w:p/>
    <w:p/>
    <w:p/>
    <w:p/>
    <w:p/>
    <w:p/>
    <w:p/>
    <w:p/>
    <w:p/>
    <w:p/>
    <w:p/>
    <w:p/>
    <w:p/>
    <w:p/>
    <w:p/>
    <w:p/>
    <w:p/>
    <w:p/>
    <w:p/>
    <w:p/>
    <w:p/>
    <w:p/>
    <w:p/>
    <w:p/>
    <w:p/>
    <w:p>
      <w:pPr>
        <w:spacing w:line="360" w:lineRule="auto"/>
      </w:pPr>
      <w:r w:rsidR="00114846">
        <w:t>Děkuji svému školiteli doc. Petru Němcovi, CSc. za odborné vedení, cenné rady a připomínky při zpracování tématu a za množství předaných teoretických a praktických zkušeností. Dále děkuji kardiologům MUDr. Marianu Benčatovi, MUDr. Martinu Troubilovi a MUDr. Pavlu Marciánovi za data získaná z echokardiografických měření, bez nichž by tato práce nevznikla.</w:t>
      </w:r>
    </w:p>
    <w:p>
      <w:pPr>
        <w:spacing w:line="360" w:lineRule="auto"/>
      </w:pPr>
      <w:r w:rsidR="00114846">
        <w:t>Dík patří také ostatním pracovníkům a kolegům Kardiochirurgické kliniky v Olomouci.</w:t>
      </w:r>
    </w:p>
    <w:p>
      <w:pPr>
        <w:spacing w:line="360" w:lineRule="auto"/>
      </w:pPr>
    </w:p>
    <w:p>
      <w:pPr>
        <w:spacing w:line="360" w:lineRule="auto"/>
      </w:pPr>
    </w:p>
    <w:p/>
    <w:p>
      <w:pPr>
        <w:spacing w:line="360" w:lineRule="auto"/>
        <w:rPr>
          <w:b/>
        </w:rPr>
      </w:pPr>
      <w:r w:rsidR="00114846">
        <w:rPr>
          <w:b/>
        </w:rPr>
        <w:t>OBSAH</w:t>
      </w:r>
    </w:p>
    <w:p>
      <w:pPr>
        <w:spacing w:line="360" w:lineRule="auto"/>
      </w:pPr>
    </w:p>
    <w:p>
      <w:pPr>
        <w:spacing w:line="360" w:lineRule="auto"/>
      </w:pPr>
      <w:r w:rsidR="00114846">
        <w:t xml:space="preserve">1 - Úvod, cíl práce </w:t>
      </w:r>
    </w:p>
    <w:p>
      <w:pPr>
        <w:pStyle w:val="Heading1"/>
        <w:spacing w:line="360" w:lineRule="auto"/>
        <w:rPr>
          <w:b w:val="0"/>
          <w:bCs w:val="0"/>
        </w:rPr>
      </w:pPr>
    </w:p>
    <w:p>
      <w:pPr>
        <w:pStyle w:val="Heading1"/>
        <w:spacing w:line="360" w:lineRule="auto"/>
      </w:pPr>
      <w:r w:rsidR="00114846">
        <w:t>A  Teoretická část – současný stav poznání</w:t>
      </w:r>
    </w:p>
    <w:p>
      <w:pPr>
        <w:spacing w:line="360" w:lineRule="auto"/>
      </w:pPr>
    </w:p>
    <w:p>
      <w:pPr>
        <w:spacing w:line="360" w:lineRule="auto"/>
      </w:pPr>
      <w:r w:rsidR="00114846">
        <w:t>2 - Anatomie aortální chlopně a výtokového traktu levé komory</w:t>
      </w:r>
    </w:p>
    <w:p>
      <w:pPr>
        <w:spacing w:line="360" w:lineRule="auto"/>
      </w:pPr>
    </w:p>
    <w:p>
      <w:pPr>
        <w:spacing w:line="360" w:lineRule="auto"/>
      </w:pPr>
      <w:r w:rsidR="00114846">
        <w:t>3 - Patofyziologie aortální chlopně</w:t>
      </w:r>
    </w:p>
    <w:p>
      <w:pPr>
        <w:spacing w:line="360" w:lineRule="auto"/>
      </w:pPr>
      <w:r w:rsidR="00114846">
        <w:tab/>
      </w:r>
    </w:p>
    <w:p>
      <w:pPr>
        <w:spacing w:line="360" w:lineRule="auto"/>
        <w:ind w:firstLine="708"/>
      </w:pPr>
      <w:r w:rsidR="00114846">
        <w:t>3.1</w:t>
      </w:r>
      <w:r w:rsidR="00114846">
        <w:tab/>
        <w:t>Aortální stenóza</w:t>
      </w:r>
    </w:p>
    <w:p>
      <w:pPr>
        <w:spacing w:line="360" w:lineRule="auto"/>
      </w:pPr>
      <w:r w:rsidR="00114846">
        <w:tab/>
        <w:t>3.2</w:t>
      </w:r>
      <w:r w:rsidR="00114846">
        <w:tab/>
        <w:t>Aortální regurgitace</w:t>
      </w:r>
    </w:p>
    <w:p>
      <w:pPr>
        <w:spacing w:line="360" w:lineRule="auto"/>
      </w:pPr>
      <w:r w:rsidR="00114846">
        <w:tab/>
        <w:t>3.3</w:t>
      </w:r>
      <w:r w:rsidR="00114846">
        <w:tab/>
        <w:t>Indikace k operaci</w:t>
      </w:r>
    </w:p>
    <w:p>
      <w:pPr>
        <w:pStyle w:val="Heading2"/>
        <w:rPr>
          <w:b w:val="0"/>
          <w:bCs w:val="0"/>
        </w:rPr>
      </w:pPr>
      <w:r w:rsidR="00114846">
        <w:rPr>
          <w:b w:val="0"/>
          <w:bCs w:val="0"/>
        </w:rPr>
        <w:tab/>
        <w:t>3.4</w:t>
      </w:r>
      <w:r w:rsidR="00114846">
        <w:rPr>
          <w:b w:val="0"/>
          <w:bCs w:val="0"/>
        </w:rPr>
        <w:tab/>
        <w:t>Indikační kritéria k operaci aortální stenózy</w:t>
      </w:r>
    </w:p>
    <w:p>
      <w:pPr>
        <w:pStyle w:val="Heading2"/>
        <w:rPr>
          <w:b w:val="0"/>
          <w:bCs w:val="0"/>
          <w:i/>
          <w:iCs/>
        </w:rPr>
      </w:pPr>
      <w:r w:rsidR="00114846">
        <w:rPr>
          <w:b w:val="0"/>
          <w:bCs w:val="0"/>
        </w:rPr>
        <w:tab/>
        <w:t>3.5</w:t>
      </w:r>
      <w:r w:rsidR="00114846">
        <w:rPr>
          <w:b w:val="0"/>
          <w:bCs w:val="0"/>
        </w:rPr>
        <w:tab/>
        <w:t>Indikační kritéria k operaci chronické aortální regurgitace</w:t>
      </w:r>
    </w:p>
    <w:p>
      <w:pPr>
        <w:spacing w:line="360" w:lineRule="auto"/>
      </w:pPr>
    </w:p>
    <w:p>
      <w:pPr>
        <w:spacing w:line="360" w:lineRule="auto"/>
      </w:pPr>
      <w:r w:rsidR="00114846">
        <w:t>4 - Definice pojmů</w:t>
      </w:r>
    </w:p>
    <w:p>
      <w:pPr>
        <w:spacing w:line="360" w:lineRule="auto"/>
      </w:pPr>
    </w:p>
    <w:p>
      <w:pPr>
        <w:spacing w:line="360" w:lineRule="auto"/>
      </w:pPr>
      <w:r w:rsidR="00114846">
        <w:tab/>
        <w:t xml:space="preserve">4.1 </w:t>
      </w:r>
      <w:r w:rsidR="00114846">
        <w:tab/>
        <w:t>Tlakový gradient</w:t>
      </w:r>
    </w:p>
    <w:p>
      <w:pPr>
        <w:spacing w:line="360" w:lineRule="auto"/>
        <w:ind w:left="705"/>
      </w:pPr>
      <w:r w:rsidR="00114846">
        <w:t>4.2</w:t>
      </w:r>
      <w:r w:rsidR="00114846">
        <w:tab/>
        <w:t>Efektivní plocha ústí chlopně</w:t>
      </w:r>
    </w:p>
    <w:p>
      <w:pPr>
        <w:spacing w:line="360" w:lineRule="auto"/>
        <w:ind w:left="705"/>
      </w:pPr>
      <w:r w:rsidR="00114846">
        <w:t>4.3</w:t>
      </w:r>
      <w:r w:rsidR="00114846">
        <w:tab/>
        <w:t>Efektivní plocha ústí chlopně indexovaná na tělesný povrch</w:t>
      </w:r>
    </w:p>
    <w:p>
      <w:pPr>
        <w:spacing w:line="360" w:lineRule="auto"/>
        <w:ind w:left="705"/>
      </w:pPr>
      <w:r w:rsidR="00114846">
        <w:t>4.4</w:t>
      </w:r>
      <w:r w:rsidR="00114846">
        <w:tab/>
        <w:t>Geometrická plocha ústí chlopně</w:t>
      </w:r>
    </w:p>
    <w:p>
      <w:pPr>
        <w:spacing w:line="360" w:lineRule="auto"/>
        <w:ind w:left="705"/>
      </w:pPr>
      <w:r w:rsidR="00114846">
        <w:t>4.5</w:t>
      </w:r>
      <w:r w:rsidR="00114846">
        <w:tab/>
        <w:t>Hypertrofie svaloviny levé komory srdeční</w:t>
      </w:r>
    </w:p>
    <w:p>
      <w:pPr>
        <w:spacing w:line="360" w:lineRule="auto"/>
        <w:ind w:left="705"/>
      </w:pPr>
      <w:r w:rsidR="00114846">
        <w:t>4.6</w:t>
      </w:r>
      <w:r w:rsidR="00114846">
        <w:tab/>
        <w:t>„Patient-prosthesis mismatch“</w:t>
      </w:r>
    </w:p>
    <w:p>
      <w:pPr>
        <w:spacing w:line="360" w:lineRule="auto"/>
      </w:pPr>
    </w:p>
    <w:p>
      <w:pPr>
        <w:spacing w:line="360" w:lineRule="auto"/>
      </w:pPr>
      <w:r w:rsidR="00114846">
        <w:t>5 - Vývoj biologických protéz</w:t>
      </w:r>
    </w:p>
    <w:p>
      <w:pPr>
        <w:spacing w:line="360" w:lineRule="auto"/>
        <w:ind w:left="705"/>
      </w:pPr>
    </w:p>
    <w:p>
      <w:pPr>
        <w:spacing w:line="360" w:lineRule="auto"/>
        <w:ind w:left="705"/>
      </w:pPr>
      <w:r w:rsidR="00114846">
        <w:t xml:space="preserve">5.1 </w:t>
      </w:r>
      <w:r w:rsidR="00114846">
        <w:tab/>
        <w:t>Generace bioprotéz</w:t>
      </w:r>
    </w:p>
    <w:p>
      <w:pPr>
        <w:spacing w:line="360" w:lineRule="auto"/>
        <w:ind w:left="705"/>
      </w:pPr>
      <w:r w:rsidR="00114846">
        <w:t>5.2</w:t>
      </w:r>
      <w:r w:rsidR="00114846">
        <w:tab/>
      </w:r>
      <w:r w:rsidR="00114846">
        <w:rPr>
          <w:iCs/>
        </w:rPr>
        <w:t>I</w:t>
      </w:r>
      <w:r w:rsidR="00114846" w:rsidRPr="00BD2520">
        <w:rPr>
          <w:iCs/>
        </w:rPr>
        <w:t xml:space="preserve">mplantace </w:t>
      </w:r>
      <w:r w:rsidR="00114846">
        <w:rPr>
          <w:iCs/>
        </w:rPr>
        <w:t>bioprotézy ve vztahu k anatomickému anulu</w:t>
      </w:r>
    </w:p>
    <w:p>
      <w:pPr>
        <w:spacing w:line="360" w:lineRule="auto"/>
        <w:ind w:left="705"/>
      </w:pPr>
      <w:r w:rsidR="00114846">
        <w:t>5.3</w:t>
      </w:r>
      <w:r w:rsidR="00114846">
        <w:tab/>
        <w:t>Intravazálně zaváděné chlopně</w:t>
      </w:r>
    </w:p>
    <w:p>
      <w:pPr>
        <w:spacing w:line="360" w:lineRule="auto"/>
      </w:pPr>
    </w:p>
    <w:p>
      <w:pPr>
        <w:spacing w:line="360" w:lineRule="auto"/>
      </w:pPr>
    </w:p>
    <w:p>
      <w:pPr>
        <w:spacing w:line="360" w:lineRule="auto"/>
      </w:pPr>
    </w:p>
    <w:p>
      <w:pPr>
        <w:spacing w:line="360" w:lineRule="auto"/>
      </w:pPr>
    </w:p>
    <w:p>
      <w:pPr>
        <w:spacing w:line="360" w:lineRule="auto"/>
      </w:pPr>
      <w:r w:rsidR="00114846">
        <w:t>6 - Principy implantace aortální chlopně</w:t>
      </w:r>
    </w:p>
    <w:p>
      <w:pPr>
        <w:spacing w:line="360" w:lineRule="auto"/>
      </w:pPr>
    </w:p>
    <w:p>
      <w:pPr>
        <w:spacing w:line="360" w:lineRule="auto"/>
      </w:pPr>
      <w:r w:rsidR="00114846">
        <w:t xml:space="preserve">7 - Komplikace po implantaci bioprotéz </w:t>
      </w:r>
    </w:p>
    <w:p>
      <w:pPr>
        <w:spacing w:line="360" w:lineRule="auto"/>
      </w:pPr>
      <w:r w:rsidR="00114846">
        <w:tab/>
      </w:r>
    </w:p>
    <w:p>
      <w:pPr>
        <w:spacing w:line="360" w:lineRule="auto"/>
        <w:ind w:firstLine="705"/>
      </w:pPr>
      <w:r w:rsidR="00114846">
        <w:t>7.1</w:t>
      </w:r>
      <w:r w:rsidR="00114846">
        <w:tab/>
        <w:t>Operační mortalita</w:t>
      </w:r>
    </w:p>
    <w:p>
      <w:pPr>
        <w:spacing w:line="360" w:lineRule="auto"/>
        <w:ind w:left="705"/>
      </w:pPr>
      <w:r w:rsidR="00114846">
        <w:t>7.2</w:t>
      </w:r>
      <w:r w:rsidR="00114846">
        <w:tab/>
        <w:t>Dlouhodobé přežití po implantaci bioprotéz</w:t>
      </w:r>
    </w:p>
    <w:p>
      <w:pPr>
        <w:numPr>
          <w:ilvl w:val="1"/>
          <w:numId w:val="9"/>
        </w:numPr>
        <w:spacing w:line="360" w:lineRule="auto"/>
      </w:pPr>
      <w:r w:rsidR="00114846">
        <w:t xml:space="preserve">      Mortalita spojená s poruchou funkce chlopně</w:t>
      </w:r>
    </w:p>
    <w:p>
      <w:pPr>
        <w:spacing w:line="360" w:lineRule="auto"/>
        <w:ind w:left="705"/>
      </w:pPr>
      <w:r w:rsidR="00114846">
        <w:t>7.4       Strukturální porucha konstrukce chlopně</w:t>
      </w:r>
    </w:p>
    <w:p>
      <w:pPr>
        <w:numPr>
          <w:ilvl w:val="1"/>
          <w:numId w:val="8"/>
        </w:numPr>
        <w:spacing w:line="360" w:lineRule="auto"/>
      </w:pPr>
      <w:r w:rsidR="00114846">
        <w:t xml:space="preserve">      Antikoagulační léčba</w:t>
      </w:r>
    </w:p>
    <w:p>
      <w:pPr>
        <w:spacing w:line="360" w:lineRule="auto"/>
        <w:ind w:left="705"/>
      </w:pPr>
      <w:r w:rsidR="00114846">
        <w:t>7.6</w:t>
      </w:r>
      <w:r w:rsidR="00114846">
        <w:tab/>
        <w:t>Trombóza chlopně</w:t>
      </w:r>
    </w:p>
    <w:p>
      <w:pPr>
        <w:spacing w:line="360" w:lineRule="auto"/>
        <w:ind w:left="705"/>
      </w:pPr>
      <w:r w:rsidR="00114846">
        <w:t>7.7</w:t>
      </w:r>
      <w:r w:rsidR="00114846">
        <w:tab/>
        <w:t>Endokarditida</w:t>
      </w:r>
    </w:p>
    <w:p>
      <w:pPr>
        <w:spacing w:line="360" w:lineRule="auto"/>
        <w:ind w:left="705"/>
      </w:pPr>
      <w:r w:rsidR="00114846">
        <w:t>7.8</w:t>
      </w:r>
      <w:r w:rsidR="00114846">
        <w:tab/>
        <w:t>Paravalvární leak a hemolýza</w:t>
      </w:r>
    </w:p>
    <w:p>
      <w:pPr>
        <w:spacing w:line="360" w:lineRule="auto"/>
      </w:pPr>
    </w:p>
    <w:p>
      <w:pPr>
        <w:spacing w:line="360" w:lineRule="auto"/>
      </w:pPr>
    </w:p>
    <w:p>
      <w:pPr>
        <w:pStyle w:val="Heading1"/>
        <w:spacing w:line="360" w:lineRule="auto"/>
      </w:pPr>
      <w:r w:rsidR="00114846">
        <w:t>B  Klinická studie</w:t>
      </w:r>
    </w:p>
    <w:p>
      <w:pPr>
        <w:spacing w:line="360" w:lineRule="auto"/>
      </w:pPr>
    </w:p>
    <w:p>
      <w:pPr>
        <w:spacing w:line="360" w:lineRule="auto"/>
      </w:pPr>
      <w:r w:rsidR="00114846">
        <w:t>8 – Bioprotézy sledované ve studii</w:t>
      </w:r>
    </w:p>
    <w:p>
      <w:pPr>
        <w:spacing w:line="360" w:lineRule="auto"/>
      </w:pPr>
    </w:p>
    <w:p>
      <w:pPr>
        <w:spacing w:line="360" w:lineRule="auto"/>
      </w:pPr>
      <w:r w:rsidR="00114846">
        <w:t>9 - Materiál a metody</w:t>
      </w:r>
    </w:p>
    <w:p>
      <w:pPr>
        <w:spacing w:line="360" w:lineRule="auto"/>
      </w:pPr>
    </w:p>
    <w:p>
      <w:pPr>
        <w:spacing w:line="360" w:lineRule="auto"/>
        <w:ind w:left="708"/>
      </w:pPr>
      <w:r w:rsidR="00114846">
        <w:t>9.1</w:t>
      </w:r>
      <w:r w:rsidR="00114846">
        <w:tab/>
        <w:t xml:space="preserve">Soubor nemocných </w:t>
      </w:r>
    </w:p>
    <w:p>
      <w:pPr>
        <w:spacing w:line="360" w:lineRule="auto"/>
        <w:ind w:left="708"/>
      </w:pPr>
      <w:r w:rsidR="00114846">
        <w:t>9.2</w:t>
      </w:r>
      <w:r w:rsidR="00114846">
        <w:tab/>
        <w:t>Soubor použitých bioprotéz</w:t>
      </w:r>
    </w:p>
    <w:p>
      <w:pPr>
        <w:spacing w:line="360" w:lineRule="auto"/>
        <w:ind w:left="708"/>
      </w:pPr>
      <w:r w:rsidR="00114846">
        <w:t>9.3</w:t>
      </w:r>
      <w:r w:rsidR="00114846">
        <w:tab/>
        <w:t>Operační postup</w:t>
      </w:r>
    </w:p>
    <w:p>
      <w:pPr>
        <w:spacing w:line="360" w:lineRule="auto"/>
        <w:ind w:left="708"/>
      </w:pPr>
      <w:r w:rsidR="00114846">
        <w:t>9.4</w:t>
      </w:r>
      <w:r w:rsidR="00114846">
        <w:tab/>
        <w:t>Hodnocení hemodynamických parametrů</w:t>
      </w:r>
    </w:p>
    <w:p>
      <w:pPr>
        <w:spacing w:line="360" w:lineRule="auto"/>
      </w:pPr>
      <w:r w:rsidR="00114846">
        <w:tab/>
        <w:t xml:space="preserve">9.5   </w:t>
      </w:r>
      <w:r w:rsidR="00114846">
        <w:tab/>
        <w:t>Statistické metody</w:t>
      </w:r>
      <w:r w:rsidR="00114846">
        <w:tab/>
      </w:r>
    </w:p>
    <w:p>
      <w:pPr>
        <w:spacing w:line="360" w:lineRule="auto"/>
      </w:pPr>
    </w:p>
    <w:p>
      <w:pPr>
        <w:spacing w:line="360" w:lineRule="auto"/>
      </w:pPr>
      <w:r w:rsidR="00114846">
        <w:t>10 - Výsledky</w:t>
      </w:r>
    </w:p>
    <w:p>
      <w:pPr>
        <w:spacing w:line="360" w:lineRule="auto"/>
      </w:pPr>
      <w:r w:rsidR="00114846">
        <w:tab/>
      </w:r>
    </w:p>
    <w:p>
      <w:pPr>
        <w:numPr>
          <w:ilvl w:val="1"/>
          <w:numId w:val="2"/>
        </w:numPr>
        <w:spacing w:line="360" w:lineRule="auto"/>
      </w:pPr>
      <w:r w:rsidR="00114846">
        <w:t>Porovnání vnitřního a vnějšího průměru implantačního prstence chlopně</w:t>
      </w:r>
    </w:p>
    <w:p>
      <w:pPr>
        <w:numPr>
          <w:ilvl w:val="1"/>
          <w:numId w:val="2"/>
        </w:numPr>
        <w:spacing w:line="360" w:lineRule="auto"/>
      </w:pPr>
      <w:r w:rsidR="00114846">
        <w:t>Porovnání pooperačních gradientů na bioprotézách různých výrobců dle velikosti</w:t>
      </w:r>
    </w:p>
    <w:p>
      <w:pPr>
        <w:numPr>
          <w:ilvl w:val="1"/>
          <w:numId w:val="2"/>
        </w:numPr>
        <w:spacing w:line="360" w:lineRule="auto"/>
      </w:pPr>
      <w:r w:rsidR="00114846">
        <w:t>Porovnání efektivní plochy ústí u bioprotéz různých výrobců</w:t>
      </w:r>
    </w:p>
    <w:p>
      <w:pPr>
        <w:numPr>
          <w:ilvl w:val="1"/>
          <w:numId w:val="2"/>
        </w:numPr>
        <w:spacing w:line="360" w:lineRule="auto"/>
      </w:pPr>
      <w:r w:rsidR="00114846">
        <w:t>Z</w:t>
      </w:r>
      <w:r w:rsidR="00114846" w:rsidRPr="001C2640">
        <w:t>měna průtokových gradientů v jednotlivých intervalech po operaci</w:t>
      </w:r>
    </w:p>
    <w:p>
      <w:pPr>
        <w:spacing w:line="360" w:lineRule="auto"/>
        <w:ind w:left="1410" w:hanging="705"/>
      </w:pPr>
      <w:r w:rsidR="00114846">
        <w:t>10.5</w:t>
      </w:r>
      <w:r w:rsidR="00114846">
        <w:tab/>
      </w:r>
      <w:r w:rsidR="00114846" w:rsidRPr="005E143C">
        <w:rPr>
          <w:bCs/>
        </w:rPr>
        <w:t>Pooperační regrese hypertrofie svaloviny levé komory a vztah k indexované efektivní ploše ústí bioprotézy (iEOA)</w:t>
      </w:r>
    </w:p>
    <w:p>
      <w:pPr>
        <w:spacing w:line="360" w:lineRule="auto"/>
        <w:ind w:left="705"/>
      </w:pPr>
      <w:r w:rsidR="00114846">
        <w:t xml:space="preserve">10.6 </w:t>
      </w:r>
      <w:r w:rsidR="00114846">
        <w:tab/>
        <w:t>Pooperační mortalita a morbidita</w:t>
      </w:r>
    </w:p>
    <w:p>
      <w:pPr>
        <w:spacing w:line="360" w:lineRule="auto"/>
      </w:pPr>
    </w:p>
    <w:p>
      <w:pPr>
        <w:spacing w:line="360" w:lineRule="auto"/>
      </w:pPr>
      <w:r w:rsidR="00114846">
        <w:t>11 - Diskuze</w:t>
      </w:r>
    </w:p>
    <w:p>
      <w:pPr>
        <w:spacing w:line="360" w:lineRule="auto"/>
      </w:pPr>
    </w:p>
    <w:p>
      <w:pPr>
        <w:spacing w:line="360" w:lineRule="auto"/>
      </w:pPr>
      <w:r w:rsidR="00114846">
        <w:t>12 - Závěr</w:t>
      </w:r>
    </w:p>
    <w:p>
      <w:pPr>
        <w:spacing w:line="360" w:lineRule="auto"/>
      </w:pPr>
    </w:p>
    <w:p>
      <w:pPr>
        <w:spacing w:line="360" w:lineRule="auto"/>
      </w:pPr>
      <w:r w:rsidR="00114846">
        <w:t>Literatura</w:t>
      </w:r>
    </w:p>
    <w:p>
      <w:pPr>
        <w:spacing w:line="360" w:lineRule="auto"/>
      </w:pPr>
    </w:p>
    <w:p>
      <w:pPr>
        <w:spacing w:line="360" w:lineRule="auto"/>
      </w:pPr>
      <w:r w:rsidR="00114846">
        <w:t>Seznam zkratek</w:t>
      </w:r>
    </w:p>
    <w:p>
      <w:pPr>
        <w:spacing w:line="360" w:lineRule="auto"/>
      </w:pPr>
    </w:p>
    <w:p>
      <w:pPr>
        <w:spacing w:line="360" w:lineRule="auto"/>
      </w:pPr>
      <w:r w:rsidR="00114846">
        <w:t>Souhrn</w:t>
      </w:r>
    </w:p>
    <w:p>
      <w:pPr>
        <w:spacing w:line="360" w:lineRule="auto"/>
      </w:pPr>
    </w:p>
    <w:p>
      <w:pPr>
        <w:spacing w:line="360" w:lineRule="auto"/>
      </w:pPr>
      <w:r w:rsidR="00114846">
        <w:t>Summary</w:t>
      </w:r>
    </w:p>
    <w:p/>
    <w:p/>
    <w:p/>
    <w:p/>
    <w:p/>
    <w:p/>
    <w:p/>
    <w:p/>
    <w:p/>
    <w:p/>
    <w:p/>
    <w:p/>
    <w:p/>
    <w:p/>
    <w:p/>
    <w:p/>
    <w:p/>
    <w:p/>
    <w:p/>
    <w:p/>
    <w:p/>
    <w:p/>
    <w:p/>
    <w:p/>
    <w:p/>
    <w:p/>
    <w:p/>
    <w:p/>
    <w:p>
      <w:pPr>
        <w:pStyle w:val="Heading1"/>
        <w:jc w:val="both"/>
      </w:pPr>
      <w:r w:rsidR="00114846">
        <w:t>1</w:t>
      </w:r>
      <w:r w:rsidR="00114846">
        <w:tab/>
        <w:t xml:space="preserve"> Úvod, cíl práce</w:t>
      </w:r>
    </w:p>
    <w:p>
      <w:pPr>
        <w:spacing w:line="360" w:lineRule="auto"/>
        <w:jc w:val="both"/>
        <w:rPr>
          <w:b/>
          <w:bCs/>
        </w:rPr>
      </w:pPr>
    </w:p>
    <w:p>
      <w:pPr>
        <w:spacing w:line="360" w:lineRule="auto"/>
        <w:jc w:val="both"/>
      </w:pPr>
      <w:r w:rsidR="00114846">
        <w:tab/>
        <w:t>Se stárnutím populace přibývá nemocných s aortální stenózou indikovaných k náhradě chlopně. Stále častěji jsou implantovány bioprotézy, jelikož jejich funkce není spojena s nutností doživotní antikoagulační léčby a s ní spojenými riziky. Díky technickému pokroku v jejich konstrukci se jejich průtokové parametry přibližují k mechanickým chlopním a současně slibují potenciálně delší životnost.</w:t>
      </w:r>
    </w:p>
    <w:p>
      <w:pPr>
        <w:spacing w:line="360" w:lineRule="auto"/>
        <w:jc w:val="both"/>
      </w:pPr>
      <w:r w:rsidR="00114846">
        <w:tab/>
        <w:t>V současné době je k dispozici množství bioprotéz různých výrobců. Volba chlopně pro daného pacienta většinou závisí na zkušenostech pracoviště a prioritách operujícího chirurga. Názor na jednotlivé chlopně vychází z publikované literatury a vlastních zkušeností. Nemocní jsou po náhradě aortální chlopně v brzkém pooperačním období echokardiograficky vyšetřeni a kontrolovány jsou hemodynamické parametry chlopně. Po propuštění jsou zváni na pravidelné ambulantní kontroly a funkce chlopně je monitorována. Z pravidelného sledování a srovnání jednotlivých výsledků je možno provést konkrétní vyhodnocení použitých chlopní a případně upravit jejich spektrum v rámci daného pracoviště.</w:t>
      </w:r>
    </w:p>
    <w:p>
      <w:pPr>
        <w:spacing w:line="360" w:lineRule="auto"/>
        <w:jc w:val="both"/>
      </w:pPr>
    </w:p>
    <w:p>
      <w:pPr>
        <w:spacing w:line="360" w:lineRule="auto"/>
        <w:jc w:val="both"/>
        <w:rPr>
          <w:b/>
          <w:bCs/>
        </w:rPr>
      </w:pPr>
      <w:r w:rsidR="00114846">
        <w:rPr>
          <w:b/>
          <w:bCs/>
        </w:rPr>
        <w:t>Cíle studie:</w:t>
      </w:r>
    </w:p>
    <w:p>
      <w:pPr>
        <w:spacing w:line="360" w:lineRule="auto"/>
        <w:jc w:val="both"/>
      </w:pPr>
      <w:r w:rsidR="00114846">
        <w:tab/>
      </w:r>
    </w:p>
    <w:p>
      <w:pPr>
        <w:spacing w:line="360" w:lineRule="auto"/>
        <w:jc w:val="both"/>
      </w:pPr>
      <w:r w:rsidR="00114846">
        <w:t>I - porovnání bioprotéz jednotlivých výrobců v těchto ukazatelích:</w:t>
      </w:r>
    </w:p>
    <w:p>
      <w:pPr>
        <w:spacing w:line="360" w:lineRule="auto"/>
        <w:ind w:left="1065"/>
        <w:jc w:val="both"/>
      </w:pPr>
    </w:p>
    <w:p>
      <w:pPr>
        <w:numPr>
          <w:ilvl w:val="0"/>
          <w:numId w:val="7"/>
        </w:numPr>
        <w:spacing w:line="360" w:lineRule="auto"/>
        <w:jc w:val="both"/>
      </w:pPr>
      <w:r w:rsidR="00114846">
        <w:t xml:space="preserve">velikost vnitřního a vnějšího průměru implantačního prstence </w:t>
      </w:r>
    </w:p>
    <w:p>
      <w:pPr>
        <w:numPr>
          <w:ilvl w:val="0"/>
          <w:numId w:val="7"/>
        </w:numPr>
        <w:spacing w:line="360" w:lineRule="auto"/>
        <w:jc w:val="both"/>
      </w:pPr>
      <w:r w:rsidR="00114846">
        <w:t>velikost průtokových gradientů na chlopni po implantaci</w:t>
      </w:r>
    </w:p>
    <w:p>
      <w:pPr>
        <w:numPr>
          <w:ilvl w:val="0"/>
          <w:numId w:val="7"/>
        </w:numPr>
        <w:spacing w:line="360" w:lineRule="auto"/>
        <w:jc w:val="both"/>
      </w:pPr>
      <w:r w:rsidR="00114846">
        <w:t>velikost efektivní plochy ústí, měřené dopplerometricky in-vivo</w:t>
      </w:r>
    </w:p>
    <w:p>
      <w:pPr>
        <w:spacing w:line="360" w:lineRule="auto"/>
        <w:jc w:val="both"/>
      </w:pPr>
    </w:p>
    <w:p>
      <w:pPr>
        <w:spacing w:line="360" w:lineRule="auto"/>
        <w:jc w:val="both"/>
      </w:pPr>
      <w:r w:rsidR="00114846">
        <w:t>II – posouzení pooperačních parametrů:</w:t>
      </w:r>
    </w:p>
    <w:p>
      <w:pPr>
        <w:spacing w:line="360" w:lineRule="auto"/>
        <w:jc w:val="both"/>
      </w:pPr>
    </w:p>
    <w:p>
      <w:pPr>
        <w:numPr>
          <w:ilvl w:val="0"/>
          <w:numId w:val="7"/>
        </w:numPr>
        <w:spacing w:line="360" w:lineRule="auto"/>
        <w:jc w:val="both"/>
        <w:rPr>
          <w:color w:val="FF0000"/>
        </w:rPr>
      </w:pPr>
      <w:r w:rsidR="00114846">
        <w:t>změna</w:t>
      </w:r>
      <w:r w:rsidR="00114846" w:rsidRPr="001C2640">
        <w:t xml:space="preserve"> </w:t>
      </w:r>
      <w:r w:rsidR="00114846">
        <w:t xml:space="preserve">průtokových </w:t>
      </w:r>
      <w:r w:rsidR="00114846" w:rsidRPr="001C2640">
        <w:t>gradientů v jednotlivých intervalech po operaci</w:t>
      </w:r>
    </w:p>
    <w:p>
      <w:pPr>
        <w:numPr>
          <w:ilvl w:val="0"/>
          <w:numId w:val="7"/>
        </w:numPr>
        <w:spacing w:line="360" w:lineRule="auto"/>
        <w:jc w:val="both"/>
      </w:pPr>
      <w:r w:rsidR="00114846">
        <w:t>redukce hypertrofie svaloviny levé komory vzhledem k  „patient-prosthesis mismatch“</w:t>
      </w:r>
    </w:p>
    <w:p>
      <w:pPr>
        <w:jc w:val="both"/>
      </w:pPr>
    </w:p>
    <w:p>
      <w:pPr>
        <w:jc w:val="both"/>
      </w:pPr>
    </w:p>
    <w:p>
      <w:pPr>
        <w:jc w:val="both"/>
      </w:pPr>
    </w:p>
    <w:p>
      <w:pPr>
        <w:jc w:val="both"/>
      </w:pPr>
    </w:p>
    <w:p>
      <w:pPr>
        <w:jc w:val="both"/>
      </w:pPr>
    </w:p>
    <w:p>
      <w:pPr>
        <w:jc w:val="both"/>
      </w:pPr>
    </w:p>
    <w:p>
      <w:pPr>
        <w:pStyle w:val="Heading1"/>
        <w:jc w:val="both"/>
        <w:rPr>
          <w:i/>
        </w:rPr>
      </w:pPr>
      <w:r w:rsidR="00114846">
        <w:rPr>
          <w:i/>
        </w:rPr>
        <w:t>A</w:t>
      </w:r>
      <w:r w:rsidR="00114846">
        <w:rPr>
          <w:i/>
        </w:rPr>
        <w:tab/>
      </w:r>
      <w:r w:rsidR="00114846" w:rsidRPr="00565CD6">
        <w:rPr>
          <w:i/>
        </w:rPr>
        <w:t xml:space="preserve"> Teoretická část – současný stav poznání</w:t>
      </w:r>
    </w:p>
    <w:p>
      <w:pPr>
        <w:spacing w:line="360" w:lineRule="auto"/>
        <w:jc w:val="both"/>
        <w:rPr>
          <w:b/>
          <w:bCs/>
        </w:rPr>
      </w:pPr>
    </w:p>
    <w:p>
      <w:pPr>
        <w:spacing w:line="360" w:lineRule="auto"/>
        <w:jc w:val="both"/>
        <w:rPr>
          <w:b/>
          <w:bCs/>
        </w:rPr>
      </w:pPr>
      <w:r w:rsidR="00114846">
        <w:rPr>
          <w:b/>
          <w:bCs/>
        </w:rPr>
        <w:t xml:space="preserve">2 </w:t>
      </w:r>
      <w:r w:rsidR="00114846">
        <w:rPr>
          <w:b/>
          <w:bCs/>
        </w:rPr>
        <w:tab/>
        <w:t>Anatomie aortální chlopně a výtokového traktu levé komory</w:t>
      </w:r>
    </w:p>
    <w:p>
      <w:pPr>
        <w:spacing w:line="360" w:lineRule="auto"/>
        <w:jc w:val="both"/>
      </w:pPr>
    </w:p>
    <w:p>
      <w:pPr>
        <w:spacing w:line="360" w:lineRule="auto"/>
        <w:ind w:firstLine="708"/>
        <w:jc w:val="both"/>
      </w:pPr>
      <w:r w:rsidR="00114846">
        <w:t xml:space="preserve">Aortální chlopeň je komplexní anatomická struktura, předělující výtokový trakt levé komory a vzestupnou aortu. </w:t>
      </w:r>
    </w:p>
    <w:p>
      <w:pPr>
        <w:spacing w:line="360" w:lineRule="auto"/>
        <w:jc w:val="both"/>
      </w:pPr>
      <w:r w:rsidR="00114846">
        <w:tab/>
        <w:t xml:space="preserve">Trabekulární svalovina srdce přechází do výtokového traktu levé komory jako její muskulární a fibrózní část, tvořící anulus, na který jsou uchyceny cípy aortální chlopně. Muskulární mezikomorové septum v blízkosti aortální chlopně přechází do tenčí membranózní části. Dorzální kvadrant výtokového traktu je tvořen fibrózní tkání přecházející ze srdečního vazivového skeletu, na který je fixována aortální chlopeň společně s předním cípem mitrální chlopně a tvoří tzv. aortomitrální kontinuitu. Laterální kvadrant výtokového traktu je muskulární. Důležitá je poloha převodního systému, který prochází okrajem membranózního septa v místě komisury mezi pravým a nekoronárním cípem aortální chlopně. </w:t>
      </w:r>
    </w:p>
    <w:p>
      <w:pPr>
        <w:pStyle w:val="BodyTextIndent"/>
        <w:jc w:val="both"/>
      </w:pPr>
      <w:r w:rsidR="00114846">
        <w:t xml:space="preserve">Cípy aortální chlopně jsou morfologicky semilunární a jsou přichyceny svojí bazí v jejím anulu. Nad každým z cípů v oblasti kořene aorty se nachází vyklenutí, tzv.  Valsalvovy siny. Sloupec krve při uzávěru chlopně v nich vytváří turbulentní proudění, které se podílí na uzavíracím mechanismu chlopně. Sinotubulární junkce je přechod Valsalvových sinů do vzestupné aorty. Všechny cípy aortální chlopně v uzavřeném stavu koaptují, v centrálním místě jejich vzájemného doteku je možné najít zhrubělou tkáň – tzv. Arantiovy uzlíky. Periferně ke komisurám je tkáň cípů slabší a mohou se v ní nacházet malé perforace. Cípy jsou rozděleny podle vztahu ke koronárním tepnám, dělí se na pravý, levý a nekoronární cíp. Aortální chlopeň má vztah k četným okolním strukturám. V oblasti komisury mezi levým a nekoronárním cípem je chlopeň fixována k fibróznímu srdečnímu skeletu. Nekoronární cíp je orientován směrem ke stěně pravé síně. Komisura mezi pravým a nekoronárním cípem se nachází nad membranózní částí interventrikulárního septa, ve kterém je uložen převodní systém. Oblast komisury mezi pravým a levým koronárním cípem tvoří nejvyšší část výtokového traktu levé komory, v blízkosti kterého je uložen kmen plícnice a muskulární výtokový trakt pravé komory. Anatomické souvislosti vztahu aortální chlopně a okolních struktur jsou důležité nejen k implantaci umělé chlopně, ale taktéž u plastik rozšiřujících aortální anulus nebo při operacích pro endokarditidu, jelikož absces může pronikat do kterékoli z nich. </w:t>
      </w:r>
    </w:p>
    <w:p>
      <w:pPr>
        <w:pStyle w:val="BodyTextIndent"/>
        <w:ind w:firstLine="0"/>
        <w:jc w:val="both"/>
      </w:pPr>
    </w:p>
    <w:p>
      <w:pPr>
        <w:pStyle w:val="BodyTextIndent"/>
        <w:ind w:firstLine="0"/>
      </w:pPr>
      <w:r w:rsidR="00114846" w:rsidRPr="00F5309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25" type="#_x0000_t75" alt="aorta" style="width:453.75pt;height:302.25pt;visibility:visible">
            <v:imagedata r:id="rId7" o:title=""/>
          </v:shape>
        </w:pict>
      </w:r>
    </w:p>
    <w:p>
      <w:pPr>
        <w:pStyle w:val="BodyTextIndent"/>
        <w:ind w:firstLine="0"/>
      </w:pPr>
    </w:p>
    <w:p>
      <w:pPr>
        <w:pStyle w:val="BodyTextIndent"/>
        <w:ind w:firstLine="0"/>
        <w:rPr>
          <w:i/>
          <w:iCs/>
        </w:rPr>
      </w:pPr>
      <w:r w:rsidR="00114846">
        <w:rPr>
          <w:i/>
          <w:iCs/>
        </w:rPr>
        <w:t>Obr. 1: Schematické znázornění aortální chlopně a okolních struktur (volně převzato z Cohn, LH: Cardiac surgery in Adult)</w:t>
      </w:r>
    </w:p>
    <w:p/>
    <w:p/>
    <w:p/>
    <w:p/>
    <w:p/>
    <w:p/>
    <w:p/>
    <w:p/>
    <w:p/>
    <w:p/>
    <w:p/>
    <w:p/>
    <w:p/>
    <w:p/>
    <w:p/>
    <w:p/>
    <w:p/>
    <w:p/>
    <w:p/>
    <w:p/>
    <w:p/>
    <w:p>
      <w:pPr>
        <w:pStyle w:val="Heading1"/>
        <w:jc w:val="both"/>
      </w:pPr>
      <w:r w:rsidR="00114846">
        <w:t xml:space="preserve">3 </w:t>
      </w:r>
      <w:r w:rsidR="00114846">
        <w:tab/>
      </w:r>
      <w:r w:rsidR="00114846" w:rsidRPr="00F40431">
        <w:t>Patofyziologie aortální</w:t>
      </w:r>
      <w:r w:rsidR="00114846">
        <w:t xml:space="preserve"> chlopně</w:t>
      </w:r>
    </w:p>
    <w:p>
      <w:pPr>
        <w:spacing w:line="360" w:lineRule="auto"/>
        <w:jc w:val="both"/>
        <w:rPr>
          <w:i/>
          <w:iCs/>
        </w:rPr>
      </w:pPr>
    </w:p>
    <w:p>
      <w:pPr>
        <w:spacing w:line="360" w:lineRule="auto"/>
        <w:jc w:val="both"/>
        <w:rPr>
          <w:b/>
        </w:rPr>
      </w:pPr>
      <w:r w:rsidR="00114846" w:rsidRPr="00BD2520">
        <w:rPr>
          <w:b/>
          <w:iCs/>
        </w:rPr>
        <w:t>3.1</w:t>
      </w:r>
      <w:r w:rsidR="00114846" w:rsidRPr="00BD2520">
        <w:rPr>
          <w:b/>
          <w:iCs/>
        </w:rPr>
        <w:tab/>
        <w:t>Aortální stenóza</w:t>
      </w:r>
    </w:p>
    <w:p>
      <w:pPr>
        <w:spacing w:line="360" w:lineRule="auto"/>
        <w:jc w:val="both"/>
      </w:pPr>
    </w:p>
    <w:p>
      <w:pPr>
        <w:spacing w:line="360" w:lineRule="auto"/>
        <w:ind w:firstLine="708"/>
        <w:jc w:val="both"/>
      </w:pPr>
      <w:r w:rsidR="00114846" w:rsidRPr="00F40431">
        <w:t xml:space="preserve">Aortální stenóza je nejčastěji způsobena degenerativně kalcifikačním procesem. Další příčinou může být vrozená bikuspidální či unikuspidální chlopeň, porevmatické postižení, nebo některá systémová onemocnění (Pagetova choroba). Degenerativní kalcifikace u starší populace v podmínkách vyspělých zemí je nejčastějším důvodem náhrady </w:t>
      </w:r>
      <w:r w:rsidR="00114846">
        <w:t>chlopně. Postupné ukládání depoz</w:t>
      </w:r>
      <w:r w:rsidR="00114846" w:rsidRPr="00F40431">
        <w:t>it vápníku v jednotlivých cípech chlopně a chlopenním anulu vede k postupné redukci plochy ústí chlopně [Selzer 1988]. Tato plocha u zdravého dospělého člověka měří přibližně 3</w:t>
      </w:r>
      <w:r w:rsidR="00114846">
        <w:t xml:space="preserve"> </w:t>
      </w:r>
      <w:r w:rsidR="00114846" w:rsidRPr="00F40431">
        <w:t>-</w:t>
      </w:r>
      <w:r w:rsidR="00114846">
        <w:t xml:space="preserve"> </w:t>
      </w:r>
      <w:r w:rsidR="00114846" w:rsidRPr="00F40431">
        <w:t xml:space="preserve">4 </w:t>
      </w:r>
      <w:bookmarkStart w:id="0" w:name="OLE_LINK1"/>
      <w:r w:rsidR="00114846" w:rsidRPr="00F40431">
        <w:t>cm</w:t>
      </w:r>
      <w:r w:rsidR="00114846" w:rsidRPr="00F40431">
        <w:rPr>
          <w:vertAlign w:val="superscript"/>
        </w:rPr>
        <w:t>2</w:t>
      </w:r>
      <w:bookmarkEnd w:id="0"/>
      <w:r w:rsidR="00114846" w:rsidRPr="00F40431">
        <w:t>. Těžká stenóza je definována jako plocha ústí menší než 1,0 cm</w:t>
      </w:r>
      <w:r w:rsidR="00114846" w:rsidRPr="00F40431">
        <w:rPr>
          <w:vertAlign w:val="superscript"/>
        </w:rPr>
        <w:t>2</w:t>
      </w:r>
      <w:r w:rsidR="00114846" w:rsidRPr="00F40431">
        <w:t>, střední 1,0 – 1,5 cm</w:t>
      </w:r>
      <w:r w:rsidR="00114846" w:rsidRPr="00F40431">
        <w:rPr>
          <w:vertAlign w:val="superscript"/>
        </w:rPr>
        <w:t>2</w:t>
      </w:r>
      <w:r w:rsidR="00114846" w:rsidRPr="00F40431">
        <w:t xml:space="preserve"> a lehká při ploše ústí větší než 1,5 cm</w:t>
      </w:r>
      <w:r w:rsidR="00114846" w:rsidRPr="00F40431">
        <w:rPr>
          <w:vertAlign w:val="superscript"/>
        </w:rPr>
        <w:t>2</w:t>
      </w:r>
      <w:r w:rsidR="00114846">
        <w:t xml:space="preserve"> [Bonow</w:t>
      </w:r>
      <w:r w:rsidR="00114846" w:rsidRPr="00F40431">
        <w:t xml:space="preserve"> 2006]. To koresponduje </w:t>
      </w:r>
      <w:r w:rsidR="00114846">
        <w:t>s velikosti</w:t>
      </w:r>
      <w:r w:rsidR="00114846" w:rsidRPr="00F40431">
        <w:t xml:space="preserve"> středního gradientu 25</w:t>
      </w:r>
      <w:r w:rsidR="00114846">
        <w:t xml:space="preserve"> </w:t>
      </w:r>
      <w:r w:rsidR="00114846" w:rsidRPr="00F40431">
        <w:t xml:space="preserve">mmHg a </w:t>
      </w:r>
      <w:r w:rsidR="00114846">
        <w:t>maximální průtokovou rychlosti</w:t>
      </w:r>
      <w:r w:rsidR="00114846" w:rsidRPr="00F40431">
        <w:t xml:space="preserve"> na aortální chlopni (“peak jet velocity” dle </w:t>
      </w:r>
      <w:r w:rsidR="00114846">
        <w:t>dopplerometrie) menší než 3,0 m.</w:t>
      </w:r>
      <w:r w:rsidR="00114846" w:rsidRPr="00F40431">
        <w:t>s</w:t>
      </w:r>
      <w:r w:rsidR="00114846">
        <w:rPr>
          <w:vertAlign w:val="superscript"/>
        </w:rPr>
        <w:t>-1</w:t>
      </w:r>
      <w:r w:rsidR="00114846" w:rsidRPr="00F40431">
        <w:t xml:space="preserve"> v případě lehké stenózy, u středně významné stenózy je střední gradient </w:t>
      </w:r>
      <w:r w:rsidR="00114846">
        <w:t>25-40 mmHg a maximální průtokové</w:t>
      </w:r>
      <w:r w:rsidR="00114846" w:rsidRPr="00F40431">
        <w:t xml:space="preserve"> rychlost</w:t>
      </w:r>
      <w:r w:rsidR="00114846">
        <w:t>i 3,0 – 4,0 m.s</w:t>
      </w:r>
      <w:r w:rsidR="00114846">
        <w:rPr>
          <w:vertAlign w:val="superscript"/>
        </w:rPr>
        <w:t>-1</w:t>
      </w:r>
      <w:r w:rsidR="00114846" w:rsidRPr="00F40431">
        <w:t>, u těžké stenózy je střední gradient větší než 40 mmHg a maximální průtokov</w:t>
      </w:r>
      <w:r w:rsidR="00114846">
        <w:t>é</w:t>
      </w:r>
      <w:r w:rsidR="00114846" w:rsidRPr="00F40431">
        <w:t xml:space="preserve"> rychlost</w:t>
      </w:r>
      <w:r w:rsidR="00114846">
        <w:t>i větší než 4,0 m.</w:t>
      </w:r>
      <w:r w:rsidR="00114846" w:rsidRPr="00F40431">
        <w:t>s</w:t>
      </w:r>
      <w:r w:rsidR="00114846">
        <w:rPr>
          <w:vertAlign w:val="superscript"/>
        </w:rPr>
        <w:t>-1</w:t>
      </w:r>
      <w:r w:rsidR="00114846" w:rsidRPr="00F40431">
        <w:t xml:space="preserve">. </w:t>
      </w:r>
    </w:p>
    <w:p>
      <w:pPr>
        <w:spacing w:line="360" w:lineRule="auto"/>
        <w:jc w:val="both"/>
      </w:pPr>
      <w:r w:rsidR="00114846" w:rsidRPr="00F40431">
        <w:tab/>
        <w:t>V případě normálního srdečního výdeje u plochy ústí menší než 0,8 cm</w:t>
      </w:r>
      <w:r w:rsidR="00114846" w:rsidRPr="00F40431">
        <w:rPr>
          <w:vertAlign w:val="superscript"/>
        </w:rPr>
        <w:t>2</w:t>
      </w:r>
      <w:r w:rsidR="00114846" w:rsidRPr="00F40431">
        <w:t xml:space="preserve"> je obvykle střední gradient větší než 50</w:t>
      </w:r>
      <w:r w:rsidR="00114846">
        <w:t xml:space="preserve"> </w:t>
      </w:r>
      <w:r w:rsidR="00114846" w:rsidRPr="00F40431">
        <w:t xml:space="preserve">mmHg a s dále se zmenšující plochou ústí rychle narůstá. </w:t>
      </w:r>
    </w:p>
    <w:p>
      <w:pPr>
        <w:spacing w:line="360" w:lineRule="auto"/>
        <w:jc w:val="both"/>
      </w:pPr>
      <w:r w:rsidR="00114846" w:rsidRPr="00F40431">
        <w:t>Zvýšený intrakavitární tlak zvyšuje napětí stěn levé komory, které posléze vede k paralelní replikaci sarkomer a koncentrické hypertrofii svaloviny [Braunwald 2001]. Tímto mechanismem je kompenzována stenóza chlopně, aby byl zachován srdeční výdej. S progredující hypertrofií klesá compliance levé komory a zvyšuje s</w:t>
      </w:r>
      <w:r w:rsidR="00114846">
        <w:t>e enddiastolický tlak [Villari</w:t>
      </w:r>
      <w:r w:rsidR="00114846" w:rsidRPr="00F40431">
        <w:t xml:space="preserve"> 1995]. </w:t>
      </w:r>
    </w:p>
    <w:p>
      <w:pPr>
        <w:spacing w:line="360" w:lineRule="auto"/>
        <w:jc w:val="both"/>
      </w:pPr>
      <w:r w:rsidR="00114846" w:rsidRPr="00F40431">
        <w:tab/>
        <w:t>Progrese obstrukce ústí chlopně a hypertrofie svaloviny způsobuje vznik symptomů u postiženého nemocného. Jedná se o bolesti na hrudi, synkopální stavy a městnavé srdeční selhání. Průměrná plocha ústí chlopně při vzniku symptomů je 0,6 – 0,8 cm</w:t>
      </w:r>
      <w:r w:rsidR="00114846" w:rsidRPr="00F40431">
        <w:rPr>
          <w:vertAlign w:val="superscript"/>
        </w:rPr>
        <w:t xml:space="preserve">2 </w:t>
      </w:r>
      <w:r w:rsidR="00114846" w:rsidRPr="00F40431">
        <w:t>[Braunwald 2001]</w:t>
      </w:r>
      <w:r w:rsidR="00114846">
        <w:t>, četné jsou ale individuální rozdíly.</w:t>
      </w:r>
      <w:r w:rsidR="00114846" w:rsidRPr="00F40431">
        <w:t xml:space="preserve"> U nemocných s aortální stenózou s bolestmi na hrudi je očekávaná délka přežití 4 roky, při výskytu synkop 3 roky a při městnavém srdečním </w:t>
      </w:r>
      <w:r w:rsidR="00114846">
        <w:t>selhání přibližně 2 roky [Lund</w:t>
      </w:r>
      <w:r w:rsidR="00114846" w:rsidRPr="00F40431">
        <w:t xml:space="preserve"> 1996]. Jedinou léčbou u nemocného s aortální stenózou je včasná náhrada chlopně. V současné době neexistuje medikamentózní léčba, která by radikálně měnila průběh tohoto onemocnění. Použití statinů k úpravě lipidového spektra dle některých studií může zpomalit progresi onemocnění, nicméně postupnou degeneraci chlopně za</w:t>
      </w:r>
      <w:r w:rsidR="00114846">
        <w:t>stavit zatím nedokáže [Peltier 2003, Cowel</w:t>
      </w:r>
      <w:r w:rsidR="00114846" w:rsidRPr="00F40431">
        <w:t xml:space="preserve"> 2005]. Oddalování chirurgického řešení u symptomatických nemocných vede ke zvýšenému riziku náhlého úmrtí na podkladě srdeční arytmie či městnavého selhání. </w:t>
      </w:r>
    </w:p>
    <w:p>
      <w:pPr>
        <w:spacing w:line="360" w:lineRule="auto"/>
        <w:jc w:val="both"/>
      </w:pPr>
      <w:r w:rsidR="00114846" w:rsidRPr="00F40431">
        <w:tab/>
        <w:t>Obtížnější je situace u asymptomatického nemocného s hemodynamicky závažnou aortální stenózou. V průběhu latentního období dochází k postupné hypertrofii svaloviny levé komory, která se adaptuje na vyšší tlaky. Plocha ústí chlopně se průměrně zmenšuje o 0,12 cm</w:t>
      </w:r>
      <w:r w:rsidR="00114846" w:rsidRPr="00F40431">
        <w:rPr>
          <w:vertAlign w:val="superscript"/>
        </w:rPr>
        <w:t>2</w:t>
      </w:r>
      <w:r w:rsidR="00114846" w:rsidRPr="00F40431">
        <w:t xml:space="preserve"> za rok a transvalvulární tlak se </w:t>
      </w:r>
      <w:r w:rsidR="00114846">
        <w:t xml:space="preserve">zvyšuje o 10 – 15 mmHg [Otto </w:t>
      </w:r>
      <w:r w:rsidR="00114846" w:rsidRPr="00F40431">
        <w:t>1997]. V průběhu 5-ti let se riziko úmrtí zvyšuje na 38%. Náhlá smrt je u asymptomatických nemocných málo častá, pokud k ní dojde, většinou jí v několika měsících předchází vznik symptomů [</w:t>
      </w:r>
      <w:r w:rsidR="00114846">
        <w:t xml:space="preserve">Bonow </w:t>
      </w:r>
      <w:r w:rsidR="00114846" w:rsidRPr="00F40431">
        <w:t xml:space="preserve"> 2006]. Plánování a indikace chirurgické náhrady u těchto nemocných je založena na pravidelných echokardiografických kontrolách. Dle studie Rosenheka je indikována u asymptomatického pacienta při ročním zvýšení maximální průtokové rychlos</w:t>
      </w:r>
      <w:r w:rsidR="00114846">
        <w:t>ti na aortální chlopni o 0,45 m</w:t>
      </w:r>
      <w:r w:rsidR="00114846" w:rsidRPr="00F40431">
        <w:t>s</w:t>
      </w:r>
      <w:r w:rsidR="00114846">
        <w:rPr>
          <w:vertAlign w:val="superscript"/>
        </w:rPr>
        <w:t>-1</w:t>
      </w:r>
      <w:r w:rsidR="00114846" w:rsidRPr="00F40431">
        <w:t xml:space="preserve"> [Rosenhek 2000]. </w:t>
      </w:r>
    </w:p>
    <w:p>
      <w:pPr>
        <w:spacing w:line="360" w:lineRule="auto"/>
        <w:jc w:val="both"/>
      </w:pPr>
      <w:r w:rsidR="00114846" w:rsidRPr="00F40431">
        <w:tab/>
        <w:t xml:space="preserve">  </w:t>
      </w:r>
    </w:p>
    <w:p>
      <w:pPr>
        <w:spacing w:line="360" w:lineRule="auto"/>
        <w:jc w:val="both"/>
        <w:rPr>
          <w:i/>
          <w:iCs/>
        </w:rPr>
      </w:pPr>
    </w:p>
    <w:p>
      <w:pPr>
        <w:spacing w:line="360" w:lineRule="auto"/>
        <w:jc w:val="both"/>
        <w:rPr>
          <w:b/>
        </w:rPr>
      </w:pPr>
      <w:r w:rsidR="00114846" w:rsidRPr="00BD2520">
        <w:rPr>
          <w:b/>
          <w:iCs/>
        </w:rPr>
        <w:t>3.2</w:t>
      </w:r>
      <w:r w:rsidR="00114846" w:rsidRPr="00BD2520">
        <w:rPr>
          <w:b/>
          <w:iCs/>
        </w:rPr>
        <w:tab/>
        <w:t>Aortální regurgitace</w:t>
      </w:r>
    </w:p>
    <w:p>
      <w:pPr>
        <w:spacing w:line="360" w:lineRule="auto"/>
        <w:jc w:val="both"/>
      </w:pPr>
    </w:p>
    <w:p>
      <w:pPr>
        <w:spacing w:line="360" w:lineRule="auto"/>
        <w:jc w:val="both"/>
      </w:pPr>
      <w:r w:rsidR="00114846" w:rsidRPr="00F40431">
        <w:tab/>
      </w:r>
      <w:r w:rsidR="00114846" w:rsidRPr="00F40431">
        <w:rPr>
          <w:i/>
          <w:iCs/>
        </w:rPr>
        <w:t>Akutní</w:t>
      </w:r>
      <w:r w:rsidR="00114846" w:rsidRPr="00F40431">
        <w:t xml:space="preserve"> aortální regurgitace může být způsobena disekcí vzestupné aorty, infekční endokarditidou nebo traumatem. Morfologickým podkladem je odtržení komisury chlopně při disekci, perforace cípu při infekční endokarditidě či roztržení cípu při úrazu.</w:t>
      </w:r>
      <w:r w:rsidR="00114846">
        <w:t xml:space="preserve"> </w:t>
      </w:r>
      <w:r w:rsidR="00114846" w:rsidRPr="00F40431">
        <w:t xml:space="preserve">Levá komora špatně toleruje akutní regurgitaci aortální chlopně spojenou s rychlým zvýšením enddiastolického objemu levé komory a snížením ejekční frakce. Kompenzací tohoto stavu je tachykardie. Časný uzávěr mitrální chlopně není schopen dlouhodobě chránit plicní cirkulaci před vzestupem tlaku a postupně dochází k plicnímu edému, příčinou smrti je často progresivním srdeční selhání nebo maligní arytmie [Braunwald 2001]. Jedinou možností léčby je chirurgická obnova funkce chlopně či její náhrada. </w:t>
      </w:r>
    </w:p>
    <w:p>
      <w:pPr>
        <w:spacing w:line="360" w:lineRule="auto"/>
        <w:jc w:val="both"/>
      </w:pPr>
      <w:r w:rsidR="00114846" w:rsidRPr="00F40431">
        <w:tab/>
        <w:t>Obvyklou etiologií c</w:t>
      </w:r>
      <w:r w:rsidR="00114846" w:rsidRPr="00F40431">
        <w:rPr>
          <w:i/>
          <w:iCs/>
        </w:rPr>
        <w:t>hronické</w:t>
      </w:r>
      <w:r w:rsidR="00114846" w:rsidRPr="00F40431">
        <w:t xml:space="preserve"> regurgitace jsou kongenitální poruchy pojivové tkáně (Marfanův syndrom, Ehlers-Danlosův syndrom), myxomatozní </w:t>
      </w:r>
      <w:r w:rsidR="00114846">
        <w:t>změny či</w:t>
      </w:r>
      <w:r w:rsidR="00114846" w:rsidRPr="00F40431">
        <w:t xml:space="preserve"> degenerativní dilatace aorty, způsobující oddálení a </w:t>
      </w:r>
      <w:r w:rsidR="00114846">
        <w:t>poruchu</w:t>
      </w:r>
      <w:r w:rsidR="00114846" w:rsidRPr="00F40431">
        <w:t xml:space="preserve"> koaptace cípů chlopně. Pomalé poškození a degeneraci cípů chlopně může způsobit prodělaná revmatická horečka, některá autoimunitní onemocnění (ankylosující spondylitida, Reiterův syndrom, psoriatická artritida), popsán byl vliv léčiv (fenf</w:t>
      </w:r>
      <w:r w:rsidR="00114846">
        <w:t>lurami, dexfenfluramin) [Loke</w:t>
      </w:r>
      <w:r w:rsidR="00114846" w:rsidRPr="00F40431">
        <w:t xml:space="preserve"> 2002]. Chronická regurgitace vede k postupnému objemovému přetížení levé komory bez zvýšení enddiastolického tlaku v asymptomatické fázi onemocnění. Dilatace levé komory je následována excentrickou hypertrofií svaloviny s replikací sarkomer a elongací myocytů. Progresivní dilatace levé komory vede k intersticiální fibróze, zvýšení enddiastolického tlaku, dysfunkci a postupnému selhání</w:t>
      </w:r>
      <w:r w:rsidR="00114846">
        <w:t xml:space="preserve"> levé komory [Starling </w:t>
      </w:r>
      <w:r w:rsidR="00114846" w:rsidRPr="00F40431">
        <w:t>1991]. Průběh onemocnění od diagnózy aortální regurgitace k symptomatické formě je různě rychlý. Anginózní obtíže a dušnost se projeví až ve fázi dekompenzované funkce levé komory, u těchto nemocných vzrůstá mortalita s každým rokem cca o 10%. Z těchto důvodů by měla být chirurgická léčba indikována včas před projevy levostranného</w:t>
      </w:r>
      <w:r w:rsidR="00114846">
        <w:t xml:space="preserve"> srdečního</w:t>
      </w:r>
      <w:r w:rsidR="00114846" w:rsidRPr="00F40431">
        <w:t xml:space="preserve"> selhání.</w:t>
      </w:r>
    </w:p>
    <w:p>
      <w:pPr>
        <w:spacing w:line="360" w:lineRule="auto"/>
        <w:jc w:val="both"/>
      </w:pPr>
      <w:r w:rsidR="00114846" w:rsidRPr="00F40431">
        <w:tab/>
      </w:r>
    </w:p>
    <w:p>
      <w:pPr>
        <w:spacing w:line="360" w:lineRule="auto"/>
        <w:jc w:val="both"/>
        <w:rPr>
          <w:i/>
          <w:iCs/>
        </w:rPr>
      </w:pPr>
    </w:p>
    <w:p>
      <w:pPr>
        <w:spacing w:line="360" w:lineRule="auto"/>
        <w:jc w:val="both"/>
        <w:rPr>
          <w:b/>
          <w:iCs/>
        </w:rPr>
      </w:pPr>
      <w:r w:rsidR="00114846" w:rsidRPr="00BD2520">
        <w:rPr>
          <w:b/>
          <w:iCs/>
        </w:rPr>
        <w:t>3.3</w:t>
      </w:r>
      <w:r w:rsidR="00114846" w:rsidRPr="00BD2520">
        <w:rPr>
          <w:b/>
          <w:iCs/>
        </w:rPr>
        <w:tab/>
        <w:t>Indikace k</w:t>
      </w:r>
      <w:r w:rsidR="00114846">
        <w:rPr>
          <w:b/>
          <w:iCs/>
        </w:rPr>
        <w:t> </w:t>
      </w:r>
      <w:r w:rsidR="00114846" w:rsidRPr="00BD2520">
        <w:rPr>
          <w:b/>
          <w:iCs/>
        </w:rPr>
        <w:t>operaci</w:t>
      </w:r>
    </w:p>
    <w:p>
      <w:pPr>
        <w:spacing w:line="360" w:lineRule="auto"/>
        <w:jc w:val="both"/>
        <w:rPr>
          <w:b/>
        </w:rPr>
      </w:pPr>
    </w:p>
    <w:p>
      <w:pPr>
        <w:spacing w:line="360" w:lineRule="auto"/>
        <w:jc w:val="both"/>
      </w:pPr>
      <w:r w:rsidR="00114846" w:rsidRPr="00F40431">
        <w:tab/>
        <w:t>Indikace k operačnímu řešení aortální stenózy a regurgitace vycházejí z doporučení Evropské kardiologické společnosti [Iung 2002] a nových amerických doporučení ACC/AHA (American College of Cardiology/Ameri</w:t>
      </w:r>
      <w:r w:rsidR="00114846">
        <w:t xml:space="preserve">can Heart Association) [Bonow </w:t>
      </w:r>
      <w:r w:rsidR="00114846" w:rsidRPr="00F40431">
        <w:t xml:space="preserve"> 2006]. Pracovní skupinou České kardiologické společnosti byla publikována v roce 2007 [Popelová 2007].</w:t>
      </w:r>
    </w:p>
    <w:p>
      <w:pPr>
        <w:spacing w:line="360" w:lineRule="auto"/>
        <w:ind w:firstLine="708"/>
        <w:jc w:val="both"/>
      </w:pPr>
      <w:r w:rsidR="00114846" w:rsidRPr="00F40431">
        <w:t>V doporučeních jsou používány následující důkazní třídy: Důkazní třída I: existuje jasný průkaz a/nebo obecný konsenzus, že zvolený postup je užitečný a účinný; Důkazní třída II: není jasný průkaz a/nebo jsou rozdílné názory na užitečnost a účinnost daného postupu; Důkazní třída IIa: není jasný průkaz, ale je obecný konsenzus s daným postupem; Důkazní třída IIb: užitečnost léčby je méně podpořena důkazy a obecně přijímaným názorem; Důkazní třída III: jsou důkazy a/nebo obecná shoda, že léčba není užitečná a v některých případech může být škodlivá.</w:t>
      </w:r>
    </w:p>
    <w:p>
      <w:pPr>
        <w:spacing w:line="360" w:lineRule="auto"/>
        <w:rPr>
          <w:i/>
        </w:rPr>
      </w:pPr>
    </w:p>
    <w:p>
      <w:pPr>
        <w:spacing w:line="360" w:lineRule="auto"/>
        <w:rPr>
          <w:i/>
        </w:rPr>
      </w:pPr>
    </w:p>
    <w:p>
      <w:pPr>
        <w:spacing w:line="360" w:lineRule="auto"/>
        <w:rPr>
          <w:i/>
        </w:rPr>
      </w:pPr>
    </w:p>
    <w:p>
      <w:pPr>
        <w:spacing w:line="360" w:lineRule="auto"/>
        <w:rPr>
          <w:i/>
        </w:rPr>
      </w:pPr>
    </w:p>
    <w:p>
      <w:pPr>
        <w:spacing w:line="360" w:lineRule="auto"/>
        <w:rPr>
          <w:i/>
        </w:rPr>
      </w:pPr>
    </w:p>
    <w:p>
      <w:pPr>
        <w:pStyle w:val="Heading2"/>
      </w:pPr>
      <w:r w:rsidR="00114846" w:rsidRPr="00BD2520">
        <w:t>3.4</w:t>
      </w:r>
      <w:r w:rsidR="00114846" w:rsidRPr="00BD2520">
        <w:tab/>
        <w:t>Indikační kritéria k operaci aortální stenózy</w:t>
      </w:r>
    </w:p>
    <w:p>
      <w:pPr>
        <w:spacing w:line="360" w:lineRule="auto"/>
      </w:pPr>
    </w:p>
    <w:p>
      <w:pPr>
        <w:pStyle w:val="Heading1"/>
        <w:spacing w:line="360" w:lineRule="auto"/>
      </w:pPr>
      <w:r w:rsidR="00114846" w:rsidRPr="00F40431">
        <w:t xml:space="preserve">Indikační kritéria </w:t>
      </w:r>
      <w:r w:rsidR="00114846" w:rsidRPr="00F40431">
        <w:tab/>
      </w:r>
      <w:r w:rsidR="00114846" w:rsidRPr="00F40431">
        <w:tab/>
      </w:r>
      <w:r w:rsidR="00114846" w:rsidRPr="00F40431">
        <w:tab/>
      </w:r>
      <w:r w:rsidR="00114846" w:rsidRPr="00F40431">
        <w:tab/>
      </w:r>
      <w:r w:rsidR="00114846" w:rsidRPr="00F40431">
        <w:tab/>
      </w:r>
      <w:r w:rsidR="00114846" w:rsidRPr="00F40431">
        <w:tab/>
      </w:r>
      <w:r w:rsidR="00114846" w:rsidRPr="00F40431">
        <w:tab/>
      </w:r>
      <w:r w:rsidR="00114846" w:rsidRPr="00F40431">
        <w:tab/>
        <w:t>Důkazní třída</w:t>
      </w:r>
    </w:p>
    <w:p>
      <w:pPr>
        <w:spacing w:line="360" w:lineRule="auto"/>
      </w:pPr>
      <w:r w:rsidR="00114846" w:rsidRPr="00F40431">
        <w:t>Symptomatická těžká AS – AVA &lt; 0,6 cm</w:t>
      </w:r>
      <w:r w:rsidR="00114846">
        <w:rPr>
          <w:vertAlign w:val="superscript"/>
        </w:rPr>
        <w:t>2</w:t>
      </w:r>
      <w:r w:rsidR="00114846">
        <w:t>.m</w:t>
      </w:r>
      <w:r w:rsidR="00114846">
        <w:rPr>
          <w:vertAlign w:val="superscript"/>
          <w:lang w:val="en-US"/>
        </w:rPr>
        <w:t>-</w:t>
      </w:r>
      <w:r w:rsidR="00114846">
        <w:rPr>
          <w:vertAlign w:val="superscript"/>
        </w:rPr>
        <w:t>2</w:t>
      </w:r>
      <w:r w:rsidR="00114846" w:rsidRPr="00F40431">
        <w:t xml:space="preserve"> </w:t>
      </w:r>
      <w:r w:rsidR="00114846" w:rsidRPr="00F40431">
        <w:tab/>
      </w:r>
      <w:r w:rsidR="00114846" w:rsidRPr="00F40431">
        <w:tab/>
      </w:r>
      <w:r w:rsidR="00114846" w:rsidRPr="00F40431">
        <w:tab/>
      </w:r>
      <w:r w:rsidR="00114846" w:rsidRPr="00F40431">
        <w:tab/>
        <w:t>I</w:t>
      </w:r>
    </w:p>
    <w:p>
      <w:pPr>
        <w:spacing w:line="360" w:lineRule="auto"/>
      </w:pPr>
      <w:r w:rsidR="00114846" w:rsidRPr="00F40431">
        <w:t>– střední systolický gradient (PGmean) &gt; 40 mm Hg</w:t>
      </w:r>
    </w:p>
    <w:p>
      <w:pPr>
        <w:spacing w:line="360" w:lineRule="auto"/>
      </w:pPr>
      <w:r w:rsidR="00114846" w:rsidRPr="00F40431">
        <w:t>– maximální systolický gradient (PGmax) &gt; 60 mm Hg</w:t>
      </w:r>
    </w:p>
    <w:p>
      <w:pPr>
        <w:spacing w:line="360" w:lineRule="auto"/>
        <w:rPr>
          <w:vertAlign w:val="superscript"/>
        </w:rPr>
      </w:pPr>
      <w:r w:rsidR="00114846" w:rsidRPr="00F40431">
        <w:t>– vrcholová sy</w:t>
      </w:r>
      <w:r w:rsidR="00114846">
        <w:t>stolická rychlost (Vmax) &gt; 4 m.s</w:t>
      </w:r>
      <w:r w:rsidR="00114846">
        <w:rPr>
          <w:vertAlign w:val="superscript"/>
        </w:rPr>
        <w:t>-1</w:t>
      </w:r>
    </w:p>
    <w:p>
      <w:pPr>
        <w:spacing w:line="360" w:lineRule="auto"/>
      </w:pPr>
      <w:r w:rsidR="00114846" w:rsidRPr="00F40431">
        <w:t>– těžká AS (AVA &lt; 0,6 cm</w:t>
      </w:r>
      <w:r w:rsidR="00114846">
        <w:rPr>
          <w:vertAlign w:val="superscript"/>
        </w:rPr>
        <w:t>2</w:t>
      </w:r>
      <w:r w:rsidR="00114846">
        <w:t>.m</w:t>
      </w:r>
      <w:r w:rsidR="00114846">
        <w:rPr>
          <w:vertAlign w:val="superscript"/>
          <w:lang w:val="en-US"/>
        </w:rPr>
        <w:t>-</w:t>
      </w:r>
      <w:r w:rsidR="00114846">
        <w:rPr>
          <w:vertAlign w:val="superscript"/>
        </w:rPr>
        <w:t>2</w:t>
      </w:r>
      <w:r w:rsidR="00114846" w:rsidRPr="00F40431">
        <w:t xml:space="preserve">) s nízkým gradientem </w:t>
      </w:r>
    </w:p>
    <w:p>
      <w:pPr>
        <w:spacing w:line="360" w:lineRule="auto"/>
      </w:pPr>
      <w:r w:rsidR="00114846" w:rsidRPr="00F40431">
        <w:t>(PGmean &lt; 30 mm Hg) a s významnou systolickou dysfunkcí</w:t>
      </w:r>
    </w:p>
    <w:p>
      <w:pPr>
        <w:spacing w:line="360" w:lineRule="auto"/>
      </w:pPr>
      <w:r w:rsidR="00114846" w:rsidRPr="00F40431">
        <w:t>levé komory (EF ≤ 35 %)</w:t>
      </w:r>
    </w:p>
    <w:p>
      <w:pPr>
        <w:spacing w:line="360" w:lineRule="auto"/>
      </w:pPr>
      <w:r w:rsidR="00114846" w:rsidRPr="00F40431">
        <w:t>s prokázanou kontraktilní rezervou</w:t>
      </w:r>
      <w:r w:rsidR="00114846" w:rsidRPr="00F40431">
        <w:tab/>
      </w:r>
      <w:r w:rsidR="00114846" w:rsidRPr="00F40431">
        <w:tab/>
      </w:r>
      <w:r w:rsidR="00114846" w:rsidRPr="00F40431">
        <w:tab/>
      </w:r>
      <w:r w:rsidR="00114846" w:rsidRPr="00F40431">
        <w:tab/>
      </w:r>
      <w:r w:rsidR="00114846" w:rsidRPr="00F40431">
        <w:tab/>
      </w:r>
      <w:r w:rsidR="00114846" w:rsidRPr="00F40431">
        <w:tab/>
      </w:r>
      <w:r w:rsidR="00114846" w:rsidRPr="00F40431">
        <w:tab/>
        <w:t xml:space="preserve"> I</w:t>
      </w:r>
    </w:p>
    <w:p>
      <w:pPr>
        <w:spacing w:line="360" w:lineRule="auto"/>
      </w:pPr>
      <w:r w:rsidR="00114846" w:rsidRPr="00F40431">
        <w:t>bez kontraktilní rezervy</w:t>
      </w:r>
      <w:r w:rsidR="00114846" w:rsidRPr="00F40431">
        <w:tab/>
      </w:r>
      <w:r w:rsidR="00114846" w:rsidRPr="00F40431">
        <w:tab/>
      </w:r>
      <w:r w:rsidR="00114846" w:rsidRPr="00F40431">
        <w:tab/>
      </w:r>
      <w:r w:rsidR="00114846" w:rsidRPr="00F40431">
        <w:tab/>
      </w:r>
      <w:r w:rsidR="00114846" w:rsidRPr="00F40431">
        <w:tab/>
      </w:r>
      <w:r w:rsidR="00114846" w:rsidRPr="00F40431">
        <w:tab/>
      </w:r>
      <w:r w:rsidR="00114846" w:rsidRPr="00F40431">
        <w:tab/>
      </w:r>
      <w:r w:rsidR="00114846" w:rsidRPr="00F40431">
        <w:tab/>
        <w:t xml:space="preserve"> IIb</w:t>
      </w:r>
    </w:p>
    <w:p>
      <w:pPr>
        <w:spacing w:line="360" w:lineRule="auto"/>
      </w:pPr>
      <w:r w:rsidR="00114846" w:rsidRPr="00F40431">
        <w:t xml:space="preserve">Asymptomatická těžká AS – podstupující operaci koronárních tepen, </w:t>
      </w:r>
    </w:p>
    <w:p>
      <w:pPr>
        <w:spacing w:line="360" w:lineRule="auto"/>
      </w:pPr>
      <w:r w:rsidR="00114846" w:rsidRPr="00F40431">
        <w:t xml:space="preserve">aorty nebo jiné srdeční vady </w:t>
      </w:r>
      <w:r w:rsidR="00114846" w:rsidRPr="00F40431">
        <w:tab/>
      </w:r>
      <w:r w:rsidR="00114846" w:rsidRPr="00F40431">
        <w:tab/>
      </w:r>
      <w:r w:rsidR="00114846" w:rsidRPr="00F40431">
        <w:tab/>
      </w:r>
      <w:r w:rsidR="00114846" w:rsidRPr="00F40431">
        <w:tab/>
      </w:r>
      <w:r w:rsidR="00114846" w:rsidRPr="00F40431">
        <w:tab/>
      </w:r>
      <w:r w:rsidR="00114846" w:rsidRPr="00F40431">
        <w:tab/>
        <w:t xml:space="preserve">     </w:t>
      </w:r>
      <w:r w:rsidR="00114846" w:rsidRPr="00F40431">
        <w:tab/>
      </w:r>
      <w:r w:rsidR="00114846" w:rsidRPr="00F40431">
        <w:tab/>
        <w:t xml:space="preserve"> I</w:t>
      </w:r>
    </w:p>
    <w:p>
      <w:pPr>
        <w:spacing w:line="360" w:lineRule="auto"/>
      </w:pPr>
      <w:r w:rsidR="00114846" w:rsidRPr="00F40431">
        <w:t>– se systolickou dysfunkcí levé komory s EF &lt; 50 %</w:t>
      </w:r>
      <w:r w:rsidR="00114846" w:rsidRPr="00F40431">
        <w:tab/>
      </w:r>
      <w:r w:rsidR="00114846" w:rsidRPr="00F40431">
        <w:tab/>
      </w:r>
      <w:r w:rsidR="00114846" w:rsidRPr="00F40431">
        <w:tab/>
      </w:r>
      <w:r w:rsidR="00114846" w:rsidRPr="00F40431">
        <w:tab/>
        <w:t xml:space="preserve"> I</w:t>
      </w:r>
    </w:p>
    <w:p>
      <w:pPr>
        <w:spacing w:line="360" w:lineRule="auto"/>
      </w:pPr>
      <w:r w:rsidR="00114846" w:rsidRPr="00F40431">
        <w:t>– s pozitivním zátěžovým testem (včetně asymptomatické hypotenze)</w:t>
      </w:r>
      <w:r w:rsidR="00114846" w:rsidRPr="00F40431">
        <w:tab/>
      </w:r>
      <w:r w:rsidR="00114846" w:rsidRPr="00F40431">
        <w:tab/>
        <w:t xml:space="preserve"> IIa</w:t>
      </w:r>
    </w:p>
    <w:p>
      <w:pPr>
        <w:spacing w:line="360" w:lineRule="auto"/>
      </w:pPr>
      <w:r w:rsidR="00114846" w:rsidRPr="00F40431">
        <w:t xml:space="preserve">– s komorovou tachykardií </w:t>
      </w:r>
      <w:r w:rsidR="00114846" w:rsidRPr="00F40431">
        <w:tab/>
      </w:r>
      <w:r w:rsidR="00114846" w:rsidRPr="00F40431">
        <w:tab/>
      </w:r>
      <w:r w:rsidR="00114846" w:rsidRPr="00F40431">
        <w:tab/>
      </w:r>
      <w:r w:rsidR="00114846" w:rsidRPr="00F40431">
        <w:tab/>
      </w:r>
      <w:r w:rsidR="00114846" w:rsidRPr="00F40431">
        <w:tab/>
      </w:r>
      <w:r w:rsidR="00114846" w:rsidRPr="00F40431">
        <w:tab/>
      </w:r>
      <w:r w:rsidR="00114846" w:rsidRPr="00F40431">
        <w:tab/>
      </w:r>
      <w:r w:rsidR="00114846" w:rsidRPr="00F40431">
        <w:tab/>
        <w:t xml:space="preserve"> IIb</w:t>
      </w:r>
    </w:p>
    <w:p>
      <w:pPr>
        <w:spacing w:line="360" w:lineRule="auto"/>
      </w:pPr>
      <w:r w:rsidR="00114846" w:rsidRPr="00F40431">
        <w:t xml:space="preserve">– s těžkou hypertrofií levé komory ≥ 15 mm </w:t>
      </w:r>
      <w:r w:rsidR="00114846" w:rsidRPr="00F40431">
        <w:tab/>
      </w:r>
      <w:r w:rsidR="00114846" w:rsidRPr="00F40431">
        <w:tab/>
      </w:r>
      <w:r w:rsidR="00114846" w:rsidRPr="00F40431">
        <w:tab/>
      </w:r>
      <w:r w:rsidR="00114846" w:rsidRPr="00F40431">
        <w:tab/>
      </w:r>
      <w:r w:rsidR="00114846" w:rsidRPr="00F40431">
        <w:tab/>
        <w:t xml:space="preserve"> IIb</w:t>
      </w:r>
    </w:p>
    <w:p>
      <w:pPr>
        <w:spacing w:line="360" w:lineRule="auto"/>
      </w:pPr>
      <w:r w:rsidR="00114846" w:rsidRPr="00F40431">
        <w:t>– s plochou aortálního ústí (AVA) &lt; 0,6 cm</w:t>
      </w:r>
      <w:r w:rsidR="00114846" w:rsidRPr="00F40431">
        <w:rPr>
          <w:vertAlign w:val="superscript"/>
        </w:rPr>
        <w:t>2</w:t>
      </w:r>
      <w:r w:rsidR="00114846" w:rsidRPr="00F40431">
        <w:t xml:space="preserve">, středním </w:t>
      </w:r>
      <w:r w:rsidR="00114846" w:rsidRPr="00F40431">
        <w:tab/>
      </w:r>
      <w:r w:rsidR="00114846" w:rsidRPr="00F40431">
        <w:tab/>
      </w:r>
      <w:r w:rsidR="00114846" w:rsidRPr="00F40431">
        <w:tab/>
      </w:r>
      <w:r w:rsidR="00114846" w:rsidRPr="00F40431">
        <w:tab/>
        <w:t xml:space="preserve"> IIb</w:t>
      </w:r>
    </w:p>
    <w:p>
      <w:pPr>
        <w:spacing w:line="360" w:lineRule="auto"/>
      </w:pPr>
      <w:r w:rsidR="00114846" w:rsidRPr="00F40431">
        <w:t>gradientem &gt; 60 mm</w:t>
      </w:r>
      <w:r w:rsidR="00114846">
        <w:t xml:space="preserve"> Hg, rychlostí &gt; 5 m.</w:t>
      </w:r>
      <w:r w:rsidR="00114846" w:rsidRPr="00F40431">
        <w:t>s</w:t>
      </w:r>
      <w:r w:rsidR="00114846">
        <w:rPr>
          <w:vertAlign w:val="superscript"/>
        </w:rPr>
        <w:t>-1</w:t>
      </w:r>
      <w:r w:rsidR="00114846" w:rsidRPr="00F40431">
        <w:t xml:space="preserve"> při očekávané </w:t>
      </w:r>
    </w:p>
    <w:p>
      <w:pPr>
        <w:spacing w:line="360" w:lineRule="auto"/>
      </w:pPr>
      <w:r w:rsidR="00114846" w:rsidRPr="00F40431">
        <w:t>operační mortalitě do 1 %</w:t>
      </w:r>
    </w:p>
    <w:p>
      <w:pPr>
        <w:spacing w:line="360" w:lineRule="auto"/>
      </w:pPr>
      <w:r w:rsidR="00114846" w:rsidRPr="00F40431">
        <w:t xml:space="preserve">– před plánovaným těhotenstvím </w:t>
      </w:r>
      <w:r w:rsidR="00114846" w:rsidRPr="00F40431">
        <w:tab/>
      </w:r>
      <w:r w:rsidR="00114846" w:rsidRPr="00F40431">
        <w:tab/>
      </w:r>
      <w:r w:rsidR="00114846" w:rsidRPr="00F40431">
        <w:tab/>
      </w:r>
      <w:r w:rsidR="00114846" w:rsidRPr="00F40431">
        <w:tab/>
      </w:r>
      <w:r w:rsidR="00114846" w:rsidRPr="00F40431">
        <w:tab/>
      </w:r>
      <w:r w:rsidR="00114846" w:rsidRPr="00F40431">
        <w:tab/>
      </w:r>
      <w:r w:rsidR="00114846" w:rsidRPr="00F40431">
        <w:tab/>
        <w:t>IIa</w:t>
      </w:r>
    </w:p>
    <w:p>
      <w:pPr>
        <w:spacing w:line="360" w:lineRule="auto"/>
      </w:pPr>
      <w:r w:rsidR="00114846" w:rsidRPr="00F40431">
        <w:t xml:space="preserve">– při riziku rychlé progrese (věk, kalcifikace, koronární nemoc) </w:t>
      </w:r>
      <w:r w:rsidR="00114846" w:rsidRPr="00F40431">
        <w:tab/>
      </w:r>
      <w:r w:rsidR="00114846" w:rsidRPr="00F40431">
        <w:tab/>
      </w:r>
      <w:r w:rsidR="00114846" w:rsidRPr="00F40431">
        <w:tab/>
        <w:t>IIb</w:t>
      </w:r>
    </w:p>
    <w:p>
      <w:pPr>
        <w:spacing w:line="360" w:lineRule="auto"/>
      </w:pPr>
      <w:r w:rsidR="00114846" w:rsidRPr="00F40431">
        <w:t xml:space="preserve">nebo při riziku nedostupnosti operace při vzniku symptomů </w:t>
      </w:r>
    </w:p>
    <w:p>
      <w:pPr>
        <w:spacing w:line="360" w:lineRule="auto"/>
      </w:pPr>
      <w:r w:rsidR="00114846" w:rsidRPr="00F40431">
        <w:t>– před velkým a rizikovým nekardiálním chirurgickým výkonem</w:t>
      </w:r>
      <w:r w:rsidR="00114846" w:rsidRPr="00F40431">
        <w:tab/>
      </w:r>
      <w:r w:rsidR="00114846" w:rsidRPr="00F40431">
        <w:tab/>
      </w:r>
      <w:r w:rsidR="00114846" w:rsidRPr="00F40431">
        <w:tab/>
        <w:t xml:space="preserve"> IIb</w:t>
      </w:r>
    </w:p>
    <w:p>
      <w:pPr>
        <w:spacing w:line="360" w:lineRule="auto"/>
      </w:pPr>
      <w:r w:rsidR="00114846" w:rsidRPr="00F40431">
        <w:t xml:space="preserve">při nízkém riziku kardiochirurgického výkonu </w:t>
      </w:r>
    </w:p>
    <w:p>
      <w:pPr>
        <w:spacing w:line="360" w:lineRule="auto"/>
      </w:pPr>
    </w:p>
    <w:p>
      <w:pPr>
        <w:spacing w:line="360" w:lineRule="auto"/>
      </w:pPr>
      <w:r w:rsidR="00114846" w:rsidRPr="00F40431">
        <w:t xml:space="preserve">Asymptomatická střední – střední AS podstupující operaci koronárních tepen, </w:t>
      </w:r>
    </w:p>
    <w:p>
      <w:pPr>
        <w:spacing w:line="360" w:lineRule="auto"/>
      </w:pPr>
      <w:r w:rsidR="00114846" w:rsidRPr="00F40431">
        <w:t>aorty a mírná AS nebo jiné srdeční vady</w:t>
      </w:r>
      <w:r w:rsidR="00114846" w:rsidRPr="00F40431">
        <w:tab/>
      </w:r>
      <w:r w:rsidR="00114846" w:rsidRPr="00F40431">
        <w:tab/>
      </w:r>
      <w:r w:rsidR="00114846" w:rsidRPr="00F40431">
        <w:tab/>
      </w:r>
      <w:r w:rsidR="00114846" w:rsidRPr="00F40431">
        <w:tab/>
      </w:r>
      <w:r w:rsidR="00114846" w:rsidRPr="00F40431">
        <w:tab/>
      </w:r>
      <w:r w:rsidR="00114846" w:rsidRPr="00F40431">
        <w:tab/>
        <w:t>IIa</w:t>
      </w:r>
    </w:p>
    <w:p>
      <w:pPr>
        <w:spacing w:line="360" w:lineRule="auto"/>
      </w:pPr>
    </w:p>
    <w:p>
      <w:pPr>
        <w:spacing w:line="360" w:lineRule="auto"/>
      </w:pPr>
      <w:r w:rsidR="00114846" w:rsidRPr="00F40431">
        <w:t xml:space="preserve">– mírná AS podstupující chirurgickou revaskularizaci,  </w:t>
      </w:r>
      <w:r w:rsidR="00114846" w:rsidRPr="00F40431">
        <w:tab/>
      </w:r>
      <w:r w:rsidR="00114846" w:rsidRPr="00F40431">
        <w:tab/>
      </w:r>
      <w:r w:rsidR="00114846" w:rsidRPr="00F40431">
        <w:tab/>
      </w:r>
      <w:r w:rsidR="00114846" w:rsidRPr="00F40431">
        <w:tab/>
        <w:t>IIb</w:t>
      </w:r>
    </w:p>
    <w:p>
      <w:pPr>
        <w:spacing w:line="360" w:lineRule="auto"/>
      </w:pPr>
      <w:r w:rsidR="00114846" w:rsidRPr="00F40431">
        <w:t xml:space="preserve">pokud je aortální chlopeň těžce kalcifikovaná s rizikem </w:t>
      </w:r>
    </w:p>
    <w:p>
      <w:pPr>
        <w:spacing w:line="360" w:lineRule="auto"/>
      </w:pPr>
      <w:r w:rsidR="00114846" w:rsidRPr="00F40431">
        <w:t>rychlé progrese</w:t>
      </w:r>
    </w:p>
    <w:p>
      <w:pPr>
        <w:spacing w:line="360" w:lineRule="auto"/>
        <w:rPr>
          <w:b/>
        </w:rPr>
      </w:pPr>
      <w:r w:rsidR="00114846" w:rsidRPr="00074878">
        <w:rPr>
          <w:b/>
        </w:rPr>
        <w:t>2.5</w:t>
      </w:r>
      <w:r w:rsidR="00114846" w:rsidRPr="00074878">
        <w:rPr>
          <w:b/>
        </w:rPr>
        <w:tab/>
        <w:t>Indikační kritéria k operaci chronické aortální regurgitace</w:t>
      </w:r>
    </w:p>
    <w:p>
      <w:pPr>
        <w:spacing w:line="360" w:lineRule="auto"/>
      </w:pPr>
    </w:p>
    <w:p>
      <w:pPr>
        <w:pStyle w:val="Heading1"/>
        <w:spacing w:line="360" w:lineRule="auto"/>
      </w:pPr>
      <w:r w:rsidR="00114846" w:rsidRPr="00F40431">
        <w:t xml:space="preserve">Indikační kritéria </w:t>
      </w:r>
      <w:r w:rsidR="00114846" w:rsidRPr="00F40431">
        <w:tab/>
      </w:r>
      <w:r w:rsidR="00114846" w:rsidRPr="00F40431">
        <w:tab/>
      </w:r>
      <w:r w:rsidR="00114846" w:rsidRPr="00F40431">
        <w:tab/>
      </w:r>
      <w:r w:rsidR="00114846" w:rsidRPr="00F40431">
        <w:tab/>
      </w:r>
      <w:r w:rsidR="00114846" w:rsidRPr="00F40431">
        <w:tab/>
      </w:r>
      <w:r w:rsidR="00114846" w:rsidRPr="00F40431">
        <w:tab/>
      </w:r>
      <w:r w:rsidR="00114846" w:rsidRPr="00F40431">
        <w:tab/>
      </w:r>
      <w:r w:rsidR="00114846" w:rsidRPr="00F40431">
        <w:tab/>
        <w:t>Důkazní třída</w:t>
      </w:r>
    </w:p>
    <w:p>
      <w:pPr>
        <w:spacing w:line="360" w:lineRule="auto"/>
      </w:pPr>
      <w:r w:rsidR="00114846" w:rsidRPr="00F40431">
        <w:t>Těžká chronická AR symp</w:t>
      </w:r>
      <w:r w:rsidR="00114846">
        <w:t xml:space="preserve">tomatický pacient (NYHA II–IV) </w:t>
      </w:r>
      <w:r w:rsidR="00114846" w:rsidRPr="00F40431">
        <w:t xml:space="preserve">s normální  </w:t>
      </w:r>
      <w:r w:rsidR="00114846" w:rsidRPr="00F40431">
        <w:tab/>
      </w:r>
      <w:r w:rsidR="00114846" w:rsidRPr="00F40431">
        <w:tab/>
        <w:t>I</w:t>
      </w:r>
    </w:p>
    <w:p>
      <w:pPr>
        <w:spacing w:line="360" w:lineRule="auto"/>
      </w:pPr>
      <w:r w:rsidR="00114846" w:rsidRPr="00F40431">
        <w:t>systolickou funkcí LK</w:t>
      </w:r>
    </w:p>
    <w:p>
      <w:pPr>
        <w:spacing w:line="360" w:lineRule="auto"/>
      </w:pPr>
      <w:r w:rsidR="00114846" w:rsidRPr="00F40431">
        <w:t xml:space="preserve">Významná chronická + EF ≤ 50 % v klidu </w:t>
      </w:r>
      <w:r w:rsidR="00114846" w:rsidRPr="00F40431">
        <w:tab/>
      </w:r>
      <w:r w:rsidR="00114846" w:rsidRPr="00F40431">
        <w:tab/>
      </w:r>
      <w:r w:rsidR="00114846" w:rsidRPr="00F40431">
        <w:tab/>
      </w:r>
      <w:r w:rsidR="00114846" w:rsidRPr="00F40431">
        <w:tab/>
      </w:r>
      <w:r w:rsidR="00114846" w:rsidRPr="00F40431">
        <w:tab/>
      </w:r>
      <w:r w:rsidR="00114846" w:rsidRPr="00F40431">
        <w:tab/>
        <w:t>I</w:t>
      </w:r>
    </w:p>
    <w:p>
      <w:pPr>
        <w:spacing w:line="360" w:lineRule="auto"/>
      </w:pPr>
      <w:r w:rsidR="00114846" w:rsidRPr="00F40431">
        <w:t xml:space="preserve">asymptomatická AR + současný aortokoronární bypass, </w:t>
      </w:r>
      <w:r w:rsidR="00114846" w:rsidRPr="00F40431">
        <w:tab/>
      </w:r>
      <w:r w:rsidR="00114846" w:rsidRPr="00F40431">
        <w:tab/>
      </w:r>
      <w:r w:rsidR="00114846" w:rsidRPr="00F40431">
        <w:tab/>
      </w:r>
      <w:r w:rsidR="00114846" w:rsidRPr="00F40431">
        <w:tab/>
        <w:t>I</w:t>
      </w:r>
    </w:p>
    <w:p>
      <w:pPr>
        <w:spacing w:line="360" w:lineRule="auto"/>
      </w:pPr>
      <w:r w:rsidR="00114846" w:rsidRPr="00F40431">
        <w:t xml:space="preserve">operace aorty nebo jiné chlopně </w:t>
      </w:r>
    </w:p>
    <w:p>
      <w:pPr>
        <w:spacing w:line="360" w:lineRule="auto"/>
      </w:pPr>
      <w:r w:rsidR="00114846" w:rsidRPr="00F40431">
        <w:t xml:space="preserve">+ dilatace levé komory: EDD nad 75 mm nebo ESD nad 55 mm </w:t>
      </w:r>
      <w:r w:rsidR="00114846" w:rsidRPr="00F40431">
        <w:tab/>
      </w:r>
      <w:r w:rsidR="00114846" w:rsidRPr="00F40431">
        <w:tab/>
      </w:r>
      <w:r w:rsidR="00114846" w:rsidRPr="00F40431">
        <w:tab/>
        <w:t>IIa</w:t>
      </w:r>
    </w:p>
    <w:p>
      <w:pPr>
        <w:spacing w:line="360" w:lineRule="auto"/>
      </w:pPr>
      <w:r w:rsidR="00114846" w:rsidRPr="00F40431">
        <w:t>s normální EF</w:t>
      </w:r>
    </w:p>
    <w:p>
      <w:pPr>
        <w:spacing w:line="360" w:lineRule="auto"/>
      </w:pPr>
      <w:r w:rsidR="00114846" w:rsidRPr="00F40431">
        <w:t>+ EDD nad 70 mm (35–36 mm/m</w:t>
      </w:r>
      <w:r w:rsidR="00114846" w:rsidRPr="00F40431">
        <w:rPr>
          <w:vertAlign w:val="superscript"/>
        </w:rPr>
        <w:t>2</w:t>
      </w:r>
      <w:r w:rsidR="00114846" w:rsidRPr="00F40431">
        <w:t xml:space="preserve">) nebo ESD nad 50 mm </w:t>
      </w:r>
      <w:r w:rsidR="00114846" w:rsidRPr="00F40431">
        <w:tab/>
      </w:r>
      <w:r w:rsidR="00114846" w:rsidRPr="00F40431">
        <w:tab/>
      </w:r>
      <w:r w:rsidR="00114846" w:rsidRPr="00F40431">
        <w:tab/>
      </w:r>
      <w:r w:rsidR="00114846" w:rsidRPr="00F40431">
        <w:tab/>
        <w:t>IIb</w:t>
      </w:r>
    </w:p>
    <w:p>
      <w:pPr>
        <w:spacing w:line="360" w:lineRule="auto"/>
      </w:pPr>
      <w:r w:rsidR="00114846" w:rsidRPr="00F40431">
        <w:t>(25 mm/m</w:t>
      </w:r>
      <w:r w:rsidR="00114846" w:rsidRPr="00F40431">
        <w:rPr>
          <w:vertAlign w:val="superscript"/>
        </w:rPr>
        <w:t>2</w:t>
      </w:r>
      <w:r w:rsidR="00114846" w:rsidRPr="00F40431">
        <w:t>)</w:t>
      </w:r>
    </w:p>
    <w:p>
      <w:pPr>
        <w:spacing w:line="360" w:lineRule="auto"/>
      </w:pPr>
      <w:r w:rsidR="00114846" w:rsidRPr="00F40431">
        <w:t xml:space="preserve">+ EF &gt; 50 % s jejím snižováním při zátěži  </w:t>
      </w:r>
      <w:r w:rsidR="00114846" w:rsidRPr="00F40431">
        <w:tab/>
      </w:r>
      <w:r w:rsidR="00114846" w:rsidRPr="00F40431">
        <w:tab/>
      </w:r>
      <w:r w:rsidR="00114846" w:rsidRPr="00F40431">
        <w:tab/>
      </w:r>
      <w:r w:rsidR="00114846" w:rsidRPr="00F40431">
        <w:tab/>
      </w:r>
      <w:r w:rsidR="00114846" w:rsidRPr="00F40431">
        <w:tab/>
      </w:r>
      <w:r w:rsidR="00114846" w:rsidRPr="00F40431">
        <w:tab/>
        <w:t>IIb</w:t>
      </w:r>
    </w:p>
    <w:p>
      <w:pPr>
        <w:spacing w:line="360" w:lineRule="auto"/>
      </w:pPr>
      <w:r w:rsidR="00114846" w:rsidRPr="00F40431">
        <w:t xml:space="preserve">+ středně významná aortální stenóza s katetrizačním (peak-to-peak) </w:t>
      </w:r>
      <w:r w:rsidR="00114846" w:rsidRPr="00F40431">
        <w:tab/>
      </w:r>
      <w:r w:rsidR="00114846" w:rsidRPr="00F40431">
        <w:tab/>
        <w:t>IIb</w:t>
      </w:r>
    </w:p>
    <w:p>
      <w:pPr>
        <w:spacing w:line="360" w:lineRule="auto"/>
      </w:pPr>
      <w:r w:rsidR="00114846" w:rsidRPr="00F40431">
        <w:t>gradientem nad 40 mm Hg</w:t>
      </w:r>
    </w:p>
    <w:p>
      <w:pPr>
        <w:spacing w:line="360" w:lineRule="auto"/>
      </w:pPr>
      <w:r w:rsidR="00114846" w:rsidRPr="00F40431">
        <w:t xml:space="preserve">Střední AR +  operace ascendentní aorty (při dilataci kořene nebo  </w:t>
      </w:r>
      <w:r w:rsidR="00114846" w:rsidRPr="00F40431">
        <w:tab/>
      </w:r>
      <w:r w:rsidR="00114846" w:rsidRPr="00F40431">
        <w:tab/>
        <w:t>I</w:t>
      </w:r>
    </w:p>
    <w:p>
      <w:pPr>
        <w:spacing w:line="360" w:lineRule="auto"/>
      </w:pPr>
      <w:r w:rsidR="00114846" w:rsidRPr="00F40431">
        <w:t>ascendentní aorty nad 50 mm u bikuspidální aortální chlopně</w:t>
      </w:r>
    </w:p>
    <w:p>
      <w:pPr>
        <w:spacing w:line="360" w:lineRule="auto"/>
      </w:pPr>
      <w:r w:rsidR="00114846" w:rsidRPr="00F40431">
        <w:t>nebo nad 55 mm u trojcípé aortální chlopně</w:t>
      </w:r>
    </w:p>
    <w:p>
      <w:pPr>
        <w:spacing w:line="360" w:lineRule="auto"/>
      </w:pPr>
      <w:r w:rsidR="00114846" w:rsidRPr="00F40431">
        <w:t xml:space="preserve">+ plánovaný koronární bypass </w:t>
      </w:r>
      <w:r w:rsidR="00114846" w:rsidRPr="00F40431">
        <w:tab/>
      </w:r>
      <w:r w:rsidR="00114846" w:rsidRPr="00F40431">
        <w:tab/>
      </w:r>
      <w:r w:rsidR="00114846" w:rsidRPr="00F40431">
        <w:tab/>
      </w:r>
      <w:r w:rsidR="00114846" w:rsidRPr="00F40431">
        <w:tab/>
      </w:r>
      <w:r w:rsidR="00114846" w:rsidRPr="00F40431">
        <w:tab/>
      </w:r>
      <w:r w:rsidR="00114846" w:rsidRPr="00F40431">
        <w:tab/>
      </w:r>
      <w:r w:rsidR="00114846" w:rsidRPr="00F40431">
        <w:tab/>
        <w:t>IIb</w:t>
      </w:r>
    </w:p>
    <w:p>
      <w:pPr>
        <w:spacing w:line="360" w:lineRule="auto"/>
      </w:pPr>
    </w:p>
    <w:p>
      <w:pPr>
        <w:spacing w:line="360" w:lineRule="auto"/>
      </w:pPr>
    </w:p>
    <w:p/>
    <w:p/>
    <w:p/>
    <w:p/>
    <w:p/>
    <w:p/>
    <w:p/>
    <w:p/>
    <w:p/>
    <w:p/>
    <w:p/>
    <w:p/>
    <w:p/>
    <w:p/>
    <w:p/>
    <w:p/>
    <w:p/>
    <w:p>
      <w:pPr>
        <w:spacing w:line="360" w:lineRule="auto"/>
        <w:rPr>
          <w:b/>
          <w:bCs/>
        </w:rPr>
      </w:pPr>
      <w:r w:rsidR="00114846">
        <w:rPr>
          <w:b/>
          <w:bCs/>
        </w:rPr>
        <w:t xml:space="preserve">4 </w:t>
      </w:r>
      <w:r w:rsidR="00114846">
        <w:rPr>
          <w:b/>
          <w:bCs/>
        </w:rPr>
        <w:tab/>
        <w:t>Definice pojmů</w:t>
      </w:r>
    </w:p>
    <w:p>
      <w:pPr>
        <w:spacing w:line="360" w:lineRule="auto"/>
      </w:pPr>
    </w:p>
    <w:p>
      <w:pPr>
        <w:spacing w:line="360" w:lineRule="auto"/>
        <w:rPr>
          <w:b/>
        </w:rPr>
      </w:pPr>
      <w:r w:rsidR="00114846">
        <w:rPr>
          <w:b/>
        </w:rPr>
        <w:t xml:space="preserve">4.1 </w:t>
      </w:r>
      <w:r w:rsidR="00114846">
        <w:rPr>
          <w:b/>
        </w:rPr>
        <w:tab/>
        <w:t xml:space="preserve"> Tlakový gradient</w:t>
      </w:r>
    </w:p>
    <w:p>
      <w:pPr>
        <w:spacing w:line="360" w:lineRule="auto"/>
        <w:rPr>
          <w:b/>
        </w:rPr>
      </w:pPr>
    </w:p>
    <w:p>
      <w:pPr>
        <w:spacing w:line="360" w:lineRule="auto"/>
        <w:jc w:val="both"/>
      </w:pPr>
      <w:r w:rsidR="00114846">
        <w:tab/>
        <w:t xml:space="preserve">Průtok krve z levé komory přes aortální chlopeň do ascendentní aorty lze přiblížit jako ustálené proudění ideální kapaliny v uzavřené trubici. Dle rovnice kontinuity lze vyjádřit jako vztah mezi rychlostí proudění a plochou průřezu v jednom místě trubice. Tento vztah vychází ze zachování stejného objemového průtoku ve všech místech trubice. </w:t>
      </w:r>
    </w:p>
    <w:p>
      <w:pPr>
        <w:spacing w:line="360" w:lineRule="auto"/>
        <w:jc w:val="both"/>
      </w:pPr>
      <w:r w:rsidR="00114846">
        <w:rPr>
          <w:noProof/>
        </w:rPr>
        <w:pict>
          <v:shape id="obrázek 2" o:spid="_x0000_s1026" type="#_x0000_t75" alt="\frac{v_1}{v_2} = \frac{S_2}{S_1}" style="position:absolute;left:0;text-align:left;margin-left:171pt;margin-top:10.8pt;width:50.25pt;height:33.75pt;z-index:251658240;visibility:visible">
            <v:imagedata r:id="rId8" r:href="rId9"/>
          </v:shape>
        </w:pict>
      </w:r>
    </w:p>
    <w:p>
      <w:pPr>
        <w:pStyle w:val="NormalWeb"/>
        <w:spacing w:before="0" w:beforeAutospacing="0" w:after="0" w:afterAutospacing="0" w:line="360" w:lineRule="auto"/>
        <w:jc w:val="both"/>
        <w:rPr>
          <w:rFonts w:ascii="Times New Roman" w:hAnsi="Times New Roman" w:cs="Times New Roman"/>
        </w:rPr>
      </w:pPr>
    </w:p>
    <w:p>
      <w:pPr>
        <w:pStyle w:val="NormalWeb"/>
        <w:spacing w:before="0" w:beforeAutospacing="0" w:after="0" w:afterAutospacing="0" w:line="360" w:lineRule="auto"/>
        <w:jc w:val="both"/>
        <w:rPr>
          <w:rFonts w:ascii="Times New Roman" w:hAnsi="Times New Roman" w:cs="Times New Roman"/>
        </w:rPr>
      </w:pPr>
    </w:p>
    <w:p>
      <w:pPr>
        <w:spacing w:line="360" w:lineRule="auto"/>
        <w:jc w:val="both"/>
      </w:pPr>
      <w:r w:rsidR="00114846">
        <w:t xml:space="preserve">Poměr rychlostí </w:t>
      </w:r>
      <w:r w:rsidR="00114846">
        <w:rPr>
          <w:i/>
          <w:iCs/>
        </w:rPr>
        <w:t>v</w:t>
      </w:r>
      <w:r w:rsidR="00114846">
        <w:rPr>
          <w:i/>
          <w:iCs/>
          <w:vertAlign w:val="subscript"/>
        </w:rPr>
        <w:t>1</w:t>
      </w:r>
      <w:r w:rsidR="00114846">
        <w:t xml:space="preserve"> a </w:t>
      </w:r>
      <w:r w:rsidR="00114846">
        <w:rPr>
          <w:i/>
          <w:iCs/>
        </w:rPr>
        <w:t>v</w:t>
      </w:r>
      <w:r w:rsidR="00114846">
        <w:rPr>
          <w:i/>
          <w:iCs/>
          <w:vertAlign w:val="subscript"/>
        </w:rPr>
        <w:t>2</w:t>
      </w:r>
      <w:r w:rsidR="00114846">
        <w:t xml:space="preserve"> proudění ve dvou místech je převrácený k poměru obsahů průřezů </w:t>
      </w:r>
      <w:r w:rsidR="00114846">
        <w:rPr>
          <w:i/>
          <w:iCs/>
        </w:rPr>
        <w:t>S</w:t>
      </w:r>
      <w:r w:rsidR="00114846">
        <w:rPr>
          <w:i/>
          <w:iCs/>
          <w:vertAlign w:val="subscript"/>
        </w:rPr>
        <w:t>1</w:t>
      </w:r>
      <w:r w:rsidR="00114846">
        <w:t xml:space="preserve"> a </w:t>
      </w:r>
      <w:r w:rsidR="00114846">
        <w:rPr>
          <w:i/>
          <w:iCs/>
        </w:rPr>
        <w:t>S</w:t>
      </w:r>
      <w:r w:rsidR="00114846">
        <w:rPr>
          <w:i/>
          <w:iCs/>
          <w:vertAlign w:val="subscript"/>
        </w:rPr>
        <w:t>2</w:t>
      </w:r>
      <w:r w:rsidR="00114846">
        <w:t xml:space="preserve"> trubice v těchto místech. Čím užší trubice, tím rychlejší proudění.</w:t>
      </w:r>
    </w:p>
    <w:p>
      <w:pPr>
        <w:spacing w:line="360" w:lineRule="auto"/>
        <w:jc w:val="both"/>
      </w:pPr>
      <w:r w:rsidR="00114846">
        <w:tab/>
        <w:t xml:space="preserve">Tlakový gradient je definován jako rozdíl tlaků, v rámci popisu aortální chlopně jako rozdíl tlaku v levé komoře a ascendentní aortě. Nepřímo ukazuje na odpor, který musí levá komora překonat k vypuzení objemu krve v systole přes aortální chlopeň. Zdravá nativní chlopeň vykazuje minimální gradient. Měření je v současnosti prováděno echokardiograficky, určován je střední a maximální gradient a efektivní plocha ústí chlopně. </w:t>
      </w:r>
    </w:p>
    <w:p>
      <w:pPr>
        <w:spacing w:line="360" w:lineRule="auto"/>
      </w:pPr>
    </w:p>
    <w:p>
      <w:pPr>
        <w:spacing w:line="360" w:lineRule="auto"/>
      </w:pPr>
    </w:p>
    <w:p>
      <w:pPr>
        <w:spacing w:line="360" w:lineRule="auto"/>
        <w:rPr>
          <w:b/>
          <w:bCs/>
        </w:rPr>
      </w:pPr>
      <w:r w:rsidR="00114846">
        <w:rPr>
          <w:b/>
          <w:bCs/>
        </w:rPr>
        <w:t xml:space="preserve">4.2 </w:t>
      </w:r>
      <w:r w:rsidR="00114846">
        <w:rPr>
          <w:b/>
          <w:bCs/>
        </w:rPr>
        <w:tab/>
        <w:t xml:space="preserve"> Efektivní plocha ústí chlopně (EOA) </w:t>
      </w:r>
    </w:p>
    <w:p>
      <w:pPr>
        <w:spacing w:line="360" w:lineRule="auto"/>
      </w:pPr>
    </w:p>
    <w:p>
      <w:pPr>
        <w:spacing w:line="360" w:lineRule="auto"/>
      </w:pPr>
      <w:r w:rsidR="00114846">
        <w:tab/>
        <w:t>Jedná se o plochu chlopně, kterou opravdu protéká proud krve. Při dopplerometrickém vyšetření je počítána z následujícího vzorce:</w:t>
      </w:r>
    </w:p>
    <w:p>
      <w:pPr>
        <w:spacing w:line="360" w:lineRule="auto"/>
      </w:pPr>
    </w:p>
    <w:p>
      <w:pPr>
        <w:spacing w:line="360" w:lineRule="auto"/>
      </w:pPr>
      <w:r w:rsidR="00114846">
        <w:t>EOA (cm</w:t>
      </w:r>
      <w:r w:rsidR="00114846">
        <w:rPr>
          <w:vertAlign w:val="superscript"/>
        </w:rPr>
        <w:t>2</w:t>
      </w:r>
      <w:r w:rsidR="00114846">
        <w:t>) = (CSA</w:t>
      </w:r>
      <w:r w:rsidR="00114846">
        <w:rPr>
          <w:vertAlign w:val="subscript"/>
        </w:rPr>
        <w:t xml:space="preserve">LVOT </w:t>
      </w:r>
      <w:r w:rsidR="00114846">
        <w:t xml:space="preserve"> x TVI</w:t>
      </w:r>
      <w:r w:rsidR="00114846">
        <w:rPr>
          <w:vertAlign w:val="subscript"/>
        </w:rPr>
        <w:t>LVOT</w:t>
      </w:r>
      <w:r w:rsidR="00114846">
        <w:t>) / TVI</w:t>
      </w:r>
      <w:r w:rsidR="00114846">
        <w:rPr>
          <w:vertAlign w:val="subscript"/>
        </w:rPr>
        <w:t>AO</w:t>
      </w:r>
    </w:p>
    <w:p>
      <w:pPr>
        <w:spacing w:line="360" w:lineRule="auto"/>
      </w:pPr>
    </w:p>
    <w:p>
      <w:pPr>
        <w:spacing w:line="360" w:lineRule="auto"/>
      </w:pPr>
      <w:r w:rsidR="00114846">
        <w:t>EOA (effective orifice area) – efektivní plocha ústí chlopně (cm</w:t>
      </w:r>
      <w:r w:rsidR="00114846">
        <w:rPr>
          <w:vertAlign w:val="superscript"/>
        </w:rPr>
        <w:t>2</w:t>
      </w:r>
      <w:r w:rsidR="00114846">
        <w:t>)</w:t>
      </w:r>
    </w:p>
    <w:p>
      <w:pPr>
        <w:spacing w:line="360" w:lineRule="auto"/>
      </w:pPr>
      <w:r w:rsidR="00114846">
        <w:t>CSA</w:t>
      </w:r>
      <w:r w:rsidR="00114846">
        <w:rPr>
          <w:vertAlign w:val="subscript"/>
        </w:rPr>
        <w:t>LVOT</w:t>
      </w:r>
      <w:r w:rsidR="00114846">
        <w:t xml:space="preserve">  -  plocha ústí výtokového traktu levé komory měřená planimetricky  </w:t>
      </w:r>
    </w:p>
    <w:p>
      <w:pPr>
        <w:spacing w:line="360" w:lineRule="auto"/>
      </w:pPr>
      <w:r w:rsidR="00114846">
        <w:t>TVI</w:t>
      </w:r>
      <w:r w:rsidR="00114846">
        <w:rPr>
          <w:vertAlign w:val="subscript"/>
        </w:rPr>
        <w:t>LVOT</w:t>
      </w:r>
      <w:r w:rsidR="00114846">
        <w:t xml:space="preserve"> (velocity time integral) – rychlostní integrál měřený pulsním dopplerem ve výtokovém traktu levé komory</w:t>
      </w:r>
    </w:p>
    <w:p>
      <w:pPr>
        <w:spacing w:line="360" w:lineRule="auto"/>
      </w:pPr>
      <w:r w:rsidR="00114846">
        <w:t>TVI</w:t>
      </w:r>
      <w:r w:rsidR="00114846">
        <w:rPr>
          <w:vertAlign w:val="subscript"/>
        </w:rPr>
        <w:t>AO</w:t>
      </w:r>
      <w:r w:rsidR="00114846">
        <w:t xml:space="preserve">   - rychlostní transvalvulární integrál měřený kontinuálním dopplerem </w:t>
      </w:r>
    </w:p>
    <w:p>
      <w:pPr>
        <w:spacing w:line="360" w:lineRule="auto"/>
        <w:rPr>
          <w:b/>
          <w:bCs/>
        </w:rPr>
      </w:pPr>
      <w:r w:rsidR="00114846">
        <w:rPr>
          <w:b/>
          <w:bCs/>
        </w:rPr>
        <w:t>4.3</w:t>
      </w:r>
      <w:r w:rsidR="00114846">
        <w:rPr>
          <w:b/>
          <w:bCs/>
        </w:rPr>
        <w:tab/>
        <w:t>Efektivní plocha ústí chlopně indexovaná na tělesný povrch pacienta (iEOA)</w:t>
      </w:r>
    </w:p>
    <w:p>
      <w:pPr>
        <w:spacing w:line="360" w:lineRule="auto"/>
        <w:rPr>
          <w:b/>
          <w:bCs/>
        </w:rPr>
      </w:pPr>
    </w:p>
    <w:p>
      <w:pPr>
        <w:spacing w:line="360" w:lineRule="auto"/>
        <w:jc w:val="both"/>
      </w:pPr>
      <w:r w:rsidR="00114846">
        <w:tab/>
        <w:t>Indexovaná plocha ústí chlopně popisuje průtokové parametry umělé chlopně u daného pacienta ve vztahu k jeho tělesnému povrchu a je počítána z následujícího poměru.</w:t>
      </w:r>
    </w:p>
    <w:p>
      <w:pPr>
        <w:spacing w:line="360" w:lineRule="auto"/>
      </w:pPr>
    </w:p>
    <w:p>
      <w:pPr>
        <w:spacing w:line="360" w:lineRule="auto"/>
      </w:pPr>
      <w:r w:rsidR="00114846">
        <w:t>iEOA = EOA / BSA</w:t>
      </w:r>
    </w:p>
    <w:p>
      <w:pPr>
        <w:spacing w:line="360" w:lineRule="auto"/>
      </w:pPr>
    </w:p>
    <w:p>
      <w:pPr>
        <w:spacing w:line="360" w:lineRule="auto"/>
      </w:pPr>
      <w:r w:rsidR="00114846">
        <w:t>EOA (effective orifice area) – efektivní plocha ústí chlopně (cm</w:t>
      </w:r>
      <w:r w:rsidR="00114846">
        <w:rPr>
          <w:vertAlign w:val="superscript"/>
        </w:rPr>
        <w:t>2</w:t>
      </w:r>
      <w:r w:rsidR="00114846">
        <w:t>)</w:t>
      </w:r>
    </w:p>
    <w:p>
      <w:pPr>
        <w:spacing w:line="360" w:lineRule="auto"/>
      </w:pPr>
      <w:r w:rsidR="00114846">
        <w:t xml:space="preserve">BSA (body surface area) – tělesný povrch </w:t>
      </w:r>
    </w:p>
    <w:p>
      <w:pPr>
        <w:spacing w:line="360" w:lineRule="auto"/>
      </w:pPr>
    </w:p>
    <w:p>
      <w:pPr>
        <w:spacing w:line="360" w:lineRule="auto"/>
      </w:pPr>
      <w:r w:rsidR="00114846">
        <w:t>pro výpočet BSA je nejužívanější vzorec dle DuBois</w:t>
      </w:r>
    </w:p>
    <w:p>
      <w:pPr>
        <w:spacing w:line="360" w:lineRule="auto"/>
      </w:pPr>
    </w:p>
    <w:p>
      <w:pPr>
        <w:spacing w:line="360" w:lineRule="auto"/>
      </w:pPr>
      <w:r w:rsidR="00114846">
        <w:t>BSA = (71,84 x hmotnost (kg)</w:t>
      </w:r>
      <w:r w:rsidR="00114846">
        <w:rPr>
          <w:vertAlign w:val="superscript"/>
        </w:rPr>
        <w:t>0,425</w:t>
      </w:r>
      <w:r w:rsidR="00114846">
        <w:t xml:space="preserve"> x výška (cm)</w:t>
      </w:r>
      <w:r w:rsidR="00114846">
        <w:rPr>
          <w:vertAlign w:val="superscript"/>
        </w:rPr>
        <w:t>0,725</w:t>
      </w:r>
      <w:r w:rsidR="00114846">
        <w:t>) / 1000</w:t>
      </w:r>
    </w:p>
    <w:p>
      <w:pPr>
        <w:spacing w:line="360" w:lineRule="auto"/>
      </w:pPr>
    </w:p>
    <w:p>
      <w:pPr>
        <w:rPr>
          <w:color w:val="000000"/>
        </w:rPr>
      </w:pPr>
    </w:p>
    <w:p>
      <w:pPr>
        <w:spacing w:line="360" w:lineRule="auto"/>
        <w:jc w:val="both"/>
      </w:pPr>
      <w:r w:rsidR="00114846">
        <w:t xml:space="preserve">EOA je tedy funkční odhad plochy průřezu krevního proudu za překážkou – umělou chlopní. EOA je závislá na geometrické ploše ústí chlopně (GOA – viz níže), na tvaru a velikosti výtokového traktu levé komory a ascendentní aorty, na krevním tlaku a velikosti srdečního výdeje. Přesné určení EOA pro určitou chlopeň je možné až po její implantaci danému nemocnému. </w:t>
      </w:r>
    </w:p>
    <w:p>
      <w:pPr>
        <w:spacing w:line="360" w:lineRule="auto"/>
      </w:pPr>
    </w:p>
    <w:p>
      <w:pPr>
        <w:spacing w:line="360" w:lineRule="auto"/>
      </w:pPr>
    </w:p>
    <w:p>
      <w:pPr>
        <w:spacing w:line="360" w:lineRule="auto"/>
        <w:rPr>
          <w:b/>
          <w:bCs/>
        </w:rPr>
      </w:pPr>
    </w:p>
    <w:p>
      <w:pPr>
        <w:spacing w:line="360" w:lineRule="auto"/>
        <w:rPr>
          <w:b/>
          <w:bCs/>
        </w:rPr>
      </w:pPr>
      <w:r w:rsidR="00114846">
        <w:rPr>
          <w:b/>
          <w:bCs/>
        </w:rPr>
        <w:t xml:space="preserve">4.4 </w:t>
      </w:r>
      <w:r w:rsidR="00114846">
        <w:rPr>
          <w:b/>
          <w:bCs/>
        </w:rPr>
        <w:tab/>
        <w:t xml:space="preserve"> Geometrická plocha ústí (GOA)</w:t>
      </w:r>
    </w:p>
    <w:p>
      <w:pPr>
        <w:pStyle w:val="NormalWeb"/>
        <w:spacing w:before="0" w:beforeAutospacing="0" w:after="0" w:afterAutospacing="0" w:line="360" w:lineRule="auto"/>
        <w:ind w:firstLine="708"/>
        <w:rPr>
          <w:rFonts w:ascii="Times New Roman" w:hAnsi="Times New Roman" w:cs="Times New Roman"/>
        </w:rPr>
      </w:pPr>
    </w:p>
    <w:p>
      <w:pPr>
        <w:pStyle w:val="NormalWeb"/>
        <w:spacing w:before="0" w:beforeAutospacing="0" w:after="0" w:afterAutospacing="0" w:line="360" w:lineRule="auto"/>
        <w:ind w:firstLine="708"/>
        <w:jc w:val="both"/>
        <w:rPr>
          <w:rFonts w:ascii="Times New Roman" w:hAnsi="Times New Roman" w:cs="Times New Roman"/>
        </w:rPr>
      </w:pPr>
      <w:r w:rsidR="00114846">
        <w:rPr>
          <w:rFonts w:ascii="Times New Roman" w:hAnsi="Times New Roman" w:cs="Times New Roman"/>
        </w:rPr>
        <w:t>Jedná se o celou vnitřní plochu ústí chlopně geometricky vypočtenou z </w:t>
      </w:r>
      <w:r w:rsidR="00114846">
        <w:rPr>
          <w:rFonts w:ascii="Times New Roman" w:hAnsi="Times New Roman" w:cs="Times New Roman"/>
          <w:i/>
        </w:rPr>
        <w:t xml:space="preserve">in vitro </w:t>
      </w:r>
      <w:r w:rsidR="00114846">
        <w:rPr>
          <w:rFonts w:ascii="Times New Roman" w:hAnsi="Times New Roman" w:cs="Times New Roman"/>
        </w:rPr>
        <w:t xml:space="preserve">změřeného vnitřního průměru implantačního prstence. Součástí této plochy je i závěsný aparát lístků chlopně. Po odečtení plochy, kterou závěsný aparát zaujímá je možno definovat tzv. clear orifice area (COA), jejíž hodnota se ale většinou neuvádí. GOA je přibližně o čtvrtinu větší než EOA. </w:t>
      </w:r>
    </w:p>
    <w:p>
      <w:pPr>
        <w:pStyle w:val="NormalWeb"/>
        <w:spacing w:before="0" w:beforeAutospacing="0" w:after="0" w:afterAutospacing="0" w:line="360" w:lineRule="auto"/>
        <w:ind w:firstLine="708"/>
        <w:jc w:val="both"/>
        <w:rPr>
          <w:rFonts w:ascii="Times New Roman" w:hAnsi="Times New Roman" w:cs="Times New Roman"/>
        </w:rPr>
      </w:pPr>
    </w:p>
    <w:p>
      <w:pPr>
        <w:pStyle w:val="NormalWeb"/>
        <w:spacing w:before="0" w:beforeAutospacing="0" w:after="0" w:afterAutospacing="0" w:line="360" w:lineRule="auto"/>
        <w:rPr>
          <w:rFonts w:ascii="Times New Roman" w:hAnsi="Times New Roman" w:cs="Times New Roman"/>
        </w:rPr>
      </w:pPr>
    </w:p>
    <w:p>
      <w:pPr>
        <w:pStyle w:val="NormalWeb"/>
        <w:spacing w:before="0" w:beforeAutospacing="0" w:after="0" w:afterAutospacing="0" w:line="360" w:lineRule="auto"/>
        <w:rPr>
          <w:rFonts w:ascii="Times New Roman" w:hAnsi="Times New Roman" w:cs="Times New Roman"/>
        </w:rPr>
      </w:pPr>
    </w:p>
    <w:p>
      <w:pPr>
        <w:pStyle w:val="NormalWeb"/>
        <w:spacing w:before="0" w:beforeAutospacing="0" w:after="0" w:afterAutospacing="0" w:line="360" w:lineRule="auto"/>
        <w:rPr>
          <w:rFonts w:ascii="Times New Roman" w:hAnsi="Times New Roman" w:cs="Times New Roman"/>
          <w:b/>
          <w:bCs/>
        </w:rPr>
      </w:pPr>
      <w:r w:rsidR="00114846" w:rsidRPr="00F53091">
        <w:pict>
          <v:shape id="obrázek 2" o:spid="_x0000_i1026" type="#_x0000_t75" alt="schéma EOA a GOA" style="width:241.5pt;height:172.5pt;visibility:visible">
            <v:imagedata r:id="rId10" o:title=""/>
          </v:shape>
        </w:pict>
      </w:r>
    </w:p>
    <w:p>
      <w:pPr>
        <w:pStyle w:val="NormalWeb"/>
        <w:spacing w:before="0" w:beforeAutospacing="0" w:after="0" w:afterAutospacing="0" w:line="360" w:lineRule="auto"/>
        <w:rPr>
          <w:rFonts w:ascii="Times New Roman" w:hAnsi="Times New Roman" w:cs="Times New Roman"/>
          <w:i/>
          <w:iCs/>
        </w:rPr>
      </w:pPr>
      <w:r w:rsidR="00114846">
        <w:rPr>
          <w:rFonts w:ascii="Times New Roman" w:hAnsi="Times New Roman" w:cs="Times New Roman"/>
          <w:i/>
          <w:iCs/>
        </w:rPr>
        <w:t>Obr. 2: Schématické znázornění rozdílu EOA a GOA</w:t>
      </w:r>
    </w:p>
    <w:p>
      <w:pPr>
        <w:pStyle w:val="NormalWeb"/>
        <w:spacing w:before="0" w:beforeAutospacing="0" w:after="0" w:afterAutospacing="0" w:line="360" w:lineRule="auto"/>
        <w:rPr>
          <w:rFonts w:ascii="Times New Roman" w:hAnsi="Times New Roman" w:cs="Times New Roman"/>
          <w:b/>
          <w:bCs/>
        </w:rPr>
      </w:pPr>
    </w:p>
    <w:p>
      <w:pPr>
        <w:pStyle w:val="NormalWeb"/>
        <w:spacing w:before="0" w:beforeAutospacing="0" w:after="0" w:afterAutospacing="0" w:line="360" w:lineRule="auto"/>
        <w:rPr>
          <w:rFonts w:ascii="Times New Roman" w:hAnsi="Times New Roman" w:cs="Times New Roman"/>
          <w:b/>
          <w:bCs/>
        </w:rPr>
      </w:pPr>
      <w:r w:rsidR="00114846">
        <w:rPr>
          <w:rFonts w:ascii="Times New Roman" w:hAnsi="Times New Roman" w:cs="Times New Roman"/>
          <w:b/>
          <w:bCs/>
        </w:rPr>
        <w:t xml:space="preserve">4.5 </w:t>
      </w:r>
      <w:r w:rsidR="00114846">
        <w:rPr>
          <w:rFonts w:ascii="Times New Roman" w:hAnsi="Times New Roman" w:cs="Times New Roman"/>
          <w:b/>
          <w:bCs/>
        </w:rPr>
        <w:tab/>
        <w:t>Hypertrofie svaloviny levé komory srdeční</w:t>
      </w:r>
    </w:p>
    <w:p>
      <w:pPr>
        <w:pStyle w:val="NormalWeb"/>
        <w:spacing w:before="0" w:beforeAutospacing="0" w:after="0" w:afterAutospacing="0" w:line="360" w:lineRule="auto"/>
        <w:rPr>
          <w:rFonts w:ascii="Times New Roman" w:hAnsi="Times New Roman" w:cs="Times New Roman"/>
          <w:b/>
          <w:bCs/>
        </w:rPr>
      </w:pPr>
    </w:p>
    <w:p>
      <w:pPr>
        <w:pStyle w:val="NormalWeb"/>
        <w:spacing w:before="0" w:beforeAutospacing="0" w:after="0" w:afterAutospacing="0" w:line="360" w:lineRule="auto"/>
        <w:ind w:firstLine="708"/>
        <w:jc w:val="both"/>
        <w:rPr>
          <w:rFonts w:ascii="Times New Roman" w:hAnsi="Times New Roman" w:cs="Times New Roman"/>
        </w:rPr>
      </w:pPr>
      <w:r w:rsidR="00114846">
        <w:rPr>
          <w:rFonts w:ascii="Times New Roman" w:hAnsi="Times New Roman" w:cs="Times New Roman"/>
        </w:rPr>
        <w:t>Pro echokardiografické posouzení hypertrofie levé komory je možno použít několik metod. Jednou z prvních bylo měření tloušťky septa a zadní stěny ultrasonograficky pomocí M-módu. Výpočet objemu svaloviny (left ventricle mass) dle Teichholze předpokládal ideální kulovitý tvar levé komory. Objem svaloviny byl poté vypočten jako rozdíl vnitřního a vnějšího objemu komory. Přesnější metoda vychází z dvojrozměrné echokardiografie, při které je možno přesněji zobrazit tvar levé komory. Měření tloušťky septa a zadní stěny je provedeno v krátké srdeční ose ve středu komory. Pro posouzení objemu svaloviny je poté možno použít následující vzorec.</w:t>
      </w:r>
    </w:p>
    <w:p>
      <w:pPr>
        <w:pStyle w:val="NormalWeb"/>
        <w:spacing w:before="0" w:beforeAutospacing="0" w:after="0" w:afterAutospacing="0" w:line="360" w:lineRule="auto"/>
        <w:rPr>
          <w:rFonts w:ascii="Times New Roman" w:hAnsi="Times New Roman" w:cs="Times New Roman"/>
        </w:rPr>
      </w:pPr>
      <w:r w:rsidR="00114846">
        <w:rPr>
          <w:noProof/>
        </w:rPr>
        <w:pict>
          <v:shape id="obrázek 3" o:spid="_x0000_s1027" type="#_x0000_t75" alt="mereni" style="position:absolute;margin-left:3pt;margin-top:9.95pt;width:178.1pt;height:165.9pt;z-index:251659264;visibility:visible" wrapcoords="-182 0 -182 21483 21649 21483 21649 0 -182 0">
            <v:imagedata r:id="rId11" o:title=""/>
            <w10:wrap type="tight"/>
          </v:shape>
        </w:pict>
      </w:r>
    </w:p>
    <w:p>
      <w:pPr>
        <w:pStyle w:val="NormalWeb"/>
        <w:spacing w:before="0" w:beforeAutospacing="0" w:after="0" w:afterAutospacing="0" w:line="360" w:lineRule="auto"/>
        <w:rPr>
          <w:rFonts w:ascii="Times New Roman" w:hAnsi="Times New Roman" w:cs="Times New Roman"/>
        </w:rPr>
      </w:pPr>
      <w:r w:rsidR="00114846">
        <w:rPr>
          <w:rFonts w:ascii="Times New Roman" w:hAnsi="Times New Roman" w:cs="Times New Roman"/>
        </w:rPr>
        <w:tab/>
      </w:r>
    </w:p>
    <w:p>
      <w:pPr>
        <w:pStyle w:val="NormalWeb"/>
        <w:spacing w:before="0" w:beforeAutospacing="0" w:after="0" w:afterAutospacing="0" w:line="360" w:lineRule="auto"/>
        <w:rPr>
          <w:rFonts w:ascii="Times New Roman" w:hAnsi="Times New Roman" w:cs="Times New Roman"/>
          <w:i/>
          <w:iCs/>
        </w:rPr>
      </w:pPr>
      <w:r w:rsidR="00114846">
        <w:rPr>
          <w:rFonts w:ascii="Times New Roman" w:hAnsi="Times New Roman" w:cs="Times New Roman"/>
          <w:i/>
          <w:iCs/>
        </w:rPr>
        <w:t>IVS – interventrikulární septum</w:t>
      </w:r>
    </w:p>
    <w:p>
      <w:pPr>
        <w:pStyle w:val="NormalWeb"/>
        <w:spacing w:before="0" w:beforeAutospacing="0" w:after="0" w:afterAutospacing="0" w:line="360" w:lineRule="auto"/>
        <w:rPr>
          <w:rFonts w:ascii="Times New Roman" w:hAnsi="Times New Roman" w:cs="Times New Roman"/>
          <w:i/>
          <w:iCs/>
        </w:rPr>
      </w:pPr>
      <w:r w:rsidR="00114846">
        <w:rPr>
          <w:rFonts w:ascii="Times New Roman" w:hAnsi="Times New Roman" w:cs="Times New Roman"/>
          <w:i/>
          <w:iCs/>
        </w:rPr>
        <w:t>LVID</w:t>
      </w:r>
      <w:r w:rsidR="00114846">
        <w:rPr>
          <w:rFonts w:ascii="Times New Roman" w:hAnsi="Times New Roman" w:cs="Times New Roman"/>
          <w:i/>
          <w:iCs/>
          <w:vertAlign w:val="subscript"/>
        </w:rPr>
        <w:t xml:space="preserve">D </w:t>
      </w:r>
      <w:r w:rsidR="00114846">
        <w:rPr>
          <w:rFonts w:ascii="Times New Roman" w:hAnsi="Times New Roman" w:cs="Times New Roman"/>
          <w:i/>
          <w:iCs/>
        </w:rPr>
        <w:t xml:space="preserve">– vnitřní průměr levé komory v diastole </w:t>
      </w:r>
    </w:p>
    <w:p>
      <w:pPr>
        <w:pStyle w:val="NormalWeb"/>
        <w:spacing w:before="0" w:beforeAutospacing="0" w:after="0" w:afterAutospacing="0" w:line="360" w:lineRule="auto"/>
        <w:rPr>
          <w:rFonts w:ascii="Times New Roman" w:hAnsi="Times New Roman" w:cs="Times New Roman"/>
          <w:i/>
          <w:iCs/>
        </w:rPr>
      </w:pPr>
      <w:r w:rsidR="00114846">
        <w:rPr>
          <w:rFonts w:ascii="Times New Roman" w:hAnsi="Times New Roman" w:cs="Times New Roman"/>
          <w:i/>
          <w:iCs/>
        </w:rPr>
        <w:t>PW – zadní stěna levé komory</w:t>
      </w:r>
    </w:p>
    <w:p>
      <w:pPr>
        <w:pStyle w:val="NormalWeb"/>
        <w:spacing w:before="0" w:beforeAutospacing="0" w:after="0" w:afterAutospacing="0" w:line="360" w:lineRule="auto"/>
        <w:rPr>
          <w:rFonts w:ascii="Times New Roman" w:hAnsi="Times New Roman" w:cs="Times New Roman"/>
          <w:color w:val="FF0000"/>
        </w:rPr>
      </w:pPr>
      <w:r w:rsidR="00114846">
        <w:rPr>
          <w:rFonts w:ascii="Times New Roman" w:hAnsi="Times New Roman" w:cs="Times New Roman"/>
          <w:color w:val="FF0000"/>
        </w:rPr>
        <w:tab/>
      </w:r>
    </w:p>
    <w:p>
      <w:pPr>
        <w:pStyle w:val="NormalWeb"/>
        <w:spacing w:before="0" w:beforeAutospacing="0" w:after="0" w:afterAutospacing="0" w:line="360" w:lineRule="auto"/>
        <w:rPr>
          <w:rFonts w:ascii="Times New Roman" w:hAnsi="Times New Roman" w:cs="Times New Roman"/>
          <w:color w:val="FF0000"/>
        </w:rPr>
      </w:pPr>
    </w:p>
    <w:p>
      <w:pPr>
        <w:pStyle w:val="NormalWeb"/>
        <w:spacing w:before="0" w:beforeAutospacing="0" w:after="0" w:afterAutospacing="0" w:line="360" w:lineRule="auto"/>
        <w:rPr>
          <w:rFonts w:ascii="Times New Roman" w:hAnsi="Times New Roman" w:cs="Times New Roman"/>
          <w:color w:val="FF0000"/>
        </w:rPr>
      </w:pPr>
    </w:p>
    <w:p>
      <w:pPr>
        <w:pStyle w:val="NormalWeb"/>
        <w:spacing w:before="0" w:beforeAutospacing="0" w:after="0" w:afterAutospacing="0" w:line="360" w:lineRule="auto"/>
        <w:rPr>
          <w:rFonts w:ascii="Times New Roman" w:hAnsi="Times New Roman" w:cs="Times New Roman"/>
          <w:color w:val="FF0000"/>
        </w:rPr>
      </w:pPr>
    </w:p>
    <w:p>
      <w:pPr>
        <w:pStyle w:val="NormalWeb"/>
        <w:spacing w:before="0" w:beforeAutospacing="0" w:after="0" w:afterAutospacing="0" w:line="360" w:lineRule="auto"/>
        <w:rPr>
          <w:rFonts w:ascii="Times New Roman" w:hAnsi="Times New Roman" w:cs="Times New Roman"/>
          <w:i/>
          <w:iCs/>
        </w:rPr>
      </w:pPr>
      <w:r w:rsidR="00114846">
        <w:rPr>
          <w:rFonts w:ascii="Times New Roman" w:hAnsi="Times New Roman" w:cs="Times New Roman"/>
          <w:i/>
          <w:iCs/>
        </w:rPr>
        <w:t>Obr. 3: Schematický řez levou komorou při echokardiografickém zobrazení</w:t>
      </w:r>
    </w:p>
    <w:p>
      <w:pPr>
        <w:pStyle w:val="NormalWeb"/>
        <w:spacing w:before="0" w:beforeAutospacing="0" w:after="0" w:afterAutospacing="0" w:line="360" w:lineRule="auto"/>
        <w:rPr>
          <w:rFonts w:ascii="Times New Roman" w:hAnsi="Times New Roman" w:cs="Times New Roman"/>
          <w:color w:val="FF0000"/>
        </w:rPr>
      </w:pPr>
    </w:p>
    <w:p>
      <w:pPr>
        <w:pStyle w:val="NormalWeb"/>
        <w:spacing w:before="0" w:beforeAutospacing="0" w:after="0" w:afterAutospacing="0" w:line="480" w:lineRule="auto"/>
        <w:rPr>
          <w:rFonts w:ascii="Times New Roman" w:hAnsi="Times New Roman" w:cs="Times New Roman"/>
        </w:rPr>
      </w:pPr>
      <w:r w:rsidR="00114846">
        <w:rPr>
          <w:rFonts w:ascii="Times New Roman" w:hAnsi="Times New Roman" w:cs="Times New Roman"/>
        </w:rPr>
        <w:t>objem levé komory = (IVS + LVID</w:t>
      </w:r>
      <w:r w:rsidR="00114846">
        <w:rPr>
          <w:rFonts w:ascii="Times New Roman" w:hAnsi="Times New Roman" w:cs="Times New Roman"/>
          <w:vertAlign w:val="subscript"/>
        </w:rPr>
        <w:t>D</w:t>
      </w:r>
      <w:r w:rsidR="00114846">
        <w:rPr>
          <w:rFonts w:ascii="Times New Roman" w:hAnsi="Times New Roman" w:cs="Times New Roman"/>
        </w:rPr>
        <w:t xml:space="preserve"> + PW)</w:t>
      </w:r>
      <w:r w:rsidR="00114846">
        <w:rPr>
          <w:rFonts w:ascii="Times New Roman" w:hAnsi="Times New Roman" w:cs="Times New Roman"/>
          <w:vertAlign w:val="superscript"/>
        </w:rPr>
        <w:t>3</w:t>
      </w:r>
    </w:p>
    <w:p>
      <w:pPr>
        <w:pStyle w:val="NormalWeb"/>
        <w:spacing w:before="0" w:beforeAutospacing="0" w:after="0" w:afterAutospacing="0" w:line="480" w:lineRule="auto"/>
        <w:rPr>
          <w:rFonts w:ascii="Times New Roman" w:hAnsi="Times New Roman" w:cs="Times New Roman"/>
          <w:vertAlign w:val="superscript"/>
        </w:rPr>
      </w:pPr>
      <w:r w:rsidR="00114846">
        <w:rPr>
          <w:rFonts w:ascii="Times New Roman" w:hAnsi="Times New Roman" w:cs="Times New Roman"/>
        </w:rPr>
        <w:t>objem krve v levé komoře = (LVID</w:t>
      </w:r>
      <w:r w:rsidR="00114846">
        <w:rPr>
          <w:rFonts w:ascii="Times New Roman" w:hAnsi="Times New Roman" w:cs="Times New Roman"/>
          <w:vertAlign w:val="subscript"/>
        </w:rPr>
        <w:t>D</w:t>
      </w:r>
      <w:r w:rsidR="00114846">
        <w:rPr>
          <w:rFonts w:ascii="Times New Roman" w:hAnsi="Times New Roman" w:cs="Times New Roman"/>
        </w:rPr>
        <w:t>)</w:t>
      </w:r>
      <w:r w:rsidR="00114846">
        <w:rPr>
          <w:rFonts w:ascii="Times New Roman" w:hAnsi="Times New Roman" w:cs="Times New Roman"/>
          <w:vertAlign w:val="superscript"/>
        </w:rPr>
        <w:t>3</w:t>
      </w:r>
    </w:p>
    <w:p>
      <w:pPr>
        <w:pStyle w:val="NormalWeb"/>
        <w:spacing w:before="0" w:beforeAutospacing="0" w:after="0" w:afterAutospacing="0" w:line="480" w:lineRule="auto"/>
        <w:rPr>
          <w:rFonts w:ascii="Times New Roman" w:hAnsi="Times New Roman" w:cs="Times New Roman"/>
        </w:rPr>
      </w:pPr>
      <w:r w:rsidR="00114846">
        <w:rPr>
          <w:rFonts w:ascii="Times New Roman" w:hAnsi="Times New Roman" w:cs="Times New Roman"/>
        </w:rPr>
        <w:t>objem svaloviny = objem levé komory – objem krve v levé komoře</w:t>
      </w:r>
    </w:p>
    <w:p>
      <w:pPr>
        <w:pStyle w:val="NormalWeb"/>
        <w:spacing w:before="0" w:beforeAutospacing="0" w:after="0" w:afterAutospacing="0" w:line="480" w:lineRule="auto"/>
        <w:rPr>
          <w:rFonts w:ascii="Times New Roman" w:hAnsi="Times New Roman" w:cs="Times New Roman"/>
        </w:rPr>
      </w:pPr>
    </w:p>
    <w:p>
      <w:pPr>
        <w:pStyle w:val="NormalWeb"/>
        <w:spacing w:before="0" w:beforeAutospacing="0" w:after="0" w:afterAutospacing="0" w:line="360" w:lineRule="auto"/>
        <w:ind w:firstLine="708"/>
        <w:jc w:val="both"/>
        <w:rPr>
          <w:rFonts w:ascii="Times New Roman" w:hAnsi="Times New Roman" w:cs="Times New Roman"/>
        </w:rPr>
      </w:pPr>
      <w:r w:rsidR="00114846">
        <w:rPr>
          <w:rFonts w:ascii="Times New Roman" w:hAnsi="Times New Roman" w:cs="Times New Roman"/>
        </w:rPr>
        <w:t xml:space="preserve">Echokardiografická měření a následující výpočty jsou zatíženy relativně vysokou chybou, vycházející z individuálního přístupu vyšetřujícího lékaře, který musí na obrazovce přístroje umístit kaliper co nejpřesněji na hranici měřených srdečních struktur. Čím více subjektivně měřených údajů vstupuje do vzorce, aproximujícího tvar levé komory, tím větší potenciální chyba vzniká. </w:t>
      </w:r>
    </w:p>
    <w:p>
      <w:pPr>
        <w:pStyle w:val="NormalWeb"/>
        <w:spacing w:before="0" w:beforeAutospacing="0" w:after="0" w:afterAutospacing="0" w:line="360" w:lineRule="auto"/>
        <w:jc w:val="both"/>
        <w:rPr>
          <w:rFonts w:ascii="Times New Roman" w:hAnsi="Times New Roman" w:cs="Times New Roman"/>
        </w:rPr>
      </w:pPr>
      <w:r w:rsidR="00114846">
        <w:rPr>
          <w:rFonts w:ascii="Times New Roman" w:hAnsi="Times New Roman" w:cs="Times New Roman"/>
        </w:rPr>
        <w:tab/>
        <w:t>Pro účely hodnocení hypertrofie levé komory jsme proto srovnávali pouze dvě hodnoty – tloušťku septa a zadní stěny, které byly od počátku sledování pacientů po náhradách aortální chlopně měřeny.</w:t>
      </w:r>
    </w:p>
    <w:p>
      <w:pPr>
        <w:pStyle w:val="NormalWeb"/>
        <w:spacing w:before="0" w:beforeAutospacing="0" w:after="0" w:afterAutospacing="0" w:line="360" w:lineRule="auto"/>
        <w:rPr>
          <w:rFonts w:ascii="Times New Roman" w:hAnsi="Times New Roman" w:cs="Times New Roman"/>
        </w:rPr>
      </w:pPr>
    </w:p>
    <w:p>
      <w:pPr>
        <w:pStyle w:val="NormalWeb"/>
        <w:spacing w:before="0" w:beforeAutospacing="0" w:after="0" w:afterAutospacing="0" w:line="360" w:lineRule="auto"/>
        <w:rPr>
          <w:rFonts w:ascii="Times New Roman" w:hAnsi="Times New Roman" w:cs="Times New Roman"/>
        </w:rPr>
      </w:pPr>
    </w:p>
    <w:p>
      <w:pPr>
        <w:pStyle w:val="NormalWeb"/>
        <w:spacing w:before="0" w:beforeAutospacing="0" w:after="0" w:afterAutospacing="0" w:line="360" w:lineRule="auto"/>
        <w:rPr>
          <w:rFonts w:ascii="Times New Roman" w:hAnsi="Times New Roman" w:cs="Times New Roman"/>
          <w:b/>
          <w:bCs/>
        </w:rPr>
      </w:pPr>
      <w:r w:rsidR="00114846">
        <w:rPr>
          <w:rFonts w:ascii="Times New Roman" w:hAnsi="Times New Roman" w:cs="Times New Roman"/>
          <w:b/>
          <w:bCs/>
        </w:rPr>
        <w:t>4.6</w:t>
      </w:r>
      <w:r w:rsidR="00114846">
        <w:rPr>
          <w:rFonts w:ascii="Times New Roman" w:hAnsi="Times New Roman" w:cs="Times New Roman"/>
          <w:b/>
          <w:bCs/>
        </w:rPr>
        <w:tab/>
        <w:t xml:space="preserve"> „Patient-prosthesis mismatch“ (PPM)</w:t>
      </w:r>
    </w:p>
    <w:p>
      <w:pPr>
        <w:pStyle w:val="NormalWeb"/>
        <w:spacing w:before="0" w:beforeAutospacing="0" w:after="0" w:afterAutospacing="0" w:line="360" w:lineRule="auto"/>
        <w:rPr>
          <w:rFonts w:ascii="Times New Roman" w:hAnsi="Times New Roman" w:cs="Times New Roman"/>
          <w:b/>
          <w:bCs/>
        </w:rPr>
      </w:pPr>
    </w:p>
    <w:p>
      <w:pPr>
        <w:pStyle w:val="NormalWeb"/>
        <w:spacing w:before="0" w:beforeAutospacing="0" w:after="0" w:afterAutospacing="0" w:line="360" w:lineRule="auto"/>
        <w:ind w:firstLine="708"/>
        <w:jc w:val="both"/>
        <w:rPr>
          <w:rFonts w:ascii="Times New Roman" w:hAnsi="Times New Roman" w:cs="Times New Roman"/>
        </w:rPr>
      </w:pPr>
      <w:r w:rsidR="00114846">
        <w:rPr>
          <w:rFonts w:ascii="Times New Roman" w:hAnsi="Times New Roman" w:cs="Times New Roman"/>
        </w:rPr>
        <w:t xml:space="preserve">Z Rahimtoolovy definice se jedná o stav, kdy plocha ústí implantované chlopně je menší než optimální fyziologická plocha chlopně pro daného pacienta [Rahimtoola 2002]. Tímto termínem je v literatuře taktéž popisován stav po implantaci nejmenších chlopní (&lt; 19 mm), implantace malé chlopně u nemocného s velkým tělesným povrchem, vysoké transvalvulární postimplantační gradienty nebo malá indexovaná plocha ústí protézy [Dominik 2005]. Hraniční hodnotou pro vznik PPM je nejčastěji udávána hodnota iEOA </w:t>
      </w:r>
      <w:r w:rsidR="00114846">
        <w:rPr>
          <w:rFonts w:ascii="Times New Roman" w:hAnsi="Times New Roman" w:cs="Times New Roman"/>
          <w:lang w:val="en-US"/>
        </w:rPr>
        <w:t xml:space="preserve">&lt; </w:t>
      </w:r>
      <w:r w:rsidR="00114846">
        <w:rPr>
          <w:rFonts w:ascii="Times New Roman" w:hAnsi="Times New Roman" w:cs="Times New Roman"/>
        </w:rPr>
        <w:t>0,85 cm</w:t>
      </w:r>
      <w:r w:rsidR="00114846">
        <w:rPr>
          <w:rFonts w:ascii="Times New Roman" w:hAnsi="Times New Roman" w:cs="Times New Roman"/>
          <w:vertAlign w:val="superscript"/>
        </w:rPr>
        <w:t>2</w:t>
      </w:r>
      <w:r w:rsidR="00114846">
        <w:rPr>
          <w:rFonts w:ascii="Times New Roman" w:hAnsi="Times New Roman" w:cs="Times New Roman"/>
        </w:rPr>
        <w:t>.m</w:t>
      </w:r>
      <w:r w:rsidR="00114846">
        <w:rPr>
          <w:rFonts w:ascii="Times New Roman" w:hAnsi="Times New Roman" w:cs="Times New Roman"/>
          <w:vertAlign w:val="superscript"/>
        </w:rPr>
        <w:t>-2</w:t>
      </w:r>
      <w:r w:rsidR="00114846">
        <w:rPr>
          <w:rFonts w:ascii="Times New Roman" w:hAnsi="Times New Roman" w:cs="Times New Roman"/>
        </w:rPr>
        <w:t xml:space="preserve"> </w:t>
      </w:r>
      <w:r w:rsidR="00114846">
        <w:rPr>
          <w:rFonts w:ascii="Times New Roman" w:hAnsi="Times New Roman" w:cs="Times New Roman"/>
          <w:lang w:val="en-US"/>
        </w:rPr>
        <w:t>[Hanayama 2002, Pibarot 2000]</w:t>
      </w:r>
      <w:r w:rsidR="00114846">
        <w:rPr>
          <w:rFonts w:ascii="Times New Roman" w:hAnsi="Times New Roman" w:cs="Times New Roman"/>
        </w:rPr>
        <w:t xml:space="preserve">. </w:t>
      </w:r>
      <w:r w:rsidR="00114846">
        <w:rPr>
          <w:rFonts w:ascii="Times New Roman" w:hAnsi="Times New Roman" w:cs="Times New Roman"/>
          <w:lang w:val="en-US"/>
        </w:rPr>
        <w:t>Pro velmi významný PPM je dána hranice iEOA &lt;</w:t>
      </w:r>
      <w:r w:rsidR="00114846">
        <w:rPr>
          <w:rFonts w:ascii="Times New Roman" w:hAnsi="Times New Roman" w:cs="Times New Roman"/>
        </w:rPr>
        <w:t xml:space="preserve"> 0,65 cm</w:t>
      </w:r>
      <w:r w:rsidR="00114846">
        <w:rPr>
          <w:rFonts w:ascii="Times New Roman" w:hAnsi="Times New Roman" w:cs="Times New Roman"/>
          <w:vertAlign w:val="superscript"/>
        </w:rPr>
        <w:t>2</w:t>
      </w:r>
      <w:r w:rsidR="00114846">
        <w:rPr>
          <w:rFonts w:ascii="Times New Roman" w:hAnsi="Times New Roman" w:cs="Times New Roman"/>
        </w:rPr>
        <w:t>.m</w:t>
      </w:r>
      <w:r w:rsidR="00114846">
        <w:rPr>
          <w:rFonts w:ascii="Times New Roman" w:hAnsi="Times New Roman" w:cs="Times New Roman"/>
          <w:vertAlign w:val="superscript"/>
        </w:rPr>
        <w:t>-2</w:t>
      </w:r>
      <w:r w:rsidR="00114846">
        <w:rPr>
          <w:rFonts w:ascii="Times New Roman" w:hAnsi="Times New Roman" w:cs="Times New Roman"/>
        </w:rPr>
        <w:t xml:space="preserve">. </w:t>
      </w:r>
    </w:p>
    <w:p>
      <w:pPr>
        <w:pStyle w:val="NormalWeb"/>
        <w:spacing w:before="0" w:beforeAutospacing="0" w:after="0" w:afterAutospacing="0" w:line="360" w:lineRule="auto"/>
        <w:rPr>
          <w:rFonts w:ascii="Times New Roman" w:hAnsi="Times New Roman" w:cs="Times New Roman"/>
        </w:rPr>
      </w:pPr>
    </w:p>
    <w:p/>
    <w:p/>
    <w:p/>
    <w:p/>
    <w:p/>
    <w:p/>
    <w:p/>
    <w:p/>
    <w:p/>
    <w:p/>
    <w:p/>
    <w:p>
      <w:pPr>
        <w:pStyle w:val="Heading1"/>
        <w:spacing w:line="360" w:lineRule="auto"/>
        <w:rPr>
          <w:bCs w:val="0"/>
          <w:iCs/>
        </w:rPr>
      </w:pPr>
      <w:r w:rsidR="00114846">
        <w:rPr>
          <w:bCs w:val="0"/>
          <w:iCs/>
        </w:rPr>
        <w:t xml:space="preserve">5 </w:t>
      </w:r>
      <w:r w:rsidR="00114846">
        <w:rPr>
          <w:bCs w:val="0"/>
          <w:iCs/>
        </w:rPr>
        <w:tab/>
      </w:r>
      <w:r w:rsidR="00114846" w:rsidRPr="00BD2520">
        <w:rPr>
          <w:bCs w:val="0"/>
          <w:iCs/>
        </w:rPr>
        <w:t xml:space="preserve"> Vývoj biologických protéz</w:t>
      </w:r>
    </w:p>
    <w:p/>
    <w:p>
      <w:pPr>
        <w:rPr>
          <w:b/>
          <w:bCs/>
        </w:rPr>
      </w:pPr>
      <w:r w:rsidR="00114846">
        <w:rPr>
          <w:b/>
          <w:bCs/>
        </w:rPr>
        <w:t>5.1</w:t>
      </w:r>
      <w:r w:rsidR="00114846">
        <w:rPr>
          <w:b/>
          <w:bCs/>
        </w:rPr>
        <w:tab/>
        <w:t xml:space="preserve"> Generace bioprotéz</w:t>
      </w:r>
    </w:p>
    <w:p>
      <w:pPr>
        <w:spacing w:line="360" w:lineRule="auto"/>
      </w:pPr>
    </w:p>
    <w:p>
      <w:pPr>
        <w:spacing w:line="360" w:lineRule="auto"/>
        <w:jc w:val="both"/>
      </w:pPr>
      <w:r w:rsidR="00114846">
        <w:tab/>
        <w:t>V šedesátých letech minulého století byly učiněny první pokusy o konstrukci chlopně, která by měla minimum trombogenních komplikací a přitom nevyžadovala doživotní antikoagulační léčbu. Optimálním materiálem byla biologická tkáň, fixovaná na stent z plastu či různých kovových slitin. Současné biologické chlopně jsou konstruovány z prasečích aortálních chlopní či z hovězího perikardu. Součástí chlopně je implantační prstenec. K omezení antigenní aktivity je použit glutaraldehyd, který fixuje kolagenní vlákna na povrchu biologické tkáně chlopně. Glutaraldehyd je příčinou ztráty viability, fixované neviabilní buňky nejsou schopny udržovat nízkou hladinu intracelulárního kalcia, které se v nich postupně ukládá. Krystaly kalcium-fosfátu se taktéž ukládají na zbytcích fosfolipidové membrány biologické tkáně chlopně, která postupně kalcifikuje a degeneruje [Schoen 1999].</w:t>
      </w:r>
      <w:r w:rsidR="00114846">
        <w:tab/>
        <w:t xml:space="preserve">Fixace biologické tkáně glutaraldehydem může být prováděna pod vysokým tlakem (60 – 80 mmHg), nízkým tlakem (2 – 5 mmHg) nebo nulovým tlakem (0 mmHg). Principem „nulového“ fixačního tlaku je udržení tlaku glutaraldehydu na obou stranách cípů chlopně na stejné úrovni pro udržení normální morfologie cípů a zachování pevnější vrstvy kolagenu na jejich povrchu [Christie 1999]. Kolagenní tkáň fixovaná za nulového tlaku si ponechává část biochemické architektury, která pomáhá zpomalovat degenerační pochody [Hilbert 1990]. </w:t>
      </w:r>
    </w:p>
    <w:p>
      <w:pPr>
        <w:spacing w:line="360" w:lineRule="auto"/>
        <w:jc w:val="both"/>
      </w:pPr>
      <w:r w:rsidR="00114846">
        <w:tab/>
        <w:t xml:space="preserve">Protézy první generace jsou fixovány glutaraldehydem pod vysokým tlakem. Jsou to např. Medtronic Hancock Standard (Medtronic, Minneapolis, MN) nebo Carpentier-Edwards Standard Porcine (Edwards Life Sciences, Irvine, CA). </w:t>
      </w:r>
    </w:p>
    <w:p>
      <w:pPr>
        <w:spacing w:line="360" w:lineRule="auto"/>
        <w:ind w:firstLine="708"/>
        <w:jc w:val="both"/>
      </w:pPr>
      <w:r w:rsidR="00114846">
        <w:t xml:space="preserve">Protézy druhé generace jsou fixovány glutaraldehydem pod nízkým či nulovým tlakem a některé z nich jsou konstrukčně upraveny k možnosti implantace do polohy nad anatomický anulus (tzv. supraanulárně) – viz níže. Tento způsob umožňuje implantaci větší protézy. Jsou to např. bioprotézy Medtronic Hancock II (Medtronic, Minneapolis, MN), Carpentier-Edwards Supraanular (SAV), Carpentier-Edwards Perimount (Edwards Life Sciences, Irvine, CA) a Sorin Pericarbon (Sorin Biomedica, Saluggia, Italy). </w:t>
      </w:r>
    </w:p>
    <w:p>
      <w:pPr>
        <w:spacing w:line="360" w:lineRule="auto"/>
        <w:ind w:firstLine="708"/>
        <w:jc w:val="both"/>
      </w:pPr>
      <w:r w:rsidR="00114846">
        <w:t>Protézy třetí generace jsou fixovány glutaraldehydem pod nulovým tlakem. Stent, na který je biologická tkáň fixována je konstrukčně minimalizován pro co největší aktivní plochu ústí chlopně a případnou supraanulární implantaci. Současně je biologická tkáň upravena některým z antikalcifikačních procesů, patentovaných výrobcem. Je to např. bioprotéza Medtronic Mosaic (Medtronic, Minneapolis, MN), Carpentier-Edwards Perimount Magna (Edwards Lifesciences, Irvine, CA), St. Jude Medical Epic (St. Jude Medical Inc., Minneapolis, MN) a Sorin Soprano (Sorin Biomedica, Saluggia, Italy).</w:t>
      </w:r>
    </w:p>
    <w:p>
      <w:pPr>
        <w:spacing w:line="360" w:lineRule="auto"/>
        <w:jc w:val="both"/>
      </w:pPr>
      <w:r w:rsidR="00114846">
        <w:tab/>
        <w:t xml:space="preserve">Největším problémem současných bioprotéz zůstává dlouhodobá životnost a funkce. Cizí implantovaná biologická tkáň postupně degeneruje, nejčastěji v souvislosti s ukládáním iontů kalcia. S konstrukcí chlopní jsou vyvíjeny antikalcifikační techniky, jako např. XenoLogiX (Edwards Lifesciences, Irvine, CA), AOA (kyselina alfa-amino-olejová, Medtronic, Minneapolis, MN) nebo BilinX (St. Jude Medical Inc., Minneapolis, MN). </w:t>
      </w:r>
    </w:p>
    <w:p>
      <w:pPr>
        <w:spacing w:line="360" w:lineRule="auto"/>
        <w:ind w:firstLine="708"/>
        <w:jc w:val="both"/>
      </w:pPr>
      <w:r w:rsidR="00114846">
        <w:t>Kyselina alfa-amino-olejová se váže kovalentní vazbou na zbytkové aldehydy ve tkáni a inhibuje vstup kalciových iontů [Gott 1997]. Součástí postupu BiliX jsou trivalentní kovové sloučeniny železa a hliníku (FeCl</w:t>
      </w:r>
      <w:r w:rsidR="00114846">
        <w:rPr>
          <w:vertAlign w:val="subscript"/>
        </w:rPr>
        <w:t xml:space="preserve">3 </w:t>
      </w:r>
      <w:r w:rsidR="00114846">
        <w:t>a AlCl</w:t>
      </w:r>
      <w:r w:rsidR="00114846">
        <w:rPr>
          <w:vertAlign w:val="subscript"/>
        </w:rPr>
        <w:t>3</w:t>
      </w:r>
      <w:r w:rsidR="00114846">
        <w:t>), které inhibují kalcifikaci perikardiální tkáně lístků vepřových aortální chlopní. Částečně to lze vysvětlit formováním komplexních sloučenin s fosfáty, jež je poté nedostatek pro formování kalcium fosfátů. Taktéž inhibují aktivitu zásaditých fosfatáz, které jsou aktivní v úvodu kalcifikačního procesu. Sloučeniny hliníku chrání elastin tkáně před kalcifikací. Etanol je používán k odstranění fosfolipidů a cholesterolu z tkáně upravené glutaraldehydem, místa největší afinity k iontům kalcia. [Cunanan 2001]. Dále jsou vyvíjeny fixační metodiky bez použití glutaraldehydu, např. fotooxidace [Meuris 2003]. Kombinace různých metod bude nejspíše klíčová v dalším vývoji a prodlužování životnosti bioprotéz.</w:t>
      </w:r>
    </w:p>
    <w:p>
      <w:pPr>
        <w:spacing w:line="360" w:lineRule="auto"/>
      </w:pPr>
    </w:p>
    <w:p>
      <w:pPr>
        <w:spacing w:line="360" w:lineRule="auto"/>
      </w:pPr>
    </w:p>
    <w:p>
      <w:pPr>
        <w:pStyle w:val="Heading2"/>
        <w:rPr>
          <w:iCs/>
        </w:rPr>
      </w:pPr>
      <w:r w:rsidR="00114846" w:rsidRPr="00BD2520">
        <w:rPr>
          <w:iCs/>
        </w:rPr>
        <w:t>5.2</w:t>
      </w:r>
      <w:r w:rsidR="00114846" w:rsidRPr="00BD2520">
        <w:rPr>
          <w:iCs/>
        </w:rPr>
        <w:tab/>
        <w:t xml:space="preserve"> </w:t>
      </w:r>
      <w:r w:rsidR="00114846">
        <w:rPr>
          <w:iCs/>
        </w:rPr>
        <w:t>I</w:t>
      </w:r>
      <w:r w:rsidR="00114846" w:rsidRPr="00BD2520">
        <w:rPr>
          <w:iCs/>
        </w:rPr>
        <w:t xml:space="preserve">mplantace </w:t>
      </w:r>
      <w:r w:rsidR="00114846">
        <w:rPr>
          <w:iCs/>
        </w:rPr>
        <w:t>bioprotézy ve vztahu k anatomickému anulu</w:t>
      </w:r>
    </w:p>
    <w:p>
      <w:pPr>
        <w:tabs>
          <w:tab w:val="left" w:pos="708"/>
          <w:tab w:val="left" w:pos="3000"/>
        </w:tabs>
      </w:pPr>
      <w:r w:rsidR="00114846">
        <w:tab/>
      </w:r>
      <w:r w:rsidR="00114846">
        <w:tab/>
      </w:r>
    </w:p>
    <w:p>
      <w:pPr>
        <w:spacing w:line="360" w:lineRule="auto"/>
        <w:jc w:val="both"/>
      </w:pPr>
      <w:r w:rsidR="00114846">
        <w:tab/>
        <w:t>Pro optimální hemodynamické parametry je nutné, aby implantovaná chlopeň měla co největší efektivní plochu ústí. Implantační prstenec a stent u bioprotéz ale část potenciální plochy ústí zabírá. K dosažení lepších průtoků je možné prstenec bioprotézy umístit nad anatomický anulus a umožnit tím implantaci větší chlopně. Pokud je tedy implantační prstenec chlopně společně se stentem umístěn v anatomickém anulu, jedná se o tzv. intraanulární implantaci. Pokud je implantační prstenec umístěn nad anatomickým anulem, ale stent chlopně zasahuje do něj, jedná se o tzv. intra-supraanulární implantaci. Při úplné tzv. supraanulární implantaci je prstenec i stent chlopně nad anatomickým anulem (obr. 4).</w:t>
      </w:r>
    </w:p>
    <w:p>
      <w:pPr>
        <w:spacing w:line="360" w:lineRule="auto"/>
      </w:pPr>
    </w:p>
    <w:p>
      <w:pPr>
        <w:spacing w:line="360" w:lineRule="auto"/>
      </w:pPr>
      <w:r w:rsidR="00114846" w:rsidRPr="00F53091">
        <w:pict>
          <v:shape id="obrázek 3" o:spid="_x0000_i1027" type="#_x0000_t75" alt="princip implantace chlopně v anulu copy" style="width:365.25pt;height:298.5pt;visibility:visible">
            <v:imagedata r:id="rId12" o:title=""/>
          </v:shape>
        </w:pict>
      </w:r>
    </w:p>
    <w:p>
      <w:pPr>
        <w:pStyle w:val="BodyText"/>
        <w:rPr>
          <w:i/>
        </w:rPr>
      </w:pPr>
      <w:r w:rsidR="00114846" w:rsidRPr="00565CD6">
        <w:rPr>
          <w:i/>
        </w:rPr>
        <w:t>Obr</w:t>
      </w:r>
      <w:r w:rsidR="00114846">
        <w:rPr>
          <w:i/>
        </w:rPr>
        <w:t>. 4: I</w:t>
      </w:r>
      <w:r w:rsidR="00114846" w:rsidRPr="00565CD6">
        <w:rPr>
          <w:i/>
        </w:rPr>
        <w:t>mplantace chlopně   (</w:t>
      </w:r>
      <w:r w:rsidR="00114846">
        <w:rPr>
          <w:i/>
        </w:rPr>
        <w:t>1 – intraanulární, 2 – intra-supraanulární, 3 - supraanulární</w:t>
      </w:r>
      <w:r w:rsidR="00114846" w:rsidRPr="00565CD6">
        <w:rPr>
          <w:i/>
        </w:rPr>
        <w:t xml:space="preserve">) </w:t>
      </w:r>
    </w:p>
    <w:p>
      <w:pPr>
        <w:spacing w:line="360" w:lineRule="auto"/>
      </w:pPr>
    </w:p>
    <w:p>
      <w:pPr>
        <w:spacing w:line="360" w:lineRule="auto"/>
      </w:pPr>
    </w:p>
    <w:p>
      <w:pPr>
        <w:spacing w:line="360" w:lineRule="auto"/>
        <w:rPr>
          <w:b/>
          <w:bCs/>
        </w:rPr>
      </w:pPr>
      <w:r w:rsidR="00114846">
        <w:rPr>
          <w:b/>
          <w:bCs/>
        </w:rPr>
        <w:t xml:space="preserve">5.3 </w:t>
      </w:r>
      <w:r w:rsidR="00114846">
        <w:rPr>
          <w:b/>
          <w:bCs/>
        </w:rPr>
        <w:tab/>
        <w:t xml:space="preserve"> Intravazálně zaváděné chlopně</w:t>
      </w:r>
    </w:p>
    <w:p>
      <w:pPr>
        <w:spacing w:line="360" w:lineRule="auto"/>
        <w:rPr>
          <w:b/>
          <w:bCs/>
        </w:rPr>
      </w:pPr>
    </w:p>
    <w:p>
      <w:pPr>
        <w:spacing w:line="360" w:lineRule="auto"/>
        <w:jc w:val="both"/>
      </w:pPr>
      <w:r w:rsidR="00114846">
        <w:tab/>
        <w:t xml:space="preserve">V posledních letech se vyvíjí koncept miniinvazivního zavedení aortální chlopně se stentem jako alternativa pro pacienty s velmi vysokým rizikem operace. Jedná se o speciální biologickou perikardiální chlopeň, která je „svinuta“ společně s kovovým stentem a v místě nativní aortální chlopně je poté balónkem rozvinuta [Cribier 2002]. V současné době jsou zkoušeny dvě metody zavedení – cestou a. femoralis retrográdně přes oblouk aorty a přístup přes hrot levé komory, který vyžaduje minitorakotomii.  Aplikace stentu s chlopní je kontrolována fluoroskopicky a jícnovou echokardiografií, vlastní rozvinutí je provedeno v krátkodobé fibrilaci komor nebo rychlé stimulaci pro zabezpečení minimálního srdečního výdeje. V současné době byla tato chlopeň implantována ve specializovaných centrech u přibližně tisíce pacientů s dobrým krátkodobým výsledkem. Je stále spojena s mnoha nezodpovězenými otázkami, jako jsou např. dlouhodobá funkce chlopně, riziko mozkových embolizačních příhod při implantaci, poškození koronárních tepen apod. V současné době je tato metoda indikována u nemocných s významnou aortální stenózou, starších než 70 let s četnými přidruženými onemocněními, pro které je chirurgická léčbě velmi riziková [Vahanian a spol. 2008]. </w:t>
      </w:r>
    </w:p>
    <w:p>
      <w:pPr>
        <w:spacing w:line="360" w:lineRule="auto"/>
      </w:pPr>
      <w:r w:rsidR="00114846" w:rsidRPr="00F53091">
        <w:pict>
          <v:shape id="obrázek 4" o:spid="_x0000_i1028" type="#_x0000_t75" alt="CribierEdwards 1" style="width:186pt;height:122.25pt;visibility:visible">
            <v:imagedata r:id="rId13" o:title=""/>
          </v:shape>
        </w:pict>
      </w:r>
    </w:p>
    <w:p>
      <w:pPr>
        <w:spacing w:line="360" w:lineRule="auto"/>
      </w:pPr>
    </w:p>
    <w:p>
      <w:pPr>
        <w:pStyle w:val="Heading1"/>
        <w:spacing w:line="360" w:lineRule="auto"/>
        <w:rPr>
          <w:b w:val="0"/>
          <w:i/>
        </w:rPr>
      </w:pPr>
      <w:r w:rsidR="00114846" w:rsidRPr="00BD2520">
        <w:rPr>
          <w:b w:val="0"/>
          <w:i/>
        </w:rPr>
        <w:t>Obr</w:t>
      </w:r>
      <w:r w:rsidR="00114846">
        <w:rPr>
          <w:b w:val="0"/>
          <w:i/>
        </w:rPr>
        <w:t>. 5</w:t>
      </w:r>
      <w:r w:rsidR="00114846" w:rsidRPr="00BD2520">
        <w:rPr>
          <w:b w:val="0"/>
          <w:i/>
        </w:rPr>
        <w:t>: Chlopeň Cribier-Edwards pro intravazální zavedení</w:t>
      </w:r>
    </w:p>
    <w:p>
      <w:pPr>
        <w:spacing w:line="360" w:lineRule="auto"/>
        <w:rPr>
          <w:i/>
          <w:iCs/>
        </w:rPr>
      </w:pPr>
    </w:p>
    <w:p>
      <w:pPr>
        <w:spacing w:line="360" w:lineRule="auto"/>
        <w:rPr>
          <w:i/>
          <w:iCs/>
        </w:rPr>
      </w:pPr>
    </w:p>
    <w:p>
      <w:pPr>
        <w:spacing w:line="360" w:lineRule="auto"/>
      </w:pPr>
    </w:p>
    <w:p>
      <w:pPr>
        <w:spacing w:line="360" w:lineRule="auto"/>
      </w:pPr>
    </w:p>
    <w:p/>
    <w:p/>
    <w:p/>
    <w:p/>
    <w:p/>
    <w:p/>
    <w:p/>
    <w:p/>
    <w:p/>
    <w:p/>
    <w:p/>
    <w:p/>
    <w:p/>
    <w:p/>
    <w:p/>
    <w:p/>
    <w:p/>
    <w:p/>
    <w:p>
      <w:pPr>
        <w:pStyle w:val="Heading1"/>
        <w:spacing w:line="360" w:lineRule="auto"/>
      </w:pPr>
      <w:r w:rsidR="00114846">
        <w:t>6</w:t>
      </w:r>
      <w:r w:rsidR="00114846">
        <w:tab/>
        <w:t xml:space="preserve"> Principy implantace aortální chlopně</w:t>
      </w:r>
    </w:p>
    <w:p>
      <w:pPr>
        <w:spacing w:line="360" w:lineRule="auto"/>
      </w:pPr>
    </w:p>
    <w:p>
      <w:pPr>
        <w:spacing w:line="360" w:lineRule="auto"/>
        <w:jc w:val="both"/>
      </w:pPr>
      <w:r w:rsidR="00114846">
        <w:tab/>
        <w:t xml:space="preserve">Izolovaná náhrada aortální chlopně protézou je nejčastěji provedena přístupem přes střední sternotomii. Arteriální kanyla je umístěna do vzestupné aorty a dvoustupňová venózní kanyla zavedena přes ouško do pravé síně a dolní duté žíly. Odsávání krve z levé síně a komory je obvykle vedeno kanylou přes pravou horní plicní žílu, některá pracoviště upřednostňují kmen plícnice či sání přímo z levé komory kanylou přes aortální chlopeň. Po spuštění mimotělního oběhu je odpreparován kmen plícnice od aorty. Diastolické srdeční zástavy je po naložení příčné svorky na aortu dosaženo aplikací krevní či krystalické kardioplegie do kořene aorty. Aorta je poté otevřena příčnou či šikmou incizí dle zkušeností operujícího chirurga, linie ale musí být dostatečně vysoko nad odstupem pravé koronární tepny. U aortální regurgitace je kardioplegický roztok aplikován přímo do ústí koronárních tepen po otevření aorty. Retrográdní kardioplegie u standardních operací většinou používána není, výhodná je potenciálně u dlouhodobých kombinovaných výkonů. Aktivní chlazení pacienta u jednoduchých výkonů obvykle nemá opodstatnění. </w:t>
      </w:r>
    </w:p>
    <w:p>
      <w:pPr>
        <w:spacing w:line="360" w:lineRule="auto"/>
        <w:jc w:val="both"/>
      </w:pPr>
      <w:r w:rsidR="00114846">
        <w:tab/>
        <w:t xml:space="preserve">Nativní degenerovaná chlopeň je vystřižena a z aortálního anulu jsou odstraněny pokud možno všechny kalcifikace pro prevenci dehiscence a paravalvulárního „leaku“. </w:t>
      </w:r>
    </w:p>
    <w:p>
      <w:pPr>
        <w:spacing w:line="360" w:lineRule="auto"/>
        <w:jc w:val="both"/>
      </w:pPr>
      <w:r w:rsidR="00114846">
        <w:t xml:space="preserve">Při dekalcifikaci je potřeba dbát opatrnosti a předejít perforaci aortální stěny, která je nejtenší mezi levým a nekoronárním cípem. Razantní dekalcifikace v oblasti membranózního septa mezi pravým a nekoronárním cípem může vést k poškození převodního systému. Přední cíp mitrální chlopně je v přímé návaznosti na levý koronární cíp a kalcifikace mohou přecházet až na něj – v případě poranění je možná plastika záplatou z perikardu. Při odstraňování rozsáhlých kalcifikací je vhodné přechodně do levé komory srdeční vložit vlhkou roušku, která se i se zbytky detritu před implantací protézy extrahuje, případně komoru vypláchnout fyziologickým roztokem. </w:t>
      </w:r>
    </w:p>
    <w:p>
      <w:pPr>
        <w:spacing w:line="360" w:lineRule="auto"/>
        <w:jc w:val="both"/>
      </w:pPr>
      <w:r w:rsidR="00114846">
        <w:tab/>
        <w:t>Výběr chlopně je dán zkušenostmi pracoviště a preferencemi chirurga. Každý z výrobců dodává sadu měrek k určení velkosti implantované chlopně. Tyto měrky jsou kopií vlastní chlopně, ale udávaná numerická velikost většinou neodpovídá jejich vnitřnímu ani vnějšímu průměru a proto je pro každý typ jedinečná. Biologické chlopně některých výrobců je potřeba po vybalení z originálního obalu před vlastní implantací několikrát propláchnout k vymytí chemického konzervačního roztoku. Chlopeň je možno implantovat jednotlivými stehy s podložkami umístěnými nad či pod anulus nebo pokračujícím stehem většinou 2-0.</w:t>
      </w:r>
    </w:p>
    <w:p>
      <w:pPr>
        <w:spacing w:line="360" w:lineRule="auto"/>
        <w:jc w:val="both"/>
      </w:pPr>
      <w:r w:rsidR="00114846">
        <w:tab/>
        <w:t xml:space="preserve">Sutura aorty je provedena v jedné nebo ve dvou vrstvách stehem 4-0. Nesmírně důležité je důkladné odvzdušnění srdce. Jedná se o sérii kroků, které jsou často standardizovány na daném pracovišti či u operujícího chirurga z zabránění opomenutí některého z nich - před dokončením sutury aorty je zastaveno levostranné sání k naplnění levostranných oddílů srdce. Nemocný je polohován hlavou nahoru, anesteziolog je požádán o opakované rozdýchnutí plic k zajištění maximálního návratu z plicních žil, současně je spuštěno sání ze vzestupné aorty a srdce opakovaně masírováno pro vypuzení bublin vzduchu z trabekul komory. Poté je nemocný polohován hlavou dolů a série těchto kroků je zopakována a ukončena povolením příčné svorky. Po ukončení reperfůze je extrakce sání z levé horní plicní žily provedena pod hladinou tekutiny v perikardu k zabránění nasátí vzduchu. Nemocný je poté odpojen z mimotělního oběhu a dekanylován. </w:t>
      </w:r>
    </w:p>
    <w:p>
      <w:pPr>
        <w:spacing w:line="360" w:lineRule="auto"/>
        <w:jc w:val="both"/>
      </w:pPr>
      <w:r w:rsidR="00114846">
        <w:tab/>
        <w:t xml:space="preserve">V případě velmi úzkého aortálního anulu vzhledem k tělesnému povrchu nemocného je možné uvažovat o některém z výkonů rozšiřujících nativní anulus k umožnění implantace větší protézy. U dospělých nemocných jsou to nejčastěji tzv. zadní plastiky v místě mezi levým a nekoronárním cípem, průměr aorty lze tímto způsobem zvětšit o 2 – 4 mm. Nicks a spol. popsal rozšiřující techniku, ve které vedl incizi mezi nekoronárním a levým koronárním cípem aortální chlopně až na přední cíp mitrální chlopně [Nicks 1970]. Manougian v roce 1979 popsal techniku, ve které vedl aortotomii přes nekoronární cíp aortální chlopně až na přední cíp chlopně mitrální [Manougian 1979, Mayumi 1995]. Do vzniklého defektu je všita záplata z autologního perikardu nebo dakronu, kterou je poté aorta rozšířena. Tzv. přední technika byla popsána Konnem a spol. v roce 1975, označována je jako aortoventrikuloplastika. Incize aorty je vedena přes pravý koronární cíp do výtokového traktu pravé komory. Mezikomorové septum je taktéž rozšířeno plastikou k umožnění implantace větší protézy. Tento rozsáhlý a technicky náročný výkon je ale obvykle rezervován pro dětskou kardiochirurgii při vrozených stenózách výtokového traktu levé komory [Konno 1975]. </w:t>
      </w:r>
    </w:p>
    <w:p>
      <w:pPr>
        <w:spacing w:line="360" w:lineRule="auto"/>
        <w:jc w:val="both"/>
      </w:pPr>
      <w:r w:rsidR="00114846">
        <w:tab/>
        <w:t xml:space="preserve">Vzniku PPM u nemocných s velmi úzkým aortálním anulem lze předejít implantací mechanických chlopní, které mají při stejné velikosti lepší průtokové parametry. Rozšiřující plastika je indikována pouze u nemocných s kontraindikací antikoagulační léčby a nutností implantace bioprotézy. Hemodynamické výhody větší bioprotézy u starších nemocných obvykle nevyváží potenciální komplikace spojené s delším a technicky složitějším výkonem. </w:t>
      </w:r>
    </w:p>
    <w:p>
      <w:pPr>
        <w:spacing w:line="360" w:lineRule="auto"/>
      </w:pPr>
    </w:p>
    <w:p>
      <w:pPr>
        <w:spacing w:line="360" w:lineRule="auto"/>
      </w:pPr>
    </w:p>
    <w:p>
      <w:pPr>
        <w:spacing w:line="360" w:lineRule="auto"/>
      </w:pPr>
    </w:p>
    <w:p>
      <w:pPr>
        <w:spacing w:line="360" w:lineRule="auto"/>
      </w:pPr>
    </w:p>
    <w:p>
      <w:pPr>
        <w:spacing w:line="360" w:lineRule="auto"/>
      </w:pPr>
      <w:r w:rsidR="00114846" w:rsidRPr="00F53091">
        <w:pict>
          <v:shape id="obrázek 5" o:spid="_x0000_i1029" type="#_x0000_t75" alt="Manougian procedure II" style="width:219.75pt;height:189.75pt;visibility:visible">
            <v:imagedata r:id="rId14" o:title=""/>
          </v:shape>
        </w:pict>
      </w:r>
    </w:p>
    <w:p>
      <w:pPr>
        <w:spacing w:line="360" w:lineRule="auto"/>
      </w:pPr>
    </w:p>
    <w:p>
      <w:pPr>
        <w:spacing w:line="360" w:lineRule="auto"/>
        <w:rPr>
          <w:i/>
          <w:iCs/>
        </w:rPr>
      </w:pPr>
      <w:r w:rsidR="00114846">
        <w:rPr>
          <w:i/>
          <w:iCs/>
        </w:rPr>
        <w:t>Obr. 6: Zadní plastika pro rozšíření aortálního anulu k umožnění implantace větší chlopně (převzato z Cardiac Surgery, Operative Technique, Doty DB)</w:t>
      </w:r>
    </w:p>
    <w:p>
      <w:pPr>
        <w:spacing w:line="360" w:lineRule="auto"/>
      </w:pPr>
    </w:p>
    <w:p>
      <w:pPr>
        <w:spacing w:line="360" w:lineRule="auto"/>
      </w:pPr>
      <w:r w:rsidR="00114846">
        <w:tab/>
      </w:r>
    </w:p>
    <w:p>
      <w:pPr>
        <w:spacing w:line="360" w:lineRule="auto"/>
      </w:pPr>
      <w:r w:rsidR="00114846">
        <w:tab/>
      </w:r>
    </w:p>
    <w:p/>
    <w:p/>
    <w:p/>
    <w:p/>
    <w:p/>
    <w:p/>
    <w:p/>
    <w:p/>
    <w:p/>
    <w:p/>
    <w:p/>
    <w:p/>
    <w:p/>
    <w:p/>
    <w:p/>
    <w:p/>
    <w:p/>
    <w:p/>
    <w:p>
      <w:pPr>
        <w:pStyle w:val="Heading1"/>
        <w:spacing w:line="360" w:lineRule="auto"/>
      </w:pPr>
      <w:r w:rsidR="00114846">
        <w:t>7</w:t>
      </w:r>
      <w:r w:rsidR="00114846">
        <w:tab/>
        <w:t xml:space="preserve"> Komplikace po implantaci bioprotéz</w:t>
      </w:r>
    </w:p>
    <w:p>
      <w:pPr>
        <w:spacing w:line="360" w:lineRule="auto"/>
      </w:pPr>
    </w:p>
    <w:p>
      <w:pPr>
        <w:pStyle w:val="Heading1"/>
        <w:spacing w:line="360" w:lineRule="auto"/>
      </w:pPr>
      <w:r w:rsidR="00114846">
        <w:t xml:space="preserve">7.1 </w:t>
      </w:r>
      <w:r w:rsidR="00114846">
        <w:tab/>
        <w:t>Operační mortalita</w:t>
      </w:r>
    </w:p>
    <w:p>
      <w:pPr>
        <w:spacing w:line="360" w:lineRule="auto"/>
        <w:jc w:val="both"/>
      </w:pPr>
      <w:r w:rsidR="00114846">
        <w:tab/>
        <w:t xml:space="preserve">Operační mortalita je definovaná jako mortalita do 30-ti dní po operaci nebo v rámci jedné hospitalizace. Dle publikovaných studií se pohybuje od 1 do 8%, souvisí s přidruženými onemocněními pacientů a postupným pokrokem v chirurgické technice [Bloodwell 1969, Meurs 1985, Edwards 2001]. Mortalita jednoduché izolované náhrady aortální chlopně se pohybuje okolo 4%, u nejčastějšího kombinovaného výkonu – náhradě aortální chlopně společně s revaskularizací myokardu je přibližně 8%. </w:t>
      </w:r>
    </w:p>
    <w:p>
      <w:pPr>
        <w:spacing w:line="360" w:lineRule="auto"/>
      </w:pPr>
    </w:p>
    <w:p>
      <w:pPr>
        <w:spacing w:line="360" w:lineRule="auto"/>
        <w:rPr>
          <w:i/>
          <w:iCs/>
        </w:rPr>
      </w:pPr>
      <w:r w:rsidR="00114846">
        <w:rPr>
          <w:i/>
          <w:iCs/>
        </w:rPr>
        <w:t xml:space="preserve">Nejčastějšími faktory spojenými s vyšší mortalitou jsou: </w:t>
      </w:r>
    </w:p>
    <w:p>
      <w:pPr>
        <w:spacing w:line="360" w:lineRule="auto"/>
        <w:ind w:firstLine="708"/>
      </w:pPr>
      <w:r w:rsidR="00114846">
        <w:t>věk nad 70 let</w:t>
      </w:r>
    </w:p>
    <w:p>
      <w:pPr>
        <w:spacing w:line="360" w:lineRule="auto"/>
        <w:ind w:firstLine="708"/>
      </w:pPr>
      <w:r w:rsidR="00114846">
        <w:t>zhoršená funkce levé komory</w:t>
      </w:r>
    </w:p>
    <w:p>
      <w:pPr>
        <w:spacing w:line="360" w:lineRule="auto"/>
        <w:ind w:firstLine="708"/>
      </w:pPr>
      <w:r w:rsidR="00114846">
        <w:t>NYHA IV</w:t>
      </w:r>
    </w:p>
    <w:p>
      <w:pPr>
        <w:spacing w:line="360" w:lineRule="auto"/>
        <w:ind w:firstLine="708"/>
      </w:pPr>
      <w:r w:rsidR="00114846">
        <w:t>přidružené onemocnění koronárních tepen</w:t>
      </w:r>
    </w:p>
    <w:p>
      <w:pPr>
        <w:spacing w:line="360" w:lineRule="auto"/>
        <w:ind w:firstLine="708"/>
      </w:pPr>
      <w:r w:rsidR="00114846">
        <w:t>renální dysfunkce</w:t>
      </w:r>
    </w:p>
    <w:p>
      <w:pPr>
        <w:spacing w:line="360" w:lineRule="auto"/>
        <w:ind w:firstLine="708"/>
      </w:pPr>
      <w:r w:rsidR="00114846">
        <w:t>aktivní endokarditida</w:t>
      </w:r>
    </w:p>
    <w:p>
      <w:pPr>
        <w:spacing w:line="360" w:lineRule="auto"/>
        <w:ind w:firstLine="708"/>
      </w:pPr>
      <w:r w:rsidR="00114846">
        <w:t>ženské pohlaví</w:t>
      </w:r>
    </w:p>
    <w:p>
      <w:pPr>
        <w:spacing w:line="360" w:lineRule="auto"/>
        <w:ind w:firstLine="708"/>
      </w:pPr>
      <w:r w:rsidR="00114846">
        <w:t>urgentní výkon</w:t>
      </w:r>
    </w:p>
    <w:p>
      <w:pPr>
        <w:spacing w:line="360" w:lineRule="auto"/>
        <w:ind w:firstLine="708"/>
      </w:pPr>
      <w:r w:rsidR="00114846">
        <w:t>reoperace</w:t>
      </w:r>
    </w:p>
    <w:p>
      <w:pPr>
        <w:spacing w:line="360" w:lineRule="auto"/>
      </w:pPr>
      <w:r w:rsidR="00114846">
        <w:t>[Gonzalez-Lavin 2002, Bloomstein 2001, Scott 1985]</w:t>
      </w:r>
    </w:p>
    <w:p>
      <w:pPr>
        <w:spacing w:line="360" w:lineRule="auto"/>
      </w:pPr>
    </w:p>
    <w:p>
      <w:pPr>
        <w:spacing w:line="360" w:lineRule="auto"/>
        <w:ind w:firstLine="708"/>
        <w:jc w:val="both"/>
      </w:pPr>
      <w:r w:rsidR="00114846">
        <w:t xml:space="preserve">Při absenci komorbidit a zachované funkci levé komory je možno předpokládat mortalitu izolované náhrady aortální chlopně menší než 2%. Současná revaskularizace myokardu bez ostatních komorbidit je spojena s mortalitou přibližně dvojnásobnou. [Aranki 2002, Edwards 2001]. Hospitalizační úmrtí po náhradě aortální chlopně je nejčastěji na podkladě syndromu nízkého srdečního výdeje, neurologických nebo infekčních komplikací. Izolovaná náhrada aortální chlopně patří v současnosti ke kardiochirurgickým výkonům s nejnižší mortalitou. </w:t>
      </w:r>
    </w:p>
    <w:p>
      <w:pPr>
        <w:spacing w:line="360" w:lineRule="auto"/>
      </w:pPr>
    </w:p>
    <w:p>
      <w:pPr>
        <w:spacing w:line="360" w:lineRule="auto"/>
      </w:pPr>
    </w:p>
    <w:p>
      <w:pPr>
        <w:spacing w:line="360" w:lineRule="auto"/>
      </w:pPr>
    </w:p>
    <w:p>
      <w:pPr>
        <w:spacing w:line="360" w:lineRule="auto"/>
      </w:pPr>
    </w:p>
    <w:p>
      <w:pPr>
        <w:pStyle w:val="Heading1"/>
        <w:spacing w:line="360" w:lineRule="auto"/>
      </w:pPr>
      <w:r w:rsidR="00114846">
        <w:t xml:space="preserve">7.2 </w:t>
      </w:r>
      <w:r w:rsidR="00114846">
        <w:tab/>
        <w:t>Dlouhodobé přežití po implantaci bioprotéz</w:t>
      </w:r>
    </w:p>
    <w:p/>
    <w:p>
      <w:pPr>
        <w:spacing w:line="360" w:lineRule="auto"/>
        <w:jc w:val="both"/>
      </w:pPr>
      <w:r w:rsidR="00114846">
        <w:rPr>
          <w:b/>
          <w:bCs/>
        </w:rPr>
        <w:tab/>
      </w:r>
      <w:r w:rsidR="00114846">
        <w:t xml:space="preserve">Dle studií srovnávajících 10-ti leté přežití není statisticky významný rozdíl ve stejné věkové skupině u pacientů po implantaci mechanických chlopní nebo bioprotéz [Hammermeister 2000]. Při 15-ti letém sledování vychází dlouhodobé přežití ve prospěch mechanických protéz v důsledku strukturálního poškození bioprotéz. Strukturální poškození je hlavním důvodem kratší životnosti bioprotéz. Do citované studie ale byli zařazeni pacienti po implantaci biochlopní první generace, u nichž ještě nebyla provedena chemická úprava k zabránění kalcifikace. </w:t>
      </w:r>
    </w:p>
    <w:p>
      <w:pPr>
        <w:spacing w:line="360" w:lineRule="auto"/>
        <w:jc w:val="both"/>
      </w:pPr>
      <w:r w:rsidR="00114846">
        <w:tab/>
        <w:t xml:space="preserve">Ve většině publikovaných studií je 5-ti leté přežití po náhradě aortální chlopně 80 – 85%, 10-ti leté 65-75 %. Výsledky jsou závislé na věku nemocných a přidružených komorbiditách. Nejčastějšími jsou renální onemocnění, kombinovaný výkon, fibrilaci síní a ženské pohlaví. Studie srovnávající mechanické a biologické chlopně vychází ve prospěch mechanických také díky výrazně nižšímu věku nemocných v čase operace. Žádná prospektivní studie neprokázala rozdíl v dlouhodobém přežití mezi perikardiálními a prasečími bioprotézami. </w:t>
      </w:r>
    </w:p>
    <w:p>
      <w:pPr>
        <w:pStyle w:val="Heading1"/>
        <w:spacing w:line="360" w:lineRule="auto"/>
      </w:pPr>
    </w:p>
    <w:p/>
    <w:p>
      <w:pPr>
        <w:pStyle w:val="Heading1"/>
        <w:spacing w:line="360" w:lineRule="auto"/>
      </w:pPr>
      <w:r w:rsidR="00114846">
        <w:t>7.3</w:t>
      </w:r>
      <w:r w:rsidR="00114846">
        <w:tab/>
        <w:t xml:space="preserve"> Mortalita spojená s poruchou funkce chlopně</w:t>
      </w:r>
    </w:p>
    <w:p/>
    <w:p>
      <w:pPr>
        <w:spacing w:line="360" w:lineRule="auto"/>
        <w:jc w:val="both"/>
      </w:pPr>
      <w:r w:rsidR="00114846">
        <w:tab/>
        <w:t xml:space="preserve">Při hodnocení chlopní v rámci pooperačních výsledků u nemocných je nutno rozlišit mortalitu spojenou s poruchou funkce chlopně, mortalitu z jiných kardiovaskulárních příčin a mortalitu spojenou s ostatními faktory. Mortalita spojená s funkcí chlopně je způsobena: </w:t>
      </w:r>
    </w:p>
    <w:p>
      <w:pPr>
        <w:spacing w:line="360" w:lineRule="auto"/>
        <w:rPr>
          <w:lang w:val="en-US"/>
        </w:rPr>
      </w:pPr>
      <w:r w:rsidR="00114846">
        <w:rPr>
          <w:lang w:val="en-US"/>
        </w:rPr>
        <w:t>[</w:t>
      </w:r>
      <w:r w:rsidR="00114846">
        <w:t>Edmunds 1996</w:t>
      </w:r>
      <w:r w:rsidR="00114846">
        <w:rPr>
          <w:lang w:val="en-US"/>
        </w:rPr>
        <w:t>]</w:t>
      </w:r>
    </w:p>
    <w:p>
      <w:pPr>
        <w:spacing w:line="360" w:lineRule="auto"/>
      </w:pPr>
    </w:p>
    <w:p>
      <w:pPr>
        <w:spacing w:line="360" w:lineRule="auto"/>
      </w:pPr>
      <w:r w:rsidR="00114846">
        <w:t>A: strukturální poruchou vlastní konstrukce chlopně – opotřebením či natržením lístku chlopně, dysfunkcí stentu, kalcifikační degenerací jednotlivých komponent způsobující stenózu či regurgitaci</w:t>
      </w:r>
    </w:p>
    <w:p>
      <w:pPr>
        <w:spacing w:line="360" w:lineRule="auto"/>
      </w:pPr>
    </w:p>
    <w:p>
      <w:pPr>
        <w:spacing w:line="360" w:lineRule="auto"/>
      </w:pPr>
      <w:r w:rsidR="00114846">
        <w:t>B: poruchou, která nesouvisí s vlastní konstrukcí chlopně – stenózou či regurgitací díky přerůstajícímu pannu, paravalvárním leakem, nevhodnou velikostí chlopně</w:t>
      </w:r>
    </w:p>
    <w:p>
      <w:pPr>
        <w:spacing w:line="360" w:lineRule="auto"/>
      </w:pPr>
    </w:p>
    <w:p>
      <w:pPr>
        <w:spacing w:line="360" w:lineRule="auto"/>
      </w:pPr>
      <w:r w:rsidR="00114846">
        <w:t>C: trombózou chlopně – přítomností trombu kolidujícím s dobrou funkcí chlopně bez přítomnosti endokarditidy</w:t>
      </w:r>
    </w:p>
    <w:p>
      <w:pPr>
        <w:spacing w:line="360" w:lineRule="auto"/>
      </w:pPr>
    </w:p>
    <w:p>
      <w:pPr>
        <w:spacing w:line="360" w:lineRule="auto"/>
      </w:pPr>
      <w:r w:rsidR="00114846">
        <w:t xml:space="preserve">D: embolizací – mozkovou či jiná embolizační příhodou v pooperačním období po kompletním odeznění účinků anestezie. </w:t>
      </w:r>
    </w:p>
    <w:p>
      <w:pPr>
        <w:spacing w:line="360" w:lineRule="auto"/>
      </w:pPr>
    </w:p>
    <w:p>
      <w:pPr>
        <w:spacing w:line="360" w:lineRule="auto"/>
        <w:ind w:firstLine="708"/>
      </w:pPr>
      <w:r w:rsidR="00114846">
        <w:t>Cévní mozková příhoda je klasifikována jako:</w:t>
      </w:r>
    </w:p>
    <w:p>
      <w:pPr>
        <w:numPr>
          <w:ilvl w:val="0"/>
          <w:numId w:val="4"/>
        </w:numPr>
        <w:spacing w:line="360" w:lineRule="auto"/>
      </w:pPr>
      <w:r w:rsidR="00114846">
        <w:t>tranzientní ischemická ataka (TIA) -  v případě kompletní reverzibility příznaků do 24 hodin</w:t>
      </w:r>
    </w:p>
    <w:p>
      <w:pPr>
        <w:numPr>
          <w:ilvl w:val="0"/>
          <w:numId w:val="4"/>
        </w:numPr>
        <w:spacing w:line="360" w:lineRule="auto"/>
      </w:pPr>
      <w:r w:rsidR="00114846">
        <w:t>reverzibilní ischemický neurologický deficit (RIND) – plně reverzibilní neurologická příhoda delší než 24 hodin a kratší než 3 týdny</w:t>
      </w:r>
    </w:p>
    <w:p>
      <w:pPr>
        <w:numPr>
          <w:ilvl w:val="0"/>
          <w:numId w:val="4"/>
        </w:numPr>
        <w:spacing w:line="360" w:lineRule="auto"/>
      </w:pPr>
      <w:r w:rsidR="00114846">
        <w:t>mozkový infarkt – permanentní neurologický deficit delší než 3 týdny či úmrtí pacienta</w:t>
      </w:r>
    </w:p>
    <w:p>
      <w:pPr>
        <w:spacing w:line="360" w:lineRule="auto"/>
      </w:pPr>
    </w:p>
    <w:p>
      <w:pPr>
        <w:spacing w:line="360" w:lineRule="auto"/>
      </w:pPr>
      <w:r w:rsidR="00114846">
        <w:t>E: krvácením – výskytem akutního nebo subakutního krvácení způsobujícího smrt nemocného či akutní hospitalizaci a krevní transfůzi</w:t>
      </w:r>
    </w:p>
    <w:p>
      <w:pPr>
        <w:spacing w:line="360" w:lineRule="auto"/>
      </w:pPr>
    </w:p>
    <w:p>
      <w:pPr>
        <w:spacing w:line="360" w:lineRule="auto"/>
      </w:pPr>
      <w:r w:rsidR="00114846">
        <w:t>F: endokarditidou – výskytem endokarditídy na operované chlopní, způsobující její dysfunkci</w:t>
      </w:r>
    </w:p>
    <w:p>
      <w:pPr>
        <w:spacing w:line="360" w:lineRule="auto"/>
      </w:pPr>
    </w:p>
    <w:p>
      <w:pPr>
        <w:spacing w:line="360" w:lineRule="auto"/>
        <w:ind w:firstLine="708"/>
        <w:jc w:val="both"/>
      </w:pPr>
      <w:r w:rsidR="00114846">
        <w:t xml:space="preserve">Náhle úmrtí pacienta s implantovanou chlopní bez zjištěné jiné příčiny je klasifikováno jako úmrtí v souvislosti s poruchou funkce chlopně. Úmrtí nemocného na progredující srdeční selhání s dobrou funkcí chlopně do této skupiny zařazeno není [Edmunds 1996]. </w:t>
      </w:r>
    </w:p>
    <w:p>
      <w:pPr>
        <w:spacing w:line="360" w:lineRule="auto"/>
        <w:ind w:firstLine="708"/>
        <w:jc w:val="both"/>
      </w:pPr>
      <w:r w:rsidR="00114846">
        <w:t xml:space="preserve">Ve studii publikované Hammermeisterem [Hammermeister 2000] byla při 15-ti letém sledování mortalita spojená s poruchou funkce biologické chlopně 41%, mortalita z jiných kardiovaskulárních příčin 21%. Dlouhodobé randomizované prospektivní studie srovnávající perikardiální a prasečí chlopně nejsou v současné době k dispozici. </w:t>
      </w:r>
    </w:p>
    <w:p>
      <w:pPr>
        <w:spacing w:line="360" w:lineRule="auto"/>
      </w:pPr>
    </w:p>
    <w:p>
      <w:pPr>
        <w:spacing w:line="360" w:lineRule="auto"/>
      </w:pPr>
    </w:p>
    <w:p>
      <w:pPr>
        <w:pStyle w:val="Heading1"/>
        <w:spacing w:line="360" w:lineRule="auto"/>
      </w:pPr>
      <w:r w:rsidR="00114846" w:rsidRPr="00BD2520">
        <w:rPr>
          <w:bCs w:val="0"/>
        </w:rPr>
        <w:t>7</w:t>
      </w:r>
      <w:r w:rsidR="00114846" w:rsidRPr="00BD2520">
        <w:rPr>
          <w:b w:val="0"/>
          <w:bCs w:val="0"/>
        </w:rPr>
        <w:t>.</w:t>
      </w:r>
      <w:r w:rsidR="00114846">
        <w:t xml:space="preserve">4 </w:t>
      </w:r>
      <w:r w:rsidR="00114846">
        <w:tab/>
        <w:t>Strukturální porucha konstrukce chlopně</w:t>
      </w:r>
    </w:p>
    <w:p/>
    <w:p>
      <w:pPr>
        <w:spacing w:line="360" w:lineRule="auto"/>
        <w:jc w:val="both"/>
      </w:pPr>
      <w:r w:rsidR="00114846">
        <w:tab/>
        <w:t>Jedná se o nejčastější komplikaci spojenou s implatací bioprotéz. Dle současných studií u bioprotéz druhé generace je riziko strukturální dysfunkce – tj. rozvoje degenerativních změn v cípech chlopně při 12-ti letém sledování u nemocných starších než 65 let relativně malé (10%), ale po tomto intervalu rychle stoupá [Dellgren 2002].</w:t>
      </w:r>
    </w:p>
    <w:p>
      <w:pPr>
        <w:spacing w:line="360" w:lineRule="auto"/>
        <w:ind w:firstLine="708"/>
        <w:jc w:val="both"/>
      </w:pPr>
      <w:r w:rsidR="00114846">
        <w:t xml:space="preserve">Dle současných poznatků není rozdíl mezi srovnatelnými perikardiálními či prasečími chlopněmi ve výskytu strukturálních poruch chlopně. Protézy třetí generace s antikalcifikační úpravou slibují lepší dlouhodobou funkci, ale studie hodnotící tyto výsledky jsou zatím limitovány dobou prvních implantací před 5-ti až 6-ti lety a výsledky jsou srovnatelné s protézami druhé generace [Jamieson 2005]. </w:t>
      </w:r>
    </w:p>
    <w:p>
      <w:pPr>
        <w:spacing w:line="360" w:lineRule="auto"/>
        <w:jc w:val="both"/>
      </w:pPr>
      <w:r w:rsidR="00114846">
        <w:tab/>
        <w:t xml:space="preserve">Hlavní predispozičním faktorem strukturální degenerace biochlopně je věk pacienta při implantaci [Vongpatanasin 1996]. </w:t>
      </w:r>
    </w:p>
    <w:p>
      <w:pPr>
        <w:spacing w:line="360" w:lineRule="auto"/>
      </w:pPr>
    </w:p>
    <w:p>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61"/>
        <w:gridCol w:w="4199"/>
      </w:tblGrid>
      <w:tr w:rsidR="00114846" w:rsidTr="00D64181">
        <w:tc>
          <w:tcPr>
            <w:tcW w:w="4606" w:type="dxa"/>
          </w:tcPr>
          <w:p>
            <w:pPr>
              <w:spacing w:line="360" w:lineRule="auto"/>
              <w:rPr>
                <w:i/>
                <w:iCs/>
              </w:rPr>
            </w:pPr>
            <w:r w:rsidR="00114846">
              <w:rPr>
                <w:i/>
                <w:iCs/>
              </w:rPr>
              <w:t>Věk pacienta</w:t>
            </w:r>
          </w:p>
        </w:tc>
        <w:tc>
          <w:tcPr>
            <w:tcW w:w="4606" w:type="dxa"/>
          </w:tcPr>
          <w:p>
            <w:pPr>
              <w:pStyle w:val="Heading2"/>
            </w:pPr>
            <w:r w:rsidR="00114846">
              <w:t>Porucha funkce chlopně za 10 let implantace (</w:t>
            </w:r>
            <w:r w:rsidR="00114846">
              <w:rPr>
                <w:lang w:val="en-US"/>
              </w:rPr>
              <w:t>%</w:t>
            </w:r>
            <w:r w:rsidR="00114846">
              <w:t>)</w:t>
            </w:r>
          </w:p>
        </w:tc>
      </w:tr>
      <w:tr w:rsidR="00114846" w:rsidTr="00D64181">
        <w:tc>
          <w:tcPr>
            <w:tcW w:w="4606" w:type="dxa"/>
          </w:tcPr>
          <w:p>
            <w:pPr>
              <w:spacing w:line="360" w:lineRule="auto"/>
            </w:pPr>
            <w:r w:rsidR="00114846">
              <w:rPr>
                <w:lang w:val="en-US"/>
              </w:rPr>
              <w:t xml:space="preserve">&lt; </w:t>
            </w:r>
            <w:r w:rsidR="00114846">
              <w:t>40</w:t>
            </w:r>
          </w:p>
        </w:tc>
        <w:tc>
          <w:tcPr>
            <w:tcW w:w="4606" w:type="dxa"/>
          </w:tcPr>
          <w:p>
            <w:pPr>
              <w:spacing w:line="360" w:lineRule="auto"/>
            </w:pPr>
            <w:r w:rsidR="00114846">
              <w:t>42</w:t>
            </w:r>
          </w:p>
        </w:tc>
      </w:tr>
      <w:tr w:rsidR="00114846" w:rsidTr="00D64181">
        <w:tc>
          <w:tcPr>
            <w:tcW w:w="4606" w:type="dxa"/>
          </w:tcPr>
          <w:p>
            <w:pPr>
              <w:spacing w:line="360" w:lineRule="auto"/>
            </w:pPr>
            <w:r w:rsidR="00114846">
              <w:t>40 – 49</w:t>
            </w:r>
          </w:p>
        </w:tc>
        <w:tc>
          <w:tcPr>
            <w:tcW w:w="4606" w:type="dxa"/>
          </w:tcPr>
          <w:p>
            <w:pPr>
              <w:spacing w:line="360" w:lineRule="auto"/>
            </w:pPr>
            <w:r w:rsidR="00114846">
              <w:t>30</w:t>
            </w:r>
          </w:p>
        </w:tc>
      </w:tr>
      <w:tr w:rsidR="00114846" w:rsidTr="00D64181">
        <w:tc>
          <w:tcPr>
            <w:tcW w:w="4606" w:type="dxa"/>
          </w:tcPr>
          <w:p>
            <w:pPr>
              <w:spacing w:line="360" w:lineRule="auto"/>
            </w:pPr>
            <w:r w:rsidR="00114846">
              <w:t>50 – 59</w:t>
            </w:r>
          </w:p>
        </w:tc>
        <w:tc>
          <w:tcPr>
            <w:tcW w:w="4606" w:type="dxa"/>
          </w:tcPr>
          <w:p>
            <w:pPr>
              <w:spacing w:line="360" w:lineRule="auto"/>
            </w:pPr>
            <w:r w:rsidR="00114846">
              <w:t>21</w:t>
            </w:r>
          </w:p>
        </w:tc>
      </w:tr>
      <w:tr w:rsidR="00114846" w:rsidTr="00D64181">
        <w:tc>
          <w:tcPr>
            <w:tcW w:w="4606" w:type="dxa"/>
          </w:tcPr>
          <w:p>
            <w:pPr>
              <w:spacing w:line="360" w:lineRule="auto"/>
            </w:pPr>
            <w:r w:rsidR="00114846">
              <w:t>60 – 69</w:t>
            </w:r>
          </w:p>
        </w:tc>
        <w:tc>
          <w:tcPr>
            <w:tcW w:w="4606" w:type="dxa"/>
          </w:tcPr>
          <w:p>
            <w:pPr>
              <w:spacing w:line="360" w:lineRule="auto"/>
            </w:pPr>
            <w:r w:rsidR="00114846">
              <w:t>15</w:t>
            </w:r>
          </w:p>
        </w:tc>
      </w:tr>
      <w:tr w:rsidR="00114846" w:rsidTr="00D64181">
        <w:tc>
          <w:tcPr>
            <w:tcW w:w="4606" w:type="dxa"/>
          </w:tcPr>
          <w:p>
            <w:pPr>
              <w:spacing w:line="360" w:lineRule="auto"/>
            </w:pPr>
            <w:r w:rsidR="00114846">
              <w:rPr>
                <w:lang w:val="en-US"/>
              </w:rPr>
              <w:t>&gt;</w:t>
            </w:r>
            <w:r w:rsidR="00114846">
              <w:t xml:space="preserve"> 70</w:t>
            </w:r>
          </w:p>
        </w:tc>
        <w:tc>
          <w:tcPr>
            <w:tcW w:w="4606" w:type="dxa"/>
          </w:tcPr>
          <w:p>
            <w:pPr>
              <w:spacing w:line="360" w:lineRule="auto"/>
            </w:pPr>
            <w:r w:rsidR="00114846">
              <w:t>10</w:t>
            </w:r>
          </w:p>
        </w:tc>
      </w:tr>
    </w:tbl>
    <w:p>
      <w:pPr>
        <w:spacing w:line="360" w:lineRule="auto"/>
      </w:pPr>
    </w:p>
    <w:p>
      <w:pPr>
        <w:pStyle w:val="Heading2"/>
        <w:rPr>
          <w:b w:val="0"/>
          <w:i/>
        </w:rPr>
      </w:pPr>
      <w:r w:rsidR="00114846" w:rsidRPr="00BD2520">
        <w:rPr>
          <w:b w:val="0"/>
          <w:i/>
        </w:rPr>
        <w:t>Tab</w:t>
      </w:r>
      <w:r w:rsidR="00114846">
        <w:rPr>
          <w:b w:val="0"/>
          <w:i/>
        </w:rPr>
        <w:t>. 1</w:t>
      </w:r>
      <w:r w:rsidR="00114846" w:rsidRPr="00BD2520">
        <w:rPr>
          <w:b w:val="0"/>
          <w:i/>
        </w:rPr>
        <w:t>: Věk pacienta při implantaci a riziko poruchy funkce chlopně za 10 let</w:t>
      </w:r>
    </w:p>
    <w:p>
      <w:pPr>
        <w:spacing w:line="360" w:lineRule="auto"/>
      </w:pPr>
    </w:p>
    <w:p>
      <w:pPr>
        <w:spacing w:line="360" w:lineRule="auto"/>
        <w:jc w:val="both"/>
      </w:pPr>
      <w:r w:rsidR="00114846">
        <w:tab/>
        <w:t>Jednou z možných příčin pomalejší degenerace bioprotéz u starších nemocných je pravděpodobně menší hemodynamické namáhání chlopně. Riziko degenerace chlopně může být nadhodnocené díky statistické metodě dle Kaplan-Meiera, jelikož jsou v ní zahrnuti i nemocní zemřelí z jiných příčin. Statisticky lepší výpovědní hodnotu má analýza tzv. aktuálního přežití bez rizika degenerace chlopně [Grunkemeier 2001].</w:t>
      </w:r>
    </w:p>
    <w:p>
      <w:pPr>
        <w:spacing w:line="360" w:lineRule="auto"/>
      </w:pPr>
    </w:p>
    <w:p>
      <w:pPr>
        <w:spacing w:line="360" w:lineRule="auto"/>
      </w:pPr>
    </w:p>
    <w:p>
      <w:pPr>
        <w:pStyle w:val="Heading1"/>
        <w:spacing w:line="360" w:lineRule="auto"/>
      </w:pPr>
      <w:r w:rsidR="00114846">
        <w:t xml:space="preserve">7.5 </w:t>
      </w:r>
      <w:r w:rsidR="00114846">
        <w:tab/>
        <w:t>Antikoagulační léčba</w:t>
      </w:r>
    </w:p>
    <w:p/>
    <w:p>
      <w:pPr>
        <w:spacing w:line="360" w:lineRule="auto"/>
        <w:jc w:val="both"/>
      </w:pPr>
      <w:r w:rsidR="00114846">
        <w:rPr>
          <w:b/>
          <w:bCs/>
        </w:rPr>
        <w:tab/>
      </w:r>
      <w:r w:rsidR="00114846">
        <w:t>Hlavní výhodou biologických chlopní je malá trombogenní aktivita - implantace nevyžaduje dlouhodobou antikoagulační léčbu. Tromboembolické riziko je u chlopní se stentem 0,5 – 1% ročně [Aupart 1994]. Postupná endotelizace povrchu chlopně v prvních 3 měsících po implantaci je dle některých autorů spojena se zvýšeným tromboembolickým rizikem [Heras 2002].</w:t>
      </w:r>
    </w:p>
    <w:p>
      <w:pPr>
        <w:autoSpaceDE w:val="0"/>
        <w:autoSpaceDN w:val="0"/>
        <w:adjustRightInd w:val="0"/>
        <w:spacing w:line="360" w:lineRule="auto"/>
        <w:ind w:firstLine="708"/>
        <w:jc w:val="both"/>
        <w:rPr>
          <w:color w:val="000000"/>
        </w:rPr>
      </w:pPr>
      <w:r w:rsidR="00114846">
        <w:t>V současné době je u nemocných bez rizikových faktorů tromboembolických komplikací doporučena antikoagulační léčba po implantaci bioprotézy na dobu 3 měsíců s dosažením cílového INR 2-3. Po uplynutí této doby je nemocný převeden na antiagregaci (ASA 200mg/den) [Bonow 2006]. Na některých pracovištích je zvykem propouštět pacienty po implantaci moderních bioprotéz pouze s antiagregační léčbou. Antiagregace u nemocných s bioprotézou snižuje riziko tromboembolických příhod [Goldsmith 1998]. V případě přítomnosti rizikových faktorů tromboembolických příhod je indikována implantace mechanické protézy (</w:t>
      </w:r>
      <w:r w:rsidR="00114846">
        <w:rPr>
          <w:color w:val="292526"/>
        </w:rPr>
        <w:t>fibrilace síní, významná dysfunkce levé komory, tromboembolie v anamnéze, hyperkoagulační stav).</w:t>
      </w:r>
    </w:p>
    <w:p>
      <w:pPr>
        <w:spacing w:line="360" w:lineRule="auto"/>
        <w:ind w:firstLine="708"/>
      </w:pPr>
    </w:p>
    <w:p>
      <w:pPr>
        <w:spacing w:line="360" w:lineRule="auto"/>
        <w:ind w:firstLine="708"/>
      </w:pPr>
    </w:p>
    <w:p>
      <w:pPr>
        <w:pStyle w:val="Heading1"/>
        <w:spacing w:line="360" w:lineRule="auto"/>
      </w:pPr>
      <w:r w:rsidR="00114846">
        <w:t>7.6</w:t>
      </w:r>
      <w:r w:rsidR="00114846">
        <w:tab/>
        <w:t xml:space="preserve"> Trombóza chlopně</w:t>
      </w:r>
    </w:p>
    <w:p>
      <w:pPr>
        <w:jc w:val="both"/>
      </w:pPr>
    </w:p>
    <w:p>
      <w:pPr>
        <w:spacing w:line="360" w:lineRule="auto"/>
        <w:jc w:val="both"/>
      </w:pPr>
      <w:r w:rsidR="00114846">
        <w:rPr>
          <w:b/>
          <w:bCs/>
        </w:rPr>
        <w:tab/>
      </w:r>
      <w:r w:rsidR="00114846">
        <w:t xml:space="preserve">Trombóza chlopně je vzácná, nicméně závažná komplikace. Incidence je menší než 0,2% za rok a je častější u mechanických chlopní [Gharagozloo 2002]. Trombolytická léčba je možná, nicméně často neefektivní a je indikována pouze u nemocných s vysokým rizikem operace [Bonow 2006]. V rámci chirurgické léčby je preferována náhrada chlopně před odstraněním trombů, jelikož na ponechané chlopni je častý výskyt opakované trombózy až ve 40% případů. </w:t>
      </w:r>
    </w:p>
    <w:p>
      <w:pPr>
        <w:spacing w:line="360" w:lineRule="auto"/>
        <w:jc w:val="both"/>
      </w:pPr>
    </w:p>
    <w:p>
      <w:pPr>
        <w:spacing w:line="360" w:lineRule="auto"/>
        <w:jc w:val="both"/>
      </w:pPr>
    </w:p>
    <w:p>
      <w:pPr>
        <w:pStyle w:val="Heading1"/>
        <w:spacing w:line="360" w:lineRule="auto"/>
        <w:jc w:val="both"/>
      </w:pPr>
      <w:r w:rsidR="00114846">
        <w:t xml:space="preserve">7.7 </w:t>
      </w:r>
      <w:r w:rsidR="00114846">
        <w:tab/>
        <w:t>Endokarditida</w:t>
      </w:r>
    </w:p>
    <w:p>
      <w:pPr>
        <w:jc w:val="both"/>
      </w:pPr>
    </w:p>
    <w:p>
      <w:pPr>
        <w:spacing w:line="360" w:lineRule="auto"/>
        <w:jc w:val="both"/>
      </w:pPr>
      <w:r w:rsidR="00114846">
        <w:tab/>
        <w:t>Endokarditidu na umělé chlopni je možno rozdělit na časnou (do jednoho roku po operaci) a pozdní. Časná většinou úzce souvisí s peroperační kontaminací operačního pole nebo s pooperační infekcí rány či intravazálních vstupů. Nejčastějšími patogeny jsou Staphylococcus aureus, Staphylococcus epidermidis a gramnegativní baktérie. U všech febrilních stavů po implantaci chlopně by proto mělo být vysloveno podezření na infekční endokarditidu, odebrány hemokultury a provedeno jícnové echokardiografické vyšetření, které je přesnější než transtorakální. Důležitý je nález vlajících vegetací.</w:t>
      </w:r>
    </w:p>
    <w:p>
      <w:pPr>
        <w:spacing w:line="360" w:lineRule="auto"/>
        <w:jc w:val="both"/>
      </w:pPr>
      <w:r w:rsidR="00114846">
        <w:tab/>
        <w:t xml:space="preserve">Riziko časné chlopenní endokarditidy je 0,6 – 0,9% ročně a u biologických chlopní je nižší než u mechanických [Dellgren 2002, Ivert 2002]. Výsledky chirurgické léčby nemocných s protézovou endokarditidou jsou stále zatíženy vysokým rizikem. Časná endokarditida je spojena s mortalitou 30 – 80%, pozdní má v posledních letech mortalitu kolem 20 [Dearani 1997]. </w:t>
      </w:r>
    </w:p>
    <w:p>
      <w:pPr>
        <w:spacing w:line="360" w:lineRule="auto"/>
        <w:jc w:val="both"/>
      </w:pPr>
      <w:r w:rsidR="00114846">
        <w:t>Chirurgická léčba je indikována v následujících případech:</w:t>
      </w:r>
    </w:p>
    <w:p>
      <w:pPr>
        <w:spacing w:line="360" w:lineRule="auto"/>
      </w:pPr>
    </w:p>
    <w:p>
      <w:pPr>
        <w:numPr>
          <w:ilvl w:val="0"/>
          <w:numId w:val="5"/>
        </w:numPr>
        <w:spacing w:line="360" w:lineRule="auto"/>
      </w:pPr>
      <w:r w:rsidR="00114846">
        <w:t>všechny případy časné endokarditidy</w:t>
      </w:r>
    </w:p>
    <w:p>
      <w:pPr>
        <w:numPr>
          <w:ilvl w:val="0"/>
          <w:numId w:val="5"/>
        </w:numPr>
        <w:spacing w:line="360" w:lineRule="auto"/>
      </w:pPr>
      <w:r w:rsidR="00114846">
        <w:t>konkomitantní srdeční selhání nebo dysfunkce chlopně</w:t>
      </w:r>
    </w:p>
    <w:p>
      <w:pPr>
        <w:numPr>
          <w:ilvl w:val="0"/>
          <w:numId w:val="5"/>
        </w:numPr>
        <w:spacing w:line="360" w:lineRule="auto"/>
      </w:pPr>
      <w:r w:rsidR="00114846">
        <w:t>paravalvární leak</w:t>
      </w:r>
    </w:p>
    <w:p>
      <w:pPr>
        <w:numPr>
          <w:ilvl w:val="0"/>
          <w:numId w:val="5"/>
        </w:numPr>
        <w:spacing w:line="360" w:lineRule="auto"/>
      </w:pPr>
      <w:r w:rsidR="00114846">
        <w:t>přítomnost abscesové dutiny, převodní poruchy, píštěle</w:t>
      </w:r>
    </w:p>
    <w:p>
      <w:pPr>
        <w:numPr>
          <w:ilvl w:val="0"/>
          <w:numId w:val="5"/>
        </w:numPr>
        <w:spacing w:line="360" w:lineRule="auto"/>
      </w:pPr>
      <w:r w:rsidR="00114846">
        <w:t>infekce velmi virulentním patogenem (Staphylococcus Aureus, Pseudomonas aeruginosa, fungální infekce)</w:t>
      </w:r>
    </w:p>
    <w:p>
      <w:pPr>
        <w:numPr>
          <w:ilvl w:val="0"/>
          <w:numId w:val="5"/>
        </w:numPr>
        <w:spacing w:line="360" w:lineRule="auto"/>
      </w:pPr>
      <w:r w:rsidR="00114846">
        <w:t xml:space="preserve">přetrvávající bakteriémie po adekvátní antibiotické léčbě </w:t>
      </w:r>
    </w:p>
    <w:p>
      <w:pPr>
        <w:numPr>
          <w:ilvl w:val="0"/>
          <w:numId w:val="5"/>
        </w:numPr>
        <w:spacing w:line="360" w:lineRule="auto"/>
      </w:pPr>
      <w:r w:rsidR="00114846">
        <w:t>vegetace větší než 1 mm</w:t>
      </w:r>
    </w:p>
    <w:p>
      <w:pPr>
        <w:numPr>
          <w:ilvl w:val="0"/>
          <w:numId w:val="5"/>
        </w:numPr>
        <w:spacing w:line="360" w:lineRule="auto"/>
      </w:pPr>
      <w:r w:rsidR="00114846">
        <w:t>systémová embolizace</w:t>
      </w:r>
    </w:p>
    <w:p>
      <w:pPr>
        <w:spacing w:line="360" w:lineRule="auto"/>
      </w:pPr>
    </w:p>
    <w:p>
      <w:pPr>
        <w:spacing w:line="360" w:lineRule="auto"/>
      </w:pPr>
    </w:p>
    <w:p>
      <w:pPr>
        <w:pStyle w:val="Heading1"/>
        <w:spacing w:line="360" w:lineRule="auto"/>
        <w:rPr>
          <w:rStyle w:val="Strong"/>
          <w:b/>
          <w:bCs/>
          <w:szCs w:val="28"/>
        </w:rPr>
      </w:pPr>
      <w:r w:rsidR="00114846">
        <w:rPr>
          <w:rStyle w:val="Strong"/>
          <w:b/>
          <w:bCs/>
          <w:szCs w:val="28"/>
        </w:rPr>
        <w:t xml:space="preserve">7.8 </w:t>
      </w:r>
      <w:r w:rsidR="00114846">
        <w:rPr>
          <w:rStyle w:val="Strong"/>
          <w:b/>
          <w:bCs/>
          <w:szCs w:val="28"/>
        </w:rPr>
        <w:tab/>
        <w:t>Paravalvární leak a hemolýza</w:t>
      </w:r>
    </w:p>
    <w:p/>
    <w:p>
      <w:pPr>
        <w:spacing w:line="360" w:lineRule="auto"/>
        <w:jc w:val="both"/>
        <w:rPr>
          <w:rStyle w:val="Strong"/>
          <w:b w:val="0"/>
          <w:bCs w:val="0"/>
          <w:szCs w:val="28"/>
        </w:rPr>
      </w:pPr>
      <w:r w:rsidR="00114846">
        <w:rPr>
          <w:rStyle w:val="Strong"/>
          <w:szCs w:val="28"/>
        </w:rPr>
        <w:tab/>
      </w:r>
      <w:r w:rsidR="00114846">
        <w:rPr>
          <w:rStyle w:val="Strong"/>
          <w:b w:val="0"/>
          <w:bCs w:val="0"/>
          <w:szCs w:val="28"/>
        </w:rPr>
        <w:t xml:space="preserve">Paravalvární leak je většinou způsoben technickou chybou v případě velkých mezer mezi jednotlivými stehy nebo prořezáním stehů u těžce kalcifikovaného anulu chlopně. Pokud je malý a hemodynamicky nevýznamný, vyžaduje pouze pravidelné sledování. V případě většího leaku s hemodynamicky významnou regurgitací je indikována chirurgická revize.     </w:t>
      </w:r>
    </w:p>
    <w:p>
      <w:pPr>
        <w:spacing w:line="360" w:lineRule="auto"/>
        <w:ind w:firstLine="708"/>
        <w:jc w:val="both"/>
        <w:rPr>
          <w:rStyle w:val="Strong"/>
          <w:b w:val="0"/>
          <w:bCs w:val="0"/>
          <w:szCs w:val="28"/>
        </w:rPr>
      </w:pPr>
      <w:r w:rsidR="00114846">
        <w:rPr>
          <w:rStyle w:val="Strong"/>
          <w:b w:val="0"/>
          <w:bCs w:val="0"/>
          <w:szCs w:val="28"/>
        </w:rPr>
        <w:t>Hemolýza je u současných bioprotéz ojedinělá. Přerůstání pannu a strukturální degenerace chlopně omezující otevírací mechanizmus může způsobit hemolýzu dostatečnou k indikaci reoperace. Lehčí případy hemolýzy je možno léčit konzervativně s přidáním léků na suplementaci železa a kyseliny listové, důležité jsou pravidelné kontroly hemoglobinu a laktát dehydrogenázy (LDH).</w:t>
      </w:r>
    </w:p>
    <w:p>
      <w:pPr>
        <w:spacing w:line="360" w:lineRule="auto"/>
        <w:rPr>
          <w:rStyle w:val="Strong"/>
          <w:b w:val="0"/>
          <w:bCs w:val="0"/>
          <w:szCs w:val="28"/>
        </w:rPr>
      </w:pPr>
    </w:p>
    <w:p>
      <w:pPr>
        <w:spacing w:line="360" w:lineRule="auto"/>
        <w:rPr>
          <w:rStyle w:val="Strong"/>
          <w:b w:val="0"/>
          <w:bCs w:val="0"/>
          <w:szCs w:val="28"/>
        </w:rPr>
      </w:pPr>
    </w:p>
    <w:p>
      <w:pPr>
        <w:spacing w:line="360" w:lineRule="auto"/>
      </w:pPr>
    </w:p>
    <w:p>
      <w:pPr>
        <w:spacing w:line="360" w:lineRule="auto"/>
      </w:pPr>
    </w:p>
    <w:p>
      <w:pPr>
        <w:rPr>
          <w:b/>
          <w:i/>
        </w:rPr>
      </w:pPr>
      <w:r w:rsidR="00114846">
        <w:rPr>
          <w:b/>
          <w:i/>
        </w:rPr>
        <w:t>B</w:t>
      </w:r>
      <w:r w:rsidR="00114846" w:rsidRPr="00565CD6">
        <w:rPr>
          <w:b/>
          <w:i/>
        </w:rPr>
        <w:tab/>
        <w:t>Klinická studie</w:t>
      </w:r>
    </w:p>
    <w:p/>
    <w:p/>
    <w:p/>
    <w:p>
      <w:pPr>
        <w:pStyle w:val="Heading1"/>
      </w:pPr>
      <w:r w:rsidR="00114846">
        <w:t xml:space="preserve">8 </w:t>
      </w:r>
      <w:r w:rsidR="00114846">
        <w:tab/>
        <w:t>Bioprotézy sledované ve studii</w:t>
      </w:r>
    </w:p>
    <w:p/>
    <w:p>
      <w:pPr>
        <w:rPr>
          <w:b/>
          <w:bCs/>
        </w:rPr>
      </w:pPr>
    </w:p>
    <w:p>
      <w:pPr>
        <w:rPr>
          <w:b/>
          <w:bCs/>
        </w:rPr>
      </w:pPr>
    </w:p>
    <w:p>
      <w:pPr>
        <w:rPr>
          <w:b/>
          <w:bCs/>
        </w:rPr>
      </w:pPr>
      <w:r w:rsidR="00114846">
        <w:t xml:space="preserve">Výrobce: </w:t>
      </w:r>
      <w:r w:rsidR="00114846">
        <w:tab/>
      </w:r>
      <w:r w:rsidR="00114846">
        <w:rPr>
          <w:b/>
          <w:bCs/>
        </w:rPr>
        <w:t>Edwards Lifesciences, Irvine, U.S.A.</w:t>
      </w:r>
    </w:p>
    <w:p/>
    <w:p>
      <w:r w:rsidR="00114846">
        <w:t>Typ:</w:t>
      </w:r>
      <w:r w:rsidR="00114846">
        <w:tab/>
      </w:r>
      <w:r w:rsidR="00114846">
        <w:tab/>
      </w:r>
      <w:r w:rsidR="00114846">
        <w:rPr>
          <w:i/>
          <w:iCs/>
        </w:rPr>
        <w:t>Edwards S.A.V (2650)</w:t>
      </w:r>
    </w:p>
    <w:p/>
    <w:p>
      <w:r w:rsidR="00114846" w:rsidRPr="00F53091">
        <w:pict>
          <v:shape id="obrázek 6" o:spid="_x0000_i1030" type="#_x0000_t75" alt="Edwards SAV 2650" style="width:141pt;height:107.25pt;visibility:visible">
            <v:imagedata r:id="rId15" o:title="" grayscale="t"/>
          </v:shape>
        </w:pict>
      </w:r>
    </w:p>
    <w:p>
      <w:pPr>
        <w:ind w:left="360"/>
      </w:pPr>
    </w:p>
    <w:p>
      <w:pPr>
        <w:numPr>
          <w:ilvl w:val="0"/>
          <w:numId w:val="6"/>
        </w:numPr>
      </w:pPr>
      <w:r w:rsidR="00114846">
        <w:t>chlopeň z prasečí aortální chlopně</w:t>
      </w:r>
    </w:p>
    <w:p>
      <w:pPr>
        <w:numPr>
          <w:ilvl w:val="0"/>
          <w:numId w:val="6"/>
        </w:numPr>
      </w:pPr>
      <w:r w:rsidR="00114846">
        <w:t>úprava glutaraldehydem pod nízkým tlakem</w:t>
      </w:r>
    </w:p>
    <w:p>
      <w:pPr>
        <w:numPr>
          <w:ilvl w:val="0"/>
          <w:numId w:val="6"/>
        </w:numPr>
      </w:pPr>
      <w:r w:rsidR="00114846">
        <w:t xml:space="preserve">antikalcifikační úprava </w:t>
      </w:r>
      <w:r w:rsidR="00114846">
        <w:rPr>
          <w:i/>
          <w:iCs/>
        </w:rPr>
        <w:t>XenoLogiX</w:t>
      </w:r>
      <w:r w:rsidR="00114846">
        <w:t xml:space="preserve"> (odstranění fosfolipidů)</w:t>
      </w:r>
    </w:p>
    <w:p>
      <w:pPr>
        <w:ind w:left="360"/>
      </w:pPr>
      <w:r w:rsidR="00114846">
        <w:t xml:space="preserve">- </w:t>
      </w:r>
      <w:r w:rsidR="00114846">
        <w:tab/>
        <w:t>supraanulární implantace</w:t>
      </w:r>
    </w:p>
    <w:p/>
    <w:p/>
    <w:p/>
    <w:p/>
    <w:p/>
    <w:p/>
    <w:p/>
    <w:p/>
    <w:p/>
    <w:p>
      <w:r w:rsidR="00114846">
        <w:t>Typ.</w:t>
      </w:r>
      <w:r w:rsidR="00114846">
        <w:tab/>
      </w:r>
      <w:r w:rsidR="00114846">
        <w:tab/>
      </w:r>
      <w:r w:rsidR="00114846">
        <w:rPr>
          <w:i/>
          <w:iCs/>
        </w:rPr>
        <w:t>Edwards Perimount (2900)</w:t>
      </w:r>
    </w:p>
    <w:p/>
    <w:p>
      <w:r w:rsidR="00114846">
        <w:object w:dxaOrig="2326" w:dyaOrig="1741">
          <v:shape id="_x0000_i1031" type="#_x0000_t75" style="width:143.25pt;height:108pt" o:ole="">
            <v:imagedata r:id="rId16" o:title="" grayscale="t"/>
          </v:shape>
          <o:OLEObject Type="Embed" ProgID="Word.Picture.8" ShapeID="_x0000_i1031" DrawAspect="Content" ObjectID="_1301893360" r:id="rId17"/>
        </w:object>
      </w:r>
    </w:p>
    <w:p>
      <w:pPr>
        <w:numPr>
          <w:ilvl w:val="0"/>
          <w:numId w:val="6"/>
        </w:numPr>
      </w:pPr>
      <w:r w:rsidR="00114846">
        <w:t>chlopeň z bovinního perikardu</w:t>
      </w:r>
    </w:p>
    <w:p>
      <w:pPr>
        <w:numPr>
          <w:ilvl w:val="0"/>
          <w:numId w:val="6"/>
        </w:numPr>
      </w:pPr>
      <w:r w:rsidR="00114846">
        <w:t>úprava glutaraldehydem pod nízkým tlakem (</w:t>
      </w:r>
      <w:r w:rsidR="00114846">
        <w:rPr>
          <w:i/>
          <w:iCs/>
        </w:rPr>
        <w:t>Neutralogic</w:t>
      </w:r>
      <w:r w:rsidR="00114846">
        <w:t>)</w:t>
      </w:r>
    </w:p>
    <w:p>
      <w:pPr>
        <w:numPr>
          <w:ilvl w:val="0"/>
          <w:numId w:val="6"/>
        </w:numPr>
      </w:pPr>
      <w:r w:rsidR="00114846">
        <w:t>antikalcifikační úprava</w:t>
      </w:r>
    </w:p>
    <w:p>
      <w:pPr>
        <w:ind w:left="360"/>
      </w:pPr>
      <w:r w:rsidR="00114846">
        <w:t xml:space="preserve">- </w:t>
      </w:r>
      <w:r w:rsidR="00114846">
        <w:tab/>
        <w:t>intra-supraanulární implantace</w:t>
      </w:r>
    </w:p>
    <w:p>
      <w:pPr>
        <w:ind w:left="360"/>
      </w:pPr>
    </w:p>
    <w:p/>
    <w:p/>
    <w:p/>
    <w:p/>
    <w:p/>
    <w:p/>
    <w:p>
      <w:pPr>
        <w:rPr>
          <w:i/>
          <w:iCs/>
        </w:rPr>
      </w:pPr>
      <w:r w:rsidR="00114846">
        <w:t>Typ:</w:t>
      </w:r>
      <w:r w:rsidR="00114846">
        <w:tab/>
      </w:r>
      <w:r w:rsidR="00114846">
        <w:tab/>
      </w:r>
      <w:r w:rsidR="00114846">
        <w:rPr>
          <w:i/>
          <w:iCs/>
        </w:rPr>
        <w:t>Edwards Perimount 3000 (Magna)</w:t>
      </w:r>
    </w:p>
    <w:p>
      <w:pPr>
        <w:rPr>
          <w:i/>
          <w:iCs/>
        </w:rPr>
      </w:pPr>
    </w:p>
    <w:p>
      <w:pPr>
        <w:rPr>
          <w:i/>
          <w:iCs/>
        </w:rPr>
      </w:pPr>
      <w:r w:rsidR="00114846" w:rsidRPr="005C247F">
        <w:rPr>
          <w:i/>
          <w:iCs/>
        </w:rPr>
        <w:object w:dxaOrig="2506" w:dyaOrig="1876">
          <v:shape id="_x0000_i1032" type="#_x0000_t75" style="width:125.25pt;height:93pt" o:ole="">
            <v:imagedata r:id="rId18" o:title="" grayscale="t"/>
          </v:shape>
          <o:OLEObject Type="Embed" ProgID="Word.Picture.8" ShapeID="_x0000_i1032" DrawAspect="Content" ObjectID="_1301893361" r:id="rId19"/>
        </w:object>
      </w:r>
    </w:p>
    <w:p>
      <w:pPr>
        <w:numPr>
          <w:ilvl w:val="0"/>
          <w:numId w:val="6"/>
        </w:numPr>
      </w:pPr>
      <w:r w:rsidR="00114846">
        <w:t>chlopeň z bovinního perikardu</w:t>
      </w:r>
    </w:p>
    <w:p>
      <w:pPr>
        <w:numPr>
          <w:ilvl w:val="0"/>
          <w:numId w:val="6"/>
        </w:numPr>
      </w:pPr>
      <w:r w:rsidR="00114846">
        <w:t>úprava glutaraldehydem pod nízkým tlakem</w:t>
      </w:r>
    </w:p>
    <w:p>
      <w:pPr>
        <w:numPr>
          <w:ilvl w:val="0"/>
          <w:numId w:val="6"/>
        </w:numPr>
      </w:pPr>
      <w:r w:rsidR="00114846">
        <w:t xml:space="preserve">antikalcifikační úprava </w:t>
      </w:r>
      <w:r w:rsidR="00114846">
        <w:rPr>
          <w:i/>
          <w:iCs/>
        </w:rPr>
        <w:t>ThermaFix</w:t>
      </w:r>
      <w:r w:rsidR="00114846">
        <w:t xml:space="preserve"> (odstranění zbytků glutaraldehydu)</w:t>
      </w:r>
    </w:p>
    <w:p>
      <w:pPr>
        <w:ind w:left="360"/>
      </w:pPr>
      <w:r w:rsidR="00114846">
        <w:t xml:space="preserve">- </w:t>
      </w:r>
      <w:r w:rsidR="00114846">
        <w:tab/>
        <w:t>supraanulární implantace</w:t>
      </w:r>
    </w:p>
    <w:p/>
    <w:p/>
    <w:p/>
    <w:p/>
    <w:p>
      <w:pPr>
        <w:rPr>
          <w:b/>
          <w:bCs/>
        </w:rPr>
      </w:pPr>
      <w:r w:rsidR="00114846">
        <w:t>Výrobce:</w:t>
      </w:r>
      <w:r w:rsidR="00114846">
        <w:tab/>
      </w:r>
      <w:r w:rsidR="00114846">
        <w:rPr>
          <w:b/>
          <w:bCs/>
        </w:rPr>
        <w:t>St. Jude Medical, St. Paul, U.S.A.</w:t>
      </w:r>
    </w:p>
    <w:p/>
    <w:p>
      <w:pPr>
        <w:rPr>
          <w:i/>
          <w:iCs/>
        </w:rPr>
      </w:pPr>
      <w:r w:rsidR="00114846">
        <w:t>Typ:</w:t>
      </w:r>
      <w:r w:rsidR="00114846">
        <w:tab/>
      </w:r>
      <w:r w:rsidR="00114846">
        <w:tab/>
      </w:r>
      <w:r w:rsidR="00114846">
        <w:rPr>
          <w:i/>
          <w:iCs/>
        </w:rPr>
        <w:t>Epic</w:t>
      </w:r>
    </w:p>
    <w:p/>
    <w:p>
      <w:r w:rsidR="00114846" w:rsidRPr="00F53091">
        <w:pict>
          <v:shape id="obrázek 9" o:spid="_x0000_i1033" type="#_x0000_t75" alt="sjm epic" style="width:142.5pt;height:132.75pt;visibility:visible">
            <v:imagedata r:id="rId20" o:title="" grayscale="t"/>
          </v:shape>
        </w:pict>
      </w:r>
    </w:p>
    <w:p>
      <w:pPr>
        <w:numPr>
          <w:ilvl w:val="0"/>
          <w:numId w:val="6"/>
        </w:numPr>
      </w:pPr>
      <w:r w:rsidR="00114846">
        <w:t>chlopeň z prasečí aortální chlopně</w:t>
      </w:r>
    </w:p>
    <w:p>
      <w:pPr>
        <w:numPr>
          <w:ilvl w:val="0"/>
          <w:numId w:val="6"/>
        </w:numPr>
      </w:pPr>
      <w:r w:rsidR="00114846">
        <w:t>úprava glutaraldehydem</w:t>
      </w:r>
    </w:p>
    <w:p>
      <w:pPr>
        <w:numPr>
          <w:ilvl w:val="0"/>
          <w:numId w:val="6"/>
        </w:numPr>
      </w:pPr>
      <w:r w:rsidR="00114846">
        <w:t xml:space="preserve">antikalcifikační úprava </w:t>
      </w:r>
      <w:r w:rsidR="00114846">
        <w:rPr>
          <w:i/>
          <w:iCs/>
        </w:rPr>
        <w:t>Linx</w:t>
      </w:r>
    </w:p>
    <w:p>
      <w:pPr>
        <w:numPr>
          <w:ilvl w:val="0"/>
          <w:numId w:val="6"/>
        </w:numPr>
      </w:pPr>
      <w:r w:rsidR="00114846">
        <w:t>supraanulární implantace</w:t>
      </w:r>
    </w:p>
    <w:p>
      <w:pPr>
        <w:pStyle w:val="Heading1"/>
        <w:rPr>
          <w:b w:val="0"/>
          <w:bCs w:val="0"/>
        </w:rPr>
      </w:pPr>
    </w:p>
    <w:p>
      <w:pPr>
        <w:pStyle w:val="Heading1"/>
        <w:rPr>
          <w:b w:val="0"/>
          <w:bCs w:val="0"/>
        </w:rPr>
      </w:pPr>
    </w:p>
    <w:p>
      <w:pPr>
        <w:pStyle w:val="Heading1"/>
        <w:rPr>
          <w:b w:val="0"/>
          <w:bCs w:val="0"/>
        </w:rPr>
      </w:pPr>
    </w:p>
    <w:p/>
    <w:p/>
    <w:p/>
    <w:p/>
    <w:p/>
    <w:p/>
    <w:p/>
    <w:p/>
    <w:p/>
    <w:p>
      <w:pPr>
        <w:pStyle w:val="Heading1"/>
        <w:rPr>
          <w:b w:val="0"/>
          <w:bCs w:val="0"/>
        </w:rPr>
      </w:pPr>
    </w:p>
    <w:p>
      <w:pPr>
        <w:pStyle w:val="Heading1"/>
      </w:pPr>
      <w:r w:rsidR="00114846">
        <w:rPr>
          <w:b w:val="0"/>
          <w:bCs w:val="0"/>
        </w:rPr>
        <w:t>Výrobce:</w:t>
      </w:r>
      <w:r w:rsidR="00114846">
        <w:rPr>
          <w:b w:val="0"/>
          <w:bCs w:val="0"/>
        </w:rPr>
        <w:tab/>
      </w:r>
      <w:r w:rsidR="00114846">
        <w:t>Sorin Biomedica, Sallugia, Italy</w:t>
      </w:r>
    </w:p>
    <w:p/>
    <w:p>
      <w:r w:rsidR="00114846">
        <w:t>Typ:</w:t>
      </w:r>
      <w:r w:rsidR="00114846">
        <w:tab/>
      </w:r>
      <w:r w:rsidR="00114846">
        <w:rPr>
          <w:i/>
          <w:iCs/>
        </w:rPr>
        <w:tab/>
        <w:t>More</w:t>
      </w:r>
    </w:p>
    <w:p>
      <w:r w:rsidR="00114846">
        <w:rPr>
          <w:noProof/>
        </w:rPr>
        <w:pict>
          <v:shape id="obrázek 4" o:spid="_x0000_s1028" type="#_x0000_t75" alt="More bella" style="position:absolute;margin-left:17.85pt;margin-top:6.35pt;width:126.15pt;height:110.45pt;z-index:251660288;visibility:visible">
            <v:imagedata r:id="rId21" o:title="" grayscale="t"/>
          </v:shape>
        </w:pict>
      </w:r>
    </w:p>
    <w:p/>
    <w:p/>
    <w:p/>
    <w:p/>
    <w:p/>
    <w:p>
      <w:pPr>
        <w:ind w:left="360"/>
      </w:pPr>
    </w:p>
    <w:p>
      <w:pPr>
        <w:ind w:left="360"/>
      </w:pPr>
    </w:p>
    <w:p>
      <w:pPr>
        <w:ind w:left="360"/>
      </w:pPr>
    </w:p>
    <w:p>
      <w:pPr>
        <w:ind w:left="360"/>
      </w:pPr>
    </w:p>
    <w:p>
      <w:pPr>
        <w:numPr>
          <w:ilvl w:val="0"/>
          <w:numId w:val="6"/>
        </w:numPr>
      </w:pPr>
      <w:r w:rsidR="00114846">
        <w:t>chlopeň z bovinního perikardu</w:t>
      </w:r>
    </w:p>
    <w:p>
      <w:pPr>
        <w:numPr>
          <w:ilvl w:val="0"/>
          <w:numId w:val="6"/>
        </w:numPr>
      </w:pPr>
      <w:r w:rsidR="00114846">
        <w:t>úprava glutaraldehydem, následovaná detoxifikačním procesem – není nutné promývání před vlastní implantací, antikalcifikační úprava</w:t>
      </w:r>
    </w:p>
    <w:p>
      <w:pPr>
        <w:numPr>
          <w:ilvl w:val="0"/>
          <w:numId w:val="6"/>
        </w:numPr>
      </w:pPr>
      <w:r w:rsidR="00114846">
        <w:t xml:space="preserve">implantační prstenec pokryt vrstvou </w:t>
      </w:r>
      <w:r w:rsidR="00114846">
        <w:rPr>
          <w:i/>
          <w:iCs/>
        </w:rPr>
        <w:t xml:space="preserve">Carbofilm </w:t>
      </w:r>
      <w:r w:rsidR="00114846">
        <w:t>k zlepšení hemodynamiky</w:t>
      </w:r>
    </w:p>
    <w:p/>
    <w:p/>
    <w:p/>
    <w:p/>
    <w:p/>
    <w:p/>
    <w:p/>
    <w:p/>
    <w:p>
      <w:pPr>
        <w:rPr>
          <w:i/>
          <w:iCs/>
        </w:rPr>
      </w:pPr>
      <w:r w:rsidR="00114846">
        <w:t>Typ:</w:t>
      </w:r>
      <w:r w:rsidR="00114846">
        <w:tab/>
      </w:r>
      <w:r w:rsidR="00114846">
        <w:tab/>
      </w:r>
      <w:r w:rsidR="00114846">
        <w:rPr>
          <w:i/>
          <w:iCs/>
        </w:rPr>
        <w:t>Soprano</w:t>
      </w:r>
    </w:p>
    <w:p>
      <w:r w:rsidR="00114846">
        <w:rPr>
          <w:noProof/>
        </w:rPr>
        <w:pict>
          <v:shape id="obrázek 5" o:spid="_x0000_s1029" type="#_x0000_t75" alt="Soprano bella" style="position:absolute;margin-left:27pt;margin-top:13.2pt;width:135pt;height:132.7pt;z-index:251661312;visibility:visible">
            <v:imagedata r:id="rId22" o:title="" grayscale="t"/>
          </v:shape>
        </w:pict>
      </w:r>
    </w:p>
    <w:p/>
    <w:p/>
    <w:p/>
    <w:p/>
    <w:p/>
    <w:p/>
    <w:p/>
    <w:p/>
    <w:p/>
    <w:p/>
    <w:p>
      <w:pPr>
        <w:numPr>
          <w:ilvl w:val="0"/>
          <w:numId w:val="6"/>
        </w:numPr>
      </w:pPr>
      <w:r w:rsidR="00114846">
        <w:t>chlopeň z bovinního perikardu</w:t>
      </w:r>
    </w:p>
    <w:p>
      <w:pPr>
        <w:numPr>
          <w:ilvl w:val="0"/>
          <w:numId w:val="6"/>
        </w:numPr>
      </w:pPr>
      <w:r w:rsidR="00114846">
        <w:t>úprava glutaraldehydem, následovaná detoxifikačním procesem – není nutné promývání před vlastní implantací, antikalcifikační úprava</w:t>
      </w:r>
    </w:p>
    <w:p>
      <w:pPr>
        <w:numPr>
          <w:ilvl w:val="0"/>
          <w:numId w:val="6"/>
        </w:numPr>
      </w:pPr>
      <w:r w:rsidR="00114846">
        <w:t xml:space="preserve">implantační prstenec pokryt vrstvou </w:t>
      </w:r>
      <w:r w:rsidR="00114846">
        <w:rPr>
          <w:i/>
          <w:iCs/>
        </w:rPr>
        <w:t>Carbofilm</w:t>
      </w:r>
      <w:r w:rsidR="00114846">
        <w:t xml:space="preserve"> k zlepšení hemodynamiky</w:t>
      </w:r>
    </w:p>
    <w:p>
      <w:pPr>
        <w:numPr>
          <w:ilvl w:val="0"/>
          <w:numId w:val="6"/>
        </w:numPr>
      </w:pPr>
      <w:r w:rsidR="00114846">
        <w:t>supraanulární implantace</w:t>
      </w:r>
    </w:p>
    <w:p>
      <w:pPr>
        <w:numPr>
          <w:ilvl w:val="0"/>
          <w:numId w:val="6"/>
        </w:numPr>
      </w:pPr>
      <w:r w:rsidR="00114846">
        <w:t>výrobcem udávaná velikost chlopně odpovídá vnitřnímu průměru implantačního prstence (sudé číslování)</w:t>
      </w:r>
    </w:p>
    <w:p/>
    <w:p/>
    <w:p/>
    <w:p/>
    <w:p/>
    <w:p>
      <w:pPr>
        <w:rPr>
          <w:b/>
          <w:bCs/>
        </w:rPr>
      </w:pPr>
      <w:r w:rsidR="00114846">
        <w:t>Výrobce:</w:t>
      </w:r>
      <w:r w:rsidR="00114846">
        <w:tab/>
      </w:r>
      <w:r w:rsidR="00114846">
        <w:rPr>
          <w:b/>
          <w:bCs/>
        </w:rPr>
        <w:t>Medtronic, Minneapolis, U.S.A.</w:t>
      </w:r>
    </w:p>
    <w:p/>
    <w:p>
      <w:r w:rsidR="00114846">
        <w:t xml:space="preserve">Typ: </w:t>
      </w:r>
      <w:r w:rsidR="00114846">
        <w:tab/>
      </w:r>
      <w:r w:rsidR="00114846">
        <w:tab/>
        <w:t>Mosaic</w:t>
      </w:r>
    </w:p>
    <w:p/>
    <w:p>
      <w:r w:rsidR="00114846" w:rsidRPr="00F53091">
        <w:pict>
          <v:shape id="obrázek 10" o:spid="_x0000_i1034" type="#_x0000_t75" alt="medtronic mosaic" style="width:149.25pt;height:190.5pt;visibility:visible">
            <v:imagedata r:id="rId23" o:title="" grayscale="t"/>
          </v:shape>
        </w:pict>
      </w:r>
    </w:p>
    <w:p/>
    <w:p/>
    <w:p/>
    <w:p>
      <w:pPr>
        <w:numPr>
          <w:ilvl w:val="0"/>
          <w:numId w:val="6"/>
        </w:numPr>
      </w:pPr>
      <w:r w:rsidR="00114846">
        <w:t>chlopeň z prasečí aortální chlopně</w:t>
      </w:r>
    </w:p>
    <w:p>
      <w:pPr>
        <w:numPr>
          <w:ilvl w:val="0"/>
          <w:numId w:val="6"/>
        </w:numPr>
      </w:pPr>
      <w:r w:rsidR="00114846">
        <w:t>úprava glutaraldehydem pod nulovým tlakem</w:t>
      </w:r>
    </w:p>
    <w:p>
      <w:pPr>
        <w:numPr>
          <w:ilvl w:val="0"/>
          <w:numId w:val="6"/>
        </w:numPr>
      </w:pPr>
      <w:r w:rsidR="00114846">
        <w:t xml:space="preserve">dekalcifikační proces </w:t>
      </w:r>
      <w:r w:rsidR="00114846">
        <w:rPr>
          <w:i/>
          <w:iCs/>
        </w:rPr>
        <w:t>AOA</w:t>
      </w:r>
      <w:r w:rsidR="00114846">
        <w:t xml:space="preserve"> (kyselina amino-olejová) – neutralizace volných aldehydových skupin </w:t>
      </w:r>
    </w:p>
    <w:p>
      <w:pPr>
        <w:numPr>
          <w:ilvl w:val="0"/>
          <w:numId w:val="6"/>
        </w:numPr>
      </w:pPr>
      <w:r w:rsidR="00114846">
        <w:t>supraanulární implantace</w:t>
      </w:r>
    </w:p>
    <w:p/>
    <w:p/>
    <w:p/>
    <w:p>
      <w:pPr>
        <w:spacing w:line="360" w:lineRule="auto"/>
        <w:ind w:firstLine="360"/>
        <w:jc w:val="both"/>
      </w:pPr>
      <w:r w:rsidR="00114846">
        <w:t xml:space="preserve">Velikost bioprotéz není v současné době  udávána všemi výrobci jednotně. U chlopní s lichým číslováním tato hodnota koresponduje s tzv. TAD (tissue anulus diameter), což je vnější rozměr stentu (kostry) chlopně. Pro operatéra je důležité znát největší zevní velikost implantačního prstence, tzv. ESRD (external sewing ring diameter), která určuje, jak velkou chlopeň lze danému nemocnému implantovat. Pro hodnocení  průtokových parametrů je zase důležité znát vnitřní průměr stentu, tzv. IOD (internal orrifice diameter). Bioprotéza Sorin Soprano, určená k supraanulární implantaci používá číslování sudé, výrobcem udávaná velikost chlopně koresponduje s vnitřním průměrem stentu. </w:t>
      </w:r>
    </w:p>
    <w:p>
      <w:pPr>
        <w:jc w:val="both"/>
      </w:pPr>
    </w:p>
    <w:p/>
    <w:p/>
    <w:p/>
    <w:p/>
    <w:p/>
    <w:p>
      <w:pPr>
        <w:pStyle w:val="Heading1"/>
      </w:pPr>
      <w:r w:rsidR="00114846">
        <w:t>9</w:t>
      </w:r>
      <w:r w:rsidR="00114846">
        <w:tab/>
        <w:t xml:space="preserve"> Materiál a metody</w:t>
      </w:r>
    </w:p>
    <w:p>
      <w:pPr>
        <w:spacing w:line="360" w:lineRule="auto"/>
        <w:rPr>
          <w:b/>
          <w:bCs/>
        </w:rPr>
      </w:pPr>
    </w:p>
    <w:p>
      <w:pPr>
        <w:spacing w:line="360" w:lineRule="auto"/>
        <w:rPr>
          <w:b/>
          <w:bCs/>
        </w:rPr>
      </w:pPr>
      <w:r w:rsidR="00114846">
        <w:rPr>
          <w:b/>
          <w:bCs/>
        </w:rPr>
        <w:t>9.1</w:t>
      </w:r>
      <w:r w:rsidR="00114846">
        <w:rPr>
          <w:b/>
          <w:bCs/>
        </w:rPr>
        <w:tab/>
        <w:t xml:space="preserve"> Soubor nemocných</w:t>
      </w:r>
    </w:p>
    <w:p>
      <w:pPr>
        <w:spacing w:line="360" w:lineRule="auto"/>
        <w:rPr>
          <w:b/>
          <w:bCs/>
        </w:rPr>
      </w:pPr>
    </w:p>
    <w:p>
      <w:pPr>
        <w:spacing w:line="360" w:lineRule="auto"/>
        <w:jc w:val="both"/>
      </w:pPr>
      <w:r w:rsidR="00114846">
        <w:rPr>
          <w:b/>
          <w:bCs/>
        </w:rPr>
        <w:tab/>
      </w:r>
      <w:r w:rsidR="00114846">
        <w:t xml:space="preserve">Soubor nemocných tvoří 165 mužů a 128 žen, průměrný věk v době operace byl 73,5 ± 6 let. Degenerativní etiologii postižení mělo celkem 281 nemocných, porevmaticky postižená chlopeň byla nalezena u 10 nemocných, endokarditida byla diagnostikována u 2 nemocných, v jednom případě se jednalo o pozdní endokarditidu na dříve implantované mechanické protéze. </w:t>
      </w:r>
    </w:p>
    <w:p>
      <w:pPr>
        <w:rPr>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5"/>
        <w:gridCol w:w="4181"/>
      </w:tblGrid>
      <w:tr w:rsidR="00114846" w:rsidTr="00D64181">
        <w:tc>
          <w:tcPr>
            <w:tcW w:w="4606" w:type="dxa"/>
          </w:tcPr>
          <w:p>
            <w:pPr>
              <w:rPr>
                <w:color w:val="000000"/>
              </w:rPr>
            </w:pPr>
            <w:r w:rsidR="00114846">
              <w:rPr>
                <w:color w:val="000000"/>
              </w:rPr>
              <w:t xml:space="preserve">celkový počet </w:t>
            </w:r>
          </w:p>
        </w:tc>
        <w:tc>
          <w:tcPr>
            <w:tcW w:w="4606" w:type="dxa"/>
          </w:tcPr>
          <w:p>
            <w:pPr>
              <w:rPr>
                <w:color w:val="000000"/>
              </w:rPr>
            </w:pPr>
            <w:r w:rsidR="00114846">
              <w:rPr>
                <w:color w:val="000000"/>
              </w:rPr>
              <w:t>293</w:t>
            </w:r>
          </w:p>
        </w:tc>
      </w:tr>
      <w:tr w:rsidR="00114846" w:rsidTr="00D64181">
        <w:tc>
          <w:tcPr>
            <w:tcW w:w="4606" w:type="dxa"/>
          </w:tcPr>
          <w:p>
            <w:pPr>
              <w:rPr>
                <w:color w:val="000000"/>
              </w:rPr>
            </w:pPr>
            <w:r w:rsidR="00114846">
              <w:rPr>
                <w:color w:val="000000"/>
              </w:rPr>
              <w:t>žen</w:t>
            </w:r>
          </w:p>
        </w:tc>
        <w:tc>
          <w:tcPr>
            <w:tcW w:w="4606" w:type="dxa"/>
          </w:tcPr>
          <w:p>
            <w:pPr>
              <w:rPr>
                <w:color w:val="000000"/>
              </w:rPr>
            </w:pPr>
            <w:r w:rsidR="00114846">
              <w:rPr>
                <w:color w:val="000000"/>
              </w:rPr>
              <w:t>128</w:t>
            </w:r>
          </w:p>
        </w:tc>
      </w:tr>
      <w:tr w:rsidR="00114846" w:rsidTr="00D64181">
        <w:tc>
          <w:tcPr>
            <w:tcW w:w="4606" w:type="dxa"/>
          </w:tcPr>
          <w:p>
            <w:pPr>
              <w:rPr>
                <w:color w:val="000000"/>
              </w:rPr>
            </w:pPr>
            <w:r w:rsidR="00114846">
              <w:rPr>
                <w:color w:val="000000"/>
              </w:rPr>
              <w:t>mužů</w:t>
            </w:r>
          </w:p>
        </w:tc>
        <w:tc>
          <w:tcPr>
            <w:tcW w:w="4606" w:type="dxa"/>
          </w:tcPr>
          <w:p>
            <w:pPr>
              <w:rPr>
                <w:color w:val="000000"/>
              </w:rPr>
            </w:pPr>
            <w:r w:rsidR="00114846">
              <w:rPr>
                <w:color w:val="000000"/>
              </w:rPr>
              <w:t>165</w:t>
            </w:r>
          </w:p>
        </w:tc>
      </w:tr>
      <w:tr w:rsidR="00114846" w:rsidTr="00D64181">
        <w:tc>
          <w:tcPr>
            <w:tcW w:w="4606" w:type="dxa"/>
          </w:tcPr>
          <w:p>
            <w:pPr>
              <w:rPr>
                <w:color w:val="000000"/>
              </w:rPr>
            </w:pPr>
            <w:r w:rsidR="00114846">
              <w:rPr>
                <w:color w:val="000000"/>
              </w:rPr>
              <w:t>průměrný věk</w:t>
            </w:r>
          </w:p>
        </w:tc>
        <w:tc>
          <w:tcPr>
            <w:tcW w:w="4606" w:type="dxa"/>
          </w:tcPr>
          <w:p>
            <w:pPr>
              <w:rPr>
                <w:color w:val="000000"/>
              </w:rPr>
            </w:pPr>
            <w:r w:rsidR="00114846">
              <w:rPr>
                <w:color w:val="000000"/>
              </w:rPr>
              <w:t>73,5 ± 6 let</w:t>
            </w:r>
          </w:p>
        </w:tc>
      </w:tr>
      <w:tr w:rsidR="00114846" w:rsidTr="00D64181">
        <w:tc>
          <w:tcPr>
            <w:tcW w:w="4606" w:type="dxa"/>
          </w:tcPr>
          <w:p>
            <w:pPr>
              <w:rPr>
                <w:color w:val="000000"/>
              </w:rPr>
            </w:pPr>
            <w:r w:rsidR="00114846">
              <w:rPr>
                <w:color w:val="000000"/>
              </w:rPr>
              <w:t>průměrná BSA</w:t>
            </w:r>
          </w:p>
        </w:tc>
        <w:tc>
          <w:tcPr>
            <w:tcW w:w="4606" w:type="dxa"/>
          </w:tcPr>
          <w:p>
            <w:pPr>
              <w:rPr>
                <w:color w:val="000000"/>
              </w:rPr>
            </w:pPr>
            <w:r w:rsidR="00114846">
              <w:rPr>
                <w:color w:val="000000"/>
              </w:rPr>
              <w:t>1,85 ± 0,18 m</w:t>
            </w:r>
            <w:r w:rsidR="00114846">
              <w:rPr>
                <w:color w:val="000000"/>
                <w:vertAlign w:val="superscript"/>
              </w:rPr>
              <w:t>2</w:t>
            </w:r>
            <w:r w:rsidR="00114846">
              <w:rPr>
                <w:color w:val="000000"/>
              </w:rPr>
              <w:t xml:space="preserve"> </w:t>
            </w:r>
          </w:p>
        </w:tc>
      </w:tr>
      <w:tr w:rsidR="00114846" w:rsidTr="00D64181">
        <w:tc>
          <w:tcPr>
            <w:tcW w:w="4606" w:type="dxa"/>
          </w:tcPr>
          <w:p>
            <w:pPr>
              <w:rPr>
                <w:color w:val="000000"/>
              </w:rPr>
            </w:pPr>
            <w:r w:rsidR="00114846">
              <w:rPr>
                <w:color w:val="000000"/>
              </w:rPr>
              <w:t>průměrný BMI</w:t>
            </w:r>
          </w:p>
        </w:tc>
        <w:tc>
          <w:tcPr>
            <w:tcW w:w="4606" w:type="dxa"/>
          </w:tcPr>
          <w:p>
            <w:pPr>
              <w:rPr>
                <w:color w:val="000000"/>
              </w:rPr>
            </w:pPr>
            <w:r w:rsidR="00114846">
              <w:rPr>
                <w:color w:val="000000"/>
              </w:rPr>
              <w:t>28,9 ± 17,2</w:t>
            </w:r>
          </w:p>
        </w:tc>
      </w:tr>
      <w:tr w:rsidR="00114846" w:rsidTr="00D64181">
        <w:tc>
          <w:tcPr>
            <w:tcW w:w="4606" w:type="dxa"/>
          </w:tcPr>
          <w:p>
            <w:pPr>
              <w:rPr>
                <w:color w:val="000000"/>
              </w:rPr>
            </w:pPr>
            <w:r w:rsidR="00114846">
              <w:rPr>
                <w:color w:val="000000"/>
              </w:rPr>
              <w:t>průměrná předoperační EF</w:t>
            </w:r>
          </w:p>
        </w:tc>
        <w:tc>
          <w:tcPr>
            <w:tcW w:w="4606" w:type="dxa"/>
          </w:tcPr>
          <w:p>
            <w:pPr>
              <w:rPr>
                <w:color w:val="000000"/>
              </w:rPr>
            </w:pPr>
            <w:r w:rsidR="00114846">
              <w:rPr>
                <w:color w:val="000000"/>
              </w:rPr>
              <w:t>50 ± 12 %</w:t>
            </w:r>
          </w:p>
        </w:tc>
      </w:tr>
      <w:tr w:rsidR="00114846" w:rsidTr="00D64181">
        <w:tc>
          <w:tcPr>
            <w:tcW w:w="4606" w:type="dxa"/>
          </w:tcPr>
          <w:p>
            <w:pPr>
              <w:rPr>
                <w:color w:val="000000"/>
              </w:rPr>
            </w:pPr>
            <w:r w:rsidR="00114846">
              <w:rPr>
                <w:color w:val="000000"/>
              </w:rPr>
              <w:t>průměrná předoperační NYHA</w:t>
            </w:r>
          </w:p>
        </w:tc>
        <w:tc>
          <w:tcPr>
            <w:tcW w:w="4606" w:type="dxa"/>
          </w:tcPr>
          <w:p>
            <w:pPr>
              <w:rPr>
                <w:color w:val="000000"/>
              </w:rPr>
            </w:pPr>
            <w:r w:rsidR="00114846">
              <w:rPr>
                <w:color w:val="000000"/>
              </w:rPr>
              <w:t>2,6</w:t>
            </w:r>
          </w:p>
        </w:tc>
      </w:tr>
      <w:tr w:rsidR="00114846" w:rsidTr="00D64181">
        <w:tc>
          <w:tcPr>
            <w:tcW w:w="4606" w:type="dxa"/>
          </w:tcPr>
          <w:p>
            <w:pPr>
              <w:rPr>
                <w:color w:val="000000"/>
              </w:rPr>
            </w:pPr>
            <w:r w:rsidR="00114846">
              <w:rPr>
                <w:color w:val="000000"/>
              </w:rPr>
              <w:t>průměrná předoperační iEOA</w:t>
            </w:r>
          </w:p>
        </w:tc>
        <w:tc>
          <w:tcPr>
            <w:tcW w:w="4606" w:type="dxa"/>
          </w:tcPr>
          <w:p>
            <w:pPr>
              <w:rPr>
                <w:color w:val="000000"/>
              </w:rPr>
            </w:pPr>
            <w:r w:rsidR="00114846">
              <w:rPr>
                <w:color w:val="000000"/>
              </w:rPr>
              <w:t xml:space="preserve">0,4 ± 0,12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p>
        </w:tc>
      </w:tr>
      <w:tr w:rsidR="00114846" w:rsidTr="00D64181">
        <w:tc>
          <w:tcPr>
            <w:tcW w:w="4606" w:type="dxa"/>
          </w:tcPr>
          <w:p>
            <w:pPr>
              <w:rPr>
                <w:color w:val="000000"/>
              </w:rPr>
            </w:pPr>
            <w:r w:rsidR="00114846">
              <w:rPr>
                <w:color w:val="000000"/>
              </w:rPr>
              <w:t>průměrný střední gradient</w:t>
            </w:r>
          </w:p>
        </w:tc>
        <w:tc>
          <w:tcPr>
            <w:tcW w:w="4606" w:type="dxa"/>
          </w:tcPr>
          <w:p>
            <w:pPr>
              <w:rPr>
                <w:color w:val="000000"/>
              </w:rPr>
            </w:pPr>
            <w:r w:rsidR="00114846">
              <w:rPr>
                <w:color w:val="000000"/>
              </w:rPr>
              <w:t>54,0 ± 18,5 mmHg</w:t>
            </w:r>
          </w:p>
        </w:tc>
      </w:tr>
      <w:tr w:rsidR="00114846" w:rsidTr="00D64181">
        <w:tc>
          <w:tcPr>
            <w:tcW w:w="4606" w:type="dxa"/>
          </w:tcPr>
          <w:p>
            <w:pPr>
              <w:rPr>
                <w:color w:val="000000"/>
              </w:rPr>
            </w:pPr>
            <w:r w:rsidR="00114846">
              <w:rPr>
                <w:color w:val="000000"/>
              </w:rPr>
              <w:t>průměrný vrcholový gradient</w:t>
            </w:r>
          </w:p>
        </w:tc>
        <w:tc>
          <w:tcPr>
            <w:tcW w:w="4606" w:type="dxa"/>
          </w:tcPr>
          <w:p>
            <w:pPr>
              <w:rPr>
                <w:color w:val="000000"/>
              </w:rPr>
            </w:pPr>
            <w:r w:rsidR="00114846">
              <w:rPr>
                <w:color w:val="000000"/>
              </w:rPr>
              <w:t>86,3 ± 27,8 mmHg</w:t>
            </w:r>
          </w:p>
        </w:tc>
      </w:tr>
      <w:tr w:rsidR="00114846" w:rsidTr="00D64181">
        <w:tc>
          <w:tcPr>
            <w:tcW w:w="4606" w:type="dxa"/>
          </w:tcPr>
          <w:p>
            <w:pPr>
              <w:rPr>
                <w:color w:val="000000"/>
              </w:rPr>
            </w:pPr>
            <w:r w:rsidR="00114846">
              <w:rPr>
                <w:color w:val="000000"/>
              </w:rPr>
              <w:t>degenerativní postižení</w:t>
            </w:r>
          </w:p>
        </w:tc>
        <w:tc>
          <w:tcPr>
            <w:tcW w:w="4606" w:type="dxa"/>
          </w:tcPr>
          <w:p>
            <w:pPr>
              <w:rPr>
                <w:color w:val="000000"/>
              </w:rPr>
            </w:pPr>
            <w:r w:rsidR="00114846">
              <w:rPr>
                <w:color w:val="000000"/>
              </w:rPr>
              <w:t>281</w:t>
            </w:r>
          </w:p>
        </w:tc>
      </w:tr>
      <w:tr w:rsidR="00114846" w:rsidTr="00D64181">
        <w:tc>
          <w:tcPr>
            <w:tcW w:w="4606" w:type="dxa"/>
          </w:tcPr>
          <w:p>
            <w:pPr>
              <w:rPr>
                <w:color w:val="000000"/>
              </w:rPr>
            </w:pPr>
            <w:r w:rsidR="00114846">
              <w:rPr>
                <w:color w:val="000000"/>
              </w:rPr>
              <w:t>revmatické onemocnění</w:t>
            </w:r>
          </w:p>
        </w:tc>
        <w:tc>
          <w:tcPr>
            <w:tcW w:w="4606" w:type="dxa"/>
          </w:tcPr>
          <w:p>
            <w:pPr>
              <w:rPr>
                <w:color w:val="000000"/>
              </w:rPr>
            </w:pPr>
            <w:r w:rsidR="00114846">
              <w:rPr>
                <w:color w:val="000000"/>
              </w:rPr>
              <w:t>10</w:t>
            </w:r>
          </w:p>
        </w:tc>
      </w:tr>
      <w:tr w:rsidR="00114846" w:rsidTr="00D64181">
        <w:tc>
          <w:tcPr>
            <w:tcW w:w="4606" w:type="dxa"/>
          </w:tcPr>
          <w:p>
            <w:pPr>
              <w:rPr>
                <w:color w:val="000000"/>
              </w:rPr>
            </w:pPr>
            <w:r w:rsidR="00114846">
              <w:rPr>
                <w:color w:val="000000"/>
              </w:rPr>
              <w:t>infekční endokarditida</w:t>
            </w:r>
          </w:p>
        </w:tc>
        <w:tc>
          <w:tcPr>
            <w:tcW w:w="4606" w:type="dxa"/>
          </w:tcPr>
          <w:p>
            <w:pPr>
              <w:rPr>
                <w:color w:val="000000"/>
              </w:rPr>
            </w:pPr>
            <w:r w:rsidR="00114846">
              <w:rPr>
                <w:color w:val="000000"/>
              </w:rPr>
              <w:t>2</w:t>
            </w:r>
          </w:p>
        </w:tc>
      </w:tr>
    </w:tbl>
    <w:p>
      <w:pPr>
        <w:rPr>
          <w:color w:val="000000"/>
        </w:rPr>
      </w:pPr>
    </w:p>
    <w:p>
      <w:pPr>
        <w:pStyle w:val="Heading2"/>
        <w:rPr>
          <w:b w:val="0"/>
          <w:i/>
        </w:rPr>
      </w:pPr>
      <w:r w:rsidR="00114846" w:rsidRPr="00565CD6">
        <w:rPr>
          <w:b w:val="0"/>
          <w:i/>
        </w:rPr>
        <w:t>Tab</w:t>
      </w:r>
      <w:r w:rsidR="00114846">
        <w:rPr>
          <w:b w:val="0"/>
          <w:i/>
        </w:rPr>
        <w:t>. 2</w:t>
      </w:r>
      <w:r w:rsidR="00114846" w:rsidRPr="00565CD6">
        <w:rPr>
          <w:b w:val="0"/>
          <w:i/>
        </w:rPr>
        <w:t xml:space="preserve">: Charakteristika souboru nemocných </w:t>
      </w:r>
    </w:p>
    <w:p>
      <w:pPr>
        <w:spacing w:line="360" w:lineRule="auto"/>
      </w:pPr>
    </w:p>
    <w:p>
      <w:pPr>
        <w:spacing w:line="360" w:lineRule="auto"/>
      </w:pPr>
    </w:p>
    <w:p>
      <w:pPr>
        <w:spacing w:line="360" w:lineRule="auto"/>
        <w:rPr>
          <w:b/>
          <w:bCs/>
        </w:rPr>
      </w:pPr>
      <w:r w:rsidR="00114846">
        <w:rPr>
          <w:b/>
          <w:bCs/>
        </w:rPr>
        <w:t xml:space="preserve">9.2 </w:t>
      </w:r>
      <w:r w:rsidR="00114846">
        <w:rPr>
          <w:b/>
          <w:bCs/>
        </w:rPr>
        <w:tab/>
        <w:t>Soubor použitých bioprotéz</w:t>
      </w:r>
    </w:p>
    <w:p>
      <w:pPr>
        <w:spacing w:line="360" w:lineRule="auto"/>
        <w:rPr>
          <w:b/>
          <w:bCs/>
        </w:rPr>
      </w:pPr>
    </w:p>
    <w:p>
      <w:pPr>
        <w:spacing w:line="360" w:lineRule="auto"/>
        <w:jc w:val="both"/>
      </w:pPr>
      <w:r w:rsidR="00114846">
        <w:rPr>
          <w:b/>
          <w:bCs/>
        </w:rPr>
        <w:tab/>
      </w:r>
      <w:r w:rsidR="00114846">
        <w:t>Od března 2002 do prosince 2006 bylo na Kardiochirurgické klinice v Olomouci pacientům implantováno celkem 414 umělých aortálních chlopní. Bioprotéz bylo použito celkem 296 (71,5 %), mechanických protéz celkem 118. Do tohoto počtu nejsou zahrnuty případy implantace chlopenního konduitu s mechanickou chlopní (Bentallovy operace), homografty a chlopně bez stentu (stentless). Poměr mechanických a biologických chlopní je dán věkových složením populace nemocných. Obecným faktorem rozhodujícím o použití bioprotézy byl věk nemocného nad 65 let. Přihlédnuto bylo vždy k přidruženým onemocněním a individuálním nárokům. Jednotlivé typy a počet použitých bioprotéz jsou shrnuty v tabulce 3. Nejčastěji byly implantovány chlopně výrobcem udané velikosti 23, 21 a 25.</w:t>
      </w:r>
    </w:p>
    <w:p/>
    <w:p/>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08"/>
        <w:gridCol w:w="4152"/>
      </w:tblGrid>
      <w:tr w:rsidR="00114846" w:rsidTr="00D64181">
        <w:tc>
          <w:tcPr>
            <w:tcW w:w="4606" w:type="dxa"/>
          </w:tcPr>
          <w:p>
            <w:pPr>
              <w:pStyle w:val="Heading2"/>
            </w:pPr>
            <w:r w:rsidR="00114846">
              <w:t>Výrobce, typ chlopně</w:t>
            </w:r>
          </w:p>
        </w:tc>
        <w:tc>
          <w:tcPr>
            <w:tcW w:w="4606" w:type="dxa"/>
          </w:tcPr>
          <w:p>
            <w:pPr>
              <w:rPr>
                <w:i/>
                <w:iCs/>
              </w:rPr>
            </w:pPr>
            <w:r w:rsidR="00114846">
              <w:rPr>
                <w:i/>
                <w:iCs/>
              </w:rPr>
              <w:t>počet</w:t>
            </w:r>
          </w:p>
        </w:tc>
      </w:tr>
      <w:tr w:rsidR="00114846" w:rsidTr="00D64181">
        <w:tc>
          <w:tcPr>
            <w:tcW w:w="4606" w:type="dxa"/>
          </w:tcPr>
          <w:p>
            <w:r w:rsidR="00114846">
              <w:t>Edwards porcine 2650</w:t>
            </w:r>
          </w:p>
        </w:tc>
        <w:tc>
          <w:tcPr>
            <w:tcW w:w="4606" w:type="dxa"/>
          </w:tcPr>
          <w:p>
            <w:r w:rsidR="00114846">
              <w:t>22</w:t>
            </w:r>
          </w:p>
        </w:tc>
      </w:tr>
      <w:tr w:rsidR="00114846" w:rsidTr="00D64181">
        <w:tc>
          <w:tcPr>
            <w:tcW w:w="4606" w:type="dxa"/>
          </w:tcPr>
          <w:p>
            <w:r w:rsidR="00114846">
              <w:t>Edwards perimount 2900</w:t>
            </w:r>
          </w:p>
        </w:tc>
        <w:tc>
          <w:tcPr>
            <w:tcW w:w="4606" w:type="dxa"/>
          </w:tcPr>
          <w:p>
            <w:r w:rsidR="00114846">
              <w:t>48</w:t>
            </w:r>
          </w:p>
        </w:tc>
      </w:tr>
      <w:tr w:rsidR="00114846" w:rsidTr="00D64181">
        <w:tc>
          <w:tcPr>
            <w:tcW w:w="4606" w:type="dxa"/>
          </w:tcPr>
          <w:p>
            <w:r w:rsidR="00114846">
              <w:t>Edwards perimount 3000 (Magna)</w:t>
            </w:r>
          </w:p>
        </w:tc>
        <w:tc>
          <w:tcPr>
            <w:tcW w:w="4606" w:type="dxa"/>
          </w:tcPr>
          <w:p>
            <w:r w:rsidR="00114846">
              <w:t>52</w:t>
            </w:r>
          </w:p>
        </w:tc>
      </w:tr>
      <w:tr w:rsidR="00114846" w:rsidTr="00D64181">
        <w:tc>
          <w:tcPr>
            <w:tcW w:w="4606" w:type="dxa"/>
          </w:tcPr>
          <w:p>
            <w:r w:rsidR="00114846">
              <w:t>SJM Epic</w:t>
            </w:r>
          </w:p>
        </w:tc>
        <w:tc>
          <w:tcPr>
            <w:tcW w:w="4606" w:type="dxa"/>
          </w:tcPr>
          <w:p>
            <w:r w:rsidR="00114846">
              <w:t>26</w:t>
            </w:r>
          </w:p>
        </w:tc>
      </w:tr>
      <w:tr w:rsidR="00114846" w:rsidTr="00D64181">
        <w:tc>
          <w:tcPr>
            <w:tcW w:w="4606" w:type="dxa"/>
          </w:tcPr>
          <w:p>
            <w:r w:rsidR="00114846">
              <w:t>Medtronic Hall Mosaic</w:t>
            </w:r>
          </w:p>
        </w:tc>
        <w:tc>
          <w:tcPr>
            <w:tcW w:w="4606" w:type="dxa"/>
          </w:tcPr>
          <w:p>
            <w:r w:rsidR="00114846">
              <w:t>31</w:t>
            </w:r>
          </w:p>
        </w:tc>
      </w:tr>
      <w:tr w:rsidR="00114846" w:rsidTr="00D64181">
        <w:tc>
          <w:tcPr>
            <w:tcW w:w="4606" w:type="dxa"/>
          </w:tcPr>
          <w:p>
            <w:r w:rsidR="00114846">
              <w:t>Sorin More</w:t>
            </w:r>
          </w:p>
        </w:tc>
        <w:tc>
          <w:tcPr>
            <w:tcW w:w="4606" w:type="dxa"/>
          </w:tcPr>
          <w:p>
            <w:r w:rsidR="00114846">
              <w:t>58</w:t>
            </w:r>
          </w:p>
        </w:tc>
      </w:tr>
      <w:tr w:rsidR="00114846" w:rsidTr="00D64181">
        <w:tc>
          <w:tcPr>
            <w:tcW w:w="4606" w:type="dxa"/>
          </w:tcPr>
          <w:p>
            <w:r w:rsidR="00114846">
              <w:t>Sorin Soprano</w:t>
            </w:r>
          </w:p>
        </w:tc>
        <w:tc>
          <w:tcPr>
            <w:tcW w:w="4606" w:type="dxa"/>
          </w:tcPr>
          <w:p>
            <w:r w:rsidR="00114846">
              <w:t>59</w:t>
            </w:r>
          </w:p>
        </w:tc>
      </w:tr>
      <w:tr w:rsidR="00114846" w:rsidTr="00D64181">
        <w:tc>
          <w:tcPr>
            <w:tcW w:w="4606" w:type="dxa"/>
          </w:tcPr>
          <w:p>
            <w:pPr>
              <w:rPr>
                <w:i/>
              </w:rPr>
            </w:pPr>
            <w:r w:rsidR="00114846">
              <w:rPr>
                <w:i/>
              </w:rPr>
              <w:t>Celkem</w:t>
            </w:r>
          </w:p>
        </w:tc>
        <w:tc>
          <w:tcPr>
            <w:tcW w:w="4606" w:type="dxa"/>
          </w:tcPr>
          <w:p>
            <w:pPr>
              <w:rPr>
                <w:i/>
              </w:rPr>
            </w:pPr>
            <w:r w:rsidR="00114846">
              <w:rPr>
                <w:i/>
              </w:rPr>
              <w:t>296</w:t>
            </w:r>
          </w:p>
        </w:tc>
      </w:tr>
    </w:tbl>
    <w:p>
      <w:r w:rsidR="00114846">
        <w:t xml:space="preserve"> </w:t>
      </w:r>
    </w:p>
    <w:p>
      <w:pPr>
        <w:pStyle w:val="Heading2"/>
        <w:rPr>
          <w:b w:val="0"/>
          <w:i/>
        </w:rPr>
      </w:pPr>
      <w:r w:rsidR="00114846" w:rsidRPr="00565CD6">
        <w:rPr>
          <w:b w:val="0"/>
          <w:i/>
        </w:rPr>
        <w:t>Tab</w:t>
      </w:r>
      <w:r w:rsidR="00114846">
        <w:rPr>
          <w:b w:val="0"/>
          <w:i/>
        </w:rPr>
        <w:t>. 3</w:t>
      </w:r>
      <w:r w:rsidR="00114846" w:rsidRPr="00565CD6">
        <w:rPr>
          <w:b w:val="0"/>
          <w:i/>
        </w:rPr>
        <w:t>: Použité chlopně a jejich počet</w:t>
      </w:r>
    </w:p>
    <w:p>
      <w:pPr>
        <w:spacing w:line="360" w:lineRule="auto"/>
      </w:pPr>
    </w:p>
    <w:p>
      <w:pPr>
        <w:spacing w:line="360" w:lineRule="auto"/>
      </w:pPr>
    </w:p>
    <w:p>
      <w:pPr>
        <w:pStyle w:val="Heading1"/>
      </w:pPr>
      <w:r w:rsidR="00114846">
        <w:t xml:space="preserve">9.3 </w:t>
      </w:r>
      <w:r w:rsidR="00114846">
        <w:tab/>
        <w:t>Operační postup</w:t>
      </w:r>
    </w:p>
    <w:p>
      <w:pPr>
        <w:spacing w:line="360" w:lineRule="auto"/>
        <w:rPr>
          <w:b/>
          <w:bCs/>
        </w:rPr>
      </w:pPr>
    </w:p>
    <w:p>
      <w:pPr>
        <w:spacing w:line="360" w:lineRule="auto"/>
        <w:jc w:val="both"/>
        <w:rPr>
          <w:color w:val="FF0000"/>
        </w:rPr>
      </w:pPr>
      <w:r w:rsidR="00114846">
        <w:rPr>
          <w:b/>
          <w:bCs/>
        </w:rPr>
        <w:tab/>
      </w:r>
      <w:r w:rsidR="00114846">
        <w:t xml:space="preserve">Přístup do hrudníku u všech nemocných byl veden střední sternotomií. Po otevření perikardu byl podán heparin, aortální kanyla zavedena do vzestupné aorty. V případě jednoduchých výkonů bez nutnosti selektivní kanylace byla venózní drenáž vedena dvoustupňovou kanylou přes ouško pravé síně. Vent pro odsávání krve z levé komory byl zaveden přes pravostrannou horní plicní žílu. Po spuštění mimotělního oběhu byla naložena příčná svorka na aortu a kardioplegický roztok podáván jehlou do kořene aorty, v případě větší regurgitace přímo do odstupů koronárních tepen. Příčnou aortotomií byla otevřena aorta a nativní postižená chlopeň vystřižena. Výběr bioprotézy byl ponechán na preferenci operujícího chirurga. Posuvným měřítkem byl před implantací vybrané chlopně změřen vnější a vnitřní průměr implantačního prstence (Obr. 7). Poté byla chlopeň implantována 6-ti pokračujícími polypropylenovými stehy 2-0. V ojedinělých případech těžkých degenerativních nebo endokarditidou způsobených změn v oblasti anulu byly použity jednotlivé stehy s podložkami. Plastika rozšiřující úzký aortální anulus byla provedena pouze u 7 nemocných s velmi stenotickým nativním anulem chlopně, znemožňujícím implantaci nejmenší chlopně. Jednoduchých výkonů (izolovaná náhrada aortální chlopně) bylo provedeno 130, ostatní byly výkony kombinované. Typy operačních výkonů jsou shrnuty v tabulce 4. </w:t>
      </w:r>
    </w:p>
    <w:p>
      <w:pPr>
        <w:spacing w:line="360" w:lineRule="auto"/>
      </w:pPr>
    </w:p>
    <w:p>
      <w:pPr>
        <w:spacing w:line="360" w:lineRule="auto"/>
      </w:pPr>
      <w:r w:rsidR="00114846" w:rsidRPr="00F53091">
        <w:pict>
          <v:shape id="obrázek 11" o:spid="_x0000_i1035" type="#_x0000_t75" alt="obr1" style="width:410.25pt;height:162.75pt;visibility:visible">
            <v:imagedata r:id="rId24" o:title=""/>
          </v:shape>
        </w:pict>
      </w:r>
      <w:r w:rsidR="00114846">
        <w:t xml:space="preserve"> </w:t>
      </w:r>
    </w:p>
    <w:p>
      <w:pPr>
        <w:spacing w:line="360" w:lineRule="auto"/>
        <w:rPr>
          <w:i/>
          <w:iCs/>
          <w:color w:val="FF0000"/>
        </w:rPr>
      </w:pPr>
      <w:r w:rsidR="00114846">
        <w:rPr>
          <w:i/>
          <w:iCs/>
        </w:rPr>
        <w:t>Obr 7: Peroperační měření chlopně</w:t>
      </w:r>
    </w:p>
    <w:p>
      <w:pPr>
        <w:rPr>
          <w:i/>
          <w:color w:val="000000"/>
        </w:rPr>
      </w:pPr>
    </w:p>
    <w:p>
      <w:pPr>
        <w:rPr>
          <w:i/>
          <w:color w:val="000000"/>
        </w:rPr>
      </w:pPr>
    </w:p>
    <w:p>
      <w:pPr>
        <w:rPr>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6"/>
        <w:gridCol w:w="1262"/>
      </w:tblGrid>
      <w:tr w:rsidR="00114846" w:rsidTr="00D64181">
        <w:tc>
          <w:tcPr>
            <w:tcW w:w="4606" w:type="dxa"/>
          </w:tcPr>
          <w:p>
            <w:pPr>
              <w:rPr>
                <w:color w:val="000000"/>
              </w:rPr>
            </w:pPr>
            <w:r w:rsidR="00114846">
              <w:rPr>
                <w:color w:val="000000"/>
              </w:rPr>
              <w:t>izolovaná náhrada aortální chlopně</w:t>
            </w:r>
          </w:p>
        </w:tc>
        <w:tc>
          <w:tcPr>
            <w:tcW w:w="1262" w:type="dxa"/>
          </w:tcPr>
          <w:p>
            <w:pPr>
              <w:rPr>
                <w:color w:val="000000"/>
              </w:rPr>
            </w:pPr>
            <w:r w:rsidR="00114846">
              <w:rPr>
                <w:color w:val="000000"/>
              </w:rPr>
              <w:t>133</w:t>
            </w:r>
          </w:p>
        </w:tc>
      </w:tr>
      <w:tr w:rsidR="00114846" w:rsidTr="00D64181">
        <w:tc>
          <w:tcPr>
            <w:tcW w:w="4606" w:type="dxa"/>
          </w:tcPr>
          <w:p>
            <w:pPr>
              <w:rPr>
                <w:color w:val="000000"/>
              </w:rPr>
            </w:pPr>
            <w:r w:rsidR="00114846">
              <w:rPr>
                <w:color w:val="000000"/>
              </w:rPr>
              <w:t>kombinované výkony</w:t>
            </w:r>
          </w:p>
        </w:tc>
        <w:tc>
          <w:tcPr>
            <w:tcW w:w="1262" w:type="dxa"/>
          </w:tcPr>
          <w:p>
            <w:pPr>
              <w:rPr>
                <w:color w:val="000000"/>
              </w:rPr>
            </w:pPr>
            <w:r w:rsidR="00114846">
              <w:rPr>
                <w:color w:val="000000"/>
              </w:rPr>
              <w:t>163</w:t>
            </w:r>
          </w:p>
        </w:tc>
      </w:tr>
      <w:tr w:rsidR="00114846" w:rsidTr="00D64181">
        <w:tc>
          <w:tcPr>
            <w:tcW w:w="4606" w:type="dxa"/>
          </w:tcPr>
          <w:p>
            <w:pPr>
              <w:rPr>
                <w:color w:val="000000"/>
              </w:rPr>
            </w:pPr>
            <w:r w:rsidR="00114846">
              <w:rPr>
                <w:color w:val="000000"/>
              </w:rPr>
              <w:t>+ revaskularizace</w:t>
            </w:r>
          </w:p>
        </w:tc>
        <w:tc>
          <w:tcPr>
            <w:tcW w:w="1262" w:type="dxa"/>
          </w:tcPr>
          <w:p>
            <w:pPr>
              <w:rPr>
                <w:color w:val="000000"/>
              </w:rPr>
            </w:pPr>
            <w:r w:rsidR="00114846">
              <w:rPr>
                <w:color w:val="000000"/>
              </w:rPr>
              <w:t xml:space="preserve">         112</w:t>
            </w:r>
          </w:p>
        </w:tc>
      </w:tr>
      <w:tr w:rsidR="00114846" w:rsidTr="00D64181">
        <w:tc>
          <w:tcPr>
            <w:tcW w:w="4606" w:type="dxa"/>
          </w:tcPr>
          <w:p>
            <w:pPr>
              <w:rPr>
                <w:color w:val="000000"/>
              </w:rPr>
            </w:pPr>
            <w:r w:rsidR="00114846">
              <w:rPr>
                <w:color w:val="000000"/>
              </w:rPr>
              <w:t>+ plastika mitrální chlopně</w:t>
            </w:r>
          </w:p>
        </w:tc>
        <w:tc>
          <w:tcPr>
            <w:tcW w:w="1262" w:type="dxa"/>
          </w:tcPr>
          <w:p>
            <w:pPr>
              <w:rPr>
                <w:color w:val="000000"/>
              </w:rPr>
            </w:pPr>
            <w:r w:rsidR="00114846">
              <w:rPr>
                <w:color w:val="000000"/>
              </w:rPr>
              <w:t xml:space="preserve">           14</w:t>
            </w:r>
          </w:p>
        </w:tc>
      </w:tr>
      <w:tr w:rsidR="00114846" w:rsidTr="00D64181">
        <w:tc>
          <w:tcPr>
            <w:tcW w:w="4606" w:type="dxa"/>
          </w:tcPr>
          <w:p>
            <w:pPr>
              <w:rPr>
                <w:color w:val="000000"/>
              </w:rPr>
            </w:pPr>
            <w:r w:rsidR="00114846">
              <w:rPr>
                <w:color w:val="000000"/>
              </w:rPr>
              <w:t>+ náhrada mitrální chlopně</w:t>
            </w:r>
          </w:p>
        </w:tc>
        <w:tc>
          <w:tcPr>
            <w:tcW w:w="1262" w:type="dxa"/>
          </w:tcPr>
          <w:p>
            <w:pPr>
              <w:rPr>
                <w:color w:val="000000"/>
              </w:rPr>
            </w:pPr>
            <w:r w:rsidR="00114846">
              <w:rPr>
                <w:color w:val="000000"/>
              </w:rPr>
              <w:t xml:space="preserve">             8</w:t>
            </w:r>
          </w:p>
        </w:tc>
      </w:tr>
      <w:tr w:rsidR="00114846" w:rsidTr="00D64181">
        <w:tc>
          <w:tcPr>
            <w:tcW w:w="4606" w:type="dxa"/>
          </w:tcPr>
          <w:p>
            <w:pPr>
              <w:rPr>
                <w:color w:val="000000"/>
              </w:rPr>
            </w:pPr>
            <w:r w:rsidR="00114846">
              <w:rPr>
                <w:color w:val="000000"/>
              </w:rPr>
              <w:t>+ plastika trikusp. chlopně</w:t>
            </w:r>
          </w:p>
        </w:tc>
        <w:tc>
          <w:tcPr>
            <w:tcW w:w="1262" w:type="dxa"/>
          </w:tcPr>
          <w:p>
            <w:pPr>
              <w:rPr>
                <w:color w:val="000000"/>
              </w:rPr>
            </w:pPr>
            <w:r w:rsidR="00114846">
              <w:rPr>
                <w:color w:val="000000"/>
              </w:rPr>
              <w:t xml:space="preserve">             9</w:t>
            </w:r>
          </w:p>
        </w:tc>
      </w:tr>
      <w:tr w:rsidR="00114846" w:rsidTr="00D64181">
        <w:tc>
          <w:tcPr>
            <w:tcW w:w="4606" w:type="dxa"/>
          </w:tcPr>
          <w:p>
            <w:pPr>
              <w:rPr>
                <w:color w:val="000000"/>
              </w:rPr>
            </w:pPr>
            <w:r w:rsidR="00114846">
              <w:rPr>
                <w:color w:val="000000"/>
              </w:rPr>
              <w:t>+ MAZE</w:t>
            </w:r>
          </w:p>
        </w:tc>
        <w:tc>
          <w:tcPr>
            <w:tcW w:w="1262" w:type="dxa"/>
          </w:tcPr>
          <w:p>
            <w:pPr>
              <w:rPr>
                <w:color w:val="000000"/>
              </w:rPr>
            </w:pPr>
            <w:r w:rsidR="00114846">
              <w:rPr>
                <w:color w:val="000000"/>
              </w:rPr>
              <w:t xml:space="preserve">           30</w:t>
            </w:r>
          </w:p>
        </w:tc>
      </w:tr>
      <w:tr w:rsidR="00114846" w:rsidTr="00D64181">
        <w:tc>
          <w:tcPr>
            <w:tcW w:w="4606" w:type="dxa"/>
          </w:tcPr>
          <w:p>
            <w:pPr>
              <w:rPr>
                <w:color w:val="000000"/>
              </w:rPr>
            </w:pPr>
            <w:r w:rsidR="00114846">
              <w:rPr>
                <w:color w:val="000000"/>
              </w:rPr>
              <w:t>+ suprakoronární plastika asc. aorty</w:t>
            </w:r>
          </w:p>
        </w:tc>
        <w:tc>
          <w:tcPr>
            <w:tcW w:w="1262" w:type="dxa"/>
          </w:tcPr>
          <w:p>
            <w:pPr>
              <w:rPr>
                <w:color w:val="000000"/>
              </w:rPr>
            </w:pPr>
            <w:r w:rsidR="00114846">
              <w:rPr>
                <w:color w:val="000000"/>
              </w:rPr>
              <w:t xml:space="preserve">            6</w:t>
            </w:r>
          </w:p>
        </w:tc>
      </w:tr>
      <w:tr w:rsidR="00114846" w:rsidTr="00D64181">
        <w:tc>
          <w:tcPr>
            <w:tcW w:w="4606" w:type="dxa"/>
          </w:tcPr>
          <w:p>
            <w:pPr>
              <w:rPr>
                <w:color w:val="000000"/>
              </w:rPr>
            </w:pPr>
            <w:r w:rsidR="00114846">
              <w:rPr>
                <w:color w:val="000000"/>
              </w:rPr>
              <w:t>+ plastika anulu</w:t>
            </w:r>
          </w:p>
        </w:tc>
        <w:tc>
          <w:tcPr>
            <w:tcW w:w="1262" w:type="dxa"/>
          </w:tcPr>
          <w:p>
            <w:pPr>
              <w:rPr>
                <w:color w:val="000000"/>
              </w:rPr>
            </w:pPr>
            <w:r w:rsidR="00114846">
              <w:rPr>
                <w:color w:val="000000"/>
              </w:rPr>
              <w:t xml:space="preserve">            7</w:t>
            </w:r>
          </w:p>
        </w:tc>
      </w:tr>
      <w:tr w:rsidR="00114846" w:rsidTr="00D64181">
        <w:tc>
          <w:tcPr>
            <w:tcW w:w="4606" w:type="dxa"/>
          </w:tcPr>
          <w:p>
            <w:pPr>
              <w:rPr>
                <w:color w:val="000000"/>
              </w:rPr>
            </w:pPr>
            <w:r w:rsidR="00114846">
              <w:rPr>
                <w:color w:val="000000"/>
              </w:rPr>
              <w:t>reoperace v rámci hospitalizace</w:t>
            </w:r>
          </w:p>
        </w:tc>
        <w:tc>
          <w:tcPr>
            <w:tcW w:w="1262" w:type="dxa"/>
          </w:tcPr>
          <w:p>
            <w:pPr>
              <w:rPr>
                <w:color w:val="000000"/>
              </w:rPr>
            </w:pPr>
            <w:r w:rsidR="00114846">
              <w:rPr>
                <w:color w:val="000000"/>
              </w:rPr>
              <w:t xml:space="preserve">            3</w:t>
            </w:r>
          </w:p>
        </w:tc>
      </w:tr>
    </w:tbl>
    <w:p>
      <w:pPr>
        <w:spacing w:line="360" w:lineRule="auto"/>
        <w:rPr>
          <w:i/>
          <w:iCs/>
        </w:rPr>
      </w:pPr>
    </w:p>
    <w:p>
      <w:pPr>
        <w:spacing w:line="360" w:lineRule="auto"/>
        <w:rPr>
          <w:i/>
          <w:iCs/>
        </w:rPr>
      </w:pPr>
      <w:r w:rsidR="00114846">
        <w:rPr>
          <w:i/>
          <w:iCs/>
        </w:rPr>
        <w:t>Tab.  4: Typy operačních výkonů</w:t>
      </w:r>
    </w:p>
    <w:p>
      <w:pPr>
        <w:spacing w:line="360" w:lineRule="auto"/>
        <w:rPr>
          <w:i/>
          <w:iCs/>
          <w:color w:val="FF0000"/>
        </w:rPr>
      </w:pPr>
    </w:p>
    <w:p>
      <w:pPr>
        <w:spacing w:line="360" w:lineRule="auto"/>
        <w:rPr>
          <w:i/>
          <w:iCs/>
          <w:color w:val="FF0000"/>
        </w:rPr>
      </w:pPr>
    </w:p>
    <w:p>
      <w:pPr>
        <w:pStyle w:val="Heading1"/>
      </w:pPr>
      <w:r w:rsidR="00114846">
        <w:t>9.4</w:t>
      </w:r>
      <w:r w:rsidR="00114846">
        <w:tab/>
        <w:t xml:space="preserve"> Hodnocení hemodynamických parametrů</w:t>
      </w:r>
    </w:p>
    <w:p>
      <w:pPr>
        <w:spacing w:line="360" w:lineRule="auto"/>
        <w:jc w:val="both"/>
        <w:rPr>
          <w:b/>
          <w:bCs/>
        </w:rPr>
      </w:pPr>
    </w:p>
    <w:p>
      <w:pPr>
        <w:spacing w:line="360" w:lineRule="auto"/>
        <w:jc w:val="both"/>
      </w:pPr>
      <w:r w:rsidR="00114846">
        <w:rPr>
          <w:b/>
          <w:bCs/>
        </w:rPr>
        <w:tab/>
      </w:r>
      <w:r w:rsidR="00114846">
        <w:t xml:space="preserve">Při přijetí byli všichni nemocní echokardiograficky vyšetřeni, byla změřena šíře nativního anulu aortální chlopně, změřeny gradienty a dle rovnice kontinuity spočítána efektivní plocha ústí. Pro zhodnocení hypertrofie svaloviny byla změřena tloušťka septa a zadní stěny levé komory srdeční. </w:t>
      </w:r>
    </w:p>
    <w:p>
      <w:pPr>
        <w:spacing w:line="360" w:lineRule="auto"/>
        <w:jc w:val="both"/>
      </w:pPr>
      <w:r w:rsidR="00114846">
        <w:tab/>
        <w:t xml:space="preserve">Před propuštěním bylo provedeno kontrolní echokardiografické vyšetření ke kontrole správné funkce chlopně, vyhodnoceny byly gradienty na implantované chlopni a efektivní plocha ústí chlopně. Další ambulantní kontroly byly provedeny za 3 měsíce, půl roku, rok a dva roky po operaci. Kromě funkce chlopně byla měřena tloušťka septa a zadní stěny levé komory pro posouzení regrese hypertrofie svaloviny. </w:t>
      </w:r>
    </w:p>
    <w:p>
      <w:pPr>
        <w:spacing w:line="360" w:lineRule="auto"/>
        <w:rPr>
          <w:b/>
          <w:bCs/>
        </w:rPr>
      </w:pPr>
    </w:p>
    <w:p>
      <w:pPr>
        <w:spacing w:line="360" w:lineRule="auto"/>
        <w:rPr>
          <w:b/>
          <w:bCs/>
        </w:rPr>
      </w:pPr>
      <w:r w:rsidR="00114846">
        <w:rPr>
          <w:b/>
          <w:bCs/>
        </w:rPr>
        <w:t>9.5</w:t>
      </w:r>
      <w:r w:rsidR="00114846">
        <w:rPr>
          <w:b/>
          <w:bCs/>
        </w:rPr>
        <w:tab/>
        <w:t>Statistické metody</w:t>
      </w:r>
    </w:p>
    <w:p>
      <w:pPr>
        <w:autoSpaceDE w:val="0"/>
        <w:autoSpaceDN w:val="0"/>
        <w:adjustRightInd w:val="0"/>
        <w:rPr>
          <w:rFonts w:ascii="Arial" w:hAnsi="Arial" w:cs="Arial"/>
          <w:bCs/>
          <w:color w:val="000000"/>
        </w:rPr>
      </w:pPr>
    </w:p>
    <w:p>
      <w:pPr>
        <w:autoSpaceDE w:val="0"/>
        <w:autoSpaceDN w:val="0"/>
        <w:adjustRightInd w:val="0"/>
        <w:spacing w:line="276" w:lineRule="auto"/>
        <w:jc w:val="both"/>
        <w:rPr>
          <w:bCs/>
          <w:color w:val="000000"/>
        </w:rPr>
      </w:pPr>
      <w:r w:rsidR="00114846">
        <w:rPr>
          <w:rFonts w:ascii="Arial" w:hAnsi="Arial" w:cs="Arial"/>
          <w:bCs/>
          <w:color w:val="000000"/>
        </w:rPr>
        <w:tab/>
      </w:r>
      <w:r w:rsidR="00114846">
        <w:rPr>
          <w:bCs/>
          <w:color w:val="000000"/>
        </w:rPr>
        <w:t xml:space="preserve">Naměřená data ze souboru nemocných byla zpracována statistickým softwarem SPSS (Statistical Package for the Social Science). </w:t>
      </w:r>
    </w:p>
    <w:p>
      <w:pPr>
        <w:autoSpaceDE w:val="0"/>
        <w:autoSpaceDN w:val="0"/>
        <w:adjustRightInd w:val="0"/>
        <w:spacing w:line="360" w:lineRule="auto"/>
        <w:jc w:val="both"/>
        <w:rPr>
          <w:bCs/>
          <w:color w:val="000000"/>
        </w:rPr>
      </w:pPr>
      <w:r w:rsidR="00114846">
        <w:rPr>
          <w:rFonts w:ascii="Arial" w:hAnsi="Arial" w:cs="Arial"/>
          <w:bCs/>
          <w:color w:val="000000"/>
        </w:rPr>
        <w:tab/>
      </w:r>
      <w:r w:rsidR="00114846">
        <w:rPr>
          <w:bCs/>
          <w:color w:val="000000"/>
        </w:rPr>
        <w:t xml:space="preserve">Pro posouzení gradientů před operací a v jednotlivých obdobích po operaci byla použita analýza rozptylu (ANOVA). Vzhledem k přítomnosti extrémních hodnot byly výsledky ověřeny neparametrickým testem Mann-Whitney (U-test, Wilcoxon test). </w:t>
      </w:r>
    </w:p>
    <w:p>
      <w:pPr>
        <w:autoSpaceDE w:val="0"/>
        <w:autoSpaceDN w:val="0"/>
        <w:adjustRightInd w:val="0"/>
        <w:spacing w:line="360" w:lineRule="auto"/>
        <w:jc w:val="both"/>
        <w:rPr>
          <w:bCs/>
          <w:color w:val="000000"/>
        </w:rPr>
      </w:pPr>
      <w:r w:rsidR="00114846">
        <w:rPr>
          <w:bCs/>
          <w:color w:val="000000"/>
        </w:rPr>
        <w:tab/>
        <w:t>Pro posouzení regrese svaloviny – zhodnocení signifikance rozdílu v diastolické tloušťce svaloviny zadní stěny a septa levé komory před operací a po operaci byl taktéž použit neparametrický test Mann-Whitney. Hladina statistické signifikance byla stanovena na 0,05.</w:t>
      </w:r>
    </w:p>
    <w:p>
      <w:pPr>
        <w:tabs>
          <w:tab w:val="left" w:pos="708"/>
          <w:tab w:val="left" w:pos="1416"/>
          <w:tab w:val="left" w:pos="2124"/>
          <w:tab w:val="left" w:pos="3105"/>
        </w:tabs>
        <w:autoSpaceDE w:val="0"/>
        <w:autoSpaceDN w:val="0"/>
        <w:adjustRightInd w:val="0"/>
        <w:spacing w:line="360" w:lineRule="auto"/>
        <w:jc w:val="both"/>
        <w:rPr>
          <w:bCs/>
          <w:color w:val="000000"/>
        </w:rPr>
      </w:pPr>
      <w:r w:rsidR="00114846">
        <w:rPr>
          <w:bCs/>
          <w:color w:val="000000"/>
        </w:rPr>
        <w:tab/>
      </w:r>
    </w:p>
    <w:p>
      <w:pPr>
        <w:tabs>
          <w:tab w:val="left" w:pos="708"/>
          <w:tab w:val="left" w:pos="1416"/>
          <w:tab w:val="left" w:pos="2124"/>
          <w:tab w:val="left" w:pos="3105"/>
        </w:tabs>
        <w:autoSpaceDE w:val="0"/>
        <w:autoSpaceDN w:val="0"/>
        <w:adjustRightInd w:val="0"/>
        <w:spacing w:line="360" w:lineRule="auto"/>
        <w:rPr>
          <w:bCs/>
          <w:color w:val="000000"/>
        </w:rPr>
      </w:pPr>
    </w:p>
    <w:p>
      <w:pPr>
        <w:tabs>
          <w:tab w:val="left" w:pos="708"/>
          <w:tab w:val="left" w:pos="1416"/>
          <w:tab w:val="left" w:pos="2124"/>
          <w:tab w:val="left" w:pos="3105"/>
        </w:tabs>
        <w:autoSpaceDE w:val="0"/>
        <w:autoSpaceDN w:val="0"/>
        <w:adjustRightInd w:val="0"/>
        <w:spacing w:line="360" w:lineRule="auto"/>
        <w:rPr>
          <w:bCs/>
          <w:color w:val="000000"/>
        </w:rPr>
      </w:pPr>
    </w:p>
    <w:p>
      <w:pPr>
        <w:autoSpaceDE w:val="0"/>
        <w:autoSpaceDN w:val="0"/>
        <w:adjustRightInd w:val="0"/>
        <w:spacing w:line="360" w:lineRule="auto"/>
        <w:rPr>
          <w:bCs/>
          <w:color w:val="000000"/>
        </w:rPr>
      </w:pPr>
    </w:p>
    <w:p>
      <w:pPr>
        <w:autoSpaceDE w:val="0"/>
        <w:autoSpaceDN w:val="0"/>
        <w:adjustRightInd w:val="0"/>
        <w:spacing w:line="360" w:lineRule="auto"/>
        <w:rPr>
          <w:bCs/>
          <w:color w:val="000000"/>
        </w:rPr>
      </w:pPr>
    </w:p>
    <w:p>
      <w:pPr>
        <w:autoSpaceDE w:val="0"/>
        <w:autoSpaceDN w:val="0"/>
        <w:adjustRightInd w:val="0"/>
        <w:rPr>
          <w:rFonts w:ascii="Arial" w:hAnsi="Arial" w:cs="Arial"/>
          <w:bCs/>
          <w:color w:val="000000"/>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r w:rsidR="00114846">
        <w:rPr>
          <w:b/>
          <w:bCs/>
        </w:rPr>
        <w:t>10</w:t>
      </w:r>
      <w:r w:rsidR="00114846">
        <w:rPr>
          <w:b/>
          <w:bCs/>
        </w:rPr>
        <w:tab/>
        <w:t xml:space="preserve"> Výsledky</w:t>
      </w:r>
    </w:p>
    <w:p>
      <w:pPr>
        <w:spacing w:line="360" w:lineRule="auto"/>
        <w:rPr>
          <w:b/>
          <w:bCs/>
        </w:rPr>
      </w:pPr>
    </w:p>
    <w:p>
      <w:pPr>
        <w:spacing w:line="360" w:lineRule="auto"/>
        <w:rPr>
          <w:b/>
          <w:bCs/>
        </w:rPr>
      </w:pPr>
      <w:r w:rsidR="00114846">
        <w:rPr>
          <w:b/>
          <w:bCs/>
        </w:rPr>
        <w:t>10.1</w:t>
      </w:r>
      <w:r w:rsidR="00114846">
        <w:rPr>
          <w:b/>
          <w:bCs/>
        </w:rPr>
        <w:tab/>
        <w:t xml:space="preserve"> Porovnání vnitřního a vnějšího průměru implantačního prstence chlopně</w:t>
      </w:r>
    </w:p>
    <w:p>
      <w:pPr>
        <w:spacing w:line="360" w:lineRule="auto"/>
        <w:rPr>
          <w:b/>
          <w:bCs/>
        </w:rPr>
      </w:pPr>
      <w:r w:rsidR="00114846">
        <w:rPr>
          <w:b/>
          <w:bCs/>
        </w:rPr>
        <w:tab/>
      </w:r>
    </w:p>
    <w:p>
      <w:pPr>
        <w:spacing w:line="360" w:lineRule="auto"/>
        <w:ind w:firstLine="708"/>
        <w:rPr>
          <w:color w:val="FF0000"/>
        </w:rPr>
      </w:pPr>
      <w:r w:rsidR="00114846">
        <w:t>U bioprotéz byl před implantací posuvným měřítkem změřen průměr vnitřního a vnějšího implantačního prstence. U chlopní stejné velikosti a výrobce byly tyto hodnoty zprůměrovány a jsou shrnuty v tabulce 5.</w:t>
      </w:r>
    </w:p>
    <w:p>
      <w:pPr>
        <w:spacing w:line="360" w:lineRule="auto"/>
        <w:rPr>
          <w:color w:val="FF0000"/>
        </w:rPr>
      </w:pPr>
    </w:p>
    <w:p>
      <w:pPr>
        <w:rPr>
          <w:i/>
          <w:color w:val="00000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2"/>
        <w:gridCol w:w="671"/>
        <w:gridCol w:w="709"/>
        <w:gridCol w:w="708"/>
        <w:gridCol w:w="851"/>
        <w:gridCol w:w="992"/>
        <w:gridCol w:w="851"/>
        <w:gridCol w:w="992"/>
        <w:gridCol w:w="567"/>
        <w:gridCol w:w="709"/>
      </w:tblGrid>
      <w:tr w:rsidR="00114846" w:rsidTr="008746CF">
        <w:trPr>
          <w:trHeight w:val="281"/>
        </w:trPr>
        <w:tc>
          <w:tcPr>
            <w:tcW w:w="1422" w:type="dxa"/>
          </w:tcPr>
          <w:p>
            <w:pPr>
              <w:rPr>
                <w:i/>
                <w:iCs/>
                <w:color w:val="000000"/>
              </w:rPr>
            </w:pPr>
            <w:r w:rsidR="00114846">
              <w:rPr>
                <w:color w:val="000000"/>
              </w:rPr>
              <w:t xml:space="preserve">   </w:t>
            </w:r>
            <w:r w:rsidR="00114846">
              <w:rPr>
                <w:i/>
                <w:iCs/>
                <w:color w:val="000000"/>
              </w:rPr>
              <w:t>velikost/</w:t>
            </w:r>
          </w:p>
          <w:p>
            <w:pPr>
              <w:rPr>
                <w:color w:val="000000"/>
              </w:rPr>
            </w:pPr>
            <w:r w:rsidR="00114846">
              <w:rPr>
                <w:i/>
                <w:iCs/>
                <w:color w:val="000000"/>
              </w:rPr>
              <w:t xml:space="preserve">   výrobce-typ</w:t>
            </w:r>
          </w:p>
        </w:tc>
        <w:tc>
          <w:tcPr>
            <w:tcW w:w="671" w:type="dxa"/>
          </w:tcPr>
          <w:p>
            <w:pPr>
              <w:rPr>
                <w:i/>
                <w:iCs/>
                <w:color w:val="000000"/>
              </w:rPr>
            </w:pPr>
            <w:r w:rsidR="00114846">
              <w:rPr>
                <w:i/>
                <w:iCs/>
                <w:color w:val="000000"/>
              </w:rPr>
              <w:t>19</w:t>
            </w:r>
          </w:p>
        </w:tc>
        <w:tc>
          <w:tcPr>
            <w:tcW w:w="709" w:type="dxa"/>
          </w:tcPr>
          <w:p>
            <w:pPr>
              <w:rPr>
                <w:i/>
                <w:iCs/>
                <w:color w:val="000000"/>
              </w:rPr>
            </w:pPr>
            <w:r w:rsidR="00114846">
              <w:rPr>
                <w:i/>
                <w:iCs/>
                <w:color w:val="000000"/>
              </w:rPr>
              <w:t>20</w:t>
            </w:r>
          </w:p>
        </w:tc>
        <w:tc>
          <w:tcPr>
            <w:tcW w:w="708" w:type="dxa"/>
          </w:tcPr>
          <w:p>
            <w:pPr>
              <w:rPr>
                <w:i/>
                <w:iCs/>
                <w:color w:val="000000"/>
              </w:rPr>
            </w:pPr>
            <w:r w:rsidR="00114846">
              <w:rPr>
                <w:i/>
                <w:iCs/>
                <w:color w:val="000000"/>
              </w:rPr>
              <w:t>21</w:t>
            </w:r>
          </w:p>
        </w:tc>
        <w:tc>
          <w:tcPr>
            <w:tcW w:w="851" w:type="dxa"/>
          </w:tcPr>
          <w:p>
            <w:pPr>
              <w:rPr>
                <w:i/>
                <w:iCs/>
                <w:color w:val="000000"/>
              </w:rPr>
            </w:pPr>
            <w:r w:rsidR="00114846">
              <w:rPr>
                <w:i/>
                <w:iCs/>
                <w:color w:val="000000"/>
              </w:rPr>
              <w:t>22</w:t>
            </w:r>
          </w:p>
        </w:tc>
        <w:tc>
          <w:tcPr>
            <w:tcW w:w="992" w:type="dxa"/>
          </w:tcPr>
          <w:p>
            <w:pPr>
              <w:rPr>
                <w:i/>
                <w:iCs/>
                <w:color w:val="000000"/>
              </w:rPr>
            </w:pPr>
            <w:r w:rsidR="00114846">
              <w:rPr>
                <w:i/>
                <w:iCs/>
                <w:color w:val="000000"/>
              </w:rPr>
              <w:t>23</w:t>
            </w:r>
          </w:p>
        </w:tc>
        <w:tc>
          <w:tcPr>
            <w:tcW w:w="851" w:type="dxa"/>
          </w:tcPr>
          <w:p>
            <w:pPr>
              <w:rPr>
                <w:i/>
                <w:iCs/>
                <w:color w:val="000000"/>
              </w:rPr>
            </w:pPr>
            <w:r w:rsidR="00114846">
              <w:rPr>
                <w:i/>
                <w:iCs/>
                <w:color w:val="000000"/>
              </w:rPr>
              <w:t>24</w:t>
            </w:r>
          </w:p>
        </w:tc>
        <w:tc>
          <w:tcPr>
            <w:tcW w:w="992" w:type="dxa"/>
          </w:tcPr>
          <w:p>
            <w:pPr>
              <w:rPr>
                <w:i/>
                <w:iCs/>
                <w:color w:val="000000"/>
              </w:rPr>
            </w:pPr>
            <w:r w:rsidR="00114846">
              <w:rPr>
                <w:i/>
                <w:iCs/>
                <w:color w:val="000000"/>
              </w:rPr>
              <w:t>25</w:t>
            </w:r>
          </w:p>
        </w:tc>
        <w:tc>
          <w:tcPr>
            <w:tcW w:w="567" w:type="dxa"/>
          </w:tcPr>
          <w:p>
            <w:pPr>
              <w:rPr>
                <w:i/>
                <w:iCs/>
                <w:color w:val="000000"/>
              </w:rPr>
            </w:pPr>
            <w:r w:rsidR="00114846">
              <w:rPr>
                <w:i/>
                <w:iCs/>
                <w:color w:val="000000"/>
              </w:rPr>
              <w:t>26</w:t>
            </w:r>
          </w:p>
        </w:tc>
        <w:tc>
          <w:tcPr>
            <w:tcW w:w="709" w:type="dxa"/>
          </w:tcPr>
          <w:p>
            <w:pPr>
              <w:rPr>
                <w:i/>
                <w:iCs/>
                <w:color w:val="000000"/>
              </w:rPr>
            </w:pPr>
            <w:r w:rsidR="00114846">
              <w:rPr>
                <w:i/>
                <w:iCs/>
                <w:color w:val="000000"/>
              </w:rPr>
              <w:t>27</w:t>
            </w:r>
          </w:p>
        </w:tc>
      </w:tr>
      <w:tr w:rsidR="00114846" w:rsidTr="008746CF">
        <w:trPr>
          <w:trHeight w:val="281"/>
        </w:trPr>
        <w:tc>
          <w:tcPr>
            <w:tcW w:w="1422" w:type="dxa"/>
          </w:tcPr>
          <w:p>
            <w:pPr>
              <w:pStyle w:val="Heading1"/>
              <w:rPr>
                <w:b w:val="0"/>
              </w:rPr>
            </w:pPr>
            <w:r w:rsidR="00114846" w:rsidRPr="00C44A8F">
              <w:rPr>
                <w:b w:val="0"/>
              </w:rPr>
              <w:t>Edw 2650</w:t>
            </w:r>
          </w:p>
        </w:tc>
        <w:tc>
          <w:tcPr>
            <w:tcW w:w="671" w:type="dxa"/>
          </w:tcPr>
          <w:p>
            <w:pPr>
              <w:rPr>
                <w:color w:val="000000"/>
              </w:rPr>
            </w:pPr>
          </w:p>
        </w:tc>
        <w:tc>
          <w:tcPr>
            <w:tcW w:w="709" w:type="dxa"/>
          </w:tcPr>
          <w:p>
            <w:pPr>
              <w:rPr>
                <w:color w:val="000000"/>
              </w:rPr>
            </w:pPr>
          </w:p>
        </w:tc>
        <w:tc>
          <w:tcPr>
            <w:tcW w:w="708" w:type="dxa"/>
          </w:tcPr>
          <w:p>
            <w:pPr>
              <w:rPr>
                <w:color w:val="000000"/>
                <w:sz w:val="20"/>
                <w:szCs w:val="20"/>
              </w:rPr>
            </w:pPr>
            <w:r w:rsidR="00114846">
              <w:rPr>
                <w:color w:val="000000"/>
                <w:sz w:val="20"/>
                <w:szCs w:val="20"/>
              </w:rPr>
              <w:t>21/28</w:t>
            </w:r>
          </w:p>
        </w:tc>
        <w:tc>
          <w:tcPr>
            <w:tcW w:w="851" w:type="dxa"/>
          </w:tcPr>
          <w:p>
            <w:pPr>
              <w:rPr>
                <w:color w:val="000000"/>
              </w:rPr>
            </w:pPr>
          </w:p>
        </w:tc>
        <w:tc>
          <w:tcPr>
            <w:tcW w:w="992" w:type="dxa"/>
          </w:tcPr>
          <w:p>
            <w:pPr>
              <w:rPr>
                <w:color w:val="000000"/>
              </w:rPr>
            </w:pPr>
          </w:p>
        </w:tc>
        <w:tc>
          <w:tcPr>
            <w:tcW w:w="851" w:type="dxa"/>
          </w:tcPr>
          <w:p>
            <w:pPr>
              <w:rPr>
                <w:color w:val="000000"/>
              </w:rPr>
            </w:pPr>
          </w:p>
        </w:tc>
        <w:tc>
          <w:tcPr>
            <w:tcW w:w="992" w:type="dxa"/>
          </w:tcPr>
          <w:p>
            <w:pPr>
              <w:rPr>
                <w:color w:val="000000"/>
                <w:sz w:val="20"/>
                <w:szCs w:val="20"/>
              </w:rPr>
            </w:pPr>
            <w:r w:rsidR="00114846">
              <w:rPr>
                <w:color w:val="000000"/>
                <w:sz w:val="20"/>
                <w:szCs w:val="20"/>
              </w:rPr>
              <w:t>23/34</w:t>
            </w:r>
          </w:p>
        </w:tc>
        <w:tc>
          <w:tcPr>
            <w:tcW w:w="567" w:type="dxa"/>
          </w:tcPr>
          <w:p>
            <w:pPr>
              <w:rPr>
                <w:color w:val="000000"/>
              </w:rPr>
            </w:pPr>
          </w:p>
        </w:tc>
        <w:tc>
          <w:tcPr>
            <w:tcW w:w="709" w:type="dxa"/>
          </w:tcPr>
          <w:p>
            <w:pPr>
              <w:rPr>
                <w:color w:val="000000"/>
              </w:rPr>
            </w:pPr>
          </w:p>
        </w:tc>
      </w:tr>
      <w:tr w:rsidR="00114846" w:rsidTr="008746CF">
        <w:trPr>
          <w:trHeight w:val="281"/>
        </w:trPr>
        <w:tc>
          <w:tcPr>
            <w:tcW w:w="1422" w:type="dxa"/>
          </w:tcPr>
          <w:p>
            <w:pPr>
              <w:rPr>
                <w:i/>
                <w:iCs/>
                <w:color w:val="000000"/>
              </w:rPr>
            </w:pPr>
            <w:r w:rsidR="00114846">
              <w:rPr>
                <w:i/>
                <w:iCs/>
                <w:color w:val="000000"/>
              </w:rPr>
              <w:t>Edw 2900</w:t>
            </w:r>
          </w:p>
        </w:tc>
        <w:tc>
          <w:tcPr>
            <w:tcW w:w="671" w:type="dxa"/>
          </w:tcPr>
          <w:p>
            <w:pPr>
              <w:rPr>
                <w:color w:val="000000"/>
              </w:rPr>
            </w:pPr>
          </w:p>
        </w:tc>
        <w:tc>
          <w:tcPr>
            <w:tcW w:w="709" w:type="dxa"/>
          </w:tcPr>
          <w:p>
            <w:pPr>
              <w:rPr>
                <w:color w:val="000000"/>
              </w:rPr>
            </w:pPr>
          </w:p>
        </w:tc>
        <w:tc>
          <w:tcPr>
            <w:tcW w:w="708" w:type="dxa"/>
          </w:tcPr>
          <w:p>
            <w:pPr>
              <w:rPr>
                <w:color w:val="000000"/>
              </w:rPr>
            </w:pPr>
          </w:p>
        </w:tc>
        <w:tc>
          <w:tcPr>
            <w:tcW w:w="851" w:type="dxa"/>
          </w:tcPr>
          <w:p>
            <w:pPr>
              <w:rPr>
                <w:color w:val="000000"/>
              </w:rPr>
            </w:pPr>
          </w:p>
        </w:tc>
        <w:tc>
          <w:tcPr>
            <w:tcW w:w="992" w:type="dxa"/>
          </w:tcPr>
          <w:p>
            <w:pPr>
              <w:rPr>
                <w:color w:val="000000"/>
                <w:sz w:val="20"/>
                <w:szCs w:val="20"/>
              </w:rPr>
            </w:pPr>
            <w:r w:rsidR="00114846">
              <w:rPr>
                <w:color w:val="000000"/>
                <w:sz w:val="20"/>
                <w:szCs w:val="20"/>
              </w:rPr>
              <w:t>22,1/30,1</w:t>
            </w:r>
          </w:p>
        </w:tc>
        <w:tc>
          <w:tcPr>
            <w:tcW w:w="851" w:type="dxa"/>
          </w:tcPr>
          <w:p>
            <w:pPr>
              <w:rPr>
                <w:color w:val="000000"/>
              </w:rPr>
            </w:pPr>
          </w:p>
        </w:tc>
        <w:tc>
          <w:tcPr>
            <w:tcW w:w="992" w:type="dxa"/>
          </w:tcPr>
          <w:p>
            <w:pPr>
              <w:rPr>
                <w:color w:val="000000"/>
                <w:sz w:val="20"/>
                <w:szCs w:val="20"/>
              </w:rPr>
            </w:pPr>
            <w:r w:rsidR="00114846">
              <w:rPr>
                <w:color w:val="000000"/>
                <w:sz w:val="20"/>
                <w:szCs w:val="20"/>
              </w:rPr>
              <w:t>24,3/32</w:t>
            </w:r>
          </w:p>
        </w:tc>
        <w:tc>
          <w:tcPr>
            <w:tcW w:w="567" w:type="dxa"/>
          </w:tcPr>
          <w:p>
            <w:pPr>
              <w:rPr>
                <w:color w:val="000000"/>
              </w:rPr>
            </w:pPr>
          </w:p>
        </w:tc>
        <w:tc>
          <w:tcPr>
            <w:tcW w:w="709" w:type="dxa"/>
          </w:tcPr>
          <w:p>
            <w:pPr>
              <w:rPr>
                <w:color w:val="000000"/>
                <w:sz w:val="20"/>
                <w:szCs w:val="20"/>
              </w:rPr>
            </w:pPr>
            <w:r w:rsidR="00114846">
              <w:rPr>
                <w:color w:val="000000"/>
                <w:sz w:val="20"/>
                <w:szCs w:val="20"/>
              </w:rPr>
              <w:t>25,3/35,3</w:t>
            </w:r>
          </w:p>
        </w:tc>
      </w:tr>
      <w:tr w:rsidR="00114846" w:rsidTr="008746CF">
        <w:trPr>
          <w:trHeight w:val="281"/>
        </w:trPr>
        <w:tc>
          <w:tcPr>
            <w:tcW w:w="1422" w:type="dxa"/>
          </w:tcPr>
          <w:p>
            <w:pPr>
              <w:rPr>
                <w:i/>
                <w:iCs/>
                <w:color w:val="000000"/>
              </w:rPr>
            </w:pPr>
            <w:r w:rsidR="00114846">
              <w:rPr>
                <w:i/>
                <w:iCs/>
                <w:color w:val="000000"/>
              </w:rPr>
              <w:t>Edw 3000</w:t>
            </w:r>
          </w:p>
        </w:tc>
        <w:tc>
          <w:tcPr>
            <w:tcW w:w="671" w:type="dxa"/>
          </w:tcPr>
          <w:p>
            <w:pPr>
              <w:rPr>
                <w:color w:val="000000"/>
                <w:sz w:val="20"/>
                <w:szCs w:val="20"/>
              </w:rPr>
            </w:pPr>
            <w:r w:rsidR="00114846">
              <w:rPr>
                <w:color w:val="000000"/>
                <w:sz w:val="20"/>
                <w:szCs w:val="20"/>
              </w:rPr>
              <w:t>18/ 22,7</w:t>
            </w:r>
          </w:p>
        </w:tc>
        <w:tc>
          <w:tcPr>
            <w:tcW w:w="709" w:type="dxa"/>
          </w:tcPr>
          <w:p>
            <w:pPr>
              <w:rPr>
                <w:color w:val="000000"/>
              </w:rPr>
            </w:pPr>
          </w:p>
        </w:tc>
        <w:tc>
          <w:tcPr>
            <w:tcW w:w="708" w:type="dxa"/>
          </w:tcPr>
          <w:p>
            <w:pPr>
              <w:rPr>
                <w:color w:val="000000"/>
                <w:sz w:val="20"/>
                <w:szCs w:val="20"/>
              </w:rPr>
            </w:pPr>
            <w:r w:rsidR="00114846">
              <w:rPr>
                <w:color w:val="000000"/>
                <w:sz w:val="20"/>
                <w:szCs w:val="20"/>
              </w:rPr>
              <w:t>19,9/25,2</w:t>
            </w:r>
          </w:p>
        </w:tc>
        <w:tc>
          <w:tcPr>
            <w:tcW w:w="851" w:type="dxa"/>
          </w:tcPr>
          <w:p>
            <w:pPr>
              <w:rPr>
                <w:color w:val="000000"/>
              </w:rPr>
            </w:pPr>
          </w:p>
        </w:tc>
        <w:tc>
          <w:tcPr>
            <w:tcW w:w="992" w:type="dxa"/>
          </w:tcPr>
          <w:p>
            <w:pPr>
              <w:rPr>
                <w:color w:val="000000"/>
                <w:sz w:val="20"/>
                <w:szCs w:val="20"/>
              </w:rPr>
            </w:pPr>
            <w:r w:rsidR="00114846">
              <w:rPr>
                <w:color w:val="000000"/>
                <w:sz w:val="20"/>
                <w:szCs w:val="20"/>
              </w:rPr>
              <w:t>22/29</w:t>
            </w:r>
          </w:p>
        </w:tc>
        <w:tc>
          <w:tcPr>
            <w:tcW w:w="851" w:type="dxa"/>
          </w:tcPr>
          <w:p>
            <w:pPr>
              <w:rPr>
                <w:color w:val="000000"/>
              </w:rPr>
            </w:pPr>
          </w:p>
        </w:tc>
        <w:tc>
          <w:tcPr>
            <w:tcW w:w="992" w:type="dxa"/>
          </w:tcPr>
          <w:p>
            <w:pPr>
              <w:rPr>
                <w:color w:val="000000"/>
              </w:rPr>
            </w:pPr>
          </w:p>
        </w:tc>
        <w:tc>
          <w:tcPr>
            <w:tcW w:w="567" w:type="dxa"/>
          </w:tcPr>
          <w:p>
            <w:pPr>
              <w:rPr>
                <w:color w:val="000000"/>
              </w:rPr>
            </w:pPr>
          </w:p>
        </w:tc>
        <w:tc>
          <w:tcPr>
            <w:tcW w:w="709" w:type="dxa"/>
          </w:tcPr>
          <w:p>
            <w:pPr>
              <w:rPr>
                <w:color w:val="000000"/>
              </w:rPr>
            </w:pPr>
          </w:p>
        </w:tc>
      </w:tr>
      <w:tr w:rsidR="00114846" w:rsidTr="008746CF">
        <w:trPr>
          <w:trHeight w:val="281"/>
        </w:trPr>
        <w:tc>
          <w:tcPr>
            <w:tcW w:w="1422" w:type="dxa"/>
          </w:tcPr>
          <w:p>
            <w:pPr>
              <w:rPr>
                <w:i/>
                <w:iCs/>
                <w:color w:val="000000"/>
              </w:rPr>
            </w:pPr>
            <w:r w:rsidR="00114846">
              <w:rPr>
                <w:i/>
                <w:iCs/>
                <w:color w:val="000000"/>
              </w:rPr>
              <w:t>MH Mosaic</w:t>
            </w:r>
          </w:p>
        </w:tc>
        <w:tc>
          <w:tcPr>
            <w:tcW w:w="671" w:type="dxa"/>
          </w:tcPr>
          <w:p>
            <w:pPr>
              <w:rPr>
                <w:color w:val="000000"/>
              </w:rPr>
            </w:pPr>
          </w:p>
        </w:tc>
        <w:tc>
          <w:tcPr>
            <w:tcW w:w="709" w:type="dxa"/>
          </w:tcPr>
          <w:p>
            <w:pPr>
              <w:rPr>
                <w:color w:val="000000"/>
              </w:rPr>
            </w:pPr>
          </w:p>
        </w:tc>
        <w:tc>
          <w:tcPr>
            <w:tcW w:w="708" w:type="dxa"/>
          </w:tcPr>
          <w:p>
            <w:pPr>
              <w:rPr>
                <w:color w:val="000000"/>
              </w:rPr>
            </w:pPr>
          </w:p>
        </w:tc>
        <w:tc>
          <w:tcPr>
            <w:tcW w:w="851" w:type="dxa"/>
          </w:tcPr>
          <w:p>
            <w:pPr>
              <w:rPr>
                <w:color w:val="000000"/>
              </w:rPr>
            </w:pPr>
          </w:p>
        </w:tc>
        <w:tc>
          <w:tcPr>
            <w:tcW w:w="992" w:type="dxa"/>
          </w:tcPr>
          <w:p>
            <w:pPr>
              <w:rPr>
                <w:color w:val="000000"/>
                <w:sz w:val="20"/>
                <w:szCs w:val="20"/>
              </w:rPr>
            </w:pPr>
            <w:r w:rsidR="00114846">
              <w:rPr>
                <w:color w:val="000000"/>
                <w:sz w:val="20"/>
                <w:szCs w:val="20"/>
              </w:rPr>
              <w:t>19/26</w:t>
            </w:r>
          </w:p>
        </w:tc>
        <w:tc>
          <w:tcPr>
            <w:tcW w:w="851" w:type="dxa"/>
          </w:tcPr>
          <w:p>
            <w:pPr>
              <w:rPr>
                <w:color w:val="000000"/>
              </w:rPr>
            </w:pPr>
          </w:p>
        </w:tc>
        <w:tc>
          <w:tcPr>
            <w:tcW w:w="992" w:type="dxa"/>
          </w:tcPr>
          <w:p>
            <w:pPr>
              <w:rPr>
                <w:color w:val="000000"/>
              </w:rPr>
            </w:pPr>
          </w:p>
        </w:tc>
        <w:tc>
          <w:tcPr>
            <w:tcW w:w="567" w:type="dxa"/>
          </w:tcPr>
          <w:p>
            <w:pPr>
              <w:rPr>
                <w:color w:val="000000"/>
              </w:rPr>
            </w:pPr>
          </w:p>
        </w:tc>
        <w:tc>
          <w:tcPr>
            <w:tcW w:w="709" w:type="dxa"/>
          </w:tcPr>
          <w:p>
            <w:pPr>
              <w:rPr>
                <w:color w:val="000000"/>
              </w:rPr>
            </w:pPr>
          </w:p>
        </w:tc>
      </w:tr>
      <w:tr w:rsidR="00114846" w:rsidTr="008746CF">
        <w:trPr>
          <w:trHeight w:val="281"/>
        </w:trPr>
        <w:tc>
          <w:tcPr>
            <w:tcW w:w="1422" w:type="dxa"/>
          </w:tcPr>
          <w:p>
            <w:pPr>
              <w:rPr>
                <w:i/>
                <w:iCs/>
                <w:color w:val="000000"/>
              </w:rPr>
            </w:pPr>
            <w:r w:rsidR="00114846">
              <w:rPr>
                <w:i/>
                <w:iCs/>
                <w:color w:val="000000"/>
              </w:rPr>
              <w:t>SJM Epic</w:t>
            </w:r>
          </w:p>
        </w:tc>
        <w:tc>
          <w:tcPr>
            <w:tcW w:w="671" w:type="dxa"/>
          </w:tcPr>
          <w:p>
            <w:pPr>
              <w:rPr>
                <w:color w:val="000000"/>
              </w:rPr>
            </w:pPr>
          </w:p>
        </w:tc>
        <w:tc>
          <w:tcPr>
            <w:tcW w:w="709" w:type="dxa"/>
          </w:tcPr>
          <w:p>
            <w:pPr>
              <w:rPr>
                <w:color w:val="000000"/>
              </w:rPr>
            </w:pPr>
          </w:p>
        </w:tc>
        <w:tc>
          <w:tcPr>
            <w:tcW w:w="708" w:type="dxa"/>
          </w:tcPr>
          <w:p>
            <w:pPr>
              <w:rPr>
                <w:color w:val="000000"/>
              </w:rPr>
            </w:pPr>
          </w:p>
        </w:tc>
        <w:tc>
          <w:tcPr>
            <w:tcW w:w="851" w:type="dxa"/>
          </w:tcPr>
          <w:p>
            <w:pPr>
              <w:rPr>
                <w:color w:val="000000"/>
              </w:rPr>
            </w:pPr>
          </w:p>
        </w:tc>
        <w:tc>
          <w:tcPr>
            <w:tcW w:w="992" w:type="dxa"/>
          </w:tcPr>
          <w:p>
            <w:pPr>
              <w:rPr>
                <w:color w:val="000000"/>
                <w:sz w:val="20"/>
                <w:szCs w:val="20"/>
              </w:rPr>
            </w:pPr>
            <w:r w:rsidR="00114846">
              <w:rPr>
                <w:color w:val="000000"/>
                <w:sz w:val="20"/>
                <w:szCs w:val="20"/>
              </w:rPr>
              <w:t>21,6/28,5</w:t>
            </w:r>
          </w:p>
        </w:tc>
        <w:tc>
          <w:tcPr>
            <w:tcW w:w="851" w:type="dxa"/>
          </w:tcPr>
          <w:p>
            <w:pPr>
              <w:rPr>
                <w:color w:val="000000"/>
              </w:rPr>
            </w:pPr>
          </w:p>
        </w:tc>
        <w:tc>
          <w:tcPr>
            <w:tcW w:w="992" w:type="dxa"/>
          </w:tcPr>
          <w:p>
            <w:pPr>
              <w:rPr>
                <w:color w:val="000000"/>
                <w:sz w:val="20"/>
                <w:szCs w:val="20"/>
              </w:rPr>
            </w:pPr>
            <w:r w:rsidR="00114846">
              <w:rPr>
                <w:color w:val="000000"/>
                <w:sz w:val="20"/>
                <w:szCs w:val="20"/>
              </w:rPr>
              <w:t>22/29</w:t>
            </w:r>
          </w:p>
        </w:tc>
        <w:tc>
          <w:tcPr>
            <w:tcW w:w="567" w:type="dxa"/>
          </w:tcPr>
          <w:p>
            <w:pPr>
              <w:rPr>
                <w:color w:val="000000"/>
              </w:rPr>
            </w:pPr>
          </w:p>
        </w:tc>
        <w:tc>
          <w:tcPr>
            <w:tcW w:w="709" w:type="dxa"/>
          </w:tcPr>
          <w:p>
            <w:pPr>
              <w:rPr>
                <w:color w:val="000000"/>
                <w:sz w:val="20"/>
                <w:szCs w:val="20"/>
              </w:rPr>
            </w:pPr>
            <w:r w:rsidR="00114846">
              <w:rPr>
                <w:color w:val="000000"/>
                <w:sz w:val="20"/>
                <w:szCs w:val="20"/>
              </w:rPr>
              <w:t>23/31</w:t>
            </w:r>
          </w:p>
        </w:tc>
      </w:tr>
      <w:tr w:rsidR="00114846" w:rsidTr="008746CF">
        <w:trPr>
          <w:trHeight w:val="281"/>
        </w:trPr>
        <w:tc>
          <w:tcPr>
            <w:tcW w:w="1422" w:type="dxa"/>
          </w:tcPr>
          <w:p>
            <w:pPr>
              <w:rPr>
                <w:i/>
                <w:iCs/>
                <w:color w:val="000000"/>
              </w:rPr>
            </w:pPr>
            <w:r w:rsidR="00114846">
              <w:rPr>
                <w:i/>
                <w:iCs/>
                <w:color w:val="000000"/>
              </w:rPr>
              <w:t>Sorin More</w:t>
            </w:r>
          </w:p>
        </w:tc>
        <w:tc>
          <w:tcPr>
            <w:tcW w:w="671" w:type="dxa"/>
          </w:tcPr>
          <w:p>
            <w:pPr>
              <w:rPr>
                <w:color w:val="000000"/>
              </w:rPr>
            </w:pPr>
          </w:p>
        </w:tc>
        <w:tc>
          <w:tcPr>
            <w:tcW w:w="709" w:type="dxa"/>
          </w:tcPr>
          <w:p>
            <w:pPr>
              <w:rPr>
                <w:color w:val="000000"/>
              </w:rPr>
            </w:pPr>
          </w:p>
        </w:tc>
        <w:tc>
          <w:tcPr>
            <w:tcW w:w="708" w:type="dxa"/>
          </w:tcPr>
          <w:p>
            <w:pPr>
              <w:rPr>
                <w:color w:val="000000"/>
                <w:sz w:val="20"/>
                <w:szCs w:val="20"/>
              </w:rPr>
            </w:pPr>
            <w:r w:rsidR="00114846">
              <w:rPr>
                <w:color w:val="000000"/>
                <w:sz w:val="20"/>
                <w:szCs w:val="20"/>
              </w:rPr>
              <w:t>18/25</w:t>
            </w:r>
          </w:p>
        </w:tc>
        <w:tc>
          <w:tcPr>
            <w:tcW w:w="851" w:type="dxa"/>
          </w:tcPr>
          <w:p>
            <w:pPr>
              <w:rPr>
                <w:color w:val="000000"/>
              </w:rPr>
            </w:pPr>
          </w:p>
        </w:tc>
        <w:tc>
          <w:tcPr>
            <w:tcW w:w="992" w:type="dxa"/>
          </w:tcPr>
          <w:p>
            <w:pPr>
              <w:rPr>
                <w:color w:val="000000"/>
                <w:sz w:val="20"/>
                <w:szCs w:val="20"/>
              </w:rPr>
            </w:pPr>
            <w:r w:rsidR="00114846">
              <w:rPr>
                <w:color w:val="000000"/>
                <w:sz w:val="20"/>
                <w:szCs w:val="20"/>
              </w:rPr>
              <w:t>18,3/26,3</w:t>
            </w:r>
          </w:p>
        </w:tc>
        <w:tc>
          <w:tcPr>
            <w:tcW w:w="851" w:type="dxa"/>
          </w:tcPr>
          <w:p>
            <w:pPr>
              <w:rPr>
                <w:color w:val="000000"/>
              </w:rPr>
            </w:pPr>
          </w:p>
        </w:tc>
        <w:tc>
          <w:tcPr>
            <w:tcW w:w="992" w:type="dxa"/>
          </w:tcPr>
          <w:p>
            <w:pPr>
              <w:rPr>
                <w:color w:val="000000"/>
                <w:sz w:val="20"/>
                <w:szCs w:val="20"/>
              </w:rPr>
            </w:pPr>
            <w:r w:rsidR="00114846">
              <w:rPr>
                <w:color w:val="000000"/>
                <w:sz w:val="20"/>
                <w:szCs w:val="20"/>
              </w:rPr>
              <w:t>19,6/27,8</w:t>
            </w:r>
          </w:p>
        </w:tc>
        <w:tc>
          <w:tcPr>
            <w:tcW w:w="567" w:type="dxa"/>
          </w:tcPr>
          <w:p>
            <w:pPr>
              <w:rPr>
                <w:color w:val="000000"/>
              </w:rPr>
            </w:pPr>
          </w:p>
        </w:tc>
        <w:tc>
          <w:tcPr>
            <w:tcW w:w="709" w:type="dxa"/>
          </w:tcPr>
          <w:p>
            <w:pPr>
              <w:rPr>
                <w:color w:val="000000"/>
              </w:rPr>
            </w:pPr>
          </w:p>
        </w:tc>
      </w:tr>
      <w:tr w:rsidR="00114846" w:rsidTr="008746CF">
        <w:trPr>
          <w:trHeight w:val="281"/>
        </w:trPr>
        <w:tc>
          <w:tcPr>
            <w:tcW w:w="1422" w:type="dxa"/>
          </w:tcPr>
          <w:p>
            <w:pPr>
              <w:rPr>
                <w:i/>
                <w:iCs/>
                <w:color w:val="000000"/>
              </w:rPr>
            </w:pPr>
            <w:r w:rsidR="00114846">
              <w:rPr>
                <w:i/>
                <w:iCs/>
                <w:color w:val="000000"/>
              </w:rPr>
              <w:t>Sorin Soprano</w:t>
            </w:r>
          </w:p>
        </w:tc>
        <w:tc>
          <w:tcPr>
            <w:tcW w:w="671" w:type="dxa"/>
          </w:tcPr>
          <w:p>
            <w:pPr>
              <w:rPr>
                <w:color w:val="000000"/>
              </w:rPr>
            </w:pPr>
          </w:p>
        </w:tc>
        <w:tc>
          <w:tcPr>
            <w:tcW w:w="709" w:type="dxa"/>
          </w:tcPr>
          <w:p>
            <w:pPr>
              <w:rPr>
                <w:color w:val="000000"/>
                <w:sz w:val="20"/>
                <w:szCs w:val="20"/>
              </w:rPr>
            </w:pPr>
            <w:r w:rsidR="00114846">
              <w:rPr>
                <w:color w:val="000000"/>
                <w:sz w:val="20"/>
                <w:szCs w:val="20"/>
              </w:rPr>
              <w:t>20,7/28,5</w:t>
            </w:r>
          </w:p>
        </w:tc>
        <w:tc>
          <w:tcPr>
            <w:tcW w:w="708" w:type="dxa"/>
          </w:tcPr>
          <w:p>
            <w:pPr>
              <w:rPr>
                <w:color w:val="000000"/>
              </w:rPr>
            </w:pPr>
          </w:p>
        </w:tc>
        <w:tc>
          <w:tcPr>
            <w:tcW w:w="851" w:type="dxa"/>
          </w:tcPr>
          <w:p>
            <w:pPr>
              <w:rPr>
                <w:color w:val="000000"/>
                <w:sz w:val="20"/>
                <w:szCs w:val="20"/>
              </w:rPr>
            </w:pPr>
            <w:r w:rsidR="00114846">
              <w:rPr>
                <w:color w:val="000000"/>
                <w:sz w:val="20"/>
                <w:szCs w:val="20"/>
              </w:rPr>
              <w:t>22,3/30</w:t>
            </w:r>
          </w:p>
        </w:tc>
        <w:tc>
          <w:tcPr>
            <w:tcW w:w="992" w:type="dxa"/>
          </w:tcPr>
          <w:p>
            <w:pPr>
              <w:rPr>
                <w:color w:val="000000"/>
              </w:rPr>
            </w:pPr>
          </w:p>
        </w:tc>
        <w:tc>
          <w:tcPr>
            <w:tcW w:w="851" w:type="dxa"/>
          </w:tcPr>
          <w:p>
            <w:pPr>
              <w:rPr>
                <w:color w:val="000000"/>
                <w:sz w:val="20"/>
                <w:szCs w:val="20"/>
              </w:rPr>
            </w:pPr>
            <w:r w:rsidR="00114846">
              <w:rPr>
                <w:color w:val="000000"/>
                <w:sz w:val="20"/>
                <w:szCs w:val="20"/>
              </w:rPr>
              <w:t>24,4/33</w:t>
            </w:r>
          </w:p>
        </w:tc>
        <w:tc>
          <w:tcPr>
            <w:tcW w:w="992" w:type="dxa"/>
          </w:tcPr>
          <w:p>
            <w:pPr>
              <w:rPr>
                <w:color w:val="000000"/>
              </w:rPr>
            </w:pPr>
          </w:p>
        </w:tc>
        <w:tc>
          <w:tcPr>
            <w:tcW w:w="567" w:type="dxa"/>
          </w:tcPr>
          <w:p>
            <w:pPr>
              <w:rPr>
                <w:color w:val="000000"/>
                <w:lang w:val="en-US"/>
              </w:rPr>
            </w:pPr>
            <w:r w:rsidR="00114846">
              <w:rPr>
                <w:color w:val="000000"/>
                <w:lang w:val="en-US"/>
              </w:rPr>
              <w:t>*</w:t>
            </w:r>
          </w:p>
        </w:tc>
        <w:tc>
          <w:tcPr>
            <w:tcW w:w="709" w:type="dxa"/>
          </w:tcPr>
          <w:p>
            <w:pPr>
              <w:rPr>
                <w:color w:val="000000"/>
              </w:rPr>
            </w:pPr>
          </w:p>
        </w:tc>
      </w:tr>
      <w:tr w:rsidR="00114846" w:rsidTr="008746CF">
        <w:trPr>
          <w:trHeight w:val="281"/>
        </w:trPr>
        <w:tc>
          <w:tcPr>
            <w:tcW w:w="1422" w:type="dxa"/>
          </w:tcPr>
          <w:p>
            <w:pPr>
              <w:rPr>
                <w:b/>
                <w:i/>
                <w:iCs/>
                <w:color w:val="000000"/>
              </w:rPr>
            </w:pPr>
            <w:r w:rsidR="00114846">
              <w:rPr>
                <w:b/>
                <w:i/>
                <w:iCs/>
                <w:color w:val="000000"/>
              </w:rPr>
              <w:t>Celkem</w:t>
            </w:r>
          </w:p>
        </w:tc>
        <w:tc>
          <w:tcPr>
            <w:tcW w:w="671" w:type="dxa"/>
          </w:tcPr>
          <w:p>
            <w:pPr>
              <w:rPr>
                <w:i/>
                <w:color w:val="000000"/>
              </w:rPr>
            </w:pPr>
            <w:r w:rsidR="00114846">
              <w:rPr>
                <w:i/>
                <w:color w:val="000000"/>
              </w:rPr>
              <w:t>12</w:t>
            </w:r>
          </w:p>
        </w:tc>
        <w:tc>
          <w:tcPr>
            <w:tcW w:w="709" w:type="dxa"/>
          </w:tcPr>
          <w:p>
            <w:pPr>
              <w:rPr>
                <w:i/>
                <w:color w:val="000000"/>
              </w:rPr>
            </w:pPr>
            <w:r w:rsidR="00114846">
              <w:rPr>
                <w:i/>
                <w:color w:val="000000"/>
              </w:rPr>
              <w:t>25</w:t>
            </w:r>
          </w:p>
        </w:tc>
        <w:tc>
          <w:tcPr>
            <w:tcW w:w="708" w:type="dxa"/>
          </w:tcPr>
          <w:p>
            <w:pPr>
              <w:rPr>
                <w:i/>
                <w:color w:val="000000"/>
              </w:rPr>
            </w:pPr>
            <w:r w:rsidR="00114846">
              <w:rPr>
                <w:i/>
                <w:color w:val="000000"/>
              </w:rPr>
              <w:t>77</w:t>
            </w:r>
          </w:p>
        </w:tc>
        <w:tc>
          <w:tcPr>
            <w:tcW w:w="851" w:type="dxa"/>
          </w:tcPr>
          <w:p>
            <w:pPr>
              <w:rPr>
                <w:i/>
                <w:color w:val="000000"/>
              </w:rPr>
            </w:pPr>
            <w:r w:rsidR="00114846">
              <w:rPr>
                <w:i/>
                <w:color w:val="000000"/>
              </w:rPr>
              <w:t>17</w:t>
            </w:r>
          </w:p>
        </w:tc>
        <w:tc>
          <w:tcPr>
            <w:tcW w:w="992" w:type="dxa"/>
          </w:tcPr>
          <w:p>
            <w:pPr>
              <w:rPr>
                <w:i/>
                <w:color w:val="000000"/>
              </w:rPr>
            </w:pPr>
            <w:r w:rsidR="00114846">
              <w:rPr>
                <w:i/>
                <w:color w:val="000000"/>
              </w:rPr>
              <w:t>85</w:t>
            </w:r>
          </w:p>
        </w:tc>
        <w:tc>
          <w:tcPr>
            <w:tcW w:w="851" w:type="dxa"/>
          </w:tcPr>
          <w:p>
            <w:pPr>
              <w:rPr>
                <w:i/>
                <w:color w:val="000000"/>
              </w:rPr>
            </w:pPr>
            <w:r w:rsidR="00114846">
              <w:rPr>
                <w:i/>
                <w:color w:val="000000"/>
              </w:rPr>
              <w:t>15</w:t>
            </w:r>
          </w:p>
        </w:tc>
        <w:tc>
          <w:tcPr>
            <w:tcW w:w="992" w:type="dxa"/>
          </w:tcPr>
          <w:p>
            <w:pPr>
              <w:rPr>
                <w:i/>
                <w:color w:val="000000"/>
              </w:rPr>
            </w:pPr>
            <w:r w:rsidR="00114846">
              <w:rPr>
                <w:i/>
                <w:color w:val="000000"/>
              </w:rPr>
              <w:t>46</w:t>
            </w:r>
          </w:p>
        </w:tc>
        <w:tc>
          <w:tcPr>
            <w:tcW w:w="567" w:type="dxa"/>
          </w:tcPr>
          <w:p>
            <w:pPr>
              <w:rPr>
                <w:i/>
                <w:color w:val="000000"/>
                <w:lang w:val="en-US"/>
              </w:rPr>
            </w:pPr>
            <w:r w:rsidR="00114846">
              <w:rPr>
                <w:i/>
                <w:color w:val="000000"/>
                <w:lang w:val="en-US"/>
              </w:rPr>
              <w:t>2</w:t>
            </w:r>
          </w:p>
        </w:tc>
        <w:tc>
          <w:tcPr>
            <w:tcW w:w="709" w:type="dxa"/>
          </w:tcPr>
          <w:p>
            <w:pPr>
              <w:rPr>
                <w:i/>
                <w:color w:val="000000"/>
              </w:rPr>
            </w:pPr>
            <w:r w:rsidR="00114846">
              <w:rPr>
                <w:i/>
                <w:color w:val="000000"/>
              </w:rPr>
              <w:t>17</w:t>
            </w:r>
          </w:p>
        </w:tc>
      </w:tr>
    </w:tbl>
    <w:p>
      <w:pPr>
        <w:rPr>
          <w:color w:val="000000"/>
        </w:rPr>
      </w:pPr>
    </w:p>
    <w:p>
      <w:pPr>
        <w:rPr>
          <w:i/>
          <w:color w:val="000000"/>
        </w:rPr>
      </w:pPr>
      <w:r w:rsidR="00114846">
        <w:rPr>
          <w:i/>
          <w:color w:val="000000"/>
        </w:rPr>
        <w:t>Tab.  5: Vnitřní / vnější průměr implantačního prstence (mm) u chlopní jednotlivých výrobců seřazených dle velikosti, * nezměřeno</w:t>
      </w:r>
    </w:p>
    <w:p>
      <w:pPr>
        <w:rPr>
          <w:i/>
          <w:color w:val="000000"/>
        </w:rPr>
      </w:pPr>
    </w:p>
    <w:p>
      <w:pPr>
        <w:rPr>
          <w:i/>
          <w:color w:val="000000"/>
        </w:rPr>
      </w:pPr>
    </w:p>
    <w:p>
      <w:pPr>
        <w:spacing w:line="360" w:lineRule="auto"/>
        <w:ind w:firstLine="708"/>
        <w:jc w:val="both"/>
      </w:pPr>
      <w:r w:rsidR="00114846">
        <w:t>Z uvedených měření vyplývá, že výrobcem udávaná velikost chlopně neodpovídá vnitřnímu ani vnějšímu průměru implantačního prstence. Tato velikost dle výrobce koresponduje se zevním průměrem stentu (kostry) chlopně – tzv. tissue anulus diameter (TAD), který je ale součástí implantačního prstence chlopně a je skryt uvnitř. Pro implantaci je nejdůležitějším rozměrem největší vnější průměr chlopně – implantačního prstence, který určuje, jak velkou chlopeň lze do aortálního anulu umístit. Výjimkou v našem souboru je chlopeň Soprano (Sorin Biomedica, Sallugia, Italy), u které výrobcem udávaná velikost koresponduje s vnitřním průměrem prstence, což by měl být standart číslování u chlopní určených k supraanulární implantaci.</w:t>
      </w:r>
    </w:p>
    <w:p>
      <w:pPr>
        <w:spacing w:line="360" w:lineRule="auto"/>
      </w:pPr>
    </w:p>
    <w:p>
      <w:pPr>
        <w:pStyle w:val="Heading2"/>
      </w:pPr>
      <w:r w:rsidR="00114846">
        <w:t>10.2</w:t>
      </w:r>
      <w:r w:rsidR="00114846">
        <w:tab/>
        <w:t>Porovnání pooperačních gradientů na bioprotézách různých výrobců dle velikosti</w:t>
      </w:r>
    </w:p>
    <w:p>
      <w:pPr>
        <w:spacing w:line="360" w:lineRule="auto"/>
        <w:rPr>
          <w:b/>
          <w:bCs/>
        </w:rPr>
      </w:pPr>
      <w:r w:rsidR="00114846">
        <w:rPr>
          <w:b/>
          <w:bCs/>
        </w:rPr>
        <w:tab/>
      </w:r>
    </w:p>
    <w:p>
      <w:pPr>
        <w:spacing w:line="360" w:lineRule="auto"/>
        <w:jc w:val="both"/>
      </w:pPr>
      <w:r w:rsidR="00114846">
        <w:rPr>
          <w:b/>
          <w:bCs/>
        </w:rPr>
        <w:tab/>
      </w:r>
      <w:r w:rsidR="00114846">
        <w:t xml:space="preserve">Optimální umělá chlopeň by se svými průtokovými charakteristikami měla blížit zdravé nativní chlopni – měla by vykazovat co nejmenší tlakové gradienty. Normalizované hemodynamické parametry a pokles gradientů po náhradě chlopně by měly vést k postupné regresi hypertrofické svaloviny levé komory. </w:t>
      </w:r>
    </w:p>
    <w:p>
      <w:pPr>
        <w:spacing w:line="360" w:lineRule="auto"/>
        <w:ind w:firstLine="708"/>
        <w:jc w:val="both"/>
      </w:pPr>
      <w:r w:rsidR="00114846">
        <w:t xml:space="preserve">Předpokládaná životnost biologických chlopní souvisí s namáháním tkáně, které je závislé na tlakovém gradientu na jejím ústí. Vývoj biologických chlopní proto směřuje cestou zvětšování efektivní plochy ústí a zmenšování tlakových gradientů. Tabulka 6 shrnuje námi naměřené střední a maximální gradienty na chlopních použitých ve studii. Jedná se o průměr hodnot naměřených na jednotlivých chlopních daného výrobce a velikosti. </w:t>
      </w:r>
    </w:p>
    <w:p>
      <w:pPr>
        <w:spacing w:line="360" w:lineRule="auto"/>
      </w:pPr>
    </w:p>
    <w:p>
      <w:pPr>
        <w:rPr>
          <w: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2"/>
        <w:gridCol w:w="740"/>
        <w:gridCol w:w="741"/>
        <w:gridCol w:w="741"/>
        <w:gridCol w:w="741"/>
        <w:gridCol w:w="741"/>
        <w:gridCol w:w="741"/>
        <w:gridCol w:w="741"/>
        <w:gridCol w:w="741"/>
        <w:gridCol w:w="737"/>
      </w:tblGrid>
      <w:tr w:rsidR="00114846" w:rsidTr="0048096D">
        <w:tc>
          <w:tcPr>
            <w:tcW w:w="1051" w:type="pct"/>
          </w:tcPr>
          <w:p>
            <w:pPr>
              <w:rPr>
                <w:i/>
                <w:iCs/>
                <w:color w:val="000000"/>
              </w:rPr>
            </w:pPr>
            <w:r w:rsidR="00114846">
              <w:rPr>
                <w:i/>
                <w:iCs/>
                <w:color w:val="000000"/>
              </w:rPr>
              <w:t xml:space="preserve">   velikost/</w:t>
            </w:r>
          </w:p>
          <w:p>
            <w:pPr>
              <w:rPr>
                <w:color w:val="000000"/>
              </w:rPr>
            </w:pPr>
            <w:r w:rsidR="00114846">
              <w:rPr>
                <w:i/>
                <w:iCs/>
                <w:color w:val="000000"/>
              </w:rPr>
              <w:t>výrobce-typ</w:t>
            </w:r>
          </w:p>
        </w:tc>
        <w:tc>
          <w:tcPr>
            <w:tcW w:w="439" w:type="pct"/>
          </w:tcPr>
          <w:p>
            <w:pPr>
              <w:rPr>
                <w:i/>
                <w:iCs/>
                <w:color w:val="000000"/>
              </w:rPr>
            </w:pPr>
            <w:r w:rsidR="00114846">
              <w:rPr>
                <w:i/>
                <w:iCs/>
                <w:color w:val="000000"/>
              </w:rPr>
              <w:t>19</w:t>
            </w:r>
          </w:p>
        </w:tc>
        <w:tc>
          <w:tcPr>
            <w:tcW w:w="439" w:type="pct"/>
          </w:tcPr>
          <w:p>
            <w:pPr>
              <w:rPr>
                <w:i/>
                <w:iCs/>
                <w:color w:val="000000"/>
              </w:rPr>
            </w:pPr>
            <w:r w:rsidR="00114846">
              <w:rPr>
                <w:i/>
                <w:iCs/>
                <w:color w:val="000000"/>
              </w:rPr>
              <w:t>20</w:t>
            </w:r>
          </w:p>
        </w:tc>
        <w:tc>
          <w:tcPr>
            <w:tcW w:w="439" w:type="pct"/>
          </w:tcPr>
          <w:p>
            <w:pPr>
              <w:rPr>
                <w:i/>
                <w:iCs/>
                <w:color w:val="000000"/>
              </w:rPr>
            </w:pPr>
            <w:r w:rsidR="00114846">
              <w:rPr>
                <w:i/>
                <w:iCs/>
                <w:color w:val="000000"/>
              </w:rPr>
              <w:t>21</w:t>
            </w:r>
          </w:p>
        </w:tc>
        <w:tc>
          <w:tcPr>
            <w:tcW w:w="439" w:type="pct"/>
          </w:tcPr>
          <w:p>
            <w:pPr>
              <w:rPr>
                <w:i/>
                <w:iCs/>
                <w:color w:val="000000"/>
              </w:rPr>
            </w:pPr>
            <w:r w:rsidR="00114846">
              <w:rPr>
                <w:i/>
                <w:iCs/>
                <w:color w:val="000000"/>
              </w:rPr>
              <w:t>22</w:t>
            </w:r>
          </w:p>
        </w:tc>
        <w:tc>
          <w:tcPr>
            <w:tcW w:w="439" w:type="pct"/>
          </w:tcPr>
          <w:p>
            <w:pPr>
              <w:rPr>
                <w:i/>
                <w:iCs/>
                <w:color w:val="000000"/>
              </w:rPr>
            </w:pPr>
            <w:r w:rsidR="00114846">
              <w:rPr>
                <w:i/>
                <w:iCs/>
                <w:color w:val="000000"/>
              </w:rPr>
              <w:t>23</w:t>
            </w:r>
          </w:p>
        </w:tc>
        <w:tc>
          <w:tcPr>
            <w:tcW w:w="439" w:type="pct"/>
          </w:tcPr>
          <w:p>
            <w:pPr>
              <w:rPr>
                <w:i/>
                <w:iCs/>
                <w:color w:val="000000"/>
              </w:rPr>
            </w:pPr>
            <w:r w:rsidR="00114846">
              <w:rPr>
                <w:i/>
                <w:iCs/>
                <w:color w:val="000000"/>
              </w:rPr>
              <w:t>24</w:t>
            </w:r>
          </w:p>
        </w:tc>
        <w:tc>
          <w:tcPr>
            <w:tcW w:w="439" w:type="pct"/>
          </w:tcPr>
          <w:p>
            <w:pPr>
              <w:rPr>
                <w:i/>
                <w:iCs/>
                <w:color w:val="000000"/>
              </w:rPr>
            </w:pPr>
            <w:r w:rsidR="00114846">
              <w:rPr>
                <w:i/>
                <w:iCs/>
                <w:color w:val="000000"/>
              </w:rPr>
              <w:t>25</w:t>
            </w:r>
          </w:p>
        </w:tc>
        <w:tc>
          <w:tcPr>
            <w:tcW w:w="439" w:type="pct"/>
          </w:tcPr>
          <w:p>
            <w:pPr>
              <w:rPr>
                <w:i/>
                <w:iCs/>
                <w:color w:val="000000"/>
              </w:rPr>
            </w:pPr>
            <w:r w:rsidR="00114846">
              <w:rPr>
                <w:i/>
                <w:iCs/>
                <w:color w:val="000000"/>
              </w:rPr>
              <w:t>26</w:t>
            </w:r>
          </w:p>
        </w:tc>
        <w:tc>
          <w:tcPr>
            <w:tcW w:w="439" w:type="pct"/>
          </w:tcPr>
          <w:p>
            <w:pPr>
              <w:rPr>
                <w:i/>
                <w:iCs/>
                <w:color w:val="000000"/>
              </w:rPr>
            </w:pPr>
            <w:r w:rsidR="00114846">
              <w:rPr>
                <w:i/>
                <w:iCs/>
                <w:color w:val="000000"/>
              </w:rPr>
              <w:t>27</w:t>
            </w:r>
          </w:p>
        </w:tc>
      </w:tr>
      <w:tr w:rsidR="00114846" w:rsidTr="0048096D">
        <w:tc>
          <w:tcPr>
            <w:tcW w:w="1051" w:type="pct"/>
          </w:tcPr>
          <w:p>
            <w:pPr>
              <w:pStyle w:val="Heading1"/>
              <w:rPr>
                <w:b w:val="0"/>
              </w:rPr>
            </w:pPr>
            <w:r w:rsidR="00114846" w:rsidRPr="00C44A8F">
              <w:rPr>
                <w:b w:val="0"/>
              </w:rPr>
              <w:t>Edw 2650</w:t>
            </w:r>
          </w:p>
        </w:tc>
        <w:tc>
          <w:tcPr>
            <w:tcW w:w="439" w:type="pct"/>
          </w:tcPr>
          <w:p>
            <w:pPr>
              <w:rPr>
                <w:color w:val="000000"/>
                <w:sz w:val="20"/>
                <w:szCs w:val="20"/>
              </w:rPr>
            </w:pPr>
          </w:p>
        </w:tc>
        <w:tc>
          <w:tcPr>
            <w:tcW w:w="439" w:type="pct"/>
          </w:tcPr>
          <w:p>
            <w:pPr>
              <w:rPr>
                <w:color w:val="000000"/>
                <w:sz w:val="20"/>
                <w:szCs w:val="20"/>
              </w:rPr>
            </w:pPr>
          </w:p>
        </w:tc>
        <w:tc>
          <w:tcPr>
            <w:tcW w:w="439" w:type="pct"/>
          </w:tcPr>
          <w:p>
            <w:pPr>
              <w:rPr>
                <w:color w:val="000000"/>
                <w:sz w:val="20"/>
                <w:szCs w:val="20"/>
              </w:rPr>
            </w:pPr>
            <w:r w:rsidR="00114846">
              <w:rPr>
                <w:color w:val="000000"/>
                <w:sz w:val="20"/>
                <w:szCs w:val="20"/>
              </w:rPr>
              <w:t>19/34</w:t>
            </w:r>
          </w:p>
        </w:tc>
        <w:tc>
          <w:tcPr>
            <w:tcW w:w="439" w:type="pct"/>
          </w:tcPr>
          <w:p>
            <w:pPr>
              <w:rPr>
                <w:color w:val="000000"/>
                <w:sz w:val="20"/>
                <w:szCs w:val="20"/>
              </w:rPr>
            </w:pPr>
          </w:p>
        </w:tc>
        <w:tc>
          <w:tcPr>
            <w:tcW w:w="439" w:type="pct"/>
          </w:tcPr>
          <w:p>
            <w:pPr>
              <w:rPr>
                <w:color w:val="000000"/>
                <w:sz w:val="20"/>
                <w:szCs w:val="20"/>
              </w:rPr>
            </w:pPr>
            <w:r w:rsidR="00114846">
              <w:rPr>
                <w:color w:val="000000"/>
                <w:sz w:val="20"/>
                <w:szCs w:val="20"/>
              </w:rPr>
              <w:t>25/45</w:t>
            </w:r>
          </w:p>
        </w:tc>
        <w:tc>
          <w:tcPr>
            <w:tcW w:w="439" w:type="pct"/>
          </w:tcPr>
          <w:p>
            <w:pPr>
              <w:rPr>
                <w:color w:val="000000"/>
                <w:sz w:val="20"/>
                <w:szCs w:val="20"/>
              </w:rPr>
            </w:pPr>
          </w:p>
        </w:tc>
        <w:tc>
          <w:tcPr>
            <w:tcW w:w="439" w:type="pct"/>
          </w:tcPr>
          <w:p>
            <w:pPr>
              <w:rPr>
                <w:color w:val="000000"/>
                <w:sz w:val="20"/>
                <w:szCs w:val="20"/>
              </w:rPr>
            </w:pPr>
            <w:r w:rsidR="00114846">
              <w:rPr>
                <w:color w:val="000000"/>
                <w:sz w:val="20"/>
                <w:szCs w:val="20"/>
              </w:rPr>
              <w:t>15/27</w:t>
            </w:r>
          </w:p>
        </w:tc>
        <w:tc>
          <w:tcPr>
            <w:tcW w:w="439" w:type="pct"/>
          </w:tcPr>
          <w:p>
            <w:pPr>
              <w:rPr>
                <w:color w:val="000000"/>
                <w:sz w:val="20"/>
                <w:szCs w:val="20"/>
              </w:rPr>
            </w:pPr>
          </w:p>
        </w:tc>
        <w:tc>
          <w:tcPr>
            <w:tcW w:w="439" w:type="pct"/>
          </w:tcPr>
          <w:p>
            <w:pPr>
              <w:rPr>
                <w:color w:val="000000"/>
                <w:sz w:val="20"/>
                <w:szCs w:val="20"/>
              </w:rPr>
            </w:pPr>
          </w:p>
        </w:tc>
      </w:tr>
      <w:tr w:rsidR="00114846" w:rsidTr="0048096D">
        <w:tc>
          <w:tcPr>
            <w:tcW w:w="1051" w:type="pct"/>
          </w:tcPr>
          <w:p>
            <w:pPr>
              <w:rPr>
                <w:i/>
                <w:iCs/>
                <w:color w:val="000000"/>
              </w:rPr>
            </w:pPr>
            <w:r w:rsidR="00114846">
              <w:rPr>
                <w:i/>
                <w:iCs/>
                <w:color w:val="000000"/>
              </w:rPr>
              <w:t>Edw 2900</w:t>
            </w:r>
          </w:p>
        </w:tc>
        <w:tc>
          <w:tcPr>
            <w:tcW w:w="439" w:type="pct"/>
          </w:tcPr>
          <w:p>
            <w:pPr>
              <w:rPr>
                <w:color w:val="000000"/>
                <w:sz w:val="20"/>
                <w:szCs w:val="20"/>
              </w:rPr>
            </w:pPr>
          </w:p>
        </w:tc>
        <w:tc>
          <w:tcPr>
            <w:tcW w:w="439" w:type="pct"/>
          </w:tcPr>
          <w:p>
            <w:pPr>
              <w:rPr>
                <w:color w:val="000000"/>
                <w:sz w:val="20"/>
                <w:szCs w:val="20"/>
              </w:rPr>
            </w:pPr>
          </w:p>
        </w:tc>
        <w:tc>
          <w:tcPr>
            <w:tcW w:w="439" w:type="pct"/>
          </w:tcPr>
          <w:p>
            <w:pPr>
              <w:rPr>
                <w:color w:val="000000"/>
                <w:sz w:val="20"/>
                <w:szCs w:val="20"/>
              </w:rPr>
            </w:pPr>
            <w:r w:rsidR="00114846">
              <w:rPr>
                <w:color w:val="000000"/>
                <w:sz w:val="20"/>
                <w:szCs w:val="20"/>
              </w:rPr>
              <w:t>20/35</w:t>
            </w:r>
          </w:p>
        </w:tc>
        <w:tc>
          <w:tcPr>
            <w:tcW w:w="439" w:type="pct"/>
          </w:tcPr>
          <w:p>
            <w:pPr>
              <w:rPr>
                <w:color w:val="000000"/>
                <w:sz w:val="20"/>
                <w:szCs w:val="20"/>
              </w:rPr>
            </w:pPr>
          </w:p>
        </w:tc>
        <w:tc>
          <w:tcPr>
            <w:tcW w:w="439" w:type="pct"/>
          </w:tcPr>
          <w:p>
            <w:pPr>
              <w:rPr>
                <w:color w:val="000000"/>
                <w:sz w:val="20"/>
                <w:szCs w:val="20"/>
              </w:rPr>
            </w:pPr>
            <w:r w:rsidR="00114846">
              <w:rPr>
                <w:color w:val="000000"/>
                <w:sz w:val="20"/>
                <w:szCs w:val="20"/>
              </w:rPr>
              <w:t>15/26</w:t>
            </w:r>
          </w:p>
        </w:tc>
        <w:tc>
          <w:tcPr>
            <w:tcW w:w="439" w:type="pct"/>
          </w:tcPr>
          <w:p>
            <w:pPr>
              <w:rPr>
                <w:color w:val="000000"/>
                <w:sz w:val="20"/>
                <w:szCs w:val="20"/>
              </w:rPr>
            </w:pPr>
          </w:p>
        </w:tc>
        <w:tc>
          <w:tcPr>
            <w:tcW w:w="439" w:type="pct"/>
          </w:tcPr>
          <w:p>
            <w:pPr>
              <w:rPr>
                <w:color w:val="000000"/>
                <w:sz w:val="20"/>
                <w:szCs w:val="20"/>
              </w:rPr>
            </w:pPr>
            <w:r w:rsidR="00114846">
              <w:rPr>
                <w:color w:val="000000"/>
                <w:sz w:val="20"/>
                <w:szCs w:val="20"/>
              </w:rPr>
              <w:t>13/24</w:t>
            </w:r>
          </w:p>
        </w:tc>
        <w:tc>
          <w:tcPr>
            <w:tcW w:w="439" w:type="pct"/>
          </w:tcPr>
          <w:p>
            <w:pPr>
              <w:rPr>
                <w:color w:val="000000"/>
                <w:sz w:val="20"/>
                <w:szCs w:val="20"/>
              </w:rPr>
            </w:pPr>
          </w:p>
        </w:tc>
        <w:tc>
          <w:tcPr>
            <w:tcW w:w="439" w:type="pct"/>
          </w:tcPr>
          <w:p>
            <w:pPr>
              <w:rPr>
                <w:color w:val="000000"/>
                <w:sz w:val="20"/>
                <w:szCs w:val="20"/>
              </w:rPr>
            </w:pPr>
            <w:r w:rsidR="00114846">
              <w:rPr>
                <w:color w:val="000000"/>
                <w:sz w:val="20"/>
                <w:szCs w:val="20"/>
              </w:rPr>
              <w:t>13/21</w:t>
            </w:r>
          </w:p>
        </w:tc>
      </w:tr>
      <w:tr w:rsidR="00114846" w:rsidTr="0048096D">
        <w:tc>
          <w:tcPr>
            <w:tcW w:w="1051" w:type="pct"/>
          </w:tcPr>
          <w:p>
            <w:pPr>
              <w:rPr>
                <w:i/>
                <w:iCs/>
                <w:color w:val="000000"/>
              </w:rPr>
            </w:pPr>
            <w:r w:rsidR="00114846">
              <w:rPr>
                <w:i/>
                <w:iCs/>
                <w:color w:val="000000"/>
              </w:rPr>
              <w:t>Edw 3000</w:t>
            </w:r>
          </w:p>
        </w:tc>
        <w:tc>
          <w:tcPr>
            <w:tcW w:w="439" w:type="pct"/>
          </w:tcPr>
          <w:p>
            <w:pPr>
              <w:rPr>
                <w:color w:val="000000"/>
                <w:sz w:val="20"/>
                <w:szCs w:val="20"/>
              </w:rPr>
            </w:pPr>
            <w:r w:rsidR="00114846">
              <w:rPr>
                <w:color w:val="000000"/>
                <w:sz w:val="20"/>
                <w:szCs w:val="20"/>
              </w:rPr>
              <w:t>22/37</w:t>
            </w:r>
          </w:p>
        </w:tc>
        <w:tc>
          <w:tcPr>
            <w:tcW w:w="439" w:type="pct"/>
          </w:tcPr>
          <w:p>
            <w:pPr>
              <w:rPr>
                <w:color w:val="000000"/>
                <w:sz w:val="20"/>
                <w:szCs w:val="20"/>
              </w:rPr>
            </w:pPr>
          </w:p>
        </w:tc>
        <w:tc>
          <w:tcPr>
            <w:tcW w:w="439" w:type="pct"/>
          </w:tcPr>
          <w:p>
            <w:pPr>
              <w:rPr>
                <w:color w:val="000000"/>
                <w:sz w:val="20"/>
                <w:szCs w:val="20"/>
              </w:rPr>
            </w:pPr>
            <w:r w:rsidR="00114846">
              <w:rPr>
                <w:color w:val="000000"/>
                <w:sz w:val="20"/>
                <w:szCs w:val="20"/>
              </w:rPr>
              <w:t>15/26</w:t>
            </w:r>
          </w:p>
        </w:tc>
        <w:tc>
          <w:tcPr>
            <w:tcW w:w="439" w:type="pct"/>
          </w:tcPr>
          <w:p>
            <w:pPr>
              <w:rPr>
                <w:color w:val="000000"/>
                <w:sz w:val="20"/>
                <w:szCs w:val="20"/>
              </w:rPr>
            </w:pPr>
          </w:p>
        </w:tc>
        <w:tc>
          <w:tcPr>
            <w:tcW w:w="439" w:type="pct"/>
          </w:tcPr>
          <w:p>
            <w:pPr>
              <w:rPr>
                <w:color w:val="000000"/>
                <w:sz w:val="20"/>
                <w:szCs w:val="20"/>
              </w:rPr>
            </w:pPr>
            <w:r w:rsidR="00114846">
              <w:rPr>
                <w:color w:val="000000"/>
                <w:sz w:val="20"/>
                <w:szCs w:val="20"/>
              </w:rPr>
              <w:t>13/24</w:t>
            </w:r>
          </w:p>
        </w:tc>
        <w:tc>
          <w:tcPr>
            <w:tcW w:w="439" w:type="pct"/>
          </w:tcPr>
          <w:p>
            <w:pPr>
              <w:rPr>
                <w:color w:val="000000"/>
                <w:sz w:val="20"/>
                <w:szCs w:val="20"/>
              </w:rPr>
            </w:pPr>
          </w:p>
        </w:tc>
        <w:tc>
          <w:tcPr>
            <w:tcW w:w="439" w:type="pct"/>
          </w:tcPr>
          <w:p>
            <w:pPr>
              <w:rPr>
                <w:color w:val="000000"/>
                <w:sz w:val="20"/>
                <w:szCs w:val="20"/>
              </w:rPr>
            </w:pPr>
          </w:p>
        </w:tc>
        <w:tc>
          <w:tcPr>
            <w:tcW w:w="439" w:type="pct"/>
          </w:tcPr>
          <w:p>
            <w:pPr>
              <w:rPr>
                <w:color w:val="000000"/>
                <w:sz w:val="20"/>
                <w:szCs w:val="20"/>
              </w:rPr>
            </w:pPr>
          </w:p>
        </w:tc>
        <w:tc>
          <w:tcPr>
            <w:tcW w:w="439" w:type="pct"/>
          </w:tcPr>
          <w:p>
            <w:pPr>
              <w:rPr>
                <w:color w:val="000000"/>
                <w:sz w:val="20"/>
                <w:szCs w:val="20"/>
              </w:rPr>
            </w:pPr>
          </w:p>
        </w:tc>
      </w:tr>
      <w:tr w:rsidR="00114846" w:rsidTr="0048096D">
        <w:tc>
          <w:tcPr>
            <w:tcW w:w="1051" w:type="pct"/>
          </w:tcPr>
          <w:p>
            <w:pPr>
              <w:rPr>
                <w:i/>
                <w:iCs/>
                <w:color w:val="000000"/>
              </w:rPr>
            </w:pPr>
            <w:r w:rsidR="00114846">
              <w:rPr>
                <w:i/>
                <w:iCs/>
                <w:color w:val="000000"/>
              </w:rPr>
              <w:t>MH Mosaic</w:t>
            </w:r>
          </w:p>
        </w:tc>
        <w:tc>
          <w:tcPr>
            <w:tcW w:w="439" w:type="pct"/>
          </w:tcPr>
          <w:p>
            <w:pPr>
              <w:rPr>
                <w:color w:val="000000"/>
                <w:sz w:val="20"/>
                <w:szCs w:val="20"/>
              </w:rPr>
            </w:pPr>
          </w:p>
        </w:tc>
        <w:tc>
          <w:tcPr>
            <w:tcW w:w="439" w:type="pct"/>
          </w:tcPr>
          <w:p>
            <w:pPr>
              <w:rPr>
                <w:color w:val="000000"/>
                <w:sz w:val="20"/>
                <w:szCs w:val="20"/>
              </w:rPr>
            </w:pPr>
          </w:p>
        </w:tc>
        <w:tc>
          <w:tcPr>
            <w:tcW w:w="439" w:type="pct"/>
          </w:tcPr>
          <w:p>
            <w:pPr>
              <w:rPr>
                <w:color w:val="000000"/>
                <w:sz w:val="20"/>
                <w:szCs w:val="20"/>
              </w:rPr>
            </w:pPr>
            <w:r w:rsidR="00114846">
              <w:rPr>
                <w:color w:val="000000"/>
                <w:sz w:val="20"/>
                <w:szCs w:val="20"/>
              </w:rPr>
              <w:t>22/40</w:t>
            </w:r>
          </w:p>
        </w:tc>
        <w:tc>
          <w:tcPr>
            <w:tcW w:w="439" w:type="pct"/>
          </w:tcPr>
          <w:p>
            <w:pPr>
              <w:rPr>
                <w:color w:val="000000"/>
                <w:sz w:val="20"/>
                <w:szCs w:val="20"/>
              </w:rPr>
            </w:pPr>
          </w:p>
        </w:tc>
        <w:tc>
          <w:tcPr>
            <w:tcW w:w="439" w:type="pct"/>
          </w:tcPr>
          <w:p>
            <w:pPr>
              <w:rPr>
                <w:color w:val="000000"/>
                <w:sz w:val="20"/>
                <w:szCs w:val="20"/>
              </w:rPr>
            </w:pPr>
            <w:r w:rsidR="00114846">
              <w:rPr>
                <w:color w:val="000000"/>
                <w:sz w:val="20"/>
                <w:szCs w:val="20"/>
              </w:rPr>
              <w:t>23/39</w:t>
            </w:r>
          </w:p>
        </w:tc>
        <w:tc>
          <w:tcPr>
            <w:tcW w:w="439" w:type="pct"/>
          </w:tcPr>
          <w:p>
            <w:pPr>
              <w:rPr>
                <w:color w:val="000000"/>
                <w:sz w:val="20"/>
                <w:szCs w:val="20"/>
              </w:rPr>
            </w:pPr>
          </w:p>
        </w:tc>
        <w:tc>
          <w:tcPr>
            <w:tcW w:w="439" w:type="pct"/>
          </w:tcPr>
          <w:p>
            <w:pPr>
              <w:rPr>
                <w:color w:val="000000"/>
                <w:sz w:val="20"/>
                <w:szCs w:val="20"/>
              </w:rPr>
            </w:pPr>
            <w:r w:rsidR="00114846">
              <w:rPr>
                <w:color w:val="000000"/>
                <w:sz w:val="20"/>
                <w:szCs w:val="20"/>
              </w:rPr>
              <w:t>14/25</w:t>
            </w:r>
          </w:p>
        </w:tc>
        <w:tc>
          <w:tcPr>
            <w:tcW w:w="439" w:type="pct"/>
          </w:tcPr>
          <w:p>
            <w:pPr>
              <w:rPr>
                <w:color w:val="000000"/>
                <w:sz w:val="20"/>
                <w:szCs w:val="20"/>
              </w:rPr>
            </w:pPr>
          </w:p>
        </w:tc>
        <w:tc>
          <w:tcPr>
            <w:tcW w:w="439" w:type="pct"/>
          </w:tcPr>
          <w:p>
            <w:pPr>
              <w:rPr>
                <w:color w:val="000000"/>
                <w:sz w:val="20"/>
                <w:szCs w:val="20"/>
              </w:rPr>
            </w:pPr>
            <w:r w:rsidR="00114846">
              <w:rPr>
                <w:color w:val="000000"/>
                <w:sz w:val="20"/>
                <w:szCs w:val="20"/>
              </w:rPr>
              <w:t>15/29</w:t>
            </w:r>
          </w:p>
        </w:tc>
      </w:tr>
      <w:tr w:rsidR="00114846" w:rsidTr="0048096D">
        <w:tc>
          <w:tcPr>
            <w:tcW w:w="1051" w:type="pct"/>
          </w:tcPr>
          <w:p>
            <w:pPr>
              <w:rPr>
                <w:i/>
                <w:iCs/>
                <w:color w:val="000000"/>
              </w:rPr>
            </w:pPr>
            <w:r w:rsidR="00114846">
              <w:rPr>
                <w:i/>
                <w:iCs/>
                <w:color w:val="000000"/>
              </w:rPr>
              <w:t>SJM Epic</w:t>
            </w:r>
          </w:p>
        </w:tc>
        <w:tc>
          <w:tcPr>
            <w:tcW w:w="439" w:type="pct"/>
          </w:tcPr>
          <w:p>
            <w:pPr>
              <w:rPr>
                <w:color w:val="000000"/>
                <w:sz w:val="20"/>
                <w:szCs w:val="20"/>
              </w:rPr>
            </w:pPr>
          </w:p>
        </w:tc>
        <w:tc>
          <w:tcPr>
            <w:tcW w:w="439" w:type="pct"/>
          </w:tcPr>
          <w:p>
            <w:pPr>
              <w:rPr>
                <w:color w:val="000000"/>
                <w:sz w:val="20"/>
                <w:szCs w:val="20"/>
              </w:rPr>
            </w:pPr>
          </w:p>
        </w:tc>
        <w:tc>
          <w:tcPr>
            <w:tcW w:w="439" w:type="pct"/>
          </w:tcPr>
          <w:p>
            <w:pPr>
              <w:rPr>
                <w:color w:val="000000"/>
                <w:sz w:val="20"/>
                <w:szCs w:val="20"/>
              </w:rPr>
            </w:pPr>
          </w:p>
        </w:tc>
        <w:tc>
          <w:tcPr>
            <w:tcW w:w="439" w:type="pct"/>
          </w:tcPr>
          <w:p>
            <w:pPr>
              <w:rPr>
                <w:color w:val="000000"/>
                <w:sz w:val="20"/>
                <w:szCs w:val="20"/>
              </w:rPr>
            </w:pPr>
          </w:p>
        </w:tc>
        <w:tc>
          <w:tcPr>
            <w:tcW w:w="439" w:type="pct"/>
          </w:tcPr>
          <w:p>
            <w:pPr>
              <w:rPr>
                <w:color w:val="000000"/>
                <w:sz w:val="20"/>
                <w:szCs w:val="20"/>
              </w:rPr>
            </w:pPr>
            <w:r w:rsidR="00114846">
              <w:rPr>
                <w:color w:val="000000"/>
                <w:sz w:val="20"/>
                <w:szCs w:val="20"/>
              </w:rPr>
              <w:t>17/31</w:t>
            </w:r>
          </w:p>
        </w:tc>
        <w:tc>
          <w:tcPr>
            <w:tcW w:w="439" w:type="pct"/>
          </w:tcPr>
          <w:p>
            <w:pPr>
              <w:rPr>
                <w:color w:val="000000"/>
                <w:sz w:val="20"/>
                <w:szCs w:val="20"/>
              </w:rPr>
            </w:pPr>
          </w:p>
        </w:tc>
        <w:tc>
          <w:tcPr>
            <w:tcW w:w="439" w:type="pct"/>
          </w:tcPr>
          <w:p>
            <w:pPr>
              <w:rPr>
                <w:color w:val="000000"/>
                <w:sz w:val="20"/>
                <w:szCs w:val="20"/>
              </w:rPr>
            </w:pPr>
            <w:r w:rsidR="00114846">
              <w:rPr>
                <w:color w:val="000000"/>
                <w:sz w:val="20"/>
                <w:szCs w:val="20"/>
              </w:rPr>
              <w:t>16/27</w:t>
            </w:r>
          </w:p>
        </w:tc>
        <w:tc>
          <w:tcPr>
            <w:tcW w:w="439" w:type="pct"/>
          </w:tcPr>
          <w:p>
            <w:pPr>
              <w:rPr>
                <w:color w:val="000000"/>
                <w:sz w:val="20"/>
                <w:szCs w:val="20"/>
              </w:rPr>
            </w:pPr>
          </w:p>
        </w:tc>
        <w:tc>
          <w:tcPr>
            <w:tcW w:w="439" w:type="pct"/>
          </w:tcPr>
          <w:p>
            <w:pPr>
              <w:rPr>
                <w:color w:val="000000"/>
                <w:sz w:val="20"/>
                <w:szCs w:val="20"/>
              </w:rPr>
            </w:pPr>
            <w:r w:rsidR="00114846">
              <w:rPr>
                <w:color w:val="000000"/>
                <w:sz w:val="20"/>
                <w:szCs w:val="20"/>
              </w:rPr>
              <w:t>14/25</w:t>
            </w:r>
          </w:p>
        </w:tc>
      </w:tr>
      <w:tr w:rsidR="00114846" w:rsidTr="0048096D">
        <w:tc>
          <w:tcPr>
            <w:tcW w:w="1051" w:type="pct"/>
          </w:tcPr>
          <w:p>
            <w:pPr>
              <w:rPr>
                <w:i/>
                <w:iCs/>
                <w:color w:val="000000"/>
              </w:rPr>
            </w:pPr>
            <w:r w:rsidR="00114846">
              <w:rPr>
                <w:i/>
                <w:iCs/>
                <w:color w:val="000000"/>
              </w:rPr>
              <w:t>Sorin More</w:t>
            </w:r>
          </w:p>
        </w:tc>
        <w:tc>
          <w:tcPr>
            <w:tcW w:w="439" w:type="pct"/>
          </w:tcPr>
          <w:p>
            <w:pPr>
              <w:rPr>
                <w:color w:val="000000"/>
                <w:sz w:val="20"/>
                <w:szCs w:val="20"/>
              </w:rPr>
            </w:pPr>
          </w:p>
        </w:tc>
        <w:tc>
          <w:tcPr>
            <w:tcW w:w="439" w:type="pct"/>
          </w:tcPr>
          <w:p>
            <w:pPr>
              <w:rPr>
                <w:color w:val="000000"/>
                <w:sz w:val="20"/>
                <w:szCs w:val="20"/>
              </w:rPr>
            </w:pPr>
          </w:p>
        </w:tc>
        <w:tc>
          <w:tcPr>
            <w:tcW w:w="439" w:type="pct"/>
          </w:tcPr>
          <w:p>
            <w:pPr>
              <w:rPr>
                <w:color w:val="000000"/>
                <w:sz w:val="20"/>
                <w:szCs w:val="20"/>
              </w:rPr>
            </w:pPr>
            <w:r w:rsidR="00114846">
              <w:rPr>
                <w:color w:val="000000"/>
                <w:sz w:val="20"/>
                <w:szCs w:val="20"/>
              </w:rPr>
              <w:t>30/50</w:t>
            </w:r>
          </w:p>
        </w:tc>
        <w:tc>
          <w:tcPr>
            <w:tcW w:w="439" w:type="pct"/>
          </w:tcPr>
          <w:p>
            <w:pPr>
              <w:rPr>
                <w:color w:val="000000"/>
                <w:sz w:val="20"/>
                <w:szCs w:val="20"/>
              </w:rPr>
            </w:pPr>
          </w:p>
        </w:tc>
        <w:tc>
          <w:tcPr>
            <w:tcW w:w="439" w:type="pct"/>
          </w:tcPr>
          <w:p>
            <w:pPr>
              <w:rPr>
                <w:color w:val="000000"/>
                <w:sz w:val="20"/>
                <w:szCs w:val="20"/>
              </w:rPr>
            </w:pPr>
            <w:r w:rsidR="00114846">
              <w:rPr>
                <w:color w:val="000000"/>
                <w:sz w:val="20"/>
                <w:szCs w:val="20"/>
              </w:rPr>
              <w:t>22/38</w:t>
            </w:r>
          </w:p>
        </w:tc>
        <w:tc>
          <w:tcPr>
            <w:tcW w:w="439" w:type="pct"/>
          </w:tcPr>
          <w:p>
            <w:pPr>
              <w:rPr>
                <w:color w:val="000000"/>
                <w:sz w:val="20"/>
                <w:szCs w:val="20"/>
              </w:rPr>
            </w:pPr>
          </w:p>
        </w:tc>
        <w:tc>
          <w:tcPr>
            <w:tcW w:w="439" w:type="pct"/>
          </w:tcPr>
          <w:p>
            <w:pPr>
              <w:rPr>
                <w:color w:val="000000"/>
                <w:sz w:val="20"/>
                <w:szCs w:val="20"/>
              </w:rPr>
            </w:pPr>
            <w:r w:rsidR="00114846">
              <w:rPr>
                <w:color w:val="000000"/>
                <w:sz w:val="20"/>
                <w:szCs w:val="20"/>
              </w:rPr>
              <w:t>18/31</w:t>
            </w:r>
          </w:p>
        </w:tc>
        <w:tc>
          <w:tcPr>
            <w:tcW w:w="439" w:type="pct"/>
          </w:tcPr>
          <w:p>
            <w:pPr>
              <w:rPr>
                <w:color w:val="000000"/>
                <w:sz w:val="20"/>
                <w:szCs w:val="20"/>
              </w:rPr>
            </w:pPr>
          </w:p>
        </w:tc>
        <w:tc>
          <w:tcPr>
            <w:tcW w:w="439" w:type="pct"/>
          </w:tcPr>
          <w:p>
            <w:pPr>
              <w:rPr>
                <w:color w:val="000000"/>
                <w:sz w:val="20"/>
                <w:szCs w:val="20"/>
              </w:rPr>
            </w:pPr>
            <w:r w:rsidR="00114846">
              <w:rPr>
                <w:color w:val="000000"/>
                <w:sz w:val="20"/>
                <w:szCs w:val="20"/>
              </w:rPr>
              <w:t>13/26</w:t>
            </w:r>
          </w:p>
        </w:tc>
      </w:tr>
      <w:tr w:rsidR="00114846" w:rsidTr="0048096D">
        <w:tc>
          <w:tcPr>
            <w:tcW w:w="1051" w:type="pct"/>
          </w:tcPr>
          <w:p>
            <w:pPr>
              <w:rPr>
                <w:i/>
                <w:iCs/>
                <w:color w:val="000000"/>
              </w:rPr>
            </w:pPr>
            <w:r w:rsidR="00114846">
              <w:rPr>
                <w:i/>
                <w:iCs/>
                <w:color w:val="000000"/>
              </w:rPr>
              <w:t>Sorin Soprano</w:t>
            </w:r>
          </w:p>
        </w:tc>
        <w:tc>
          <w:tcPr>
            <w:tcW w:w="439" w:type="pct"/>
          </w:tcPr>
          <w:p>
            <w:pPr>
              <w:rPr>
                <w:color w:val="000000"/>
                <w:sz w:val="20"/>
                <w:szCs w:val="20"/>
              </w:rPr>
            </w:pPr>
          </w:p>
        </w:tc>
        <w:tc>
          <w:tcPr>
            <w:tcW w:w="439" w:type="pct"/>
          </w:tcPr>
          <w:p>
            <w:pPr>
              <w:rPr>
                <w:color w:val="000000"/>
                <w:sz w:val="20"/>
                <w:szCs w:val="20"/>
              </w:rPr>
            </w:pPr>
            <w:r w:rsidR="00114846">
              <w:rPr>
                <w:color w:val="000000"/>
                <w:sz w:val="20"/>
                <w:szCs w:val="20"/>
              </w:rPr>
              <w:t>17/29</w:t>
            </w:r>
          </w:p>
        </w:tc>
        <w:tc>
          <w:tcPr>
            <w:tcW w:w="439" w:type="pct"/>
          </w:tcPr>
          <w:p>
            <w:pPr>
              <w:rPr>
                <w:color w:val="000000"/>
                <w:sz w:val="20"/>
                <w:szCs w:val="20"/>
              </w:rPr>
            </w:pPr>
          </w:p>
        </w:tc>
        <w:tc>
          <w:tcPr>
            <w:tcW w:w="439" w:type="pct"/>
          </w:tcPr>
          <w:p>
            <w:pPr>
              <w:rPr>
                <w:color w:val="000000"/>
                <w:sz w:val="20"/>
                <w:szCs w:val="20"/>
              </w:rPr>
            </w:pPr>
            <w:r w:rsidR="00114846">
              <w:rPr>
                <w:color w:val="000000"/>
                <w:sz w:val="20"/>
                <w:szCs w:val="20"/>
              </w:rPr>
              <w:t>14/24</w:t>
            </w:r>
          </w:p>
        </w:tc>
        <w:tc>
          <w:tcPr>
            <w:tcW w:w="439" w:type="pct"/>
          </w:tcPr>
          <w:p>
            <w:pPr>
              <w:rPr>
                <w:color w:val="000000"/>
                <w:sz w:val="20"/>
                <w:szCs w:val="20"/>
              </w:rPr>
            </w:pPr>
          </w:p>
        </w:tc>
        <w:tc>
          <w:tcPr>
            <w:tcW w:w="439" w:type="pct"/>
          </w:tcPr>
          <w:p>
            <w:pPr>
              <w:rPr>
                <w:color w:val="000000"/>
                <w:sz w:val="20"/>
                <w:szCs w:val="20"/>
              </w:rPr>
            </w:pPr>
            <w:r w:rsidR="00114846">
              <w:rPr>
                <w:color w:val="000000"/>
                <w:sz w:val="20"/>
                <w:szCs w:val="20"/>
              </w:rPr>
              <w:t>12/21</w:t>
            </w:r>
          </w:p>
        </w:tc>
        <w:tc>
          <w:tcPr>
            <w:tcW w:w="439" w:type="pct"/>
          </w:tcPr>
          <w:p>
            <w:pPr>
              <w:rPr>
                <w:color w:val="000000"/>
                <w:sz w:val="20"/>
                <w:szCs w:val="20"/>
              </w:rPr>
            </w:pPr>
          </w:p>
        </w:tc>
        <w:tc>
          <w:tcPr>
            <w:tcW w:w="439" w:type="pct"/>
          </w:tcPr>
          <w:p>
            <w:pPr>
              <w:rPr>
                <w:color w:val="000000"/>
                <w:sz w:val="20"/>
                <w:szCs w:val="20"/>
              </w:rPr>
            </w:pPr>
            <w:r w:rsidR="00114846">
              <w:rPr>
                <w:color w:val="000000"/>
                <w:sz w:val="20"/>
                <w:szCs w:val="20"/>
              </w:rPr>
              <w:t>12/27</w:t>
            </w:r>
          </w:p>
        </w:tc>
        <w:tc>
          <w:tcPr>
            <w:tcW w:w="439" w:type="pct"/>
          </w:tcPr>
          <w:p>
            <w:pPr>
              <w:rPr>
                <w:color w:val="000000"/>
                <w:sz w:val="20"/>
                <w:szCs w:val="20"/>
              </w:rPr>
            </w:pPr>
          </w:p>
        </w:tc>
      </w:tr>
      <w:tr w:rsidR="00114846" w:rsidTr="0048096D">
        <w:tc>
          <w:tcPr>
            <w:tcW w:w="1051" w:type="pct"/>
          </w:tcPr>
          <w:p>
            <w:pPr>
              <w:rPr>
                <w:b/>
                <w:i/>
                <w:iCs/>
                <w:color w:val="000000"/>
              </w:rPr>
            </w:pPr>
            <w:r w:rsidR="00114846">
              <w:rPr>
                <w:b/>
                <w:i/>
                <w:iCs/>
                <w:color w:val="000000"/>
              </w:rPr>
              <w:t>Celkem</w:t>
            </w:r>
          </w:p>
        </w:tc>
        <w:tc>
          <w:tcPr>
            <w:tcW w:w="439" w:type="pct"/>
          </w:tcPr>
          <w:p>
            <w:pPr>
              <w:rPr>
                <w:i/>
                <w:color w:val="000000"/>
              </w:rPr>
            </w:pPr>
            <w:r w:rsidR="00114846">
              <w:rPr>
                <w:i/>
                <w:color w:val="000000"/>
              </w:rPr>
              <w:t>12</w:t>
            </w:r>
          </w:p>
        </w:tc>
        <w:tc>
          <w:tcPr>
            <w:tcW w:w="439" w:type="pct"/>
          </w:tcPr>
          <w:p>
            <w:pPr>
              <w:rPr>
                <w:i/>
                <w:color w:val="000000"/>
              </w:rPr>
            </w:pPr>
            <w:r w:rsidR="00114846">
              <w:rPr>
                <w:i/>
                <w:color w:val="000000"/>
              </w:rPr>
              <w:t>25</w:t>
            </w:r>
          </w:p>
        </w:tc>
        <w:tc>
          <w:tcPr>
            <w:tcW w:w="439" w:type="pct"/>
          </w:tcPr>
          <w:p>
            <w:pPr>
              <w:rPr>
                <w:i/>
                <w:color w:val="000000"/>
              </w:rPr>
            </w:pPr>
            <w:r w:rsidR="00114846">
              <w:rPr>
                <w:i/>
                <w:color w:val="000000"/>
              </w:rPr>
              <w:t>77</w:t>
            </w:r>
          </w:p>
        </w:tc>
        <w:tc>
          <w:tcPr>
            <w:tcW w:w="439" w:type="pct"/>
          </w:tcPr>
          <w:p>
            <w:pPr>
              <w:rPr>
                <w:i/>
                <w:color w:val="000000"/>
              </w:rPr>
            </w:pPr>
            <w:r w:rsidR="00114846">
              <w:rPr>
                <w:i/>
                <w:color w:val="000000"/>
              </w:rPr>
              <w:t>17</w:t>
            </w:r>
          </w:p>
        </w:tc>
        <w:tc>
          <w:tcPr>
            <w:tcW w:w="439" w:type="pct"/>
          </w:tcPr>
          <w:p>
            <w:pPr>
              <w:rPr>
                <w:i/>
                <w:color w:val="000000"/>
              </w:rPr>
            </w:pPr>
            <w:r w:rsidR="00114846">
              <w:rPr>
                <w:i/>
                <w:color w:val="000000"/>
              </w:rPr>
              <w:t>85</w:t>
            </w:r>
          </w:p>
        </w:tc>
        <w:tc>
          <w:tcPr>
            <w:tcW w:w="439" w:type="pct"/>
          </w:tcPr>
          <w:p>
            <w:pPr>
              <w:rPr>
                <w:i/>
                <w:color w:val="000000"/>
              </w:rPr>
            </w:pPr>
            <w:r w:rsidR="00114846">
              <w:rPr>
                <w:i/>
                <w:color w:val="000000"/>
              </w:rPr>
              <w:t>15</w:t>
            </w:r>
          </w:p>
        </w:tc>
        <w:tc>
          <w:tcPr>
            <w:tcW w:w="439" w:type="pct"/>
          </w:tcPr>
          <w:p>
            <w:pPr>
              <w:rPr>
                <w:i/>
                <w:color w:val="000000"/>
              </w:rPr>
            </w:pPr>
            <w:r w:rsidR="00114846">
              <w:rPr>
                <w:i/>
                <w:color w:val="000000"/>
              </w:rPr>
              <w:t>46</w:t>
            </w:r>
          </w:p>
        </w:tc>
        <w:tc>
          <w:tcPr>
            <w:tcW w:w="439" w:type="pct"/>
          </w:tcPr>
          <w:p>
            <w:pPr>
              <w:rPr>
                <w:i/>
                <w:color w:val="000000"/>
                <w:lang w:val="en-US"/>
              </w:rPr>
            </w:pPr>
            <w:r w:rsidR="00114846">
              <w:rPr>
                <w:i/>
                <w:color w:val="000000"/>
                <w:lang w:val="en-US"/>
              </w:rPr>
              <w:t>2</w:t>
            </w:r>
          </w:p>
        </w:tc>
        <w:tc>
          <w:tcPr>
            <w:tcW w:w="439" w:type="pct"/>
          </w:tcPr>
          <w:p>
            <w:pPr>
              <w:rPr>
                <w:i/>
                <w:color w:val="000000"/>
              </w:rPr>
            </w:pPr>
            <w:r w:rsidR="00114846">
              <w:rPr>
                <w:i/>
                <w:color w:val="000000"/>
              </w:rPr>
              <w:t>17</w:t>
            </w:r>
          </w:p>
        </w:tc>
      </w:tr>
    </w:tbl>
    <w:p>
      <w:pPr>
        <w:rPr>
          <w:color w:val="000000"/>
        </w:rPr>
      </w:pPr>
    </w:p>
    <w:p>
      <w:pPr>
        <w:rPr>
          <w:i/>
          <w:color w:val="000000"/>
        </w:rPr>
      </w:pPr>
      <w:r w:rsidR="00114846">
        <w:rPr>
          <w:i/>
          <w:color w:val="000000"/>
        </w:rPr>
        <w:t xml:space="preserve">Tab. 6: Průměrné střední / vrcholové gradienty (mmHg) u chlopní různých výrobců seřazené dle velikosti </w:t>
      </w:r>
    </w:p>
    <w:p>
      <w:pPr>
        <w:rPr>
          <w:color w:val="000000"/>
        </w:rPr>
      </w:pPr>
    </w:p>
    <w:p>
      <w:pPr>
        <w:rPr>
          <w:color w:val="000000"/>
        </w:rPr>
      </w:pPr>
    </w:p>
    <w:p>
      <w:pPr>
        <w:rPr>
          <w:color w:val="000000"/>
        </w:rPr>
      </w:pPr>
    </w:p>
    <w:p>
      <w:pPr>
        <w:spacing w:line="360" w:lineRule="auto"/>
        <w:jc w:val="both"/>
        <w:rPr>
          <w:color w:val="000000"/>
        </w:rPr>
      </w:pPr>
      <w:r w:rsidR="00114846">
        <w:rPr>
          <w:color w:val="000000"/>
        </w:rPr>
        <w:tab/>
        <w:t>Statisticky byly porovnány střední a vrcholové gradienty na bioprotézách jednotlivých výrobců pro velikosti 21, 23, 25 a 27. Pro velikost 19 nebyla statistika provedena – použity byly bioprotézy pouze jednoho výrobce – Edwards 3000 (Magna). Vzhledem k jinému výrobnímu číslování nebyly do statistiky zahrnuty bioprotézy Sorin Soprano.</w:t>
      </w:r>
    </w:p>
    <w:p>
      <w:pPr>
        <w:spacing w:line="360" w:lineRule="auto"/>
        <w:jc w:val="both"/>
        <w:rPr>
          <w:color w:val="000000"/>
        </w:rPr>
      </w:pPr>
      <w:r w:rsidR="00114846">
        <w:rPr>
          <w:color w:val="000000"/>
        </w:rPr>
        <w:tab/>
        <w:t xml:space="preserve">Na následujících grafech je srovnání středních a vrcholových gradientů pro bioprotézy jednotlivých velikostí. </w:t>
      </w:r>
    </w:p>
    <w:p>
      <w:pPr>
        <w:spacing w:line="360" w:lineRule="auto"/>
        <w:rPr>
          <w:color w:val="000000"/>
        </w:rPr>
      </w:pPr>
    </w:p>
    <w:p>
      <w:pPr>
        <w:spacing w:line="360" w:lineRule="auto"/>
        <w:jc w:val="center"/>
        <w:rPr>
          <w:color w:val="000000"/>
        </w:rPr>
      </w:pPr>
      <w:r w:rsidR="00114846" w:rsidRPr="00F53091">
        <w:pict>
          <v:shape id="obrázek 12" o:spid="_x0000_i1036" type="#_x0000_t75" style="width:354pt;height:328.5pt;visibility:visible">
            <v:imagedata r:id="rId25" o:title=""/>
          </v:shape>
        </w:pict>
      </w:r>
    </w:p>
    <w:p>
      <w:pPr>
        <w:spacing w:line="360" w:lineRule="auto"/>
        <w:ind w:firstLine="708"/>
        <w:rPr>
          <w:i/>
          <w:color w:val="000000"/>
        </w:rPr>
      </w:pPr>
      <w:r w:rsidR="00114846">
        <w:rPr>
          <w:i/>
          <w:color w:val="000000"/>
        </w:rPr>
        <w:t>Graf 1: Srovnání středních gradientů (MG) u chlopní velikosti 21</w:t>
      </w:r>
    </w:p>
    <w:p>
      <w:pPr>
        <w:spacing w:line="360" w:lineRule="auto"/>
        <w:jc w:val="center"/>
        <w:rPr>
          <w:i/>
          <w:color w:val="000000"/>
        </w:rPr>
      </w:pPr>
      <w:r w:rsidR="00114846" w:rsidRPr="00F53091">
        <w:pict>
          <v:shape id="obrázek 13" o:spid="_x0000_i1037" type="#_x0000_t75" style="width:367.5pt;height:311.25pt;visibility:visible">
            <v:imagedata r:id="rId26" o:title=""/>
          </v:shape>
        </w:pict>
      </w:r>
    </w:p>
    <w:p>
      <w:pPr>
        <w:spacing w:line="360" w:lineRule="auto"/>
        <w:ind w:firstLine="708"/>
        <w:rPr>
          <w:i/>
          <w:color w:val="000000"/>
        </w:rPr>
      </w:pPr>
      <w:r w:rsidR="00114846">
        <w:rPr>
          <w:i/>
          <w:color w:val="000000"/>
        </w:rPr>
        <w:t>Graf 2: Srovnání vrcholových gradientů (PG) u chlopní velikosti 21</w:t>
      </w:r>
    </w:p>
    <w:p>
      <w:pPr>
        <w:rPr>
          <w:color w:val="000000"/>
        </w:rPr>
      </w:pPr>
    </w:p>
    <w:p>
      <w:pPr>
        <w:jc w:val="center"/>
        <w:rPr>
          <w:color w:val="000000"/>
        </w:rPr>
      </w:pPr>
      <w:r w:rsidR="00114846" w:rsidRPr="00F53091">
        <w:pict>
          <v:shape id="obrázek 14" o:spid="_x0000_i1038" type="#_x0000_t75" style="width:404.25pt;height:322.5pt;visibility:visible">
            <v:imagedata r:id="rId27" o:title=""/>
          </v:shape>
        </w:pict>
      </w:r>
    </w:p>
    <w:p>
      <w:pPr>
        <w:spacing w:line="360" w:lineRule="auto"/>
        <w:ind w:firstLine="708"/>
        <w:rPr>
          <w:i/>
          <w:color w:val="000000"/>
        </w:rPr>
      </w:pPr>
      <w:r w:rsidR="00114846">
        <w:rPr>
          <w:i/>
          <w:color w:val="000000"/>
        </w:rPr>
        <w:t>Graf 3: Srovnání středních gradientů (MG) u chlopní velikosti 23</w:t>
      </w:r>
    </w:p>
    <w:p>
      <w:pPr>
        <w:spacing w:line="360" w:lineRule="auto"/>
        <w:jc w:val="center"/>
        <w:rPr>
          <w:i/>
          <w:color w:val="000000"/>
        </w:rPr>
      </w:pPr>
      <w:r w:rsidR="00114846" w:rsidRPr="00F53091">
        <w:pict>
          <v:shape id="obrázek 15" o:spid="_x0000_i1039" type="#_x0000_t75" style="width:372pt;height:305.25pt;visibility:visible">
            <v:imagedata r:id="rId28" o:title=""/>
          </v:shape>
        </w:pict>
      </w:r>
    </w:p>
    <w:p>
      <w:pPr>
        <w:rPr>
          <w:color w:val="000000"/>
        </w:rPr>
      </w:pPr>
    </w:p>
    <w:p>
      <w:pPr>
        <w:spacing w:line="360" w:lineRule="auto"/>
        <w:rPr>
          <w:i/>
          <w:color w:val="000000"/>
        </w:rPr>
      </w:pPr>
      <w:r w:rsidR="00114846">
        <w:rPr>
          <w:color w:val="000000"/>
        </w:rPr>
        <w:tab/>
      </w:r>
      <w:r w:rsidR="00114846">
        <w:rPr>
          <w:i/>
          <w:color w:val="000000"/>
        </w:rPr>
        <w:t>Graf 4: Srovnání vrcholových gradientů (PG) u chlopní velikosti 23</w:t>
      </w:r>
    </w:p>
    <w:p>
      <w:pPr>
        <w:spacing w:line="360" w:lineRule="auto"/>
        <w:jc w:val="center"/>
        <w:rPr>
          <w:color w:val="000000"/>
        </w:rPr>
      </w:pPr>
      <w:r w:rsidR="00114846" w:rsidRPr="00F53091">
        <w:pict>
          <v:shape id="obrázek 16" o:spid="_x0000_i1040" type="#_x0000_t75" style="width:355.5pt;height:315.75pt;visibility:visible">
            <v:imagedata r:id="rId29" o:title=""/>
          </v:shape>
        </w:pict>
      </w:r>
    </w:p>
    <w:p>
      <w:pPr>
        <w:spacing w:line="360" w:lineRule="auto"/>
        <w:rPr>
          <w:i/>
          <w:color w:val="000000"/>
        </w:rPr>
      </w:pPr>
      <w:r w:rsidR="00114846">
        <w:rPr>
          <w:color w:val="000000"/>
        </w:rPr>
        <w:tab/>
      </w:r>
      <w:r w:rsidR="00114846">
        <w:rPr>
          <w:i/>
          <w:color w:val="000000"/>
        </w:rPr>
        <w:t>Graf 5: Srovnání středních gradientů (MG) u chlopní velikosti 25</w:t>
      </w:r>
    </w:p>
    <w:p>
      <w:pPr>
        <w:spacing w:line="360" w:lineRule="auto"/>
        <w:rPr>
          <w:color w:val="000000"/>
        </w:rPr>
      </w:pPr>
    </w:p>
    <w:p>
      <w:pPr>
        <w:spacing w:line="360" w:lineRule="auto"/>
        <w:jc w:val="center"/>
        <w:rPr>
          <w:color w:val="000000"/>
        </w:rPr>
      </w:pPr>
      <w:r w:rsidR="00114846" w:rsidRPr="00F53091">
        <w:pict>
          <v:shape id="obrázek 17" o:spid="_x0000_i1041" type="#_x0000_t75" style="width:315pt;height:296.25pt;visibility:visible">
            <v:imagedata r:id="rId30" o:title=""/>
          </v:shape>
        </w:pict>
      </w:r>
    </w:p>
    <w:p>
      <w:pPr>
        <w:spacing w:line="360" w:lineRule="auto"/>
        <w:rPr>
          <w:i/>
          <w:color w:val="000000"/>
        </w:rPr>
      </w:pPr>
      <w:r w:rsidR="00114846">
        <w:rPr>
          <w:color w:val="000000"/>
        </w:rPr>
        <w:tab/>
      </w:r>
      <w:r w:rsidR="00114846">
        <w:rPr>
          <w:i/>
          <w:color w:val="000000"/>
        </w:rPr>
        <w:t>Graf 6: Srovnání vrcholových gradientů (PG) u chlopní velikosti 25</w:t>
      </w:r>
    </w:p>
    <w:p>
      <w:pPr>
        <w:spacing w:line="360" w:lineRule="auto"/>
        <w:jc w:val="center"/>
        <w:rPr>
          <w:rFonts w:ascii="Arial" w:hAnsi="Arial" w:cs="Arial"/>
          <w:sz w:val="14"/>
          <w:szCs w:val="14"/>
        </w:rPr>
      </w:pPr>
      <w:r w:rsidR="00114846" w:rsidRPr="00F53091">
        <w:pict>
          <v:shape id="obrázek 18" o:spid="_x0000_i1042" type="#_x0000_t75" style="width:326.25pt;height:305.25pt;visibility:visible">
            <v:imagedata r:id="rId31" o:title=""/>
          </v:shape>
        </w:pict>
      </w:r>
    </w:p>
    <w:p>
      <w:pPr>
        <w:spacing w:line="360" w:lineRule="auto"/>
        <w:rPr>
          <w:i/>
          <w:color w:val="000000"/>
        </w:rPr>
      </w:pPr>
      <w:r w:rsidR="00114846">
        <w:rPr>
          <w:color w:val="000000"/>
        </w:rPr>
        <w:tab/>
      </w:r>
      <w:r w:rsidR="00114846">
        <w:rPr>
          <w:i/>
          <w:color w:val="000000"/>
        </w:rPr>
        <w:t>Graf 7: Srovnání středních gradientů (MG) u chlopní velikosti 27</w:t>
      </w:r>
    </w:p>
    <w:p>
      <w:pPr>
        <w:spacing w:line="360" w:lineRule="auto"/>
        <w:jc w:val="center"/>
        <w:rPr>
          <w:i/>
          <w:iCs/>
          <w:color w:val="000000"/>
        </w:rPr>
      </w:pPr>
      <w:r w:rsidR="00114846" w:rsidRPr="00F53091">
        <w:pict>
          <v:shape id="obrázek 19" o:spid="_x0000_i1043" type="#_x0000_t75" style="width:326.25pt;height:305.25pt;visibility:visible">
            <v:imagedata r:id="rId32" o:title=""/>
          </v:shape>
        </w:pict>
      </w:r>
    </w:p>
    <w:p>
      <w:pPr>
        <w:spacing w:line="360" w:lineRule="auto"/>
        <w:rPr>
          <w:i/>
          <w:color w:val="000000"/>
        </w:rPr>
      </w:pPr>
      <w:r w:rsidR="00114846">
        <w:rPr>
          <w:color w:val="000000"/>
        </w:rPr>
        <w:tab/>
      </w:r>
      <w:r w:rsidR="00114846">
        <w:rPr>
          <w:i/>
          <w:color w:val="000000"/>
        </w:rPr>
        <w:t>Graf 8 : Srovnání vrcholových gradientů (PG) u chlopní velikosti 27</w:t>
      </w:r>
    </w:p>
    <w:p>
      <w:pPr>
        <w:spacing w:line="360" w:lineRule="auto"/>
        <w:rPr>
          <w:i/>
          <w:color w:val="000000"/>
        </w:rPr>
      </w:pPr>
      <w:r w:rsidR="00114846">
        <w:rPr>
          <w:i/>
          <w:color w:val="000000"/>
        </w:rPr>
        <w:t>Legenda ke grafům: Edw 2900 – Edwards 2900, Edw Magn – Edwards 3000 (Magna), Edw Porc – Edwards 2650 (Porcine), MH Mosai – Medtronic Hall Mosaic, Sorin Mo – Sorin More</w:t>
      </w:r>
    </w:p>
    <w:p>
      <w:pPr>
        <w:pStyle w:val="Heading3"/>
        <w:spacing w:line="360" w:lineRule="auto"/>
        <w:ind w:firstLine="708"/>
        <w:rPr>
          <w:rFonts w:ascii="Times New Roman" w:hAnsi="Times New Roman" w:cs="Times New Roman"/>
          <w:b w:val="0"/>
          <w:sz w:val="24"/>
          <w:szCs w:val="24"/>
        </w:rPr>
      </w:pPr>
      <w:r w:rsidR="00114846">
        <w:rPr>
          <w:rFonts w:ascii="Times New Roman" w:hAnsi="Times New Roman" w:cs="Times New Roman"/>
          <w:b w:val="0"/>
          <w:sz w:val="24"/>
          <w:szCs w:val="24"/>
        </w:rPr>
        <w:t>Hodnoty gradientů byly statisticky porovnány pomocí analýzy rozptylu (ANOVA), hladina signifikance stanovena na 0,05. Byly vyvozeny následující závěry.</w:t>
      </w:r>
    </w:p>
    <w:p/>
    <w:p/>
    <w:p>
      <w:pPr>
        <w:spacing w:line="360" w:lineRule="auto"/>
        <w:rPr>
          <w:i/>
        </w:rPr>
      </w:pPr>
      <w:r w:rsidR="00114846" w:rsidRPr="00D84293">
        <w:rPr>
          <w:i/>
        </w:rPr>
        <w:t>Bioprotézy velikosti 21:</w:t>
      </w:r>
    </w:p>
    <w:p>
      <w:pPr>
        <w:numPr>
          <w:ilvl w:val="0"/>
          <w:numId w:val="6"/>
        </w:numPr>
        <w:spacing w:line="360" w:lineRule="auto"/>
      </w:pPr>
      <w:r w:rsidR="00114846" w:rsidRPr="00792434">
        <w:t xml:space="preserve">Sorin More </w:t>
      </w:r>
      <w:r w:rsidR="00114846">
        <w:t xml:space="preserve">vykazuje </w:t>
      </w:r>
      <w:r w:rsidR="00114846" w:rsidRPr="00792434">
        <w:t xml:space="preserve">signifikantně vyšší hodnoty </w:t>
      </w:r>
      <w:r w:rsidR="00114846">
        <w:t>středního gradientu</w:t>
      </w:r>
      <w:r w:rsidR="00114846" w:rsidRPr="00792434">
        <w:t xml:space="preserve"> než ostatní výrobci. </w:t>
      </w:r>
      <w:r w:rsidR="00114846">
        <w:t xml:space="preserve">Edwards </w:t>
      </w:r>
      <w:r w:rsidR="00114846" w:rsidRPr="00792434">
        <w:t>Magna</w:t>
      </w:r>
      <w:r w:rsidR="00114846">
        <w:t xml:space="preserve"> vykazuje</w:t>
      </w:r>
      <w:r w:rsidR="00114846" w:rsidRPr="00792434">
        <w:t xml:space="preserve"> signifikantně nižší </w:t>
      </w:r>
      <w:r w:rsidR="00114846">
        <w:t xml:space="preserve">hodnoty středního gradientu </w:t>
      </w:r>
      <w:r w:rsidR="00114846" w:rsidRPr="00792434">
        <w:t>než Sorin</w:t>
      </w:r>
      <w:r w:rsidR="00114846">
        <w:t xml:space="preserve"> More</w:t>
      </w:r>
      <w:r w:rsidR="00114846" w:rsidRPr="00792434">
        <w:t xml:space="preserve">, </w:t>
      </w:r>
      <w:r w:rsidR="00114846">
        <w:t xml:space="preserve">MH </w:t>
      </w:r>
      <w:r w:rsidR="00114846" w:rsidRPr="00792434">
        <w:t>Mosaic a Edw</w:t>
      </w:r>
      <w:r w:rsidR="00114846">
        <w:t>ards 2900</w:t>
      </w:r>
    </w:p>
    <w:p>
      <w:pPr>
        <w:numPr>
          <w:ilvl w:val="0"/>
          <w:numId w:val="6"/>
        </w:numPr>
        <w:spacing w:line="360" w:lineRule="auto"/>
      </w:pPr>
      <w:r w:rsidR="00114846" w:rsidRPr="00792434">
        <w:t xml:space="preserve">Sorin More </w:t>
      </w:r>
      <w:r w:rsidR="00114846">
        <w:t xml:space="preserve">vykazuje </w:t>
      </w:r>
      <w:r w:rsidR="00114846" w:rsidRPr="00792434">
        <w:t xml:space="preserve">signifikantně vyšší hodnoty </w:t>
      </w:r>
      <w:r w:rsidR="00114846">
        <w:t>vrcholového gradientu</w:t>
      </w:r>
      <w:r w:rsidR="00114846" w:rsidRPr="00792434">
        <w:t xml:space="preserve"> než ostatní výrobci (kromě</w:t>
      </w:r>
      <w:r w:rsidR="00114846">
        <w:t xml:space="preserve"> MH </w:t>
      </w:r>
      <w:r w:rsidR="00114846" w:rsidRPr="00792434">
        <w:t>Mosaic).</w:t>
      </w:r>
      <w:r w:rsidR="00114846">
        <w:t xml:space="preserve"> Edwards</w:t>
      </w:r>
      <w:r w:rsidR="00114846" w:rsidRPr="00792434">
        <w:t xml:space="preserve"> Magna</w:t>
      </w:r>
      <w:r w:rsidR="00114846">
        <w:t xml:space="preserve"> má</w:t>
      </w:r>
      <w:r w:rsidR="00114846" w:rsidRPr="00792434">
        <w:t xml:space="preserve"> signifikantně nižší </w:t>
      </w:r>
      <w:r w:rsidR="00114846">
        <w:t xml:space="preserve">vrcholové gradienty </w:t>
      </w:r>
      <w:r w:rsidR="00114846" w:rsidRPr="00792434">
        <w:t>než Sorin</w:t>
      </w:r>
      <w:r w:rsidR="00114846">
        <w:t xml:space="preserve"> More</w:t>
      </w:r>
      <w:r w:rsidR="00114846" w:rsidRPr="00792434">
        <w:t xml:space="preserve">, </w:t>
      </w:r>
      <w:r w:rsidR="00114846">
        <w:t xml:space="preserve">MH </w:t>
      </w:r>
      <w:r w:rsidR="00114846" w:rsidRPr="00792434">
        <w:t>Mosaic a Edw</w:t>
      </w:r>
      <w:r w:rsidR="00114846">
        <w:t>ards 2900</w:t>
      </w:r>
    </w:p>
    <w:p>
      <w:pPr>
        <w:spacing w:line="360" w:lineRule="auto"/>
      </w:pPr>
    </w:p>
    <w:p>
      <w:pPr>
        <w:spacing w:line="360" w:lineRule="auto"/>
      </w:pPr>
    </w:p>
    <w:p>
      <w:pPr>
        <w:spacing w:line="360" w:lineRule="auto"/>
        <w:rPr>
          <w:i/>
        </w:rPr>
      </w:pPr>
      <w:r w:rsidR="00114846">
        <w:rPr>
          <w:i/>
        </w:rPr>
        <w:t>Bioprotézy velkosti 23:</w:t>
      </w:r>
    </w:p>
    <w:p>
      <w:pPr>
        <w:numPr>
          <w:ilvl w:val="0"/>
          <w:numId w:val="6"/>
        </w:numPr>
        <w:spacing w:line="360" w:lineRule="auto"/>
      </w:pPr>
      <w:r w:rsidR="00114846">
        <w:t xml:space="preserve">MH Mosaic vykazuje </w:t>
      </w:r>
      <w:r w:rsidR="00114846" w:rsidRPr="00792434">
        <w:t xml:space="preserve">signifikantně vyšší hodnoty </w:t>
      </w:r>
      <w:r w:rsidR="00114846">
        <w:t>středního gradientu</w:t>
      </w:r>
      <w:r w:rsidR="00114846" w:rsidRPr="00792434">
        <w:t xml:space="preserve"> než </w:t>
      </w:r>
      <w:r w:rsidR="00114846">
        <w:t xml:space="preserve">Edwards </w:t>
      </w:r>
      <w:r w:rsidR="00114846" w:rsidRPr="00792434">
        <w:t>2900,</w:t>
      </w:r>
      <w:r w:rsidR="00114846">
        <w:t xml:space="preserve"> Edwards</w:t>
      </w:r>
      <w:r w:rsidR="00114846" w:rsidRPr="00792434">
        <w:t xml:space="preserve"> Magna a SJM</w:t>
      </w:r>
      <w:r w:rsidR="00114846">
        <w:t xml:space="preserve"> Epic</w:t>
      </w:r>
      <w:r w:rsidR="00114846" w:rsidRPr="00792434">
        <w:t xml:space="preserve">. </w:t>
      </w:r>
      <w:r w:rsidR="00114846">
        <w:t xml:space="preserve">Edwards </w:t>
      </w:r>
      <w:r w:rsidR="00114846" w:rsidRPr="00792434">
        <w:t xml:space="preserve">2900 </w:t>
      </w:r>
      <w:r w:rsidR="00114846">
        <w:t xml:space="preserve">vykazuje </w:t>
      </w:r>
      <w:r w:rsidR="00114846" w:rsidRPr="00792434">
        <w:t xml:space="preserve">signifikantně nižší hodnoty </w:t>
      </w:r>
      <w:r w:rsidR="00114846">
        <w:t>středního gradientu</w:t>
      </w:r>
      <w:r w:rsidR="00114846" w:rsidRPr="00792434">
        <w:t xml:space="preserve"> než </w:t>
      </w:r>
      <w:r w:rsidR="00114846">
        <w:t xml:space="preserve">MH </w:t>
      </w:r>
      <w:r w:rsidR="00114846" w:rsidRPr="00792434">
        <w:t>Mosaic, Sorin</w:t>
      </w:r>
      <w:r w:rsidR="00114846">
        <w:t xml:space="preserve"> More</w:t>
      </w:r>
      <w:r w:rsidR="00114846" w:rsidRPr="00792434">
        <w:t xml:space="preserve"> a </w:t>
      </w:r>
      <w:r w:rsidR="00114846">
        <w:t>Edwards 2650</w:t>
      </w:r>
      <w:r w:rsidR="00114846" w:rsidRPr="00792434">
        <w:t>.</w:t>
      </w:r>
      <w:r w:rsidR="00114846">
        <w:t xml:space="preserve"> Edwards 2650 má</w:t>
      </w:r>
      <w:r w:rsidR="00114846" w:rsidRPr="00792434">
        <w:t xml:space="preserve"> signif</w:t>
      </w:r>
      <w:r w:rsidR="00114846">
        <w:t>ikantně v</w:t>
      </w:r>
      <w:r w:rsidR="00114846" w:rsidRPr="00792434">
        <w:t xml:space="preserve">yšší hodnoty </w:t>
      </w:r>
      <w:r w:rsidR="00114846">
        <w:t xml:space="preserve">středního gradientu </w:t>
      </w:r>
      <w:r w:rsidR="00114846" w:rsidRPr="00792434">
        <w:t xml:space="preserve">než </w:t>
      </w:r>
      <w:r w:rsidR="00114846">
        <w:t>Edwards M</w:t>
      </w:r>
      <w:r w:rsidR="00114846" w:rsidRPr="00792434">
        <w:t xml:space="preserve">agna a </w:t>
      </w:r>
      <w:r w:rsidR="00114846">
        <w:t xml:space="preserve">Edwards </w:t>
      </w:r>
      <w:r w:rsidR="00114846" w:rsidRPr="00792434">
        <w:t>2900</w:t>
      </w:r>
    </w:p>
    <w:p>
      <w:pPr>
        <w:numPr>
          <w:ilvl w:val="0"/>
          <w:numId w:val="6"/>
        </w:numPr>
        <w:spacing w:line="360" w:lineRule="auto"/>
      </w:pPr>
      <w:r w:rsidR="00114846">
        <w:t xml:space="preserve">MH Mosaic a Edwards 2650 vykazují signifikantně vyšší hodnoty vrcholového gradientu než Edwards 2900, Edwards Magna a SJM Epic. Sorin More vykazuje signifikantně vyšší hodnoty vrcholového gradientu než Edwards 2900 a Edwards Magna. </w:t>
      </w:r>
    </w:p>
    <w:p/>
    <w:p/>
    <w:p>
      <w:pPr>
        <w:pStyle w:val="Heading3"/>
        <w:spacing w:line="360" w:lineRule="auto"/>
        <w:rPr>
          <w:rFonts w:ascii="Times New Roman" w:hAnsi="Times New Roman" w:cs="Times New Roman"/>
          <w:b w:val="0"/>
          <w:i/>
          <w:sz w:val="24"/>
          <w:szCs w:val="24"/>
        </w:rPr>
      </w:pPr>
      <w:r w:rsidR="00114846">
        <w:rPr>
          <w:rFonts w:ascii="Times New Roman" w:hAnsi="Times New Roman" w:cs="Times New Roman"/>
          <w:b w:val="0"/>
          <w:i/>
          <w:sz w:val="24"/>
          <w:szCs w:val="24"/>
        </w:rPr>
        <w:t>Bioprotézy velikosti 25, 27:</w:t>
      </w:r>
    </w:p>
    <w:p>
      <w:pPr>
        <w:numPr>
          <w:ilvl w:val="0"/>
          <w:numId w:val="6"/>
        </w:numPr>
        <w:spacing w:line="360" w:lineRule="auto"/>
      </w:pPr>
      <w:r w:rsidR="00114846">
        <w:t>analýza rozptylu neprokázala statistickou signifikanci rozdílu mezi středním a vrcholových gradientem u jednotlivých bioprotéz</w:t>
      </w:r>
    </w:p>
    <w:p>
      <w:pPr>
        <w:spacing w:line="360" w:lineRule="auto"/>
        <w:ind w:left="720"/>
      </w:pPr>
    </w:p>
    <w:p>
      <w:pPr>
        <w:spacing w:line="360" w:lineRule="auto"/>
        <w:ind w:left="720"/>
      </w:pPr>
    </w:p>
    <w:p>
      <w:pPr>
        <w:pStyle w:val="Heading3"/>
        <w:rPr>
          <w:rFonts w:ascii="Times New Roman" w:hAnsi="Times New Roman" w:cs="Times New Roman"/>
          <w:sz w:val="24"/>
          <w:szCs w:val="24"/>
        </w:rPr>
      </w:pPr>
      <w:r w:rsidR="00114846" w:rsidRPr="00565CD6">
        <w:rPr>
          <w:rFonts w:ascii="Times New Roman" w:hAnsi="Times New Roman" w:cs="Times New Roman"/>
          <w:sz w:val="24"/>
          <w:szCs w:val="24"/>
        </w:rPr>
        <w:t>10.3</w:t>
      </w:r>
      <w:r w:rsidR="00114846">
        <w:rPr>
          <w:rFonts w:ascii="Times New Roman" w:hAnsi="Times New Roman" w:cs="Times New Roman"/>
          <w:sz w:val="24"/>
          <w:szCs w:val="24"/>
        </w:rPr>
        <w:tab/>
      </w:r>
      <w:r w:rsidR="00114846" w:rsidRPr="00565CD6">
        <w:rPr>
          <w:rFonts w:ascii="Times New Roman" w:hAnsi="Times New Roman" w:cs="Times New Roman"/>
          <w:sz w:val="24"/>
          <w:szCs w:val="24"/>
        </w:rPr>
        <w:t xml:space="preserve">Porovnání efektivní plochy ústí u </w:t>
      </w:r>
      <w:r w:rsidR="00114846">
        <w:rPr>
          <w:rFonts w:ascii="Times New Roman" w:hAnsi="Times New Roman" w:cs="Times New Roman"/>
          <w:sz w:val="24"/>
          <w:szCs w:val="24"/>
        </w:rPr>
        <w:t>bioprotéz</w:t>
      </w:r>
      <w:r w:rsidR="00114846" w:rsidRPr="00565CD6">
        <w:rPr>
          <w:rFonts w:ascii="Times New Roman" w:hAnsi="Times New Roman" w:cs="Times New Roman"/>
          <w:sz w:val="24"/>
          <w:szCs w:val="24"/>
        </w:rPr>
        <w:t xml:space="preserve"> různých výrobců dle vel</w:t>
      </w:r>
      <w:r w:rsidR="00114846">
        <w:rPr>
          <w:rFonts w:ascii="Times New Roman" w:hAnsi="Times New Roman" w:cs="Times New Roman"/>
          <w:sz w:val="24"/>
          <w:szCs w:val="24"/>
        </w:rPr>
        <w:t>i</w:t>
      </w:r>
      <w:r w:rsidR="00114846" w:rsidRPr="00565CD6">
        <w:rPr>
          <w:rFonts w:ascii="Times New Roman" w:hAnsi="Times New Roman" w:cs="Times New Roman"/>
          <w:sz w:val="24"/>
          <w:szCs w:val="24"/>
        </w:rPr>
        <w:t>kosti</w:t>
      </w:r>
    </w:p>
    <w:p>
      <w:pPr>
        <w:rPr>
          <w:color w:val="000000"/>
        </w:rPr>
      </w:pPr>
    </w:p>
    <w:p>
      <w:pPr>
        <w:spacing w:line="360" w:lineRule="auto"/>
        <w:ind w:firstLine="708"/>
        <w:jc w:val="both"/>
      </w:pPr>
      <w:r w:rsidR="00114846">
        <w:t xml:space="preserve">Průtokovým parametrem chlopně, méně závislým na aktuálním srdečním výdeji než gradienty, je efektivní plocha ústí. Vypočítaná je z dopplerometricky získaných hodnot před a za chlopní na podkladě rovnice kontinuity – Kap. 4.2. V tabulce 7 je srovnání efektivní plochy ústí u chlopní ze studie seřazených dle velikosti. </w:t>
      </w:r>
    </w:p>
    <w:p>
      <w:pPr>
        <w:spacing w:line="360" w:lineRule="auto"/>
        <w:jc w:val="both"/>
      </w:pPr>
    </w:p>
    <w:p>
      <w:pPr>
        <w:rPr>
          <w: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9"/>
        <w:gridCol w:w="763"/>
        <w:gridCol w:w="763"/>
        <w:gridCol w:w="763"/>
        <w:gridCol w:w="619"/>
        <w:gridCol w:w="763"/>
        <w:gridCol w:w="763"/>
        <w:gridCol w:w="763"/>
        <w:gridCol w:w="547"/>
        <w:gridCol w:w="763"/>
      </w:tblGrid>
      <w:tr w:rsidR="00114846" w:rsidTr="0000604C">
        <w:trPr>
          <w:trHeight w:val="266"/>
        </w:trPr>
        <w:tc>
          <w:tcPr>
            <w:tcW w:w="1144" w:type="pct"/>
          </w:tcPr>
          <w:p>
            <w:pPr>
              <w:rPr>
                <w:i/>
                <w:iCs/>
                <w:color w:val="000000"/>
              </w:rPr>
            </w:pPr>
            <w:r w:rsidR="00114846">
              <w:rPr>
                <w:i/>
                <w:iCs/>
                <w:color w:val="000000"/>
              </w:rPr>
              <w:t xml:space="preserve">   velikost/</w:t>
            </w:r>
          </w:p>
          <w:p>
            <w:pPr>
              <w:rPr>
                <w:i/>
                <w:iCs/>
                <w:color w:val="000000"/>
              </w:rPr>
            </w:pPr>
            <w:r w:rsidR="00114846">
              <w:rPr>
                <w:i/>
                <w:iCs/>
                <w:color w:val="000000"/>
              </w:rPr>
              <w:t>výrobce-typ</w:t>
            </w:r>
          </w:p>
        </w:tc>
        <w:tc>
          <w:tcPr>
            <w:tcW w:w="452" w:type="pct"/>
          </w:tcPr>
          <w:p>
            <w:pPr>
              <w:rPr>
                <w:i/>
                <w:iCs/>
                <w:color w:val="000000"/>
              </w:rPr>
            </w:pPr>
            <w:r w:rsidR="00114846">
              <w:rPr>
                <w:i/>
                <w:iCs/>
                <w:color w:val="000000"/>
              </w:rPr>
              <w:t>19</w:t>
            </w:r>
          </w:p>
        </w:tc>
        <w:tc>
          <w:tcPr>
            <w:tcW w:w="452" w:type="pct"/>
          </w:tcPr>
          <w:p>
            <w:pPr>
              <w:rPr>
                <w:i/>
                <w:iCs/>
                <w:color w:val="000000"/>
              </w:rPr>
            </w:pPr>
            <w:r w:rsidR="00114846">
              <w:rPr>
                <w:i/>
                <w:iCs/>
                <w:color w:val="000000"/>
              </w:rPr>
              <w:t>20</w:t>
            </w:r>
          </w:p>
        </w:tc>
        <w:tc>
          <w:tcPr>
            <w:tcW w:w="452" w:type="pct"/>
          </w:tcPr>
          <w:p>
            <w:pPr>
              <w:rPr>
                <w:i/>
                <w:iCs/>
                <w:color w:val="000000"/>
              </w:rPr>
            </w:pPr>
            <w:r w:rsidR="00114846">
              <w:rPr>
                <w:i/>
                <w:iCs/>
                <w:color w:val="000000"/>
              </w:rPr>
              <w:t>21</w:t>
            </w:r>
          </w:p>
        </w:tc>
        <w:tc>
          <w:tcPr>
            <w:tcW w:w="367" w:type="pct"/>
          </w:tcPr>
          <w:p>
            <w:pPr>
              <w:rPr>
                <w:i/>
                <w:iCs/>
                <w:color w:val="000000"/>
              </w:rPr>
            </w:pPr>
            <w:r w:rsidR="00114846">
              <w:rPr>
                <w:i/>
                <w:iCs/>
                <w:color w:val="000000"/>
              </w:rPr>
              <w:t>22</w:t>
            </w:r>
          </w:p>
        </w:tc>
        <w:tc>
          <w:tcPr>
            <w:tcW w:w="452" w:type="pct"/>
          </w:tcPr>
          <w:p>
            <w:pPr>
              <w:rPr>
                <w:i/>
                <w:iCs/>
                <w:color w:val="000000"/>
              </w:rPr>
            </w:pPr>
            <w:r w:rsidR="00114846">
              <w:rPr>
                <w:i/>
                <w:iCs/>
                <w:color w:val="000000"/>
              </w:rPr>
              <w:t>23</w:t>
            </w:r>
          </w:p>
        </w:tc>
        <w:tc>
          <w:tcPr>
            <w:tcW w:w="452" w:type="pct"/>
          </w:tcPr>
          <w:p>
            <w:pPr>
              <w:rPr>
                <w:i/>
                <w:iCs/>
                <w:color w:val="000000"/>
              </w:rPr>
            </w:pPr>
            <w:r w:rsidR="00114846">
              <w:rPr>
                <w:i/>
                <w:iCs/>
                <w:color w:val="000000"/>
              </w:rPr>
              <w:t>24</w:t>
            </w:r>
          </w:p>
        </w:tc>
        <w:tc>
          <w:tcPr>
            <w:tcW w:w="452" w:type="pct"/>
          </w:tcPr>
          <w:p>
            <w:pPr>
              <w:rPr>
                <w:i/>
                <w:iCs/>
                <w:color w:val="000000"/>
              </w:rPr>
            </w:pPr>
            <w:r w:rsidR="00114846">
              <w:rPr>
                <w:i/>
                <w:iCs/>
                <w:color w:val="000000"/>
              </w:rPr>
              <w:t>25</w:t>
            </w:r>
          </w:p>
        </w:tc>
        <w:tc>
          <w:tcPr>
            <w:tcW w:w="324" w:type="pct"/>
          </w:tcPr>
          <w:p>
            <w:pPr>
              <w:rPr>
                <w:i/>
                <w:iCs/>
                <w:color w:val="000000"/>
              </w:rPr>
            </w:pPr>
            <w:r w:rsidR="00114846">
              <w:rPr>
                <w:i/>
                <w:iCs/>
                <w:color w:val="000000"/>
              </w:rPr>
              <w:t>26</w:t>
            </w:r>
          </w:p>
        </w:tc>
        <w:tc>
          <w:tcPr>
            <w:tcW w:w="452" w:type="pct"/>
          </w:tcPr>
          <w:p>
            <w:pPr>
              <w:rPr>
                <w:i/>
                <w:iCs/>
                <w:color w:val="000000"/>
              </w:rPr>
            </w:pPr>
            <w:r w:rsidR="00114846">
              <w:rPr>
                <w:i/>
                <w:iCs/>
                <w:color w:val="000000"/>
              </w:rPr>
              <w:t>27</w:t>
            </w:r>
          </w:p>
        </w:tc>
      </w:tr>
      <w:tr w:rsidR="00114846" w:rsidTr="0000604C">
        <w:trPr>
          <w:trHeight w:val="266"/>
        </w:trPr>
        <w:tc>
          <w:tcPr>
            <w:tcW w:w="1144" w:type="pct"/>
          </w:tcPr>
          <w:p>
            <w:pPr>
              <w:pStyle w:val="Heading1"/>
              <w:rPr>
                <w:b w:val="0"/>
              </w:rPr>
            </w:pPr>
            <w:r w:rsidR="00114846" w:rsidRPr="005726E9">
              <w:rPr>
                <w:b w:val="0"/>
              </w:rPr>
              <w:t>Edw 2650</w:t>
            </w:r>
          </w:p>
        </w:tc>
        <w:tc>
          <w:tcPr>
            <w:tcW w:w="452" w:type="pct"/>
          </w:tcPr>
          <w:p>
            <w:pPr>
              <w:rPr>
                <w:color w:val="000000"/>
              </w:rPr>
            </w:pPr>
          </w:p>
        </w:tc>
        <w:tc>
          <w:tcPr>
            <w:tcW w:w="452" w:type="pct"/>
          </w:tcPr>
          <w:p>
            <w:pPr>
              <w:rPr>
                <w:color w:val="000000"/>
              </w:rPr>
            </w:pPr>
          </w:p>
        </w:tc>
        <w:tc>
          <w:tcPr>
            <w:tcW w:w="452" w:type="pct"/>
          </w:tcPr>
          <w:p>
            <w:pPr>
              <w:rPr>
                <w:color w:val="000000"/>
              </w:rPr>
            </w:pPr>
            <w:r w:rsidR="00114846">
              <w:rPr>
                <w:color w:val="000000"/>
              </w:rPr>
              <w:t>1,25</w:t>
            </w:r>
          </w:p>
        </w:tc>
        <w:tc>
          <w:tcPr>
            <w:tcW w:w="367" w:type="pct"/>
          </w:tcPr>
          <w:p>
            <w:pPr>
              <w:rPr>
                <w:color w:val="000000"/>
              </w:rPr>
            </w:pPr>
          </w:p>
        </w:tc>
        <w:tc>
          <w:tcPr>
            <w:tcW w:w="452" w:type="pct"/>
          </w:tcPr>
          <w:p>
            <w:pPr>
              <w:rPr>
                <w:color w:val="000000"/>
              </w:rPr>
            </w:pPr>
            <w:r w:rsidR="00114846">
              <w:rPr>
                <w:color w:val="000000"/>
              </w:rPr>
              <w:t>1,4</w:t>
            </w:r>
          </w:p>
        </w:tc>
        <w:tc>
          <w:tcPr>
            <w:tcW w:w="452" w:type="pct"/>
          </w:tcPr>
          <w:p>
            <w:pPr>
              <w:rPr>
                <w:color w:val="000000"/>
              </w:rPr>
            </w:pPr>
          </w:p>
        </w:tc>
        <w:tc>
          <w:tcPr>
            <w:tcW w:w="452" w:type="pct"/>
          </w:tcPr>
          <w:p>
            <w:pPr>
              <w:rPr>
                <w:color w:val="000000"/>
              </w:rPr>
            </w:pPr>
            <w:r w:rsidR="00114846">
              <w:rPr>
                <w:color w:val="000000"/>
              </w:rPr>
              <w:t>1,55</w:t>
            </w:r>
          </w:p>
        </w:tc>
        <w:tc>
          <w:tcPr>
            <w:tcW w:w="324" w:type="pct"/>
          </w:tcPr>
          <w:p>
            <w:pPr>
              <w:rPr>
                <w:color w:val="000000"/>
              </w:rPr>
            </w:pPr>
          </w:p>
        </w:tc>
        <w:tc>
          <w:tcPr>
            <w:tcW w:w="452" w:type="pct"/>
          </w:tcPr>
          <w:p>
            <w:pPr>
              <w:rPr>
                <w:color w:val="000000"/>
              </w:rPr>
            </w:pPr>
          </w:p>
        </w:tc>
      </w:tr>
      <w:tr w:rsidR="00114846" w:rsidTr="0000604C">
        <w:trPr>
          <w:trHeight w:val="266"/>
        </w:trPr>
        <w:tc>
          <w:tcPr>
            <w:tcW w:w="1144" w:type="pct"/>
          </w:tcPr>
          <w:p>
            <w:pPr>
              <w:rPr>
                <w:i/>
                <w:iCs/>
                <w:color w:val="000000"/>
              </w:rPr>
            </w:pPr>
            <w:r w:rsidR="00114846">
              <w:rPr>
                <w:i/>
                <w:iCs/>
                <w:color w:val="000000"/>
              </w:rPr>
              <w:t>Edw 2900</w:t>
            </w:r>
          </w:p>
        </w:tc>
        <w:tc>
          <w:tcPr>
            <w:tcW w:w="452" w:type="pct"/>
          </w:tcPr>
          <w:p>
            <w:pPr>
              <w:rPr>
                <w:color w:val="000000"/>
              </w:rPr>
            </w:pPr>
          </w:p>
        </w:tc>
        <w:tc>
          <w:tcPr>
            <w:tcW w:w="452" w:type="pct"/>
          </w:tcPr>
          <w:p>
            <w:pPr>
              <w:rPr>
                <w:color w:val="000000"/>
              </w:rPr>
            </w:pPr>
          </w:p>
        </w:tc>
        <w:tc>
          <w:tcPr>
            <w:tcW w:w="452" w:type="pct"/>
          </w:tcPr>
          <w:p>
            <w:pPr>
              <w:rPr>
                <w:color w:val="000000"/>
              </w:rPr>
            </w:pPr>
            <w:r w:rsidR="00114846">
              <w:rPr>
                <w:color w:val="000000"/>
              </w:rPr>
              <w:t>1,3</w:t>
            </w:r>
          </w:p>
        </w:tc>
        <w:tc>
          <w:tcPr>
            <w:tcW w:w="367" w:type="pct"/>
          </w:tcPr>
          <w:p>
            <w:pPr>
              <w:rPr>
                <w:color w:val="000000"/>
              </w:rPr>
            </w:pPr>
          </w:p>
        </w:tc>
        <w:tc>
          <w:tcPr>
            <w:tcW w:w="452" w:type="pct"/>
          </w:tcPr>
          <w:p>
            <w:pPr>
              <w:rPr>
                <w:color w:val="000000"/>
              </w:rPr>
            </w:pPr>
            <w:r w:rsidR="00114846">
              <w:rPr>
                <w:color w:val="000000"/>
              </w:rPr>
              <w:t>1,3</w:t>
            </w:r>
          </w:p>
        </w:tc>
        <w:tc>
          <w:tcPr>
            <w:tcW w:w="452" w:type="pct"/>
          </w:tcPr>
          <w:p>
            <w:pPr>
              <w:rPr>
                <w:color w:val="000000"/>
              </w:rPr>
            </w:pPr>
          </w:p>
        </w:tc>
        <w:tc>
          <w:tcPr>
            <w:tcW w:w="452" w:type="pct"/>
          </w:tcPr>
          <w:p>
            <w:pPr>
              <w:rPr>
                <w:color w:val="000000"/>
              </w:rPr>
            </w:pPr>
            <w:r w:rsidR="00114846">
              <w:rPr>
                <w:color w:val="000000"/>
              </w:rPr>
              <w:t>1,46</w:t>
            </w:r>
          </w:p>
        </w:tc>
        <w:tc>
          <w:tcPr>
            <w:tcW w:w="324" w:type="pct"/>
          </w:tcPr>
          <w:p>
            <w:pPr>
              <w:rPr>
                <w:color w:val="000000"/>
              </w:rPr>
            </w:pPr>
          </w:p>
        </w:tc>
        <w:tc>
          <w:tcPr>
            <w:tcW w:w="452" w:type="pct"/>
          </w:tcPr>
          <w:p>
            <w:pPr>
              <w:rPr>
                <w:color w:val="000000"/>
              </w:rPr>
            </w:pPr>
            <w:r w:rsidR="00114846">
              <w:rPr>
                <w:color w:val="000000"/>
              </w:rPr>
              <w:t>1,83</w:t>
            </w:r>
          </w:p>
        </w:tc>
      </w:tr>
      <w:tr w:rsidR="00114846" w:rsidTr="0000604C">
        <w:trPr>
          <w:trHeight w:val="266"/>
        </w:trPr>
        <w:tc>
          <w:tcPr>
            <w:tcW w:w="1144" w:type="pct"/>
          </w:tcPr>
          <w:p>
            <w:pPr>
              <w:rPr>
                <w:i/>
                <w:iCs/>
                <w:color w:val="000000"/>
              </w:rPr>
            </w:pPr>
            <w:r w:rsidR="00114846">
              <w:rPr>
                <w:i/>
                <w:iCs/>
                <w:color w:val="000000"/>
              </w:rPr>
              <w:t>Edw 3000</w:t>
            </w:r>
          </w:p>
        </w:tc>
        <w:tc>
          <w:tcPr>
            <w:tcW w:w="452" w:type="pct"/>
          </w:tcPr>
          <w:p>
            <w:pPr>
              <w:rPr>
                <w:color w:val="000000"/>
              </w:rPr>
            </w:pPr>
            <w:r w:rsidR="00114846">
              <w:rPr>
                <w:color w:val="000000"/>
              </w:rPr>
              <w:t>1,26</w:t>
            </w:r>
          </w:p>
        </w:tc>
        <w:tc>
          <w:tcPr>
            <w:tcW w:w="452" w:type="pct"/>
          </w:tcPr>
          <w:p>
            <w:pPr>
              <w:rPr>
                <w:color w:val="000000"/>
              </w:rPr>
            </w:pPr>
          </w:p>
        </w:tc>
        <w:tc>
          <w:tcPr>
            <w:tcW w:w="452" w:type="pct"/>
          </w:tcPr>
          <w:p>
            <w:pPr>
              <w:rPr>
                <w:color w:val="000000"/>
              </w:rPr>
            </w:pPr>
            <w:r w:rsidR="00114846">
              <w:rPr>
                <w:color w:val="000000"/>
              </w:rPr>
              <w:t>1,33</w:t>
            </w:r>
          </w:p>
        </w:tc>
        <w:tc>
          <w:tcPr>
            <w:tcW w:w="367" w:type="pct"/>
          </w:tcPr>
          <w:p>
            <w:pPr>
              <w:rPr>
                <w:color w:val="000000"/>
              </w:rPr>
            </w:pPr>
          </w:p>
        </w:tc>
        <w:tc>
          <w:tcPr>
            <w:tcW w:w="452" w:type="pct"/>
          </w:tcPr>
          <w:p>
            <w:pPr>
              <w:rPr>
                <w:color w:val="000000"/>
              </w:rPr>
            </w:pPr>
            <w:r w:rsidR="00114846">
              <w:rPr>
                <w:color w:val="000000"/>
              </w:rPr>
              <w:t>1,5</w:t>
            </w:r>
          </w:p>
        </w:tc>
        <w:tc>
          <w:tcPr>
            <w:tcW w:w="452" w:type="pct"/>
          </w:tcPr>
          <w:p>
            <w:pPr>
              <w:rPr>
                <w:color w:val="000000"/>
              </w:rPr>
            </w:pPr>
          </w:p>
        </w:tc>
        <w:tc>
          <w:tcPr>
            <w:tcW w:w="452" w:type="pct"/>
          </w:tcPr>
          <w:p>
            <w:pPr>
              <w:rPr>
                <w:color w:val="000000"/>
              </w:rPr>
            </w:pPr>
          </w:p>
        </w:tc>
        <w:tc>
          <w:tcPr>
            <w:tcW w:w="324" w:type="pct"/>
          </w:tcPr>
          <w:p>
            <w:pPr>
              <w:rPr>
                <w:color w:val="000000"/>
              </w:rPr>
            </w:pPr>
          </w:p>
        </w:tc>
        <w:tc>
          <w:tcPr>
            <w:tcW w:w="452" w:type="pct"/>
          </w:tcPr>
          <w:p>
            <w:pPr>
              <w:rPr>
                <w:color w:val="000000"/>
              </w:rPr>
            </w:pPr>
          </w:p>
        </w:tc>
      </w:tr>
      <w:tr w:rsidR="00114846" w:rsidTr="0000604C">
        <w:trPr>
          <w:trHeight w:val="266"/>
        </w:trPr>
        <w:tc>
          <w:tcPr>
            <w:tcW w:w="1144" w:type="pct"/>
          </w:tcPr>
          <w:p>
            <w:pPr>
              <w:rPr>
                <w:i/>
                <w:iCs/>
                <w:color w:val="000000"/>
              </w:rPr>
            </w:pPr>
            <w:r w:rsidR="00114846">
              <w:rPr>
                <w:i/>
                <w:iCs/>
                <w:color w:val="000000"/>
              </w:rPr>
              <w:t>MH Mosaic</w:t>
            </w:r>
          </w:p>
        </w:tc>
        <w:tc>
          <w:tcPr>
            <w:tcW w:w="452" w:type="pct"/>
          </w:tcPr>
          <w:p>
            <w:pPr>
              <w:rPr>
                <w:color w:val="000000"/>
              </w:rPr>
            </w:pPr>
          </w:p>
        </w:tc>
        <w:tc>
          <w:tcPr>
            <w:tcW w:w="452" w:type="pct"/>
          </w:tcPr>
          <w:p>
            <w:pPr>
              <w:rPr>
                <w:color w:val="000000"/>
              </w:rPr>
            </w:pPr>
          </w:p>
        </w:tc>
        <w:tc>
          <w:tcPr>
            <w:tcW w:w="452" w:type="pct"/>
          </w:tcPr>
          <w:p>
            <w:pPr>
              <w:rPr>
                <w:color w:val="000000"/>
              </w:rPr>
            </w:pPr>
            <w:r w:rsidR="00114846">
              <w:rPr>
                <w:color w:val="000000"/>
              </w:rPr>
              <w:t>0,95</w:t>
            </w:r>
          </w:p>
        </w:tc>
        <w:tc>
          <w:tcPr>
            <w:tcW w:w="367" w:type="pct"/>
          </w:tcPr>
          <w:p>
            <w:pPr>
              <w:rPr>
                <w:color w:val="000000"/>
              </w:rPr>
            </w:pPr>
          </w:p>
        </w:tc>
        <w:tc>
          <w:tcPr>
            <w:tcW w:w="452" w:type="pct"/>
          </w:tcPr>
          <w:p>
            <w:pPr>
              <w:rPr>
                <w:color w:val="000000"/>
              </w:rPr>
            </w:pPr>
            <w:r w:rsidR="00114846">
              <w:rPr>
                <w:color w:val="000000"/>
              </w:rPr>
              <w:t>1,25</w:t>
            </w:r>
          </w:p>
        </w:tc>
        <w:tc>
          <w:tcPr>
            <w:tcW w:w="452" w:type="pct"/>
          </w:tcPr>
          <w:p>
            <w:pPr>
              <w:rPr>
                <w:color w:val="000000"/>
              </w:rPr>
            </w:pPr>
          </w:p>
        </w:tc>
        <w:tc>
          <w:tcPr>
            <w:tcW w:w="452" w:type="pct"/>
          </w:tcPr>
          <w:p>
            <w:pPr>
              <w:rPr>
                <w:color w:val="000000"/>
              </w:rPr>
            </w:pPr>
            <w:r w:rsidR="00114846">
              <w:rPr>
                <w:color w:val="000000"/>
              </w:rPr>
              <w:t>1,1</w:t>
            </w:r>
          </w:p>
        </w:tc>
        <w:tc>
          <w:tcPr>
            <w:tcW w:w="324" w:type="pct"/>
          </w:tcPr>
          <w:p>
            <w:pPr>
              <w:rPr>
                <w:color w:val="000000"/>
              </w:rPr>
            </w:pPr>
          </w:p>
        </w:tc>
        <w:tc>
          <w:tcPr>
            <w:tcW w:w="452" w:type="pct"/>
          </w:tcPr>
          <w:p>
            <w:pPr>
              <w:rPr>
                <w:color w:val="000000"/>
              </w:rPr>
            </w:pPr>
            <w:r w:rsidR="00114846">
              <w:rPr>
                <w:color w:val="000000"/>
              </w:rPr>
              <w:t>1,35</w:t>
            </w:r>
          </w:p>
        </w:tc>
      </w:tr>
      <w:tr w:rsidR="00114846" w:rsidTr="0000604C">
        <w:trPr>
          <w:trHeight w:val="266"/>
        </w:trPr>
        <w:tc>
          <w:tcPr>
            <w:tcW w:w="1144" w:type="pct"/>
          </w:tcPr>
          <w:p>
            <w:pPr>
              <w:rPr>
                <w:i/>
                <w:iCs/>
                <w:color w:val="000000"/>
              </w:rPr>
            </w:pPr>
            <w:r w:rsidR="00114846">
              <w:rPr>
                <w:i/>
                <w:iCs/>
                <w:color w:val="000000"/>
              </w:rPr>
              <w:t>SJM Epic</w:t>
            </w:r>
          </w:p>
        </w:tc>
        <w:tc>
          <w:tcPr>
            <w:tcW w:w="452" w:type="pct"/>
          </w:tcPr>
          <w:p>
            <w:pPr>
              <w:rPr>
                <w:color w:val="000000"/>
              </w:rPr>
            </w:pPr>
          </w:p>
        </w:tc>
        <w:tc>
          <w:tcPr>
            <w:tcW w:w="452" w:type="pct"/>
          </w:tcPr>
          <w:p>
            <w:pPr>
              <w:rPr>
                <w:color w:val="000000"/>
              </w:rPr>
            </w:pPr>
          </w:p>
        </w:tc>
        <w:tc>
          <w:tcPr>
            <w:tcW w:w="452" w:type="pct"/>
          </w:tcPr>
          <w:p>
            <w:pPr>
              <w:rPr>
                <w:color w:val="000000"/>
              </w:rPr>
            </w:pPr>
          </w:p>
        </w:tc>
        <w:tc>
          <w:tcPr>
            <w:tcW w:w="367" w:type="pct"/>
          </w:tcPr>
          <w:p>
            <w:pPr>
              <w:rPr>
                <w:color w:val="000000"/>
              </w:rPr>
            </w:pPr>
          </w:p>
        </w:tc>
        <w:tc>
          <w:tcPr>
            <w:tcW w:w="452" w:type="pct"/>
          </w:tcPr>
          <w:p>
            <w:pPr>
              <w:rPr>
                <w:color w:val="000000"/>
              </w:rPr>
            </w:pPr>
            <w:r w:rsidR="00114846">
              <w:rPr>
                <w:color w:val="000000"/>
              </w:rPr>
              <w:t>1,26</w:t>
            </w:r>
          </w:p>
        </w:tc>
        <w:tc>
          <w:tcPr>
            <w:tcW w:w="452" w:type="pct"/>
          </w:tcPr>
          <w:p>
            <w:pPr>
              <w:rPr>
                <w:color w:val="000000"/>
              </w:rPr>
            </w:pPr>
          </w:p>
        </w:tc>
        <w:tc>
          <w:tcPr>
            <w:tcW w:w="452" w:type="pct"/>
          </w:tcPr>
          <w:p>
            <w:pPr>
              <w:rPr>
                <w:color w:val="000000"/>
              </w:rPr>
            </w:pPr>
            <w:r w:rsidR="00114846">
              <w:rPr>
                <w:color w:val="000000"/>
              </w:rPr>
              <w:t>1,5</w:t>
            </w:r>
          </w:p>
        </w:tc>
        <w:tc>
          <w:tcPr>
            <w:tcW w:w="324" w:type="pct"/>
          </w:tcPr>
          <w:p>
            <w:pPr>
              <w:rPr>
                <w:color w:val="000000"/>
              </w:rPr>
            </w:pPr>
          </w:p>
        </w:tc>
        <w:tc>
          <w:tcPr>
            <w:tcW w:w="452" w:type="pct"/>
          </w:tcPr>
          <w:p>
            <w:pPr>
              <w:rPr>
                <w:color w:val="000000"/>
              </w:rPr>
            </w:pPr>
            <w:r w:rsidR="00114846">
              <w:rPr>
                <w:color w:val="000000"/>
              </w:rPr>
              <w:t>1,4</w:t>
            </w:r>
          </w:p>
        </w:tc>
      </w:tr>
      <w:tr w:rsidR="00114846" w:rsidTr="0000604C">
        <w:trPr>
          <w:trHeight w:val="266"/>
        </w:trPr>
        <w:tc>
          <w:tcPr>
            <w:tcW w:w="1144" w:type="pct"/>
          </w:tcPr>
          <w:p>
            <w:pPr>
              <w:rPr>
                <w:i/>
                <w:iCs/>
                <w:color w:val="000000"/>
              </w:rPr>
            </w:pPr>
            <w:r w:rsidR="00114846">
              <w:rPr>
                <w:i/>
                <w:iCs/>
                <w:color w:val="000000"/>
              </w:rPr>
              <w:t>Sorin More</w:t>
            </w:r>
          </w:p>
        </w:tc>
        <w:tc>
          <w:tcPr>
            <w:tcW w:w="452" w:type="pct"/>
          </w:tcPr>
          <w:p>
            <w:pPr>
              <w:rPr>
                <w:color w:val="000000"/>
              </w:rPr>
            </w:pPr>
          </w:p>
        </w:tc>
        <w:tc>
          <w:tcPr>
            <w:tcW w:w="452" w:type="pct"/>
          </w:tcPr>
          <w:p>
            <w:pPr>
              <w:rPr>
                <w:color w:val="000000"/>
              </w:rPr>
            </w:pPr>
          </w:p>
        </w:tc>
        <w:tc>
          <w:tcPr>
            <w:tcW w:w="452" w:type="pct"/>
          </w:tcPr>
          <w:p>
            <w:pPr>
              <w:rPr>
                <w:color w:val="000000"/>
              </w:rPr>
            </w:pPr>
            <w:r w:rsidR="00114846">
              <w:rPr>
                <w:color w:val="000000"/>
              </w:rPr>
              <w:t>0,94</w:t>
            </w:r>
          </w:p>
        </w:tc>
        <w:tc>
          <w:tcPr>
            <w:tcW w:w="367" w:type="pct"/>
          </w:tcPr>
          <w:p>
            <w:pPr>
              <w:rPr>
                <w:color w:val="000000"/>
              </w:rPr>
            </w:pPr>
          </w:p>
        </w:tc>
        <w:tc>
          <w:tcPr>
            <w:tcW w:w="452" w:type="pct"/>
          </w:tcPr>
          <w:p>
            <w:pPr>
              <w:rPr>
                <w:color w:val="000000"/>
              </w:rPr>
            </w:pPr>
            <w:r w:rsidR="00114846">
              <w:rPr>
                <w:color w:val="000000"/>
              </w:rPr>
              <w:t>1,22</w:t>
            </w:r>
          </w:p>
        </w:tc>
        <w:tc>
          <w:tcPr>
            <w:tcW w:w="452" w:type="pct"/>
          </w:tcPr>
          <w:p>
            <w:pPr>
              <w:rPr>
                <w:color w:val="000000"/>
              </w:rPr>
            </w:pPr>
          </w:p>
        </w:tc>
        <w:tc>
          <w:tcPr>
            <w:tcW w:w="452" w:type="pct"/>
          </w:tcPr>
          <w:p>
            <w:pPr>
              <w:rPr>
                <w:color w:val="000000"/>
              </w:rPr>
            </w:pPr>
            <w:r w:rsidR="00114846">
              <w:rPr>
                <w:color w:val="000000"/>
              </w:rPr>
              <w:t>1,4</w:t>
            </w:r>
          </w:p>
        </w:tc>
        <w:tc>
          <w:tcPr>
            <w:tcW w:w="324" w:type="pct"/>
          </w:tcPr>
          <w:p>
            <w:pPr>
              <w:rPr>
                <w:color w:val="000000"/>
              </w:rPr>
            </w:pPr>
          </w:p>
        </w:tc>
        <w:tc>
          <w:tcPr>
            <w:tcW w:w="452" w:type="pct"/>
          </w:tcPr>
          <w:p>
            <w:pPr>
              <w:rPr>
                <w:color w:val="000000"/>
              </w:rPr>
            </w:pPr>
            <w:r w:rsidR="00114846">
              <w:rPr>
                <w:color w:val="000000"/>
              </w:rPr>
              <w:t>1,3</w:t>
            </w:r>
          </w:p>
        </w:tc>
      </w:tr>
      <w:tr w:rsidR="00114846" w:rsidTr="0000604C">
        <w:trPr>
          <w:trHeight w:val="266"/>
        </w:trPr>
        <w:tc>
          <w:tcPr>
            <w:tcW w:w="1144" w:type="pct"/>
          </w:tcPr>
          <w:p>
            <w:pPr>
              <w:rPr>
                <w:i/>
                <w:iCs/>
                <w:color w:val="000000"/>
              </w:rPr>
            </w:pPr>
            <w:r w:rsidR="00114846">
              <w:rPr>
                <w:i/>
                <w:iCs/>
                <w:color w:val="000000"/>
              </w:rPr>
              <w:t>Sorin Soprano</w:t>
            </w:r>
          </w:p>
        </w:tc>
        <w:tc>
          <w:tcPr>
            <w:tcW w:w="452" w:type="pct"/>
          </w:tcPr>
          <w:p>
            <w:pPr>
              <w:rPr>
                <w:color w:val="000000"/>
              </w:rPr>
            </w:pPr>
          </w:p>
        </w:tc>
        <w:tc>
          <w:tcPr>
            <w:tcW w:w="452" w:type="pct"/>
          </w:tcPr>
          <w:p>
            <w:pPr>
              <w:rPr>
                <w:color w:val="000000"/>
              </w:rPr>
            </w:pPr>
            <w:r w:rsidR="00114846">
              <w:rPr>
                <w:color w:val="000000"/>
              </w:rPr>
              <w:t>1,26</w:t>
            </w:r>
          </w:p>
        </w:tc>
        <w:tc>
          <w:tcPr>
            <w:tcW w:w="452" w:type="pct"/>
          </w:tcPr>
          <w:p>
            <w:pPr>
              <w:rPr>
                <w:color w:val="000000"/>
              </w:rPr>
            </w:pPr>
          </w:p>
        </w:tc>
        <w:tc>
          <w:tcPr>
            <w:tcW w:w="367" w:type="pct"/>
          </w:tcPr>
          <w:p>
            <w:pPr>
              <w:rPr>
                <w:color w:val="000000"/>
              </w:rPr>
            </w:pPr>
            <w:r w:rsidR="00114846">
              <w:rPr>
                <w:color w:val="000000"/>
              </w:rPr>
              <w:t>1,3</w:t>
            </w:r>
          </w:p>
        </w:tc>
        <w:tc>
          <w:tcPr>
            <w:tcW w:w="452" w:type="pct"/>
          </w:tcPr>
          <w:p>
            <w:pPr>
              <w:rPr>
                <w:color w:val="000000"/>
              </w:rPr>
            </w:pPr>
          </w:p>
        </w:tc>
        <w:tc>
          <w:tcPr>
            <w:tcW w:w="452" w:type="pct"/>
          </w:tcPr>
          <w:p>
            <w:pPr>
              <w:rPr>
                <w:color w:val="000000"/>
              </w:rPr>
            </w:pPr>
            <w:r w:rsidR="00114846">
              <w:rPr>
                <w:color w:val="000000"/>
              </w:rPr>
              <w:t>1,55</w:t>
            </w:r>
          </w:p>
        </w:tc>
        <w:tc>
          <w:tcPr>
            <w:tcW w:w="452" w:type="pct"/>
          </w:tcPr>
          <w:p>
            <w:pPr>
              <w:rPr>
                <w:color w:val="000000"/>
              </w:rPr>
            </w:pPr>
          </w:p>
        </w:tc>
        <w:tc>
          <w:tcPr>
            <w:tcW w:w="324" w:type="pct"/>
          </w:tcPr>
          <w:p>
            <w:pPr>
              <w:rPr>
                <w:color w:val="000000"/>
              </w:rPr>
            </w:pPr>
          </w:p>
        </w:tc>
        <w:tc>
          <w:tcPr>
            <w:tcW w:w="452" w:type="pct"/>
          </w:tcPr>
          <w:p>
            <w:pPr>
              <w:rPr>
                <w:color w:val="000000"/>
              </w:rPr>
            </w:pPr>
          </w:p>
        </w:tc>
      </w:tr>
      <w:tr w:rsidR="00114846" w:rsidTr="0000604C">
        <w:trPr>
          <w:trHeight w:val="266"/>
        </w:trPr>
        <w:tc>
          <w:tcPr>
            <w:tcW w:w="1144" w:type="pct"/>
          </w:tcPr>
          <w:p>
            <w:pPr>
              <w:rPr>
                <w:b/>
                <w:i/>
                <w:iCs/>
                <w:color w:val="000000"/>
              </w:rPr>
            </w:pPr>
            <w:r w:rsidR="00114846">
              <w:rPr>
                <w:b/>
                <w:i/>
                <w:iCs/>
                <w:color w:val="000000"/>
              </w:rPr>
              <w:t>Celkem</w:t>
            </w:r>
          </w:p>
        </w:tc>
        <w:tc>
          <w:tcPr>
            <w:tcW w:w="452" w:type="pct"/>
          </w:tcPr>
          <w:p>
            <w:pPr>
              <w:rPr>
                <w:i/>
                <w:color w:val="000000"/>
              </w:rPr>
            </w:pPr>
            <w:r w:rsidR="00114846">
              <w:rPr>
                <w:i/>
                <w:color w:val="000000"/>
              </w:rPr>
              <w:t>12</w:t>
            </w:r>
          </w:p>
        </w:tc>
        <w:tc>
          <w:tcPr>
            <w:tcW w:w="452" w:type="pct"/>
          </w:tcPr>
          <w:p>
            <w:pPr>
              <w:rPr>
                <w:i/>
                <w:color w:val="000000"/>
              </w:rPr>
            </w:pPr>
            <w:r w:rsidR="00114846">
              <w:rPr>
                <w:i/>
                <w:color w:val="000000"/>
              </w:rPr>
              <w:t>25</w:t>
            </w:r>
          </w:p>
        </w:tc>
        <w:tc>
          <w:tcPr>
            <w:tcW w:w="452" w:type="pct"/>
          </w:tcPr>
          <w:p>
            <w:pPr>
              <w:rPr>
                <w:i/>
                <w:color w:val="000000"/>
              </w:rPr>
            </w:pPr>
            <w:r w:rsidR="00114846">
              <w:rPr>
                <w:i/>
                <w:color w:val="000000"/>
              </w:rPr>
              <w:t>77</w:t>
            </w:r>
          </w:p>
        </w:tc>
        <w:tc>
          <w:tcPr>
            <w:tcW w:w="367" w:type="pct"/>
          </w:tcPr>
          <w:p>
            <w:pPr>
              <w:rPr>
                <w:i/>
                <w:color w:val="000000"/>
              </w:rPr>
            </w:pPr>
            <w:r w:rsidR="00114846">
              <w:rPr>
                <w:i/>
                <w:color w:val="000000"/>
              </w:rPr>
              <w:t>17</w:t>
            </w:r>
          </w:p>
        </w:tc>
        <w:tc>
          <w:tcPr>
            <w:tcW w:w="452" w:type="pct"/>
          </w:tcPr>
          <w:p>
            <w:pPr>
              <w:rPr>
                <w:i/>
                <w:color w:val="000000"/>
              </w:rPr>
            </w:pPr>
            <w:r w:rsidR="00114846">
              <w:rPr>
                <w:i/>
                <w:color w:val="000000"/>
              </w:rPr>
              <w:t>85</w:t>
            </w:r>
          </w:p>
        </w:tc>
        <w:tc>
          <w:tcPr>
            <w:tcW w:w="452" w:type="pct"/>
          </w:tcPr>
          <w:p>
            <w:pPr>
              <w:rPr>
                <w:i/>
                <w:color w:val="000000"/>
              </w:rPr>
            </w:pPr>
            <w:r w:rsidR="00114846">
              <w:rPr>
                <w:i/>
                <w:color w:val="000000"/>
              </w:rPr>
              <w:t>15</w:t>
            </w:r>
          </w:p>
        </w:tc>
        <w:tc>
          <w:tcPr>
            <w:tcW w:w="452" w:type="pct"/>
          </w:tcPr>
          <w:p>
            <w:pPr>
              <w:rPr>
                <w:i/>
                <w:color w:val="000000"/>
              </w:rPr>
            </w:pPr>
            <w:r w:rsidR="00114846">
              <w:rPr>
                <w:i/>
                <w:color w:val="000000"/>
              </w:rPr>
              <w:t>46</w:t>
            </w:r>
          </w:p>
        </w:tc>
        <w:tc>
          <w:tcPr>
            <w:tcW w:w="324" w:type="pct"/>
          </w:tcPr>
          <w:p>
            <w:pPr>
              <w:rPr>
                <w:i/>
                <w:color w:val="000000"/>
                <w:lang w:val="en-US"/>
              </w:rPr>
            </w:pPr>
            <w:r w:rsidR="00114846">
              <w:rPr>
                <w:i/>
                <w:color w:val="000000"/>
                <w:lang w:val="en-US"/>
              </w:rPr>
              <w:t>2</w:t>
            </w:r>
          </w:p>
        </w:tc>
        <w:tc>
          <w:tcPr>
            <w:tcW w:w="452" w:type="pct"/>
          </w:tcPr>
          <w:p>
            <w:pPr>
              <w:rPr>
                <w:i/>
                <w:color w:val="000000"/>
              </w:rPr>
            </w:pPr>
            <w:r w:rsidR="00114846">
              <w:rPr>
                <w:i/>
                <w:color w:val="000000"/>
              </w:rPr>
              <w:t>17</w:t>
            </w:r>
          </w:p>
        </w:tc>
      </w:tr>
    </w:tbl>
    <w:p>
      <w:pPr>
        <w:spacing w:line="360" w:lineRule="auto"/>
      </w:pPr>
    </w:p>
    <w:p>
      <w:pPr>
        <w:rPr>
          <w:i/>
          <w:color w:val="000000"/>
        </w:rPr>
      </w:pPr>
      <w:r w:rsidR="00114846">
        <w:rPr>
          <w:i/>
          <w:color w:val="000000"/>
        </w:rPr>
        <w:t>Tab.  7: Průměrná EOA (efektivní plocha ústí) chlopenní náhrady měřená pomocí dopplerometrie a rovnice kontinuity (cm</w:t>
      </w:r>
      <w:r w:rsidR="00114846">
        <w:rPr>
          <w:i/>
          <w:color w:val="000000"/>
          <w:vertAlign w:val="superscript"/>
        </w:rPr>
        <w:t>2</w:t>
      </w:r>
      <w:r w:rsidR="00114846">
        <w:rPr>
          <w:i/>
          <w:color w:val="000000"/>
        </w:rPr>
        <w:t>)</w:t>
      </w:r>
    </w:p>
    <w:p>
      <w:pPr>
        <w:spacing w:line="360" w:lineRule="auto"/>
      </w:pPr>
    </w:p>
    <w:p>
      <w:pPr>
        <w:spacing w:line="360" w:lineRule="auto"/>
        <w:ind w:firstLine="708"/>
        <w:jc w:val="both"/>
      </w:pPr>
      <w:r w:rsidR="00114846">
        <w:t xml:space="preserve">Efektivní plochy ústí bioprotéz jednotlivých výrobců stejných velikostí byly statisticky porovnány. Analýza rozptylu hodnot ukázala statisticky signifikantní rozdíl pouze u bioprotéz velikosti 21. Z následného porovnání vyplývá, že výrobek Sorin More má signifikantně nižší hodnotu EOA než ostatní bioprotézy. U bioprotéz velikostí 23, 25 a 27 nebyl zjištěn signifikantní rozdíl v námi naměřených hodnotách EOA.  U bioprotéz velikosti 27 jsme měli malý statistický soubor pro validní analýzu.  </w:t>
      </w:r>
    </w:p>
    <w:p>
      <w:pPr>
        <w:spacing w:line="360" w:lineRule="auto"/>
      </w:pPr>
    </w:p>
    <w:p>
      <w:pPr>
        <w:spacing w:line="360" w:lineRule="auto"/>
      </w:pPr>
    </w:p>
    <w:p>
      <w:r w:rsidR="00114846">
        <w:rPr>
          <w:b/>
        </w:rPr>
        <w:t>10.4</w:t>
      </w:r>
      <w:r w:rsidR="00114846">
        <w:rPr>
          <w:b/>
        </w:rPr>
        <w:tab/>
      </w:r>
      <w:r w:rsidR="00114846" w:rsidRPr="00A80B79">
        <w:rPr>
          <w:b/>
        </w:rPr>
        <w:t>Změna průtokových gradientů v jednotlivých intervalech po operaci</w:t>
      </w:r>
    </w:p>
    <w:p>
      <w:pPr>
        <w:spacing w:line="360" w:lineRule="auto"/>
        <w:rPr>
          <w:b/>
        </w:rPr>
      </w:pPr>
    </w:p>
    <w:p>
      <w:pPr>
        <w:spacing w:line="360" w:lineRule="auto"/>
        <w:ind w:firstLine="708"/>
        <w:jc w:val="both"/>
        <w:rPr>
          <w:color w:val="000000"/>
        </w:rPr>
      </w:pPr>
      <w:r w:rsidR="00114846">
        <w:rPr>
          <w:color w:val="000000"/>
        </w:rPr>
        <w:t xml:space="preserve">Echokardiografická měření probíhala před operací, poté po implantaci před propuštěním nemocných do ambulantní péče a dále v intervalech měsíc, půl roku, rok a dva roky po operaci. Jedním z cílů studie bylo zjistit, zda dochází k nějaké změně průtokových gradientů v časovém odstupu po implantaci. Získaná data byla podrobena následujícímu statistickému vyhodnocení. </w:t>
      </w:r>
    </w:p>
    <w:p>
      <w:pPr>
        <w:spacing w:line="360" w:lineRule="auto"/>
        <w:ind w:firstLine="708"/>
        <w:jc w:val="both"/>
        <w:rPr>
          <w:color w:val="000000"/>
        </w:rPr>
      </w:pPr>
      <w:r w:rsidR="00114846" w:rsidRPr="00062C8A">
        <w:rPr>
          <w:iCs/>
          <w:color w:val="000000"/>
        </w:rPr>
        <w:t xml:space="preserve">Analýza rozptylu prokázala signifikantně nižší průměrné hodnoty středního a maximálního gradientu ve všech měřeních po operaci oproti průměrné hodnotě před operací. </w:t>
      </w:r>
      <w:r w:rsidR="00114846">
        <w:rPr>
          <w:iCs/>
          <w:color w:val="000000"/>
        </w:rPr>
        <w:t xml:space="preserve"> </w:t>
      </w:r>
      <w:r w:rsidR="00114846" w:rsidRPr="00062C8A">
        <w:rPr>
          <w:iCs/>
          <w:color w:val="000000"/>
        </w:rPr>
        <w:t xml:space="preserve">Průměrné hodnoty středního a maximálního gradientu zjištěné při jednotlivých měřeních po operaci se </w:t>
      </w:r>
      <w:r w:rsidR="00114846">
        <w:rPr>
          <w:iCs/>
          <w:color w:val="000000"/>
        </w:rPr>
        <w:t xml:space="preserve">již </w:t>
      </w:r>
      <w:r w:rsidR="00114846" w:rsidRPr="00062C8A">
        <w:rPr>
          <w:iCs/>
          <w:color w:val="000000"/>
        </w:rPr>
        <w:t>nelišily statisticky signifikantně</w:t>
      </w:r>
      <w:r w:rsidR="00114846" w:rsidRPr="00062C8A">
        <w:rPr>
          <w:color w:val="000000"/>
        </w:rPr>
        <w:t>.</w:t>
      </w:r>
      <w:r w:rsidR="00114846">
        <w:rPr>
          <w:color w:val="000000"/>
        </w:rPr>
        <w:t xml:space="preserve"> Závěry byly ověřeny neparametrickým testem Mann-Whitney.</w:t>
      </w:r>
    </w:p>
    <w:p>
      <w:pPr>
        <w:spacing w:line="360" w:lineRule="auto"/>
        <w:rPr>
          <w:color w:val="000000"/>
        </w:rPr>
      </w:pPr>
    </w:p>
    <w:p>
      <w:pPr>
        <w:spacing w:line="360" w:lineRule="auto"/>
      </w:pPr>
      <w:r w:rsidR="00114846">
        <w:object w:dxaOrig="6819" w:dyaOrig="5666">
          <v:shape id="_x0000_i1044" type="#_x0000_t75" style="width:341.25pt;height:283.5pt" o:ole="">
            <v:imagedata r:id="rId33" o:title=""/>
          </v:shape>
          <o:OLEObject Type="Embed" ProgID="StaticEnhancedMetafile" ShapeID="_x0000_i1044" DrawAspect="Content" ObjectID="_1301893362" r:id="rId34"/>
        </w:object>
      </w:r>
    </w:p>
    <w:p>
      <w:pPr>
        <w:spacing w:line="360" w:lineRule="auto"/>
        <w:rPr>
          <w:color w:val="000000"/>
        </w:rPr>
      </w:pPr>
    </w:p>
    <w:p>
      <w:pPr>
        <w:spacing w:line="360" w:lineRule="auto"/>
        <w:rPr>
          <w:i/>
          <w:iCs/>
          <w:color w:val="000000"/>
        </w:rPr>
      </w:pPr>
      <w:r w:rsidR="00114846">
        <w:rPr>
          <w:i/>
          <w:iCs/>
          <w:color w:val="000000"/>
        </w:rPr>
        <w:t>Graf 9: Hodnoty středního gradientu před operací a po náhradě chlopně (MG – mean gradient)</w:t>
      </w:r>
    </w:p>
    <w:p>
      <w:pPr>
        <w:spacing w:line="360" w:lineRule="auto"/>
        <w:rPr>
          <w:color w:val="000000"/>
        </w:rPr>
      </w:pPr>
    </w:p>
    <w:p>
      <w:pPr>
        <w:spacing w:line="360" w:lineRule="auto"/>
        <w:rPr>
          <w:color w:val="000000"/>
        </w:rPr>
      </w:pPr>
      <w:r w:rsidR="00114846">
        <w:object w:dxaOrig="6819" w:dyaOrig="5666">
          <v:shape id="_x0000_i1045" type="#_x0000_t75" style="width:341.25pt;height:283.5pt" o:ole="">
            <v:imagedata r:id="rId35" o:title=""/>
          </v:shape>
          <o:OLEObject Type="Embed" ProgID="StaticEnhancedMetafile" ShapeID="_x0000_i1045" DrawAspect="Content" ObjectID="_1301893363" r:id="rId36"/>
        </w:object>
      </w:r>
    </w:p>
    <w:p>
      <w:pPr>
        <w:spacing w:line="360" w:lineRule="auto"/>
        <w:rPr>
          <w:i/>
          <w:iCs/>
          <w:color w:val="000000"/>
        </w:rPr>
      </w:pPr>
      <w:r w:rsidR="00114846">
        <w:rPr>
          <w:i/>
          <w:iCs/>
          <w:color w:val="000000"/>
        </w:rPr>
        <w:t>Graf 10: Hodnoty vrcholového gradientu před operací a po náhradě chlopně (PG – peak gradient)</w:t>
      </w:r>
    </w:p>
    <w:p>
      <w:pPr>
        <w:spacing w:line="360" w:lineRule="auto"/>
        <w:rPr>
          <w:b/>
        </w:rPr>
      </w:pPr>
    </w:p>
    <w:p>
      <w:pPr>
        <w:spacing w:line="360" w:lineRule="auto"/>
        <w:rPr>
          <w:b/>
          <w:bCs/>
        </w:rPr>
      </w:pPr>
    </w:p>
    <w:p>
      <w:pPr>
        <w:spacing w:line="360" w:lineRule="auto"/>
        <w:rPr>
          <w:b/>
          <w:bCs/>
        </w:rPr>
      </w:pPr>
      <w:r w:rsidR="00114846">
        <w:rPr>
          <w:b/>
          <w:bCs/>
        </w:rPr>
        <w:t>10.5</w:t>
      </w:r>
      <w:r w:rsidR="00114846">
        <w:rPr>
          <w:b/>
          <w:bCs/>
        </w:rPr>
        <w:tab/>
        <w:t>Pooperační regrese hypertrofie svaloviny levé komory a vztah k indexované efektivní ploše ústí bioprotézy (iEOA)</w:t>
      </w:r>
      <w:r w:rsidR="00114846">
        <w:rPr>
          <w:b/>
          <w:bCs/>
        </w:rPr>
        <w:tab/>
        <w:t xml:space="preserve"> </w:t>
      </w:r>
    </w:p>
    <w:p>
      <w:pPr>
        <w:spacing w:line="360" w:lineRule="auto"/>
        <w:rPr>
          <w:b/>
          <w:bCs/>
        </w:rPr>
      </w:pPr>
    </w:p>
    <w:p>
      <w:pPr>
        <w:spacing w:line="360" w:lineRule="auto"/>
        <w:jc w:val="both"/>
      </w:pPr>
      <w:r w:rsidR="00114846">
        <w:rPr>
          <w:b/>
          <w:bCs/>
        </w:rPr>
        <w:tab/>
      </w:r>
      <w:r w:rsidR="00114846">
        <w:t xml:space="preserve">Efektivní plocha ústí vyjadřuje průtokové charakteristiky samotné chlopně. Pro posouzení hemodynamiky implantované chlopně u daného nemocného je ale nutno vzít v úvahu jeho tělesné proporce – výšku a váhu. Zavedeným parametrem, který tyto dvě hodnoty sdružuje, je tělesný povrch (BSA – body surface area). Poměrem efektivní plochy ústí chlopně a tělesného povrchu je tzv. indexovaná efektivní plocha ústí chlopně (iEOA), vyjadřující, jaké hemodynamické parametry má implantovaná chlopeň u daného pacienta. Čím vyšší je tato hodnota, tím menší obstrukci ve výtokovém traktu levé komory chlopeň způsobuje a mělo by dojít k rychlejší regresi hypertrofie svaloviny. </w:t>
      </w:r>
    </w:p>
    <w:p>
      <w:pPr>
        <w:spacing w:line="360" w:lineRule="auto"/>
        <w:jc w:val="both"/>
      </w:pPr>
      <w:r w:rsidR="00114846">
        <w:tab/>
        <w:t xml:space="preserve">„Patient prosthesis mismatch“ (PPM) je definován jako nesoulad velikosti umělé chlopně a hemodynamických nároků pacienta [Dominik 2005]. Dle některých autorů vzniká již pokud je tato plocha menší než 0,85, závažný PPM je definován při efektivní ploše ústí menší než 0,65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 xml:space="preserve"> </w:t>
      </w:r>
      <w:r w:rsidR="00114846">
        <w:rPr>
          <w:lang w:val="en-US"/>
        </w:rPr>
        <w:t>[</w:t>
      </w:r>
      <w:r w:rsidR="00114846">
        <w:t>Pibarot 2000</w:t>
      </w:r>
      <w:r w:rsidR="00114846">
        <w:rPr>
          <w:lang w:val="en-US"/>
        </w:rPr>
        <w:t xml:space="preserve">]. </w:t>
      </w:r>
      <w:r w:rsidR="00114846">
        <w:t xml:space="preserve">Důsledkem by mělo být zpomalení regrese hypertrofie svaloviny levé komory a nárůst dlouhodobé mortality a morbidity. </w:t>
      </w:r>
    </w:p>
    <w:p>
      <w:pPr>
        <w:spacing w:line="360" w:lineRule="auto"/>
        <w:jc w:val="both"/>
      </w:pPr>
      <w:r w:rsidR="00114846">
        <w:tab/>
        <w:t>Pro posouzení hypertrofie svaloviny jsme použili echokardiografické měření tloušťky septa a zadní stěny levé komory. U všech nemocných bylo toto měření provedeno před operací a poté při pravidelných ambulantních kontrolách za půl roku, rok a dva roky po operaci. Při statistickém porovnání tloušťky septa a zadní stěny levé komory v diastole před operací a po operaci jsme došli k následujícím závěrům:</w:t>
      </w:r>
    </w:p>
    <w:p>
      <w:pPr>
        <w:spacing w:line="360" w:lineRule="auto"/>
      </w:pPr>
    </w:p>
    <w:p>
      <w:pPr>
        <w:spacing w:line="360" w:lineRule="auto"/>
      </w:pPr>
    </w:p>
    <w:p>
      <w:pPr>
        <w:spacing w:line="360" w:lineRule="auto"/>
        <w:jc w:val="both"/>
      </w:pPr>
      <w:r w:rsidR="00114846" w:rsidRPr="00062C8A">
        <w:rPr>
          <w:bCs/>
        </w:rPr>
        <w:t>1.</w:t>
      </w:r>
      <w:r w:rsidR="00114846">
        <w:t xml:space="preserve"> Průměrná tloušťka septa v diastole před operací byla 14,84 ± 2,6 mm, ½ roku po operaci 13,92 ± 1,83 mm, rok po operaci 13,99 ± 1,77 mm a dva roky po operaci 13,86 ± 1,52. Test Mann-Whitney prokázal signifikantně nižší hodnoty tloušťky septa v diastole ½ roku po operaci, jeden a dva roky po operaci oproti hodnotám před operací (p &lt; 0,0001).  Rozdíl mezi průměrnou tloušťkou septa v diastole měřenou ½ roku po operaci a 1 rok po operaci nebyl statisticky významný. </w:t>
      </w:r>
    </w:p>
    <w:p>
      <w:pPr>
        <w:spacing w:line="360" w:lineRule="auto"/>
      </w:pPr>
    </w:p>
    <w:p>
      <w:pPr>
        <w:spacing w:line="360" w:lineRule="auto"/>
      </w:pPr>
    </w:p>
    <w:p>
      <w:pPr>
        <w:spacing w:line="360" w:lineRule="auto"/>
      </w:pPr>
      <w:r w:rsidR="00114846">
        <w:object w:dxaOrig="6819" w:dyaOrig="5666">
          <v:shape id="_x0000_i1046" type="#_x0000_t75" style="width:276pt;height:229.5pt" o:ole="">
            <v:imagedata r:id="rId37" o:title=""/>
          </v:shape>
          <o:OLEObject Type="Embed" ProgID="StaticEnhancedMetafile" ShapeID="_x0000_i1046" DrawAspect="Content" ObjectID="_1301893364" r:id="rId38"/>
        </w:object>
      </w:r>
    </w:p>
    <w:p>
      <w:pPr>
        <w:spacing w:line="360" w:lineRule="auto"/>
        <w:rPr>
          <w:i/>
          <w:iCs/>
        </w:rPr>
      </w:pPr>
      <w:r w:rsidR="00114846">
        <w:rPr>
          <w:i/>
          <w:iCs/>
        </w:rPr>
        <w:t>Graf 11:  Srovnání tloušťky septa v diastole ve sledovaných intervalech</w:t>
      </w:r>
    </w:p>
    <w:p>
      <w:pPr>
        <w:spacing w:line="360" w:lineRule="auto"/>
      </w:pPr>
    </w:p>
    <w:p>
      <w:pPr>
        <w:spacing w:line="360" w:lineRule="auto"/>
      </w:pPr>
    </w:p>
    <w:p>
      <w:pPr>
        <w:spacing w:line="360" w:lineRule="auto"/>
      </w:pPr>
    </w:p>
    <w:p>
      <w:pPr>
        <w:spacing w:line="360" w:lineRule="auto"/>
        <w:jc w:val="both"/>
      </w:pPr>
      <w:r w:rsidR="00114846" w:rsidRPr="00062C8A">
        <w:rPr>
          <w:bCs/>
        </w:rPr>
        <w:t>2.</w:t>
      </w:r>
      <w:r w:rsidR="00114846">
        <w:t xml:space="preserve"> Průměrná tloušťka zadní stěny v diastole před operací byla 13,90 ± 2,6 mm, ½ roku po operaci 13,32 ± 2,2 mm, rok po operaci 13,42 ± 2,1 mm a dva roky po operaci 13,45 ± 1,8. Test Mann-Whitney prokázal signifikantně nižší hodnoty tloušťky zadní stěny v diastole ½ roku po operaci, jeden a dva roky po operaci oproti hodnotám před operací (p &lt; 0,001). Rozdíl mezi průměrnou tloušťkou zadní stěny v diastole měřenou ½ roku po operaci a 1 rok po operaci nebyl statisticky významný.</w:t>
      </w:r>
    </w:p>
    <w:p>
      <w:pPr>
        <w:spacing w:line="360" w:lineRule="auto"/>
        <w:jc w:val="both"/>
      </w:pPr>
    </w:p>
    <w:p>
      <w:r w:rsidR="00114846">
        <w:object w:dxaOrig="6819" w:dyaOrig="5666">
          <v:shape id="_x0000_i1047" type="#_x0000_t75" style="width:276pt;height:232.5pt" o:ole="">
            <v:imagedata r:id="rId39" o:title=""/>
          </v:shape>
          <o:OLEObject Type="Embed" ProgID="StaticEnhancedMetafile" ShapeID="_x0000_i1047" DrawAspect="Content" ObjectID="_1301893365" r:id="rId40"/>
        </w:object>
      </w:r>
    </w:p>
    <w:p>
      <w:pPr>
        <w:spacing w:line="360" w:lineRule="auto"/>
        <w:rPr>
          <w:i/>
          <w:iCs/>
        </w:rPr>
      </w:pPr>
    </w:p>
    <w:p>
      <w:pPr>
        <w:spacing w:line="360" w:lineRule="auto"/>
        <w:rPr>
          <w:i/>
          <w:iCs/>
        </w:rPr>
      </w:pPr>
      <w:r w:rsidR="00114846">
        <w:rPr>
          <w:i/>
          <w:iCs/>
        </w:rPr>
        <w:t>Graf 12 : Srovnání tloušťky zadní stěny v diastole ve sledovaných intervalech</w:t>
      </w:r>
    </w:p>
    <w:p>
      <w:pPr>
        <w:spacing w:line="360" w:lineRule="auto"/>
        <w:ind w:firstLine="708"/>
      </w:pPr>
    </w:p>
    <w:p>
      <w:pPr>
        <w:spacing w:line="360" w:lineRule="auto"/>
        <w:ind w:firstLine="708"/>
        <w:jc w:val="both"/>
      </w:pPr>
      <w:r w:rsidR="00114846">
        <w:t xml:space="preserve">Dle zjištěných údajů došlo u pacientů po náhradě stenotické chlopně bioprotézou k regresi hypertrofie svaloviny levé komory srdeční. Ke statisticky signifikantnímu zmenšení tloušťky septa a zadní stěny levé komory došlo u nemocných půl roku po operaci, v následujících intervalech sledování (1 a 2 roky) k další statisticky signifikantní regresi již nedošlo. </w:t>
      </w:r>
    </w:p>
    <w:p>
      <w:pPr>
        <w:spacing w:line="360" w:lineRule="auto"/>
        <w:ind w:firstLine="708"/>
        <w:jc w:val="both"/>
      </w:pPr>
    </w:p>
    <w:p>
      <w:pPr>
        <w:spacing w:line="360" w:lineRule="auto"/>
        <w:ind w:firstLine="708"/>
        <w:jc w:val="both"/>
      </w:pPr>
      <w:r w:rsidR="00114846">
        <w:t xml:space="preserve">V souboru nemocných byla námi naměřená průměrná pooperační indexovaná plocha ústí umělé chlopně (iEOA) 0,73 ± 0,16 </w:t>
      </w:r>
      <w:r w:rsidR="00114846" w:rsidRPr="00F40431">
        <w:t>cm</w:t>
      </w:r>
      <w:r w:rsidR="00114846">
        <w:rPr>
          <w:vertAlign w:val="superscript"/>
        </w:rPr>
        <w:t>2</w:t>
      </w:r>
      <w:r w:rsidR="00114846">
        <w:t>.m</w:t>
      </w:r>
      <w:r w:rsidR="00114846">
        <w:rPr>
          <w:vertAlign w:val="superscript"/>
          <w:lang w:val="en-US"/>
        </w:rPr>
        <w:t>-</w:t>
      </w:r>
      <w:r w:rsidR="00114846" w:rsidRPr="00B62CA9">
        <w:rPr>
          <w:vertAlign w:val="superscript"/>
        </w:rPr>
        <w:t>2</w:t>
      </w:r>
      <w:r w:rsidR="00114846">
        <w:t xml:space="preserve">. </w:t>
      </w:r>
      <w:r w:rsidR="00114846" w:rsidRPr="00B62CA9">
        <w:t>Pouze</w:t>
      </w:r>
      <w:r w:rsidR="00114846">
        <w:t xml:space="preserve"> u 34 (11,6 %) pacientů jsme změřili iEOA větší než 0,85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 xml:space="preserve">. U 56 (19 </w:t>
      </w:r>
      <w:r w:rsidR="00114846">
        <w:rPr>
          <w:lang w:val="en-US"/>
        </w:rPr>
        <w:t>%</w:t>
      </w:r>
      <w:r w:rsidR="00114846">
        <w:t xml:space="preserve">) nemocných byla iEOA menší než 0,65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 xml:space="preserve">.  </w:t>
      </w:r>
    </w:p>
    <w:p>
      <w:pPr>
        <w:spacing w:line="360" w:lineRule="auto"/>
        <w:jc w:val="both"/>
      </w:pPr>
      <w:r w:rsidR="00114846">
        <w:t xml:space="preserve">Průměrné indexované plochy ústí (iEOA) u pacientů rozdělené dle velikosti chlopně všech výrobců shrnuje tabulka 8. </w:t>
      </w:r>
    </w:p>
    <w:p>
      <w:pPr>
        <w:spacing w:line="360" w:lineRule="auto"/>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71"/>
        <w:gridCol w:w="4189"/>
      </w:tblGrid>
      <w:tr w:rsidR="00114846" w:rsidTr="00455FB2">
        <w:tc>
          <w:tcPr>
            <w:tcW w:w="4606" w:type="dxa"/>
          </w:tcPr>
          <w:p>
            <w:r w:rsidR="00114846">
              <w:t>19</w:t>
            </w:r>
          </w:p>
        </w:tc>
        <w:tc>
          <w:tcPr>
            <w:tcW w:w="4606" w:type="dxa"/>
          </w:tcPr>
          <w:p>
            <w:r w:rsidR="00114846">
              <w:t>0,65 ± 0,10     (12)</w:t>
            </w:r>
          </w:p>
        </w:tc>
      </w:tr>
      <w:tr w:rsidR="00114846" w:rsidTr="00455FB2">
        <w:tc>
          <w:tcPr>
            <w:tcW w:w="4606" w:type="dxa"/>
          </w:tcPr>
          <w:p>
            <w:r w:rsidR="00114846">
              <w:t>20</w:t>
            </w:r>
          </w:p>
        </w:tc>
        <w:tc>
          <w:tcPr>
            <w:tcW w:w="4606" w:type="dxa"/>
          </w:tcPr>
          <w:p>
            <w:r w:rsidR="00114846">
              <w:t>0,69 ± 0,09     (25)</w:t>
            </w:r>
          </w:p>
        </w:tc>
      </w:tr>
      <w:tr w:rsidR="00114846" w:rsidTr="00455FB2">
        <w:tc>
          <w:tcPr>
            <w:tcW w:w="4606" w:type="dxa"/>
          </w:tcPr>
          <w:p>
            <w:r w:rsidR="00114846">
              <w:t>21</w:t>
            </w:r>
          </w:p>
        </w:tc>
        <w:tc>
          <w:tcPr>
            <w:tcW w:w="4606" w:type="dxa"/>
          </w:tcPr>
          <w:p>
            <w:r w:rsidR="00114846">
              <w:t>0,72 ± 0,18     (77)</w:t>
            </w:r>
          </w:p>
        </w:tc>
      </w:tr>
      <w:tr w:rsidR="00114846" w:rsidTr="00455FB2">
        <w:tc>
          <w:tcPr>
            <w:tcW w:w="4606" w:type="dxa"/>
          </w:tcPr>
          <w:p>
            <w:r w:rsidR="00114846">
              <w:t>22</w:t>
            </w:r>
          </w:p>
        </w:tc>
        <w:tc>
          <w:tcPr>
            <w:tcW w:w="4606" w:type="dxa"/>
          </w:tcPr>
          <w:p>
            <w:r w:rsidR="00114846">
              <w:t>0,68 ± 0,12     (17)</w:t>
            </w:r>
          </w:p>
        </w:tc>
      </w:tr>
      <w:tr w:rsidR="00114846" w:rsidTr="00455FB2">
        <w:tc>
          <w:tcPr>
            <w:tcW w:w="4606" w:type="dxa"/>
          </w:tcPr>
          <w:p>
            <w:r w:rsidR="00114846">
              <w:t>23</w:t>
            </w:r>
          </w:p>
        </w:tc>
        <w:tc>
          <w:tcPr>
            <w:tcW w:w="4606" w:type="dxa"/>
          </w:tcPr>
          <w:p>
            <w:r w:rsidR="00114846">
              <w:t>0,69 ± 0,14     (85)</w:t>
            </w:r>
          </w:p>
        </w:tc>
      </w:tr>
      <w:tr w:rsidR="00114846" w:rsidTr="00455FB2">
        <w:tc>
          <w:tcPr>
            <w:tcW w:w="4606" w:type="dxa"/>
          </w:tcPr>
          <w:p>
            <w:r w:rsidR="00114846">
              <w:t>24</w:t>
            </w:r>
          </w:p>
        </w:tc>
        <w:tc>
          <w:tcPr>
            <w:tcW w:w="4606" w:type="dxa"/>
          </w:tcPr>
          <w:p>
            <w:r w:rsidR="00114846">
              <w:t>0,80 ± 0,20     (15)</w:t>
            </w:r>
          </w:p>
        </w:tc>
      </w:tr>
      <w:tr w:rsidR="00114846" w:rsidTr="00455FB2">
        <w:tc>
          <w:tcPr>
            <w:tcW w:w="4606" w:type="dxa"/>
          </w:tcPr>
          <w:p>
            <w:r w:rsidR="00114846">
              <w:t>25</w:t>
            </w:r>
          </w:p>
        </w:tc>
        <w:tc>
          <w:tcPr>
            <w:tcW w:w="4606" w:type="dxa"/>
          </w:tcPr>
          <w:p>
            <w:r w:rsidR="00114846">
              <w:t>0,79 ± 0,19     (46)</w:t>
            </w:r>
          </w:p>
        </w:tc>
      </w:tr>
      <w:tr w:rsidR="00114846" w:rsidTr="00455FB2">
        <w:tc>
          <w:tcPr>
            <w:tcW w:w="4606" w:type="dxa"/>
          </w:tcPr>
          <w:p>
            <w:r w:rsidR="00114846">
              <w:t>26</w:t>
            </w:r>
          </w:p>
        </w:tc>
        <w:tc>
          <w:tcPr>
            <w:tcW w:w="4606" w:type="dxa"/>
          </w:tcPr>
          <w:p>
            <w:r w:rsidR="00114846">
              <w:t>0,57 ± 0,12     (2)</w:t>
            </w:r>
          </w:p>
        </w:tc>
      </w:tr>
      <w:tr w:rsidR="00114846" w:rsidTr="00455FB2">
        <w:tc>
          <w:tcPr>
            <w:tcW w:w="4606" w:type="dxa"/>
          </w:tcPr>
          <w:p>
            <w:r w:rsidR="00114846">
              <w:t>27</w:t>
            </w:r>
          </w:p>
        </w:tc>
        <w:tc>
          <w:tcPr>
            <w:tcW w:w="4606" w:type="dxa"/>
          </w:tcPr>
          <w:p>
            <w:r w:rsidR="00114846">
              <w:t>0,71 ± 0,13     (17)</w:t>
            </w:r>
          </w:p>
        </w:tc>
      </w:tr>
    </w:tbl>
    <w:p/>
    <w:p>
      <w:pPr>
        <w:spacing w:line="360" w:lineRule="auto"/>
        <w:rPr>
          <w:i/>
          <w:iCs/>
        </w:rPr>
      </w:pPr>
      <w:r w:rsidR="00114846">
        <w:rPr>
          <w:i/>
          <w:iCs/>
        </w:rPr>
        <w:t xml:space="preserve">Tab. 8: Výrobcem udávaná velikost chlopně / námi naměřená průměrná indexovaná plocha ústí (iEOA </w:t>
      </w:r>
      <w:r w:rsidR="00114846" w:rsidRPr="00B62CA9">
        <w:rPr>
          <w:i/>
        </w:rPr>
        <w:t>cm</w:t>
      </w:r>
      <w:r w:rsidR="00114846" w:rsidRPr="00B62CA9">
        <w:rPr>
          <w:i/>
          <w:vertAlign w:val="superscript"/>
        </w:rPr>
        <w:t>2</w:t>
      </w:r>
      <w:r w:rsidR="00114846" w:rsidRPr="00B62CA9">
        <w:rPr>
          <w:i/>
        </w:rPr>
        <w:t>.m</w:t>
      </w:r>
      <w:r w:rsidR="00114846" w:rsidRPr="00B62CA9">
        <w:rPr>
          <w:i/>
          <w:vertAlign w:val="superscript"/>
          <w:lang w:val="en-US"/>
        </w:rPr>
        <w:t>-</w:t>
      </w:r>
      <w:r w:rsidR="00114846" w:rsidRPr="00B62CA9">
        <w:rPr>
          <w:i/>
          <w:vertAlign w:val="superscript"/>
        </w:rPr>
        <w:t>2</w:t>
      </w:r>
      <w:r w:rsidR="00114846">
        <w:rPr>
          <w:i/>
          <w:iCs/>
        </w:rPr>
        <w:t>), v závorce je uveden celkový počet implantovaných chlopní dané velikosti</w:t>
      </w:r>
    </w:p>
    <w:p>
      <w:pPr>
        <w:spacing w:line="360" w:lineRule="auto"/>
        <w:ind w:firstLine="708"/>
      </w:pPr>
    </w:p>
    <w:p>
      <w:pPr>
        <w:spacing w:line="360" w:lineRule="auto"/>
        <w:ind w:firstLine="708"/>
      </w:pPr>
    </w:p>
    <w:p>
      <w:pPr>
        <w:spacing w:line="360" w:lineRule="auto"/>
        <w:ind w:firstLine="708"/>
        <w:jc w:val="both"/>
      </w:pPr>
      <w:r w:rsidR="00114846">
        <w:t xml:space="preserve">Dle rozdělujícího kritéria iEOA 0,85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 xml:space="preserve"> byl soubor nemocných rozdělen na dvě skupiny. U obou skupin byl spočítán rozdíl v diastolické tloušťce septa a zadní stěny před operací a rok po operaci. Porovnání těchto výsledků bylo provedeno pomocí neparametrického testu Mann-Whitney, výsledek nebyl statisticky signifikantní. </w:t>
      </w:r>
    </w:p>
    <w:p>
      <w:pPr>
        <w:spacing w:line="360" w:lineRule="auto"/>
        <w:ind w:firstLine="708"/>
        <w:jc w:val="both"/>
      </w:pPr>
      <w:r w:rsidR="00114846">
        <w:t xml:space="preserve">V souboru nemocných tedy nebyl zaznamenán rozdíl v regresi hypertrofie svaloviny levé komory u nemocných s iEOA větší než 0,85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 xml:space="preserve"> oproti nemocným s iEOA menší než 0,85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 xml:space="preserve">. </w:t>
      </w:r>
    </w:p>
    <w:p>
      <w:pPr>
        <w:spacing w:line="360" w:lineRule="auto"/>
        <w:ind w:firstLine="708"/>
        <w:jc w:val="both"/>
      </w:pPr>
      <w:r w:rsidR="00114846">
        <w:t xml:space="preserve">Obdobným způsobem byl soubor nemocných rozdělen na dvě skupiny dle kritéria iEOA 0,65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 xml:space="preserve">. Výsledek porovnání rozdílu diastolické tloušťky septa a zadní stěny před operací a rok po operaci dle testu Mann-Whitney nebyl statisticky signifikantní. </w:t>
      </w:r>
    </w:p>
    <w:p>
      <w:pPr>
        <w:spacing w:line="360" w:lineRule="auto"/>
        <w:ind w:firstLine="708"/>
        <w:jc w:val="both"/>
      </w:pPr>
      <w:r w:rsidR="00114846">
        <w:t xml:space="preserve">Neprokázali jsme tedy rozdíl v regresi hypertrofie svaloviny levé komory u nemocných s iEOA menší než 0,65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 xml:space="preserve"> oproti nemocným s iEOA větší než 0,65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w:t>
      </w:r>
    </w:p>
    <w:p/>
    <w:p/>
    <w:p/>
    <w:p/>
    <w:p/>
    <w:p/>
    <w:p/>
    <w:p>
      <w:pPr>
        <w:pStyle w:val="Heading1"/>
      </w:pPr>
      <w:r w:rsidR="00114846">
        <w:t xml:space="preserve">10.6 </w:t>
      </w:r>
      <w:r w:rsidR="00114846">
        <w:tab/>
      </w:r>
      <w:r w:rsidR="00114846" w:rsidRPr="00565CD6">
        <w:t>Pooperační mortalita a morbidita</w:t>
      </w:r>
    </w:p>
    <w:p>
      <w:pPr>
        <w:spacing w:line="360" w:lineRule="auto"/>
      </w:pPr>
    </w:p>
    <w:p>
      <w:pPr>
        <w:spacing w:line="360" w:lineRule="auto"/>
        <w:ind w:firstLine="708"/>
        <w:jc w:val="both"/>
      </w:pPr>
      <w:r w:rsidR="00114846">
        <w:t>Porucha hojení sterna povrchového typu byla léčena u 10-ti nemocných (3,4 %). Hluboký defekt sterna byl zaznamenán u 4 nemocných (1,4 %). Pro krvácení bylo revidováno 10 nemocných (3,4 %). Těžký psychosyndrom komplikoval pooperační období u 11-ti nemocných (3,8 %). Neurologické komplikace charakteru tranzitorní ischemické ataky či cévní mozkové příhody na podkladě ischemicko-embolizační etiologie byly zaznamenány u 6-ti nemocných (2,1 %). V rámci hospitalizace pro komplikace v souvislosti chlopní byly reoperováni 3 nemocní. U dvou byl nalezen velký paravalvulární leak a chlopeň byla vyměněna. U jedné nemocné byly diagnostikovány vysoké gradienty díky „šikmé“ poloze chlopně. Tato byla vyměněna a současně provedena rozšiřující plastika aortálního anulu. Na pooperační komplikace (30-ti denní mortalita) zemřelo 11 nemocných (3,8 %). Průměrná délka hospitalizace byla 14,7 ± 7,6 dní. Před propuštěním do domácí péče byla u všech nemocných zahájena dle protokolu pracoviště v době studie warfarinizace na 3 měsíce, cílové INR bylo 2,5 – 3. Po této době bylo doporučeno převedení na antiagregační léčbu, pokud nebyla indikace k dlouhodobé antikoagulaci.</w:t>
      </w:r>
    </w:p>
    <w:p>
      <w:pPr>
        <w:spacing w:line="360" w:lineRule="auto"/>
        <w:rPr>
          <w:b/>
          <w:bCs/>
          <w:color w:val="000000"/>
        </w:rPr>
      </w:pPr>
    </w:p>
    <w:p>
      <w:pPr>
        <w:spacing w:line="360" w:lineRule="auto"/>
        <w:rPr>
          <w:b/>
          <w:bCs/>
          <w:color w:val="000000"/>
        </w:rPr>
      </w:pPr>
    </w:p>
    <w:p>
      <w:pPr>
        <w:spacing w:line="360" w:lineRule="auto"/>
      </w:pPr>
      <w:r w:rsidR="00114846">
        <w:rPr>
          <w:b/>
          <w:bCs/>
          <w:color w:val="000000"/>
        </w:rPr>
        <w:t>11</w:t>
      </w:r>
      <w:r w:rsidR="00114846">
        <w:rPr>
          <w:b/>
          <w:bCs/>
          <w:color w:val="000000"/>
        </w:rPr>
        <w:tab/>
        <w:t xml:space="preserve"> Diskuze</w:t>
      </w:r>
    </w:p>
    <w:p>
      <w:pPr>
        <w:spacing w:line="360" w:lineRule="auto"/>
        <w:ind w:firstLine="708"/>
        <w:rPr>
          <w:color w:val="000000"/>
        </w:rPr>
      </w:pPr>
    </w:p>
    <w:p>
      <w:pPr>
        <w:spacing w:line="360" w:lineRule="auto"/>
        <w:ind w:firstLine="708"/>
        <w:jc w:val="both"/>
        <w:rPr>
          <w:color w:val="FF0000"/>
        </w:rPr>
      </w:pPr>
      <w:r w:rsidR="00114846">
        <w:rPr>
          <w:color w:val="000000"/>
        </w:rPr>
        <w:t>Díky stárnutí populace jsou nemocným s degenerativní aortální stenózou implantovány stále častěji bioprotézy. Poskytují výhodu života bez nutnosti trvalé antikoagulace a s tím souvisejících nežádoucích komplikací (trombózy, krvácení). Na rozdíl od mechanických chlopní mají bioprotézy kratší životnost a horší hemodynamické parametry díky konstrukčně dané menší efektivní ploše ústí. Vývoj nových typů stále pokračuje a poměr velikosti efektivního chlopenního ústí k zevnímu průměru šicího prstence se stále zvětšuje. Jednou z možností zlepšení průtokových parametrů je tzv. supraanulární implantace, při které jsou všechny části chlopně umístěné nad anatomickým aortálním anulem.  Vlastní lístky bioprotézy jsou tvořeny xenograftem - prasečí chlopní nebo tkání hovězího perikardu. V současné době neexistuje jednotný názor, která z těchto variant je z průtokového či dlouhodobého hlediska lepší. Pro omezení antigenní aktivity je biologická tkáň upravena glutaraldehydem. Následkem této chemické úpravy je ale denaturace bílkovin a fosfolipidů na povrchových strukturách chlopně, což vede k postupné degeneraci díky ukládání iontů kalcia. Pro prodloužení životnosti většina výrobců upravuje biologické chlopně některou z antikalcifikačních metod. Studie, posuzující střednědobou funkci jsou založeny na sledování pacientů po implantaci protéz první generace, které ještě nebyly antikalcifikačními metodami upravovány.</w:t>
      </w:r>
    </w:p>
    <w:p>
      <w:pPr>
        <w:spacing w:line="360" w:lineRule="auto"/>
        <w:jc w:val="both"/>
        <w:rPr>
          <w:color w:val="000000"/>
        </w:rPr>
      </w:pPr>
      <w:r w:rsidR="00114846">
        <w:rPr>
          <w:color w:val="000000"/>
        </w:rPr>
        <w:tab/>
        <w:t xml:space="preserve">Většina kardiochirurgických pracovišť používá spektrum chlopní, se kterými má dobré pooperační zkušenosti. Důležité je proto provést srovnání, na základě kterého je možné z potenciální široké nabídky výrobců chlopní vyselektovat vhodné typy pro implantaci na daném pracovišti. </w:t>
      </w:r>
    </w:p>
    <w:p>
      <w:pPr>
        <w:spacing w:line="360" w:lineRule="auto"/>
        <w:jc w:val="both"/>
        <w:rPr>
          <w:color w:val="000000"/>
        </w:rPr>
      </w:pPr>
      <w:r w:rsidR="00114846">
        <w:rPr>
          <w:color w:val="000000"/>
        </w:rPr>
        <w:tab/>
        <w:t>Optimální bioprotéza by se měla svými hemodynamickými parametry blížit chlopni nativní - v průběhu systoly umožnit objemu krve z výtokového traktu levé komory průtok do ascendentní aorty bez výraznějšího odporu. Tyto parametry lze nepřímo hodnotit in vivo pomocí dopplerometricky změřených gradientů a efektivní plochy ústí, vypočítané dle rovnice kontinuity. Plocha efektivního ústí biologické chlopně je přesnějším kritériem hemodynamiky než gradienty, jelikož je méně závislá na aktuálním srdečním výdeji. Velikosti gradientů a efektivní plochy ústí jednotlivých protéz jsou publikovány ve firemní literatuře. Jedná se ale o laboratorní údaje, měřené metodami in-vitro, při kterých jsou efektivní plochy ústí chlopně obecně větší a tudíž i gradienty menší. Pro klinické srovnání různých bioprotéz je proto nutné mít hodnoty měřené po implantaci in vivo.</w:t>
      </w:r>
    </w:p>
    <w:p>
      <w:pPr>
        <w:spacing w:line="360" w:lineRule="auto"/>
        <w:ind w:firstLine="708"/>
        <w:jc w:val="both"/>
        <w:rPr>
          <w:color w:val="000000"/>
        </w:rPr>
      </w:pPr>
      <w:r w:rsidR="00114846">
        <w:rPr>
          <w:color w:val="000000"/>
        </w:rPr>
        <w:t xml:space="preserve">V průběhu studie jsme na kardiochirurgické klinice v Olomouci měli možnost implantovat různé typy bioprotéz a provést srovnání jejich gradientů a efektivních ploch ústí.První echokardiografické vyšetření, při kterém byly hemodynamické hodnoty bioprotéz měřeny, bylo provedeno těsně po operaci v rámci hospitalizace. Další měření bylo provedeno při </w:t>
      </w:r>
      <w:r w:rsidR="00114846">
        <w:t xml:space="preserve">pravidelných ambulantních kontrolách za 3 měsíce, půl roku, rok a dva roky po operaci. Pooperační střední a vrcholové průtokové gradienty změřené při jednotlivých měřeních byly podrobeny statistické analýze. U všech nemocných po implantaci bioprotézy došlo k očekávanému poklesu gradientů z předoperačních patologických hodnot. V rámci měření při dalších ambulantních kontrolách bylo zjištěno, že se střední a vrcholové gradienty na implantovaných bioprotézách s časovým odstupem od implantace již statisticky signifikantně nemění.    </w:t>
      </w:r>
    </w:p>
    <w:p>
      <w:pPr>
        <w:spacing w:line="360" w:lineRule="auto"/>
        <w:ind w:firstLine="708"/>
        <w:jc w:val="both"/>
      </w:pPr>
      <w:r w:rsidR="00114846">
        <w:t xml:space="preserve">Bioprotézy byly seřazeny do skupin dle výrobcem udávané velikosti. Srovnáván byl rozdíl změřených vrcholových a středních gradientů. Nejčastější implantovanou velikostí byly bioprotézy 21, 23 a 25. U bioprotéz velikosti 21 jsme zjistili následující skutečnosti. Sorin More vykazovala signifikantně vyšší hodnoty středního gradientu než ostatní výrobci. Edwards Magna vykazovala signifikantně nižší hodnoty středního gradientu než Sorin More, MH Mosaic a Edwards 2900. Sorin More vykazovala signifikantně vyšší hodnoty vrcholového gradientu než ostatní výrobci (kromě MH Mosaic). Edwards Magna měla signifikantně nižší vrcholové gradienty než Sorin More, MH Mosaic a Edwards 2900. Pro protézy velikosti 23 byly zjištěny následující výsledky. MH Mosaic vykazovala signifikantně vyšší hodnoty středního gradientu než Edwards 2900, Edwards Magna a SJM Epic. Edwards 2900 vykazovala signifikantně nižší hodnoty středního gradientu než MH Mosaic, Sorin More a Edwards 2650. Edwards 2650 měla signifikantně vyšší hodnoty středního gradientu než Edwards Magna a Edwards 2900. MH Mosaic a Edwards 2650 vykazovaly signifikantně vyšší hodnoty vrcholového gradientu než Edwards 2900, Edwards Magna a SJM Epic. Sorin More měla signifikantně vyšší hodnoty vrcholového gradientu než Edwards 2900 a Edwards Magna. U bioprotéz velikostí 25 a 27 nebyl zjištěn statisticky signifikantní rozdíl pooperačních tlakových gradientů mezi jednotlivými výrobci. </w:t>
      </w:r>
    </w:p>
    <w:p>
      <w:pPr>
        <w:spacing w:line="360" w:lineRule="auto"/>
        <w:ind w:firstLine="708"/>
        <w:jc w:val="both"/>
      </w:pPr>
      <w:r w:rsidR="00114846">
        <w:t xml:space="preserve">Bioprotézy Sorin Soprano mají číslování sudé, proto nebyly zahrnuty do statistické analýzy. Výsledky jsou porovnané v tabulce 6, dle naměřených údajů mají hodnoty gradientů uspokojivé, srovnatelné s typem Edwards 2900. Pacientům s nejmenší anatomickým anulem byla implantována bioprotéza Edwards 3000 (Magna) velikosti 19. </w:t>
      </w:r>
    </w:p>
    <w:p>
      <w:pPr>
        <w:spacing w:line="360" w:lineRule="auto"/>
        <w:ind w:firstLine="708"/>
        <w:jc w:val="both"/>
      </w:pPr>
      <w:r w:rsidR="00114846">
        <w:t>Průtokovým parametrem chlopně, méně závislým na aktuálním srdečním výdeji je efektivní plocha ústí. Vypočítaná je z dopplerometricky získaných průtokových rychlosí před a za chlopní na podkladě rovnice kontinuity. Efektivní plochy ústí bioprotéz jednotlivých výrobců stejných velikostí z našeho souboru byly statisticky porovnány. Analýza rozptylu hodnot ukázala statisticky signifikantní rozdíl pouze u bioprotéz velikosti 21. Z  porovnání vyplývá, že výrobek Sorin More má signifikantně nižší hodnotu EOA než ostatní bioprotézy. U bioprotéz velikostí 23, 25 a 27 nebyl zjištěn signifikantní rozdíl v námi naměřených hodnotách EOA.</w:t>
      </w:r>
    </w:p>
    <w:p>
      <w:pPr>
        <w:spacing w:line="360" w:lineRule="auto"/>
        <w:ind w:firstLine="708"/>
        <w:jc w:val="both"/>
      </w:pPr>
      <w:r w:rsidR="00114846">
        <w:rPr>
          <w:color w:val="000000"/>
        </w:rPr>
        <w:t xml:space="preserve">Parametrem, posuzujícím optimální velikost implantované protézy u daného pacienta je hodnota efektivní plochy ústí, indexovaná na tělesný povrch (iEOA). Optimální hodnota iEOA udávaná v literatuře [Pibarot 2000] by měla být větší než 0,85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rPr>
          <w:color w:val="000000"/>
        </w:rPr>
        <w:t xml:space="preserve">. To je ale při daných konstrukčních vlastnostech a možnostech bioprotéz obtížné dosáhnout. Velikost iEOA menší než 0,85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rPr>
          <w:color w:val="000000"/>
        </w:rPr>
        <w:t xml:space="preserve"> je spojena se vznikem „patient-prosthesis mismatch“(PPM - nesoulad optimální velikosti chlopně a tělesného povrchu daného pacienta) </w:t>
      </w:r>
      <w:r w:rsidR="00114846">
        <w:rPr>
          <w:color w:val="000000"/>
          <w:lang w:val="en-US"/>
        </w:rPr>
        <w:t>[Rahimtoola 2002]</w:t>
      </w:r>
      <w:r w:rsidR="00114846">
        <w:rPr>
          <w:color w:val="000000"/>
        </w:rPr>
        <w:t xml:space="preserve">, na který ale v rámci dalšího osudu nemocného nejsou v literatuře jednotné názory [Howell 2006, Walther 2006]. </w:t>
      </w:r>
      <w:r w:rsidR="00114846">
        <w:t xml:space="preserve">Implantací chlopně s malou plochou ústí dochází ke vzniku reziduální stenózy s vysokými transvalvulárními gradienty, které brání ústupu klinických symptomů onemocnění. Je nutno konstatovat, že všechny současné protézy se stentem mají plochu ústí menší než fyziologickou pro daného pacienta [Hanayama 2002]. Je to dáno jejich konstrukcí – rigidním šicím prstencem se stentem, na který jsou lístky chlopně fixovány. Technická konstrukce chlopní třetí generace minimalizuje tyto struktury ve prospěch efektivní plochy ústí. Na důležitost PPM není v současných studiích jednoznačný názor. Publikovány jsou kontroverzní výsledky klinického stavu u nemocných ve vztahu k PPM jak v krátkodobém tak dlouhodobém horizontu. Pibarot a Dumesnil hodnotili výsledky u 1266 nemocných po náhradě aortální chlopně v rámci jedné instituce. Střední hodnotu PPM definovali při iEOA &lt; 0,85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 xml:space="preserve"> a závažnou PPM jako iEOA &lt; 0,65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 xml:space="preserve">. Střední či závažnou PPM v souboru zjistili u 38% nemocných. Dle multivariantní analýzy prokázali dvojnásobnou perioperační mortalitu ve skupině střední PPM a 11-ti násobné zvýšení mortality u skupiny se závažnou formou PPM. Je nutno zmínit, že takto špatné výsledky ve skupině se závažnou formou PPM mělo pouze 27 nemocných, ze kterých 7 exitovalo. Jednalo se o nemocné s podstatně delším časem mimotělního oběhu, kteří současně absolvovali revaskularizační výkon. Rao a spol. retrospektivně hodnotili PPM u dvou skupin nemocných po náhradě aortální chlopně ze dvou velkých center [Rao 2002]. Z celkového počtu 2154 nemocných zjistili PPM u 227. Celková mortalita byla stejná, ale mortalita spojená s patologií chlopně byla v průběhu 10-ti let větší u skupiny s PPM. Mortalita spojená s patologickým stavem implantované chlopně (embolické příhody, endokarditida, krvácení) nebyla často v souvislosti s PPM. Efektivní plocha ústí pro výpočet PPM byla získána z dat publikovaných výrobcem a měřených in vitro.  </w:t>
      </w:r>
    </w:p>
    <w:p>
      <w:pPr>
        <w:spacing w:line="360" w:lineRule="auto"/>
        <w:ind w:firstLine="708"/>
        <w:jc w:val="both"/>
      </w:pPr>
      <w:r w:rsidR="00114846">
        <w:t xml:space="preserve">Ruel a spol. studovali skupinu 1563 nemocných po náhradě aotální chlopně mechanickou nebo biologickou protézou [Ruel 2006]. PPM definovaný jako iEOA &lt; 0,85 </w:t>
      </w:r>
      <w:r w:rsidR="00114846" w:rsidRPr="00F40431">
        <w:t>cm</w:t>
      </w:r>
      <w:r w:rsidR="00114846">
        <w:rPr>
          <w:vertAlign w:val="superscript"/>
        </w:rPr>
        <w:t>2</w:t>
      </w:r>
      <w:r w:rsidR="00114846">
        <w:t>.m</w:t>
      </w:r>
      <w:r w:rsidR="00114846">
        <w:rPr>
          <w:vertAlign w:val="superscript"/>
          <w:lang w:val="en-US"/>
        </w:rPr>
        <w:t>-</w:t>
      </w:r>
      <w:r w:rsidR="00114846">
        <w:rPr>
          <w:vertAlign w:val="superscript"/>
        </w:rPr>
        <w:t xml:space="preserve">2 </w:t>
      </w:r>
      <w:r w:rsidR="00114846">
        <w:t xml:space="preserve">nebyl spojen s výskytem častější krátkodobé či dlouhodobé mortality. Zjistili horší celkové přežití a pomalejší regresi hypertrofie svaloviny u nemocných s PPM a dysfunkcí levé komory. Nemocní s PPM a dysfunkcí levé komory byli celkově starší a měli více přidružených onemocnění, což je stav nezávisle spojený s vyšší mortalitou a horší regresí hypertrofie svaloviny. Mohty-Echahidi a spol. popsali ve své studii vyšší dlouhodobou mortalitu u skupiny pacientů s PPM definovaným jako iEOA &lt; 0,60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 xml:space="preserve">. Moon a spol. ve své studii prokázali efekt PPM na dlouhodobou mortalitu pouze u nemocných mladších 60-ti let [Moon 2006]. </w:t>
      </w:r>
    </w:p>
    <w:p>
      <w:pPr>
        <w:spacing w:line="360" w:lineRule="auto"/>
        <w:ind w:firstLine="708"/>
        <w:jc w:val="both"/>
      </w:pPr>
      <w:r w:rsidR="00114846">
        <w:t xml:space="preserve">Jiné práce neprokázaly klinický vliv PPM. Medalion a spol. ve studii na 892 nemocných po náhradě aortální chlopně zjistil u 25% nemocných PPM, který ale v 15-ti letém  sledování neměl klinický dopad </w:t>
      </w:r>
      <w:r w:rsidR="00114846">
        <w:rPr>
          <w:lang w:val="en-US"/>
        </w:rPr>
        <w:t xml:space="preserve">[Medalion 2000]. Hanayama a spol. publikovali studii 1129 nemocných sledovaných v průběhu 10-ti let po operaci. Hodnota PPM byla definována jako </w:t>
      </w:r>
      <w:r w:rsidR="00114846">
        <w:t xml:space="preserve">iEOA &lt; 0,6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 xml:space="preserve">. Ve své práci neprokázali žádný dlouhodobý rozdíl v přežívání u nemocných ve skupině s a bez PPM. Menší efektivní ústí chlopně pouze korelovalo s vyššími gradienty což souvisí s principem měření dle rovnice kontinuity [Hanayama 2002]. Howell NJ a spol. neprokázali ve své studii na 1481 nemocných vliv PPM na hospitalizační mortalitu a střednědobé výsledky. PPM definovali jako iEOA &lt; 0,6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 xml:space="preserve">, aktivní plochu ústí ale počítali z hodnot publikovaných in vitro [Howel 2006]. Walther T a spol. publikovali ve své práci výsledky u 2275 nemocných po náhradě aortální chlopně bioprotézou se stentem. Závažnou formu PPM definovali jako iEOA &lt; 0,65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 xml:space="preserve">, střední v intervalu 0,65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 xml:space="preserve"> - 0,85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 Indexovanou plochu ústí ovšem počítali taktéž z výrobcem udávané hodnoty EOA (in vitro). Závažnou formu PPM mělo 2,4 % nemocných, střední 26,7 %. Střední forma PPM byla nezávislým prediktorem střednědobé a dlouhodobé mortality současně s věkem nemocných nad 70 roků, akutní operací a přidružených výkonů [Walther 2006].</w:t>
      </w:r>
    </w:p>
    <w:p>
      <w:pPr>
        <w:spacing w:line="360" w:lineRule="auto"/>
        <w:ind w:firstLine="708"/>
        <w:jc w:val="both"/>
      </w:pPr>
      <w:r w:rsidR="00114846">
        <w:rPr>
          <w:color w:val="000000"/>
        </w:rPr>
        <w:t xml:space="preserve">Při srovnávání publikovaných hodnot indexované efektivní plochy ústí (iEOA) v různých studiích je důležité vzít v úvahu, jakým způsobem byla tato hodnota vypočítána. Mnoho autorů do vzorce pro výpočet EOA používá výrobcem udávanou velikost chlopně. Výrobcem uvedená hodnota u většiny bioprotéz odpovídá velikosti tzv. tissue anulus diameter (TAD), což je zevní průměr kostry (stentu) chlopně, na který jsou lístky fixovány. Vlastní geometrický průměr efektivní plochy ústí je menší, je to vnitřní průměr stentu bioprotézy. Stent chlopně je „obalen“ implantačním prstencem, jehož zevní průměr je větší než výrobcem udaná velikost. Tento rozměr je důležitý při implantaci, jelikož určuje, </w:t>
      </w:r>
      <w:r w:rsidR="00114846">
        <w:t>jak velkou chlopeň lze do dekalcifikovaného aortálního anulu umístit. Pouze u výrobcu Soprano (Sorin Biomedica) výrobcem definovaná velikosti bioprotézy odpovídá geometrickému průměru efektivního ústí, tedy vnitřnímu průměru implantačního prstence. Číslování je ale v sudých číslech. Pro pooperační výpočet efektivní plochy ústí in-vivo pomocí dopplerometrie a rovnice kontinuity proto nelze ve většině případů výrobcem udávanou velikost chlopně použít. Optimální by bylo sjednocení způsobu číslování bioprotéz u všech výrobců tak, aby velikost bioprotézy vyjadřovala vnitřní průměr stentu. Peroperačně získané velikosti vnitřního průměru stentu chlopně a zevního průměru implantačního prstence bioprotéz použitých ve studii jsou uvedeny v tabulce 5.</w:t>
      </w:r>
    </w:p>
    <w:p>
      <w:pPr>
        <w:spacing w:line="360" w:lineRule="auto"/>
        <w:ind w:firstLine="708"/>
        <w:jc w:val="both"/>
      </w:pPr>
      <w:r w:rsidR="00114846">
        <w:t xml:space="preserve">Tlakové a objemové přetížení levé komory srdeční způsobené aortální vadou vede ke kompenzatorní hypertrofii svaloviny levé komory. Těžká aortální stenóza způsobuje koncentrickou hypetrofii komory bez zvyšování enddiastolického objemu. Závažná regurgitace vede k objemovému přetížení, zvyšování enddiastolického objemu a excentrické hypertrofii. Četné studie týkající se arteriální hypertenze popisují negativní prognostický vliv hypetrofické svaloviny levé komory. Dle Framinghamské studie byla hypertrofie svaloviny levé komory prediktorem četných kardiálních příhod a náhlého úmrtí [Haider 1998]. U nemocných s léčenou arteriální hypertenzí měla skupina s patrnou redukcí hypertrofické svaloviny levé komory méně náhlých srdečních příhod [Verdecchia 2002]. Náhrada aortální chlopně by měla vést k postupné remodelaci a regresi svaloviny levé komory [Christakis 1996]. V současné době ale nejsou k dispozici žádné studie prokazující lepší pooperační výsledky u nemocných s výraznější regresí hypertrofie svaloviny po implantaci protézy. U většiny pacientů s izolovanou těžkou aortální stenózou dochází po náhradě chlopně k regresi hypertrofie v průběhu prvních 18-ti měsíců [Kuhl 2002]. Dle některých autorů [Rahimtoola 2002] může k postupné regresi svaloviny docházet ještě 5 let po operaci. Hypertrofie levé komory byla u nemocných z našeho souboru hodnocena echokardiograficky – měřena byla tloušťka septa a zadní stěny v diastole. U všech pacientů došlo po operaci k regresi hypertrofie svaloviny. </w:t>
      </w:r>
    </w:p>
    <w:p>
      <w:pPr>
        <w:spacing w:line="360" w:lineRule="auto"/>
        <w:ind w:firstLine="708"/>
        <w:jc w:val="both"/>
      </w:pPr>
      <w:r w:rsidR="00114846">
        <w:t xml:space="preserve">Naším cílem bylo zjistit, jestli má dosažená pooperační iEOA vliv na regresi hypertrofie svaloviny levé komory. Většina nemocných (88,4 %) v našem souboru měla pooperační indexované plochy ústí (iEOA) menší než 0,85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 xml:space="preserve">. Hodnota iEOA menší než 0,65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 xml:space="preserve"> byla změřena u 56 nemocných (19 </w:t>
      </w:r>
      <w:r w:rsidR="00114846">
        <w:rPr>
          <w:lang w:val="en-US"/>
        </w:rPr>
        <w:t xml:space="preserve">%), iEOA větší než </w:t>
      </w:r>
      <w:r w:rsidR="00114846">
        <w:t xml:space="preserve">0,85 </w:t>
      </w:r>
      <w:r w:rsidR="00114846" w:rsidRPr="00F40431">
        <w:t>cm</w:t>
      </w:r>
      <w:r w:rsidR="00114846">
        <w:rPr>
          <w:vertAlign w:val="superscript"/>
        </w:rPr>
        <w:t>2</w:t>
      </w:r>
      <w:r w:rsidR="00114846">
        <w:t>.m</w:t>
      </w:r>
      <w:r w:rsidR="00114846">
        <w:rPr>
          <w:vertAlign w:val="superscript"/>
          <w:lang w:val="en-US"/>
        </w:rPr>
        <w:t>-</w:t>
      </w:r>
      <w:r w:rsidR="00114846">
        <w:rPr>
          <w:vertAlign w:val="superscript"/>
        </w:rPr>
        <w:t xml:space="preserve">2 </w:t>
      </w:r>
      <w:r w:rsidR="00114846">
        <w:t xml:space="preserve">byla změřena u 34 (11,6 %) pacientů. Soubor pacientů byl v první fázi rozdělen dle kritéria 0,65 </w:t>
      </w:r>
      <w:r w:rsidR="00114846" w:rsidRPr="00F40431">
        <w:t>cm</w:t>
      </w:r>
      <w:r w:rsidR="00114846">
        <w:rPr>
          <w:vertAlign w:val="superscript"/>
        </w:rPr>
        <w:t>2</w:t>
      </w:r>
      <w:r w:rsidR="00114846">
        <w:t>.m</w:t>
      </w:r>
      <w:r w:rsidR="00114846">
        <w:rPr>
          <w:vertAlign w:val="superscript"/>
          <w:lang w:val="en-US"/>
        </w:rPr>
        <w:t>-</w:t>
      </w:r>
      <w:r w:rsidR="00114846">
        <w:rPr>
          <w:vertAlign w:val="superscript"/>
        </w:rPr>
        <w:t xml:space="preserve">2  </w:t>
      </w:r>
      <w:r w:rsidR="00114846">
        <w:t xml:space="preserve">na dvě skupiny. Při statistickém zhodnocení rozdílu pooperační regrese hypertrofie svaloviny septa a zadní stěny nebyl mezi těmito skupinami zjištěn signifikantní rozdíl. Pro dělící kritérium iEOA 0,85 </w:t>
      </w:r>
      <w:r w:rsidR="00114846" w:rsidRPr="00F40431">
        <w:t>cm</w:t>
      </w:r>
      <w:r w:rsidR="00114846">
        <w:rPr>
          <w:vertAlign w:val="superscript"/>
        </w:rPr>
        <w:t>2</w:t>
      </w:r>
      <w:r w:rsidR="00114846">
        <w:t>.m</w:t>
      </w:r>
      <w:r w:rsidR="00114846">
        <w:rPr>
          <w:vertAlign w:val="superscript"/>
          <w:lang w:val="en-US"/>
        </w:rPr>
        <w:t>-</w:t>
      </w:r>
      <w:r w:rsidR="00114846">
        <w:rPr>
          <w:vertAlign w:val="superscript"/>
        </w:rPr>
        <w:t xml:space="preserve">2 </w:t>
      </w:r>
      <w:r w:rsidR="00114846">
        <w:t>jsme taktéž žádný signifikantní rozdíl v regresi hypertrofie svaloviny mezi skupinami nemocných neprokázali. Velikost iEOA se tedy v našem souboru neprojevila jako signifikantní faktor regrese hypertrofie svaloviny levé komory srdeční.</w:t>
      </w:r>
      <w:r w:rsidR="00114846" w:rsidRPr="00246503">
        <w:t xml:space="preserve"> </w:t>
      </w:r>
      <w:r w:rsidR="00114846">
        <w:t>Dále se dle získaných údajů tloušťka svaloviny septa a zadní stěny v diastole v jednotlivých intervalech (půl roku, rok a dva roky po operaci) již signifikantně neměnila.</w:t>
      </w:r>
    </w:p>
    <w:p>
      <w:pPr>
        <w:spacing w:line="360" w:lineRule="auto"/>
        <w:jc w:val="both"/>
      </w:pPr>
      <w:r w:rsidR="00114846">
        <w:t>Pokud považujeme ústup hypertrofie svaloviny levé komory za faktor, uplatňující se na vzniku PPM, přikláníme se k názoru, že kritérium 0,85</w:t>
      </w:r>
      <w:r w:rsidR="00114846" w:rsidRPr="00B91E83">
        <w:rPr>
          <w:color w:val="FF0000"/>
        </w:rPr>
        <w:t xml:space="preserve">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rsidRPr="00246503">
        <w:rPr>
          <w:vertAlign w:val="superscript"/>
        </w:rPr>
        <w:t xml:space="preserve"> </w:t>
      </w:r>
      <w:r w:rsidR="00114846">
        <w:t xml:space="preserve">je </w:t>
      </w:r>
      <w:r w:rsidR="00114846" w:rsidRPr="00246503">
        <w:t>pro vznik „patient prosthesis mismatch“ velmi tvrdé a mělo by být předmětem další diskuze.</w:t>
      </w:r>
      <w:r w:rsidR="00114846">
        <w:rPr>
          <w:color w:val="FF0000"/>
        </w:rPr>
        <w:t xml:space="preserve"> </w:t>
      </w:r>
    </w:p>
    <w:p>
      <w:pPr>
        <w:spacing w:line="360" w:lineRule="auto"/>
        <w:jc w:val="both"/>
      </w:pPr>
      <w:r w:rsidR="00114846">
        <w:rPr>
          <w:color w:val="000000"/>
        </w:rPr>
        <w:tab/>
      </w:r>
      <w:r w:rsidR="00114846" w:rsidRPr="007B6318">
        <w:rPr>
          <w:color w:val="000000"/>
        </w:rPr>
        <w:t xml:space="preserve">Mnoho </w:t>
      </w:r>
      <w:r w:rsidR="00114846">
        <w:rPr>
          <w:color w:val="000000"/>
        </w:rPr>
        <w:t>autorů</w:t>
      </w:r>
      <w:r w:rsidR="00114846" w:rsidRPr="007B6318">
        <w:rPr>
          <w:color w:val="000000"/>
        </w:rPr>
        <w:t xml:space="preserve"> se shodne na obavě o pooperační průběh u nemocných s úzkým aortálním kořenem po implantaci </w:t>
      </w:r>
      <w:r w:rsidR="00114846">
        <w:rPr>
          <w:color w:val="000000"/>
        </w:rPr>
        <w:t xml:space="preserve">malých protéz (19 </w:t>
      </w:r>
      <w:r w:rsidR="00114846" w:rsidRPr="007B6318">
        <w:rPr>
          <w:color w:val="000000"/>
        </w:rPr>
        <w:t>mm a menších). I v těchto případech ale není jednotný názor. Adams a spol. publikoval horší pooperační výsledky u nemocných mužského pohlaví po implantaci protézy velikosti 19</w:t>
      </w:r>
      <w:r w:rsidR="00114846">
        <w:rPr>
          <w:color w:val="000000"/>
        </w:rPr>
        <w:t xml:space="preserve"> </w:t>
      </w:r>
      <w:r w:rsidR="00114846" w:rsidRPr="007B6318">
        <w:rPr>
          <w:color w:val="000000"/>
        </w:rPr>
        <w:t>mm [Adams 1999]. Práce DePaulise a spol. neprokázala rozdíl v regresi hypertrofie svaloviny u nemocných po implantaci malých proté</w:t>
      </w:r>
      <w:r w:rsidR="00114846">
        <w:rPr>
          <w:color w:val="000000"/>
        </w:rPr>
        <w:t>z (19mm a 21mm) oproti nemocným</w:t>
      </w:r>
      <w:r w:rsidR="00114846" w:rsidRPr="007B6318">
        <w:rPr>
          <w:color w:val="000000"/>
        </w:rPr>
        <w:t xml:space="preserve"> s protézami velikosti 23mm a 25mm [DePaulis 1997]. Khan a spol. ve své studii s perikardiálními chlopněmi ukázal regresi hypertrofické svaloviny u chlo</w:t>
      </w:r>
      <w:r w:rsidR="00114846">
        <w:rPr>
          <w:color w:val="000000"/>
        </w:rPr>
        <w:t xml:space="preserve">pní všech velikostí [Khan 2000], což odpovídá námi zjištěným výsledkům. Nemocným s malým aortálním anulem jsme v 11 případech implantovali chlopeň velikosti 19. Jednalo se o pacientky ženského pohlaví s výškou pod 160 cm. </w:t>
      </w:r>
    </w:p>
    <w:p>
      <w:pPr>
        <w:spacing w:line="360" w:lineRule="auto"/>
        <w:ind w:firstLine="708"/>
        <w:jc w:val="both"/>
        <w:rPr>
          <w:color w:val="000000"/>
        </w:rPr>
      </w:pPr>
      <w:r w:rsidR="00114846">
        <w:t>Chirurgickou metodou implantace větší protézy do malého aortálního kořene jsou plastiky anulu, které jsou ale obecně spojené s větší operační náročností a vyšší mortalitou. Sommers a David publikovali dvojnásobnou mortalitu u nemocných po implantaci aortální chlopně společně s rozšiřující plastikou [Sommers 1997]. Jiní autoři [Castro 2002] vyšší mortalitu těchto výkonů neprokázali, poukázali ale na velké rozdíly ve výsledcích různých chirurgů a institucí. V případě rizika vzniku závažného PPM (iEOA &lt; 0,6</w:t>
      </w:r>
      <w:r w:rsidR="00114846" w:rsidRPr="00B62CA9">
        <w:t xml:space="preserve">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 xml:space="preserve">) je proto vhodné uvažovat o rozšiřující plastice aortálního anulu. V ostatních případech je dle četných publikovaných výsledků standardní náhrada aortální chlopně protézou preferovanou metodou. </w:t>
      </w:r>
      <w:r w:rsidR="00114846">
        <w:rPr>
          <w:color w:val="000000"/>
        </w:rPr>
        <w:t xml:space="preserve">Rozšiřující plastiku jsme provedli u nemocných s těžce stenotickým anulem, který neumožňoval implantaci ani nejmenší protézy velikosti 19. Ve všech případech byla použita modifikace dle Nickse a Manugiana. U starších nemocných je všeobecně dávána přednost kratšímu a jednoduššímu výkonu pro minimalizaci pooperačních komplikací i na úkor vyšších gradientů a menší efektivní plochy ústí na chlopenní náhradě při budoucí omezené fyzické aktivitě nemocného. </w:t>
      </w:r>
    </w:p>
    <w:p>
      <w:pPr>
        <w:spacing w:line="360" w:lineRule="auto"/>
        <w:ind w:firstLine="708"/>
        <w:jc w:val="both"/>
      </w:pPr>
      <w:r w:rsidR="00114846">
        <w:t xml:space="preserve">Na klinický dopad PPM nejsou jednotné názory. Je nicméně zřejmé, že zvláště u mladších fyzicky aktivnějších nemocných jsou optimální hemodynamické parametry důležité. Moderní biologické chlopně jsou implantovány stále častěji a přelomový věk jejich indikace se posouvá k mladším ročníkům [Puvimanasinghe 2004]. Je to dáno předpokladem dlouhodobější funkce bioprotézy, chemicky upravené pro zpomalení degenerativně kalcifikačního procesu. </w:t>
      </w:r>
    </w:p>
    <w:p>
      <w:pPr>
        <w:spacing w:line="360" w:lineRule="auto"/>
        <w:jc w:val="both"/>
      </w:pPr>
      <w:r w:rsidR="00114846">
        <w:tab/>
        <w:t xml:space="preserve">Časová délka naší studie a ambulantního sledování nemocných zatím nepostačuje k posouzení dlouhodobé životnosti implantovaných bioprotéz, mortalitě a morbiditě ve vztahu k PPM. Vyhodnocení, zda se horší hemodynamické parametry (vyšší gradienty, menší EOA a iEOA) uplatňují na rychlejší degeneraci biologické tkáně chlopní, či mají vliv na střednědobou a dlouhodobou prognózu u pacientů by mělo být předmětem dalšího studia. </w:t>
      </w:r>
    </w:p>
    <w:p>
      <w:pPr>
        <w:spacing w:line="360" w:lineRule="auto"/>
        <w:jc w:val="both"/>
        <w:rPr>
          <w:bCs/>
        </w:rPr>
      </w:pPr>
      <w:r w:rsidR="00114846">
        <w:rPr>
          <w:b/>
          <w:bCs/>
        </w:rPr>
        <w:tab/>
      </w:r>
      <w:r w:rsidR="00114846">
        <w:rPr>
          <w:bCs/>
        </w:rPr>
        <w:t>Dle získaných výsledků se spektrum bioprotéz na kardiochirurgické klinice v Olomouci částečně změnilo. Nemocným s velmi malým anulem je obvykle implantována bioprotéza Edwards 3000 (Magna). Dále používáme celé spektrum velikostí Sorin Soprano. Používané jsou také perikardiální bioprotézy Edwards 2900. Pro vyšší pooperační gradienty jsme přestali implantovat bioprotézy Sorin More a Medtronic Mosaic.</w:t>
      </w:r>
    </w:p>
    <w:p>
      <w:pPr>
        <w:spacing w:line="360" w:lineRule="auto"/>
        <w:rPr>
          <w:b/>
          <w:bCs/>
          <w:color w:val="FF0000"/>
        </w:rPr>
      </w:pPr>
    </w:p>
    <w:p>
      <w:pPr>
        <w:spacing w:line="360" w:lineRule="auto"/>
        <w:rPr>
          <w:b/>
          <w:bCs/>
          <w:color w:val="FF0000"/>
        </w:rPr>
      </w:pPr>
    </w:p>
    <w:p>
      <w:pPr>
        <w:spacing w:line="360" w:lineRule="auto"/>
        <w:rPr>
          <w:b/>
          <w:bCs/>
          <w:color w:val="FF0000"/>
        </w:rPr>
      </w:pPr>
    </w:p>
    <w:p>
      <w:pPr>
        <w:spacing w:line="360" w:lineRule="auto"/>
        <w:rPr>
          <w:b/>
          <w:bCs/>
          <w:color w:val="FF0000"/>
        </w:rPr>
      </w:pPr>
    </w:p>
    <w:p>
      <w:pPr>
        <w:spacing w:line="360" w:lineRule="auto"/>
        <w:rPr>
          <w:b/>
          <w:bCs/>
          <w:color w:val="FF0000"/>
        </w:rPr>
      </w:pPr>
    </w:p>
    <w:p>
      <w:pPr>
        <w:spacing w:line="360" w:lineRule="auto"/>
        <w:rPr>
          <w:b/>
          <w:bCs/>
          <w:color w:val="FF0000"/>
        </w:rPr>
      </w:pPr>
    </w:p>
    <w:p>
      <w:pPr>
        <w:spacing w:line="360" w:lineRule="auto"/>
        <w:rPr>
          <w:b/>
          <w:bCs/>
          <w:color w:val="FF0000"/>
        </w:rPr>
      </w:pPr>
    </w:p>
    <w:p>
      <w:pPr>
        <w:spacing w:line="360" w:lineRule="auto"/>
        <w:rPr>
          <w:b/>
          <w:bCs/>
          <w:color w:val="FF0000"/>
        </w:rPr>
      </w:pPr>
    </w:p>
    <w:p>
      <w:pPr>
        <w:spacing w:line="360" w:lineRule="auto"/>
        <w:rPr>
          <w:b/>
          <w:bCs/>
          <w:color w:val="FF0000"/>
        </w:rPr>
      </w:pPr>
    </w:p>
    <w:p>
      <w:pPr>
        <w:spacing w:line="360" w:lineRule="auto"/>
        <w:rPr>
          <w:b/>
          <w:bCs/>
          <w:color w:val="FF0000"/>
        </w:rPr>
      </w:pPr>
    </w:p>
    <w:p>
      <w:pPr>
        <w:spacing w:line="360" w:lineRule="auto"/>
        <w:rPr>
          <w:b/>
          <w:bCs/>
          <w:color w:val="FF0000"/>
        </w:rPr>
      </w:pPr>
    </w:p>
    <w:p>
      <w:pPr>
        <w:spacing w:line="360" w:lineRule="auto"/>
        <w:rPr>
          <w:b/>
          <w:bCs/>
          <w:color w:val="FF0000"/>
        </w:rPr>
      </w:pPr>
    </w:p>
    <w:p>
      <w:pPr>
        <w:spacing w:line="360" w:lineRule="auto"/>
        <w:rPr>
          <w:b/>
          <w:bCs/>
          <w:color w:val="FF0000"/>
        </w:rPr>
      </w:pPr>
    </w:p>
    <w:p>
      <w:pPr>
        <w:spacing w:line="360" w:lineRule="auto"/>
        <w:rPr>
          <w:b/>
          <w:bCs/>
        </w:rPr>
      </w:pPr>
    </w:p>
    <w:p>
      <w:pPr>
        <w:spacing w:line="360" w:lineRule="auto"/>
        <w:rPr>
          <w:b/>
          <w:bCs/>
        </w:rPr>
      </w:pPr>
      <w:r w:rsidR="00114846">
        <w:rPr>
          <w:b/>
          <w:bCs/>
        </w:rPr>
        <w:t>12</w:t>
      </w:r>
      <w:r w:rsidR="00114846">
        <w:rPr>
          <w:b/>
          <w:bCs/>
        </w:rPr>
        <w:tab/>
        <w:t>Závěr</w:t>
      </w:r>
    </w:p>
    <w:p>
      <w:pPr>
        <w:spacing w:line="360" w:lineRule="auto"/>
        <w:rPr>
          <w:b/>
          <w:bCs/>
        </w:rPr>
      </w:pPr>
    </w:p>
    <w:p>
      <w:pPr>
        <w:spacing w:line="360" w:lineRule="auto"/>
        <w:jc w:val="both"/>
      </w:pPr>
      <w:r w:rsidR="00114846">
        <w:tab/>
        <w:t>S postupným prodlužováním délky života ve vyspělých zemích souvisí i nárůst počtu degenerativních chlopenních onemocnění, indikovaných k operaci. Záchovné výkony na aortální chlopni jsou ojedinělé, většinou je indikována náhrada chlopně protézou. Stále častěji jsou implantovány bioprotézy, jelikož poskytují dlouhodobou funkci bez nutnosti doživotní antikoagulační léčby spojené s tromboembolickým rizikem. Tato výhoda je vyvážena</w:t>
      </w:r>
      <w:r w:rsidR="00114846" w:rsidRPr="00B00F02">
        <w:t xml:space="preserve"> </w:t>
      </w:r>
      <w:r w:rsidR="00114846">
        <w:t>omezenou životností a horšími hemodynamickými parametry, chemicky upravená biologická tkáň postupně podléhá degeneraci a kalcifikaci.</w:t>
      </w:r>
      <w:r w:rsidR="00114846" w:rsidRPr="00B00F02">
        <w:t xml:space="preserve"> </w:t>
      </w:r>
      <w:r w:rsidR="00114846">
        <w:t>Poměr implantace mechanických chlopní a bioprotéz na kardiochirurgických pracovištích souvisí s věkovým spektrem operovaných nemocných, „přelomový věk“ je obvykle 65 let. Cílem naší studie bylo porovnání hemodynamických parametrů u bioprotéz Edwards Lifesciences, Irvine, U.S.A. (typy 2650, 2900, 3000), Sorin Biomedica, Saluggia, Italy (typy More, Soprano), St. Jude Medical, St. Paul, U.S.A. (typ Epic) a Medtronic, Minneapolis, U.S.A. (typ Mosaic).</w:t>
      </w:r>
    </w:p>
    <w:p>
      <w:pPr>
        <w:spacing w:line="360" w:lineRule="auto"/>
        <w:jc w:val="both"/>
      </w:pPr>
      <w:r w:rsidR="00114846">
        <w:t xml:space="preserve">  </w:t>
      </w:r>
      <w:r w:rsidR="00114846">
        <w:tab/>
        <w:t>Do studie bylo zařazeno celkem 296 bioprotéz. U všech byl před implantací peroperačně změřen vnitřní průměr ústí chlopně a průměr implantačního prstence. Zjistili jsme, že tovární číslování velikostí není jednotné, výrobcem udávaná velikost bioprotézy odpovídá tzv. tissue anulus diameter (TAD), což je zevní velikost stentu – kostry chlopně, který je zapouzdřený v implantačním prstenci. Bioprotézy stejné výrobcem uvedené velikosti se liší jak v průměru efektivního ústí, tak v  externím průměru implantačního prstence. Při výpočtu efektivní plochy ústí dopplerometricky je proto chybné používat výrobcem danou velikost bioprotézy.</w:t>
      </w:r>
    </w:p>
    <w:p>
      <w:pPr>
        <w:spacing w:line="360" w:lineRule="auto"/>
        <w:jc w:val="both"/>
      </w:pPr>
      <w:r w:rsidR="00114846">
        <w:tab/>
        <w:t>Cílem studie bylo porovnání pooperačních středních a vrcholových gradientů. Zjistili jsme statisticky signifikantní rozdíly mezi bioprotézami různých výrobců. Pro porovnání hemodynamických parametrů byla použita také efektivní plocha ústí bioprotézy, vypočtená dopplerometricky in-vivo. Pro tento parametr jsme nezjistili statisticky signifikantní rozdíly mezi použitými bioprotézami.</w:t>
      </w:r>
    </w:p>
    <w:p>
      <w:pPr>
        <w:spacing w:line="360" w:lineRule="auto"/>
        <w:jc w:val="both"/>
      </w:pPr>
      <w:r w:rsidR="00114846">
        <w:tab/>
        <w:t>Nemocní byli po operaci pravidelně sledování v intervalech 3 měsíce, půl roku, rok a dva roky po operaci. Zjistili jsme, že se pooperační střední a vrcholové gradienty při jednotlivých kontrolách již statisticky signifikantně nemění.</w:t>
      </w:r>
    </w:p>
    <w:p>
      <w:pPr>
        <w:spacing w:line="360" w:lineRule="auto"/>
        <w:jc w:val="both"/>
      </w:pPr>
      <w:r w:rsidR="00114846">
        <w:tab/>
        <w:t>Aortální stenóza je spojena s hypertrofií svaloviny levé komory, která by měla po náhradě chlopně protézou postupně regredovat. Pro posouzení hypertrofie byla sonograficky hodnocena diastolická tloušťka septa a zadní stěny levé komory. U všech pacientů po implantaci bioprotézy došlo k signifikantní redukci těchto parametrů.</w:t>
      </w:r>
    </w:p>
    <w:p>
      <w:pPr>
        <w:spacing w:line="360" w:lineRule="auto"/>
        <w:ind w:firstLine="708"/>
        <w:jc w:val="both"/>
      </w:pPr>
      <w:r w:rsidR="00114846">
        <w:t xml:space="preserve">Součástí studie bylo posoudit, zda má na regresi svaloviny levé komory vliv indexovaná plocha ústí (iEOA) bioprotézy. Soubor nemocných byl rozdělen podle kritéria iEOA 0,85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 Nezjistili jsme statisticky signifikantní rozdíl v pooperační redukci svaloviny septa a zadní stěny levé komory. Při rozdělení souboru nemocných podle kritéria iEOA 0,65 (dle literatury již výrazný „patient-prosthesis mismatch“) jsme také nezjistili žádný statisticky signifikantní rozdíl. K redukci hypertrofie levé komory došlo dle našich výsledků již půl roku po operaci, v intervalech dalšího sledování se již statisticky signifikantně neměnila.</w:t>
      </w:r>
    </w:p>
    <w:p>
      <w:pPr>
        <w:jc w:val="both"/>
        <w:rPr>
          <w:b/>
          <w:color w:val="FF0000"/>
        </w:rPr>
      </w:pPr>
      <w:r w:rsidR="00114846">
        <w:rPr>
          <w:b/>
          <w:color w:val="FF0000"/>
        </w:rPr>
        <w:tab/>
      </w:r>
    </w:p>
    <w:p>
      <w:pPr>
        <w:rPr>
          <w:b/>
          <w:color w:val="FF0000"/>
        </w:rPr>
      </w:pPr>
    </w:p>
    <w:p>
      <w:pPr>
        <w:rPr>
          <w:b/>
          <w:color w:val="FF0000"/>
        </w:rPr>
      </w:pPr>
    </w:p>
    <w:p/>
    <w:p/>
    <w:p/>
    <w:p/>
    <w:p/>
    <w:p/>
    <w:p/>
    <w:p/>
    <w:p/>
    <w:p/>
    <w:p/>
    <w:p/>
    <w:p/>
    <w:p/>
    <w:p/>
    <w:p/>
    <w:p/>
    <w:p/>
    <w:p/>
    <w:p/>
    <w:p/>
    <w:p/>
    <w:p/>
    <w:p/>
    <w:p/>
    <w:p/>
    <w:p/>
    <w:p/>
    <w:p/>
    <w:p/>
    <w:p/>
    <w:p>
      <w:pPr>
        <w:rPr>
          <w:b/>
        </w:rPr>
      </w:pPr>
      <w:r w:rsidR="00114846">
        <w:rPr>
          <w:b/>
        </w:rPr>
        <w:t>Literatura</w:t>
      </w:r>
    </w:p>
    <w:p>
      <w:pPr>
        <w:rPr>
          <w:b/>
        </w:rPr>
      </w:pPr>
    </w:p>
    <w:p>
      <w:r w:rsidR="00114846">
        <w:t xml:space="preserve">ADAMS, DH., CHEN, RH., et al. </w:t>
      </w:r>
      <w:r w:rsidR="00114846" w:rsidRPr="00872680">
        <w:t>Impact of small prosthetic valve size on operative mortality in elderly patients after aortic valve replacement for aortic stenosis: does gender matter?</w:t>
      </w:r>
      <w:r w:rsidR="00114846">
        <w:t xml:space="preserve">. </w:t>
      </w:r>
      <w:r w:rsidR="00114846" w:rsidRPr="00617873">
        <w:rPr>
          <w:i/>
          <w:iCs/>
        </w:rPr>
        <w:t>J Thorac Cardiovasc Surg</w:t>
      </w:r>
      <w:r w:rsidR="00114846">
        <w:rPr>
          <w:i/>
          <w:iCs/>
        </w:rPr>
        <w:t xml:space="preserve">, </w:t>
      </w:r>
      <w:r w:rsidR="00114846">
        <w:t xml:space="preserve">1999, 118 (5), p. </w:t>
      </w:r>
      <w:r w:rsidR="00114846" w:rsidRPr="00872680">
        <w:t>815</w:t>
      </w:r>
      <w:r w:rsidR="00114846">
        <w:t>-22</w:t>
      </w:r>
    </w:p>
    <w:p/>
    <w:p>
      <w:r w:rsidR="00114846" w:rsidRPr="00617873">
        <w:t>ARANKI</w:t>
      </w:r>
      <w:r w:rsidR="00114846">
        <w:t>,</w:t>
      </w:r>
      <w:r w:rsidR="00114846" w:rsidRPr="00617873">
        <w:t xml:space="preserve"> SF</w:t>
      </w:r>
      <w:r w:rsidR="00114846">
        <w:t>.</w:t>
      </w:r>
      <w:r w:rsidR="00114846" w:rsidRPr="00617873">
        <w:t>, RIZZO</w:t>
      </w:r>
      <w:r w:rsidR="00114846">
        <w:t>,</w:t>
      </w:r>
      <w:r w:rsidR="00114846" w:rsidRPr="00617873">
        <w:t xml:space="preserve"> RJ</w:t>
      </w:r>
      <w:r w:rsidR="00114846">
        <w:t>.</w:t>
      </w:r>
      <w:r w:rsidR="00114846" w:rsidRPr="00617873">
        <w:t>, COUPER</w:t>
      </w:r>
      <w:r w:rsidR="00114846">
        <w:t>,</w:t>
      </w:r>
      <w:r w:rsidR="00114846" w:rsidRPr="00617873">
        <w:t xml:space="preserve"> GS</w:t>
      </w:r>
      <w:r w:rsidR="00114846">
        <w:t>., et al.</w:t>
      </w:r>
      <w:r w:rsidR="00114846" w:rsidRPr="00872680">
        <w:t xml:space="preserve"> Aortic valve replacement in the elderly. Effect of gender and coronary artery disease on operative mortality. </w:t>
      </w:r>
      <w:r w:rsidR="00114846" w:rsidRPr="00617873">
        <w:rPr>
          <w:i/>
          <w:iCs/>
        </w:rPr>
        <w:t>Circulation</w:t>
      </w:r>
      <w:r w:rsidR="00114846">
        <w:rPr>
          <w:i/>
          <w:iCs/>
        </w:rPr>
        <w:t>,</w:t>
      </w:r>
      <w:r w:rsidR="00114846">
        <w:t xml:space="preserve"> 2002, </w:t>
      </w:r>
      <w:r w:rsidR="00114846" w:rsidRPr="00872680">
        <w:t>88(5 Pt 2):II17</w:t>
      </w:r>
      <w:r w:rsidR="00114846">
        <w:t>-23</w:t>
      </w:r>
    </w:p>
    <w:p/>
    <w:p>
      <w:r w:rsidR="00114846" w:rsidRPr="00872680">
        <w:t>AUPART</w:t>
      </w:r>
      <w:r w:rsidR="00114846">
        <w:t>,</w:t>
      </w:r>
      <w:r w:rsidR="00114846" w:rsidRPr="00872680">
        <w:t xml:space="preserve"> M</w:t>
      </w:r>
      <w:r w:rsidR="00114846">
        <w:t>.</w:t>
      </w:r>
      <w:r w:rsidR="00114846" w:rsidRPr="00872680">
        <w:t>, NEVILLE</w:t>
      </w:r>
      <w:r w:rsidR="00114846">
        <w:t xml:space="preserve">, </w:t>
      </w:r>
      <w:r w:rsidR="00114846" w:rsidRPr="00872680">
        <w:t xml:space="preserve"> P</w:t>
      </w:r>
      <w:r w:rsidR="00114846">
        <w:t>.</w:t>
      </w:r>
      <w:r w:rsidR="00114846" w:rsidRPr="00872680">
        <w:t>, DREYFUS</w:t>
      </w:r>
      <w:r w:rsidR="00114846">
        <w:t xml:space="preserve">, </w:t>
      </w:r>
      <w:r w:rsidR="00114846" w:rsidRPr="00872680">
        <w:t xml:space="preserve"> X</w:t>
      </w:r>
      <w:r w:rsidR="00114846">
        <w:t>.</w:t>
      </w:r>
      <w:r w:rsidR="00114846" w:rsidRPr="00872680">
        <w:t xml:space="preserve">, </w:t>
      </w:r>
      <w:r w:rsidR="00114846">
        <w:t>et al.</w:t>
      </w:r>
      <w:r w:rsidR="00114846" w:rsidRPr="00872680">
        <w:t xml:space="preserve"> The Carpentier-Edwards pericardial aortic valve: intermediate results in 420 patients. </w:t>
      </w:r>
      <w:r w:rsidR="00114846" w:rsidRPr="00617873">
        <w:rPr>
          <w:i/>
          <w:iCs/>
        </w:rPr>
        <w:t>Eur J Cardiothorac Surg</w:t>
      </w:r>
      <w:r w:rsidR="00114846">
        <w:rPr>
          <w:i/>
          <w:iCs/>
        </w:rPr>
        <w:t>,</w:t>
      </w:r>
      <w:r w:rsidR="00114846">
        <w:t xml:space="preserve"> 1994, 8 (5), p. </w:t>
      </w:r>
      <w:r w:rsidR="00114846" w:rsidRPr="00872680">
        <w:t>277</w:t>
      </w:r>
      <w:r w:rsidR="00114846">
        <w:t>-80</w:t>
      </w:r>
    </w:p>
    <w:p/>
    <w:p>
      <w:r w:rsidR="00114846" w:rsidRPr="00872680">
        <w:t>BLOODWELL</w:t>
      </w:r>
      <w:r w:rsidR="00114846">
        <w:t>,</w:t>
      </w:r>
      <w:r w:rsidR="00114846" w:rsidRPr="00872680">
        <w:t xml:space="preserve"> RD</w:t>
      </w:r>
      <w:r w:rsidR="00114846">
        <w:t>.</w:t>
      </w:r>
      <w:r w:rsidR="00114846" w:rsidRPr="00872680">
        <w:t>, OKIES</w:t>
      </w:r>
      <w:r w:rsidR="00114846">
        <w:t>,</w:t>
      </w:r>
      <w:r w:rsidR="00114846" w:rsidRPr="00872680">
        <w:t xml:space="preserve"> JE</w:t>
      </w:r>
      <w:r w:rsidR="00114846">
        <w:t>.</w:t>
      </w:r>
      <w:r w:rsidR="00114846" w:rsidRPr="00872680">
        <w:t>, HALLMAN</w:t>
      </w:r>
      <w:r w:rsidR="00114846">
        <w:t>,</w:t>
      </w:r>
      <w:r w:rsidR="00114846" w:rsidRPr="00872680">
        <w:t xml:space="preserve"> GL</w:t>
      </w:r>
      <w:r w:rsidR="00114846">
        <w:t>.</w:t>
      </w:r>
      <w:r w:rsidR="00114846" w:rsidRPr="00872680">
        <w:t>, COOLEY</w:t>
      </w:r>
      <w:r w:rsidR="00114846">
        <w:t>,</w:t>
      </w:r>
      <w:r w:rsidR="00114846" w:rsidRPr="00872680">
        <w:t xml:space="preserve"> DA</w:t>
      </w:r>
      <w:r w:rsidR="00114846">
        <w:t>.</w:t>
      </w:r>
      <w:r w:rsidR="00114846" w:rsidRPr="00872680">
        <w:t xml:space="preserve"> Aortic valve replacement. Long-term results. </w:t>
      </w:r>
      <w:r w:rsidR="00114846" w:rsidRPr="00617873">
        <w:rPr>
          <w:i/>
          <w:iCs/>
        </w:rPr>
        <w:t>J Thorac Cardiovasc Surg</w:t>
      </w:r>
      <w:r w:rsidR="00114846">
        <w:rPr>
          <w:i/>
          <w:iCs/>
        </w:rPr>
        <w:t>,</w:t>
      </w:r>
      <w:r w:rsidR="00114846">
        <w:t xml:space="preserve"> 1969, 58, p. </w:t>
      </w:r>
      <w:r w:rsidR="00114846" w:rsidRPr="00872680">
        <w:t>457</w:t>
      </w:r>
      <w:r w:rsidR="00114846">
        <w:t>-62</w:t>
      </w:r>
    </w:p>
    <w:p/>
    <w:p>
      <w:r w:rsidR="00114846" w:rsidRPr="00872680">
        <w:t>BLOOMSTEIN</w:t>
      </w:r>
      <w:r w:rsidR="00114846">
        <w:t>,</w:t>
      </w:r>
      <w:r w:rsidR="00114846" w:rsidRPr="00872680">
        <w:t xml:space="preserve"> LZ</w:t>
      </w:r>
      <w:r w:rsidR="00114846">
        <w:t>.</w:t>
      </w:r>
      <w:r w:rsidR="00114846" w:rsidRPr="00872680">
        <w:t>, GIELCHINSKY</w:t>
      </w:r>
      <w:r w:rsidR="00114846">
        <w:t>,</w:t>
      </w:r>
      <w:r w:rsidR="00114846" w:rsidRPr="00872680">
        <w:t xml:space="preserve"> I</w:t>
      </w:r>
      <w:r w:rsidR="00114846">
        <w:t>.</w:t>
      </w:r>
      <w:r w:rsidR="00114846" w:rsidRPr="00872680">
        <w:t>, BERNSTEIN</w:t>
      </w:r>
      <w:r w:rsidR="00114846">
        <w:t>,</w:t>
      </w:r>
      <w:r w:rsidR="00114846" w:rsidRPr="00872680">
        <w:t xml:space="preserve"> AD</w:t>
      </w:r>
      <w:r w:rsidR="00114846">
        <w:t>.</w:t>
      </w:r>
      <w:r w:rsidR="00114846" w:rsidRPr="00872680">
        <w:t xml:space="preserve">, </w:t>
      </w:r>
      <w:r w:rsidR="00114846">
        <w:t>et al.</w:t>
      </w:r>
      <w:r w:rsidR="00114846" w:rsidRPr="00872680">
        <w:t xml:space="preserve"> Aortic valve replacement in geriatric patients: determinants of in-hospital mortality. </w:t>
      </w:r>
      <w:r w:rsidR="00114846" w:rsidRPr="00925E52">
        <w:rPr>
          <w:i/>
          <w:iCs/>
        </w:rPr>
        <w:t>Ann Thorac Surg</w:t>
      </w:r>
      <w:r w:rsidR="00114846">
        <w:rPr>
          <w:i/>
          <w:iCs/>
        </w:rPr>
        <w:t>,</w:t>
      </w:r>
      <w:r w:rsidR="00114846">
        <w:t xml:space="preserve"> 2001,</w:t>
      </w:r>
      <w:r w:rsidR="00114846" w:rsidRPr="00872680">
        <w:t xml:space="preserve"> 71</w:t>
      </w:r>
      <w:r w:rsidR="00114846">
        <w:t xml:space="preserve"> (2), </w:t>
      </w:r>
      <w:r w:rsidR="00114846" w:rsidRPr="00872680">
        <w:t>597</w:t>
      </w:r>
      <w:r w:rsidR="00114846">
        <w:t>-600</w:t>
      </w:r>
    </w:p>
    <w:p/>
    <w:p>
      <w:r w:rsidR="00114846" w:rsidRPr="00872680">
        <w:t>BONOW</w:t>
      </w:r>
      <w:r w:rsidR="00114846">
        <w:t>,</w:t>
      </w:r>
      <w:r w:rsidR="00114846" w:rsidRPr="00872680">
        <w:t xml:space="preserve"> RO</w:t>
      </w:r>
      <w:r w:rsidR="00114846">
        <w:t>.</w:t>
      </w:r>
      <w:r w:rsidR="00114846" w:rsidRPr="00872680">
        <w:t>, CARABELLO</w:t>
      </w:r>
      <w:r w:rsidR="00114846">
        <w:t>,</w:t>
      </w:r>
      <w:r w:rsidR="00114846" w:rsidRPr="00872680">
        <w:t xml:space="preserve"> BA</w:t>
      </w:r>
      <w:r w:rsidR="00114846">
        <w:t>.</w:t>
      </w:r>
      <w:r w:rsidR="00114846" w:rsidRPr="00872680">
        <w:t>, CHATTERJEE</w:t>
      </w:r>
      <w:r w:rsidR="00114846">
        <w:t>,</w:t>
      </w:r>
      <w:r w:rsidR="00114846" w:rsidRPr="00872680">
        <w:t xml:space="preserve"> K</w:t>
      </w:r>
      <w:r w:rsidR="00114846">
        <w:t>., et al.</w:t>
      </w:r>
      <w:r w:rsidR="00114846" w:rsidRPr="00872680">
        <w:t xml:space="preserve"> ACC/AHA 2006 guidelines for the management of patients with valvular heart disease: a report of the American College of </w:t>
      </w:r>
      <w:r w:rsidR="00114846">
        <w:t>Cardiology/</w:t>
      </w:r>
      <w:r w:rsidR="00114846" w:rsidRPr="00872680">
        <w:t xml:space="preserve">American Heart Association Task Force on Practice Guidelines (Writing Committee to Revise the 1998 Guidelines for the Management of Patients with Valvular Heart Disease) developed in collaboration with the Society of Cardiovascular Anesthesiologists endorsed by the Society for Cardiovascular Angiography and Interventions and the Society of Thoracic Surgeons. </w:t>
      </w:r>
      <w:r w:rsidR="00114846" w:rsidRPr="00872680">
        <w:rPr>
          <w:iCs/>
        </w:rPr>
        <w:t xml:space="preserve">J </w:t>
      </w:r>
      <w:r w:rsidR="00114846" w:rsidRPr="00925E52">
        <w:rPr>
          <w:i/>
          <w:iCs/>
        </w:rPr>
        <w:t>Am Coll Cardiol</w:t>
      </w:r>
      <w:r w:rsidR="00114846">
        <w:t>, 2006,</w:t>
      </w:r>
      <w:r w:rsidR="00114846" w:rsidRPr="00872680">
        <w:t xml:space="preserve"> 48</w:t>
      </w:r>
      <w:r w:rsidR="00114846">
        <w:t xml:space="preserve">, </w:t>
      </w:r>
      <w:r w:rsidR="00114846" w:rsidRPr="00872680">
        <w:t>e1</w:t>
      </w:r>
      <w:r w:rsidR="00114846">
        <w:t>-148</w:t>
      </w:r>
    </w:p>
    <w:p>
      <w:pPr>
        <w:spacing w:before="100" w:beforeAutospacing="1" w:after="100" w:afterAutospacing="1"/>
        <w:rPr>
          <w:rFonts w:eastAsia="Arial Unicode MS"/>
        </w:rPr>
      </w:pPr>
      <w:r w:rsidR="00114846" w:rsidRPr="00872680">
        <w:t>BRAUNWALD</w:t>
      </w:r>
      <w:r w:rsidR="00114846">
        <w:t xml:space="preserve">, </w:t>
      </w:r>
      <w:r w:rsidR="00114846" w:rsidRPr="00872680">
        <w:t xml:space="preserve"> E</w:t>
      </w:r>
      <w:r w:rsidR="00114846">
        <w:t xml:space="preserve">. Valvular heart disease, </w:t>
      </w:r>
      <w:r w:rsidR="00114846" w:rsidRPr="00872680">
        <w:t xml:space="preserve"> </w:t>
      </w:r>
      <w:r w:rsidR="00114846" w:rsidRPr="00925E52">
        <w:t xml:space="preserve">Braunwald E (ed): </w:t>
      </w:r>
      <w:r w:rsidR="00114846" w:rsidRPr="00925E52">
        <w:rPr>
          <w:iCs/>
        </w:rPr>
        <w:t>Braunwald: Heart Disease: A Textbook of Cardiovascular Medicine</w:t>
      </w:r>
      <w:r w:rsidR="00114846" w:rsidRPr="00925E52">
        <w:t>, 6th ed. New York, WB Saunders,</w:t>
      </w:r>
      <w:r w:rsidR="00114846">
        <w:t xml:space="preserve"> 2001, p 1643</w:t>
      </w:r>
      <w:r w:rsidR="00114846" w:rsidRPr="00872680">
        <w:t xml:space="preserve"> </w:t>
      </w:r>
    </w:p>
    <w:p>
      <w:r w:rsidR="00114846" w:rsidRPr="00872680">
        <w:t>CASTRO</w:t>
      </w:r>
      <w:r w:rsidR="00114846">
        <w:t>,</w:t>
      </w:r>
      <w:r w:rsidR="00114846" w:rsidRPr="00872680">
        <w:t xml:space="preserve"> LJ</w:t>
      </w:r>
      <w:r w:rsidR="00114846">
        <w:t>.</w:t>
      </w:r>
      <w:r w:rsidR="00114846" w:rsidRPr="00872680">
        <w:t>, ARCIDI</w:t>
      </w:r>
      <w:r w:rsidR="00114846">
        <w:t>,</w:t>
      </w:r>
      <w:r w:rsidR="00114846" w:rsidRPr="00872680">
        <w:t xml:space="preserve"> JM</w:t>
      </w:r>
      <w:r w:rsidR="00114846">
        <w:t>.</w:t>
      </w:r>
      <w:r w:rsidR="00114846" w:rsidRPr="00872680">
        <w:t>, FISHER</w:t>
      </w:r>
      <w:r w:rsidR="00114846">
        <w:t>,</w:t>
      </w:r>
      <w:r w:rsidR="00114846" w:rsidRPr="00872680">
        <w:t xml:space="preserve"> AL</w:t>
      </w:r>
      <w:r w:rsidR="00114846">
        <w:t>.</w:t>
      </w:r>
      <w:r w:rsidR="00114846" w:rsidRPr="00872680">
        <w:t>, GAUDIANI</w:t>
      </w:r>
      <w:r w:rsidR="00114846">
        <w:t>,</w:t>
      </w:r>
      <w:r w:rsidR="00114846" w:rsidRPr="00872680">
        <w:t xml:space="preserve"> VA</w:t>
      </w:r>
      <w:r w:rsidR="00114846">
        <w:t>.</w:t>
      </w:r>
      <w:r w:rsidR="00114846" w:rsidRPr="00872680">
        <w:t xml:space="preserve"> Routine enlargement of the small aortic root: a preventive strategy to minimize mismatch. </w:t>
      </w:r>
      <w:r w:rsidR="00114846" w:rsidRPr="00925E52">
        <w:rPr>
          <w:i/>
          <w:iCs/>
        </w:rPr>
        <w:t>Ann Thorac Surg</w:t>
      </w:r>
      <w:r w:rsidR="00114846">
        <w:rPr>
          <w:i/>
          <w:iCs/>
        </w:rPr>
        <w:t>,</w:t>
      </w:r>
      <w:r w:rsidR="00114846">
        <w:t xml:space="preserve"> 2002, 74, p. </w:t>
      </w:r>
      <w:r w:rsidR="00114846" w:rsidRPr="00872680">
        <w:t>31</w:t>
      </w:r>
      <w:r w:rsidR="00114846">
        <w:t>-6</w:t>
      </w:r>
    </w:p>
    <w:p/>
    <w:p>
      <w:r w:rsidR="00114846" w:rsidRPr="00872680">
        <w:t>COWELL</w:t>
      </w:r>
      <w:r w:rsidR="00114846">
        <w:t>,</w:t>
      </w:r>
      <w:r w:rsidR="00114846" w:rsidRPr="00872680">
        <w:t xml:space="preserve"> SJ</w:t>
      </w:r>
      <w:r w:rsidR="00114846">
        <w:t>.</w:t>
      </w:r>
      <w:r w:rsidR="00114846" w:rsidRPr="00872680">
        <w:t>, NEWBY</w:t>
      </w:r>
      <w:r w:rsidR="00114846">
        <w:t>,</w:t>
      </w:r>
      <w:r w:rsidR="00114846" w:rsidRPr="00872680">
        <w:t xml:space="preserve"> DE</w:t>
      </w:r>
      <w:r w:rsidR="00114846">
        <w:t>.</w:t>
      </w:r>
      <w:r w:rsidR="00114846" w:rsidRPr="00872680">
        <w:t>, PRESCOTT</w:t>
      </w:r>
      <w:r w:rsidR="00114846">
        <w:t>,</w:t>
      </w:r>
      <w:r w:rsidR="00114846" w:rsidRPr="00872680">
        <w:t xml:space="preserve"> RJ</w:t>
      </w:r>
      <w:r w:rsidR="00114846">
        <w:t>., et al.</w:t>
      </w:r>
      <w:r w:rsidR="00114846" w:rsidRPr="00872680">
        <w:t xml:space="preserve"> A randomized trial of intensive lipid-lowering therapy in calcific aortic stenosis. </w:t>
      </w:r>
      <w:r w:rsidR="00114846" w:rsidRPr="00925E52">
        <w:rPr>
          <w:i/>
          <w:iCs/>
        </w:rPr>
        <w:t>N Engl J Med</w:t>
      </w:r>
      <w:r w:rsidR="00114846">
        <w:rPr>
          <w:i/>
          <w:iCs/>
        </w:rPr>
        <w:t>,</w:t>
      </w:r>
      <w:r w:rsidR="00114846">
        <w:t xml:space="preserve"> 2005,</w:t>
      </w:r>
      <w:r w:rsidR="00114846" w:rsidRPr="00872680">
        <w:t xml:space="preserve"> 352</w:t>
      </w:r>
      <w:r w:rsidR="00114846">
        <w:t xml:space="preserve"> (23), p. 2389-97</w:t>
      </w:r>
    </w:p>
    <w:p/>
    <w:p>
      <w:r w:rsidR="00114846" w:rsidRPr="00872680">
        <w:t>CRIBIER</w:t>
      </w:r>
      <w:r w:rsidR="00114846">
        <w:t>,</w:t>
      </w:r>
      <w:r w:rsidR="00114846" w:rsidRPr="00872680">
        <w:t xml:space="preserve"> A</w:t>
      </w:r>
      <w:r w:rsidR="00114846">
        <w:t>.</w:t>
      </w:r>
      <w:r w:rsidR="00114846" w:rsidRPr="00872680">
        <w:t>, ELTCHANINOFF</w:t>
      </w:r>
      <w:r w:rsidR="00114846">
        <w:t>,</w:t>
      </w:r>
      <w:r w:rsidR="00114846" w:rsidRPr="00872680">
        <w:t xml:space="preserve"> H</w:t>
      </w:r>
      <w:r w:rsidR="00114846">
        <w:t>.</w:t>
      </w:r>
      <w:r w:rsidR="00114846" w:rsidRPr="00872680">
        <w:t>, BASH</w:t>
      </w:r>
      <w:r w:rsidR="00114846">
        <w:t>,</w:t>
      </w:r>
      <w:r w:rsidR="00114846" w:rsidRPr="00872680">
        <w:t xml:space="preserve"> A</w:t>
      </w:r>
      <w:r w:rsidR="00114846">
        <w:t>.</w:t>
      </w:r>
      <w:r w:rsidR="00114846" w:rsidRPr="00872680">
        <w:t xml:space="preserve">, </w:t>
      </w:r>
      <w:r w:rsidR="00114846">
        <w:t>et al.</w:t>
      </w:r>
      <w:r w:rsidR="00114846" w:rsidRPr="00872680">
        <w:t xml:space="preserve"> Percutaneous transcatheter implantation of an aortic valve prosthesis for calcific aortic stenosis: first human case description. </w:t>
      </w:r>
      <w:r w:rsidR="00114846" w:rsidRPr="001140E0">
        <w:rPr>
          <w:i/>
          <w:iCs/>
        </w:rPr>
        <w:t>Circulation</w:t>
      </w:r>
      <w:r w:rsidR="00114846">
        <w:rPr>
          <w:i/>
          <w:iCs/>
        </w:rPr>
        <w:t>,</w:t>
      </w:r>
      <w:r w:rsidR="00114846">
        <w:t xml:space="preserve"> 2002,</w:t>
      </w:r>
      <w:r w:rsidR="00114846" w:rsidRPr="00872680">
        <w:t xml:space="preserve"> 106</w:t>
      </w:r>
      <w:r w:rsidR="00114846">
        <w:t xml:space="preserve"> (24), p. </w:t>
      </w:r>
      <w:r w:rsidR="00114846" w:rsidRPr="00872680">
        <w:t>3006</w:t>
      </w:r>
      <w:r w:rsidR="00114846">
        <w:t>-8</w:t>
      </w:r>
    </w:p>
    <w:p/>
    <w:p>
      <w:r w:rsidR="00114846" w:rsidRPr="00872680">
        <w:t>CRIBIER</w:t>
      </w:r>
      <w:r w:rsidR="00114846">
        <w:t>,</w:t>
      </w:r>
      <w:r w:rsidR="00114846" w:rsidRPr="00872680">
        <w:t xml:space="preserve"> A</w:t>
      </w:r>
      <w:r w:rsidR="00114846">
        <w:t>.</w:t>
      </w:r>
      <w:r w:rsidR="00114846" w:rsidRPr="00872680">
        <w:t>, ELTCHANINOFF</w:t>
      </w:r>
      <w:r w:rsidR="00114846">
        <w:t>,</w:t>
      </w:r>
      <w:r w:rsidR="00114846" w:rsidRPr="00872680">
        <w:t xml:space="preserve"> H</w:t>
      </w:r>
      <w:r w:rsidR="00114846">
        <w:t>.</w:t>
      </w:r>
      <w:r w:rsidR="00114846" w:rsidRPr="00872680">
        <w:t>, TRON</w:t>
      </w:r>
      <w:r w:rsidR="00114846">
        <w:t>,</w:t>
      </w:r>
      <w:r w:rsidR="00114846" w:rsidRPr="00872680">
        <w:t xml:space="preserve"> C</w:t>
      </w:r>
      <w:r w:rsidR="00114846">
        <w:t>.</w:t>
      </w:r>
      <w:r w:rsidR="00114846" w:rsidRPr="00872680">
        <w:t>,</w:t>
      </w:r>
      <w:r w:rsidR="00114846">
        <w:t xml:space="preserve"> et al.</w:t>
      </w:r>
      <w:r w:rsidR="00114846" w:rsidRPr="00872680">
        <w:t xml:space="preserve"> Treatment of calcific aortic stenosis with the percutaneous heart valve: mid-term follow-up from the initial feasibility studies: the French experience. </w:t>
      </w:r>
      <w:r w:rsidR="00114846" w:rsidRPr="001140E0">
        <w:rPr>
          <w:i/>
          <w:iCs/>
        </w:rPr>
        <w:t>J Am Coll Cardiol</w:t>
      </w:r>
      <w:r w:rsidR="00114846">
        <w:rPr>
          <w:i/>
          <w:iCs/>
        </w:rPr>
        <w:t>,</w:t>
      </w:r>
      <w:r w:rsidR="00114846">
        <w:t xml:space="preserve"> 2006</w:t>
      </w:r>
      <w:r w:rsidR="00114846">
        <w:rPr>
          <w:lang w:val="en-US"/>
        </w:rPr>
        <w:t>,</w:t>
      </w:r>
      <w:r w:rsidR="00114846">
        <w:t xml:space="preserve"> 47(6), p. 1214-23</w:t>
      </w:r>
    </w:p>
    <w:p/>
    <w:p>
      <w:r w:rsidR="00114846" w:rsidRPr="00872680">
        <w:t>CUNANAN</w:t>
      </w:r>
      <w:r w:rsidR="00114846">
        <w:t>,</w:t>
      </w:r>
      <w:r w:rsidR="00114846" w:rsidRPr="00872680">
        <w:t xml:space="preserve"> CM</w:t>
      </w:r>
      <w:r w:rsidR="00114846">
        <w:t>.</w:t>
      </w:r>
      <w:r w:rsidR="00114846" w:rsidRPr="00872680">
        <w:t>, CABILING</w:t>
      </w:r>
      <w:r w:rsidR="00114846">
        <w:t>,</w:t>
      </w:r>
      <w:r w:rsidR="00114846" w:rsidRPr="00872680">
        <w:t xml:space="preserve"> CM</w:t>
      </w:r>
      <w:r w:rsidR="00114846">
        <w:t>.</w:t>
      </w:r>
      <w:r w:rsidR="00114846" w:rsidRPr="00872680">
        <w:t>, DINH</w:t>
      </w:r>
      <w:r w:rsidR="00114846">
        <w:t>,</w:t>
      </w:r>
      <w:r w:rsidR="00114846" w:rsidRPr="00872680">
        <w:t xml:space="preserve"> TT</w:t>
      </w:r>
      <w:r w:rsidR="00114846">
        <w:t>., et al.</w:t>
      </w:r>
      <w:r w:rsidR="00114846" w:rsidRPr="00872680">
        <w:t xml:space="preserve"> Tissue characterization and calcification potential of commercial bioprosthetic heart valves. </w:t>
      </w:r>
      <w:r w:rsidR="00114846" w:rsidRPr="001140E0">
        <w:rPr>
          <w:i/>
          <w:iCs/>
        </w:rPr>
        <w:t>Ann Thorac Surg</w:t>
      </w:r>
      <w:r w:rsidR="00114846">
        <w:rPr>
          <w:i/>
          <w:iCs/>
        </w:rPr>
        <w:t>,</w:t>
      </w:r>
      <w:r w:rsidR="00114846">
        <w:t xml:space="preserve"> 2001,</w:t>
      </w:r>
      <w:r w:rsidR="00114846" w:rsidRPr="00872680">
        <w:t xml:space="preserve"> 71</w:t>
      </w:r>
      <w:r w:rsidR="00114846">
        <w:t xml:space="preserve"> (5 Suppl), p. </w:t>
      </w:r>
      <w:r w:rsidR="00114846" w:rsidRPr="00872680">
        <w:t>417</w:t>
      </w:r>
      <w:r w:rsidR="00114846">
        <w:t>-21</w:t>
      </w:r>
    </w:p>
    <w:p/>
    <w:p>
      <w:r w:rsidR="00114846" w:rsidRPr="00872680">
        <w:t>DE PAULIS</w:t>
      </w:r>
      <w:r w:rsidR="00114846">
        <w:t>,</w:t>
      </w:r>
      <w:r w:rsidR="00114846" w:rsidRPr="00872680">
        <w:t xml:space="preserve"> R</w:t>
      </w:r>
      <w:r w:rsidR="00114846">
        <w:t>.</w:t>
      </w:r>
      <w:r w:rsidR="00114846" w:rsidRPr="00872680">
        <w:t>, SOMMARIVA</w:t>
      </w:r>
      <w:r w:rsidR="00114846">
        <w:t>,</w:t>
      </w:r>
      <w:r w:rsidR="00114846" w:rsidRPr="00872680">
        <w:t xml:space="preserve"> L</w:t>
      </w:r>
      <w:r w:rsidR="00114846">
        <w:t>.</w:t>
      </w:r>
      <w:r w:rsidR="00114846" w:rsidRPr="00872680">
        <w:t>, COLAGRANDE</w:t>
      </w:r>
      <w:r w:rsidR="00114846">
        <w:t>,</w:t>
      </w:r>
      <w:r w:rsidR="00114846" w:rsidRPr="00872680">
        <w:t xml:space="preserve"> L</w:t>
      </w:r>
      <w:r w:rsidR="00114846">
        <w:t>.</w:t>
      </w:r>
      <w:r w:rsidR="00114846" w:rsidRPr="00872680">
        <w:t>,</w:t>
      </w:r>
      <w:r w:rsidR="00114846">
        <w:t xml:space="preserve"> et al.</w:t>
      </w:r>
      <w:r w:rsidR="00114846" w:rsidRPr="00872680">
        <w:t xml:space="preserve"> Regression of left ventricular hypertrophy after aortic valve replacement for aortic stenosis with different valve substitutes. </w:t>
      </w:r>
      <w:r w:rsidR="00114846" w:rsidRPr="004A6679">
        <w:rPr>
          <w:i/>
          <w:iCs/>
        </w:rPr>
        <w:t>J Thorac Cardiovasc Surg</w:t>
      </w:r>
      <w:r w:rsidR="00114846">
        <w:rPr>
          <w:i/>
          <w:iCs/>
        </w:rPr>
        <w:t>.</w:t>
      </w:r>
      <w:r w:rsidR="00114846">
        <w:t xml:space="preserve"> 1998,</w:t>
      </w:r>
      <w:r w:rsidR="00114846" w:rsidRPr="00872680">
        <w:t xml:space="preserve"> 116</w:t>
      </w:r>
      <w:r w:rsidR="00114846">
        <w:t xml:space="preserve"> (4), p. 590-8</w:t>
      </w:r>
    </w:p>
    <w:p/>
    <w:p>
      <w:r w:rsidR="00114846" w:rsidRPr="00872680">
        <w:t>DEARANI</w:t>
      </w:r>
      <w:r w:rsidR="00114846">
        <w:t>,</w:t>
      </w:r>
      <w:r w:rsidR="00114846" w:rsidRPr="00872680">
        <w:t xml:space="preserve"> JA</w:t>
      </w:r>
      <w:r w:rsidR="00114846">
        <w:t>.</w:t>
      </w:r>
      <w:r w:rsidR="00114846" w:rsidRPr="00872680">
        <w:t>, ORSZULAK</w:t>
      </w:r>
      <w:r w:rsidR="00114846">
        <w:t>,</w:t>
      </w:r>
      <w:r w:rsidR="00114846" w:rsidRPr="00872680">
        <w:t xml:space="preserve"> TA</w:t>
      </w:r>
      <w:r w:rsidR="00114846">
        <w:t>.</w:t>
      </w:r>
      <w:r w:rsidR="00114846" w:rsidRPr="00872680">
        <w:t>, SCHAFF</w:t>
      </w:r>
      <w:r w:rsidR="00114846">
        <w:t>,</w:t>
      </w:r>
      <w:r w:rsidR="00114846" w:rsidRPr="00872680">
        <w:t xml:space="preserve"> HV</w:t>
      </w:r>
      <w:r w:rsidR="00114846">
        <w:t>., et al.</w:t>
      </w:r>
      <w:r w:rsidR="00114846" w:rsidRPr="00872680">
        <w:t xml:space="preserve"> Results of allograft aortic valve replacement for complex endocarditis. </w:t>
      </w:r>
      <w:r w:rsidR="00114846" w:rsidRPr="004A6679">
        <w:rPr>
          <w:i/>
          <w:iCs/>
        </w:rPr>
        <w:t>J Thorac Cardiovasc Surg</w:t>
      </w:r>
      <w:r w:rsidR="00114846">
        <w:rPr>
          <w:i/>
          <w:iCs/>
        </w:rPr>
        <w:t>,</w:t>
      </w:r>
      <w:r w:rsidR="00114846">
        <w:t xml:space="preserve"> 1997, 113(2), p. </w:t>
      </w:r>
      <w:r w:rsidR="00114846" w:rsidRPr="00872680">
        <w:t>285</w:t>
      </w:r>
      <w:r w:rsidR="00114846">
        <w:t>-91</w:t>
      </w:r>
    </w:p>
    <w:p/>
    <w:p>
      <w:r w:rsidR="00114846" w:rsidRPr="00872680">
        <w:t>DELLGREN</w:t>
      </w:r>
      <w:r w:rsidR="00114846">
        <w:t>,</w:t>
      </w:r>
      <w:r w:rsidR="00114846" w:rsidRPr="00872680">
        <w:t xml:space="preserve"> G</w:t>
      </w:r>
      <w:r w:rsidR="00114846">
        <w:t>.</w:t>
      </w:r>
      <w:r w:rsidR="00114846" w:rsidRPr="00872680">
        <w:t>, DAVID</w:t>
      </w:r>
      <w:r w:rsidR="00114846">
        <w:t>,</w:t>
      </w:r>
      <w:r w:rsidR="00114846" w:rsidRPr="00872680">
        <w:t xml:space="preserve"> TE</w:t>
      </w:r>
      <w:r w:rsidR="00114846">
        <w:t>.</w:t>
      </w:r>
      <w:r w:rsidR="00114846" w:rsidRPr="00872680">
        <w:t>, RAANANI</w:t>
      </w:r>
      <w:r w:rsidR="00114846">
        <w:t>,</w:t>
      </w:r>
      <w:r w:rsidR="00114846" w:rsidRPr="00872680">
        <w:t xml:space="preserve"> E</w:t>
      </w:r>
      <w:r w:rsidR="00114846">
        <w:t>., et al.</w:t>
      </w:r>
      <w:r w:rsidR="00114846" w:rsidRPr="00872680">
        <w:t xml:space="preserve"> Late hemodynamic and clinical outcomes of aortic valve replacement with the Carpentier-Edwards Perimount pericardial bioprosthesis. </w:t>
      </w:r>
      <w:r w:rsidR="00114846" w:rsidRPr="006A0B90">
        <w:rPr>
          <w:i/>
          <w:iCs/>
        </w:rPr>
        <w:t>J Thorac Cardiovasc Surg</w:t>
      </w:r>
      <w:r w:rsidR="00114846">
        <w:rPr>
          <w:i/>
          <w:iCs/>
        </w:rPr>
        <w:t>,</w:t>
      </w:r>
      <w:r w:rsidR="00114846">
        <w:t xml:space="preserve"> 2002,</w:t>
      </w:r>
      <w:r w:rsidR="00114846" w:rsidRPr="00872680">
        <w:t xml:space="preserve"> 124</w:t>
      </w:r>
      <w:r w:rsidR="00114846">
        <w:t>, p.</w:t>
      </w:r>
      <w:r w:rsidR="00114846" w:rsidRPr="00872680">
        <w:t>146</w:t>
      </w:r>
      <w:r w:rsidR="00114846">
        <w:t>-54</w:t>
      </w:r>
    </w:p>
    <w:p>
      <w:pPr>
        <w:rPr>
          <w:color w:val="000000"/>
        </w:rPr>
      </w:pPr>
    </w:p>
    <w:p>
      <w:pPr>
        <w:rPr>
          <w:color w:val="000000"/>
        </w:rPr>
      </w:pPr>
      <w:r w:rsidR="00114846" w:rsidRPr="00872680">
        <w:rPr>
          <w:color w:val="000000"/>
        </w:rPr>
        <w:t>DOMINIK</w:t>
      </w:r>
      <w:r w:rsidR="00114846">
        <w:rPr>
          <w:color w:val="000000"/>
        </w:rPr>
        <w:t>,</w:t>
      </w:r>
      <w:r w:rsidR="00114846" w:rsidRPr="00872680">
        <w:rPr>
          <w:color w:val="000000"/>
        </w:rPr>
        <w:t xml:space="preserve"> J. Patient-prosthesis mismatch. </w:t>
      </w:r>
      <w:r w:rsidR="00114846" w:rsidRPr="006A0B90">
        <w:rPr>
          <w:i/>
          <w:color w:val="000000"/>
        </w:rPr>
        <w:t>Interv Akut Kardiol</w:t>
      </w:r>
      <w:r w:rsidR="00114846">
        <w:rPr>
          <w:i/>
          <w:color w:val="000000"/>
        </w:rPr>
        <w:t>,</w:t>
      </w:r>
      <w:r w:rsidR="00114846" w:rsidRPr="00872680">
        <w:rPr>
          <w:color w:val="000000"/>
        </w:rPr>
        <w:t xml:space="preserve"> 2005</w:t>
      </w:r>
      <w:r w:rsidR="00114846">
        <w:rPr>
          <w:color w:val="000000"/>
          <w:lang w:val="de-DE"/>
        </w:rPr>
        <w:t>,</w:t>
      </w:r>
      <w:r w:rsidR="00114846" w:rsidRPr="00872680">
        <w:rPr>
          <w:color w:val="000000"/>
        </w:rPr>
        <w:t xml:space="preserve"> 4</w:t>
      </w:r>
      <w:r w:rsidR="00114846">
        <w:rPr>
          <w:color w:val="000000"/>
        </w:rPr>
        <w:t xml:space="preserve">, p. </w:t>
      </w:r>
      <w:r w:rsidR="00114846" w:rsidRPr="00872680">
        <w:rPr>
          <w:color w:val="000000"/>
        </w:rPr>
        <w:t>229-232</w:t>
      </w:r>
    </w:p>
    <w:p/>
    <w:p>
      <w:r w:rsidR="00114846" w:rsidRPr="00872680">
        <w:t>Doporučené postupy pro diagnostiku a léčbu nemocných s chlopenní vadou v</w:t>
      </w:r>
      <w:r w:rsidR="00114846">
        <w:t> </w:t>
      </w:r>
      <w:r w:rsidR="00114846" w:rsidRPr="00872680">
        <w:t>dospělosti</w:t>
      </w:r>
      <w:r w:rsidR="00114846">
        <w:t>.</w:t>
      </w:r>
      <w:r w:rsidR="00114846" w:rsidRPr="00872680">
        <w:t xml:space="preserve">  </w:t>
      </w:r>
      <w:r w:rsidR="00114846" w:rsidRPr="006A0B90">
        <w:rPr>
          <w:i/>
        </w:rPr>
        <w:t>Cor Vasa</w:t>
      </w:r>
      <w:r w:rsidR="00114846">
        <w:t xml:space="preserve"> 2007, 49(7-8),</w:t>
      </w:r>
      <w:r w:rsidR="00114846" w:rsidRPr="00872680">
        <w:t xml:space="preserve"> K195–K234</w:t>
      </w:r>
    </w:p>
    <w:p/>
    <w:p>
      <w:r w:rsidR="00114846" w:rsidRPr="00872680">
        <w:t>EDMUNDS</w:t>
      </w:r>
      <w:r w:rsidR="00114846">
        <w:t>,</w:t>
      </w:r>
      <w:r w:rsidR="00114846" w:rsidRPr="00872680">
        <w:t xml:space="preserve"> LH</w:t>
      </w:r>
      <w:r w:rsidR="00114846">
        <w:t>.</w:t>
      </w:r>
      <w:r w:rsidR="00114846" w:rsidRPr="00872680">
        <w:t>, JR., CLARK</w:t>
      </w:r>
      <w:r w:rsidR="00114846">
        <w:t>,</w:t>
      </w:r>
      <w:r w:rsidR="00114846" w:rsidRPr="00872680">
        <w:t xml:space="preserve"> RE</w:t>
      </w:r>
      <w:r w:rsidR="00114846">
        <w:t>.</w:t>
      </w:r>
      <w:r w:rsidR="00114846" w:rsidRPr="00872680">
        <w:t>, COHN</w:t>
      </w:r>
      <w:r w:rsidR="00114846">
        <w:t>,</w:t>
      </w:r>
      <w:r w:rsidR="00114846" w:rsidRPr="00872680">
        <w:t xml:space="preserve"> LH</w:t>
      </w:r>
      <w:r w:rsidR="00114846">
        <w:t>.</w:t>
      </w:r>
      <w:r w:rsidR="00114846" w:rsidRPr="00872680">
        <w:t>,</w:t>
      </w:r>
      <w:r w:rsidR="00114846">
        <w:t xml:space="preserve"> et al.</w:t>
      </w:r>
      <w:r w:rsidR="00114846" w:rsidRPr="00872680">
        <w:t xml:space="preserve"> Guidelines for reporting morbidity and mortality after cardiac valvular operations. </w:t>
      </w:r>
      <w:r w:rsidR="00114846" w:rsidRPr="006A0B90">
        <w:rPr>
          <w:i/>
          <w:iCs/>
        </w:rPr>
        <w:t>Eur J Cardiothorac Surg</w:t>
      </w:r>
      <w:r w:rsidR="00114846">
        <w:rPr>
          <w:i/>
          <w:iCs/>
        </w:rPr>
        <w:t>,</w:t>
      </w:r>
      <w:r w:rsidR="00114846">
        <w:t xml:space="preserve"> 1996,</w:t>
      </w:r>
      <w:r w:rsidR="00114846" w:rsidRPr="00872680">
        <w:t xml:space="preserve"> 10</w:t>
      </w:r>
      <w:r w:rsidR="00114846">
        <w:t xml:space="preserve">(9), p. </w:t>
      </w:r>
      <w:r w:rsidR="00114846" w:rsidRPr="00872680">
        <w:t>812</w:t>
      </w:r>
      <w:r w:rsidR="00114846">
        <w:t>-6</w:t>
      </w:r>
    </w:p>
    <w:p/>
    <w:p>
      <w:r w:rsidR="00114846" w:rsidRPr="00872680">
        <w:t>EDMUNDS</w:t>
      </w:r>
      <w:r w:rsidR="00114846">
        <w:t>,</w:t>
      </w:r>
      <w:r w:rsidR="00114846" w:rsidRPr="00872680">
        <w:t xml:space="preserve"> LH</w:t>
      </w:r>
      <w:r w:rsidR="00114846">
        <w:t>.</w:t>
      </w:r>
      <w:r w:rsidR="00114846" w:rsidRPr="00872680">
        <w:t>, JR., CLARK</w:t>
      </w:r>
      <w:r w:rsidR="00114846">
        <w:t>,</w:t>
      </w:r>
      <w:r w:rsidR="00114846" w:rsidRPr="00872680">
        <w:t xml:space="preserve"> RE</w:t>
      </w:r>
      <w:r w:rsidR="00114846">
        <w:t>.</w:t>
      </w:r>
      <w:r w:rsidR="00114846" w:rsidRPr="00872680">
        <w:t>, COHN</w:t>
      </w:r>
      <w:r w:rsidR="00114846">
        <w:t>,</w:t>
      </w:r>
      <w:r w:rsidR="00114846" w:rsidRPr="00872680">
        <w:t xml:space="preserve"> LH</w:t>
      </w:r>
      <w:r w:rsidR="00114846">
        <w:t>., et al.</w:t>
      </w:r>
      <w:r w:rsidR="00114846" w:rsidRPr="00872680">
        <w:t xml:space="preserve"> Guidelines for reporting morbidity and mortality after cardiac valvular operations. Ad Hoc Liaison Committee for Standardizing Definitions of Prosthetic Heart Valve Morbidity of The American Association for Thoracic Surgery and The Society of Thoracic Surgeons. </w:t>
      </w:r>
      <w:r w:rsidR="00114846" w:rsidRPr="006A0B90">
        <w:rPr>
          <w:i/>
          <w:iCs/>
        </w:rPr>
        <w:t>J Thorac Cardiovasc Surg</w:t>
      </w:r>
      <w:r w:rsidR="00114846">
        <w:t xml:space="preserve">, 1996, 112, </w:t>
      </w:r>
      <w:r w:rsidR="00114846" w:rsidRPr="00872680">
        <w:t>708</w:t>
      </w:r>
      <w:r w:rsidR="00114846">
        <w:t>-20</w:t>
      </w:r>
    </w:p>
    <w:p/>
    <w:p>
      <w:r w:rsidR="00114846" w:rsidRPr="00872680">
        <w:t>EDWARDS</w:t>
      </w:r>
      <w:r w:rsidR="00114846">
        <w:t>,</w:t>
      </w:r>
      <w:r w:rsidR="00114846" w:rsidRPr="00872680">
        <w:t xml:space="preserve"> FH</w:t>
      </w:r>
      <w:r w:rsidR="00114846">
        <w:t>.</w:t>
      </w:r>
      <w:r w:rsidR="00114846" w:rsidRPr="00872680">
        <w:t>, PETERSON</w:t>
      </w:r>
      <w:r w:rsidR="00114846">
        <w:t>,</w:t>
      </w:r>
      <w:r w:rsidR="00114846" w:rsidRPr="00872680">
        <w:t xml:space="preserve"> ED</w:t>
      </w:r>
      <w:r w:rsidR="00114846">
        <w:t>.</w:t>
      </w:r>
      <w:r w:rsidR="00114846" w:rsidRPr="00872680">
        <w:t>, COOMBS</w:t>
      </w:r>
      <w:r w:rsidR="00114846">
        <w:t>,</w:t>
      </w:r>
      <w:r w:rsidR="00114846" w:rsidRPr="00872680">
        <w:t xml:space="preserve"> LP</w:t>
      </w:r>
      <w:r w:rsidR="00114846">
        <w:t>.</w:t>
      </w:r>
      <w:r w:rsidR="00114846" w:rsidRPr="00872680">
        <w:t>, et al</w:t>
      </w:r>
      <w:r w:rsidR="00114846">
        <w:t>.</w:t>
      </w:r>
      <w:r w:rsidR="00114846" w:rsidRPr="00872680">
        <w:t xml:space="preserve"> Prediction of operative mortality after valve replacement surgery. </w:t>
      </w:r>
      <w:r w:rsidR="00114846" w:rsidRPr="006A0B90">
        <w:rPr>
          <w:i/>
          <w:iCs/>
        </w:rPr>
        <w:t>J Am Coll Cardiol</w:t>
      </w:r>
      <w:r w:rsidR="00114846">
        <w:rPr>
          <w:i/>
          <w:iCs/>
        </w:rPr>
        <w:t>,</w:t>
      </w:r>
      <w:r w:rsidR="00114846">
        <w:t xml:space="preserve"> 2001,</w:t>
      </w:r>
      <w:r w:rsidR="00114846" w:rsidRPr="00872680">
        <w:t xml:space="preserve"> 37</w:t>
      </w:r>
      <w:r w:rsidR="00114846">
        <w:t xml:space="preserve">(3), p. </w:t>
      </w:r>
      <w:r w:rsidR="00114846" w:rsidRPr="00872680">
        <w:t>885</w:t>
      </w:r>
      <w:r w:rsidR="00114846">
        <w:t>-92</w:t>
      </w:r>
    </w:p>
    <w:p/>
    <w:p>
      <w:r w:rsidR="00114846" w:rsidRPr="00872680">
        <w:t>GHARAGOZLOO</w:t>
      </w:r>
      <w:r w:rsidR="00114846">
        <w:t>,</w:t>
      </w:r>
      <w:r w:rsidR="00114846" w:rsidRPr="00872680">
        <w:t xml:space="preserve"> F</w:t>
      </w:r>
      <w:r w:rsidR="00114846">
        <w:t>.</w:t>
      </w:r>
      <w:r w:rsidR="00114846" w:rsidRPr="00872680">
        <w:t>, MULLANY</w:t>
      </w:r>
      <w:r w:rsidR="00114846">
        <w:t>,</w:t>
      </w:r>
      <w:r w:rsidR="00114846" w:rsidRPr="00872680">
        <w:t xml:space="preserve"> CJ</w:t>
      </w:r>
      <w:r w:rsidR="00114846">
        <w:t>.</w:t>
      </w:r>
      <w:r w:rsidR="00114846" w:rsidRPr="00872680">
        <w:t>, ORSZULAK</w:t>
      </w:r>
      <w:r w:rsidR="00114846">
        <w:t>,</w:t>
      </w:r>
      <w:r w:rsidR="00114846" w:rsidRPr="00872680">
        <w:t xml:space="preserve"> TA</w:t>
      </w:r>
      <w:r w:rsidR="00114846">
        <w:t>.</w:t>
      </w:r>
      <w:r w:rsidR="00114846" w:rsidRPr="00872680">
        <w:t xml:space="preserve"> Early thrombotic stenosis of aortic bioprosthetic valves: report of two cases. </w:t>
      </w:r>
      <w:r w:rsidR="00114846" w:rsidRPr="00B310B7">
        <w:rPr>
          <w:i/>
          <w:iCs/>
        </w:rPr>
        <w:t>Mayo Clin Proc</w:t>
      </w:r>
      <w:r w:rsidR="00114846">
        <w:rPr>
          <w:i/>
          <w:iCs/>
        </w:rPr>
        <w:t>,</w:t>
      </w:r>
      <w:r w:rsidR="00114846">
        <w:t xml:space="preserve"> 2002,</w:t>
      </w:r>
      <w:r w:rsidR="00114846" w:rsidRPr="00872680">
        <w:t xml:space="preserve"> 68</w:t>
      </w:r>
      <w:r w:rsidR="00114846">
        <w:t xml:space="preserve">(7), p. </w:t>
      </w:r>
      <w:r w:rsidR="00114846" w:rsidRPr="00872680">
        <w:t>703</w:t>
      </w:r>
      <w:r w:rsidR="00114846">
        <w:t>-5</w:t>
      </w:r>
    </w:p>
    <w:p/>
    <w:p>
      <w:r w:rsidR="00114846" w:rsidRPr="00872680">
        <w:t>GOLDSMITH</w:t>
      </w:r>
      <w:r w:rsidR="00114846">
        <w:t>,</w:t>
      </w:r>
      <w:r w:rsidR="00114846" w:rsidRPr="00872680">
        <w:t xml:space="preserve"> I</w:t>
      </w:r>
      <w:r w:rsidR="00114846">
        <w:t>.</w:t>
      </w:r>
      <w:r w:rsidR="00114846" w:rsidRPr="00872680">
        <w:t>, LIP</w:t>
      </w:r>
      <w:r w:rsidR="00114846">
        <w:t>,</w:t>
      </w:r>
      <w:r w:rsidR="00114846" w:rsidRPr="00872680">
        <w:t xml:space="preserve"> GY</w:t>
      </w:r>
      <w:r w:rsidR="00114846">
        <w:t>.</w:t>
      </w:r>
      <w:r w:rsidR="00114846" w:rsidRPr="00872680">
        <w:t>, MUKUNDAN</w:t>
      </w:r>
      <w:r w:rsidR="00114846">
        <w:t>,</w:t>
      </w:r>
      <w:r w:rsidR="00114846" w:rsidRPr="00872680">
        <w:t xml:space="preserve"> S</w:t>
      </w:r>
      <w:r w:rsidR="00114846">
        <w:t>.</w:t>
      </w:r>
      <w:r w:rsidR="00114846" w:rsidRPr="00872680">
        <w:t>, ROSIN</w:t>
      </w:r>
      <w:r w:rsidR="00114846">
        <w:t>,</w:t>
      </w:r>
      <w:r w:rsidR="00114846" w:rsidRPr="00872680">
        <w:t xml:space="preserve"> MD</w:t>
      </w:r>
      <w:r w:rsidR="00114846">
        <w:t>.</w:t>
      </w:r>
      <w:r w:rsidR="00114846" w:rsidRPr="00872680">
        <w:t xml:space="preserve"> Experience with low-dose aspirin as thromboprophylaxis for the Tissuemed porcine aortic bioprosthesis: a survey of five years’ experience. </w:t>
      </w:r>
      <w:r w:rsidR="00114846" w:rsidRPr="00B310B7">
        <w:rPr>
          <w:i/>
          <w:iCs/>
        </w:rPr>
        <w:t>J Heart Valve Dis</w:t>
      </w:r>
      <w:r w:rsidR="00114846">
        <w:rPr>
          <w:i/>
          <w:iCs/>
        </w:rPr>
        <w:t>,</w:t>
      </w:r>
      <w:r w:rsidR="00114846">
        <w:t xml:space="preserve"> 1998, 7(5), p. </w:t>
      </w:r>
      <w:r w:rsidR="00114846" w:rsidRPr="00872680">
        <w:t>574</w:t>
      </w:r>
      <w:r w:rsidR="00114846">
        <w:t>-9</w:t>
      </w:r>
    </w:p>
    <w:p/>
    <w:p>
      <w:r w:rsidR="00114846" w:rsidRPr="00872680">
        <w:t>GONZALEZ-LAVIN</w:t>
      </w:r>
      <w:r w:rsidR="00114846">
        <w:t>,</w:t>
      </w:r>
      <w:r w:rsidR="00114846" w:rsidRPr="00872680">
        <w:t xml:space="preserve"> L</w:t>
      </w:r>
      <w:r w:rsidR="00114846">
        <w:t>.</w:t>
      </w:r>
      <w:r w:rsidR="00114846" w:rsidRPr="00872680">
        <w:t>, GONZALEZ-LAVIN</w:t>
      </w:r>
      <w:r w:rsidR="00114846">
        <w:t>,</w:t>
      </w:r>
      <w:r w:rsidR="00114846" w:rsidRPr="00872680">
        <w:t xml:space="preserve"> J</w:t>
      </w:r>
      <w:r w:rsidR="00114846">
        <w:t>.</w:t>
      </w:r>
      <w:r w:rsidR="00114846" w:rsidRPr="00872680">
        <w:t>, MCGRATH</w:t>
      </w:r>
      <w:r w:rsidR="00114846">
        <w:t>,</w:t>
      </w:r>
      <w:r w:rsidR="00114846" w:rsidRPr="00872680">
        <w:t xml:space="preserve"> LB</w:t>
      </w:r>
      <w:r w:rsidR="00114846">
        <w:t>., et al.</w:t>
      </w:r>
      <w:r w:rsidR="00114846" w:rsidRPr="00872680">
        <w:t xml:space="preserve"> Factors determining in-hospital or late survival after aortic valve replacement. </w:t>
      </w:r>
      <w:r w:rsidR="00114846" w:rsidRPr="00B310B7">
        <w:rPr>
          <w:i/>
          <w:iCs/>
        </w:rPr>
        <w:t>Chest</w:t>
      </w:r>
      <w:r w:rsidR="00114846">
        <w:rPr>
          <w:i/>
          <w:iCs/>
        </w:rPr>
        <w:t>,</w:t>
      </w:r>
      <w:r w:rsidR="00114846">
        <w:t xml:space="preserve"> 2002,</w:t>
      </w:r>
      <w:r w:rsidR="00114846" w:rsidRPr="00872680">
        <w:t xml:space="preserve"> 95</w:t>
      </w:r>
      <w:r w:rsidR="00114846">
        <w:t>, p. 38-45</w:t>
      </w:r>
    </w:p>
    <w:p/>
    <w:p>
      <w:r w:rsidR="00114846" w:rsidRPr="00872680">
        <w:t>GOTT</w:t>
      </w:r>
      <w:r w:rsidR="00114846">
        <w:t>,</w:t>
      </w:r>
      <w:r w:rsidR="00114846" w:rsidRPr="00872680">
        <w:t xml:space="preserve"> JP</w:t>
      </w:r>
      <w:r w:rsidR="00114846">
        <w:t>.</w:t>
      </w:r>
      <w:r w:rsidR="00114846" w:rsidRPr="00872680">
        <w:t>, GIRARDOT</w:t>
      </w:r>
      <w:r w:rsidR="00114846">
        <w:t>,</w:t>
      </w:r>
      <w:r w:rsidR="00114846" w:rsidRPr="00872680">
        <w:t xml:space="preserve"> M</w:t>
      </w:r>
      <w:r w:rsidR="00114846">
        <w:t>.</w:t>
      </w:r>
      <w:r w:rsidR="00114846" w:rsidRPr="00872680">
        <w:t>, GIRARDOT</w:t>
      </w:r>
      <w:r w:rsidR="00114846">
        <w:t xml:space="preserve">, </w:t>
      </w:r>
      <w:r w:rsidR="00114846" w:rsidRPr="00872680">
        <w:t xml:space="preserve"> J</w:t>
      </w:r>
      <w:r w:rsidR="00114846">
        <w:t>.</w:t>
      </w:r>
      <w:r w:rsidR="00114846" w:rsidRPr="00872680">
        <w:t>,</w:t>
      </w:r>
      <w:r w:rsidR="00114846">
        <w:t xml:space="preserve"> et al.</w:t>
      </w:r>
      <w:r w:rsidR="00114846" w:rsidRPr="00872680">
        <w:t xml:space="preserve"> Refinement of the alpha amino oleic acid bioprosthetic valve anticalcification technique. </w:t>
      </w:r>
      <w:r w:rsidR="00114846" w:rsidRPr="00B310B7">
        <w:rPr>
          <w:i/>
          <w:iCs/>
        </w:rPr>
        <w:t>Ann Thorac Surg</w:t>
      </w:r>
      <w:r w:rsidR="00114846">
        <w:rPr>
          <w:i/>
          <w:iCs/>
        </w:rPr>
        <w:t>,</w:t>
      </w:r>
      <w:r w:rsidR="00114846">
        <w:t xml:space="preserve"> 1997, 64, p. </w:t>
      </w:r>
      <w:r w:rsidR="00114846" w:rsidRPr="00872680">
        <w:t>50</w:t>
      </w:r>
      <w:r w:rsidR="00114846">
        <w:t>-8</w:t>
      </w:r>
    </w:p>
    <w:p/>
    <w:p>
      <w:r w:rsidR="00114846" w:rsidRPr="00872680">
        <w:t>GRUNKEMEIER</w:t>
      </w:r>
      <w:r w:rsidR="00114846">
        <w:t>,</w:t>
      </w:r>
      <w:r w:rsidR="00114846" w:rsidRPr="00872680">
        <w:t xml:space="preserve"> GL</w:t>
      </w:r>
      <w:r w:rsidR="00114846">
        <w:t>.</w:t>
      </w:r>
      <w:r w:rsidR="00114846" w:rsidRPr="00872680">
        <w:t>, WU</w:t>
      </w:r>
      <w:r w:rsidR="00114846">
        <w:t>,</w:t>
      </w:r>
      <w:r w:rsidR="00114846" w:rsidRPr="00872680">
        <w:t xml:space="preserve"> Y</w:t>
      </w:r>
      <w:r w:rsidR="00114846">
        <w:t>.</w:t>
      </w:r>
      <w:r w:rsidR="00114846" w:rsidRPr="00872680">
        <w:t xml:space="preserve"> Actual versus actuarial event-free percentages. </w:t>
      </w:r>
      <w:r w:rsidR="00114846" w:rsidRPr="00B310B7">
        <w:rPr>
          <w:i/>
          <w:iCs/>
        </w:rPr>
        <w:t>Ann Thorac Surg</w:t>
      </w:r>
      <w:r w:rsidR="00114846" w:rsidRPr="00872680">
        <w:t xml:space="preserve"> </w:t>
      </w:r>
      <w:r w:rsidR="00114846">
        <w:t xml:space="preserve">, 2001, 72, p. </w:t>
      </w:r>
      <w:r w:rsidR="00114846" w:rsidRPr="00872680">
        <w:t>677</w:t>
      </w:r>
      <w:r w:rsidR="00114846">
        <w:t>-71</w:t>
      </w:r>
    </w:p>
    <w:p/>
    <w:p>
      <w:r w:rsidR="00114846" w:rsidRPr="00872680">
        <w:t>HAIDER</w:t>
      </w:r>
      <w:r w:rsidR="00114846">
        <w:t>,</w:t>
      </w:r>
      <w:r w:rsidR="00114846" w:rsidRPr="00872680">
        <w:t xml:space="preserve"> AW</w:t>
      </w:r>
      <w:r w:rsidR="00114846">
        <w:t>.</w:t>
      </w:r>
      <w:r w:rsidR="00114846" w:rsidRPr="00872680">
        <w:t>, LARSON</w:t>
      </w:r>
      <w:r w:rsidR="00114846">
        <w:t>,</w:t>
      </w:r>
      <w:r w:rsidR="00114846" w:rsidRPr="00872680">
        <w:t xml:space="preserve"> MG</w:t>
      </w:r>
      <w:r w:rsidR="00114846">
        <w:t>.</w:t>
      </w:r>
      <w:r w:rsidR="00114846" w:rsidRPr="00872680">
        <w:t>, BENJAMIN</w:t>
      </w:r>
      <w:r w:rsidR="00114846">
        <w:t>,</w:t>
      </w:r>
      <w:r w:rsidR="00114846" w:rsidRPr="00872680">
        <w:t xml:space="preserve"> EJ</w:t>
      </w:r>
      <w:r w:rsidR="00114846">
        <w:t>.</w:t>
      </w:r>
      <w:r w:rsidR="00114846" w:rsidRPr="00872680">
        <w:t>, LEVY</w:t>
      </w:r>
      <w:r w:rsidR="00114846">
        <w:t>,</w:t>
      </w:r>
      <w:r w:rsidR="00114846" w:rsidRPr="00872680">
        <w:t xml:space="preserve"> D</w:t>
      </w:r>
      <w:r w:rsidR="00114846">
        <w:t>.</w:t>
      </w:r>
      <w:r w:rsidR="00114846" w:rsidRPr="00872680">
        <w:t xml:space="preserve"> Increased left ventricular mass and hypertrophy are associated with increased risk for sudden death. </w:t>
      </w:r>
      <w:r w:rsidR="00114846" w:rsidRPr="00B310B7">
        <w:rPr>
          <w:i/>
          <w:iCs/>
        </w:rPr>
        <w:t>J Am Coll Cardiol</w:t>
      </w:r>
      <w:r w:rsidR="00114846">
        <w:rPr>
          <w:i/>
          <w:iCs/>
        </w:rPr>
        <w:t>,</w:t>
      </w:r>
      <w:r w:rsidR="00114846">
        <w:t xml:space="preserve"> 1998, 32 (5), p. </w:t>
      </w:r>
      <w:r w:rsidR="00114846" w:rsidRPr="00872680">
        <w:t>1454</w:t>
      </w:r>
      <w:r w:rsidR="00114846">
        <w:t>-9</w:t>
      </w:r>
    </w:p>
    <w:p/>
    <w:p>
      <w:r w:rsidR="00114846" w:rsidRPr="004C446F">
        <w:t>HAMMERMEISTER</w:t>
      </w:r>
      <w:r w:rsidR="00114846">
        <w:t>,</w:t>
      </w:r>
      <w:r w:rsidR="00114846" w:rsidRPr="004C446F">
        <w:t xml:space="preserve"> K</w:t>
      </w:r>
      <w:r w:rsidR="00114846">
        <w:t>E.</w:t>
      </w:r>
      <w:r w:rsidR="00114846" w:rsidRPr="004C446F">
        <w:t>, SETHI</w:t>
      </w:r>
      <w:r w:rsidR="00114846">
        <w:t>,</w:t>
      </w:r>
      <w:r w:rsidR="00114846" w:rsidRPr="004C446F">
        <w:t xml:space="preserve"> GK</w:t>
      </w:r>
      <w:r w:rsidR="00114846">
        <w:t>.</w:t>
      </w:r>
      <w:r w:rsidR="00114846" w:rsidRPr="004C446F">
        <w:t>, HENDERSON</w:t>
      </w:r>
      <w:r w:rsidR="00114846">
        <w:t>,</w:t>
      </w:r>
      <w:r w:rsidR="00114846" w:rsidRPr="004C446F">
        <w:t xml:space="preserve"> WG</w:t>
      </w:r>
      <w:r w:rsidR="00114846">
        <w:t>., et al.</w:t>
      </w:r>
      <w:r w:rsidR="00114846" w:rsidRPr="004C446F">
        <w:t xml:space="preserve"> Outcomes 15 years after valve replacement with a mechanical versus a bioprosthetic valve: final report of the Veterans Affairs randomized trial. </w:t>
      </w:r>
      <w:r w:rsidR="00114846" w:rsidRPr="004C446F">
        <w:rPr>
          <w:i/>
          <w:iCs/>
        </w:rPr>
        <w:t>J Am Coll Cardiol</w:t>
      </w:r>
      <w:r w:rsidR="00114846">
        <w:t>, 2000,</w:t>
      </w:r>
      <w:r w:rsidR="00114846" w:rsidRPr="00872680">
        <w:t xml:space="preserve"> 36</w:t>
      </w:r>
      <w:r w:rsidR="00114846">
        <w:t xml:space="preserve">(4), p. </w:t>
      </w:r>
      <w:r w:rsidR="00114846" w:rsidRPr="00872680">
        <w:t>1152</w:t>
      </w:r>
      <w:r w:rsidR="00114846">
        <w:t>-8</w:t>
      </w:r>
    </w:p>
    <w:p/>
    <w:p>
      <w:r w:rsidR="00114846" w:rsidRPr="00872680">
        <w:t>HAMMERMEISTER</w:t>
      </w:r>
      <w:r w:rsidR="00114846">
        <w:t>,</w:t>
      </w:r>
      <w:r w:rsidR="00114846" w:rsidRPr="00872680">
        <w:t xml:space="preserve"> KE</w:t>
      </w:r>
      <w:r w:rsidR="00114846">
        <w:t>.</w:t>
      </w:r>
      <w:r w:rsidR="00114846" w:rsidRPr="00872680">
        <w:t>, SETHI</w:t>
      </w:r>
      <w:r w:rsidR="00114846">
        <w:t>,</w:t>
      </w:r>
      <w:r w:rsidR="00114846" w:rsidRPr="00872680">
        <w:t xml:space="preserve"> GK</w:t>
      </w:r>
      <w:r w:rsidR="00114846">
        <w:t>.</w:t>
      </w:r>
      <w:r w:rsidR="00114846" w:rsidRPr="00872680">
        <w:t>, HENDERSON</w:t>
      </w:r>
      <w:r w:rsidR="00114846">
        <w:t>,</w:t>
      </w:r>
      <w:r w:rsidR="00114846" w:rsidRPr="00872680">
        <w:t xml:space="preserve"> WG</w:t>
      </w:r>
      <w:r w:rsidR="00114846">
        <w:t>., et al.</w:t>
      </w:r>
      <w:r w:rsidR="00114846" w:rsidRPr="00872680">
        <w:t xml:space="preserve"> A comparison of outcomes in men 11 years after heart-valve replacement with a mechanical valve or bioprosthesis. Veterans Affairs Cooperative Study on Valvular Heart Disease. </w:t>
      </w:r>
      <w:r w:rsidR="00114846" w:rsidRPr="004C446F">
        <w:rPr>
          <w:i/>
          <w:iCs/>
        </w:rPr>
        <w:t>N Engl J Med</w:t>
      </w:r>
      <w:r w:rsidR="00114846">
        <w:t>, 1993,</w:t>
      </w:r>
      <w:r w:rsidR="00114846" w:rsidRPr="00872680">
        <w:t xml:space="preserve"> 328</w:t>
      </w:r>
      <w:r w:rsidR="00114846">
        <w:t xml:space="preserve">(18), p. </w:t>
      </w:r>
      <w:r w:rsidR="00114846" w:rsidRPr="00872680">
        <w:t>1289</w:t>
      </w:r>
      <w:r w:rsidR="00114846">
        <w:t>-96</w:t>
      </w:r>
    </w:p>
    <w:p/>
    <w:p>
      <w:r w:rsidR="00114846" w:rsidRPr="00872680">
        <w:t>HANAYAMA</w:t>
      </w:r>
      <w:r w:rsidR="00114846">
        <w:t>,</w:t>
      </w:r>
      <w:r w:rsidR="00114846" w:rsidRPr="00872680">
        <w:t xml:space="preserve"> N</w:t>
      </w:r>
      <w:r w:rsidR="00114846">
        <w:t>.</w:t>
      </w:r>
      <w:r w:rsidR="00114846" w:rsidRPr="00872680">
        <w:t>, CHRISTAKIS</w:t>
      </w:r>
      <w:r w:rsidR="00114846">
        <w:t>,</w:t>
      </w:r>
      <w:r w:rsidR="00114846" w:rsidRPr="00872680">
        <w:t xml:space="preserve"> GT</w:t>
      </w:r>
      <w:r w:rsidR="00114846">
        <w:t>.</w:t>
      </w:r>
      <w:r w:rsidR="00114846" w:rsidRPr="00872680">
        <w:t>, MALLIDI</w:t>
      </w:r>
      <w:r w:rsidR="00114846">
        <w:t>,</w:t>
      </w:r>
      <w:r w:rsidR="00114846" w:rsidRPr="00872680">
        <w:t xml:space="preserve"> HR</w:t>
      </w:r>
      <w:r w:rsidR="00114846">
        <w:t>., et al.</w:t>
      </w:r>
      <w:r w:rsidR="00114846" w:rsidRPr="00872680">
        <w:t xml:space="preserve"> Patient prosthesis mismatch is rare after aortic valve replacement: valve size may be irrelevant. </w:t>
      </w:r>
      <w:r w:rsidR="00114846" w:rsidRPr="004C446F">
        <w:rPr>
          <w:i/>
          <w:iCs/>
        </w:rPr>
        <w:t>Ann Thorac Surg</w:t>
      </w:r>
      <w:r w:rsidR="00114846">
        <w:rPr>
          <w:i/>
          <w:iCs/>
        </w:rPr>
        <w:t>,</w:t>
      </w:r>
      <w:r w:rsidR="00114846">
        <w:t xml:space="preserve"> 2002,</w:t>
      </w:r>
      <w:r w:rsidR="00114846" w:rsidRPr="00872680">
        <w:t xml:space="preserve"> 73</w:t>
      </w:r>
      <w:r w:rsidR="00114846">
        <w:t xml:space="preserve">(6), p. </w:t>
      </w:r>
      <w:r w:rsidR="00114846" w:rsidRPr="00872680">
        <w:t>1822</w:t>
      </w:r>
      <w:r w:rsidR="00114846">
        <w:t>-9</w:t>
      </w:r>
    </w:p>
    <w:p/>
    <w:p>
      <w:r w:rsidR="00114846" w:rsidRPr="00872680">
        <w:t>HERAS</w:t>
      </w:r>
      <w:r w:rsidR="00114846">
        <w:t>,</w:t>
      </w:r>
      <w:r w:rsidR="00114846" w:rsidRPr="00872680">
        <w:t xml:space="preserve"> M</w:t>
      </w:r>
      <w:r w:rsidR="00114846">
        <w:t>.</w:t>
      </w:r>
      <w:r w:rsidR="00114846" w:rsidRPr="00872680">
        <w:t>, CHESEBRO</w:t>
      </w:r>
      <w:r w:rsidR="00114846">
        <w:t>,</w:t>
      </w:r>
      <w:r w:rsidR="00114846" w:rsidRPr="00872680">
        <w:t xml:space="preserve"> JH</w:t>
      </w:r>
      <w:r w:rsidR="00114846">
        <w:t>.</w:t>
      </w:r>
      <w:r w:rsidR="00114846" w:rsidRPr="00872680">
        <w:t>, FUSTER</w:t>
      </w:r>
      <w:r w:rsidR="00114846">
        <w:t>,</w:t>
      </w:r>
      <w:r w:rsidR="00114846" w:rsidRPr="00872680">
        <w:t xml:space="preserve"> V</w:t>
      </w:r>
      <w:r w:rsidR="00114846">
        <w:t>.</w:t>
      </w:r>
      <w:r w:rsidR="00114846" w:rsidRPr="00872680">
        <w:t xml:space="preserve">, </w:t>
      </w:r>
      <w:r w:rsidR="00114846">
        <w:t>et al.</w:t>
      </w:r>
      <w:r w:rsidR="00114846" w:rsidRPr="00872680">
        <w:t xml:space="preserve"> High risk of thromboemboli early after bioprosthetic cardiac valve replacement. </w:t>
      </w:r>
      <w:r w:rsidR="00114846" w:rsidRPr="00C177D1">
        <w:rPr>
          <w:i/>
          <w:iCs/>
        </w:rPr>
        <w:t>J Am Coll Cardiol</w:t>
      </w:r>
      <w:r w:rsidR="00114846">
        <w:rPr>
          <w:i/>
          <w:iCs/>
        </w:rPr>
        <w:t>,</w:t>
      </w:r>
      <w:r w:rsidR="00114846" w:rsidRPr="00872680">
        <w:t xml:space="preserve"> 2002</w:t>
      </w:r>
      <w:r w:rsidR="00114846">
        <w:t>,</w:t>
      </w:r>
      <w:r w:rsidR="00114846" w:rsidRPr="00872680">
        <w:t xml:space="preserve"> 25</w:t>
      </w:r>
      <w:r w:rsidR="00114846">
        <w:t xml:space="preserve">(5), p. </w:t>
      </w:r>
      <w:r w:rsidR="00114846" w:rsidRPr="00872680">
        <w:t>1111</w:t>
      </w:r>
      <w:r w:rsidR="00114846">
        <w:t>-9</w:t>
      </w:r>
    </w:p>
    <w:p/>
    <w:p>
      <w:r w:rsidR="00114846" w:rsidRPr="00872680">
        <w:t>HILBERT</w:t>
      </w:r>
      <w:r w:rsidR="00114846">
        <w:t>,</w:t>
      </w:r>
      <w:r w:rsidR="00114846" w:rsidRPr="00872680">
        <w:t xml:space="preserve"> SL</w:t>
      </w:r>
      <w:r w:rsidR="00114846">
        <w:t>.</w:t>
      </w:r>
      <w:r w:rsidR="00114846" w:rsidRPr="00872680">
        <w:t>, BARRICK</w:t>
      </w:r>
      <w:r w:rsidR="00114846">
        <w:t>,</w:t>
      </w:r>
      <w:r w:rsidR="00114846" w:rsidRPr="00872680">
        <w:t xml:space="preserve"> MK</w:t>
      </w:r>
      <w:r w:rsidR="00114846">
        <w:t>.</w:t>
      </w:r>
      <w:r w:rsidR="00114846" w:rsidRPr="00872680">
        <w:t>, FERRANS</w:t>
      </w:r>
      <w:r w:rsidR="00114846">
        <w:t>,</w:t>
      </w:r>
      <w:r w:rsidR="00114846" w:rsidRPr="00872680">
        <w:t xml:space="preserve"> VJ</w:t>
      </w:r>
      <w:r w:rsidR="00114846">
        <w:t>.</w:t>
      </w:r>
      <w:r w:rsidR="00114846" w:rsidRPr="00872680">
        <w:t xml:space="preserve"> Porcine aortic valve bioprostheses: a morphologic comparison of the effects of fixation pressure. </w:t>
      </w:r>
      <w:r w:rsidR="00114846" w:rsidRPr="00C177D1">
        <w:rPr>
          <w:i/>
          <w:iCs/>
        </w:rPr>
        <w:t>J Biomed Mater Res</w:t>
      </w:r>
      <w:r w:rsidR="00114846">
        <w:t>, 1990,</w:t>
      </w:r>
      <w:r w:rsidR="00114846" w:rsidRPr="00872680">
        <w:t xml:space="preserve"> 24</w:t>
      </w:r>
      <w:r w:rsidR="00114846">
        <w:t xml:space="preserve">(6), p. </w:t>
      </w:r>
      <w:r w:rsidR="00114846" w:rsidRPr="00872680">
        <w:t>773</w:t>
      </w:r>
      <w:r w:rsidR="00114846">
        <w:t>-87</w:t>
      </w:r>
    </w:p>
    <w:p>
      <w:pPr>
        <w:rPr>
          <w:color w:val="000000"/>
        </w:rPr>
      </w:pPr>
    </w:p>
    <w:p>
      <w:pPr>
        <w:rPr>
          <w:color w:val="000000"/>
        </w:rPr>
      </w:pPr>
      <w:r w:rsidR="00114846" w:rsidRPr="00872680">
        <w:rPr>
          <w:color w:val="000000"/>
        </w:rPr>
        <w:t>HOWELL</w:t>
      </w:r>
      <w:r w:rsidR="00114846">
        <w:rPr>
          <w:color w:val="000000"/>
        </w:rPr>
        <w:t>,</w:t>
      </w:r>
      <w:r w:rsidR="00114846" w:rsidRPr="00872680">
        <w:rPr>
          <w:color w:val="000000"/>
        </w:rPr>
        <w:t xml:space="preserve"> NJ</w:t>
      </w:r>
      <w:r w:rsidR="00114846">
        <w:rPr>
          <w:color w:val="000000"/>
        </w:rPr>
        <w:t>.</w:t>
      </w:r>
      <w:r w:rsidR="00114846" w:rsidRPr="00872680">
        <w:rPr>
          <w:color w:val="000000"/>
        </w:rPr>
        <w:t>, KEOGH</w:t>
      </w:r>
      <w:r w:rsidR="00114846">
        <w:rPr>
          <w:color w:val="000000"/>
        </w:rPr>
        <w:t>,</w:t>
      </w:r>
      <w:r w:rsidR="00114846" w:rsidRPr="00872680">
        <w:rPr>
          <w:color w:val="000000"/>
        </w:rPr>
        <w:t xml:space="preserve"> BE</w:t>
      </w:r>
      <w:r w:rsidR="00114846">
        <w:rPr>
          <w:color w:val="000000"/>
        </w:rPr>
        <w:t>.</w:t>
      </w:r>
      <w:r w:rsidR="00114846" w:rsidRPr="00872680">
        <w:rPr>
          <w:color w:val="000000"/>
        </w:rPr>
        <w:t>, BARNET</w:t>
      </w:r>
      <w:r w:rsidR="00114846">
        <w:rPr>
          <w:color w:val="000000"/>
        </w:rPr>
        <w:t>,</w:t>
      </w:r>
      <w:r w:rsidR="00114846" w:rsidRPr="00872680">
        <w:rPr>
          <w:color w:val="000000"/>
        </w:rPr>
        <w:t xml:space="preserve"> V</w:t>
      </w:r>
      <w:r w:rsidR="00114846">
        <w:rPr>
          <w:color w:val="000000"/>
        </w:rPr>
        <w:t>.</w:t>
      </w:r>
      <w:r w:rsidR="00114846" w:rsidRPr="00872680">
        <w:rPr>
          <w:color w:val="000000"/>
        </w:rPr>
        <w:t>, BONSER</w:t>
      </w:r>
      <w:r w:rsidR="00114846">
        <w:rPr>
          <w:color w:val="000000"/>
        </w:rPr>
        <w:t>,</w:t>
      </w:r>
      <w:r w:rsidR="00114846" w:rsidRPr="00872680">
        <w:rPr>
          <w:color w:val="000000"/>
        </w:rPr>
        <w:t xml:space="preserve"> RS</w:t>
      </w:r>
      <w:r w:rsidR="00114846">
        <w:rPr>
          <w:color w:val="000000"/>
        </w:rPr>
        <w:t>.</w:t>
      </w:r>
      <w:r w:rsidR="00114846" w:rsidRPr="00872680">
        <w:rPr>
          <w:color w:val="000000"/>
        </w:rPr>
        <w:t>, GRAHAM</w:t>
      </w:r>
      <w:r w:rsidR="00114846">
        <w:rPr>
          <w:color w:val="000000"/>
        </w:rPr>
        <w:t>,</w:t>
      </w:r>
      <w:r w:rsidR="00114846" w:rsidRPr="00872680">
        <w:rPr>
          <w:color w:val="000000"/>
        </w:rPr>
        <w:t xml:space="preserve"> TR</w:t>
      </w:r>
      <w:r w:rsidR="00114846">
        <w:rPr>
          <w:color w:val="000000"/>
        </w:rPr>
        <w:t>.</w:t>
      </w:r>
      <w:r w:rsidR="00114846" w:rsidRPr="00872680">
        <w:rPr>
          <w:color w:val="000000"/>
        </w:rPr>
        <w:t xml:space="preserve">, et al. Patient-prosthesis mismatch does not affect survival following aortic valve replacement. </w:t>
      </w:r>
      <w:r w:rsidR="00114846" w:rsidRPr="00C177D1">
        <w:rPr>
          <w:i/>
          <w:color w:val="000000"/>
        </w:rPr>
        <w:t>Eur J Cardiothorac Surg</w:t>
      </w:r>
      <w:r w:rsidR="00114846">
        <w:rPr>
          <w:color w:val="000000"/>
        </w:rPr>
        <w:t>,</w:t>
      </w:r>
      <w:r w:rsidR="00114846" w:rsidRPr="00872680">
        <w:rPr>
          <w:color w:val="000000"/>
        </w:rPr>
        <w:t xml:space="preserve"> 2006</w:t>
      </w:r>
      <w:r w:rsidR="00114846">
        <w:rPr>
          <w:color w:val="000000"/>
          <w:lang w:val="en-US"/>
        </w:rPr>
        <w:t>,</w:t>
      </w:r>
      <w:r w:rsidR="00114846">
        <w:rPr>
          <w:color w:val="000000"/>
        </w:rPr>
        <w:t xml:space="preserve"> 30,</w:t>
      </w:r>
      <w:r w:rsidR="00114846" w:rsidRPr="00872680">
        <w:rPr>
          <w:color w:val="000000"/>
        </w:rPr>
        <w:t xml:space="preserve"> </w:t>
      </w:r>
      <w:r w:rsidR="00114846">
        <w:rPr>
          <w:color w:val="000000"/>
        </w:rPr>
        <w:t xml:space="preserve">p. </w:t>
      </w:r>
      <w:r w:rsidR="00114846" w:rsidRPr="00872680">
        <w:rPr>
          <w:color w:val="000000"/>
        </w:rPr>
        <w:t>10-14</w:t>
      </w:r>
    </w:p>
    <w:p/>
    <w:p>
      <w:r w:rsidR="00114846" w:rsidRPr="00872680">
        <w:t>CHRISTAKIS</w:t>
      </w:r>
      <w:r w:rsidR="00114846">
        <w:t>,</w:t>
      </w:r>
      <w:r w:rsidR="00114846" w:rsidRPr="00872680">
        <w:t xml:space="preserve"> GT</w:t>
      </w:r>
      <w:r w:rsidR="00114846">
        <w:t>.</w:t>
      </w:r>
      <w:r w:rsidR="00114846" w:rsidRPr="00872680">
        <w:t>, JOYNER</w:t>
      </w:r>
      <w:r w:rsidR="00114846">
        <w:t>,</w:t>
      </w:r>
      <w:r w:rsidR="00114846" w:rsidRPr="00872680">
        <w:t xml:space="preserve"> CD</w:t>
      </w:r>
      <w:r w:rsidR="00114846">
        <w:t>.</w:t>
      </w:r>
      <w:r w:rsidR="00114846" w:rsidRPr="00872680">
        <w:t>, MORGAN</w:t>
      </w:r>
      <w:r w:rsidR="00114846">
        <w:t>,</w:t>
      </w:r>
      <w:r w:rsidR="00114846" w:rsidRPr="00872680">
        <w:t xml:space="preserve"> CD</w:t>
      </w:r>
      <w:r w:rsidR="00114846">
        <w:t>.</w:t>
      </w:r>
      <w:r w:rsidR="00114846" w:rsidRPr="00872680">
        <w:t>,</w:t>
      </w:r>
      <w:r w:rsidR="00114846">
        <w:t xml:space="preserve"> et al.</w:t>
      </w:r>
      <w:r w:rsidR="00114846" w:rsidRPr="00872680">
        <w:t xml:space="preserve"> Left ventricular mass regression early after aortic valve replacement. </w:t>
      </w:r>
      <w:r w:rsidR="00114846" w:rsidRPr="00C177D1">
        <w:rPr>
          <w:i/>
          <w:iCs/>
        </w:rPr>
        <w:t>Ann Thorac Surg</w:t>
      </w:r>
      <w:r w:rsidR="00114846">
        <w:rPr>
          <w:i/>
          <w:iCs/>
        </w:rPr>
        <w:t>,</w:t>
      </w:r>
      <w:r w:rsidR="00114846">
        <w:t xml:space="preserve"> 1996,</w:t>
      </w:r>
      <w:r w:rsidR="00114846" w:rsidRPr="00872680">
        <w:t xml:space="preserve"> 62</w:t>
      </w:r>
      <w:r w:rsidR="00114846">
        <w:t xml:space="preserve"> (4), p.</w:t>
      </w:r>
      <w:r w:rsidR="00114846" w:rsidRPr="00872680">
        <w:t>1084</w:t>
      </w:r>
      <w:r w:rsidR="00114846">
        <w:t>-9</w:t>
      </w:r>
    </w:p>
    <w:p/>
    <w:p>
      <w:r w:rsidR="00114846" w:rsidRPr="00872680">
        <w:t>CHRISTIE</w:t>
      </w:r>
      <w:r w:rsidR="00114846">
        <w:t>,</w:t>
      </w:r>
      <w:r w:rsidR="00114846" w:rsidRPr="00872680">
        <w:t xml:space="preserve"> GW</w:t>
      </w:r>
      <w:r w:rsidR="00114846">
        <w:t>.</w:t>
      </w:r>
      <w:r w:rsidR="00114846" w:rsidRPr="00872680">
        <w:t>, GROSS</w:t>
      </w:r>
      <w:r w:rsidR="00114846">
        <w:t>,</w:t>
      </w:r>
      <w:r w:rsidR="00114846" w:rsidRPr="00872680">
        <w:t xml:space="preserve"> JF</w:t>
      </w:r>
      <w:r w:rsidR="00114846">
        <w:t>.</w:t>
      </w:r>
      <w:r w:rsidR="00114846" w:rsidRPr="00872680">
        <w:t>, EBERHARDT</w:t>
      </w:r>
      <w:r w:rsidR="00114846">
        <w:t>,</w:t>
      </w:r>
      <w:r w:rsidR="00114846" w:rsidRPr="00872680">
        <w:t xml:space="preserve"> CE</w:t>
      </w:r>
      <w:r w:rsidR="00114846">
        <w:t>.</w:t>
      </w:r>
      <w:r w:rsidR="00114846" w:rsidRPr="00872680">
        <w:t xml:space="preserve"> Fatigue-induced changes to the biaxial mechanical properties of glutaraldehyde-fixed porcine aortic valve leaflets. </w:t>
      </w:r>
      <w:r w:rsidR="00114846" w:rsidRPr="00C177D1">
        <w:rPr>
          <w:i/>
          <w:iCs/>
        </w:rPr>
        <w:t>Semin Thorac Cardiovasc Surg</w:t>
      </w:r>
      <w:r w:rsidR="00114846">
        <w:t xml:space="preserve">, 1999, 11(4 Suppl 1), p. </w:t>
      </w:r>
      <w:r w:rsidR="00114846" w:rsidRPr="00872680">
        <w:t>201</w:t>
      </w:r>
      <w:r w:rsidR="00114846">
        <w:t>-5</w:t>
      </w:r>
    </w:p>
    <w:p/>
    <w:p>
      <w:r w:rsidR="00114846" w:rsidRPr="00872680">
        <w:t>IUNG</w:t>
      </w:r>
      <w:r w:rsidR="00114846">
        <w:t>,</w:t>
      </w:r>
      <w:r w:rsidR="00114846" w:rsidRPr="00872680">
        <w:t xml:space="preserve"> B</w:t>
      </w:r>
      <w:r w:rsidR="00114846">
        <w:t>.</w:t>
      </w:r>
      <w:r w:rsidR="00114846" w:rsidRPr="00872680">
        <w:t>, GOHLKE-BÄRWOLF</w:t>
      </w:r>
      <w:r w:rsidR="00114846">
        <w:t>,</w:t>
      </w:r>
      <w:r w:rsidR="00114846" w:rsidRPr="00872680">
        <w:t xml:space="preserve"> C</w:t>
      </w:r>
      <w:r w:rsidR="00114846">
        <w:t>.</w:t>
      </w:r>
      <w:r w:rsidR="00114846" w:rsidRPr="00872680">
        <w:t>, TORNOS</w:t>
      </w:r>
      <w:r w:rsidR="00114846">
        <w:t>,</w:t>
      </w:r>
      <w:r w:rsidR="00114846" w:rsidRPr="00872680">
        <w:t xml:space="preserve"> P</w:t>
      </w:r>
      <w:r w:rsidR="00114846">
        <w:t>.</w:t>
      </w:r>
      <w:r w:rsidR="00114846" w:rsidRPr="00872680">
        <w:t xml:space="preserve">, et al. Recommendations on the management of the asymptomatic patient with valvular heart disease. </w:t>
      </w:r>
      <w:r w:rsidR="00114846" w:rsidRPr="00C177D1">
        <w:rPr>
          <w:i/>
        </w:rPr>
        <w:t>Eur Heart J</w:t>
      </w:r>
      <w:r w:rsidR="00114846">
        <w:t xml:space="preserve"> 2002, </w:t>
      </w:r>
      <w:r w:rsidR="00114846" w:rsidRPr="00872680">
        <w:t>23</w:t>
      </w:r>
      <w:r w:rsidR="00114846">
        <w:t>, p. 1253–66</w:t>
      </w:r>
    </w:p>
    <w:p/>
    <w:p>
      <w:r w:rsidR="00114846" w:rsidRPr="00872680">
        <w:t>IVERT</w:t>
      </w:r>
      <w:r w:rsidR="00114846">
        <w:t>,</w:t>
      </w:r>
      <w:r w:rsidR="00114846" w:rsidRPr="00872680">
        <w:t xml:space="preserve"> TS</w:t>
      </w:r>
      <w:r w:rsidR="00114846">
        <w:t>.</w:t>
      </w:r>
      <w:r w:rsidR="00114846" w:rsidRPr="00872680">
        <w:t>, DISMUKES</w:t>
      </w:r>
      <w:r w:rsidR="00114846">
        <w:t>,</w:t>
      </w:r>
      <w:r w:rsidR="00114846" w:rsidRPr="00872680">
        <w:t xml:space="preserve"> WE</w:t>
      </w:r>
      <w:r w:rsidR="00114846">
        <w:t>.</w:t>
      </w:r>
      <w:r w:rsidR="00114846" w:rsidRPr="00872680">
        <w:t>, COBBS</w:t>
      </w:r>
      <w:r w:rsidR="00114846">
        <w:t>,</w:t>
      </w:r>
      <w:r w:rsidR="00114846" w:rsidRPr="00872680">
        <w:t xml:space="preserve"> CG</w:t>
      </w:r>
      <w:r w:rsidR="00114846">
        <w:t>., et al.</w:t>
      </w:r>
      <w:r w:rsidR="00114846" w:rsidRPr="00872680">
        <w:t xml:space="preserve"> Prosthetic valve endocarditis. </w:t>
      </w:r>
      <w:r w:rsidR="00114846" w:rsidRPr="00C177D1">
        <w:rPr>
          <w:i/>
          <w:iCs/>
        </w:rPr>
        <w:t>Circulation</w:t>
      </w:r>
      <w:r w:rsidR="00114846">
        <w:rPr>
          <w:iCs/>
        </w:rPr>
        <w:t>,</w:t>
      </w:r>
      <w:r w:rsidR="00114846">
        <w:t xml:space="preserve"> 2002, 69, p. </w:t>
      </w:r>
      <w:r w:rsidR="00114846" w:rsidRPr="00872680">
        <w:t>223</w:t>
      </w:r>
      <w:r w:rsidR="00114846">
        <w:t>-8</w:t>
      </w:r>
    </w:p>
    <w:p/>
    <w:p>
      <w:r w:rsidR="00114846" w:rsidRPr="00872680">
        <w:t>JAMIESON</w:t>
      </w:r>
      <w:r w:rsidR="00114846">
        <w:t>,</w:t>
      </w:r>
      <w:r w:rsidR="00114846" w:rsidRPr="00872680">
        <w:t xml:space="preserve"> WR</w:t>
      </w:r>
      <w:r w:rsidR="00114846">
        <w:t>.</w:t>
      </w:r>
      <w:r w:rsidR="00114846" w:rsidRPr="00872680">
        <w:t>, FRADET</w:t>
      </w:r>
      <w:r w:rsidR="00114846">
        <w:t>,</w:t>
      </w:r>
      <w:r w:rsidR="00114846" w:rsidRPr="00872680">
        <w:t xml:space="preserve"> GJ</w:t>
      </w:r>
      <w:r w:rsidR="00114846">
        <w:t>.</w:t>
      </w:r>
      <w:r w:rsidR="00114846" w:rsidRPr="00872680">
        <w:t>, MACNAB</w:t>
      </w:r>
      <w:r w:rsidR="00114846">
        <w:t>,</w:t>
      </w:r>
      <w:r w:rsidR="00114846" w:rsidRPr="00872680">
        <w:t xml:space="preserve"> JS</w:t>
      </w:r>
      <w:r w:rsidR="00114846">
        <w:t>., et al.</w:t>
      </w:r>
      <w:r w:rsidR="00114846" w:rsidRPr="00872680">
        <w:t xml:space="preserve"> Medtronic mosaic porcine bioprosthesis: investigational center experience to six years. </w:t>
      </w:r>
      <w:r w:rsidR="00114846" w:rsidRPr="00C177D1">
        <w:rPr>
          <w:i/>
          <w:iCs/>
        </w:rPr>
        <w:t>J Heart Valve Dis</w:t>
      </w:r>
      <w:r w:rsidR="00114846">
        <w:rPr>
          <w:i/>
          <w:iCs/>
        </w:rPr>
        <w:t>,</w:t>
      </w:r>
      <w:r w:rsidR="00114846">
        <w:t xml:space="preserve"> 2005, 14(1), p. </w:t>
      </w:r>
      <w:r w:rsidR="00114846" w:rsidRPr="00872680">
        <w:t>54</w:t>
      </w:r>
      <w:r w:rsidR="00114846">
        <w:t>-63</w:t>
      </w:r>
    </w:p>
    <w:p/>
    <w:p>
      <w:r w:rsidR="00114846" w:rsidRPr="00872680">
        <w:t>KHAN</w:t>
      </w:r>
      <w:r w:rsidR="00114846">
        <w:t>,</w:t>
      </w:r>
      <w:r w:rsidR="00114846" w:rsidRPr="00872680">
        <w:t xml:space="preserve"> SS</w:t>
      </w:r>
      <w:r w:rsidR="00114846">
        <w:t>.</w:t>
      </w:r>
      <w:r w:rsidR="00114846" w:rsidRPr="00872680">
        <w:t>, SIEGEL</w:t>
      </w:r>
      <w:r w:rsidR="00114846">
        <w:t>,</w:t>
      </w:r>
      <w:r w:rsidR="00114846" w:rsidRPr="00872680">
        <w:t xml:space="preserve"> RJ</w:t>
      </w:r>
      <w:r w:rsidR="00114846">
        <w:t>.</w:t>
      </w:r>
      <w:r w:rsidR="00114846" w:rsidRPr="00872680">
        <w:t>, DEROBERTIS</w:t>
      </w:r>
      <w:r w:rsidR="00114846">
        <w:t>,</w:t>
      </w:r>
      <w:r w:rsidR="00114846" w:rsidRPr="00872680">
        <w:t xml:space="preserve"> MA</w:t>
      </w:r>
      <w:r w:rsidR="00114846">
        <w:t>.</w:t>
      </w:r>
      <w:r w:rsidR="00114846" w:rsidRPr="00872680">
        <w:t xml:space="preserve">, </w:t>
      </w:r>
      <w:r w:rsidR="00114846">
        <w:t>et al.</w:t>
      </w:r>
      <w:r w:rsidR="00114846" w:rsidRPr="00872680">
        <w:t xml:space="preserve"> Regression of hypertrophy after Carpentier-Edwards pericardial aortic valve replacement. </w:t>
      </w:r>
      <w:r w:rsidR="00114846" w:rsidRPr="001351DF">
        <w:rPr>
          <w:i/>
          <w:iCs/>
        </w:rPr>
        <w:t>Ann Thorac Surg</w:t>
      </w:r>
      <w:r w:rsidR="00114846">
        <w:rPr>
          <w:i/>
          <w:iCs/>
        </w:rPr>
        <w:t>,</w:t>
      </w:r>
      <w:r w:rsidR="00114846">
        <w:t xml:space="preserve"> 2000,</w:t>
      </w:r>
      <w:r w:rsidR="00114846" w:rsidRPr="00872680">
        <w:t xml:space="preserve"> 69</w:t>
      </w:r>
      <w:r w:rsidR="00114846">
        <w:t xml:space="preserve">(2), p. </w:t>
      </w:r>
      <w:r w:rsidR="00114846" w:rsidRPr="00872680">
        <w:t>531</w:t>
      </w:r>
      <w:r w:rsidR="00114846">
        <w:t>-5</w:t>
      </w:r>
    </w:p>
    <w:p/>
    <w:p>
      <w:r w:rsidR="00114846" w:rsidRPr="00872680">
        <w:t>KONNO</w:t>
      </w:r>
      <w:r w:rsidR="00114846">
        <w:t>,</w:t>
      </w:r>
      <w:r w:rsidR="00114846" w:rsidRPr="00872680">
        <w:t xml:space="preserve"> S</w:t>
      </w:r>
      <w:r w:rsidR="00114846">
        <w:t>.</w:t>
      </w:r>
      <w:r w:rsidR="00114846" w:rsidRPr="00872680">
        <w:t>, IMAI</w:t>
      </w:r>
      <w:r w:rsidR="00114846">
        <w:t>,</w:t>
      </w:r>
      <w:r w:rsidR="00114846" w:rsidRPr="00872680">
        <w:t xml:space="preserve"> Y</w:t>
      </w:r>
      <w:r w:rsidR="00114846">
        <w:t>.</w:t>
      </w:r>
      <w:r w:rsidR="00114846" w:rsidRPr="00872680">
        <w:t>, IIDA</w:t>
      </w:r>
      <w:r w:rsidR="00114846">
        <w:t>,</w:t>
      </w:r>
      <w:r w:rsidR="00114846" w:rsidRPr="00872680">
        <w:t xml:space="preserve"> Y</w:t>
      </w:r>
      <w:r w:rsidR="00114846">
        <w:t>.</w:t>
      </w:r>
      <w:r w:rsidR="00114846" w:rsidRPr="00872680">
        <w:t>,</w:t>
      </w:r>
      <w:r w:rsidR="00114846">
        <w:t xml:space="preserve"> et al.</w:t>
      </w:r>
      <w:r w:rsidR="00114846" w:rsidRPr="00872680">
        <w:t xml:space="preserve"> A new method for prosthetic valve replacement in congenital aortic stenosis associated with hypoplasia of the aortic valve ring. </w:t>
      </w:r>
      <w:r w:rsidR="00114846" w:rsidRPr="001351DF">
        <w:rPr>
          <w:i/>
          <w:iCs/>
        </w:rPr>
        <w:t>J Thorac Cardiovasc Surg</w:t>
      </w:r>
      <w:r w:rsidR="00114846">
        <w:t>, 1975,</w:t>
      </w:r>
      <w:r w:rsidR="00114846" w:rsidRPr="00872680">
        <w:t xml:space="preserve"> 70</w:t>
      </w:r>
      <w:r w:rsidR="00114846">
        <w:t xml:space="preserve">(5), p. </w:t>
      </w:r>
      <w:r w:rsidR="00114846" w:rsidRPr="00872680">
        <w:t>909</w:t>
      </w:r>
      <w:r w:rsidR="00114846">
        <w:t>-17</w:t>
      </w:r>
    </w:p>
    <w:p/>
    <w:p>
      <w:r w:rsidR="00114846" w:rsidRPr="00872680">
        <w:t>KUHL</w:t>
      </w:r>
      <w:r w:rsidR="00114846">
        <w:t>,</w:t>
      </w:r>
      <w:r w:rsidR="00114846" w:rsidRPr="00872680">
        <w:t xml:space="preserve"> HP</w:t>
      </w:r>
      <w:r w:rsidR="00114846">
        <w:t>.</w:t>
      </w:r>
      <w:r w:rsidR="00114846" w:rsidRPr="00872680">
        <w:t>, FRANKE</w:t>
      </w:r>
      <w:r w:rsidR="00114846">
        <w:t>,</w:t>
      </w:r>
      <w:r w:rsidR="00114846" w:rsidRPr="00872680">
        <w:t xml:space="preserve"> A</w:t>
      </w:r>
      <w:r w:rsidR="00114846">
        <w:t>.</w:t>
      </w:r>
      <w:r w:rsidR="00114846" w:rsidRPr="00872680">
        <w:t>, PUSCHMANN</w:t>
      </w:r>
      <w:r w:rsidR="00114846">
        <w:t>,</w:t>
      </w:r>
      <w:r w:rsidR="00114846" w:rsidRPr="00872680">
        <w:t xml:space="preserve"> D</w:t>
      </w:r>
      <w:r w:rsidR="00114846">
        <w:t>., et al.</w:t>
      </w:r>
      <w:r w:rsidR="00114846" w:rsidRPr="00872680">
        <w:t xml:space="preserve"> Regression of left ventricular mass one year after aortic valve replacement for pure severe aortic stenosis. </w:t>
      </w:r>
      <w:r w:rsidR="00114846" w:rsidRPr="001351DF">
        <w:rPr>
          <w:i/>
          <w:iCs/>
        </w:rPr>
        <w:t>Am J Cardiol</w:t>
      </w:r>
      <w:r w:rsidR="00114846">
        <w:rPr>
          <w:i/>
          <w:iCs/>
        </w:rPr>
        <w:t>,</w:t>
      </w:r>
      <w:r w:rsidR="00114846">
        <w:t xml:space="preserve"> 2002,</w:t>
      </w:r>
      <w:r w:rsidR="00114846" w:rsidRPr="00872680">
        <w:t xml:space="preserve"> 89</w:t>
      </w:r>
      <w:r w:rsidR="00114846">
        <w:t xml:space="preserve">(4), p. </w:t>
      </w:r>
      <w:r w:rsidR="00114846" w:rsidRPr="00872680">
        <w:t>408</w:t>
      </w:r>
      <w:r w:rsidR="00114846">
        <w:t>-13</w:t>
      </w:r>
    </w:p>
    <w:p/>
    <w:p>
      <w:r w:rsidR="00114846" w:rsidRPr="00872680">
        <w:t>LOKE</w:t>
      </w:r>
      <w:r w:rsidR="00114846">
        <w:t>,</w:t>
      </w:r>
      <w:r w:rsidR="00114846" w:rsidRPr="00872680">
        <w:t xml:space="preserve"> YK</w:t>
      </w:r>
      <w:r w:rsidR="00114846">
        <w:t>.</w:t>
      </w:r>
      <w:r w:rsidR="00114846" w:rsidRPr="00872680">
        <w:t>, DERRY</w:t>
      </w:r>
      <w:r w:rsidR="00114846">
        <w:t>,</w:t>
      </w:r>
      <w:r w:rsidR="00114846" w:rsidRPr="00872680">
        <w:t xml:space="preserve"> S</w:t>
      </w:r>
      <w:r w:rsidR="00114846">
        <w:t>.</w:t>
      </w:r>
      <w:r w:rsidR="00114846" w:rsidRPr="00872680">
        <w:t>, PRITCHARD-COPLEY</w:t>
      </w:r>
      <w:r w:rsidR="00114846">
        <w:t>,</w:t>
      </w:r>
      <w:r w:rsidR="00114846" w:rsidRPr="00872680">
        <w:t xml:space="preserve"> A</w:t>
      </w:r>
      <w:r w:rsidR="00114846">
        <w:t>.</w:t>
      </w:r>
      <w:r w:rsidR="00114846" w:rsidRPr="00872680">
        <w:t xml:space="preserve"> Appetite suppressants and valvular heart disease - a systematic review. </w:t>
      </w:r>
      <w:r w:rsidR="00114846" w:rsidRPr="001351DF">
        <w:rPr>
          <w:i/>
          <w:iCs/>
        </w:rPr>
        <w:t>BMC Clin Pharmacol</w:t>
      </w:r>
      <w:r w:rsidR="00114846">
        <w:rPr>
          <w:i/>
          <w:iCs/>
        </w:rPr>
        <w:t>,</w:t>
      </w:r>
      <w:r w:rsidR="00114846" w:rsidRPr="00872680">
        <w:t xml:space="preserve"> 2002</w:t>
      </w:r>
      <w:r w:rsidR="00114846">
        <w:t>, 23, 2:6</w:t>
      </w:r>
    </w:p>
    <w:p/>
    <w:p>
      <w:r w:rsidR="00114846" w:rsidRPr="00872680">
        <w:t>LUND</w:t>
      </w:r>
      <w:r w:rsidR="00114846">
        <w:t>,</w:t>
      </w:r>
      <w:r w:rsidR="00114846" w:rsidRPr="00872680">
        <w:t xml:space="preserve"> O</w:t>
      </w:r>
      <w:r w:rsidR="00114846">
        <w:t>.</w:t>
      </w:r>
      <w:r w:rsidR="00114846" w:rsidRPr="00872680">
        <w:t>, NIELSEN</w:t>
      </w:r>
      <w:r w:rsidR="00114846">
        <w:t>,</w:t>
      </w:r>
      <w:r w:rsidR="00114846" w:rsidRPr="00872680">
        <w:t xml:space="preserve"> TT</w:t>
      </w:r>
      <w:r w:rsidR="00114846">
        <w:t>.</w:t>
      </w:r>
      <w:r w:rsidR="00114846" w:rsidRPr="00872680">
        <w:t>, EMMERTSEN</w:t>
      </w:r>
      <w:r w:rsidR="00114846">
        <w:t>,</w:t>
      </w:r>
      <w:r w:rsidR="00114846" w:rsidRPr="00872680">
        <w:t xml:space="preserve"> K</w:t>
      </w:r>
      <w:r w:rsidR="00114846">
        <w:t>.</w:t>
      </w:r>
      <w:r w:rsidR="00114846" w:rsidRPr="00872680">
        <w:t>,</w:t>
      </w:r>
      <w:r w:rsidR="00114846">
        <w:t xml:space="preserve"> et al.</w:t>
      </w:r>
      <w:r w:rsidR="00114846" w:rsidRPr="00872680">
        <w:t xml:space="preserve"> Mortality and worsening of prognostic profile during waiting time for valve replacement in aortic stenosis. </w:t>
      </w:r>
      <w:r w:rsidR="00114846" w:rsidRPr="001351DF">
        <w:rPr>
          <w:i/>
          <w:iCs/>
        </w:rPr>
        <w:t>Thorac Cardiovasc Surg</w:t>
      </w:r>
      <w:r w:rsidR="00114846">
        <w:rPr>
          <w:i/>
          <w:iCs/>
        </w:rPr>
        <w:t>,</w:t>
      </w:r>
      <w:r w:rsidR="00114846" w:rsidRPr="00872680">
        <w:t xml:space="preserve"> 1996</w:t>
      </w:r>
      <w:r w:rsidR="00114846">
        <w:t>,</w:t>
      </w:r>
      <w:r w:rsidR="00114846" w:rsidRPr="00872680">
        <w:t xml:space="preserve"> 44</w:t>
      </w:r>
      <w:r w:rsidR="00114846">
        <w:t>(6), p. 289-95</w:t>
      </w:r>
    </w:p>
    <w:p/>
    <w:p>
      <w:r w:rsidR="00114846" w:rsidRPr="00872680">
        <w:t>MANOUGUIAN</w:t>
      </w:r>
      <w:r w:rsidR="00114846">
        <w:t>,</w:t>
      </w:r>
      <w:r w:rsidR="00114846" w:rsidRPr="00872680">
        <w:t xml:space="preserve"> S</w:t>
      </w:r>
      <w:r w:rsidR="00114846">
        <w:t>.</w:t>
      </w:r>
      <w:r w:rsidR="00114846" w:rsidRPr="00872680">
        <w:t>, SEYBOLD-EPTING</w:t>
      </w:r>
      <w:r w:rsidR="00114846">
        <w:t>,</w:t>
      </w:r>
      <w:r w:rsidR="00114846" w:rsidRPr="00872680">
        <w:t xml:space="preserve"> W</w:t>
      </w:r>
      <w:r w:rsidR="00114846">
        <w:t>.</w:t>
      </w:r>
      <w:r w:rsidR="00114846" w:rsidRPr="00872680">
        <w:t xml:space="preserve"> Patch enlargement of the aortic valve ring by extending the aortic incision into the anterior mitral leaflet. New operative technique. </w:t>
      </w:r>
      <w:r w:rsidR="00114846" w:rsidRPr="001351DF">
        <w:rPr>
          <w:i/>
          <w:iCs/>
        </w:rPr>
        <w:t>J Thorac Cardiovasc Surg</w:t>
      </w:r>
      <w:r w:rsidR="00114846">
        <w:t>, 1979,</w:t>
      </w:r>
      <w:r w:rsidR="00114846" w:rsidRPr="00872680">
        <w:t xml:space="preserve"> 78</w:t>
      </w:r>
      <w:r w:rsidR="00114846">
        <w:t xml:space="preserve">(3), p. </w:t>
      </w:r>
      <w:r w:rsidR="00114846" w:rsidRPr="00872680">
        <w:t>402</w:t>
      </w:r>
      <w:r w:rsidR="00114846">
        <w:t>-12</w:t>
      </w:r>
    </w:p>
    <w:p>
      <w:pPr>
        <w:rPr>
          <w:color w:val="000000"/>
        </w:rPr>
      </w:pPr>
    </w:p>
    <w:p>
      <w:pPr>
        <w:rPr>
          <w:color w:val="000000"/>
        </w:rPr>
      </w:pPr>
      <w:r w:rsidR="00114846" w:rsidRPr="00872680">
        <w:rPr>
          <w:color w:val="000000"/>
        </w:rPr>
        <w:t>MAYUMI</w:t>
      </w:r>
      <w:r w:rsidR="00114846">
        <w:rPr>
          <w:color w:val="000000"/>
        </w:rPr>
        <w:t>,</w:t>
      </w:r>
      <w:r w:rsidR="00114846" w:rsidRPr="00872680">
        <w:rPr>
          <w:color w:val="000000"/>
        </w:rPr>
        <w:t xml:space="preserve"> H</w:t>
      </w:r>
      <w:r w:rsidR="00114846">
        <w:rPr>
          <w:color w:val="000000"/>
        </w:rPr>
        <w:t>.</w:t>
      </w:r>
      <w:r w:rsidR="00114846" w:rsidRPr="00872680">
        <w:rPr>
          <w:color w:val="000000"/>
        </w:rPr>
        <w:t>, TOSHIMA</w:t>
      </w:r>
      <w:r w:rsidR="00114846">
        <w:rPr>
          <w:color w:val="000000"/>
        </w:rPr>
        <w:t>,</w:t>
      </w:r>
      <w:r w:rsidR="00114846" w:rsidRPr="00872680">
        <w:rPr>
          <w:color w:val="000000"/>
        </w:rPr>
        <w:t xml:space="preserve"> Y</w:t>
      </w:r>
      <w:r w:rsidR="00114846">
        <w:rPr>
          <w:color w:val="000000"/>
        </w:rPr>
        <w:t>.</w:t>
      </w:r>
      <w:r w:rsidR="00114846" w:rsidRPr="00872680">
        <w:rPr>
          <w:color w:val="000000"/>
        </w:rPr>
        <w:t>, KAWACHI</w:t>
      </w:r>
      <w:r w:rsidR="00114846">
        <w:rPr>
          <w:color w:val="000000"/>
        </w:rPr>
        <w:t>,</w:t>
      </w:r>
      <w:r w:rsidR="00114846" w:rsidRPr="00872680">
        <w:rPr>
          <w:color w:val="000000"/>
        </w:rPr>
        <w:t xml:space="preserve"> Y</w:t>
      </w:r>
      <w:r w:rsidR="00114846">
        <w:rPr>
          <w:color w:val="000000"/>
        </w:rPr>
        <w:t>., et al.</w:t>
      </w:r>
      <w:r w:rsidR="00114846" w:rsidRPr="00872680">
        <w:rPr>
          <w:color w:val="000000"/>
        </w:rPr>
        <w:t xml:space="preserve"> Simplified Manouguian's aortic annular enlargement for aortic valve replacement. </w:t>
      </w:r>
      <w:r w:rsidR="00114846" w:rsidRPr="001351DF">
        <w:rPr>
          <w:i/>
          <w:color w:val="000000"/>
        </w:rPr>
        <w:t>Ann Thorac Surg</w:t>
      </w:r>
      <w:r w:rsidR="00114846">
        <w:rPr>
          <w:i/>
          <w:color w:val="000000"/>
        </w:rPr>
        <w:t>,</w:t>
      </w:r>
      <w:r w:rsidR="00114846">
        <w:rPr>
          <w:color w:val="000000"/>
        </w:rPr>
        <w:t xml:space="preserve"> 1995, 60, p. </w:t>
      </w:r>
      <w:r w:rsidR="00114846" w:rsidRPr="00872680">
        <w:rPr>
          <w:color w:val="000000"/>
        </w:rPr>
        <w:t>701</w:t>
      </w:r>
      <w:r w:rsidR="00114846">
        <w:rPr>
          <w:color w:val="000000"/>
        </w:rPr>
        <w:t>-5</w:t>
      </w:r>
    </w:p>
    <w:p/>
    <w:p>
      <w:r w:rsidR="00114846" w:rsidRPr="00872680">
        <w:t>MEDALION</w:t>
      </w:r>
      <w:r w:rsidR="00114846">
        <w:t>,</w:t>
      </w:r>
      <w:r w:rsidR="00114846" w:rsidRPr="00872680">
        <w:t xml:space="preserve"> B</w:t>
      </w:r>
      <w:r w:rsidR="00114846">
        <w:t>.</w:t>
      </w:r>
      <w:r w:rsidR="00114846" w:rsidRPr="00872680">
        <w:t>, BLACKSTONE</w:t>
      </w:r>
      <w:r w:rsidR="00114846">
        <w:t>,</w:t>
      </w:r>
      <w:r w:rsidR="00114846" w:rsidRPr="00872680">
        <w:t xml:space="preserve"> EH</w:t>
      </w:r>
      <w:r w:rsidR="00114846">
        <w:t>.</w:t>
      </w:r>
      <w:r w:rsidR="00114846" w:rsidRPr="00872680">
        <w:t>, LYTLE</w:t>
      </w:r>
      <w:r w:rsidR="00114846">
        <w:t>,</w:t>
      </w:r>
      <w:r w:rsidR="00114846" w:rsidRPr="00872680">
        <w:t xml:space="preserve"> BW</w:t>
      </w:r>
      <w:r w:rsidR="00114846">
        <w:t>.</w:t>
      </w:r>
      <w:r w:rsidR="00114846" w:rsidRPr="00872680">
        <w:t xml:space="preserve">, </w:t>
      </w:r>
      <w:r w:rsidR="00114846">
        <w:t>et al.</w:t>
      </w:r>
      <w:r w:rsidR="00114846" w:rsidRPr="00872680">
        <w:t xml:space="preserve"> Aortic valve replacement: is valve size important? </w:t>
      </w:r>
      <w:r w:rsidR="00114846" w:rsidRPr="00D83377">
        <w:rPr>
          <w:i/>
          <w:iCs/>
        </w:rPr>
        <w:t>J Thorac Cardiovasc Surg</w:t>
      </w:r>
      <w:r w:rsidR="00114846">
        <w:rPr>
          <w:i/>
          <w:iCs/>
        </w:rPr>
        <w:t>,</w:t>
      </w:r>
      <w:r w:rsidR="00114846">
        <w:t xml:space="preserve"> 2000,</w:t>
      </w:r>
      <w:r w:rsidR="00114846" w:rsidRPr="00872680">
        <w:t xml:space="preserve"> 119</w:t>
      </w:r>
      <w:r w:rsidR="00114846">
        <w:t xml:space="preserve">(5), p. </w:t>
      </w:r>
      <w:r w:rsidR="00114846" w:rsidRPr="00872680">
        <w:t>963</w:t>
      </w:r>
      <w:r w:rsidR="00114846">
        <w:t>-74</w:t>
      </w:r>
    </w:p>
    <w:p/>
    <w:p>
      <w:r w:rsidR="00114846" w:rsidRPr="00872680">
        <w:t>MEURIS</w:t>
      </w:r>
      <w:r w:rsidR="00114846">
        <w:t>,</w:t>
      </w:r>
      <w:r w:rsidR="00114846" w:rsidRPr="00872680">
        <w:t xml:space="preserve"> B</w:t>
      </w:r>
      <w:r w:rsidR="00114846">
        <w:t>.</w:t>
      </w:r>
      <w:r w:rsidR="00114846" w:rsidRPr="00872680">
        <w:t>, PHILLIPS</w:t>
      </w:r>
      <w:r w:rsidR="00114846">
        <w:t>,</w:t>
      </w:r>
      <w:r w:rsidR="00114846" w:rsidRPr="00872680">
        <w:t xml:space="preserve"> R</w:t>
      </w:r>
      <w:r w:rsidR="00114846">
        <w:t>.</w:t>
      </w:r>
      <w:r w:rsidR="00114846" w:rsidRPr="00872680">
        <w:t>, MOORE</w:t>
      </w:r>
      <w:r w:rsidR="00114846">
        <w:t>,</w:t>
      </w:r>
      <w:r w:rsidR="00114846" w:rsidRPr="00872680">
        <w:t xml:space="preserve"> MA</w:t>
      </w:r>
      <w:r w:rsidR="00114846">
        <w:t>.</w:t>
      </w:r>
      <w:r w:rsidR="00114846" w:rsidRPr="00872680">
        <w:t>, et al</w:t>
      </w:r>
      <w:r w:rsidR="00114846">
        <w:t>.</w:t>
      </w:r>
      <w:r w:rsidR="00114846" w:rsidRPr="00872680">
        <w:t xml:space="preserve"> Porcine stentless bioprostheses: Prevention of aortic wall calcification by dye-mediated photooxidation. </w:t>
      </w:r>
      <w:r w:rsidR="00114846" w:rsidRPr="00D83377">
        <w:rPr>
          <w:i/>
          <w:iCs/>
        </w:rPr>
        <w:t>Artif Organs</w:t>
      </w:r>
      <w:r w:rsidR="00114846">
        <w:rPr>
          <w:i/>
          <w:iCs/>
        </w:rPr>
        <w:t>,</w:t>
      </w:r>
      <w:r w:rsidR="00114846">
        <w:t xml:space="preserve"> 2003, 27, p. </w:t>
      </w:r>
      <w:r w:rsidR="00114846" w:rsidRPr="00872680">
        <w:t>537</w:t>
      </w:r>
      <w:r w:rsidR="00114846">
        <w:t>-40</w:t>
      </w:r>
    </w:p>
    <w:p/>
    <w:p>
      <w:r w:rsidR="00114846" w:rsidRPr="00872680">
        <w:t>MEURS</w:t>
      </w:r>
      <w:r w:rsidR="00114846">
        <w:t>,</w:t>
      </w:r>
      <w:r w:rsidR="00114846" w:rsidRPr="00872680">
        <w:t xml:space="preserve"> AA</w:t>
      </w:r>
      <w:r w:rsidR="00114846">
        <w:t>.</w:t>
      </w:r>
      <w:r w:rsidR="00114846" w:rsidRPr="00872680">
        <w:t>, GRUNDEMANN</w:t>
      </w:r>
      <w:r w:rsidR="00114846">
        <w:t>,</w:t>
      </w:r>
      <w:r w:rsidR="00114846" w:rsidRPr="00872680">
        <w:t xml:space="preserve"> AM</w:t>
      </w:r>
      <w:r w:rsidR="00114846">
        <w:t>.</w:t>
      </w:r>
      <w:r w:rsidR="00114846" w:rsidRPr="00872680">
        <w:t>, BEZEMER</w:t>
      </w:r>
      <w:r w:rsidR="00114846">
        <w:t>,</w:t>
      </w:r>
      <w:r w:rsidR="00114846" w:rsidRPr="00872680">
        <w:t xml:space="preserve"> PD</w:t>
      </w:r>
      <w:r w:rsidR="00114846">
        <w:t>., et al.</w:t>
      </w:r>
      <w:r w:rsidR="00114846" w:rsidRPr="00872680">
        <w:t xml:space="preserve"> Early and 8 year results of aortic valve replacement: a clinical study of 232 patients. </w:t>
      </w:r>
      <w:r w:rsidR="00114846" w:rsidRPr="00D83377">
        <w:rPr>
          <w:i/>
          <w:iCs/>
        </w:rPr>
        <w:t>Eur Heart J</w:t>
      </w:r>
      <w:r w:rsidR="00114846">
        <w:t>, 1985,</w:t>
      </w:r>
      <w:r w:rsidR="00114846" w:rsidRPr="00872680">
        <w:t xml:space="preserve"> 6</w:t>
      </w:r>
      <w:r w:rsidR="00114846">
        <w:t xml:space="preserve">(10), p. </w:t>
      </w:r>
      <w:r w:rsidR="00114846" w:rsidRPr="00872680">
        <w:t>870</w:t>
      </w:r>
      <w:r w:rsidR="00114846">
        <w:t>-81</w:t>
      </w:r>
    </w:p>
    <w:p/>
    <w:p>
      <w:r w:rsidR="00114846" w:rsidRPr="00872680">
        <w:t>MOON</w:t>
      </w:r>
      <w:r w:rsidR="00114846">
        <w:t>,</w:t>
      </w:r>
      <w:r w:rsidR="00114846" w:rsidRPr="00872680">
        <w:t xml:space="preserve"> MR</w:t>
      </w:r>
      <w:r w:rsidR="00114846">
        <w:t>.</w:t>
      </w:r>
      <w:r w:rsidR="00114846" w:rsidRPr="00872680">
        <w:t>, PASQUE</w:t>
      </w:r>
      <w:r w:rsidR="00114846">
        <w:t>,</w:t>
      </w:r>
      <w:r w:rsidR="00114846" w:rsidRPr="00872680">
        <w:t xml:space="preserve"> MK</w:t>
      </w:r>
      <w:r w:rsidR="00114846">
        <w:t>.</w:t>
      </w:r>
      <w:r w:rsidR="00114846" w:rsidRPr="00872680">
        <w:t>, MUNFAKH</w:t>
      </w:r>
      <w:r w:rsidR="00114846">
        <w:t>,</w:t>
      </w:r>
      <w:r w:rsidR="00114846" w:rsidRPr="00872680">
        <w:t xml:space="preserve"> NA</w:t>
      </w:r>
      <w:r w:rsidR="00114846">
        <w:t>., et al.</w:t>
      </w:r>
      <w:r w:rsidR="00114846" w:rsidRPr="00872680">
        <w:t xml:space="preserve"> Prosthesis-patient mismatch after aortic valve replacement: impact of age and body size on late survival. </w:t>
      </w:r>
      <w:r w:rsidR="00114846" w:rsidRPr="00D83377">
        <w:rPr>
          <w:i/>
          <w:iCs/>
        </w:rPr>
        <w:t>Ann Thorac Surg</w:t>
      </w:r>
      <w:r w:rsidR="00114846">
        <w:rPr>
          <w:i/>
          <w:iCs/>
        </w:rPr>
        <w:t>,</w:t>
      </w:r>
      <w:r w:rsidR="00114846" w:rsidRPr="00872680">
        <w:t xml:space="preserve"> 2006; 81</w:t>
      </w:r>
      <w:r w:rsidR="00114846">
        <w:t xml:space="preserve">(2), p. </w:t>
      </w:r>
      <w:r w:rsidR="00114846" w:rsidRPr="00872680">
        <w:t>481</w:t>
      </w:r>
      <w:r w:rsidR="00114846">
        <w:t>-8</w:t>
      </w:r>
    </w:p>
    <w:p/>
    <w:p>
      <w:pPr>
        <w:rPr>
          <w:color w:val="000000"/>
        </w:rPr>
      </w:pPr>
      <w:r w:rsidR="00114846" w:rsidRPr="00872680">
        <w:t>NICKS</w:t>
      </w:r>
      <w:r w:rsidR="00114846">
        <w:t>,</w:t>
      </w:r>
      <w:r w:rsidR="00114846" w:rsidRPr="00872680">
        <w:t xml:space="preserve"> R</w:t>
      </w:r>
      <w:r w:rsidR="00114846">
        <w:t>.</w:t>
      </w:r>
      <w:r w:rsidR="00114846" w:rsidRPr="00872680">
        <w:t>, CARTMILL</w:t>
      </w:r>
      <w:r w:rsidR="00114846">
        <w:t>,</w:t>
      </w:r>
      <w:r w:rsidR="00114846" w:rsidRPr="00872680">
        <w:t xml:space="preserve"> T</w:t>
      </w:r>
      <w:r w:rsidR="00114846">
        <w:t>.</w:t>
      </w:r>
      <w:r w:rsidR="00114846" w:rsidRPr="00872680">
        <w:t>, BERNSTEIN</w:t>
      </w:r>
      <w:r w:rsidR="00114846">
        <w:t>,</w:t>
      </w:r>
      <w:r w:rsidR="00114846" w:rsidRPr="00872680">
        <w:t xml:space="preserve"> L</w:t>
      </w:r>
      <w:r w:rsidR="00114846">
        <w:t>.</w:t>
      </w:r>
      <w:r w:rsidR="00114846" w:rsidRPr="00872680">
        <w:t xml:space="preserve"> Hypoplasia of the aortic root. The problem of aortic valve replacement. </w:t>
      </w:r>
      <w:r w:rsidR="00114846" w:rsidRPr="00D83377">
        <w:rPr>
          <w:i/>
          <w:iCs/>
        </w:rPr>
        <w:t>Thorax</w:t>
      </w:r>
      <w:r w:rsidR="00114846">
        <w:rPr>
          <w:i/>
          <w:iCs/>
        </w:rPr>
        <w:t>,</w:t>
      </w:r>
      <w:r w:rsidR="00114846">
        <w:t xml:space="preserve"> 1970,</w:t>
      </w:r>
      <w:r w:rsidR="00114846" w:rsidRPr="00872680">
        <w:t xml:space="preserve"> 25</w:t>
      </w:r>
      <w:r w:rsidR="00114846">
        <w:t xml:space="preserve">(3), p. </w:t>
      </w:r>
      <w:r w:rsidR="00114846" w:rsidRPr="00872680">
        <w:t>339</w:t>
      </w:r>
      <w:r w:rsidR="00114846">
        <w:t>-46</w:t>
      </w:r>
    </w:p>
    <w:p/>
    <w:p>
      <w:r w:rsidR="00114846" w:rsidRPr="00872680">
        <w:t>OTTO</w:t>
      </w:r>
      <w:r w:rsidR="00114846">
        <w:t>,</w:t>
      </w:r>
      <w:r w:rsidR="00114846" w:rsidRPr="00872680">
        <w:t xml:space="preserve"> CM</w:t>
      </w:r>
      <w:r w:rsidR="00114846">
        <w:t>.</w:t>
      </w:r>
      <w:r w:rsidR="00114846" w:rsidRPr="00872680">
        <w:t>, BURWASH</w:t>
      </w:r>
      <w:r w:rsidR="00114846">
        <w:t>,</w:t>
      </w:r>
      <w:r w:rsidR="00114846" w:rsidRPr="00872680">
        <w:t xml:space="preserve"> IG</w:t>
      </w:r>
      <w:r w:rsidR="00114846">
        <w:t>.</w:t>
      </w:r>
      <w:r w:rsidR="00114846" w:rsidRPr="00872680">
        <w:t>, LEGGET</w:t>
      </w:r>
      <w:r w:rsidR="00114846">
        <w:t>,</w:t>
      </w:r>
      <w:r w:rsidR="00114846" w:rsidRPr="00872680">
        <w:t xml:space="preserve"> ME</w:t>
      </w:r>
      <w:r w:rsidR="00114846">
        <w:t>., et al.</w:t>
      </w:r>
      <w:r w:rsidR="00114846" w:rsidRPr="00872680">
        <w:t xml:space="preserve"> Prospective study of asymptomatic valvular aortic stenosis. Clinical, echocardiographic, and exercise predictors of outcome. </w:t>
      </w:r>
      <w:r w:rsidR="00114846" w:rsidRPr="00B2526D">
        <w:rPr>
          <w:i/>
          <w:iCs/>
        </w:rPr>
        <w:t>Circulation</w:t>
      </w:r>
      <w:r w:rsidR="00114846">
        <w:rPr>
          <w:i/>
          <w:iCs/>
        </w:rPr>
        <w:t>,</w:t>
      </w:r>
      <w:r w:rsidR="00114846" w:rsidRPr="00872680">
        <w:t xml:space="preserve"> 1997</w:t>
      </w:r>
      <w:r w:rsidR="00114846">
        <w:t>,</w:t>
      </w:r>
      <w:r w:rsidR="00114846" w:rsidRPr="00872680">
        <w:t xml:space="preserve"> 95</w:t>
      </w:r>
      <w:r w:rsidR="00114846">
        <w:t xml:space="preserve">(9), p. </w:t>
      </w:r>
      <w:r w:rsidR="00114846" w:rsidRPr="00872680">
        <w:t>2262</w:t>
      </w:r>
      <w:r w:rsidR="00114846">
        <w:t>-70</w:t>
      </w:r>
    </w:p>
    <w:p/>
    <w:p>
      <w:r w:rsidR="00114846" w:rsidRPr="00872680">
        <w:t>PELTIER</w:t>
      </w:r>
      <w:r w:rsidR="00114846">
        <w:t>,</w:t>
      </w:r>
      <w:r w:rsidR="00114846" w:rsidRPr="00872680">
        <w:t xml:space="preserve"> M</w:t>
      </w:r>
      <w:r w:rsidR="00114846">
        <w:t>.</w:t>
      </w:r>
      <w:r w:rsidR="00114846" w:rsidRPr="00872680">
        <w:t>, TROJETTE</w:t>
      </w:r>
      <w:r w:rsidR="00114846">
        <w:t>,</w:t>
      </w:r>
      <w:r w:rsidR="00114846" w:rsidRPr="00872680">
        <w:t xml:space="preserve"> F</w:t>
      </w:r>
      <w:r w:rsidR="00114846">
        <w:t>.</w:t>
      </w:r>
      <w:r w:rsidR="00114846" w:rsidRPr="00872680">
        <w:t>, ENRIQUEZ-SARANO</w:t>
      </w:r>
      <w:r w:rsidR="00114846">
        <w:t>,</w:t>
      </w:r>
      <w:r w:rsidR="00114846" w:rsidRPr="00872680">
        <w:t xml:space="preserve"> M</w:t>
      </w:r>
      <w:r w:rsidR="00114846">
        <w:t>., et al.</w:t>
      </w:r>
      <w:r w:rsidR="00114846" w:rsidRPr="00872680">
        <w:t xml:space="preserve"> Relation between cardiovascular risk factors and nonrheumatic severe calcific aortic stenosis among patients with a three-cuspid aortic valve. </w:t>
      </w:r>
      <w:r w:rsidR="00114846" w:rsidRPr="00B2526D">
        <w:rPr>
          <w:i/>
          <w:iCs/>
        </w:rPr>
        <w:t>Am J Cardiol</w:t>
      </w:r>
      <w:r w:rsidR="00114846">
        <w:rPr>
          <w:i/>
          <w:iCs/>
        </w:rPr>
        <w:t xml:space="preserve">, </w:t>
      </w:r>
      <w:r w:rsidR="00114846">
        <w:t xml:space="preserve"> 2003,  91(1), p. </w:t>
      </w:r>
      <w:r w:rsidR="00114846" w:rsidRPr="00872680">
        <w:t>97</w:t>
      </w:r>
      <w:r w:rsidR="00114846">
        <w:t>-9</w:t>
      </w:r>
    </w:p>
    <w:p>
      <w:pPr>
        <w:rPr>
          <w:color w:val="000000"/>
        </w:rPr>
      </w:pPr>
    </w:p>
    <w:p>
      <w:pPr>
        <w:rPr>
          <w:color w:val="000000"/>
        </w:rPr>
      </w:pPr>
      <w:r w:rsidR="00114846" w:rsidRPr="00872680">
        <w:rPr>
          <w:color w:val="000000"/>
        </w:rPr>
        <w:t>PIBAROT</w:t>
      </w:r>
      <w:r w:rsidR="00114846">
        <w:rPr>
          <w:color w:val="000000"/>
        </w:rPr>
        <w:t xml:space="preserve">, </w:t>
      </w:r>
      <w:r w:rsidR="00114846" w:rsidRPr="00872680">
        <w:rPr>
          <w:color w:val="000000"/>
        </w:rPr>
        <w:t xml:space="preserve"> P</w:t>
      </w:r>
      <w:r w:rsidR="00114846">
        <w:rPr>
          <w:color w:val="000000"/>
        </w:rPr>
        <w:t>.</w:t>
      </w:r>
      <w:r w:rsidR="00114846" w:rsidRPr="00872680">
        <w:rPr>
          <w:color w:val="000000"/>
        </w:rPr>
        <w:t>, DUMESNIL</w:t>
      </w:r>
      <w:r w:rsidR="00114846">
        <w:rPr>
          <w:color w:val="000000"/>
        </w:rPr>
        <w:t>,</w:t>
      </w:r>
      <w:r w:rsidR="00114846" w:rsidRPr="00872680">
        <w:rPr>
          <w:color w:val="000000"/>
        </w:rPr>
        <w:t xml:space="preserve"> J. Hemodynamic and Clinical Impact of Prosthesis-Patient Mismatch in the Aortic Valve Position and Its Prevention. </w:t>
      </w:r>
      <w:r w:rsidR="00114846" w:rsidRPr="00B2526D">
        <w:rPr>
          <w:i/>
          <w:color w:val="000000"/>
        </w:rPr>
        <w:t>J Am Coll Cardiol</w:t>
      </w:r>
      <w:r w:rsidR="00114846">
        <w:rPr>
          <w:i/>
          <w:color w:val="000000"/>
        </w:rPr>
        <w:t>,</w:t>
      </w:r>
      <w:r w:rsidR="00114846" w:rsidRPr="00872680">
        <w:rPr>
          <w:color w:val="000000"/>
        </w:rPr>
        <w:t xml:space="preserve"> 2000</w:t>
      </w:r>
      <w:r w:rsidR="00114846">
        <w:rPr>
          <w:color w:val="000000"/>
          <w:lang w:val="en-US"/>
        </w:rPr>
        <w:t>,</w:t>
      </w:r>
      <w:r w:rsidR="00114846" w:rsidRPr="00872680">
        <w:rPr>
          <w:color w:val="000000"/>
        </w:rPr>
        <w:t xml:space="preserve"> 36</w:t>
      </w:r>
      <w:r w:rsidR="00114846">
        <w:rPr>
          <w:color w:val="000000"/>
        </w:rPr>
        <w:t xml:space="preserve">(4), p. </w:t>
      </w:r>
      <w:r w:rsidR="00114846" w:rsidRPr="00872680">
        <w:rPr>
          <w:color w:val="000000"/>
        </w:rPr>
        <w:t>1131-412</w:t>
      </w:r>
    </w:p>
    <w:p>
      <w:pPr>
        <w:rPr>
          <w:color w:val="000000"/>
        </w:rPr>
      </w:pPr>
    </w:p>
    <w:p>
      <w:pPr>
        <w:rPr>
          <w:color w:val="000000"/>
        </w:rPr>
      </w:pPr>
      <w:r w:rsidR="00114846" w:rsidRPr="00872680">
        <w:rPr>
          <w:color w:val="000000"/>
        </w:rPr>
        <w:t>PUVIMANASINGHE</w:t>
      </w:r>
      <w:r w:rsidR="00114846">
        <w:rPr>
          <w:color w:val="000000"/>
        </w:rPr>
        <w:t>,</w:t>
      </w:r>
      <w:r w:rsidR="00114846" w:rsidRPr="00872680">
        <w:rPr>
          <w:color w:val="000000"/>
        </w:rPr>
        <w:t xml:space="preserve"> JPA</w:t>
      </w:r>
      <w:r w:rsidR="00114846">
        <w:rPr>
          <w:color w:val="000000"/>
        </w:rPr>
        <w:t>.</w:t>
      </w:r>
      <w:r w:rsidR="00114846" w:rsidRPr="00872680">
        <w:rPr>
          <w:color w:val="000000"/>
        </w:rPr>
        <w:t>, TAKKENBERG</w:t>
      </w:r>
      <w:r w:rsidR="00114846">
        <w:rPr>
          <w:color w:val="000000"/>
        </w:rPr>
        <w:t>,</w:t>
      </w:r>
      <w:r w:rsidR="00114846" w:rsidRPr="00872680">
        <w:rPr>
          <w:color w:val="000000"/>
        </w:rPr>
        <w:t xml:space="preserve"> JJM</w:t>
      </w:r>
      <w:r w:rsidR="00114846">
        <w:rPr>
          <w:color w:val="000000"/>
        </w:rPr>
        <w:t>.</w:t>
      </w:r>
      <w:r w:rsidR="00114846" w:rsidRPr="00872680">
        <w:rPr>
          <w:color w:val="000000"/>
        </w:rPr>
        <w:t>, EDWARDS</w:t>
      </w:r>
      <w:r w:rsidR="00114846">
        <w:rPr>
          <w:color w:val="000000"/>
        </w:rPr>
        <w:t>,</w:t>
      </w:r>
      <w:r w:rsidR="00114846" w:rsidRPr="00872680">
        <w:rPr>
          <w:color w:val="000000"/>
        </w:rPr>
        <w:t xml:space="preserve"> MB</w:t>
      </w:r>
      <w:r w:rsidR="00114846">
        <w:rPr>
          <w:color w:val="000000"/>
        </w:rPr>
        <w:t>.</w:t>
      </w:r>
      <w:r w:rsidR="00114846" w:rsidRPr="00872680">
        <w:rPr>
          <w:color w:val="000000"/>
        </w:rPr>
        <w:t xml:space="preserve">, et al. Comparison of outcomes after aortic valve replacement with a mechanical valve or a bioprosthesis using microsimulation. </w:t>
      </w:r>
      <w:r w:rsidR="00114846" w:rsidRPr="00B2526D">
        <w:rPr>
          <w:i/>
          <w:color w:val="000000"/>
        </w:rPr>
        <w:t>Heart</w:t>
      </w:r>
      <w:r w:rsidR="00114846">
        <w:rPr>
          <w:i/>
          <w:color w:val="000000"/>
        </w:rPr>
        <w:t>,</w:t>
      </w:r>
      <w:r w:rsidR="00114846" w:rsidRPr="00872680">
        <w:rPr>
          <w:color w:val="000000"/>
        </w:rPr>
        <w:t xml:space="preserve"> 2004</w:t>
      </w:r>
      <w:r w:rsidR="00114846">
        <w:rPr>
          <w:color w:val="000000"/>
          <w:lang w:val="en-US"/>
        </w:rPr>
        <w:t>,</w:t>
      </w:r>
      <w:r w:rsidR="00114846">
        <w:rPr>
          <w:color w:val="000000"/>
        </w:rPr>
        <w:t xml:space="preserve"> 90, p. </w:t>
      </w:r>
      <w:r w:rsidR="00114846" w:rsidRPr="00872680">
        <w:rPr>
          <w:color w:val="000000"/>
        </w:rPr>
        <w:t>1172-1178</w:t>
      </w:r>
    </w:p>
    <w:p/>
    <w:p>
      <w:r w:rsidR="00114846" w:rsidRPr="00872680">
        <w:t>RAHIMTOOLA</w:t>
      </w:r>
      <w:r w:rsidR="00114846">
        <w:t>,</w:t>
      </w:r>
      <w:r w:rsidR="00114846" w:rsidRPr="00872680">
        <w:t xml:space="preserve"> SH</w:t>
      </w:r>
      <w:r w:rsidR="00114846">
        <w:t>.</w:t>
      </w:r>
      <w:r w:rsidR="00114846" w:rsidRPr="00872680">
        <w:t xml:space="preserve"> The problem of valve prosthesis-patient mismatch. </w:t>
      </w:r>
      <w:r w:rsidR="00114846" w:rsidRPr="00B2526D">
        <w:rPr>
          <w:i/>
          <w:iCs/>
        </w:rPr>
        <w:t>Circulation</w:t>
      </w:r>
      <w:r w:rsidR="00114846">
        <w:rPr>
          <w:i/>
          <w:iCs/>
        </w:rPr>
        <w:t>,</w:t>
      </w:r>
      <w:r w:rsidR="00114846">
        <w:t xml:space="preserve"> 2002,</w:t>
      </w:r>
      <w:r w:rsidR="00114846" w:rsidRPr="00872680">
        <w:t xml:space="preserve"> 58</w:t>
      </w:r>
      <w:r w:rsidR="00114846">
        <w:t xml:space="preserve">(1), p. </w:t>
      </w:r>
      <w:r w:rsidR="00114846" w:rsidRPr="00872680">
        <w:t>20</w:t>
      </w:r>
      <w:r w:rsidR="00114846">
        <w:t>-4</w:t>
      </w:r>
    </w:p>
    <w:p/>
    <w:p>
      <w:r w:rsidR="00114846" w:rsidRPr="00872680">
        <w:t>RAO</w:t>
      </w:r>
      <w:r w:rsidR="00114846">
        <w:t>,</w:t>
      </w:r>
      <w:r w:rsidR="00114846" w:rsidRPr="00872680">
        <w:t xml:space="preserve"> V</w:t>
      </w:r>
      <w:r w:rsidR="00114846">
        <w:t>.</w:t>
      </w:r>
      <w:r w:rsidR="00114846" w:rsidRPr="00872680">
        <w:t>, JAMIESON</w:t>
      </w:r>
      <w:r w:rsidR="00114846">
        <w:t>,</w:t>
      </w:r>
      <w:r w:rsidR="00114846" w:rsidRPr="00872680">
        <w:t xml:space="preserve"> WR</w:t>
      </w:r>
      <w:r w:rsidR="00114846">
        <w:t>.</w:t>
      </w:r>
      <w:r w:rsidR="00114846" w:rsidRPr="00872680">
        <w:t>, IVANOV</w:t>
      </w:r>
      <w:r w:rsidR="00114846">
        <w:t>,</w:t>
      </w:r>
      <w:r w:rsidR="00114846" w:rsidRPr="00872680">
        <w:t xml:space="preserve"> J</w:t>
      </w:r>
      <w:r w:rsidR="00114846">
        <w:t>., et al.</w:t>
      </w:r>
      <w:r w:rsidR="00114846" w:rsidRPr="00872680">
        <w:t xml:space="preserve"> Prosthesis-patient mismatch affects survival after aortic valve replacement. </w:t>
      </w:r>
      <w:r w:rsidR="00114846" w:rsidRPr="00B2526D">
        <w:rPr>
          <w:i/>
          <w:iCs/>
        </w:rPr>
        <w:t>Circulation</w:t>
      </w:r>
      <w:r w:rsidR="00114846">
        <w:rPr>
          <w:i/>
          <w:iCs/>
        </w:rPr>
        <w:t>,</w:t>
      </w:r>
      <w:r w:rsidR="00114846">
        <w:t xml:space="preserve"> 2002,</w:t>
      </w:r>
      <w:r w:rsidR="00114846" w:rsidRPr="00872680">
        <w:t xml:space="preserve"> 102(19 Suppl 3):III5</w:t>
      </w:r>
      <w:r w:rsidR="00114846">
        <w:t>-9</w:t>
      </w:r>
    </w:p>
    <w:p/>
    <w:p>
      <w:r w:rsidR="00114846" w:rsidRPr="00872680">
        <w:t>ROSENHEK</w:t>
      </w:r>
      <w:r w:rsidR="00114846">
        <w:t>,</w:t>
      </w:r>
      <w:r w:rsidR="00114846" w:rsidRPr="00872680">
        <w:t xml:space="preserve"> R</w:t>
      </w:r>
      <w:r w:rsidR="00114846">
        <w:t>.</w:t>
      </w:r>
      <w:r w:rsidR="00114846" w:rsidRPr="00872680">
        <w:t>, BINDER</w:t>
      </w:r>
      <w:r w:rsidR="00114846">
        <w:t>,</w:t>
      </w:r>
      <w:r w:rsidR="00114846" w:rsidRPr="00872680">
        <w:t xml:space="preserve"> T</w:t>
      </w:r>
      <w:r w:rsidR="00114846">
        <w:t>.</w:t>
      </w:r>
      <w:r w:rsidR="00114846" w:rsidRPr="00872680">
        <w:t>, PORENTA</w:t>
      </w:r>
      <w:r w:rsidR="00114846">
        <w:t>,</w:t>
      </w:r>
      <w:r w:rsidR="00114846" w:rsidRPr="00872680">
        <w:t xml:space="preserve"> G</w:t>
      </w:r>
      <w:r w:rsidR="00114846">
        <w:t>., et al.</w:t>
      </w:r>
      <w:r w:rsidR="00114846" w:rsidRPr="00872680">
        <w:t xml:space="preserve"> Predictors of outcome in severe, asymptomatic aortic stenosis. </w:t>
      </w:r>
      <w:r w:rsidR="00114846" w:rsidRPr="00015333">
        <w:rPr>
          <w:i/>
          <w:iCs/>
        </w:rPr>
        <w:t>N Engl J Med</w:t>
      </w:r>
      <w:r w:rsidR="00114846">
        <w:rPr>
          <w:i/>
          <w:iCs/>
        </w:rPr>
        <w:t>,</w:t>
      </w:r>
      <w:r w:rsidR="00114846">
        <w:t xml:space="preserve"> 2000,</w:t>
      </w:r>
      <w:r w:rsidR="00114846" w:rsidRPr="00872680">
        <w:t xml:space="preserve"> 343</w:t>
      </w:r>
      <w:r w:rsidR="00114846">
        <w:t>(9), p. 611-4</w:t>
      </w:r>
    </w:p>
    <w:p/>
    <w:p>
      <w:r w:rsidR="00114846" w:rsidRPr="00872680">
        <w:t>RUEL</w:t>
      </w:r>
      <w:r w:rsidR="00114846">
        <w:t>,</w:t>
      </w:r>
      <w:r w:rsidR="00114846" w:rsidRPr="00872680">
        <w:t xml:space="preserve"> M</w:t>
      </w:r>
      <w:r w:rsidR="00114846">
        <w:t>.</w:t>
      </w:r>
      <w:r w:rsidR="00114846" w:rsidRPr="00872680">
        <w:t>, AL-FALEH</w:t>
      </w:r>
      <w:r w:rsidR="00114846">
        <w:t>,</w:t>
      </w:r>
      <w:r w:rsidR="00114846" w:rsidRPr="00872680">
        <w:t xml:space="preserve"> H</w:t>
      </w:r>
      <w:r w:rsidR="00114846">
        <w:t>.</w:t>
      </w:r>
      <w:r w:rsidR="00114846" w:rsidRPr="00872680">
        <w:t>, KULIK</w:t>
      </w:r>
      <w:r w:rsidR="00114846">
        <w:t>,</w:t>
      </w:r>
      <w:r w:rsidR="00114846" w:rsidRPr="00872680">
        <w:t xml:space="preserve"> A</w:t>
      </w:r>
      <w:r w:rsidR="00114846">
        <w:t>.</w:t>
      </w:r>
      <w:r w:rsidR="00114846" w:rsidRPr="00872680">
        <w:t>, et al</w:t>
      </w:r>
      <w:r w:rsidR="00114846">
        <w:t>.</w:t>
      </w:r>
      <w:r w:rsidR="00114846" w:rsidRPr="00872680">
        <w:t xml:space="preserve"> Prosthesis-patient mismatch after aortic valve replacement predominantly affects patients with preexisting left ventricular dysfunction: effect on survival, freedom from heart failure, and left ventricular mass regression. </w:t>
      </w:r>
      <w:r w:rsidR="00114846" w:rsidRPr="00015333">
        <w:rPr>
          <w:i/>
          <w:iCs/>
        </w:rPr>
        <w:t>J Thorac Cardiovasc Surg</w:t>
      </w:r>
      <w:r w:rsidR="00114846">
        <w:t>, 2006,</w:t>
      </w:r>
      <w:r w:rsidR="00114846" w:rsidRPr="00872680">
        <w:t xml:space="preserve"> 131</w:t>
      </w:r>
      <w:r w:rsidR="00114846">
        <w:t xml:space="preserve">(5), p. </w:t>
      </w:r>
      <w:r w:rsidR="00114846" w:rsidRPr="00872680">
        <w:t>1036</w:t>
      </w:r>
      <w:r w:rsidR="00114846">
        <w:t>-5</w:t>
      </w:r>
    </w:p>
    <w:p/>
    <w:p>
      <w:r w:rsidR="00114846" w:rsidRPr="00872680">
        <w:t>SCOTT</w:t>
      </w:r>
      <w:r w:rsidR="00114846">
        <w:t>,</w:t>
      </w:r>
      <w:r w:rsidR="00114846" w:rsidRPr="00872680">
        <w:t xml:space="preserve"> WC</w:t>
      </w:r>
      <w:r w:rsidR="00114846">
        <w:t>.</w:t>
      </w:r>
      <w:r w:rsidR="00114846" w:rsidRPr="00872680">
        <w:t>, MILLER</w:t>
      </w:r>
      <w:r w:rsidR="00114846">
        <w:t>,</w:t>
      </w:r>
      <w:r w:rsidR="00114846" w:rsidRPr="00872680">
        <w:t xml:space="preserve"> DC</w:t>
      </w:r>
      <w:r w:rsidR="00114846">
        <w:t>.</w:t>
      </w:r>
      <w:r w:rsidR="00114846" w:rsidRPr="00872680">
        <w:t>, HAVERICH</w:t>
      </w:r>
      <w:r w:rsidR="00114846">
        <w:t>,</w:t>
      </w:r>
      <w:r w:rsidR="00114846" w:rsidRPr="00872680">
        <w:t xml:space="preserve"> A</w:t>
      </w:r>
      <w:r w:rsidR="00114846">
        <w:t>., et al.</w:t>
      </w:r>
      <w:r w:rsidR="00114846" w:rsidRPr="00872680">
        <w:t xml:space="preserve"> Determinants of operative mortality for patients undergoing aortic valve replacement. Discriminant analysis of 1,479 operations. </w:t>
      </w:r>
      <w:r w:rsidR="00114846" w:rsidRPr="00FB42A6">
        <w:rPr>
          <w:i/>
          <w:iCs/>
        </w:rPr>
        <w:t>J Thorac Cardiovasc Surg</w:t>
      </w:r>
      <w:r w:rsidR="00114846">
        <w:rPr>
          <w:i/>
          <w:iCs/>
        </w:rPr>
        <w:t>,</w:t>
      </w:r>
      <w:r w:rsidR="00114846" w:rsidRPr="00FB42A6">
        <w:rPr>
          <w:i/>
        </w:rPr>
        <w:t xml:space="preserve"> </w:t>
      </w:r>
      <w:r w:rsidR="00114846">
        <w:t>1985,</w:t>
      </w:r>
      <w:r w:rsidR="00114846" w:rsidRPr="00872680">
        <w:t xml:space="preserve"> 89</w:t>
      </w:r>
      <w:r w:rsidR="00114846">
        <w:t xml:space="preserve">(3), p. </w:t>
      </w:r>
      <w:r w:rsidR="00114846" w:rsidRPr="00872680">
        <w:t>400</w:t>
      </w:r>
      <w:r w:rsidR="00114846">
        <w:t>-13</w:t>
      </w:r>
    </w:p>
    <w:p/>
    <w:p>
      <w:r w:rsidR="00114846" w:rsidRPr="00872680">
        <w:t>SELZER A</w:t>
      </w:r>
      <w:r w:rsidR="00114846">
        <w:t>.</w:t>
      </w:r>
      <w:r w:rsidR="00114846" w:rsidRPr="00872680">
        <w:t xml:space="preserve"> Changing aspects of the natural history of valvular aortic stenosis. </w:t>
      </w:r>
      <w:r w:rsidR="00114846" w:rsidRPr="00FB42A6">
        <w:rPr>
          <w:i/>
          <w:iCs/>
        </w:rPr>
        <w:t>N Engl J Med</w:t>
      </w:r>
      <w:r w:rsidR="00114846">
        <w:rPr>
          <w:i/>
          <w:iCs/>
        </w:rPr>
        <w:t>,</w:t>
      </w:r>
      <w:r w:rsidR="00114846" w:rsidRPr="00872680">
        <w:t xml:space="preserve"> 1987</w:t>
      </w:r>
      <w:r w:rsidR="00114846">
        <w:t xml:space="preserve">, </w:t>
      </w:r>
      <w:r w:rsidR="00114846" w:rsidRPr="00872680">
        <w:t xml:space="preserve"> 317</w:t>
      </w:r>
      <w:r w:rsidR="00114846">
        <w:t>(2), p. 91-8</w:t>
      </w:r>
    </w:p>
    <w:p/>
    <w:p>
      <w:pPr>
        <w:rPr>
          <w:b/>
          <w:bCs/>
        </w:rPr>
      </w:pPr>
      <w:r w:rsidR="00114846" w:rsidRPr="00872680">
        <w:t>SCHOEN</w:t>
      </w:r>
      <w:r w:rsidR="00114846">
        <w:t>,</w:t>
      </w:r>
      <w:r w:rsidR="00114846" w:rsidRPr="00872680">
        <w:t xml:space="preserve"> FJ</w:t>
      </w:r>
      <w:r w:rsidR="00114846">
        <w:t>.</w:t>
      </w:r>
      <w:r w:rsidR="00114846" w:rsidRPr="00872680">
        <w:t>, LEVY</w:t>
      </w:r>
      <w:r w:rsidR="00114846">
        <w:t>,</w:t>
      </w:r>
      <w:r w:rsidR="00114846" w:rsidRPr="00872680">
        <w:t xml:space="preserve"> RJ</w:t>
      </w:r>
      <w:r w:rsidR="00114846">
        <w:t>.</w:t>
      </w:r>
      <w:r w:rsidR="00114846" w:rsidRPr="00872680">
        <w:t xml:space="preserve"> Founder’s Award, 25th Annual Meeting of the Society for Biomaterials, perspectives. Providence, RI, April 28–May 2, 1999. Tissue heart valves: current challenges and future research perspectives. </w:t>
      </w:r>
      <w:r w:rsidR="00114846" w:rsidRPr="003E3D9E">
        <w:rPr>
          <w:i/>
          <w:iCs/>
        </w:rPr>
        <w:t>J Biomed Mater Res</w:t>
      </w:r>
      <w:r w:rsidR="00114846">
        <w:rPr>
          <w:i/>
          <w:iCs/>
        </w:rPr>
        <w:t>,</w:t>
      </w:r>
      <w:r w:rsidR="00114846">
        <w:t xml:space="preserve"> 1999, 47, p. 439-50</w:t>
      </w:r>
    </w:p>
    <w:p/>
    <w:p>
      <w:r w:rsidR="00114846" w:rsidRPr="00872680">
        <w:t>SOMMERS</w:t>
      </w:r>
      <w:r w:rsidR="00114846">
        <w:t>,</w:t>
      </w:r>
      <w:r w:rsidR="00114846" w:rsidRPr="00872680">
        <w:t xml:space="preserve"> KE</w:t>
      </w:r>
      <w:r w:rsidR="00114846">
        <w:t>.</w:t>
      </w:r>
      <w:r w:rsidR="00114846" w:rsidRPr="00872680">
        <w:t>, DAVID</w:t>
      </w:r>
      <w:r w:rsidR="00114846">
        <w:t>,</w:t>
      </w:r>
      <w:r w:rsidR="00114846" w:rsidRPr="00872680">
        <w:t xml:space="preserve"> TE</w:t>
      </w:r>
      <w:r w:rsidR="00114846">
        <w:t>.</w:t>
      </w:r>
      <w:r w:rsidR="00114846" w:rsidRPr="00872680">
        <w:t xml:space="preserve"> Aortic valve replacement with patch enlargement of the aortic annulus. </w:t>
      </w:r>
      <w:r w:rsidR="00114846" w:rsidRPr="003E3D9E">
        <w:rPr>
          <w:i/>
          <w:iCs/>
        </w:rPr>
        <w:t>Ann Thorac Surg</w:t>
      </w:r>
      <w:r w:rsidR="00114846">
        <w:t>, 1997,</w:t>
      </w:r>
      <w:r w:rsidR="00114846" w:rsidRPr="00872680">
        <w:t xml:space="preserve"> 63</w:t>
      </w:r>
      <w:r w:rsidR="00114846">
        <w:t xml:space="preserve">(6), p. </w:t>
      </w:r>
      <w:r w:rsidR="00114846" w:rsidRPr="00872680">
        <w:t>1608</w:t>
      </w:r>
      <w:r w:rsidR="00114846">
        <w:t>-12</w:t>
      </w:r>
    </w:p>
    <w:p/>
    <w:p>
      <w:r w:rsidR="00114846" w:rsidRPr="00872680">
        <w:t>STARLING</w:t>
      </w:r>
      <w:r w:rsidR="00114846">
        <w:t>,</w:t>
      </w:r>
      <w:r w:rsidR="00114846" w:rsidRPr="00872680">
        <w:t xml:space="preserve"> MR</w:t>
      </w:r>
      <w:r w:rsidR="00114846">
        <w:t>.</w:t>
      </w:r>
      <w:r w:rsidR="00114846" w:rsidRPr="00872680">
        <w:t>, KIRSH</w:t>
      </w:r>
      <w:r w:rsidR="00114846">
        <w:t>,</w:t>
      </w:r>
      <w:r w:rsidR="00114846" w:rsidRPr="00872680">
        <w:t xml:space="preserve"> MM</w:t>
      </w:r>
      <w:r w:rsidR="00114846">
        <w:t>.</w:t>
      </w:r>
      <w:r w:rsidR="00114846" w:rsidRPr="00872680">
        <w:t>, MONTGOMERY</w:t>
      </w:r>
      <w:r w:rsidR="00114846">
        <w:t>,</w:t>
      </w:r>
      <w:r w:rsidR="00114846" w:rsidRPr="00872680">
        <w:t xml:space="preserve"> DG</w:t>
      </w:r>
      <w:r w:rsidR="00114846">
        <w:t>.</w:t>
      </w:r>
      <w:r w:rsidR="00114846" w:rsidRPr="00872680">
        <w:t>, GROSS</w:t>
      </w:r>
      <w:r w:rsidR="00114846">
        <w:t>,</w:t>
      </w:r>
      <w:r w:rsidR="00114846" w:rsidRPr="00872680">
        <w:t xml:space="preserve"> MD</w:t>
      </w:r>
      <w:r w:rsidR="00114846">
        <w:t>.</w:t>
      </w:r>
      <w:r w:rsidR="00114846" w:rsidRPr="00872680">
        <w:t xml:space="preserve"> Mechanisms for left ventricular systolic dysfunction in aortic regurgitation: importance for predicting the functional response to aortic valve replacement. </w:t>
      </w:r>
      <w:r w:rsidR="00114846" w:rsidRPr="003E3D9E">
        <w:rPr>
          <w:i/>
          <w:iCs/>
        </w:rPr>
        <w:t>J Am Coll Cardiol</w:t>
      </w:r>
      <w:r w:rsidR="00114846">
        <w:rPr>
          <w:i/>
          <w:iCs/>
        </w:rPr>
        <w:t>,</w:t>
      </w:r>
      <w:r w:rsidR="00114846">
        <w:t xml:space="preserve"> 1991,</w:t>
      </w:r>
      <w:r w:rsidR="00114846" w:rsidRPr="00872680">
        <w:t xml:space="preserve"> 17</w:t>
      </w:r>
      <w:r w:rsidR="00114846">
        <w:t>(4), p. 887-97</w:t>
      </w:r>
    </w:p>
    <w:p/>
    <w:p>
      <w:r w:rsidR="00114846" w:rsidRPr="00B15278">
        <w:t>VAHANIAN</w:t>
      </w:r>
      <w:r w:rsidR="00114846">
        <w:t>,</w:t>
      </w:r>
      <w:r w:rsidR="00114846" w:rsidRPr="00B15278">
        <w:t xml:space="preserve"> A</w:t>
      </w:r>
      <w:r w:rsidR="00114846">
        <w:t>.</w:t>
      </w:r>
      <w:r w:rsidR="00114846" w:rsidRPr="00B15278">
        <w:t>, ALFIERI</w:t>
      </w:r>
      <w:r w:rsidR="00114846">
        <w:t>,</w:t>
      </w:r>
      <w:r w:rsidR="00114846" w:rsidRPr="00B15278">
        <w:t xml:space="preserve"> OR</w:t>
      </w:r>
      <w:r w:rsidR="00114846">
        <w:t>.</w:t>
      </w:r>
      <w:r w:rsidR="00114846" w:rsidRPr="00B15278">
        <w:t xml:space="preserve">, </w:t>
      </w:r>
      <w:r w:rsidR="00114846">
        <w:t xml:space="preserve">AL-ATTAR, N., et al. Transcatheter valve implantation for patients with aortic stenosis: a position statement from the European Association of Cardio-Thoracic Surgery (EACTS) and the European Society of Cardiology (ESC), in collaboration with the European Association of Percutaneous Cardiovascular Interventions (EAPCI). </w:t>
      </w:r>
      <w:r w:rsidR="00114846" w:rsidRPr="00B15278">
        <w:rPr>
          <w:i/>
        </w:rPr>
        <w:t>Eur J Cardiothorac Surg</w:t>
      </w:r>
      <w:r w:rsidR="00114846">
        <w:t>,</w:t>
      </w:r>
      <w:r w:rsidR="00114846" w:rsidRPr="00B15278">
        <w:t xml:space="preserve"> 2008</w:t>
      </w:r>
      <w:r w:rsidR="00114846">
        <w:t xml:space="preserve">, 34(1), p. </w:t>
      </w:r>
      <w:r w:rsidR="00114846" w:rsidRPr="00B15278">
        <w:t>1-8</w:t>
      </w:r>
    </w:p>
    <w:p/>
    <w:p/>
    <w:p>
      <w:r w:rsidR="00114846" w:rsidRPr="00872680">
        <w:t>VERDECCHIA</w:t>
      </w:r>
      <w:r w:rsidR="00114846">
        <w:t>,</w:t>
      </w:r>
      <w:r w:rsidR="00114846" w:rsidRPr="00872680">
        <w:t xml:space="preserve"> P</w:t>
      </w:r>
      <w:r w:rsidR="00114846">
        <w:t>.</w:t>
      </w:r>
      <w:r w:rsidR="00114846" w:rsidRPr="00872680">
        <w:t>, SCHILLACI</w:t>
      </w:r>
      <w:r w:rsidR="00114846">
        <w:t>,</w:t>
      </w:r>
      <w:r w:rsidR="00114846" w:rsidRPr="00872680">
        <w:t xml:space="preserve"> G</w:t>
      </w:r>
      <w:r w:rsidR="00114846">
        <w:t>.</w:t>
      </w:r>
      <w:r w:rsidR="00114846" w:rsidRPr="00872680">
        <w:t>, BORGIONI</w:t>
      </w:r>
      <w:r w:rsidR="00114846">
        <w:t>,</w:t>
      </w:r>
      <w:r w:rsidR="00114846" w:rsidRPr="00872680">
        <w:t xml:space="preserve"> C</w:t>
      </w:r>
      <w:r w:rsidR="00114846">
        <w:t>., et al.</w:t>
      </w:r>
      <w:r w:rsidR="00114846" w:rsidRPr="00872680">
        <w:t xml:space="preserve"> Prognostic significance of serial changes in left ventricular mass in essential hypertension. </w:t>
      </w:r>
      <w:r w:rsidR="00114846" w:rsidRPr="003E3D9E">
        <w:rPr>
          <w:i/>
          <w:iCs/>
        </w:rPr>
        <w:t>Circulation</w:t>
      </w:r>
      <w:r w:rsidR="00114846">
        <w:rPr>
          <w:i/>
          <w:iCs/>
        </w:rPr>
        <w:t xml:space="preserve">, </w:t>
      </w:r>
      <w:r w:rsidR="00114846" w:rsidRPr="00872680">
        <w:t xml:space="preserve"> </w:t>
      </w:r>
      <w:r w:rsidR="00114846">
        <w:t>1998, 97(1), 48-54</w:t>
      </w:r>
    </w:p>
    <w:p>
      <w:pPr>
        <w:spacing w:before="100" w:beforeAutospacing="1" w:after="100" w:afterAutospacing="1"/>
        <w:rPr>
          <w:rFonts w:eastAsia="Arial Unicode MS"/>
        </w:rPr>
      </w:pPr>
      <w:r w:rsidR="00114846" w:rsidRPr="00872680">
        <w:t>VILLARI</w:t>
      </w:r>
      <w:r w:rsidR="00114846">
        <w:t>,</w:t>
      </w:r>
      <w:r w:rsidR="00114846" w:rsidRPr="00872680">
        <w:t xml:space="preserve"> B</w:t>
      </w:r>
      <w:r w:rsidR="00114846">
        <w:t>.</w:t>
      </w:r>
      <w:r w:rsidR="00114846" w:rsidRPr="00872680">
        <w:t>, VASSALLI</w:t>
      </w:r>
      <w:r w:rsidR="00114846">
        <w:t>,</w:t>
      </w:r>
      <w:r w:rsidR="00114846" w:rsidRPr="00872680">
        <w:t xml:space="preserve"> G</w:t>
      </w:r>
      <w:r w:rsidR="00114846">
        <w:t>.</w:t>
      </w:r>
      <w:r w:rsidR="00114846" w:rsidRPr="00872680">
        <w:t>, MONRAD</w:t>
      </w:r>
      <w:r w:rsidR="00114846">
        <w:t>,</w:t>
      </w:r>
      <w:r w:rsidR="00114846" w:rsidRPr="00872680">
        <w:t xml:space="preserve"> ES</w:t>
      </w:r>
      <w:r w:rsidR="00114846">
        <w:t>., et al.</w:t>
      </w:r>
      <w:r w:rsidR="00114846" w:rsidRPr="00872680">
        <w:t xml:space="preserve"> Normalization of diastolic dysfunction in aortic stenosis late after valve replacement. </w:t>
      </w:r>
      <w:r w:rsidR="00114846" w:rsidRPr="005B3189">
        <w:rPr>
          <w:i/>
          <w:iCs/>
        </w:rPr>
        <w:t>Circulation</w:t>
      </w:r>
      <w:r w:rsidR="00114846" w:rsidRPr="00872680">
        <w:t xml:space="preserve"> 1995; 91</w:t>
      </w:r>
      <w:r w:rsidR="00114846">
        <w:t xml:space="preserve">(9), p. </w:t>
      </w:r>
      <w:r w:rsidR="00114846" w:rsidRPr="00872680">
        <w:t>2353</w:t>
      </w:r>
      <w:r w:rsidR="00114846">
        <w:t>-8</w:t>
      </w:r>
      <w:r w:rsidR="00114846" w:rsidRPr="00872680">
        <w:t xml:space="preserve"> </w:t>
      </w:r>
    </w:p>
    <w:p>
      <w:r w:rsidR="00114846" w:rsidRPr="00872680">
        <w:t>VONGPATANASIN</w:t>
      </w:r>
      <w:r w:rsidR="00114846">
        <w:t>,</w:t>
      </w:r>
      <w:r w:rsidR="00114846" w:rsidRPr="00872680">
        <w:t xml:space="preserve"> W</w:t>
      </w:r>
      <w:r w:rsidR="00114846">
        <w:t>.</w:t>
      </w:r>
      <w:r w:rsidR="00114846" w:rsidRPr="00872680">
        <w:t>, HILLIS</w:t>
      </w:r>
      <w:r w:rsidR="00114846">
        <w:t>,</w:t>
      </w:r>
      <w:r w:rsidR="00114846" w:rsidRPr="00872680">
        <w:t xml:space="preserve"> LD</w:t>
      </w:r>
      <w:r w:rsidR="00114846">
        <w:t>.</w:t>
      </w:r>
      <w:r w:rsidR="00114846" w:rsidRPr="00872680">
        <w:t>, LANGE</w:t>
      </w:r>
      <w:r w:rsidR="00114846">
        <w:t>,</w:t>
      </w:r>
      <w:r w:rsidR="00114846" w:rsidRPr="00872680">
        <w:t xml:space="preserve"> RA</w:t>
      </w:r>
      <w:r w:rsidR="00114846">
        <w:t>.</w:t>
      </w:r>
      <w:r w:rsidR="00114846" w:rsidRPr="00872680">
        <w:t xml:space="preserve"> Prosthetic heart valves. </w:t>
      </w:r>
      <w:r w:rsidR="00114846" w:rsidRPr="005B3189">
        <w:rPr>
          <w:i/>
          <w:iCs/>
        </w:rPr>
        <w:t>N Engl J Med</w:t>
      </w:r>
      <w:r w:rsidR="00114846">
        <w:rPr>
          <w:i/>
          <w:iCs/>
        </w:rPr>
        <w:t>,</w:t>
      </w:r>
      <w:r w:rsidR="00114846">
        <w:t xml:space="preserve"> 1996,</w:t>
      </w:r>
      <w:r w:rsidR="00114846" w:rsidRPr="00872680">
        <w:t xml:space="preserve"> 335</w:t>
      </w:r>
      <w:r w:rsidR="00114846">
        <w:t xml:space="preserve">, p. </w:t>
      </w:r>
      <w:r w:rsidR="00114846" w:rsidRPr="00872680">
        <w:t>407</w:t>
      </w:r>
      <w:r w:rsidR="00114846">
        <w:t>-11</w:t>
      </w:r>
    </w:p>
    <w:p>
      <w:pPr>
        <w:rPr>
          <w:color w:val="000000"/>
        </w:rPr>
      </w:pPr>
    </w:p>
    <w:p>
      <w:pPr>
        <w:rPr>
          <w:color w:val="000000"/>
        </w:rPr>
      </w:pPr>
      <w:r w:rsidR="00114846" w:rsidRPr="00872680">
        <w:rPr>
          <w:color w:val="000000"/>
        </w:rPr>
        <w:t>WALTHER</w:t>
      </w:r>
      <w:r w:rsidR="00114846">
        <w:rPr>
          <w:color w:val="000000"/>
        </w:rPr>
        <w:t>,</w:t>
      </w:r>
      <w:r w:rsidR="00114846" w:rsidRPr="00872680">
        <w:rPr>
          <w:color w:val="000000"/>
        </w:rPr>
        <w:t xml:space="preserve"> T</w:t>
      </w:r>
      <w:r w:rsidR="00114846">
        <w:rPr>
          <w:color w:val="000000"/>
        </w:rPr>
        <w:t>.</w:t>
      </w:r>
      <w:r w:rsidR="00114846" w:rsidRPr="00872680">
        <w:rPr>
          <w:color w:val="000000"/>
        </w:rPr>
        <w:t>, RASTAN</w:t>
      </w:r>
      <w:r w:rsidR="00114846">
        <w:rPr>
          <w:color w:val="000000"/>
        </w:rPr>
        <w:t>,</w:t>
      </w:r>
      <w:r w:rsidR="00114846" w:rsidRPr="00872680">
        <w:rPr>
          <w:color w:val="000000"/>
        </w:rPr>
        <w:t xml:space="preserve"> A</w:t>
      </w:r>
      <w:r w:rsidR="00114846">
        <w:rPr>
          <w:color w:val="000000"/>
        </w:rPr>
        <w:t>.</w:t>
      </w:r>
      <w:r w:rsidR="00114846" w:rsidRPr="00872680">
        <w:rPr>
          <w:color w:val="000000"/>
        </w:rPr>
        <w:t>, FALK</w:t>
      </w:r>
      <w:r w:rsidR="00114846">
        <w:rPr>
          <w:color w:val="000000"/>
        </w:rPr>
        <w:t>,</w:t>
      </w:r>
      <w:r w:rsidR="00114846" w:rsidRPr="00872680">
        <w:rPr>
          <w:color w:val="000000"/>
        </w:rPr>
        <w:t xml:space="preserve"> V</w:t>
      </w:r>
      <w:r w:rsidR="00114846">
        <w:rPr>
          <w:color w:val="000000"/>
        </w:rPr>
        <w:t>.</w:t>
      </w:r>
      <w:r w:rsidR="00114846" w:rsidRPr="00872680">
        <w:rPr>
          <w:color w:val="000000"/>
        </w:rPr>
        <w:t>, LEHMANN</w:t>
      </w:r>
      <w:r w:rsidR="00114846">
        <w:rPr>
          <w:color w:val="000000"/>
        </w:rPr>
        <w:t>,</w:t>
      </w:r>
      <w:r w:rsidR="00114846" w:rsidRPr="00872680">
        <w:rPr>
          <w:color w:val="000000"/>
        </w:rPr>
        <w:t xml:space="preserve"> S</w:t>
      </w:r>
      <w:r w:rsidR="00114846">
        <w:rPr>
          <w:color w:val="000000"/>
        </w:rPr>
        <w:t>.</w:t>
      </w:r>
      <w:r w:rsidR="00114846" w:rsidRPr="00872680">
        <w:rPr>
          <w:color w:val="000000"/>
        </w:rPr>
        <w:t>, GARBADE</w:t>
      </w:r>
      <w:r w:rsidR="00114846">
        <w:rPr>
          <w:color w:val="000000"/>
        </w:rPr>
        <w:t>,</w:t>
      </w:r>
      <w:r w:rsidR="00114846" w:rsidRPr="00872680">
        <w:rPr>
          <w:color w:val="000000"/>
        </w:rPr>
        <w:t xml:space="preserve"> J</w:t>
      </w:r>
      <w:r w:rsidR="00114846">
        <w:rPr>
          <w:color w:val="000000"/>
        </w:rPr>
        <w:t>.</w:t>
      </w:r>
      <w:r w:rsidR="00114846" w:rsidRPr="00872680">
        <w:rPr>
          <w:color w:val="000000"/>
        </w:rPr>
        <w:t xml:space="preserve"> et al. Patient prosthesis mismatch affect short- and long- term outcomes after aortic valve replacement. </w:t>
      </w:r>
      <w:r w:rsidR="00114846" w:rsidRPr="005B3189">
        <w:rPr>
          <w:i/>
          <w:color w:val="000000"/>
        </w:rPr>
        <w:t>Eur J Cardiothorac Surg</w:t>
      </w:r>
      <w:r w:rsidR="00114846">
        <w:rPr>
          <w:color w:val="000000"/>
        </w:rPr>
        <w:t>,</w:t>
      </w:r>
      <w:r w:rsidR="00114846" w:rsidRPr="00872680">
        <w:rPr>
          <w:color w:val="000000"/>
        </w:rPr>
        <w:t xml:space="preserve"> 2006</w:t>
      </w:r>
      <w:r w:rsidR="00114846">
        <w:rPr>
          <w:color w:val="000000"/>
          <w:lang w:val="en-US"/>
        </w:rPr>
        <w:t>,</w:t>
      </w:r>
      <w:r w:rsidR="00114846">
        <w:rPr>
          <w:color w:val="000000"/>
        </w:rPr>
        <w:t xml:space="preserve"> 30,</w:t>
      </w:r>
      <w:r w:rsidR="00114846" w:rsidRPr="00872680">
        <w:rPr>
          <w:color w:val="000000"/>
        </w:rPr>
        <w:t xml:space="preserve"> </w:t>
      </w:r>
      <w:r w:rsidR="00114846">
        <w:rPr>
          <w:color w:val="000000"/>
        </w:rPr>
        <w:t xml:space="preserve">p. </w:t>
      </w:r>
      <w:r w:rsidR="00114846" w:rsidRPr="00872680">
        <w:rPr>
          <w:color w:val="000000"/>
        </w:rPr>
        <w:t xml:space="preserve">15-19 </w:t>
      </w:r>
    </w:p>
    <w:p/>
    <w:p/>
    <w:p/>
    <w:p/>
    <w:p/>
    <w:p/>
    <w:p/>
    <w:p/>
    <w:p/>
    <w:p/>
    <w:p/>
    <w:p/>
    <w:p/>
    <w:p/>
    <w:p/>
    <w:p/>
    <w:p/>
    <w:p/>
    <w:p/>
    <w:p/>
    <w:p/>
    <w:p/>
    <w:p/>
    <w:p/>
    <w:p/>
    <w:p/>
    <w:p/>
    <w:p/>
    <w:p/>
    <w:p>
      <w:pPr>
        <w:spacing w:line="360" w:lineRule="auto"/>
        <w:rPr>
          <w:b/>
        </w:rPr>
      </w:pPr>
      <w:r w:rsidR="00114846">
        <w:rPr>
          <w:b/>
        </w:rPr>
        <w:t>Seznam zkratek</w:t>
      </w:r>
    </w:p>
    <w:p>
      <w:pPr>
        <w:spacing w:line="360" w:lineRule="auto"/>
        <w:rPr>
          <w:b/>
        </w:rPr>
      </w:pPr>
    </w:p>
    <w:p>
      <w:pPr>
        <w:spacing w:line="360" w:lineRule="auto"/>
      </w:pPr>
      <w:r w:rsidR="00114846">
        <w:t>AR</w:t>
      </w:r>
      <w:r w:rsidR="00114846">
        <w:tab/>
      </w:r>
      <w:r w:rsidR="00114846">
        <w:tab/>
      </w:r>
      <w:r w:rsidR="00114846">
        <w:tab/>
      </w:r>
      <w:r w:rsidR="00114846">
        <w:tab/>
      </w:r>
      <w:r w:rsidR="00114846">
        <w:tab/>
        <w:t>aortální regurgitace</w:t>
      </w:r>
    </w:p>
    <w:p>
      <w:pPr>
        <w:spacing w:line="360" w:lineRule="auto"/>
      </w:pPr>
      <w:r w:rsidR="00114846">
        <w:t>AS</w:t>
      </w:r>
      <w:r w:rsidR="00114846">
        <w:tab/>
      </w:r>
      <w:r w:rsidR="00114846">
        <w:tab/>
      </w:r>
      <w:r w:rsidR="00114846">
        <w:tab/>
      </w:r>
      <w:r w:rsidR="00114846">
        <w:tab/>
      </w:r>
      <w:r w:rsidR="00114846">
        <w:tab/>
        <w:t>aortální stenóza</w:t>
      </w:r>
    </w:p>
    <w:p>
      <w:pPr>
        <w:spacing w:line="360" w:lineRule="auto"/>
        <w:ind w:left="3540" w:hanging="3540"/>
      </w:pPr>
      <w:r w:rsidR="00114846">
        <w:t>ASA</w:t>
      </w:r>
      <w:r w:rsidR="00114846">
        <w:tab/>
        <w:t>kyselina acetylsalicylová</w:t>
      </w:r>
    </w:p>
    <w:p>
      <w:pPr>
        <w:spacing w:line="360" w:lineRule="auto"/>
      </w:pPr>
      <w:r w:rsidR="00114846">
        <w:t>AVA</w:t>
      </w:r>
      <w:r w:rsidR="00114846">
        <w:tab/>
      </w:r>
      <w:r w:rsidR="00114846">
        <w:tab/>
      </w:r>
      <w:r w:rsidR="00114846">
        <w:tab/>
      </w:r>
      <w:r w:rsidR="00114846">
        <w:tab/>
      </w:r>
      <w:r w:rsidR="00114846">
        <w:tab/>
        <w:t>plocha ústí nativní chlopně</w:t>
      </w:r>
    </w:p>
    <w:p>
      <w:pPr>
        <w:spacing w:line="360" w:lineRule="auto"/>
        <w:ind w:left="3540" w:hanging="3540"/>
      </w:pPr>
      <w:r w:rsidR="00114846">
        <w:t>AVR</w:t>
      </w:r>
      <w:r w:rsidR="00114846">
        <w:tab/>
        <w:t xml:space="preserve">náhrada aortální chlopně </w:t>
      </w:r>
    </w:p>
    <w:p>
      <w:pPr>
        <w:spacing w:line="360" w:lineRule="auto"/>
        <w:ind w:left="3540" w:hanging="3540"/>
      </w:pPr>
      <w:r w:rsidR="00114846">
        <w:t>BSA</w:t>
      </w:r>
      <w:r w:rsidR="00114846">
        <w:tab/>
        <w:t>tělesný povrch nemocného</w:t>
      </w:r>
    </w:p>
    <w:p>
      <w:pPr>
        <w:spacing w:line="360" w:lineRule="auto"/>
      </w:pPr>
      <w:r w:rsidR="00114846">
        <w:t>EDD</w:t>
      </w:r>
      <w:r w:rsidR="00114846">
        <w:tab/>
      </w:r>
      <w:r w:rsidR="00114846">
        <w:tab/>
      </w:r>
      <w:r w:rsidR="00114846">
        <w:tab/>
      </w:r>
      <w:r w:rsidR="00114846">
        <w:tab/>
      </w:r>
      <w:r w:rsidR="00114846">
        <w:tab/>
        <w:t>end-diastolický rozměr levé komory</w:t>
      </w:r>
      <w:r w:rsidR="00114846">
        <w:tab/>
      </w:r>
    </w:p>
    <w:p>
      <w:pPr>
        <w:spacing w:line="360" w:lineRule="auto"/>
      </w:pPr>
      <w:r w:rsidR="00114846">
        <w:t>EF</w:t>
      </w:r>
      <w:r w:rsidR="00114846">
        <w:tab/>
      </w:r>
      <w:r w:rsidR="00114846">
        <w:tab/>
      </w:r>
      <w:r w:rsidR="00114846">
        <w:tab/>
      </w:r>
      <w:r w:rsidR="00114846">
        <w:tab/>
      </w:r>
      <w:r w:rsidR="00114846">
        <w:tab/>
        <w:t>ejekční frakce</w:t>
      </w:r>
    </w:p>
    <w:p>
      <w:pPr>
        <w:spacing w:line="360" w:lineRule="auto"/>
      </w:pPr>
      <w:r w:rsidR="00114846">
        <w:t>EOA</w:t>
      </w:r>
      <w:r w:rsidR="00114846">
        <w:tab/>
      </w:r>
      <w:r w:rsidR="00114846">
        <w:tab/>
      </w:r>
      <w:r w:rsidR="00114846">
        <w:tab/>
      </w:r>
      <w:r w:rsidR="00114846">
        <w:tab/>
      </w:r>
      <w:r w:rsidR="00114846">
        <w:tab/>
        <w:t>efektivní plocha ústí chlopně</w:t>
      </w:r>
    </w:p>
    <w:p>
      <w:pPr>
        <w:spacing w:line="360" w:lineRule="auto"/>
      </w:pPr>
      <w:r w:rsidR="00114846">
        <w:t>ESD</w:t>
      </w:r>
      <w:r w:rsidR="00114846">
        <w:tab/>
      </w:r>
      <w:r w:rsidR="00114846">
        <w:tab/>
      </w:r>
      <w:r w:rsidR="00114846">
        <w:tab/>
      </w:r>
      <w:r w:rsidR="00114846">
        <w:tab/>
      </w:r>
      <w:r w:rsidR="00114846">
        <w:tab/>
        <w:t>end-systolický rozměr levé komory</w:t>
      </w:r>
    </w:p>
    <w:p>
      <w:pPr>
        <w:spacing w:line="360" w:lineRule="auto"/>
        <w:ind w:left="3540" w:hanging="3540"/>
      </w:pPr>
      <w:r w:rsidR="00114846">
        <w:t>GOA</w:t>
      </w:r>
      <w:r w:rsidR="00114846">
        <w:tab/>
        <w:t>geometrická plocha ústí chlopně</w:t>
      </w:r>
    </w:p>
    <w:p>
      <w:pPr>
        <w:spacing w:line="360" w:lineRule="auto"/>
        <w:ind w:left="3540" w:hanging="3540"/>
      </w:pPr>
      <w:r w:rsidR="00114846">
        <w:t>iEOA</w:t>
      </w:r>
      <w:r w:rsidR="00114846">
        <w:tab/>
        <w:t>indexovaná efektivní plocha ústí chlopně (na tělesný povrch)</w:t>
      </w:r>
      <w:r w:rsidR="00114846">
        <w:tab/>
      </w:r>
    </w:p>
    <w:p>
      <w:pPr>
        <w:spacing w:line="360" w:lineRule="auto"/>
      </w:pPr>
      <w:r w:rsidR="00114846">
        <w:t>NYHA</w:t>
      </w:r>
      <w:r w:rsidR="00114846">
        <w:tab/>
      </w:r>
      <w:r w:rsidR="00114846">
        <w:tab/>
      </w:r>
      <w:r w:rsidR="00114846">
        <w:tab/>
      </w:r>
      <w:r w:rsidR="00114846">
        <w:tab/>
      </w:r>
      <w:r w:rsidR="00114846">
        <w:tab/>
        <w:t>definice dušnosti dle New York Heart Association</w:t>
      </w:r>
    </w:p>
    <w:p>
      <w:pPr>
        <w:spacing w:line="360" w:lineRule="auto"/>
      </w:pPr>
      <w:r w:rsidR="00114846">
        <w:t>PGmax</w:t>
      </w:r>
      <w:r w:rsidR="00114846">
        <w:tab/>
      </w:r>
      <w:r w:rsidR="00114846">
        <w:tab/>
      </w:r>
      <w:r w:rsidR="00114846">
        <w:tab/>
      </w:r>
      <w:r w:rsidR="00114846">
        <w:tab/>
        <w:t>maximální systolický gradient</w:t>
      </w:r>
    </w:p>
    <w:p>
      <w:pPr>
        <w:spacing w:line="360" w:lineRule="auto"/>
      </w:pPr>
      <w:r w:rsidR="00114846">
        <w:t>PGmean</w:t>
      </w:r>
      <w:r w:rsidR="00114846">
        <w:tab/>
      </w:r>
      <w:r w:rsidR="00114846">
        <w:tab/>
      </w:r>
      <w:r w:rsidR="00114846">
        <w:tab/>
      </w:r>
      <w:r w:rsidR="00114846">
        <w:tab/>
        <w:t>střední systolický gradient</w:t>
      </w:r>
    </w:p>
    <w:p>
      <w:pPr>
        <w:spacing w:line="360" w:lineRule="auto"/>
      </w:pPr>
      <w:r w:rsidR="00114846">
        <w:t>PPM</w:t>
      </w:r>
      <w:r w:rsidR="00114846">
        <w:tab/>
      </w:r>
      <w:r w:rsidR="00114846">
        <w:tab/>
      </w:r>
      <w:r w:rsidR="00114846">
        <w:tab/>
      </w:r>
      <w:r w:rsidR="00114846">
        <w:tab/>
      </w:r>
      <w:r w:rsidR="00114846">
        <w:tab/>
        <w:t>patient-prosthesis mismatch</w:t>
      </w:r>
    </w:p>
    <w:p>
      <w:pPr>
        <w:spacing w:line="360" w:lineRule="auto"/>
      </w:pPr>
      <w:r w:rsidR="00114846">
        <w:t>Vmax</w:t>
      </w:r>
      <w:r w:rsidR="00114846">
        <w:tab/>
      </w:r>
      <w:r w:rsidR="00114846">
        <w:tab/>
      </w:r>
      <w:r w:rsidR="00114846">
        <w:tab/>
      </w:r>
      <w:r w:rsidR="00114846">
        <w:tab/>
      </w:r>
      <w:r w:rsidR="00114846">
        <w:tab/>
        <w:t>vrcholová systolická rychlost</w:t>
      </w:r>
    </w:p>
    <w:p>
      <w:pPr>
        <w:spacing w:line="360" w:lineRule="auto"/>
        <w:rPr>
          <w:b/>
        </w:rPr>
      </w:pPr>
    </w:p>
    <w:p/>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b/>
        </w:rPr>
      </w:pPr>
      <w:r w:rsidR="00114846">
        <w:rPr>
          <w:b/>
        </w:rPr>
        <w:t>Souhrn:</w:t>
      </w:r>
    </w:p>
    <w:p>
      <w:pPr>
        <w:rPr>
          <w:b/>
        </w:rPr>
      </w:pPr>
    </w:p>
    <w:p>
      <w:pPr>
        <w:spacing w:line="360" w:lineRule="auto"/>
        <w:ind w:firstLine="708"/>
        <w:jc w:val="both"/>
      </w:pPr>
      <w:r w:rsidR="00114846">
        <w:t xml:space="preserve">Se stárnutím populace přibývá nemocných s aortální stenózou indikovaných k náhradě chlopně. Stále častěji jsou implantovány bioprotézy. Dlouhodobá funkce bez nutnosti antikoagulační léčby, vyvážená kratší životností je výhodná zvláště pro nemocné starší 65 let. </w:t>
      </w:r>
    </w:p>
    <w:p>
      <w:pPr>
        <w:spacing w:line="360" w:lineRule="auto"/>
        <w:jc w:val="both"/>
      </w:pPr>
      <w:r w:rsidR="00114846">
        <w:t xml:space="preserve">Od března 2002 do prosince 2006 bylo na Kardiochirurgické klinice v Olomouci </w:t>
      </w:r>
    </w:p>
    <w:p>
      <w:pPr>
        <w:spacing w:line="360" w:lineRule="auto"/>
        <w:jc w:val="both"/>
      </w:pPr>
      <w:r w:rsidR="00114846">
        <w:t>implantováno celkem 296 bioprotéz. Cílem studie bylo srovnání jejich hemodynamických parametrů. Implantovány byly bioprotézy výrobců Edwards Lifesciences, Irvine, U.S.A. (typy 2650, 2900, 3000), Sorin Biomedica, Saluggia, Italy (typy More, Soprano), St. Jude Medical, St. Paul, U.S.A. (typ Epic) a Medtronic, Minneapolis, U.S.A. (typ Mosaic). Před operací byly u všech nemocných dopplerometricky změřeny gradienty na aortální chlopni a změřena diastolická tloušťka septa a zadní stěny levé komory. Hodnocení bioprotéz probíhalo nejprve peroperačně, posuvným měřítkem byl změřen vnitřní průměr stentu – efektivního ústí bioprotézy. V pooperačním období byly dopplerometricky měřeny střední a vrcholové gradienty implantovaných bioprotéz, efektivní plocha ústí a tloušťka septa a zadní stěny levé komory.  Vyšetření byla provedena před propuštěním domů a poté v termínech 3 měsíce, půl roku, rok a dva roky po operaci.</w:t>
      </w:r>
    </w:p>
    <w:p>
      <w:pPr>
        <w:spacing w:line="360" w:lineRule="auto"/>
        <w:jc w:val="both"/>
      </w:pPr>
      <w:r w:rsidR="00114846">
        <w:tab/>
        <w:t xml:space="preserve">Bioprotézy stejné výrobcem uvedené velikosti se dle našich měření liší jak v průměru efektivního ústí, tak v  externím průměru implantačního prstence. Při výpočtu efektivní plochy ústí dopplerometricky nelze proto výrobcem danou velikost bioprotézy použít. Pouze u bioprotézy Sorin Soprano odpovídá výrobní velikost vnitřnímu průměru stentu chlopně, u toho výrobku je číslování v sudých číslech. </w:t>
      </w:r>
    </w:p>
    <w:p>
      <w:pPr>
        <w:spacing w:line="360" w:lineRule="auto"/>
        <w:jc w:val="both"/>
      </w:pPr>
      <w:r w:rsidR="00114846">
        <w:tab/>
        <w:t xml:space="preserve">Při porovnání středních a vrcholových gradientů byly zjištěny signifikantní rozdíly u bioprotéz nejčastěji implantovaných velikostí 21 a 23. Protézy Sorin More a Medtronic Mosaic dle našich výsledků měly gradienty signifikantně vyšší. U velikostí 25 a 27 nebyly rozdíly v gradientech signifikantní. V jednotlivých sledovaných pooperačních intervalech se již gradienty na bioprotézách signifikantně neměnily. Při porovnání bioprotéz dle efektivní plochy ústí nebyly zjištěny signifikantní rozdíly. </w:t>
      </w:r>
    </w:p>
    <w:p>
      <w:pPr>
        <w:spacing w:line="360" w:lineRule="auto"/>
        <w:ind w:firstLine="708"/>
        <w:jc w:val="both"/>
      </w:pPr>
      <w:r w:rsidR="00114846">
        <w:tab/>
        <w:t xml:space="preserve">U všech nemocných došlo po operaci k ústupu hypertrofie svaloviny levé komory. Při rozdělení souboru dle kritéria iEOA 0,65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 xml:space="preserve"> a 0,85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 xml:space="preserve"> nebyl mezi jednotlivými skupinami zjištěn statisticky signifikantní rozdíl v pooperační redukci tloušťky septa a zadní stěny levé komory. K redukci hypertrofie levé komory došlo dle našich výsledků již půl roku po operaci, v intervalech dalšího sledování se již statisticky signifikantně neměnila.</w:t>
      </w:r>
    </w:p>
    <w:p>
      <w:pPr>
        <w:spacing w:line="360" w:lineRule="auto"/>
        <w:rPr>
          <w:b/>
          <w:lang w:val="en-US"/>
        </w:rPr>
      </w:pPr>
    </w:p>
    <w:p>
      <w:pPr>
        <w:spacing w:line="360" w:lineRule="auto"/>
        <w:rPr>
          <w:b/>
          <w:lang w:val="en-US"/>
        </w:rPr>
      </w:pPr>
    </w:p>
    <w:p>
      <w:pPr>
        <w:spacing w:line="360" w:lineRule="auto"/>
        <w:rPr>
          <w:b/>
          <w:lang w:val="en-US"/>
        </w:rPr>
      </w:pPr>
      <w:r w:rsidR="00114846" w:rsidRPr="003F1EC9">
        <w:rPr>
          <w:b/>
          <w:lang w:val="en-US"/>
        </w:rPr>
        <w:t>Summary:</w:t>
      </w:r>
    </w:p>
    <w:p>
      <w:pPr>
        <w:spacing w:line="360" w:lineRule="auto"/>
        <w:rPr>
          <w:b/>
          <w:lang w:val="en-US"/>
        </w:rPr>
      </w:pPr>
    </w:p>
    <w:p>
      <w:pPr>
        <w:spacing w:line="360" w:lineRule="auto"/>
        <w:ind w:firstLine="708"/>
        <w:jc w:val="both"/>
        <w:rPr>
          <w:b/>
          <w:lang w:val="en-US"/>
        </w:rPr>
      </w:pPr>
      <w:r w:rsidR="00114846" w:rsidRPr="003F1EC9">
        <w:rPr>
          <w:lang w:val="en-US"/>
        </w:rPr>
        <w:t xml:space="preserve">The number of patients indicated for aortic valve replacement </w:t>
      </w:r>
      <w:r w:rsidR="00114846">
        <w:rPr>
          <w:lang w:val="en-US"/>
        </w:rPr>
        <w:t>increases</w:t>
      </w:r>
      <w:r w:rsidR="00114846" w:rsidRPr="003F1EC9">
        <w:rPr>
          <w:lang w:val="en-US"/>
        </w:rPr>
        <w:t xml:space="preserve"> as the population ages.</w:t>
      </w:r>
      <w:r w:rsidR="00114846">
        <w:rPr>
          <w:lang w:val="en-US"/>
        </w:rPr>
        <w:t xml:space="preserve"> Also the number of bioprostheses used is increasing. The main advantage of bioprostheses is long term function without anticoagulation treatment. Between March 2002 and December 2006, a total of 296 bioprostheses were implanted at our institution. Bioprostheses used were as follows: Edwards Lifesciences, Irvine, U.S.A. (type 2650, 2900, 3000), Sorin Biomedica, Saluggia, Italy (type More, Soprano), St. Jude Medical, St. Paul, U.S.A. (type Epic) and Medtronic, Minneapolis, U.S.A. (type Mosaic). We measured flow gradients through native valve and diastolic thickness of septum and back wall of left ventricle before surgery. During surgery before valve implantation we measured </w:t>
      </w:r>
      <w:r w:rsidR="00114846" w:rsidRPr="00676E55">
        <w:rPr>
          <w:color w:val="000000"/>
          <w:lang w:val="en-US"/>
        </w:rPr>
        <w:t>the inner and outer diameter of the bioprostheses</w:t>
      </w:r>
      <w:r w:rsidR="00114846">
        <w:rPr>
          <w:color w:val="000000"/>
          <w:lang w:val="en-US"/>
        </w:rPr>
        <w:t xml:space="preserve"> ring. Later on we measured flow gradients, </w:t>
      </w:r>
      <w:r w:rsidR="00114846">
        <w:rPr>
          <w:lang w:val="en-US"/>
        </w:rPr>
        <w:t>effective orifice area and left ventricle wall thickness postoperatively. Examinations were done before patient discharge and then on outpatient basis three months, six months, one year and two years postoperatively.</w:t>
      </w:r>
    </w:p>
    <w:p>
      <w:pPr>
        <w:spacing w:line="360" w:lineRule="auto"/>
        <w:jc w:val="both"/>
        <w:rPr>
          <w:b/>
        </w:rPr>
      </w:pPr>
      <w:r w:rsidR="00114846">
        <w:rPr>
          <w:b/>
        </w:rPr>
        <w:tab/>
      </w:r>
      <w:r w:rsidR="00114846" w:rsidRPr="00676E55">
        <w:rPr>
          <w:color w:val="000000"/>
          <w:lang w:val="en-US"/>
        </w:rPr>
        <w:t xml:space="preserve">The size of bioprostheses supplied by </w:t>
      </w:r>
      <w:r w:rsidR="00114846">
        <w:rPr>
          <w:color w:val="000000"/>
          <w:lang w:val="en-US"/>
        </w:rPr>
        <w:t xml:space="preserve">manufacturers were found to be </w:t>
      </w:r>
      <w:r w:rsidR="00114846" w:rsidRPr="00676E55">
        <w:rPr>
          <w:color w:val="000000"/>
          <w:lang w:val="en-US"/>
        </w:rPr>
        <w:t>different from what we measured: there appeared to be a little correspondence to either inner or outer valve diamet</w:t>
      </w:r>
      <w:r w:rsidR="00114846">
        <w:rPr>
          <w:color w:val="000000"/>
          <w:lang w:val="en-US"/>
        </w:rPr>
        <w:t>er.</w:t>
      </w:r>
      <w:r w:rsidR="00114846">
        <w:rPr>
          <w:lang w:val="en-US"/>
        </w:rPr>
        <w:t xml:space="preserve"> Size of bioprosthesis supplied by manufacturer cannot be used at continuity equation for effective orifice area calculation. </w:t>
      </w:r>
      <w:r w:rsidR="00114846">
        <w:rPr>
          <w:color w:val="000000"/>
          <w:lang w:val="en-US"/>
        </w:rPr>
        <w:t xml:space="preserve">Sorin </w:t>
      </w:r>
      <w:r w:rsidR="00114846" w:rsidRPr="00676E55">
        <w:rPr>
          <w:color w:val="000000"/>
          <w:lang w:val="en-US"/>
        </w:rPr>
        <w:t>(Soprano) alone showed the closest approximation</w:t>
      </w:r>
      <w:r w:rsidR="00114846">
        <w:rPr>
          <w:color w:val="000000"/>
          <w:lang w:val="en-US"/>
        </w:rPr>
        <w:t xml:space="preserve"> of manufacturer size and inner valve diameter.</w:t>
      </w:r>
    </w:p>
    <w:p>
      <w:pPr>
        <w:spacing w:line="360" w:lineRule="auto"/>
        <w:jc w:val="both"/>
        <w:rPr>
          <w:lang w:val="en-US"/>
        </w:rPr>
      </w:pPr>
      <w:r w:rsidR="00114846">
        <w:tab/>
      </w:r>
      <w:r w:rsidR="00114846" w:rsidRPr="00F50B25">
        <w:rPr>
          <w:lang w:val="en-US"/>
        </w:rPr>
        <w:t xml:space="preserve">There appeared </w:t>
      </w:r>
      <w:r w:rsidR="00114846">
        <w:rPr>
          <w:lang w:val="en-US"/>
        </w:rPr>
        <w:t>statistically significant differences between mean and peak gradients at different bioprostheses of size 21 and 23. Sorin More and Medtronic Mosaic showed higher flow gradients. Differences between gradients on bioprostheses 25 and 27 did not show significant. Postoperatively, flow gradients on same bioprosthesis during follow up did not showed statistically different. Effective orifice areas measured by doppler analysis did not showed statistical difference among different bioprostheses.</w:t>
      </w:r>
    </w:p>
    <w:p>
      <w:pPr>
        <w:spacing w:line="360" w:lineRule="auto"/>
        <w:jc w:val="both"/>
        <w:rPr>
          <w:lang w:val="en-US"/>
        </w:rPr>
      </w:pPr>
      <w:r w:rsidR="00114846">
        <w:tab/>
        <w:t xml:space="preserve"> </w:t>
      </w:r>
      <w:r w:rsidR="00114846">
        <w:rPr>
          <w:lang w:val="en-US"/>
        </w:rPr>
        <w:t>We have found regression of left ventricle hypertrophy in all patients studied. According to iEOA parameter set to 0</w:t>
      </w:r>
      <w:r w:rsidR="00114846">
        <w:t xml:space="preserve">,65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 xml:space="preserve"> and 0,85 </w:t>
      </w:r>
      <w:r w:rsidR="00114846" w:rsidRPr="00F40431">
        <w:t>cm</w:t>
      </w:r>
      <w:r w:rsidR="00114846">
        <w:rPr>
          <w:vertAlign w:val="superscript"/>
        </w:rPr>
        <w:t>2</w:t>
      </w:r>
      <w:r w:rsidR="00114846">
        <w:t>.m</w:t>
      </w:r>
      <w:r w:rsidR="00114846">
        <w:rPr>
          <w:vertAlign w:val="superscript"/>
          <w:lang w:val="en-US"/>
        </w:rPr>
        <w:t>-</w:t>
      </w:r>
      <w:r w:rsidR="00114846">
        <w:rPr>
          <w:vertAlign w:val="superscript"/>
        </w:rPr>
        <w:t>2</w:t>
      </w:r>
      <w:r w:rsidR="00114846">
        <w:t xml:space="preserve"> </w:t>
      </w:r>
      <w:r w:rsidR="00114846">
        <w:rPr>
          <w:lang w:val="en-US"/>
        </w:rPr>
        <w:t>for patient group division we did not find statistically significant difference in left ventricle hypertrophy reduction. We have shown reduction of left ventricle hypertrophy six months after surgery. During later folow up thickness of septum and back wall of left ventricle did not changed significantly.</w:t>
      </w:r>
    </w:p>
    <w:p>
      <w:pPr>
        <w:spacing w:line="360" w:lineRule="auto"/>
        <w:ind w:firstLine="708"/>
      </w:pPr>
      <w:r w:rsidR="00114846">
        <w:tab/>
        <w:t xml:space="preserve"> </w:t>
      </w:r>
    </w:p>
    <w:p>
      <w:pPr>
        <w:spacing w:line="360" w:lineRule="auto"/>
        <w:rPr>
          <w:b/>
        </w:rPr>
      </w:pPr>
    </w:p>
    <w:p>
      <w:pPr>
        <w:spacing w:line="360" w:lineRule="auto"/>
      </w:pPr>
    </w:p>
    <w:sectPr w:rsidR="00114846" w:rsidRPr="00CD3D08" w:rsidSect="0002165B">
      <w:footerReference w:type="default" r:id="rId41"/>
      <w:pgSz w:w="11906" w:h="16838"/>
      <w:pgMar w:top="1418" w:right="1418" w:bottom="1418" w:left="2268" w:header="709" w:footer="709" w:gutter="0"/>
      <w:cols w:space="708"/>
      <w:docGrid w:linePitch="360"/>
    </w:sectPr>
  </w:body>
</w:document>
</file>

<file path=word/endnotes.xml><?xml version="1.0" encoding="utf-8"?>
<w:endnotes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rsidR="00114846">
        <w:separator/>
      </w:r>
    </w:p>
  </w:endnote>
  <w:endnote w:type="continuationSeparator" w:id="1">
    <w:p>
      <w:r w:rsidR="00114846">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center"/>
    </w:pPr>
  </w:p>
  <w:p>
    <w:pPr>
      <w:pStyle w:val="Footer"/>
    </w:pPr>
  </w:p>
</w:ftr>
</file>

<file path=word/footnotes.xml><?xml version="1.0" encoding="utf-8"?>
<w:footnotes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rsidR="00114846">
        <w:separator/>
      </w:r>
    </w:p>
  </w:footnote>
  <w:footnote w:type="continuationSeparator" w:id="1">
    <w:p>
      <w:r w:rsidR="00114846">
        <w:continuationSeparator/>
      </w:r>
    </w:p>
  </w:footnote>
</w:footnotes>
</file>

<file path=word/numbering.xml><?xml version="1.0" encoding="utf-8"?>
<w:numbering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71F68"/>
    <w:multiLevelType w:val="hybridMultilevel"/>
    <w:tmpl w:val="6BE0DDAE"/>
    <w:lvl w:ilvl="0" w:tplc="FACE6D84">
      <w:numFmt w:val="bullet"/>
      <w:lvlText w:val="-"/>
      <w:lvlJc w:val="left"/>
      <w:pPr>
        <w:tabs>
          <w:tab w:val="num" w:pos="1065"/>
        </w:tabs>
        <w:ind w:left="1065" w:hanging="360"/>
      </w:pPr>
      <w:rPr>
        <w:rFonts w:ascii="Times New Roman" w:eastAsia="Times New Roman" w:hAnsi="Times New Roman" w:hint="default"/>
        <w:color w:val="auto"/>
      </w:rPr>
    </w:lvl>
    <w:lvl w:ilvl="1" w:tplc="04050003" w:tentative="1">
      <w:start w:val="1"/>
      <w:numFmt w:val="bullet"/>
      <w:lvlText w:val="o"/>
      <w:lvlJc w:val="left"/>
      <w:pPr>
        <w:tabs>
          <w:tab w:val="num" w:pos="1785"/>
        </w:tabs>
        <w:ind w:left="1785" w:hanging="360"/>
      </w:pPr>
      <w:rPr>
        <w:rFonts w:ascii="Courier New" w:hAnsi="Courier New" w:hint="default"/>
      </w:rPr>
    </w:lvl>
    <w:lvl w:ilvl="2" w:tplc="04050005" w:tentative="1">
      <w:start w:val="1"/>
      <w:numFmt w:val="bullet"/>
      <w:lvlText w:val=""/>
      <w:lvlJc w:val="left"/>
      <w:pPr>
        <w:tabs>
          <w:tab w:val="num" w:pos="2505"/>
        </w:tabs>
        <w:ind w:left="2505" w:hanging="360"/>
      </w:pPr>
      <w:rPr>
        <w:rFonts w:ascii="Wingdings" w:hAnsi="Wingdings" w:hint="default"/>
      </w:rPr>
    </w:lvl>
    <w:lvl w:ilvl="3" w:tplc="04050001" w:tentative="1">
      <w:start w:val="1"/>
      <w:numFmt w:val="bullet"/>
      <w:lvlText w:val=""/>
      <w:lvlJc w:val="left"/>
      <w:pPr>
        <w:tabs>
          <w:tab w:val="num" w:pos="3225"/>
        </w:tabs>
        <w:ind w:left="3225" w:hanging="360"/>
      </w:pPr>
      <w:rPr>
        <w:rFonts w:ascii="Symbol" w:hAnsi="Symbol" w:hint="default"/>
      </w:rPr>
    </w:lvl>
    <w:lvl w:ilvl="4" w:tplc="04050003" w:tentative="1">
      <w:start w:val="1"/>
      <w:numFmt w:val="bullet"/>
      <w:lvlText w:val="o"/>
      <w:lvlJc w:val="left"/>
      <w:pPr>
        <w:tabs>
          <w:tab w:val="num" w:pos="3945"/>
        </w:tabs>
        <w:ind w:left="3945" w:hanging="360"/>
      </w:pPr>
      <w:rPr>
        <w:rFonts w:ascii="Courier New" w:hAnsi="Courier New" w:hint="default"/>
      </w:rPr>
    </w:lvl>
    <w:lvl w:ilvl="5" w:tplc="04050005" w:tentative="1">
      <w:start w:val="1"/>
      <w:numFmt w:val="bullet"/>
      <w:lvlText w:val=""/>
      <w:lvlJc w:val="left"/>
      <w:pPr>
        <w:tabs>
          <w:tab w:val="num" w:pos="4665"/>
        </w:tabs>
        <w:ind w:left="4665" w:hanging="360"/>
      </w:pPr>
      <w:rPr>
        <w:rFonts w:ascii="Wingdings" w:hAnsi="Wingdings" w:hint="default"/>
      </w:rPr>
    </w:lvl>
    <w:lvl w:ilvl="6" w:tplc="04050001" w:tentative="1">
      <w:start w:val="1"/>
      <w:numFmt w:val="bullet"/>
      <w:lvlText w:val=""/>
      <w:lvlJc w:val="left"/>
      <w:pPr>
        <w:tabs>
          <w:tab w:val="num" w:pos="5385"/>
        </w:tabs>
        <w:ind w:left="5385" w:hanging="360"/>
      </w:pPr>
      <w:rPr>
        <w:rFonts w:ascii="Symbol" w:hAnsi="Symbol" w:hint="default"/>
      </w:rPr>
    </w:lvl>
    <w:lvl w:ilvl="7" w:tplc="04050003" w:tentative="1">
      <w:start w:val="1"/>
      <w:numFmt w:val="bullet"/>
      <w:lvlText w:val="o"/>
      <w:lvlJc w:val="left"/>
      <w:pPr>
        <w:tabs>
          <w:tab w:val="num" w:pos="6105"/>
        </w:tabs>
        <w:ind w:left="6105" w:hanging="360"/>
      </w:pPr>
      <w:rPr>
        <w:rFonts w:ascii="Courier New" w:hAnsi="Courier New" w:hint="default"/>
      </w:rPr>
    </w:lvl>
    <w:lvl w:ilvl="8" w:tplc="04050005" w:tentative="1">
      <w:start w:val="1"/>
      <w:numFmt w:val="bullet"/>
      <w:lvlText w:val=""/>
      <w:lvlJc w:val="left"/>
      <w:pPr>
        <w:tabs>
          <w:tab w:val="num" w:pos="6825"/>
        </w:tabs>
        <w:ind w:left="6825" w:hanging="360"/>
      </w:pPr>
      <w:rPr>
        <w:rFonts w:ascii="Wingdings" w:hAnsi="Wingdings" w:hint="default"/>
      </w:rPr>
    </w:lvl>
  </w:abstractNum>
  <w:abstractNum w:abstractNumId="1">
    <w:nsid w:val="04B244FB"/>
    <w:multiLevelType w:val="multilevel"/>
    <w:tmpl w:val="53A42D30"/>
    <w:lvl w:ilvl="0">
      <w:start w:val="7"/>
      <w:numFmt w:val="decimal"/>
      <w:lvlText w:val="%1"/>
      <w:lvlJc w:val="left"/>
      <w:pPr>
        <w:ind w:left="360" w:hanging="360"/>
      </w:pPr>
      <w:rPr>
        <w:rFonts w:cs="Times New Roman" w:hint="default"/>
      </w:rPr>
    </w:lvl>
    <w:lvl w:ilvl="1">
      <w:start w:val="5"/>
      <w:numFmt w:val="decimal"/>
      <w:lvlText w:val="%1.%2"/>
      <w:lvlJc w:val="left"/>
      <w:pPr>
        <w:ind w:left="1065" w:hanging="36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440" w:hanging="1800"/>
      </w:pPr>
      <w:rPr>
        <w:rFonts w:cs="Times New Roman" w:hint="default"/>
      </w:rPr>
    </w:lvl>
  </w:abstractNum>
  <w:abstractNum w:abstractNumId="2">
    <w:nsid w:val="05F7017D"/>
    <w:multiLevelType w:val="hybridMultilevel"/>
    <w:tmpl w:val="5220FADC"/>
    <w:lvl w:ilvl="0" w:tplc="169CA3EE">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102B623A"/>
    <w:multiLevelType w:val="hybridMultilevel"/>
    <w:tmpl w:val="7F4022D6"/>
    <w:lvl w:ilvl="0" w:tplc="1A9E9284">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1783256F"/>
    <w:multiLevelType w:val="multilevel"/>
    <w:tmpl w:val="9F143262"/>
    <w:lvl w:ilvl="0">
      <w:start w:val="6"/>
      <w:numFmt w:val="decimal"/>
      <w:lvlText w:val="%1"/>
      <w:lvlJc w:val="left"/>
      <w:pPr>
        <w:tabs>
          <w:tab w:val="num" w:pos="705"/>
        </w:tabs>
        <w:ind w:left="705" w:hanging="705"/>
      </w:pPr>
      <w:rPr>
        <w:rFonts w:cs="Times New Roman" w:hint="default"/>
      </w:rPr>
    </w:lvl>
    <w:lvl w:ilvl="1">
      <w:start w:val="4"/>
      <w:numFmt w:val="decimal"/>
      <w:lvlText w:val="%1.%2"/>
      <w:lvlJc w:val="left"/>
      <w:pPr>
        <w:tabs>
          <w:tab w:val="num" w:pos="1410"/>
        </w:tabs>
        <w:ind w:left="1410" w:hanging="705"/>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440"/>
        </w:tabs>
        <w:ind w:left="7440" w:hanging="1800"/>
      </w:pPr>
      <w:rPr>
        <w:rFonts w:cs="Times New Roman" w:hint="default"/>
      </w:rPr>
    </w:lvl>
  </w:abstractNum>
  <w:abstractNum w:abstractNumId="5">
    <w:nsid w:val="37A50619"/>
    <w:multiLevelType w:val="hybridMultilevel"/>
    <w:tmpl w:val="F59E631C"/>
    <w:lvl w:ilvl="0" w:tplc="440CD28C">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4B6642E9"/>
    <w:multiLevelType w:val="multilevel"/>
    <w:tmpl w:val="F7EA5B28"/>
    <w:lvl w:ilvl="0">
      <w:start w:val="10"/>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410"/>
        </w:tabs>
        <w:ind w:left="1410" w:hanging="705"/>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440"/>
        </w:tabs>
        <w:ind w:left="7440" w:hanging="1800"/>
      </w:pPr>
      <w:rPr>
        <w:rFonts w:cs="Times New Roman" w:hint="default"/>
      </w:rPr>
    </w:lvl>
  </w:abstractNum>
  <w:abstractNum w:abstractNumId="7">
    <w:nsid w:val="4E55538B"/>
    <w:multiLevelType w:val="hybridMultilevel"/>
    <w:tmpl w:val="7F64956C"/>
    <w:lvl w:ilvl="0" w:tplc="1E3E8164">
      <w:start w:val="1"/>
      <w:numFmt w:val="lowerLetter"/>
      <w:lvlText w:val="%1."/>
      <w:lvlJc w:val="left"/>
      <w:pPr>
        <w:tabs>
          <w:tab w:val="num" w:pos="1068"/>
        </w:tabs>
        <w:ind w:left="1068" w:hanging="360"/>
      </w:pPr>
      <w:rPr>
        <w:rFonts w:cs="Times New Roman" w:hint="default"/>
      </w:rPr>
    </w:lvl>
    <w:lvl w:ilvl="1" w:tplc="04050019" w:tentative="1">
      <w:start w:val="1"/>
      <w:numFmt w:val="lowerLetter"/>
      <w:lvlText w:val="%2."/>
      <w:lvlJc w:val="left"/>
      <w:pPr>
        <w:tabs>
          <w:tab w:val="num" w:pos="1788"/>
        </w:tabs>
        <w:ind w:left="1788" w:hanging="360"/>
      </w:pPr>
      <w:rPr>
        <w:rFonts w:cs="Times New Roman"/>
      </w:rPr>
    </w:lvl>
    <w:lvl w:ilvl="2" w:tplc="0405001B" w:tentative="1">
      <w:start w:val="1"/>
      <w:numFmt w:val="lowerRoman"/>
      <w:lvlText w:val="%3."/>
      <w:lvlJc w:val="right"/>
      <w:pPr>
        <w:tabs>
          <w:tab w:val="num" w:pos="2508"/>
        </w:tabs>
        <w:ind w:left="2508" w:hanging="180"/>
      </w:pPr>
      <w:rPr>
        <w:rFonts w:cs="Times New Roman"/>
      </w:rPr>
    </w:lvl>
    <w:lvl w:ilvl="3" w:tplc="0405000F" w:tentative="1">
      <w:start w:val="1"/>
      <w:numFmt w:val="decimal"/>
      <w:lvlText w:val="%4."/>
      <w:lvlJc w:val="left"/>
      <w:pPr>
        <w:tabs>
          <w:tab w:val="num" w:pos="3228"/>
        </w:tabs>
        <w:ind w:left="3228" w:hanging="360"/>
      </w:pPr>
      <w:rPr>
        <w:rFonts w:cs="Times New Roman"/>
      </w:rPr>
    </w:lvl>
    <w:lvl w:ilvl="4" w:tplc="04050019" w:tentative="1">
      <w:start w:val="1"/>
      <w:numFmt w:val="lowerLetter"/>
      <w:lvlText w:val="%5."/>
      <w:lvlJc w:val="left"/>
      <w:pPr>
        <w:tabs>
          <w:tab w:val="num" w:pos="3948"/>
        </w:tabs>
        <w:ind w:left="3948" w:hanging="360"/>
      </w:pPr>
      <w:rPr>
        <w:rFonts w:cs="Times New Roman"/>
      </w:rPr>
    </w:lvl>
    <w:lvl w:ilvl="5" w:tplc="0405001B" w:tentative="1">
      <w:start w:val="1"/>
      <w:numFmt w:val="lowerRoman"/>
      <w:lvlText w:val="%6."/>
      <w:lvlJc w:val="right"/>
      <w:pPr>
        <w:tabs>
          <w:tab w:val="num" w:pos="4668"/>
        </w:tabs>
        <w:ind w:left="4668" w:hanging="180"/>
      </w:pPr>
      <w:rPr>
        <w:rFonts w:cs="Times New Roman"/>
      </w:rPr>
    </w:lvl>
    <w:lvl w:ilvl="6" w:tplc="0405000F" w:tentative="1">
      <w:start w:val="1"/>
      <w:numFmt w:val="decimal"/>
      <w:lvlText w:val="%7."/>
      <w:lvlJc w:val="left"/>
      <w:pPr>
        <w:tabs>
          <w:tab w:val="num" w:pos="5388"/>
        </w:tabs>
        <w:ind w:left="5388" w:hanging="360"/>
      </w:pPr>
      <w:rPr>
        <w:rFonts w:cs="Times New Roman"/>
      </w:rPr>
    </w:lvl>
    <w:lvl w:ilvl="7" w:tplc="04050019" w:tentative="1">
      <w:start w:val="1"/>
      <w:numFmt w:val="lowerLetter"/>
      <w:lvlText w:val="%8."/>
      <w:lvlJc w:val="left"/>
      <w:pPr>
        <w:tabs>
          <w:tab w:val="num" w:pos="6108"/>
        </w:tabs>
        <w:ind w:left="6108" w:hanging="360"/>
      </w:pPr>
      <w:rPr>
        <w:rFonts w:cs="Times New Roman"/>
      </w:rPr>
    </w:lvl>
    <w:lvl w:ilvl="8" w:tplc="0405001B" w:tentative="1">
      <w:start w:val="1"/>
      <w:numFmt w:val="lowerRoman"/>
      <w:lvlText w:val="%9."/>
      <w:lvlJc w:val="right"/>
      <w:pPr>
        <w:tabs>
          <w:tab w:val="num" w:pos="6828"/>
        </w:tabs>
        <w:ind w:left="6828" w:hanging="180"/>
      </w:pPr>
      <w:rPr>
        <w:rFonts w:cs="Times New Roman"/>
      </w:rPr>
    </w:lvl>
  </w:abstractNum>
  <w:abstractNum w:abstractNumId="8">
    <w:nsid w:val="55817099"/>
    <w:multiLevelType w:val="multilevel"/>
    <w:tmpl w:val="F7EA5B28"/>
    <w:lvl w:ilvl="0">
      <w:start w:val="10"/>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410"/>
        </w:tabs>
        <w:ind w:left="1410" w:hanging="705"/>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440"/>
        </w:tabs>
        <w:ind w:left="7440" w:hanging="1800"/>
      </w:pPr>
      <w:rPr>
        <w:rFonts w:cs="Times New Roman" w:hint="default"/>
      </w:rPr>
    </w:lvl>
  </w:abstractNum>
  <w:abstractNum w:abstractNumId="9">
    <w:nsid w:val="7BA30105"/>
    <w:multiLevelType w:val="multilevel"/>
    <w:tmpl w:val="93E433E8"/>
    <w:lvl w:ilvl="0">
      <w:start w:val="7"/>
      <w:numFmt w:val="decimal"/>
      <w:lvlText w:val="%1"/>
      <w:lvlJc w:val="left"/>
      <w:pPr>
        <w:ind w:left="360" w:hanging="360"/>
      </w:pPr>
      <w:rPr>
        <w:rFonts w:cs="Times New Roman" w:hint="default"/>
      </w:rPr>
    </w:lvl>
    <w:lvl w:ilvl="1">
      <w:start w:val="3"/>
      <w:numFmt w:val="decimal"/>
      <w:lvlText w:val="%1.%2"/>
      <w:lvlJc w:val="left"/>
      <w:pPr>
        <w:ind w:left="1065" w:hanging="36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440" w:hanging="1800"/>
      </w:pPr>
      <w:rPr>
        <w:rFonts w:cs="Times New Roman" w:hint="default"/>
      </w:rPr>
    </w:lvl>
  </w:abstractNum>
  <w:num w:numId="1">
    <w:abstractNumId w:val="4"/>
  </w:num>
  <w:num w:numId="2">
    <w:abstractNumId w:val="8"/>
  </w:num>
  <w:num w:numId="3">
    <w:abstractNumId w:val="5"/>
  </w:num>
  <w:num w:numId="4">
    <w:abstractNumId w:val="7"/>
  </w:num>
  <w:num w:numId="5">
    <w:abstractNumId w:val="2"/>
  </w:num>
  <w:num w:numId="6">
    <w:abstractNumId w:val="3"/>
  </w:num>
  <w:num w:numId="7">
    <w:abstractNumId w:val="0"/>
  </w:num>
  <w:num w:numId="8">
    <w:abstractNumId w:val="1"/>
  </w:num>
  <w:num w:numId="9">
    <w:abstractNumId w:val="9"/>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stylePaneFormatFilter w:val="3F01"/>
  <w:defaultTabStop w:val="708"/>
  <w:hyphenationZone w:val="425"/>
  <w:drawingGridHorizontalSpacing w:val="181"/>
  <w:drawingGridVerticalSpacing w:val="181"/>
  <w:characterSpacingControl w:val="doNotCompress"/>
  <w:footnotePr>
    <w:footnote w:id="0"/>
    <w:footnote w:id="1"/>
  </w:footnotePr>
  <w:endnotePr>
    <w:endnote w:id="0"/>
    <w:endnote w:id="1"/>
  </w:endnotePr>
  <w:compat>
    <w:useAltKinsokuLineBreakRules/>
    <w:doNotSuppressIndentation/>
    <w:doNotAutofitConstrainedTables/>
    <w:autofitToFirstFixedWidthCell/>
    <w:displayHangulFixedWidth/>
    <w:splitPgBreakAndParaMark/>
  </w:compat>
  <w:rsids>
    <w:rsidRoot w:val="00E22A62"/>
    <w:rsid w:val="00004C1E"/>
    <w:rsid w:val="0000604C"/>
    <w:rsid w:val="00015333"/>
    <w:rsid w:val="0002165B"/>
    <w:rsid w:val="00047290"/>
    <w:rsid w:val="00052C9D"/>
    <w:rsid w:val="00062C8A"/>
    <w:rsid w:val="00074878"/>
    <w:rsid w:val="00076D57"/>
    <w:rsid w:val="00081E26"/>
    <w:rsid w:val="00095733"/>
    <w:rsid w:val="000B7A33"/>
    <w:rsid w:val="000C1640"/>
    <w:rsid w:val="000C39AE"/>
    <w:rsid w:val="000D502B"/>
    <w:rsid w:val="000E4FD7"/>
    <w:rsid w:val="001140E0"/>
    <w:rsid w:val="00114846"/>
    <w:rsid w:val="001172FC"/>
    <w:rsid w:val="001351DF"/>
    <w:rsid w:val="0013559B"/>
    <w:rsid w:val="00140C57"/>
    <w:rsid w:val="00163194"/>
    <w:rsid w:val="001718BC"/>
    <w:rsid w:val="00191B0E"/>
    <w:rsid w:val="001C184B"/>
    <w:rsid w:val="001C2640"/>
    <w:rsid w:val="001C2BDB"/>
    <w:rsid w:val="001C69A0"/>
    <w:rsid w:val="001E32CE"/>
    <w:rsid w:val="00201C86"/>
    <w:rsid w:val="00204F5A"/>
    <w:rsid w:val="002134B3"/>
    <w:rsid w:val="00222C25"/>
    <w:rsid w:val="002413E9"/>
    <w:rsid w:val="0024598B"/>
    <w:rsid w:val="00246503"/>
    <w:rsid w:val="0025287F"/>
    <w:rsid w:val="00290596"/>
    <w:rsid w:val="00291E11"/>
    <w:rsid w:val="00293A09"/>
    <w:rsid w:val="00297956"/>
    <w:rsid w:val="002A7C87"/>
    <w:rsid w:val="002B2E3E"/>
    <w:rsid w:val="002B69C9"/>
    <w:rsid w:val="002F01A0"/>
    <w:rsid w:val="00303B68"/>
    <w:rsid w:val="003214E9"/>
    <w:rsid w:val="00323E9B"/>
    <w:rsid w:val="0034358B"/>
    <w:rsid w:val="00385CEC"/>
    <w:rsid w:val="003A16E6"/>
    <w:rsid w:val="003C0707"/>
    <w:rsid w:val="003E2DC8"/>
    <w:rsid w:val="003E3D9E"/>
    <w:rsid w:val="003F1EC9"/>
    <w:rsid w:val="003F7C75"/>
    <w:rsid w:val="00407E08"/>
    <w:rsid w:val="0041214E"/>
    <w:rsid w:val="00424F1F"/>
    <w:rsid w:val="00433AB4"/>
    <w:rsid w:val="00441636"/>
    <w:rsid w:val="00446AA4"/>
    <w:rsid w:val="00455FB2"/>
    <w:rsid w:val="00463A4A"/>
    <w:rsid w:val="0048096D"/>
    <w:rsid w:val="004A6679"/>
    <w:rsid w:val="004C446F"/>
    <w:rsid w:val="004C543E"/>
    <w:rsid w:val="004D6001"/>
    <w:rsid w:val="004E2684"/>
    <w:rsid w:val="004F3CE6"/>
    <w:rsid w:val="004F421C"/>
    <w:rsid w:val="00502D9D"/>
    <w:rsid w:val="0051393A"/>
    <w:rsid w:val="005411F6"/>
    <w:rsid w:val="005649E7"/>
    <w:rsid w:val="00565CD6"/>
    <w:rsid w:val="005726E9"/>
    <w:rsid w:val="005735C9"/>
    <w:rsid w:val="00594F32"/>
    <w:rsid w:val="005B107F"/>
    <w:rsid w:val="005B2C37"/>
    <w:rsid w:val="005B3189"/>
    <w:rsid w:val="005C247F"/>
    <w:rsid w:val="005D05E7"/>
    <w:rsid w:val="005E143C"/>
    <w:rsid w:val="005E14B2"/>
    <w:rsid w:val="005E260A"/>
    <w:rsid w:val="005F6E90"/>
    <w:rsid w:val="0060115A"/>
    <w:rsid w:val="00607110"/>
    <w:rsid w:val="00617873"/>
    <w:rsid w:val="00626135"/>
    <w:rsid w:val="0063191C"/>
    <w:rsid w:val="00632DAD"/>
    <w:rsid w:val="0066021E"/>
    <w:rsid w:val="00672454"/>
    <w:rsid w:val="006760A0"/>
    <w:rsid w:val="00676E55"/>
    <w:rsid w:val="006A0B90"/>
    <w:rsid w:val="006B6920"/>
    <w:rsid w:val="006C2AAE"/>
    <w:rsid w:val="006D6826"/>
    <w:rsid w:val="006E30D3"/>
    <w:rsid w:val="006E3E62"/>
    <w:rsid w:val="00701B3C"/>
    <w:rsid w:val="007148E4"/>
    <w:rsid w:val="00717FA0"/>
    <w:rsid w:val="0073221B"/>
    <w:rsid w:val="007600A8"/>
    <w:rsid w:val="007811FF"/>
    <w:rsid w:val="00792434"/>
    <w:rsid w:val="007B6318"/>
    <w:rsid w:val="007B79B4"/>
    <w:rsid w:val="007B7E69"/>
    <w:rsid w:val="007C1885"/>
    <w:rsid w:val="007D2B83"/>
    <w:rsid w:val="007E2B9A"/>
    <w:rsid w:val="007E304A"/>
    <w:rsid w:val="007E5B5C"/>
    <w:rsid w:val="008135E1"/>
    <w:rsid w:val="00834F2A"/>
    <w:rsid w:val="00850868"/>
    <w:rsid w:val="00872680"/>
    <w:rsid w:val="008746CF"/>
    <w:rsid w:val="008A1E3F"/>
    <w:rsid w:val="008A2C5F"/>
    <w:rsid w:val="008B4A3A"/>
    <w:rsid w:val="008B5E3A"/>
    <w:rsid w:val="008B6456"/>
    <w:rsid w:val="008E3899"/>
    <w:rsid w:val="008F5996"/>
    <w:rsid w:val="008F77BE"/>
    <w:rsid w:val="00905F1E"/>
    <w:rsid w:val="009162A1"/>
    <w:rsid w:val="009246C5"/>
    <w:rsid w:val="00924820"/>
    <w:rsid w:val="00925E52"/>
    <w:rsid w:val="00953399"/>
    <w:rsid w:val="00954D04"/>
    <w:rsid w:val="00992DF4"/>
    <w:rsid w:val="009A45F2"/>
    <w:rsid w:val="009B5A57"/>
    <w:rsid w:val="00A04745"/>
    <w:rsid w:val="00A35B86"/>
    <w:rsid w:val="00A52E1E"/>
    <w:rsid w:val="00A57C04"/>
    <w:rsid w:val="00A80B79"/>
    <w:rsid w:val="00AB117E"/>
    <w:rsid w:val="00AB4B3F"/>
    <w:rsid w:val="00AC0F1C"/>
    <w:rsid w:val="00AD64ED"/>
    <w:rsid w:val="00AF0C3D"/>
    <w:rsid w:val="00AF3671"/>
    <w:rsid w:val="00B00F02"/>
    <w:rsid w:val="00B13CC2"/>
    <w:rsid w:val="00B15278"/>
    <w:rsid w:val="00B20DDB"/>
    <w:rsid w:val="00B233D2"/>
    <w:rsid w:val="00B2526D"/>
    <w:rsid w:val="00B310B7"/>
    <w:rsid w:val="00B62CA9"/>
    <w:rsid w:val="00B85B07"/>
    <w:rsid w:val="00B91E83"/>
    <w:rsid w:val="00BA2224"/>
    <w:rsid w:val="00BA7391"/>
    <w:rsid w:val="00BD1648"/>
    <w:rsid w:val="00BD2520"/>
    <w:rsid w:val="00BE7F2B"/>
    <w:rsid w:val="00C109EA"/>
    <w:rsid w:val="00C151D4"/>
    <w:rsid w:val="00C177D1"/>
    <w:rsid w:val="00C31522"/>
    <w:rsid w:val="00C44A8F"/>
    <w:rsid w:val="00C677EF"/>
    <w:rsid w:val="00C72A4C"/>
    <w:rsid w:val="00C87910"/>
    <w:rsid w:val="00CA321F"/>
    <w:rsid w:val="00CB1472"/>
    <w:rsid w:val="00CC2D2F"/>
    <w:rsid w:val="00CD0B78"/>
    <w:rsid w:val="00CD3D08"/>
    <w:rsid w:val="00CF2CDB"/>
    <w:rsid w:val="00D177ED"/>
    <w:rsid w:val="00D179DF"/>
    <w:rsid w:val="00D30485"/>
    <w:rsid w:val="00D30711"/>
    <w:rsid w:val="00D373A1"/>
    <w:rsid w:val="00D40BC0"/>
    <w:rsid w:val="00D64181"/>
    <w:rsid w:val="00D67F36"/>
    <w:rsid w:val="00D70EC7"/>
    <w:rsid w:val="00D76935"/>
    <w:rsid w:val="00D80781"/>
    <w:rsid w:val="00D83377"/>
    <w:rsid w:val="00D84293"/>
    <w:rsid w:val="00D84558"/>
    <w:rsid w:val="00DD4CFD"/>
    <w:rsid w:val="00DD66CB"/>
    <w:rsid w:val="00DE1B84"/>
    <w:rsid w:val="00E044A6"/>
    <w:rsid w:val="00E05A06"/>
    <w:rsid w:val="00E22A62"/>
    <w:rsid w:val="00E31568"/>
    <w:rsid w:val="00E33925"/>
    <w:rsid w:val="00E653E8"/>
    <w:rsid w:val="00E67390"/>
    <w:rsid w:val="00E81998"/>
    <w:rsid w:val="00E92E15"/>
    <w:rsid w:val="00EA1E9B"/>
    <w:rsid w:val="00EA5971"/>
    <w:rsid w:val="00EA7C8F"/>
    <w:rsid w:val="00EB2921"/>
    <w:rsid w:val="00EC0075"/>
    <w:rsid w:val="00EF21C0"/>
    <w:rsid w:val="00EF7C53"/>
    <w:rsid w:val="00F16B47"/>
    <w:rsid w:val="00F40431"/>
    <w:rsid w:val="00F50B25"/>
    <w:rsid w:val="00F53091"/>
    <w:rsid w:val="00F60E20"/>
    <w:rsid w:val="00F64460"/>
    <w:rsid w:val="00F97A32"/>
    <w:rsid w:val="00FA5502"/>
    <w:rsid w:val="00FB260A"/>
    <w:rsid w:val="00FB3B78"/>
    <w:rsid w:val="00FB42A6"/>
    <w:rsid w:val="00FB7956"/>
    <w:rsid w:val="00FF6C4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off" w:defUIPriority="99" w:defSemiHidden="on" w:defUnhideWhenUsed="on" w:defQFormat="off" w:count="266">
    <w:lsdException w:name="Normal" w:locked="on" w:semiHidden="off" w:uiPriority="0" w:unhideWhenUsed="off" w:qFormat="on"/>
    <w:lsdException w:name="heading 1" w:locked="on" w:semiHidden="off" w:uiPriority="0" w:unhideWhenUsed="off" w:qFormat="on"/>
    <w:lsdException w:name="heading 2" w:locked="on" w:semiHidden="off" w:uiPriority="0" w:unhideWhenUsed="off" w:qFormat="on"/>
    <w:lsdException w:name="heading 3" w:locked="on" w:semiHidden="off" w:uiPriority="0" w:unhideWhenUsed="off" w:qFormat="on"/>
    <w:lsdException w:name="heading 4" w:locked="on" w:uiPriority="0" w:qFormat="on"/>
    <w:lsdException w:name="heading 5" w:locked="on" w:uiPriority="0" w:qFormat="on"/>
    <w:lsdException w:name="heading 6" w:locked="on" w:uiPriority="0" w:qFormat="on"/>
    <w:lsdException w:name="heading 7" w:locked="on" w:uiPriority="0" w:qFormat="on"/>
    <w:lsdException w:name="heading 8" w:locked="on" w:uiPriority="0" w:qFormat="on"/>
    <w:lsdException w:name="heading 9" w:locked="on" w:uiPriority="0" w:qFormat="on"/>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on" w:semiHidden="off" w:uiPriority="0" w:unhideWhenUsed="off"/>
    <w:lsdException w:name="caption" w:locked="on" w:uiPriority="0" w:qFormat="on"/>
    <w:lsdException w:name="Title" w:locked="on" w:semiHidden="off" w:uiPriority="0" w:unhideWhenUsed="off" w:qFormat="on"/>
    <w:lsdException w:name="Default Paragraph Font" w:uiPriority="1"/>
    <w:lsdException w:name="Subtitle" w:locked="on" w:semiHidden="off" w:uiPriority="0" w:unhideWhenUsed="off" w:qFormat="on"/>
    <w:lsdException w:name="Strong" w:locked="on" w:semiHidden="off" w:uiPriority="0" w:unhideWhenUsed="off" w:qFormat="on"/>
    <w:lsdException w:name="Emphasis" w:locked="on" w:semiHidden="off" w:uiPriority="0" w:unhideWhenUsed="off" w:qFormat="on"/>
    <w:lsdException w:name="Table Grid" w:semiHidden="off" w:uiPriority="59" w:unhideWhenUsed="off"/>
    <w:lsdException w:name="Placeholder Text" w:unhideWhenUsed="off"/>
    <w:lsdException w:name="No Spacing" w:semiHidden="off" w:uiPriority="1" w:unhideWhenUsed="off" w:qFormat="on"/>
    <w:lsdException w:name="Light Shading" w:semiHidden="off" w:uiPriority="60" w:unhideWhenUsed="off"/>
    <w:lsdException w:name="Light List" w:semiHidden="off" w:uiPriority="61" w:unhideWhenUsed="off"/>
    <w:lsdException w:name="Light Grid" w:semiHidden="off" w:uiPriority="62" w:unhideWhenUsed="off"/>
    <w:lsdException w:name="Medium Shading 1" w:semiHidden="off" w:uiPriority="63" w:unhideWhenUsed="off"/>
    <w:lsdException w:name="Medium Shading 2" w:semiHidden="off" w:uiPriority="64" w:unhideWhenUsed="off"/>
    <w:lsdException w:name="Medium List 1" w:semiHidden="off" w:uiPriority="65" w:unhideWhenUsed="off"/>
    <w:lsdException w:name="Medium List 2" w:semiHidden="off" w:uiPriority="66" w:unhideWhenUsed="off"/>
    <w:lsdException w:name="Medium Grid 1" w:semiHidden="off" w:uiPriority="67" w:unhideWhenUsed="off"/>
    <w:lsdException w:name="Medium Grid 2" w:semiHidden="off" w:uiPriority="68" w:unhideWhenUsed="off"/>
    <w:lsdException w:name="Medium Grid 3" w:semiHidden="off" w:uiPriority="69" w:unhideWhenUsed="off"/>
    <w:lsdException w:name="Dark List" w:semiHidden="off" w:uiPriority="70" w:unhideWhenUsed="off"/>
    <w:lsdException w:name="Colorful Shading" w:semiHidden="off" w:uiPriority="71" w:unhideWhenUsed="off"/>
    <w:lsdException w:name="Colorful List" w:semiHidden="off" w:uiPriority="72" w:unhideWhenUsed="off"/>
    <w:lsdException w:name="Colorful Grid" w:semiHidden="off" w:uiPriority="73" w:unhideWhenUsed="off"/>
    <w:lsdException w:name="Light Shading Accent 1" w:semiHidden="off" w:uiPriority="60" w:unhideWhenUsed="off"/>
    <w:lsdException w:name="Light List Accent 1" w:semiHidden="off" w:uiPriority="61" w:unhideWhenUsed="off"/>
    <w:lsdException w:name="Light Grid Accent 1" w:semiHidden="off" w:uiPriority="62" w:unhideWhenUsed="off"/>
    <w:lsdException w:name="Medium Shading 1 Accent 1" w:semiHidden="off" w:uiPriority="63" w:unhideWhenUsed="off"/>
    <w:lsdException w:name="Medium Shading 2 Accent 1" w:semiHidden="off" w:uiPriority="64" w:unhideWhenUsed="off"/>
    <w:lsdException w:name="Medium List 1 Accent 1" w:semiHidden="off" w:uiPriority="65" w:unhideWhenUsed="off"/>
    <w:lsdException w:name="Revision" w:unhideWhenUsed="off"/>
    <w:lsdException w:name="List Paragraph" w:semiHidden="off" w:uiPriority="34" w:unhideWhenUsed="off" w:qFormat="on"/>
    <w:lsdException w:name="Quote" w:semiHidden="off" w:uiPriority="29" w:unhideWhenUsed="off" w:qFormat="on"/>
    <w:lsdException w:name="Intense Quote" w:semiHidden="off" w:uiPriority="30" w:unhideWhenUsed="off" w:qFormat="on"/>
    <w:lsdException w:name="Medium List 2 Accent 1" w:semiHidden="off" w:uiPriority="66" w:unhideWhenUsed="off"/>
    <w:lsdException w:name="Medium Grid 1 Accent 1" w:semiHidden="off" w:uiPriority="67" w:unhideWhenUsed="off"/>
    <w:lsdException w:name="Medium Grid 2 Accent 1" w:semiHidden="off" w:uiPriority="68" w:unhideWhenUsed="off"/>
    <w:lsdException w:name="Medium Grid 3 Accent 1" w:semiHidden="off" w:uiPriority="69" w:unhideWhenUsed="off"/>
    <w:lsdException w:name="Dark List Accent 1" w:semiHidden="off" w:uiPriority="70" w:unhideWhenUsed="off"/>
    <w:lsdException w:name="Colorful Shading Accent 1" w:semiHidden="off" w:uiPriority="71" w:unhideWhenUsed="off"/>
    <w:lsdException w:name="Colorful List Accent 1" w:semiHidden="off" w:uiPriority="72" w:unhideWhenUsed="off"/>
    <w:lsdException w:name="Colorful Grid Accent 1" w:semiHidden="off" w:uiPriority="73" w:unhideWhenUsed="off"/>
    <w:lsdException w:name="Light Shading Accent 2" w:semiHidden="off" w:uiPriority="60" w:unhideWhenUsed="off"/>
    <w:lsdException w:name="Light List Accent 2" w:semiHidden="off" w:uiPriority="61" w:unhideWhenUsed="off"/>
    <w:lsdException w:name="Light Grid Accent 2" w:semiHidden="off" w:uiPriority="62" w:unhideWhenUsed="off"/>
    <w:lsdException w:name="Medium Shading 1 Accent 2" w:semiHidden="off" w:uiPriority="63" w:unhideWhenUsed="off"/>
    <w:lsdException w:name="Medium Shading 2 Accent 2" w:semiHidden="off" w:uiPriority="64" w:unhideWhenUsed="off"/>
    <w:lsdException w:name="Medium List 1 Accent 2" w:semiHidden="off" w:uiPriority="65" w:unhideWhenUsed="off"/>
    <w:lsdException w:name="Medium List 2 Accent 2" w:semiHidden="off" w:uiPriority="66" w:unhideWhenUsed="off"/>
    <w:lsdException w:name="Medium Grid 1 Accent 2" w:semiHidden="off" w:uiPriority="67" w:unhideWhenUsed="off"/>
    <w:lsdException w:name="Medium Grid 2 Accent 2" w:semiHidden="off" w:uiPriority="68" w:unhideWhenUsed="off"/>
    <w:lsdException w:name="Medium Grid 3 Accent 2" w:semiHidden="off" w:uiPriority="69" w:unhideWhenUsed="off"/>
    <w:lsdException w:name="Dark List Accent 2" w:semiHidden="off" w:uiPriority="70" w:unhideWhenUsed="off"/>
    <w:lsdException w:name="Colorful Shading Accent 2" w:semiHidden="off" w:uiPriority="71" w:unhideWhenUsed="off"/>
    <w:lsdException w:name="Colorful List Accent 2" w:semiHidden="off" w:uiPriority="72" w:unhideWhenUsed="off"/>
    <w:lsdException w:name="Colorful Grid Accent 2" w:semiHidden="off" w:uiPriority="73" w:unhideWhenUsed="off"/>
    <w:lsdException w:name="Light Shading Accent 3" w:semiHidden="off" w:uiPriority="60" w:unhideWhenUsed="off"/>
    <w:lsdException w:name="Light List Accent 3" w:semiHidden="off" w:uiPriority="61" w:unhideWhenUsed="off"/>
    <w:lsdException w:name="Light Grid Accent 3" w:semiHidden="off" w:uiPriority="62" w:unhideWhenUsed="off"/>
    <w:lsdException w:name="Medium Shading 1 Accent 3" w:semiHidden="off" w:uiPriority="63" w:unhideWhenUsed="off"/>
    <w:lsdException w:name="Medium Shading 2 Accent 3" w:semiHidden="off" w:uiPriority="64" w:unhideWhenUsed="off"/>
    <w:lsdException w:name="Medium List 1 Accent 3" w:semiHidden="off" w:uiPriority="65" w:unhideWhenUsed="off"/>
    <w:lsdException w:name="Medium List 2 Accent 3" w:semiHidden="off" w:uiPriority="66" w:unhideWhenUsed="off"/>
    <w:lsdException w:name="Medium Grid 1 Accent 3" w:semiHidden="off" w:uiPriority="67" w:unhideWhenUsed="off"/>
    <w:lsdException w:name="Medium Grid 2 Accent 3" w:semiHidden="off" w:uiPriority="68" w:unhideWhenUsed="off"/>
    <w:lsdException w:name="Medium Grid 3 Accent 3" w:semiHidden="off" w:uiPriority="69" w:unhideWhenUsed="off"/>
    <w:lsdException w:name="Dark List Accent 3" w:semiHidden="off" w:uiPriority="70" w:unhideWhenUsed="off"/>
    <w:lsdException w:name="Colorful Shading Accent 3" w:semiHidden="off" w:uiPriority="71" w:unhideWhenUsed="off"/>
    <w:lsdException w:name="Colorful List Accent 3" w:semiHidden="off" w:uiPriority="72" w:unhideWhenUsed="off"/>
    <w:lsdException w:name="Colorful Grid Accent 3" w:semiHidden="off" w:uiPriority="73" w:unhideWhenUsed="off"/>
    <w:lsdException w:name="Light Shading Accent 4" w:semiHidden="off" w:uiPriority="60" w:unhideWhenUsed="off"/>
    <w:lsdException w:name="Light List Accent 4" w:semiHidden="off" w:uiPriority="61" w:unhideWhenUsed="off"/>
    <w:lsdException w:name="Light Grid Accent 4" w:semiHidden="off" w:uiPriority="62" w:unhideWhenUsed="off"/>
    <w:lsdException w:name="Medium Shading 1 Accent 4" w:semiHidden="off" w:uiPriority="63" w:unhideWhenUsed="off"/>
    <w:lsdException w:name="Medium Shading 2 Accent 4" w:semiHidden="off" w:uiPriority="64" w:unhideWhenUsed="off"/>
    <w:lsdException w:name="Medium List 1 Accent 4" w:semiHidden="off" w:uiPriority="65" w:unhideWhenUsed="off"/>
    <w:lsdException w:name="Medium List 2 Accent 4" w:semiHidden="off" w:uiPriority="66" w:unhideWhenUsed="off"/>
    <w:lsdException w:name="Medium Grid 1 Accent 4" w:semiHidden="off" w:uiPriority="67" w:unhideWhenUsed="off"/>
    <w:lsdException w:name="Medium Grid 2 Accent 4" w:semiHidden="off" w:uiPriority="68" w:unhideWhenUsed="off"/>
    <w:lsdException w:name="Medium Grid 3 Accent 4" w:semiHidden="off" w:uiPriority="69" w:unhideWhenUsed="off"/>
    <w:lsdException w:name="Dark List Accent 4" w:semiHidden="off" w:uiPriority="70" w:unhideWhenUsed="off"/>
    <w:lsdException w:name="Colorful Shading Accent 4" w:semiHidden="off" w:uiPriority="71" w:unhideWhenUsed="off"/>
    <w:lsdException w:name="Colorful List Accent 4" w:semiHidden="off" w:uiPriority="72" w:unhideWhenUsed="off"/>
    <w:lsdException w:name="Colorful Grid Accent 4" w:semiHidden="off" w:uiPriority="73" w:unhideWhenUsed="off"/>
    <w:lsdException w:name="Light Shading Accent 5" w:semiHidden="off" w:uiPriority="60" w:unhideWhenUsed="off"/>
    <w:lsdException w:name="Light List Accent 5" w:semiHidden="off" w:uiPriority="61" w:unhideWhenUsed="off"/>
    <w:lsdException w:name="Light Grid Accent 5" w:semiHidden="off" w:uiPriority="62" w:unhideWhenUsed="off"/>
    <w:lsdException w:name="Medium Shading 1 Accent 5" w:semiHidden="off" w:uiPriority="63" w:unhideWhenUsed="off"/>
    <w:lsdException w:name="Medium Shading 2 Accent 5" w:semiHidden="off" w:uiPriority="64" w:unhideWhenUsed="off"/>
    <w:lsdException w:name="Medium List 1 Accent 5" w:semiHidden="off" w:uiPriority="65" w:unhideWhenUsed="off"/>
    <w:lsdException w:name="Medium List 2 Accent 5" w:semiHidden="off" w:uiPriority="66" w:unhideWhenUsed="off"/>
    <w:lsdException w:name="Medium Grid 1 Accent 5" w:semiHidden="off" w:uiPriority="67" w:unhideWhenUsed="off"/>
    <w:lsdException w:name="Medium Grid 2 Accent 5" w:semiHidden="off" w:uiPriority="68" w:unhideWhenUsed="off"/>
    <w:lsdException w:name="Medium Grid 3 Accent 5" w:semiHidden="off" w:uiPriority="69" w:unhideWhenUsed="off"/>
    <w:lsdException w:name="Dark List Accent 5" w:semiHidden="off" w:uiPriority="70" w:unhideWhenUsed="off"/>
    <w:lsdException w:name="Colorful Shading Accent 5" w:semiHidden="off" w:uiPriority="71" w:unhideWhenUsed="off"/>
    <w:lsdException w:name="Colorful List Accent 5" w:semiHidden="off" w:uiPriority="72" w:unhideWhenUsed="off"/>
    <w:lsdException w:name="Colorful Grid Accent 5" w:semiHidden="off" w:uiPriority="73" w:unhideWhenUsed="off"/>
    <w:lsdException w:name="Light Shading Accent 6" w:semiHidden="off" w:uiPriority="60" w:unhideWhenUsed="off"/>
    <w:lsdException w:name="Light List Accent 6" w:semiHidden="off" w:uiPriority="61" w:unhideWhenUsed="off"/>
    <w:lsdException w:name="Light Grid Accent 6" w:semiHidden="off" w:uiPriority="62" w:unhideWhenUsed="off"/>
    <w:lsdException w:name="Medium Shading 1 Accent 6" w:semiHidden="off" w:uiPriority="63" w:unhideWhenUsed="off"/>
    <w:lsdException w:name="Medium Shading 2 Accent 6" w:semiHidden="off" w:uiPriority="64" w:unhideWhenUsed="off"/>
    <w:lsdException w:name="Medium List 1 Accent 6" w:semiHidden="off" w:uiPriority="65" w:unhideWhenUsed="off"/>
    <w:lsdException w:name="Medium List 2 Accent 6" w:semiHidden="off" w:uiPriority="66" w:unhideWhenUsed="off"/>
    <w:lsdException w:name="Medium Grid 1 Accent 6" w:semiHidden="off" w:uiPriority="67" w:unhideWhenUsed="off"/>
    <w:lsdException w:name="Medium Grid 2 Accent 6" w:semiHidden="off" w:uiPriority="68" w:unhideWhenUsed="off"/>
    <w:lsdException w:name="Medium Grid 3 Accent 6" w:semiHidden="off" w:uiPriority="69" w:unhideWhenUsed="off"/>
    <w:lsdException w:name="Dark List Accent 6" w:semiHidden="off" w:uiPriority="70" w:unhideWhenUsed="off"/>
    <w:lsdException w:name="Colorful Shading Accent 6" w:semiHidden="off" w:uiPriority="71" w:unhideWhenUsed="off"/>
    <w:lsdException w:name="Colorful List Accent 6" w:semiHidden="off" w:uiPriority="72" w:unhideWhenUsed="off"/>
    <w:lsdException w:name="Colorful Grid Accent 6" w:semiHidden="off" w:uiPriority="73" w:unhideWhenUsed="off"/>
    <w:lsdException w:name="Subtle Emphasis" w:semiHidden="off" w:uiPriority="19" w:unhideWhenUsed="off" w:qFormat="on"/>
    <w:lsdException w:name="Intense Emphasis" w:semiHidden="off" w:uiPriority="21" w:unhideWhenUsed="off" w:qFormat="on"/>
    <w:lsdException w:name="Subtle Reference" w:semiHidden="off" w:uiPriority="31" w:unhideWhenUsed="off" w:qFormat="on"/>
    <w:lsdException w:name="Intense Reference" w:semiHidden="off" w:uiPriority="32" w:unhideWhenUsed="off" w:qFormat="on"/>
    <w:lsdException w:name="Book Title" w:semiHidden="off" w:uiPriority="33" w:unhideWhenUsed="off" w:qFormat="on"/>
    <w:lsdException w:name="Bibliography" w:uiPriority="37"/>
  </w:latentStyles>
  <w:style w:type="paragraph" w:default="1" w:styleId="Normal">
    <w:name w:val="Normal"/>
    <w:qFormat/>
    <w:rsid w:val="005C247F"/>
    <w:rPr>
      <w:sz w:val="24"/>
      <w:szCs w:val="24"/>
    </w:rPr>
  </w:style>
  <w:style w:type="paragraph" w:styleId="Heading1">
    <w:name w:val="heading 1"/>
    <w:basedOn w:val="Normal"/>
    <w:next w:val="Normal"/>
    <w:link w:val="Heading1Char"/>
    <w:uiPriority w:val="99"/>
    <w:qFormat/>
    <w:rsid w:val="00E22A62"/>
    <w:pPr>
      <w:keepNext/>
      <w:outlineLvl w:val="0"/>
    </w:pPr>
    <w:rPr>
      <w:b/>
      <w:bCs/>
    </w:rPr>
  </w:style>
  <w:style w:type="paragraph" w:styleId="Heading2">
    <w:name w:val="heading 2"/>
    <w:basedOn w:val="Normal"/>
    <w:next w:val="Normal"/>
    <w:link w:val="Heading2Char"/>
    <w:uiPriority w:val="99"/>
    <w:qFormat/>
    <w:rsid w:val="00E22A62"/>
    <w:pPr>
      <w:keepNext/>
      <w:spacing w:line="360" w:lineRule="auto"/>
      <w:outlineLvl w:val="1"/>
    </w:pPr>
    <w:rPr>
      <w:b/>
      <w:bCs/>
    </w:rPr>
  </w:style>
  <w:style w:type="paragraph" w:styleId="Heading3">
    <w:name w:val="heading 3"/>
    <w:basedOn w:val="Normal"/>
    <w:next w:val="Normal"/>
    <w:link w:val="Heading3Char"/>
    <w:uiPriority w:val="99"/>
    <w:qFormat/>
    <w:rsid w:val="00E22A62"/>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59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CB1594"/>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CB1594"/>
    <w:rPr>
      <w:rFonts w:asciiTheme="majorHAnsi" w:eastAsiaTheme="majorEastAsia" w:hAnsiTheme="majorHAnsi" w:cstheme="majorBidi"/>
      <w:b/>
      <w:bCs/>
      <w:sz w:val="26"/>
      <w:szCs w:val="26"/>
    </w:rPr>
  </w:style>
  <w:style w:type="paragraph" w:styleId="Title">
    <w:name w:val="Title"/>
    <w:basedOn w:val="Normal"/>
    <w:link w:val="TitleChar"/>
    <w:uiPriority w:val="99"/>
    <w:qFormat/>
    <w:rsid w:val="00E22A62"/>
    <w:pPr>
      <w:jc w:val="center"/>
    </w:pPr>
    <w:rPr>
      <w:b/>
      <w:bCs/>
    </w:rPr>
  </w:style>
  <w:style w:type="character" w:customStyle="1" w:styleId="TitleChar">
    <w:name w:val="Title Char"/>
    <w:basedOn w:val="DefaultParagraphFont"/>
    <w:link w:val="Title"/>
    <w:uiPriority w:val="10"/>
    <w:rsid w:val="00CB1594"/>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rsid w:val="00E22A62"/>
    <w:pPr>
      <w:spacing w:line="360" w:lineRule="auto"/>
      <w:ind w:firstLine="708"/>
    </w:pPr>
  </w:style>
  <w:style w:type="character" w:customStyle="1" w:styleId="BodyTextIndentChar">
    <w:name w:val="Body Text Indent Char"/>
    <w:basedOn w:val="DefaultParagraphFont"/>
    <w:link w:val="BodyTextIndent"/>
    <w:uiPriority w:val="99"/>
    <w:semiHidden/>
    <w:rsid w:val="00CB1594"/>
    <w:rPr>
      <w:sz w:val="24"/>
      <w:szCs w:val="24"/>
    </w:rPr>
  </w:style>
  <w:style w:type="paragraph" w:styleId="NormalWeb">
    <w:name w:val="Normal (Web)"/>
    <w:basedOn w:val="Normal"/>
    <w:uiPriority w:val="99"/>
    <w:rsid w:val="00E22A62"/>
    <w:pPr>
      <w:spacing w:before="100" w:beforeAutospacing="1" w:after="100" w:afterAutospacing="1"/>
    </w:pPr>
    <w:rPr>
      <w:rFonts w:ascii="Arial Unicode MS" w:eastAsia="Arial Unicode MS" w:hAnsi="Arial Unicode MS" w:cs="Arial Unicode MS"/>
    </w:rPr>
  </w:style>
  <w:style w:type="paragraph" w:styleId="BodyText">
    <w:name w:val="Body Text"/>
    <w:basedOn w:val="Normal"/>
    <w:link w:val="BodyTextChar"/>
    <w:uiPriority w:val="99"/>
    <w:rsid w:val="00E22A62"/>
    <w:pPr>
      <w:spacing w:after="120"/>
    </w:pPr>
  </w:style>
  <w:style w:type="character" w:customStyle="1" w:styleId="BodyTextChar">
    <w:name w:val="Body Text Char"/>
    <w:basedOn w:val="DefaultParagraphFont"/>
    <w:link w:val="BodyText"/>
    <w:uiPriority w:val="99"/>
    <w:semiHidden/>
    <w:rsid w:val="00CB1594"/>
    <w:rPr>
      <w:sz w:val="24"/>
      <w:szCs w:val="24"/>
    </w:rPr>
  </w:style>
  <w:style w:type="character" w:styleId="Strong">
    <w:name w:val="Strong"/>
    <w:basedOn w:val="DefaultParagraphFont"/>
    <w:uiPriority w:val="99"/>
    <w:qFormat/>
    <w:rsid w:val="00E22A62"/>
    <w:rPr>
      <w:rFonts w:cs="Times New Roman"/>
      <w:b/>
      <w:bCs/>
    </w:rPr>
  </w:style>
  <w:style w:type="character" w:styleId="CommentReference">
    <w:name w:val="annotation reference"/>
    <w:basedOn w:val="DefaultParagraphFont"/>
    <w:uiPriority w:val="99"/>
    <w:rsid w:val="00D373A1"/>
    <w:rPr>
      <w:rFonts w:cs="Times New Roman"/>
      <w:sz w:val="16"/>
      <w:szCs w:val="16"/>
    </w:rPr>
  </w:style>
  <w:style w:type="paragraph" w:styleId="CommentText">
    <w:name w:val="annotation text"/>
    <w:basedOn w:val="Normal"/>
    <w:link w:val="CommentTextChar"/>
    <w:uiPriority w:val="99"/>
    <w:rsid w:val="00D373A1"/>
    <w:rPr>
      <w:sz w:val="20"/>
      <w:szCs w:val="20"/>
    </w:rPr>
  </w:style>
  <w:style w:type="character" w:customStyle="1" w:styleId="CommentTextChar">
    <w:name w:val="Comment Text Char"/>
    <w:basedOn w:val="DefaultParagraphFont"/>
    <w:link w:val="CommentText"/>
    <w:uiPriority w:val="99"/>
    <w:locked/>
    <w:rsid w:val="00D373A1"/>
    <w:rPr>
      <w:rFonts w:cs="Times New Roman"/>
    </w:rPr>
  </w:style>
  <w:style w:type="paragraph" w:styleId="CommentSubject">
    <w:name w:val="annotation subject"/>
    <w:basedOn w:val="CommentText"/>
    <w:next w:val="CommentText"/>
    <w:link w:val="CommentSubjectChar"/>
    <w:uiPriority w:val="99"/>
    <w:rsid w:val="00D373A1"/>
    <w:rPr>
      <w:b/>
      <w:bCs/>
    </w:rPr>
  </w:style>
  <w:style w:type="character" w:customStyle="1" w:styleId="CommentSubjectChar">
    <w:name w:val="Comment Subject Char"/>
    <w:basedOn w:val="CommentTextChar"/>
    <w:link w:val="CommentSubject"/>
    <w:uiPriority w:val="99"/>
    <w:locked/>
    <w:rsid w:val="00D373A1"/>
    <w:rPr>
      <w:b/>
      <w:bCs/>
    </w:rPr>
  </w:style>
  <w:style w:type="paragraph" w:styleId="BalloonText">
    <w:name w:val="Balloon Text"/>
    <w:basedOn w:val="Normal"/>
    <w:link w:val="BalloonTextChar"/>
    <w:uiPriority w:val="99"/>
    <w:rsid w:val="00D373A1"/>
    <w:rPr>
      <w:rFonts w:ascii="Tahoma" w:hAnsi="Tahoma" w:cs="Tahoma"/>
      <w:sz w:val="16"/>
      <w:szCs w:val="16"/>
    </w:rPr>
  </w:style>
  <w:style w:type="character" w:customStyle="1" w:styleId="BalloonTextChar">
    <w:name w:val="Balloon Text Char"/>
    <w:basedOn w:val="DefaultParagraphFont"/>
    <w:link w:val="BalloonText"/>
    <w:uiPriority w:val="99"/>
    <w:locked/>
    <w:rsid w:val="00D373A1"/>
    <w:rPr>
      <w:rFonts w:ascii="Tahoma" w:hAnsi="Tahoma" w:cs="Tahoma"/>
      <w:sz w:val="16"/>
      <w:szCs w:val="16"/>
    </w:rPr>
  </w:style>
  <w:style w:type="paragraph" w:styleId="Header">
    <w:name w:val="header"/>
    <w:basedOn w:val="Normal"/>
    <w:link w:val="HeaderChar"/>
    <w:uiPriority w:val="99"/>
    <w:rsid w:val="00953399"/>
    <w:pPr>
      <w:tabs>
        <w:tab w:val="center" w:pos="4536"/>
        <w:tab w:val="right" w:pos="9072"/>
      </w:tabs>
    </w:pPr>
  </w:style>
  <w:style w:type="character" w:customStyle="1" w:styleId="HeaderChar">
    <w:name w:val="Header Char"/>
    <w:basedOn w:val="DefaultParagraphFont"/>
    <w:link w:val="Header"/>
    <w:uiPriority w:val="99"/>
    <w:locked/>
    <w:rsid w:val="00953399"/>
    <w:rPr>
      <w:rFonts w:cs="Times New Roman"/>
      <w:sz w:val="24"/>
      <w:szCs w:val="24"/>
    </w:rPr>
  </w:style>
  <w:style w:type="paragraph" w:styleId="Footer">
    <w:name w:val="footer"/>
    <w:basedOn w:val="Normal"/>
    <w:link w:val="FooterChar"/>
    <w:uiPriority w:val="99"/>
    <w:rsid w:val="00953399"/>
    <w:pPr>
      <w:tabs>
        <w:tab w:val="center" w:pos="4536"/>
        <w:tab w:val="right" w:pos="9072"/>
      </w:tabs>
    </w:pPr>
  </w:style>
  <w:style w:type="character" w:customStyle="1" w:styleId="FooterChar">
    <w:name w:val="Footer Char"/>
    <w:basedOn w:val="DefaultParagraphFont"/>
    <w:link w:val="Footer"/>
    <w:uiPriority w:val="99"/>
    <w:locked/>
    <w:rsid w:val="00953399"/>
    <w:rPr>
      <w:rFonts w:cs="Times New Roman"/>
      <w:sz w:val="24"/>
      <w:szCs w:val="24"/>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wmf"/><Relationship Id="rId26" Type="http://schemas.openxmlformats.org/officeDocument/2006/relationships/image" Target="media/image17.emf"/><Relationship Id="rId39" Type="http://schemas.openxmlformats.org/officeDocument/2006/relationships/image" Target="media/image27.emf"/><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oleObject" Target="embeddings/oleObject3.bin"/><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jpeg"/><Relationship Id="rId29" Type="http://schemas.openxmlformats.org/officeDocument/2006/relationships/image" Target="media/image20.emf"/><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6.emf"/><Relationship Id="rId40"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oleObject" Target="embeddings/oleObject4.bin"/><Relationship Id="rId10" Type="http://schemas.openxmlformats.org/officeDocument/2006/relationships/image" Target="media/image3.jpeg"/><Relationship Id="rId19" Type="http://schemas.openxmlformats.org/officeDocument/2006/relationships/oleObject" Target="embeddings/oleObject2.bin"/><Relationship Id="rId31"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image" Target="http://upload.wikimedia.org/math/1/4/3/143e5baa47650e6012ea786ae29572bb.png" TargetMode="External"/><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5.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72</Pages>
  <Words>15105</Words>
  <Characters>-32766</Characters>
  <Application>Microsoft Office Outlook</Application>
  <DocSecurity>0</DocSecurity>
  <Lines>0</Lines>
  <Paragraphs>0</Paragraphs>
  <ScaleCrop>false</ScaleCrop>
  <Company>Fakultní nemocnice Olomouc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UNIVERZITA PALACKÉHO V OLOMOUCI</dc:title>
  <dc:subject/>
  <dc:creator>kchirodd</dc:creator>
  <cp:keywords/>
  <dc:description/>
  <cp:lastModifiedBy>user</cp:lastModifiedBy>
  <cp:revision>2</cp:revision>
  <dcterms:created xsi:type="dcterms:W3CDTF">2009-04-22T06:16:00Z</dcterms:created>
  <dcterms:modified xsi:type="dcterms:W3CDTF">2009-04-22T06:16:00Z</dcterms:modified>
</cp:coreProperties>
</file>