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08" w:rsidRDefault="007F44C2" w:rsidP="007F44C2">
      <w:pPr>
        <w:spacing w:line="240" w:lineRule="auto"/>
        <w:jc w:val="center"/>
        <w:rPr>
          <w:rFonts w:cs="Times New Roman"/>
          <w:b/>
          <w:sz w:val="32"/>
        </w:rPr>
      </w:pPr>
      <w:r>
        <w:rPr>
          <w:rFonts w:cs="Times New Roman"/>
          <w:b/>
          <w:sz w:val="32"/>
        </w:rPr>
        <w:t>Univerzita Palackého</w:t>
      </w:r>
      <w:r w:rsidR="00153108">
        <w:rPr>
          <w:rFonts w:cs="Times New Roman"/>
          <w:b/>
          <w:sz w:val="32"/>
        </w:rPr>
        <w:t xml:space="preserve"> v Olomouci</w:t>
      </w:r>
    </w:p>
    <w:p w:rsidR="00404627" w:rsidRDefault="007F44C2" w:rsidP="007F44C2">
      <w:pPr>
        <w:spacing w:line="240" w:lineRule="auto"/>
        <w:jc w:val="center"/>
        <w:rPr>
          <w:rFonts w:cs="Times New Roman"/>
          <w:b/>
          <w:sz w:val="32"/>
        </w:rPr>
      </w:pPr>
      <w:r>
        <w:rPr>
          <w:rFonts w:cs="Times New Roman"/>
          <w:b/>
          <w:sz w:val="32"/>
        </w:rPr>
        <w:t xml:space="preserve"> Filozofická fakulta</w:t>
      </w:r>
    </w:p>
    <w:p w:rsidR="007F44C2" w:rsidRDefault="007F44C2" w:rsidP="007F44C2">
      <w:pPr>
        <w:spacing w:line="240" w:lineRule="auto"/>
        <w:jc w:val="center"/>
        <w:rPr>
          <w:rFonts w:cs="Times New Roman"/>
          <w:sz w:val="32"/>
        </w:rPr>
      </w:pPr>
      <w:r>
        <w:rPr>
          <w:rFonts w:cs="Times New Roman"/>
          <w:b/>
          <w:sz w:val="32"/>
        </w:rPr>
        <w:t>Katedra politologie a evropských studií</w:t>
      </w:r>
    </w:p>
    <w:p w:rsidR="007F44C2" w:rsidRDefault="007F44C2" w:rsidP="007F44C2">
      <w:pPr>
        <w:spacing w:line="240" w:lineRule="auto"/>
        <w:jc w:val="center"/>
        <w:rPr>
          <w:rFonts w:cs="Times New Roman"/>
          <w:sz w:val="32"/>
        </w:rPr>
      </w:pPr>
    </w:p>
    <w:p w:rsidR="007F44C2" w:rsidRDefault="007F44C2" w:rsidP="007F44C2">
      <w:pPr>
        <w:spacing w:line="240" w:lineRule="auto"/>
        <w:jc w:val="center"/>
        <w:rPr>
          <w:rFonts w:cs="Times New Roman"/>
          <w:sz w:val="28"/>
        </w:rPr>
      </w:pPr>
    </w:p>
    <w:p w:rsidR="002D7E5E" w:rsidRDefault="002D7E5E" w:rsidP="007F44C2">
      <w:pPr>
        <w:spacing w:line="240" w:lineRule="auto"/>
        <w:jc w:val="center"/>
        <w:rPr>
          <w:rFonts w:cs="Times New Roman"/>
          <w:sz w:val="28"/>
        </w:rPr>
      </w:pPr>
    </w:p>
    <w:p w:rsidR="002D7E5E" w:rsidRDefault="002D7E5E" w:rsidP="007F44C2">
      <w:pPr>
        <w:spacing w:line="240" w:lineRule="auto"/>
        <w:jc w:val="center"/>
        <w:rPr>
          <w:rFonts w:cs="Times New Roman"/>
          <w:sz w:val="28"/>
        </w:rPr>
      </w:pPr>
    </w:p>
    <w:p w:rsidR="002D7E5E" w:rsidRDefault="002D7E5E" w:rsidP="007F44C2">
      <w:pPr>
        <w:spacing w:line="240" w:lineRule="auto"/>
        <w:jc w:val="center"/>
        <w:rPr>
          <w:rFonts w:cs="Times New Roman"/>
          <w:sz w:val="28"/>
        </w:rPr>
      </w:pPr>
    </w:p>
    <w:p w:rsidR="002D7E5E" w:rsidRDefault="002D7E5E" w:rsidP="007F44C2">
      <w:pPr>
        <w:spacing w:line="240" w:lineRule="auto"/>
        <w:jc w:val="center"/>
        <w:rPr>
          <w:rFonts w:cs="Times New Roman"/>
          <w:sz w:val="28"/>
        </w:rPr>
      </w:pPr>
    </w:p>
    <w:p w:rsidR="002D7E5E" w:rsidRDefault="002D7E5E" w:rsidP="007F44C2">
      <w:pPr>
        <w:spacing w:line="240" w:lineRule="auto"/>
        <w:jc w:val="center"/>
        <w:rPr>
          <w:rFonts w:cs="Times New Roman"/>
          <w:sz w:val="28"/>
        </w:rPr>
      </w:pPr>
    </w:p>
    <w:p w:rsidR="002D7E5E" w:rsidRDefault="002D7E5E" w:rsidP="007F44C2">
      <w:pPr>
        <w:spacing w:line="240" w:lineRule="auto"/>
        <w:jc w:val="center"/>
        <w:rPr>
          <w:rFonts w:cs="Times New Roman"/>
          <w:sz w:val="28"/>
        </w:rPr>
      </w:pPr>
    </w:p>
    <w:p w:rsidR="002D7E5E" w:rsidRDefault="002D7E5E" w:rsidP="007F44C2">
      <w:pPr>
        <w:spacing w:line="240" w:lineRule="auto"/>
        <w:jc w:val="center"/>
        <w:rPr>
          <w:rFonts w:cs="Times New Roman"/>
          <w:sz w:val="28"/>
        </w:rPr>
      </w:pPr>
    </w:p>
    <w:p w:rsidR="002D7E5E" w:rsidRDefault="002D7E5E" w:rsidP="007F44C2">
      <w:pPr>
        <w:spacing w:line="240" w:lineRule="auto"/>
        <w:jc w:val="center"/>
        <w:rPr>
          <w:rFonts w:cs="Times New Roman"/>
          <w:sz w:val="28"/>
        </w:rPr>
      </w:pPr>
    </w:p>
    <w:p w:rsidR="002D7E5E" w:rsidRDefault="002D7E5E" w:rsidP="007F44C2">
      <w:pPr>
        <w:spacing w:line="240" w:lineRule="auto"/>
        <w:jc w:val="center"/>
        <w:rPr>
          <w:rFonts w:cs="Times New Roman"/>
          <w:sz w:val="28"/>
        </w:rPr>
      </w:pPr>
    </w:p>
    <w:p w:rsidR="002D7E5E" w:rsidRDefault="002D7E5E" w:rsidP="007F44C2">
      <w:pPr>
        <w:spacing w:line="240" w:lineRule="auto"/>
        <w:jc w:val="center"/>
        <w:rPr>
          <w:rFonts w:cs="Times New Roman"/>
          <w:sz w:val="28"/>
        </w:rPr>
      </w:pPr>
    </w:p>
    <w:p w:rsidR="002D7E5E" w:rsidRDefault="002D7E5E" w:rsidP="007F44C2">
      <w:pPr>
        <w:spacing w:line="240" w:lineRule="auto"/>
        <w:jc w:val="center"/>
        <w:rPr>
          <w:rFonts w:cs="Times New Roman"/>
          <w:sz w:val="28"/>
        </w:rPr>
      </w:pPr>
    </w:p>
    <w:p w:rsidR="002D7E5E" w:rsidRDefault="002D7E5E" w:rsidP="007F44C2">
      <w:pPr>
        <w:spacing w:line="240" w:lineRule="auto"/>
        <w:jc w:val="center"/>
        <w:rPr>
          <w:rFonts w:cs="Times New Roman"/>
          <w:sz w:val="28"/>
        </w:rPr>
      </w:pPr>
    </w:p>
    <w:p w:rsidR="002D7E5E" w:rsidRDefault="002D7E5E" w:rsidP="007F44C2">
      <w:pPr>
        <w:spacing w:line="240" w:lineRule="auto"/>
        <w:jc w:val="center"/>
        <w:rPr>
          <w:rFonts w:cs="Times New Roman"/>
          <w:sz w:val="28"/>
        </w:rPr>
      </w:pPr>
    </w:p>
    <w:p w:rsidR="002D7E5E" w:rsidRDefault="002D7E5E" w:rsidP="007F44C2">
      <w:pPr>
        <w:spacing w:line="240" w:lineRule="auto"/>
        <w:jc w:val="center"/>
        <w:rPr>
          <w:rFonts w:cs="Times New Roman"/>
          <w:sz w:val="28"/>
        </w:rPr>
        <w:sectPr w:rsidR="002D7E5E" w:rsidSect="00DD7CAA">
          <w:footerReference w:type="default" r:id="rId8"/>
          <w:footerReference w:type="first" r:id="rId9"/>
          <w:pgSz w:w="11906" w:h="16838"/>
          <w:pgMar w:top="1417" w:right="1417" w:bottom="1417" w:left="1417" w:header="708" w:footer="708" w:gutter="0"/>
          <w:cols w:space="708"/>
          <w:titlePg/>
          <w:docGrid w:linePitch="360"/>
        </w:sectPr>
      </w:pPr>
    </w:p>
    <w:p w:rsidR="007F44C2" w:rsidRDefault="007F44C2" w:rsidP="007F44C2">
      <w:pPr>
        <w:spacing w:line="240" w:lineRule="auto"/>
        <w:jc w:val="center"/>
        <w:rPr>
          <w:rFonts w:cs="Times New Roman"/>
          <w:sz w:val="28"/>
        </w:rPr>
      </w:pPr>
      <w:r>
        <w:rPr>
          <w:rFonts w:cs="Times New Roman"/>
          <w:sz w:val="28"/>
        </w:rPr>
        <w:t>Bakalářská práce</w:t>
      </w:r>
    </w:p>
    <w:p w:rsidR="007F44C2" w:rsidRDefault="007F44C2" w:rsidP="007F44C2">
      <w:pPr>
        <w:spacing w:line="240" w:lineRule="auto"/>
        <w:jc w:val="center"/>
        <w:rPr>
          <w:rFonts w:cs="Times New Roman"/>
          <w:sz w:val="28"/>
        </w:rPr>
      </w:pPr>
      <w:r>
        <w:rPr>
          <w:rFonts w:cs="Times New Roman"/>
          <w:sz w:val="28"/>
        </w:rPr>
        <w:t>Lobbování v Evropské komisi – analýza vztahů zájmových skupin a Evropské komise na základě Bouwenovy teorie</w:t>
      </w:r>
    </w:p>
    <w:p w:rsidR="002D7E5E" w:rsidRDefault="002D7E5E" w:rsidP="007F44C2">
      <w:pPr>
        <w:spacing w:line="240" w:lineRule="auto"/>
        <w:jc w:val="center"/>
        <w:rPr>
          <w:rFonts w:cs="Times New Roman"/>
          <w:sz w:val="28"/>
        </w:rPr>
      </w:pPr>
    </w:p>
    <w:p w:rsidR="007F44C2" w:rsidRDefault="007F44C2" w:rsidP="007F44C2">
      <w:pPr>
        <w:spacing w:line="240" w:lineRule="auto"/>
        <w:jc w:val="center"/>
        <w:rPr>
          <w:rFonts w:cs="Times New Roman"/>
          <w:sz w:val="28"/>
        </w:rPr>
      </w:pPr>
      <w:r>
        <w:rPr>
          <w:rFonts w:cs="Times New Roman"/>
          <w:sz w:val="28"/>
        </w:rPr>
        <w:t>Autor: David Šlachta</w:t>
      </w:r>
    </w:p>
    <w:p w:rsidR="002D7E5E" w:rsidRDefault="002D7E5E" w:rsidP="007F44C2">
      <w:pPr>
        <w:spacing w:line="240" w:lineRule="auto"/>
        <w:jc w:val="center"/>
        <w:rPr>
          <w:rFonts w:cs="Times New Roman"/>
          <w:sz w:val="28"/>
        </w:rPr>
      </w:pPr>
    </w:p>
    <w:p w:rsidR="002D7E5E" w:rsidRDefault="002D7E5E" w:rsidP="007F44C2">
      <w:pPr>
        <w:spacing w:line="240" w:lineRule="auto"/>
        <w:jc w:val="center"/>
        <w:rPr>
          <w:rFonts w:cs="Times New Roman"/>
          <w:sz w:val="28"/>
        </w:rPr>
      </w:pPr>
    </w:p>
    <w:p w:rsidR="002D7E5E" w:rsidRDefault="002D7E5E" w:rsidP="007F44C2">
      <w:pPr>
        <w:spacing w:line="240" w:lineRule="auto"/>
        <w:jc w:val="center"/>
        <w:rPr>
          <w:rFonts w:cs="Times New Roman"/>
          <w:sz w:val="28"/>
        </w:rPr>
      </w:pPr>
    </w:p>
    <w:p w:rsidR="002D7E5E" w:rsidRDefault="002D7E5E" w:rsidP="007F44C2">
      <w:pPr>
        <w:spacing w:line="240" w:lineRule="auto"/>
        <w:jc w:val="center"/>
        <w:rPr>
          <w:rFonts w:cs="Times New Roman"/>
          <w:sz w:val="28"/>
        </w:rPr>
      </w:pPr>
    </w:p>
    <w:p w:rsidR="002D7E5E" w:rsidRDefault="002D7E5E" w:rsidP="007F44C2">
      <w:pPr>
        <w:spacing w:line="240" w:lineRule="auto"/>
        <w:jc w:val="center"/>
        <w:rPr>
          <w:rFonts w:cs="Times New Roman"/>
          <w:sz w:val="28"/>
        </w:rPr>
      </w:pPr>
    </w:p>
    <w:p w:rsidR="002D7E5E" w:rsidRDefault="002D7E5E" w:rsidP="007F44C2">
      <w:pPr>
        <w:spacing w:line="240" w:lineRule="auto"/>
        <w:jc w:val="center"/>
        <w:rPr>
          <w:rFonts w:cs="Times New Roman"/>
          <w:sz w:val="28"/>
        </w:rPr>
      </w:pPr>
    </w:p>
    <w:p w:rsidR="002D7E5E" w:rsidRDefault="002D7E5E" w:rsidP="007F44C2">
      <w:pPr>
        <w:spacing w:line="240" w:lineRule="auto"/>
        <w:jc w:val="center"/>
        <w:rPr>
          <w:rFonts w:cs="Times New Roman"/>
          <w:sz w:val="28"/>
        </w:rPr>
      </w:pPr>
    </w:p>
    <w:p w:rsidR="002D7E5E" w:rsidRDefault="002D7E5E" w:rsidP="007F44C2">
      <w:pPr>
        <w:spacing w:line="240" w:lineRule="auto"/>
        <w:jc w:val="center"/>
        <w:rPr>
          <w:rFonts w:cs="Times New Roman"/>
          <w:sz w:val="28"/>
        </w:rPr>
      </w:pPr>
    </w:p>
    <w:p w:rsidR="002D7E5E" w:rsidRDefault="002D7E5E" w:rsidP="007F44C2">
      <w:pPr>
        <w:spacing w:line="240" w:lineRule="auto"/>
        <w:jc w:val="center"/>
        <w:rPr>
          <w:rFonts w:cs="Times New Roman"/>
          <w:sz w:val="28"/>
        </w:rPr>
      </w:pPr>
    </w:p>
    <w:p w:rsidR="002D7E5E" w:rsidRDefault="002D7E5E" w:rsidP="007F44C2">
      <w:pPr>
        <w:spacing w:line="240" w:lineRule="auto"/>
        <w:jc w:val="center"/>
        <w:rPr>
          <w:rFonts w:cs="Times New Roman"/>
          <w:sz w:val="28"/>
        </w:rPr>
      </w:pPr>
    </w:p>
    <w:p w:rsidR="002D7E5E" w:rsidRDefault="002D7E5E" w:rsidP="007F44C2">
      <w:pPr>
        <w:spacing w:line="240" w:lineRule="auto"/>
        <w:jc w:val="center"/>
        <w:rPr>
          <w:rFonts w:cs="Times New Roman"/>
          <w:sz w:val="28"/>
        </w:rPr>
      </w:pPr>
    </w:p>
    <w:p w:rsidR="002D7E5E" w:rsidRDefault="002D7E5E" w:rsidP="007F44C2">
      <w:pPr>
        <w:spacing w:line="240" w:lineRule="auto"/>
        <w:jc w:val="center"/>
        <w:rPr>
          <w:rFonts w:cs="Times New Roman"/>
          <w:sz w:val="28"/>
        </w:rPr>
      </w:pPr>
    </w:p>
    <w:p w:rsidR="002D7E5E" w:rsidRDefault="002D7E5E" w:rsidP="007F44C2">
      <w:pPr>
        <w:spacing w:line="240" w:lineRule="auto"/>
        <w:jc w:val="center"/>
        <w:rPr>
          <w:rFonts w:cs="Times New Roman"/>
          <w:sz w:val="28"/>
        </w:rPr>
      </w:pPr>
    </w:p>
    <w:p w:rsidR="002D7E5E" w:rsidRDefault="002D7E5E" w:rsidP="007F44C2">
      <w:pPr>
        <w:spacing w:line="240" w:lineRule="auto"/>
        <w:jc w:val="center"/>
        <w:rPr>
          <w:rFonts w:cs="Times New Roman"/>
          <w:sz w:val="28"/>
        </w:rPr>
      </w:pPr>
    </w:p>
    <w:p w:rsidR="002D7E5E" w:rsidRDefault="002D7E5E" w:rsidP="007F44C2">
      <w:pPr>
        <w:spacing w:line="240" w:lineRule="auto"/>
        <w:jc w:val="center"/>
        <w:rPr>
          <w:rFonts w:cs="Times New Roman"/>
          <w:sz w:val="28"/>
        </w:rPr>
      </w:pPr>
    </w:p>
    <w:p w:rsidR="002D7E5E" w:rsidRDefault="002D7E5E" w:rsidP="007F44C2">
      <w:pPr>
        <w:spacing w:line="240" w:lineRule="auto"/>
        <w:jc w:val="center"/>
        <w:rPr>
          <w:rFonts w:cs="Times New Roman"/>
          <w:sz w:val="28"/>
        </w:rPr>
      </w:pPr>
    </w:p>
    <w:p w:rsidR="002D7E5E" w:rsidRDefault="002D7E5E" w:rsidP="007F44C2">
      <w:pPr>
        <w:spacing w:line="240" w:lineRule="auto"/>
        <w:jc w:val="center"/>
        <w:rPr>
          <w:rFonts w:cs="Times New Roman"/>
          <w:sz w:val="28"/>
        </w:rPr>
      </w:pPr>
    </w:p>
    <w:p w:rsidR="002D7E5E" w:rsidRDefault="002D7E5E" w:rsidP="007F44C2">
      <w:pPr>
        <w:spacing w:line="240" w:lineRule="auto"/>
        <w:jc w:val="center"/>
        <w:rPr>
          <w:rFonts w:cs="Times New Roman"/>
          <w:sz w:val="28"/>
        </w:rPr>
      </w:pPr>
    </w:p>
    <w:p w:rsidR="002D7E5E" w:rsidRDefault="002D7E5E" w:rsidP="007F44C2">
      <w:pPr>
        <w:spacing w:line="240" w:lineRule="auto"/>
        <w:jc w:val="center"/>
        <w:rPr>
          <w:rFonts w:cs="Times New Roman"/>
          <w:sz w:val="28"/>
        </w:rPr>
        <w:sectPr w:rsidR="002D7E5E" w:rsidSect="002D7E5E">
          <w:type w:val="continuous"/>
          <w:pgSz w:w="11906" w:h="16838"/>
          <w:pgMar w:top="1418" w:right="1418" w:bottom="1418" w:left="1418" w:header="709" w:footer="709" w:gutter="0"/>
          <w:cols w:space="708"/>
          <w:vAlign w:val="center"/>
          <w:docGrid w:linePitch="360"/>
        </w:sectPr>
      </w:pPr>
    </w:p>
    <w:p w:rsidR="002D7E5E" w:rsidRDefault="002D7E5E" w:rsidP="007F44C2">
      <w:pPr>
        <w:spacing w:line="240" w:lineRule="auto"/>
        <w:jc w:val="center"/>
        <w:rPr>
          <w:rFonts w:cs="Times New Roman"/>
          <w:sz w:val="28"/>
        </w:rPr>
      </w:pPr>
      <w:r>
        <w:rPr>
          <w:rFonts w:cs="Times New Roman"/>
          <w:sz w:val="28"/>
        </w:rPr>
        <w:t>Vedoucí práce: Mgr. Karolína Spurná</w:t>
      </w:r>
    </w:p>
    <w:p w:rsidR="002D7E5E" w:rsidRDefault="002D7E5E" w:rsidP="007F44C2">
      <w:pPr>
        <w:spacing w:line="240" w:lineRule="auto"/>
        <w:jc w:val="center"/>
        <w:rPr>
          <w:rFonts w:cs="Times New Roman"/>
          <w:sz w:val="28"/>
        </w:rPr>
        <w:sectPr w:rsidR="002D7E5E" w:rsidSect="002D7E5E">
          <w:type w:val="continuous"/>
          <w:pgSz w:w="11906" w:h="16838"/>
          <w:pgMar w:top="1418" w:right="1418" w:bottom="1418" w:left="1418" w:header="709" w:footer="709" w:gutter="0"/>
          <w:cols w:space="708"/>
          <w:vAlign w:val="bottom"/>
          <w:docGrid w:linePitch="360"/>
        </w:sectPr>
      </w:pPr>
    </w:p>
    <w:p w:rsidR="002D7E5E" w:rsidRDefault="00871918" w:rsidP="000A4B03">
      <w:pPr>
        <w:spacing w:line="240" w:lineRule="auto"/>
        <w:rPr>
          <w:rFonts w:cs="Times New Roman"/>
          <w:b/>
          <w:sz w:val="28"/>
        </w:rPr>
      </w:pPr>
      <w:r>
        <w:rPr>
          <w:rFonts w:cs="Times New Roman"/>
          <w:b/>
          <w:sz w:val="28"/>
        </w:rPr>
        <w:lastRenderedPageBreak/>
        <w:t>Čestné prohlášení</w:t>
      </w:r>
    </w:p>
    <w:p w:rsidR="00871918" w:rsidRDefault="00871918" w:rsidP="000A4B03">
      <w:pPr>
        <w:spacing w:line="240" w:lineRule="auto"/>
        <w:rPr>
          <w:rFonts w:cs="Times New Roman"/>
        </w:rPr>
      </w:pPr>
      <w:r>
        <w:rPr>
          <w:rFonts w:cs="Times New Roman"/>
        </w:rPr>
        <w:t>Prohlašuji, že jsem bakalářskou práci na téma „Lobbování v Evropské komisi – analýza vztahů zájmových skupin a Evropské komise na základě Bouwenovy teorie“ vypracoval samostatně a s použitím uvedené literatury a pramenů.</w:t>
      </w:r>
    </w:p>
    <w:p w:rsidR="00871918" w:rsidRDefault="00871918" w:rsidP="000A4B03">
      <w:pPr>
        <w:spacing w:line="240" w:lineRule="auto"/>
        <w:rPr>
          <w:rFonts w:cs="Times New Roman"/>
        </w:rPr>
      </w:pPr>
    </w:p>
    <w:p w:rsidR="00871918" w:rsidRDefault="00871918" w:rsidP="000A4B03">
      <w:pPr>
        <w:spacing w:line="240" w:lineRule="auto"/>
        <w:rPr>
          <w:rFonts w:cs="Times New Roman"/>
        </w:rPr>
      </w:pPr>
      <w:r>
        <w:rPr>
          <w:rFonts w:cs="Times New Roman"/>
        </w:rPr>
        <w:t xml:space="preserve">Ve </w:t>
      </w:r>
      <w:r w:rsidR="008C2DF7">
        <w:rPr>
          <w:rFonts w:cs="Times New Roman"/>
        </w:rPr>
        <w:t>Olomouci</w:t>
      </w:r>
      <w:r>
        <w:rPr>
          <w:rFonts w:cs="Times New Roman"/>
        </w:rPr>
        <w:t>, dne</w:t>
      </w:r>
      <w:r>
        <w:rPr>
          <w:rFonts w:cs="Times New Roman"/>
        </w:rPr>
        <w:tab/>
      </w:r>
      <w:r>
        <w:rPr>
          <w:rFonts w:cs="Times New Roman"/>
        </w:rPr>
        <w:tab/>
        <w:t>.................................</w:t>
      </w:r>
    </w:p>
    <w:p w:rsidR="00764301" w:rsidRDefault="00871918" w:rsidP="000A4B03">
      <w:pPr>
        <w:spacing w:line="240" w:lineRule="auto"/>
        <w:rPr>
          <w:rFonts w:cs="Times New Roman"/>
        </w:rPr>
      </w:pPr>
      <w:r>
        <w:rPr>
          <w:rFonts w:cs="Times New Roman"/>
        </w:rPr>
        <w:tab/>
      </w:r>
      <w:r>
        <w:rPr>
          <w:rFonts w:cs="Times New Roman"/>
        </w:rPr>
        <w:tab/>
      </w:r>
      <w:r>
        <w:rPr>
          <w:rFonts w:cs="Times New Roman"/>
        </w:rPr>
        <w:tab/>
      </w:r>
      <w:r>
        <w:rPr>
          <w:rFonts w:cs="Times New Roman"/>
        </w:rPr>
        <w:tab/>
        <w:t>Jméno Příjmení</w:t>
      </w:r>
    </w:p>
    <w:p w:rsidR="00764301" w:rsidRDefault="00764301">
      <w:pPr>
        <w:spacing w:after="160" w:line="259" w:lineRule="auto"/>
        <w:ind w:firstLine="0"/>
        <w:jc w:val="left"/>
        <w:rPr>
          <w:rFonts w:cs="Times New Roman"/>
        </w:rPr>
      </w:pPr>
      <w:r>
        <w:rPr>
          <w:rFonts w:cs="Times New Roman"/>
        </w:rPr>
        <w:br w:type="page"/>
      </w:r>
    </w:p>
    <w:p w:rsidR="00355121" w:rsidRDefault="00355121" w:rsidP="000A4B03">
      <w:pPr>
        <w:spacing w:line="240" w:lineRule="auto"/>
        <w:rPr>
          <w:rFonts w:cs="Times New Roman"/>
          <w:b/>
          <w:sz w:val="28"/>
        </w:rPr>
        <w:sectPr w:rsidR="00355121" w:rsidSect="00355121">
          <w:pgSz w:w="11906" w:h="16838"/>
          <w:pgMar w:top="1418" w:right="1418" w:bottom="1418" w:left="1418" w:header="709" w:footer="709" w:gutter="0"/>
          <w:cols w:space="708"/>
          <w:vAlign w:val="bottom"/>
          <w:titlePg/>
          <w:docGrid w:linePitch="360"/>
        </w:sectPr>
      </w:pPr>
    </w:p>
    <w:p w:rsidR="003702A2" w:rsidRDefault="003702A2" w:rsidP="000A4B03">
      <w:pPr>
        <w:spacing w:line="240" w:lineRule="auto"/>
        <w:rPr>
          <w:rFonts w:cs="Times New Roman"/>
          <w:b/>
          <w:sz w:val="28"/>
        </w:rPr>
      </w:pPr>
      <w:r>
        <w:rPr>
          <w:rFonts w:cs="Times New Roman"/>
          <w:b/>
          <w:sz w:val="28"/>
        </w:rPr>
        <w:lastRenderedPageBreak/>
        <w:t>Poděkování</w:t>
      </w:r>
    </w:p>
    <w:p w:rsidR="00355121" w:rsidRDefault="003702A2" w:rsidP="00153108">
      <w:pPr>
        <w:spacing w:line="240" w:lineRule="auto"/>
        <w:ind w:firstLine="0"/>
        <w:rPr>
          <w:rFonts w:cs="Times New Roman"/>
          <w:color w:val="000000"/>
          <w:szCs w:val="24"/>
        </w:rPr>
        <w:sectPr w:rsidR="00355121" w:rsidSect="00355121">
          <w:pgSz w:w="11906" w:h="16838"/>
          <w:pgMar w:top="1418" w:right="1418" w:bottom="1418" w:left="1418" w:header="709" w:footer="709" w:gutter="0"/>
          <w:cols w:space="708"/>
          <w:vAlign w:val="bottom"/>
          <w:titlePg/>
          <w:docGrid w:linePitch="360"/>
        </w:sectPr>
      </w:pPr>
      <w:r>
        <w:rPr>
          <w:rFonts w:cs="Times New Roman"/>
          <w:color w:val="000000"/>
          <w:szCs w:val="24"/>
        </w:rPr>
        <w:t>Rád bych na tomto místě poděkoval vedoucí své bakalářské práce, slečně magistře Karolíně Spurné, za její čas a cenné rady, které mi věnovala v průběhu psaní práce</w:t>
      </w:r>
      <w:r w:rsidR="00153108">
        <w:rPr>
          <w:rFonts w:cs="Times New Roman"/>
          <w:color w:val="000000"/>
          <w:szCs w:val="24"/>
        </w:rPr>
        <w:t>.</w:t>
      </w:r>
    </w:p>
    <w:p w:rsidR="00D17E73" w:rsidRDefault="00355121" w:rsidP="000A4B03">
      <w:pPr>
        <w:spacing w:line="240" w:lineRule="auto"/>
        <w:rPr>
          <w:noProof/>
        </w:rPr>
      </w:pPr>
      <w:r>
        <w:rPr>
          <w:rFonts w:cs="Times New Roman"/>
          <w:b/>
          <w:color w:val="000000"/>
          <w:sz w:val="32"/>
          <w:szCs w:val="24"/>
        </w:rPr>
        <w:lastRenderedPageBreak/>
        <w:t>Obsah</w:t>
      </w:r>
      <w:r w:rsidR="003702A2">
        <w:rPr>
          <w:rFonts w:cs="Times New Roman"/>
          <w:color w:val="000000"/>
          <w:szCs w:val="24"/>
        </w:rPr>
        <w:t>.</w:t>
      </w:r>
      <w:r>
        <w:rPr>
          <w:rFonts w:cs="Times New Roman"/>
          <w:color w:val="000000"/>
          <w:szCs w:val="24"/>
        </w:rPr>
        <w:t xml:space="preserve"> </w:t>
      </w:r>
      <w:r>
        <w:rPr>
          <w:rFonts w:cs="Times New Roman"/>
          <w:color w:val="000000"/>
          <w:szCs w:val="24"/>
        </w:rPr>
        <w:fldChar w:fldCharType="begin"/>
      </w:r>
      <w:r>
        <w:rPr>
          <w:rFonts w:cs="Times New Roman"/>
          <w:color w:val="000000"/>
          <w:szCs w:val="24"/>
        </w:rPr>
        <w:instrText xml:space="preserve"> TOC \o "1-3" \u </w:instrText>
      </w:r>
      <w:r>
        <w:rPr>
          <w:rFonts w:cs="Times New Roman"/>
          <w:color w:val="000000"/>
          <w:szCs w:val="24"/>
        </w:rPr>
        <w:fldChar w:fldCharType="separate"/>
      </w:r>
    </w:p>
    <w:p w:rsidR="00D17E73" w:rsidRDefault="00D17E73">
      <w:pPr>
        <w:pStyle w:val="TOC1"/>
        <w:tabs>
          <w:tab w:val="right" w:leader="dot" w:pos="9060"/>
        </w:tabs>
        <w:rPr>
          <w:rFonts w:asciiTheme="minorHAnsi" w:eastAsiaTheme="minorEastAsia" w:hAnsiTheme="minorHAnsi" w:cstheme="minorBidi"/>
          <w:b w:val="0"/>
          <w:bCs w:val="0"/>
          <w:caps w:val="0"/>
          <w:noProof/>
          <w:sz w:val="22"/>
          <w:szCs w:val="22"/>
          <w:lang w:eastAsia="cs-CZ"/>
        </w:rPr>
      </w:pPr>
      <w:r>
        <w:rPr>
          <w:noProof/>
        </w:rPr>
        <w:t>Úvod</w:t>
      </w:r>
      <w:r>
        <w:rPr>
          <w:noProof/>
        </w:rPr>
        <w:tab/>
      </w:r>
      <w:r>
        <w:rPr>
          <w:noProof/>
        </w:rPr>
        <w:fldChar w:fldCharType="begin"/>
      </w:r>
      <w:r>
        <w:rPr>
          <w:noProof/>
        </w:rPr>
        <w:instrText xml:space="preserve"> PAGEREF _Toc7414190 \h </w:instrText>
      </w:r>
      <w:r>
        <w:rPr>
          <w:noProof/>
        </w:rPr>
      </w:r>
      <w:r>
        <w:rPr>
          <w:noProof/>
        </w:rPr>
        <w:fldChar w:fldCharType="separate"/>
      </w:r>
      <w:r>
        <w:rPr>
          <w:noProof/>
        </w:rPr>
        <w:t>1</w:t>
      </w:r>
      <w:r>
        <w:rPr>
          <w:noProof/>
        </w:rPr>
        <w:fldChar w:fldCharType="end"/>
      </w:r>
    </w:p>
    <w:p w:rsidR="00D17E73" w:rsidRDefault="00D17E73">
      <w:pPr>
        <w:pStyle w:val="TOC1"/>
        <w:tabs>
          <w:tab w:val="right" w:leader="dot" w:pos="9060"/>
        </w:tabs>
        <w:rPr>
          <w:rFonts w:asciiTheme="minorHAnsi" w:eastAsiaTheme="minorEastAsia" w:hAnsiTheme="minorHAnsi" w:cstheme="minorBidi"/>
          <w:b w:val="0"/>
          <w:bCs w:val="0"/>
          <w:caps w:val="0"/>
          <w:noProof/>
          <w:sz w:val="22"/>
          <w:szCs w:val="22"/>
          <w:lang w:eastAsia="cs-CZ"/>
        </w:rPr>
      </w:pPr>
      <w:r>
        <w:rPr>
          <w:noProof/>
        </w:rPr>
        <w:t>1. Teoretická část</w:t>
      </w:r>
      <w:r>
        <w:rPr>
          <w:noProof/>
        </w:rPr>
        <w:tab/>
      </w:r>
      <w:r>
        <w:rPr>
          <w:noProof/>
        </w:rPr>
        <w:fldChar w:fldCharType="begin"/>
      </w:r>
      <w:r>
        <w:rPr>
          <w:noProof/>
        </w:rPr>
        <w:instrText xml:space="preserve"> PAGEREF _Toc7414191 \h </w:instrText>
      </w:r>
      <w:r>
        <w:rPr>
          <w:noProof/>
        </w:rPr>
      </w:r>
      <w:r>
        <w:rPr>
          <w:noProof/>
        </w:rPr>
        <w:fldChar w:fldCharType="separate"/>
      </w:r>
      <w:r>
        <w:rPr>
          <w:noProof/>
        </w:rPr>
        <w:t>5</w:t>
      </w:r>
      <w:r>
        <w:rPr>
          <w:noProof/>
        </w:rPr>
        <w:fldChar w:fldCharType="end"/>
      </w:r>
    </w:p>
    <w:p w:rsidR="00D17E73" w:rsidRDefault="00D17E73">
      <w:pPr>
        <w:pStyle w:val="TOC2"/>
        <w:tabs>
          <w:tab w:val="right" w:leader="dot" w:pos="9060"/>
        </w:tabs>
        <w:rPr>
          <w:rFonts w:eastAsiaTheme="minorEastAsia" w:cstheme="minorBidi"/>
          <w:b w:val="0"/>
          <w:bCs w:val="0"/>
          <w:noProof/>
          <w:sz w:val="22"/>
          <w:szCs w:val="22"/>
          <w:lang w:eastAsia="cs-CZ"/>
        </w:rPr>
      </w:pPr>
      <w:r>
        <w:rPr>
          <w:noProof/>
        </w:rPr>
        <w:t>1.1 Definice lobbingu</w:t>
      </w:r>
      <w:r>
        <w:rPr>
          <w:noProof/>
        </w:rPr>
        <w:tab/>
      </w:r>
      <w:r>
        <w:rPr>
          <w:noProof/>
        </w:rPr>
        <w:fldChar w:fldCharType="begin"/>
      </w:r>
      <w:r>
        <w:rPr>
          <w:noProof/>
        </w:rPr>
        <w:instrText xml:space="preserve"> PAGEREF _Toc7414192 \h </w:instrText>
      </w:r>
      <w:r>
        <w:rPr>
          <w:noProof/>
        </w:rPr>
      </w:r>
      <w:r>
        <w:rPr>
          <w:noProof/>
        </w:rPr>
        <w:fldChar w:fldCharType="separate"/>
      </w:r>
      <w:r>
        <w:rPr>
          <w:noProof/>
        </w:rPr>
        <w:t>5</w:t>
      </w:r>
      <w:r>
        <w:rPr>
          <w:noProof/>
        </w:rPr>
        <w:fldChar w:fldCharType="end"/>
      </w:r>
    </w:p>
    <w:p w:rsidR="00D17E73" w:rsidRDefault="00D17E73">
      <w:pPr>
        <w:pStyle w:val="TOC2"/>
        <w:tabs>
          <w:tab w:val="right" w:leader="dot" w:pos="9060"/>
        </w:tabs>
        <w:rPr>
          <w:rFonts w:eastAsiaTheme="minorEastAsia" w:cstheme="minorBidi"/>
          <w:b w:val="0"/>
          <w:bCs w:val="0"/>
          <w:noProof/>
          <w:sz w:val="22"/>
          <w:szCs w:val="22"/>
          <w:lang w:eastAsia="cs-CZ"/>
        </w:rPr>
      </w:pPr>
      <w:r>
        <w:rPr>
          <w:noProof/>
        </w:rPr>
        <w:t>1.2 Základní teoretické přístupy k lobbingu</w:t>
      </w:r>
      <w:r>
        <w:rPr>
          <w:noProof/>
        </w:rPr>
        <w:tab/>
      </w:r>
      <w:r>
        <w:rPr>
          <w:noProof/>
        </w:rPr>
        <w:fldChar w:fldCharType="begin"/>
      </w:r>
      <w:r>
        <w:rPr>
          <w:noProof/>
        </w:rPr>
        <w:instrText xml:space="preserve"> PAGEREF _Toc7414193 \h </w:instrText>
      </w:r>
      <w:r>
        <w:rPr>
          <w:noProof/>
        </w:rPr>
      </w:r>
      <w:r>
        <w:rPr>
          <w:noProof/>
        </w:rPr>
        <w:fldChar w:fldCharType="separate"/>
      </w:r>
      <w:r>
        <w:rPr>
          <w:noProof/>
        </w:rPr>
        <w:t>6</w:t>
      </w:r>
      <w:r>
        <w:rPr>
          <w:noProof/>
        </w:rPr>
        <w:fldChar w:fldCharType="end"/>
      </w:r>
    </w:p>
    <w:p w:rsidR="00D17E73" w:rsidRDefault="00D17E73">
      <w:pPr>
        <w:pStyle w:val="TOC3"/>
        <w:tabs>
          <w:tab w:val="right" w:leader="dot" w:pos="9060"/>
        </w:tabs>
        <w:rPr>
          <w:rFonts w:eastAsiaTheme="minorEastAsia" w:cstheme="minorBidi"/>
          <w:noProof/>
          <w:sz w:val="22"/>
          <w:szCs w:val="22"/>
          <w:lang w:eastAsia="cs-CZ"/>
        </w:rPr>
      </w:pPr>
      <w:r>
        <w:rPr>
          <w:noProof/>
        </w:rPr>
        <w:t>1.2.1 Teorie korporativismu/neokorporativismu</w:t>
      </w:r>
      <w:r>
        <w:rPr>
          <w:noProof/>
        </w:rPr>
        <w:tab/>
      </w:r>
      <w:r>
        <w:rPr>
          <w:noProof/>
        </w:rPr>
        <w:fldChar w:fldCharType="begin"/>
      </w:r>
      <w:r>
        <w:rPr>
          <w:noProof/>
        </w:rPr>
        <w:instrText xml:space="preserve"> PAGEREF _Toc7414194 \h </w:instrText>
      </w:r>
      <w:r>
        <w:rPr>
          <w:noProof/>
        </w:rPr>
      </w:r>
      <w:r>
        <w:rPr>
          <w:noProof/>
        </w:rPr>
        <w:fldChar w:fldCharType="separate"/>
      </w:r>
      <w:r>
        <w:rPr>
          <w:noProof/>
        </w:rPr>
        <w:t>7</w:t>
      </w:r>
      <w:r>
        <w:rPr>
          <w:noProof/>
        </w:rPr>
        <w:fldChar w:fldCharType="end"/>
      </w:r>
    </w:p>
    <w:p w:rsidR="00D17E73" w:rsidRDefault="00D17E73">
      <w:pPr>
        <w:pStyle w:val="TOC3"/>
        <w:tabs>
          <w:tab w:val="right" w:leader="dot" w:pos="9060"/>
        </w:tabs>
        <w:rPr>
          <w:rFonts w:eastAsiaTheme="minorEastAsia" w:cstheme="minorBidi"/>
          <w:noProof/>
          <w:sz w:val="22"/>
          <w:szCs w:val="22"/>
          <w:lang w:eastAsia="cs-CZ"/>
        </w:rPr>
      </w:pPr>
      <w:r>
        <w:rPr>
          <w:noProof/>
        </w:rPr>
        <w:t>1.2.2 Teorie pluralismu</w:t>
      </w:r>
      <w:r>
        <w:rPr>
          <w:noProof/>
        </w:rPr>
        <w:tab/>
      </w:r>
      <w:r>
        <w:rPr>
          <w:noProof/>
        </w:rPr>
        <w:fldChar w:fldCharType="begin"/>
      </w:r>
      <w:r>
        <w:rPr>
          <w:noProof/>
        </w:rPr>
        <w:instrText xml:space="preserve"> PAGEREF _Toc7414195 \h </w:instrText>
      </w:r>
      <w:r>
        <w:rPr>
          <w:noProof/>
        </w:rPr>
      </w:r>
      <w:r>
        <w:rPr>
          <w:noProof/>
        </w:rPr>
        <w:fldChar w:fldCharType="separate"/>
      </w:r>
      <w:r>
        <w:rPr>
          <w:noProof/>
        </w:rPr>
        <w:t>10</w:t>
      </w:r>
      <w:r>
        <w:rPr>
          <w:noProof/>
        </w:rPr>
        <w:fldChar w:fldCharType="end"/>
      </w:r>
    </w:p>
    <w:p w:rsidR="00D17E73" w:rsidRDefault="00D17E73">
      <w:pPr>
        <w:pStyle w:val="TOC3"/>
        <w:tabs>
          <w:tab w:val="right" w:leader="dot" w:pos="9060"/>
        </w:tabs>
        <w:rPr>
          <w:rFonts w:eastAsiaTheme="minorEastAsia" w:cstheme="minorBidi"/>
          <w:noProof/>
          <w:sz w:val="22"/>
          <w:szCs w:val="22"/>
          <w:lang w:eastAsia="cs-CZ"/>
        </w:rPr>
      </w:pPr>
      <w:r>
        <w:rPr>
          <w:noProof/>
        </w:rPr>
        <w:t>1.2.3 Exchange teorie a resource dependency teorie</w:t>
      </w:r>
      <w:r>
        <w:rPr>
          <w:noProof/>
        </w:rPr>
        <w:tab/>
      </w:r>
      <w:r>
        <w:rPr>
          <w:noProof/>
        </w:rPr>
        <w:fldChar w:fldCharType="begin"/>
      </w:r>
      <w:r>
        <w:rPr>
          <w:noProof/>
        </w:rPr>
        <w:instrText xml:space="preserve"> PAGEREF _Toc7414196 \h </w:instrText>
      </w:r>
      <w:r>
        <w:rPr>
          <w:noProof/>
        </w:rPr>
      </w:r>
      <w:r>
        <w:rPr>
          <w:noProof/>
        </w:rPr>
        <w:fldChar w:fldCharType="separate"/>
      </w:r>
      <w:r>
        <w:rPr>
          <w:noProof/>
        </w:rPr>
        <w:t>12</w:t>
      </w:r>
      <w:r>
        <w:rPr>
          <w:noProof/>
        </w:rPr>
        <w:fldChar w:fldCharType="end"/>
      </w:r>
    </w:p>
    <w:p w:rsidR="00D17E73" w:rsidRDefault="00D17E73">
      <w:pPr>
        <w:pStyle w:val="TOC2"/>
        <w:tabs>
          <w:tab w:val="right" w:leader="dot" w:pos="9060"/>
        </w:tabs>
        <w:rPr>
          <w:rFonts w:eastAsiaTheme="minorEastAsia" w:cstheme="minorBidi"/>
          <w:b w:val="0"/>
          <w:bCs w:val="0"/>
          <w:noProof/>
          <w:sz w:val="22"/>
          <w:szCs w:val="22"/>
          <w:lang w:eastAsia="cs-CZ"/>
        </w:rPr>
      </w:pPr>
      <w:r>
        <w:rPr>
          <w:noProof/>
        </w:rPr>
        <w:t>1.3 Teorie přístupu Pietera Bouwena</w:t>
      </w:r>
      <w:r>
        <w:rPr>
          <w:noProof/>
        </w:rPr>
        <w:tab/>
      </w:r>
      <w:r>
        <w:rPr>
          <w:noProof/>
        </w:rPr>
        <w:fldChar w:fldCharType="begin"/>
      </w:r>
      <w:r>
        <w:rPr>
          <w:noProof/>
        </w:rPr>
        <w:instrText xml:space="preserve"> PAGEREF _Toc7414197 \h </w:instrText>
      </w:r>
      <w:r>
        <w:rPr>
          <w:noProof/>
        </w:rPr>
      </w:r>
      <w:r>
        <w:rPr>
          <w:noProof/>
        </w:rPr>
        <w:fldChar w:fldCharType="separate"/>
      </w:r>
      <w:r>
        <w:rPr>
          <w:noProof/>
        </w:rPr>
        <w:t>13</w:t>
      </w:r>
      <w:r>
        <w:rPr>
          <w:noProof/>
        </w:rPr>
        <w:fldChar w:fldCharType="end"/>
      </w:r>
    </w:p>
    <w:p w:rsidR="00D17E73" w:rsidRDefault="00D17E73">
      <w:pPr>
        <w:pStyle w:val="TOC2"/>
        <w:tabs>
          <w:tab w:val="right" w:leader="dot" w:pos="9060"/>
        </w:tabs>
        <w:rPr>
          <w:rFonts w:eastAsiaTheme="minorEastAsia" w:cstheme="minorBidi"/>
          <w:b w:val="0"/>
          <w:bCs w:val="0"/>
          <w:noProof/>
          <w:sz w:val="22"/>
          <w:szCs w:val="22"/>
          <w:lang w:eastAsia="cs-CZ"/>
        </w:rPr>
      </w:pPr>
      <w:r>
        <w:rPr>
          <w:noProof/>
        </w:rPr>
        <w:t>1.4 Legislativa EU a lobbing</w:t>
      </w:r>
      <w:r>
        <w:rPr>
          <w:noProof/>
        </w:rPr>
        <w:tab/>
      </w:r>
      <w:r>
        <w:rPr>
          <w:noProof/>
        </w:rPr>
        <w:fldChar w:fldCharType="begin"/>
      </w:r>
      <w:r>
        <w:rPr>
          <w:noProof/>
        </w:rPr>
        <w:instrText xml:space="preserve"> PAGEREF _Toc7414198 \h </w:instrText>
      </w:r>
      <w:r>
        <w:rPr>
          <w:noProof/>
        </w:rPr>
      </w:r>
      <w:r>
        <w:rPr>
          <w:noProof/>
        </w:rPr>
        <w:fldChar w:fldCharType="separate"/>
      </w:r>
      <w:r>
        <w:rPr>
          <w:noProof/>
        </w:rPr>
        <w:t>18</w:t>
      </w:r>
      <w:r>
        <w:rPr>
          <w:noProof/>
        </w:rPr>
        <w:fldChar w:fldCharType="end"/>
      </w:r>
    </w:p>
    <w:p w:rsidR="00D17E73" w:rsidRDefault="00D17E73">
      <w:pPr>
        <w:pStyle w:val="TOC1"/>
        <w:tabs>
          <w:tab w:val="right" w:leader="dot" w:pos="9060"/>
        </w:tabs>
        <w:rPr>
          <w:rFonts w:asciiTheme="minorHAnsi" w:eastAsiaTheme="minorEastAsia" w:hAnsiTheme="minorHAnsi" w:cstheme="minorBidi"/>
          <w:b w:val="0"/>
          <w:bCs w:val="0"/>
          <w:caps w:val="0"/>
          <w:noProof/>
          <w:sz w:val="22"/>
          <w:szCs w:val="22"/>
          <w:lang w:eastAsia="cs-CZ"/>
        </w:rPr>
      </w:pPr>
      <w:r>
        <w:rPr>
          <w:noProof/>
        </w:rPr>
        <w:t>2. Analytická část</w:t>
      </w:r>
      <w:r>
        <w:rPr>
          <w:noProof/>
        </w:rPr>
        <w:tab/>
      </w:r>
      <w:r>
        <w:rPr>
          <w:noProof/>
        </w:rPr>
        <w:fldChar w:fldCharType="begin"/>
      </w:r>
      <w:r>
        <w:rPr>
          <w:noProof/>
        </w:rPr>
        <w:instrText xml:space="preserve"> PAGEREF _Toc7414199 \h </w:instrText>
      </w:r>
      <w:r>
        <w:rPr>
          <w:noProof/>
        </w:rPr>
      </w:r>
      <w:r>
        <w:rPr>
          <w:noProof/>
        </w:rPr>
        <w:fldChar w:fldCharType="separate"/>
      </w:r>
      <w:r>
        <w:rPr>
          <w:noProof/>
        </w:rPr>
        <w:t>21</w:t>
      </w:r>
      <w:r>
        <w:rPr>
          <w:noProof/>
        </w:rPr>
        <w:fldChar w:fldCharType="end"/>
      </w:r>
    </w:p>
    <w:p w:rsidR="00D17E73" w:rsidRDefault="00D17E73">
      <w:pPr>
        <w:pStyle w:val="TOC2"/>
        <w:tabs>
          <w:tab w:val="right" w:leader="dot" w:pos="9060"/>
        </w:tabs>
        <w:rPr>
          <w:rFonts w:eastAsiaTheme="minorEastAsia" w:cstheme="minorBidi"/>
          <w:b w:val="0"/>
          <w:bCs w:val="0"/>
          <w:noProof/>
          <w:sz w:val="22"/>
          <w:szCs w:val="22"/>
          <w:lang w:eastAsia="cs-CZ"/>
        </w:rPr>
      </w:pPr>
      <w:r>
        <w:rPr>
          <w:noProof/>
        </w:rPr>
        <w:t>2.1 Zahraniční politika</w:t>
      </w:r>
      <w:r>
        <w:rPr>
          <w:noProof/>
        </w:rPr>
        <w:tab/>
      </w:r>
      <w:r>
        <w:rPr>
          <w:noProof/>
        </w:rPr>
        <w:fldChar w:fldCharType="begin"/>
      </w:r>
      <w:r>
        <w:rPr>
          <w:noProof/>
        </w:rPr>
        <w:instrText xml:space="preserve"> PAGEREF _Toc7414200 \h </w:instrText>
      </w:r>
      <w:r>
        <w:rPr>
          <w:noProof/>
        </w:rPr>
      </w:r>
      <w:r>
        <w:rPr>
          <w:noProof/>
        </w:rPr>
        <w:fldChar w:fldCharType="separate"/>
      </w:r>
      <w:r>
        <w:rPr>
          <w:noProof/>
        </w:rPr>
        <w:t>21</w:t>
      </w:r>
      <w:r>
        <w:rPr>
          <w:noProof/>
        </w:rPr>
        <w:fldChar w:fldCharType="end"/>
      </w:r>
    </w:p>
    <w:p w:rsidR="00D17E73" w:rsidRDefault="00D17E73">
      <w:pPr>
        <w:pStyle w:val="TOC2"/>
        <w:tabs>
          <w:tab w:val="right" w:leader="dot" w:pos="9060"/>
        </w:tabs>
        <w:rPr>
          <w:rFonts w:eastAsiaTheme="minorEastAsia" w:cstheme="minorBidi"/>
          <w:b w:val="0"/>
          <w:bCs w:val="0"/>
          <w:noProof/>
          <w:sz w:val="22"/>
          <w:szCs w:val="22"/>
          <w:lang w:eastAsia="cs-CZ"/>
        </w:rPr>
      </w:pPr>
      <w:r>
        <w:rPr>
          <w:noProof/>
        </w:rPr>
        <w:t>2.2 Kultura a vzdělávání</w:t>
      </w:r>
      <w:r>
        <w:rPr>
          <w:noProof/>
        </w:rPr>
        <w:tab/>
      </w:r>
      <w:r>
        <w:rPr>
          <w:noProof/>
        </w:rPr>
        <w:fldChar w:fldCharType="begin"/>
      </w:r>
      <w:r>
        <w:rPr>
          <w:noProof/>
        </w:rPr>
        <w:instrText xml:space="preserve"> PAGEREF _Toc7414201 \h </w:instrText>
      </w:r>
      <w:r>
        <w:rPr>
          <w:noProof/>
        </w:rPr>
      </w:r>
      <w:r>
        <w:rPr>
          <w:noProof/>
        </w:rPr>
        <w:fldChar w:fldCharType="separate"/>
      </w:r>
      <w:r>
        <w:rPr>
          <w:noProof/>
        </w:rPr>
        <w:t>24</w:t>
      </w:r>
      <w:r>
        <w:rPr>
          <w:noProof/>
        </w:rPr>
        <w:fldChar w:fldCharType="end"/>
      </w:r>
    </w:p>
    <w:p w:rsidR="00D17E73" w:rsidRDefault="00D17E73">
      <w:pPr>
        <w:pStyle w:val="TOC2"/>
        <w:tabs>
          <w:tab w:val="right" w:leader="dot" w:pos="9060"/>
        </w:tabs>
        <w:rPr>
          <w:rFonts w:eastAsiaTheme="minorEastAsia" w:cstheme="minorBidi"/>
          <w:b w:val="0"/>
          <w:bCs w:val="0"/>
          <w:noProof/>
          <w:sz w:val="22"/>
          <w:szCs w:val="22"/>
          <w:lang w:eastAsia="cs-CZ"/>
        </w:rPr>
      </w:pPr>
      <w:r>
        <w:rPr>
          <w:noProof/>
        </w:rPr>
        <w:t>2.3 Zemědělství</w:t>
      </w:r>
      <w:r>
        <w:rPr>
          <w:noProof/>
        </w:rPr>
        <w:tab/>
      </w:r>
      <w:r>
        <w:rPr>
          <w:noProof/>
        </w:rPr>
        <w:fldChar w:fldCharType="begin"/>
      </w:r>
      <w:r>
        <w:rPr>
          <w:noProof/>
        </w:rPr>
        <w:instrText xml:space="preserve"> PAGEREF _Toc7414202 \h </w:instrText>
      </w:r>
      <w:r>
        <w:rPr>
          <w:noProof/>
        </w:rPr>
      </w:r>
      <w:r>
        <w:rPr>
          <w:noProof/>
        </w:rPr>
        <w:fldChar w:fldCharType="separate"/>
      </w:r>
      <w:r>
        <w:rPr>
          <w:noProof/>
        </w:rPr>
        <w:t>28</w:t>
      </w:r>
      <w:r>
        <w:rPr>
          <w:noProof/>
        </w:rPr>
        <w:fldChar w:fldCharType="end"/>
      </w:r>
    </w:p>
    <w:p w:rsidR="00D17E73" w:rsidRDefault="00D17E73">
      <w:pPr>
        <w:pStyle w:val="TOC1"/>
        <w:tabs>
          <w:tab w:val="right" w:leader="dot" w:pos="9060"/>
        </w:tabs>
        <w:rPr>
          <w:rFonts w:asciiTheme="minorHAnsi" w:eastAsiaTheme="minorEastAsia" w:hAnsiTheme="minorHAnsi" w:cstheme="minorBidi"/>
          <w:b w:val="0"/>
          <w:bCs w:val="0"/>
          <w:caps w:val="0"/>
          <w:noProof/>
          <w:sz w:val="22"/>
          <w:szCs w:val="22"/>
          <w:lang w:eastAsia="cs-CZ"/>
        </w:rPr>
      </w:pPr>
      <w:r>
        <w:rPr>
          <w:noProof/>
        </w:rPr>
        <w:t>Závěr</w:t>
      </w:r>
      <w:r>
        <w:rPr>
          <w:noProof/>
        </w:rPr>
        <w:tab/>
      </w:r>
      <w:r>
        <w:rPr>
          <w:noProof/>
        </w:rPr>
        <w:fldChar w:fldCharType="begin"/>
      </w:r>
      <w:r>
        <w:rPr>
          <w:noProof/>
        </w:rPr>
        <w:instrText xml:space="preserve"> PAGEREF _Toc7414203 \h </w:instrText>
      </w:r>
      <w:r>
        <w:rPr>
          <w:noProof/>
        </w:rPr>
      </w:r>
      <w:r>
        <w:rPr>
          <w:noProof/>
        </w:rPr>
        <w:fldChar w:fldCharType="separate"/>
      </w:r>
      <w:r>
        <w:rPr>
          <w:noProof/>
        </w:rPr>
        <w:t>32</w:t>
      </w:r>
      <w:r>
        <w:rPr>
          <w:noProof/>
        </w:rPr>
        <w:fldChar w:fldCharType="end"/>
      </w:r>
    </w:p>
    <w:p w:rsidR="00D17E73" w:rsidRDefault="00D17E73">
      <w:pPr>
        <w:pStyle w:val="TOC1"/>
        <w:tabs>
          <w:tab w:val="right" w:leader="dot" w:pos="9060"/>
        </w:tabs>
        <w:rPr>
          <w:rFonts w:asciiTheme="minorHAnsi" w:eastAsiaTheme="minorEastAsia" w:hAnsiTheme="minorHAnsi" w:cstheme="minorBidi"/>
          <w:b w:val="0"/>
          <w:bCs w:val="0"/>
          <w:caps w:val="0"/>
          <w:noProof/>
          <w:sz w:val="22"/>
          <w:szCs w:val="22"/>
          <w:lang w:eastAsia="cs-CZ"/>
        </w:rPr>
      </w:pPr>
      <w:r>
        <w:rPr>
          <w:noProof/>
        </w:rPr>
        <w:t>Abstrakt</w:t>
      </w:r>
      <w:r>
        <w:rPr>
          <w:noProof/>
        </w:rPr>
        <w:tab/>
      </w:r>
      <w:r>
        <w:rPr>
          <w:noProof/>
        </w:rPr>
        <w:fldChar w:fldCharType="begin"/>
      </w:r>
      <w:r>
        <w:rPr>
          <w:noProof/>
        </w:rPr>
        <w:instrText xml:space="preserve"> PAGEREF _Toc7414204 \h </w:instrText>
      </w:r>
      <w:r>
        <w:rPr>
          <w:noProof/>
        </w:rPr>
      </w:r>
      <w:r>
        <w:rPr>
          <w:noProof/>
        </w:rPr>
        <w:fldChar w:fldCharType="separate"/>
      </w:r>
      <w:r>
        <w:rPr>
          <w:noProof/>
        </w:rPr>
        <w:t>34</w:t>
      </w:r>
      <w:r>
        <w:rPr>
          <w:noProof/>
        </w:rPr>
        <w:fldChar w:fldCharType="end"/>
      </w:r>
    </w:p>
    <w:p w:rsidR="00D17E73" w:rsidRDefault="00D17E73">
      <w:pPr>
        <w:pStyle w:val="TOC1"/>
        <w:tabs>
          <w:tab w:val="right" w:leader="dot" w:pos="9060"/>
        </w:tabs>
        <w:rPr>
          <w:rFonts w:asciiTheme="minorHAnsi" w:eastAsiaTheme="minorEastAsia" w:hAnsiTheme="minorHAnsi" w:cstheme="minorBidi"/>
          <w:b w:val="0"/>
          <w:bCs w:val="0"/>
          <w:caps w:val="0"/>
          <w:noProof/>
          <w:sz w:val="22"/>
          <w:szCs w:val="22"/>
          <w:lang w:eastAsia="cs-CZ"/>
        </w:rPr>
      </w:pPr>
      <w:r>
        <w:rPr>
          <w:noProof/>
        </w:rPr>
        <w:t>Abstract</w:t>
      </w:r>
      <w:r>
        <w:rPr>
          <w:noProof/>
        </w:rPr>
        <w:tab/>
      </w:r>
      <w:r>
        <w:rPr>
          <w:noProof/>
        </w:rPr>
        <w:fldChar w:fldCharType="begin"/>
      </w:r>
      <w:r>
        <w:rPr>
          <w:noProof/>
        </w:rPr>
        <w:instrText xml:space="preserve"> PAGEREF _Toc7414205 \h </w:instrText>
      </w:r>
      <w:r>
        <w:rPr>
          <w:noProof/>
        </w:rPr>
      </w:r>
      <w:r>
        <w:rPr>
          <w:noProof/>
        </w:rPr>
        <w:fldChar w:fldCharType="separate"/>
      </w:r>
      <w:r>
        <w:rPr>
          <w:noProof/>
        </w:rPr>
        <w:t>35</w:t>
      </w:r>
      <w:r>
        <w:rPr>
          <w:noProof/>
        </w:rPr>
        <w:fldChar w:fldCharType="end"/>
      </w:r>
    </w:p>
    <w:p w:rsidR="00D17E73" w:rsidRDefault="00D17E73">
      <w:pPr>
        <w:pStyle w:val="TOC1"/>
        <w:tabs>
          <w:tab w:val="right" w:leader="dot" w:pos="9060"/>
        </w:tabs>
        <w:rPr>
          <w:rFonts w:asciiTheme="minorHAnsi" w:eastAsiaTheme="minorEastAsia" w:hAnsiTheme="minorHAnsi" w:cstheme="minorBidi"/>
          <w:b w:val="0"/>
          <w:bCs w:val="0"/>
          <w:caps w:val="0"/>
          <w:noProof/>
          <w:sz w:val="22"/>
          <w:szCs w:val="22"/>
          <w:lang w:eastAsia="cs-CZ"/>
        </w:rPr>
      </w:pPr>
      <w:r>
        <w:rPr>
          <w:noProof/>
        </w:rPr>
        <w:t>Přílohy</w:t>
      </w:r>
      <w:r>
        <w:rPr>
          <w:noProof/>
        </w:rPr>
        <w:tab/>
      </w:r>
      <w:r>
        <w:rPr>
          <w:noProof/>
        </w:rPr>
        <w:fldChar w:fldCharType="begin"/>
      </w:r>
      <w:r>
        <w:rPr>
          <w:noProof/>
        </w:rPr>
        <w:instrText xml:space="preserve"> PAGEREF _Toc7414206 \h </w:instrText>
      </w:r>
      <w:r>
        <w:rPr>
          <w:noProof/>
        </w:rPr>
      </w:r>
      <w:r>
        <w:rPr>
          <w:noProof/>
        </w:rPr>
        <w:fldChar w:fldCharType="separate"/>
      </w:r>
      <w:r>
        <w:rPr>
          <w:noProof/>
        </w:rPr>
        <w:t>36</w:t>
      </w:r>
      <w:r>
        <w:rPr>
          <w:noProof/>
        </w:rPr>
        <w:fldChar w:fldCharType="end"/>
      </w:r>
    </w:p>
    <w:p w:rsidR="00D17E73" w:rsidRDefault="00D17E73">
      <w:pPr>
        <w:pStyle w:val="TOC1"/>
        <w:tabs>
          <w:tab w:val="right" w:leader="dot" w:pos="9060"/>
        </w:tabs>
        <w:rPr>
          <w:rFonts w:asciiTheme="minorHAnsi" w:eastAsiaTheme="minorEastAsia" w:hAnsiTheme="minorHAnsi" w:cstheme="minorBidi"/>
          <w:b w:val="0"/>
          <w:bCs w:val="0"/>
          <w:caps w:val="0"/>
          <w:noProof/>
          <w:sz w:val="22"/>
          <w:szCs w:val="22"/>
          <w:lang w:eastAsia="cs-CZ"/>
        </w:rPr>
      </w:pPr>
      <w:r>
        <w:rPr>
          <w:noProof/>
        </w:rPr>
        <w:t>Prameny</w:t>
      </w:r>
      <w:r>
        <w:rPr>
          <w:noProof/>
        </w:rPr>
        <w:tab/>
      </w:r>
      <w:r>
        <w:rPr>
          <w:noProof/>
        </w:rPr>
        <w:fldChar w:fldCharType="begin"/>
      </w:r>
      <w:r>
        <w:rPr>
          <w:noProof/>
        </w:rPr>
        <w:instrText xml:space="preserve"> PAGEREF _Toc7414207 \h </w:instrText>
      </w:r>
      <w:r>
        <w:rPr>
          <w:noProof/>
        </w:rPr>
      </w:r>
      <w:r>
        <w:rPr>
          <w:noProof/>
        </w:rPr>
        <w:fldChar w:fldCharType="separate"/>
      </w:r>
      <w:r>
        <w:rPr>
          <w:noProof/>
        </w:rPr>
        <w:t>45</w:t>
      </w:r>
      <w:r>
        <w:rPr>
          <w:noProof/>
        </w:rPr>
        <w:fldChar w:fldCharType="end"/>
      </w:r>
    </w:p>
    <w:p w:rsidR="00D17E73" w:rsidRDefault="00D17E73">
      <w:pPr>
        <w:pStyle w:val="TOC1"/>
        <w:tabs>
          <w:tab w:val="right" w:leader="dot" w:pos="9060"/>
        </w:tabs>
        <w:rPr>
          <w:rFonts w:asciiTheme="minorHAnsi" w:eastAsiaTheme="minorEastAsia" w:hAnsiTheme="minorHAnsi" w:cstheme="minorBidi"/>
          <w:b w:val="0"/>
          <w:bCs w:val="0"/>
          <w:caps w:val="0"/>
          <w:noProof/>
          <w:sz w:val="22"/>
          <w:szCs w:val="22"/>
          <w:lang w:eastAsia="cs-CZ"/>
        </w:rPr>
      </w:pPr>
      <w:r>
        <w:rPr>
          <w:noProof/>
        </w:rPr>
        <w:t>Literatura</w:t>
      </w:r>
      <w:r>
        <w:rPr>
          <w:noProof/>
        </w:rPr>
        <w:tab/>
      </w:r>
      <w:r>
        <w:rPr>
          <w:noProof/>
        </w:rPr>
        <w:fldChar w:fldCharType="begin"/>
      </w:r>
      <w:r>
        <w:rPr>
          <w:noProof/>
        </w:rPr>
        <w:instrText xml:space="preserve"> PAGEREF _Toc7414208 \h </w:instrText>
      </w:r>
      <w:r>
        <w:rPr>
          <w:noProof/>
        </w:rPr>
      </w:r>
      <w:r>
        <w:rPr>
          <w:noProof/>
        </w:rPr>
        <w:fldChar w:fldCharType="separate"/>
      </w:r>
      <w:r>
        <w:rPr>
          <w:noProof/>
        </w:rPr>
        <w:t>50</w:t>
      </w:r>
      <w:r>
        <w:rPr>
          <w:noProof/>
        </w:rPr>
        <w:fldChar w:fldCharType="end"/>
      </w:r>
    </w:p>
    <w:p w:rsidR="00355121" w:rsidRDefault="00355121" w:rsidP="000A4B03">
      <w:pPr>
        <w:spacing w:line="240" w:lineRule="auto"/>
        <w:rPr>
          <w:rFonts w:cs="Times New Roman"/>
          <w:color w:val="000000"/>
          <w:szCs w:val="24"/>
        </w:rPr>
      </w:pPr>
      <w:r>
        <w:rPr>
          <w:rFonts w:cs="Times New Roman"/>
          <w:color w:val="000000"/>
          <w:szCs w:val="24"/>
        </w:rPr>
        <w:fldChar w:fldCharType="end"/>
      </w:r>
    </w:p>
    <w:p w:rsidR="000B5A59" w:rsidRPr="00355121" w:rsidRDefault="000B5A59" w:rsidP="00355121">
      <w:pPr>
        <w:spacing w:after="160" w:line="259" w:lineRule="auto"/>
        <w:ind w:firstLine="0"/>
        <w:jc w:val="left"/>
        <w:rPr>
          <w:rFonts w:cs="Times New Roman"/>
          <w:color w:val="000000"/>
          <w:szCs w:val="24"/>
        </w:rPr>
        <w:sectPr w:rsidR="000B5A59" w:rsidRPr="00355121" w:rsidSect="00355121">
          <w:pgSz w:w="11906" w:h="16838"/>
          <w:pgMar w:top="1418" w:right="1418" w:bottom="1418" w:left="1418" w:header="709" w:footer="709" w:gutter="0"/>
          <w:cols w:space="708"/>
          <w:titlePg/>
          <w:docGrid w:linePitch="360"/>
        </w:sectPr>
      </w:pPr>
    </w:p>
    <w:p w:rsidR="00871918" w:rsidRDefault="0060640C" w:rsidP="003330F5">
      <w:pPr>
        <w:pStyle w:val="Heading1"/>
      </w:pPr>
      <w:bookmarkStart w:id="0" w:name="_Toc7414190"/>
      <w:r>
        <w:lastRenderedPageBreak/>
        <w:t>Úvod</w:t>
      </w:r>
      <w:bookmarkEnd w:id="0"/>
    </w:p>
    <w:p w:rsidR="008E3945" w:rsidRDefault="00C655FB" w:rsidP="00C655FB">
      <w:pPr>
        <w:tabs>
          <w:tab w:val="left" w:pos="4065"/>
        </w:tabs>
        <w:spacing w:line="240" w:lineRule="auto"/>
        <w:rPr>
          <w:rFonts w:cs="Times New Roman"/>
          <w:b/>
          <w:sz w:val="32"/>
        </w:rPr>
      </w:pPr>
      <w:r>
        <w:rPr>
          <w:rFonts w:cs="Times New Roman"/>
          <w:b/>
          <w:sz w:val="32"/>
        </w:rPr>
        <w:tab/>
      </w:r>
    </w:p>
    <w:p w:rsidR="005F32DE" w:rsidRDefault="00275BEA" w:rsidP="00275BEA">
      <w:pPr>
        <w:rPr>
          <w:rFonts w:cs="Times New Roman"/>
        </w:rPr>
      </w:pPr>
      <w:r>
        <w:rPr>
          <w:rFonts w:cs="Times New Roman"/>
        </w:rPr>
        <w:t xml:space="preserve">Lobbing </w:t>
      </w:r>
      <w:r w:rsidR="00B65971">
        <w:rPr>
          <w:rFonts w:cs="Times New Roman"/>
        </w:rPr>
        <w:t>v</w:t>
      </w:r>
      <w:r w:rsidR="00053E6E">
        <w:rPr>
          <w:rFonts w:cs="Times New Roman"/>
        </w:rPr>
        <w:t xml:space="preserve"> </w:t>
      </w:r>
      <w:r>
        <w:rPr>
          <w:rFonts w:cs="Times New Roman"/>
        </w:rPr>
        <w:t>Evropské unii</w:t>
      </w:r>
      <w:r w:rsidR="008E3945">
        <w:rPr>
          <w:rFonts w:cs="Times New Roman"/>
        </w:rPr>
        <w:t xml:space="preserve"> (dále jen EU)</w:t>
      </w:r>
      <w:r>
        <w:rPr>
          <w:rFonts w:cs="Times New Roman"/>
        </w:rPr>
        <w:t xml:space="preserve"> patří </w:t>
      </w:r>
      <w:r w:rsidR="00B65971">
        <w:rPr>
          <w:rFonts w:cs="Times New Roman"/>
        </w:rPr>
        <w:t>k</w:t>
      </w:r>
      <w:r w:rsidR="00053E6E">
        <w:rPr>
          <w:rFonts w:cs="Times New Roman"/>
        </w:rPr>
        <w:t xml:space="preserve"> </w:t>
      </w:r>
      <w:r w:rsidR="008E3945">
        <w:rPr>
          <w:rFonts w:cs="Times New Roman"/>
        </w:rPr>
        <w:t>probl</w:t>
      </w:r>
      <w:r w:rsidR="00341088">
        <w:rPr>
          <w:rFonts w:cs="Times New Roman"/>
        </w:rPr>
        <w:t>émům</w:t>
      </w:r>
      <w:r w:rsidR="008E3945">
        <w:rPr>
          <w:rFonts w:cs="Times New Roman"/>
        </w:rPr>
        <w:t xml:space="preserve">, jež se </w:t>
      </w:r>
      <w:r w:rsidR="00B65971">
        <w:rPr>
          <w:rFonts w:cs="Times New Roman"/>
        </w:rPr>
        <w:t>s</w:t>
      </w:r>
      <w:r w:rsidR="00053E6E">
        <w:rPr>
          <w:rFonts w:cs="Times New Roman"/>
        </w:rPr>
        <w:t xml:space="preserve"> </w:t>
      </w:r>
      <w:r w:rsidR="008E3945">
        <w:rPr>
          <w:rFonts w:cs="Times New Roman"/>
        </w:rPr>
        <w:t>touto institucí spojuj</w:t>
      </w:r>
      <w:r w:rsidR="00341088">
        <w:rPr>
          <w:rFonts w:cs="Times New Roman"/>
        </w:rPr>
        <w:t xml:space="preserve">í </w:t>
      </w:r>
      <w:r w:rsidR="008E3945">
        <w:rPr>
          <w:rFonts w:cs="Times New Roman"/>
        </w:rPr>
        <w:t xml:space="preserve">už od jejího vzniku </w:t>
      </w:r>
      <w:r w:rsidR="00B65971">
        <w:rPr>
          <w:rFonts w:cs="Times New Roman"/>
        </w:rPr>
        <w:t>a</w:t>
      </w:r>
      <w:r w:rsidR="00053E6E">
        <w:rPr>
          <w:rFonts w:cs="Times New Roman"/>
        </w:rPr>
        <w:t xml:space="preserve"> </w:t>
      </w:r>
      <w:r w:rsidR="008E3945">
        <w:rPr>
          <w:rFonts w:cs="Times New Roman"/>
        </w:rPr>
        <w:t>m</w:t>
      </w:r>
      <w:r w:rsidR="008C2DF7">
        <w:rPr>
          <w:rFonts w:cs="Times New Roman"/>
        </w:rPr>
        <w:t>ají</w:t>
      </w:r>
      <w:r w:rsidR="008E3945">
        <w:rPr>
          <w:rFonts w:cs="Times New Roman"/>
        </w:rPr>
        <w:t xml:space="preserve"> vliv na </w:t>
      </w:r>
      <w:r w:rsidR="00854AE4">
        <w:rPr>
          <w:rFonts w:cs="Times New Roman"/>
        </w:rPr>
        <w:t xml:space="preserve">její </w:t>
      </w:r>
      <w:r w:rsidR="008E3945">
        <w:rPr>
          <w:rFonts w:cs="Times New Roman"/>
        </w:rPr>
        <w:t xml:space="preserve">fungování. </w:t>
      </w:r>
      <w:r w:rsidR="00B65971">
        <w:rPr>
          <w:rFonts w:cs="Times New Roman"/>
        </w:rPr>
        <w:t>I</w:t>
      </w:r>
      <w:r w:rsidR="00053E6E">
        <w:rPr>
          <w:rFonts w:cs="Times New Roman"/>
        </w:rPr>
        <w:t xml:space="preserve"> </w:t>
      </w:r>
      <w:r w:rsidR="008E3945">
        <w:rPr>
          <w:rFonts w:cs="Times New Roman"/>
        </w:rPr>
        <w:t>proto je té</w:t>
      </w:r>
      <w:r w:rsidR="008C2DF7">
        <w:rPr>
          <w:rFonts w:cs="Times New Roman"/>
        </w:rPr>
        <w:t>to</w:t>
      </w:r>
      <w:r w:rsidR="008E3945">
        <w:rPr>
          <w:rFonts w:cs="Times New Roman"/>
        </w:rPr>
        <w:t xml:space="preserve"> problematice věnována zvýšená pozornost.</w:t>
      </w:r>
      <w:r w:rsidR="00766B56">
        <w:rPr>
          <w:rFonts w:cs="Times New Roman"/>
        </w:rPr>
        <w:t xml:space="preserve"> </w:t>
      </w:r>
      <w:r w:rsidR="008E3945">
        <w:rPr>
          <w:rFonts w:cs="Times New Roman"/>
        </w:rPr>
        <w:t>Sama Evropská unie se</w:t>
      </w:r>
      <w:r w:rsidR="006200BC">
        <w:rPr>
          <w:rFonts w:cs="Times New Roman"/>
        </w:rPr>
        <w:t xml:space="preserve"> </w:t>
      </w:r>
      <w:r w:rsidR="00B65971">
        <w:rPr>
          <w:rFonts w:cs="Times New Roman"/>
        </w:rPr>
        <w:t>v</w:t>
      </w:r>
      <w:r w:rsidR="00053E6E">
        <w:rPr>
          <w:rFonts w:cs="Times New Roman"/>
        </w:rPr>
        <w:t xml:space="preserve"> </w:t>
      </w:r>
      <w:r w:rsidR="008E3945">
        <w:rPr>
          <w:rFonts w:cs="Times New Roman"/>
        </w:rPr>
        <w:t xml:space="preserve">posledních letech lobbingem </w:t>
      </w:r>
      <w:r w:rsidR="00766B56">
        <w:rPr>
          <w:rFonts w:cs="Times New Roman"/>
        </w:rPr>
        <w:t xml:space="preserve">aktivně </w:t>
      </w:r>
      <w:r w:rsidR="008E3945">
        <w:rPr>
          <w:rFonts w:cs="Times New Roman"/>
        </w:rPr>
        <w:t xml:space="preserve">zaobírá </w:t>
      </w:r>
      <w:r w:rsidR="00B65971">
        <w:rPr>
          <w:rFonts w:cs="Times New Roman"/>
        </w:rPr>
        <w:t>a</w:t>
      </w:r>
      <w:r w:rsidR="00053E6E">
        <w:rPr>
          <w:rFonts w:cs="Times New Roman"/>
        </w:rPr>
        <w:t xml:space="preserve"> </w:t>
      </w:r>
      <w:r w:rsidR="002C5A7A">
        <w:rPr>
          <w:rFonts w:cs="Times New Roman"/>
        </w:rPr>
        <w:t>to</w:t>
      </w:r>
      <w:r w:rsidR="008E3945">
        <w:rPr>
          <w:rFonts w:cs="Times New Roman"/>
        </w:rPr>
        <w:t xml:space="preserve"> především způsobem jak jej učinit co nejefektivnějším tak</w:t>
      </w:r>
      <w:r w:rsidR="00153108">
        <w:rPr>
          <w:rFonts w:cs="Times New Roman"/>
        </w:rPr>
        <w:t>,</w:t>
      </w:r>
      <w:r w:rsidR="008E3945">
        <w:rPr>
          <w:rFonts w:cs="Times New Roman"/>
        </w:rPr>
        <w:t xml:space="preserve"> aby výhody lobbingu byly zachovány, ale zároveň aby se tento proces stal co nejvíce transparentním pro občany EU. </w:t>
      </w:r>
      <w:r w:rsidR="00D56CD1">
        <w:rPr>
          <w:rFonts w:cs="Times New Roman"/>
        </w:rPr>
        <w:t>Evropská komise, jej</w:t>
      </w:r>
      <w:r w:rsidR="008C2DF7">
        <w:rPr>
          <w:rFonts w:cs="Times New Roman"/>
        </w:rPr>
        <w:t>í</w:t>
      </w:r>
      <w:r w:rsidR="00D56CD1">
        <w:rPr>
          <w:rFonts w:cs="Times New Roman"/>
        </w:rPr>
        <w:t xml:space="preserve">mž vztahem </w:t>
      </w:r>
      <w:r w:rsidR="00B65971">
        <w:rPr>
          <w:rFonts w:cs="Times New Roman"/>
        </w:rPr>
        <w:t>k</w:t>
      </w:r>
      <w:r w:rsidR="00053E6E">
        <w:rPr>
          <w:rFonts w:cs="Times New Roman"/>
        </w:rPr>
        <w:t xml:space="preserve"> </w:t>
      </w:r>
      <w:r w:rsidR="00D56CD1">
        <w:rPr>
          <w:rFonts w:cs="Times New Roman"/>
        </w:rPr>
        <w:t xml:space="preserve">problematice lobbingu jsem se rozhodl se zabývat, je </w:t>
      </w:r>
      <w:r w:rsidR="00B65971">
        <w:rPr>
          <w:rFonts w:cs="Times New Roman"/>
        </w:rPr>
        <w:t>v</w:t>
      </w:r>
      <w:r w:rsidR="00053E6E">
        <w:rPr>
          <w:rFonts w:cs="Times New Roman"/>
        </w:rPr>
        <w:t xml:space="preserve"> </w:t>
      </w:r>
      <w:r w:rsidR="00D56CD1">
        <w:rPr>
          <w:rFonts w:cs="Times New Roman"/>
        </w:rPr>
        <w:t>této otázce velice aktivní.</w:t>
      </w:r>
      <w:r w:rsidR="006200BC">
        <w:rPr>
          <w:rFonts w:cs="Times New Roman"/>
        </w:rPr>
        <w:t xml:space="preserve"> B</w:t>
      </w:r>
      <w:r w:rsidR="001651EA">
        <w:rPr>
          <w:rFonts w:cs="Times New Roman"/>
        </w:rPr>
        <w:t xml:space="preserve">yla první institucí, která se </w:t>
      </w:r>
      <w:r w:rsidR="00B65971">
        <w:rPr>
          <w:rFonts w:cs="Times New Roman"/>
        </w:rPr>
        <w:t>k</w:t>
      </w:r>
      <w:r w:rsidR="00053E6E">
        <w:rPr>
          <w:rFonts w:cs="Times New Roman"/>
        </w:rPr>
        <w:t xml:space="preserve"> </w:t>
      </w:r>
      <w:r w:rsidR="00766B56">
        <w:rPr>
          <w:rFonts w:cs="Times New Roman"/>
        </w:rPr>
        <w:t>oblasti</w:t>
      </w:r>
      <w:r w:rsidR="001651EA">
        <w:rPr>
          <w:rFonts w:cs="Times New Roman"/>
        </w:rPr>
        <w:t xml:space="preserve"> působení zájmových skupin na úrovni EU vyjadřovala</w:t>
      </w:r>
      <w:r w:rsidR="008C2DF7">
        <w:rPr>
          <w:rFonts w:cs="Times New Roman"/>
        </w:rPr>
        <w:t>,</w:t>
      </w:r>
      <w:r w:rsidR="001651EA">
        <w:rPr>
          <w:rFonts w:cs="Times New Roman"/>
        </w:rPr>
        <w:t xml:space="preserve"> </w:t>
      </w:r>
      <w:r w:rsidR="00B65971">
        <w:rPr>
          <w:rFonts w:cs="Times New Roman"/>
        </w:rPr>
        <w:t>a</w:t>
      </w:r>
      <w:r w:rsidR="00053E6E">
        <w:rPr>
          <w:rFonts w:cs="Times New Roman"/>
        </w:rPr>
        <w:t xml:space="preserve"> </w:t>
      </w:r>
      <w:r w:rsidR="001651EA">
        <w:rPr>
          <w:rFonts w:cs="Times New Roman"/>
        </w:rPr>
        <w:t xml:space="preserve">to dokonce již od Amsterodamské smlouvy </w:t>
      </w:r>
      <w:r w:rsidR="00B65971">
        <w:rPr>
          <w:rFonts w:cs="Times New Roman"/>
        </w:rPr>
        <w:t>v</w:t>
      </w:r>
      <w:r w:rsidR="00053E6E">
        <w:rPr>
          <w:rFonts w:cs="Times New Roman"/>
        </w:rPr>
        <w:t xml:space="preserve"> </w:t>
      </w:r>
      <w:r w:rsidR="001651EA">
        <w:rPr>
          <w:rFonts w:cs="Times New Roman"/>
        </w:rPr>
        <w:t>roce 1992.</w:t>
      </w:r>
      <w:r w:rsidR="00053E6E">
        <w:rPr>
          <w:rFonts w:cs="Times New Roman"/>
        </w:rPr>
        <w:t xml:space="preserve"> </w:t>
      </w:r>
      <w:r w:rsidR="00D56CD1">
        <w:rPr>
          <w:rFonts w:cs="Times New Roman"/>
        </w:rPr>
        <w:t xml:space="preserve">Právě </w:t>
      </w:r>
      <w:r w:rsidR="00B65971">
        <w:rPr>
          <w:rFonts w:cs="Times New Roman"/>
        </w:rPr>
        <w:t>z</w:t>
      </w:r>
      <w:r w:rsidR="00053E6E">
        <w:rPr>
          <w:rFonts w:cs="Times New Roman"/>
        </w:rPr>
        <w:t xml:space="preserve"> </w:t>
      </w:r>
      <w:r w:rsidR="00D56CD1">
        <w:rPr>
          <w:rFonts w:cs="Times New Roman"/>
        </w:rPr>
        <w:t xml:space="preserve">této instituce vzešel </w:t>
      </w:r>
      <w:r w:rsidR="001651EA">
        <w:rPr>
          <w:rFonts w:cs="Times New Roman"/>
        </w:rPr>
        <w:t xml:space="preserve">také </w:t>
      </w:r>
      <w:r w:rsidR="00B65971">
        <w:rPr>
          <w:rFonts w:cs="Times New Roman"/>
        </w:rPr>
        <w:t>v</w:t>
      </w:r>
      <w:r w:rsidR="00053E6E">
        <w:rPr>
          <w:rFonts w:cs="Times New Roman"/>
        </w:rPr>
        <w:t xml:space="preserve"> </w:t>
      </w:r>
      <w:r w:rsidR="001651EA">
        <w:rPr>
          <w:rFonts w:cs="Times New Roman"/>
        </w:rPr>
        <w:t xml:space="preserve">roce 2008 </w:t>
      </w:r>
      <w:r w:rsidR="00D56CD1">
        <w:rPr>
          <w:rFonts w:cs="Times New Roman"/>
        </w:rPr>
        <w:t xml:space="preserve">nápad na vznik registru pro zájmové skupiny, který by měl být výrazným milníkem ve vztahu zájmových skupin </w:t>
      </w:r>
      <w:r w:rsidR="00B65971">
        <w:rPr>
          <w:rFonts w:cs="Times New Roman"/>
        </w:rPr>
        <w:t>a</w:t>
      </w:r>
      <w:r w:rsidR="00053E6E">
        <w:rPr>
          <w:rFonts w:cs="Times New Roman"/>
        </w:rPr>
        <w:t xml:space="preserve"> </w:t>
      </w:r>
      <w:r w:rsidR="00D56CD1">
        <w:rPr>
          <w:rFonts w:cs="Times New Roman"/>
        </w:rPr>
        <w:t xml:space="preserve">všech institucí EU. </w:t>
      </w:r>
    </w:p>
    <w:p w:rsidR="005F32DE" w:rsidRDefault="00D56CD1" w:rsidP="00275BEA">
      <w:pPr>
        <w:rPr>
          <w:rFonts w:cs="Times New Roman"/>
        </w:rPr>
      </w:pPr>
      <w:r>
        <w:rPr>
          <w:rFonts w:cs="Times New Roman"/>
        </w:rPr>
        <w:t xml:space="preserve">Pro analýzu vztahu zájmových skupin </w:t>
      </w:r>
      <w:r w:rsidR="00B65971">
        <w:rPr>
          <w:rFonts w:cs="Times New Roman"/>
        </w:rPr>
        <w:t>a</w:t>
      </w:r>
      <w:r w:rsidR="00053E6E">
        <w:rPr>
          <w:rFonts w:cs="Times New Roman"/>
        </w:rPr>
        <w:t xml:space="preserve"> </w:t>
      </w:r>
      <w:r>
        <w:rPr>
          <w:rFonts w:cs="Times New Roman"/>
        </w:rPr>
        <w:t>Evropské komise jsem se rozhodl</w:t>
      </w:r>
      <w:r w:rsidR="008C2DF7">
        <w:rPr>
          <w:rFonts w:cs="Times New Roman"/>
        </w:rPr>
        <w:t>,</w:t>
      </w:r>
      <w:r>
        <w:rPr>
          <w:rFonts w:cs="Times New Roman"/>
        </w:rPr>
        <w:t xml:space="preserve"> protože právě Evropská komise disponuje </w:t>
      </w:r>
      <w:r w:rsidR="002C5A7A">
        <w:rPr>
          <w:rFonts w:cs="Times New Roman"/>
        </w:rPr>
        <w:t xml:space="preserve">exklusivním </w:t>
      </w:r>
      <w:r>
        <w:rPr>
          <w:rFonts w:cs="Times New Roman"/>
        </w:rPr>
        <w:t xml:space="preserve">právem navrhovat legislativu EU </w:t>
      </w:r>
      <w:r w:rsidR="00B65971">
        <w:rPr>
          <w:rFonts w:cs="Times New Roman"/>
        </w:rPr>
        <w:t>a</w:t>
      </w:r>
      <w:r w:rsidR="00053E6E">
        <w:rPr>
          <w:rFonts w:cs="Times New Roman"/>
        </w:rPr>
        <w:t xml:space="preserve"> </w:t>
      </w:r>
      <w:r w:rsidR="00B65971">
        <w:rPr>
          <w:rFonts w:cs="Times New Roman"/>
        </w:rPr>
        <w:t>v</w:t>
      </w:r>
      <w:r w:rsidR="00053E6E">
        <w:rPr>
          <w:rFonts w:cs="Times New Roman"/>
        </w:rPr>
        <w:t xml:space="preserve"> </w:t>
      </w:r>
      <w:r>
        <w:rPr>
          <w:rFonts w:cs="Times New Roman"/>
        </w:rPr>
        <w:t xml:space="preserve">této počáteční fázi se otevírá </w:t>
      </w:r>
      <w:r w:rsidR="000D2832">
        <w:rPr>
          <w:rFonts w:cs="Times New Roman"/>
        </w:rPr>
        <w:t xml:space="preserve">velká možnost pro zájmové skupiny jak legislativu ovlivnit. </w:t>
      </w:r>
      <w:r w:rsidR="00B65971">
        <w:rPr>
          <w:rFonts w:cs="Times New Roman"/>
        </w:rPr>
        <w:t>Z</w:t>
      </w:r>
      <w:r w:rsidR="00053E6E">
        <w:rPr>
          <w:rFonts w:cs="Times New Roman"/>
        </w:rPr>
        <w:t xml:space="preserve"> </w:t>
      </w:r>
      <w:r w:rsidR="000D2832">
        <w:rPr>
          <w:rFonts w:cs="Times New Roman"/>
        </w:rPr>
        <w:t>toho důvod</w:t>
      </w:r>
      <w:r w:rsidR="00766B56">
        <w:rPr>
          <w:rFonts w:cs="Times New Roman"/>
        </w:rPr>
        <w:t>u</w:t>
      </w:r>
      <w:r w:rsidR="000D2832">
        <w:rPr>
          <w:rFonts w:cs="Times New Roman"/>
        </w:rPr>
        <w:t xml:space="preserve"> se také domnívám, že je důležité se problematice zájmových skupin věnovat, jelikož mají na vznikající legislativu vliv</w:t>
      </w:r>
      <w:r w:rsidR="00153108">
        <w:rPr>
          <w:rFonts w:cs="Times New Roman"/>
        </w:rPr>
        <w:t>,</w:t>
      </w:r>
      <w:r w:rsidR="000D2832">
        <w:rPr>
          <w:rFonts w:cs="Times New Roman"/>
        </w:rPr>
        <w:t xml:space="preserve"> </w:t>
      </w:r>
      <w:r w:rsidR="00B65971">
        <w:rPr>
          <w:rFonts w:cs="Times New Roman"/>
        </w:rPr>
        <w:t>a</w:t>
      </w:r>
      <w:r w:rsidR="00053E6E">
        <w:rPr>
          <w:rFonts w:cs="Times New Roman"/>
        </w:rPr>
        <w:t xml:space="preserve"> </w:t>
      </w:r>
      <w:r w:rsidR="000D2832">
        <w:rPr>
          <w:rFonts w:cs="Times New Roman"/>
        </w:rPr>
        <w:t xml:space="preserve">tím pádem </w:t>
      </w:r>
      <w:r w:rsidR="00B65971">
        <w:rPr>
          <w:rFonts w:cs="Times New Roman"/>
        </w:rPr>
        <w:t>i</w:t>
      </w:r>
      <w:r w:rsidR="00053E6E">
        <w:rPr>
          <w:rFonts w:cs="Times New Roman"/>
        </w:rPr>
        <w:t xml:space="preserve"> </w:t>
      </w:r>
      <w:r w:rsidR="000D2832">
        <w:rPr>
          <w:rFonts w:cs="Times New Roman"/>
        </w:rPr>
        <w:t xml:space="preserve">určitý dopad na občany EU. </w:t>
      </w:r>
      <w:r w:rsidR="00945F3B">
        <w:rPr>
          <w:rFonts w:cs="Times New Roman"/>
        </w:rPr>
        <w:t xml:space="preserve">Důležitým bodem je již zmíněná snaha </w:t>
      </w:r>
      <w:r w:rsidR="00B65971">
        <w:rPr>
          <w:rFonts w:cs="Times New Roman"/>
        </w:rPr>
        <w:t>o</w:t>
      </w:r>
      <w:r w:rsidR="00053E6E">
        <w:rPr>
          <w:rFonts w:cs="Times New Roman"/>
        </w:rPr>
        <w:t xml:space="preserve"> </w:t>
      </w:r>
      <w:r w:rsidR="00945F3B">
        <w:rPr>
          <w:rFonts w:cs="Times New Roman"/>
        </w:rPr>
        <w:t xml:space="preserve">transparentnost vztahu zájmových skupin </w:t>
      </w:r>
      <w:r w:rsidR="00B65971">
        <w:rPr>
          <w:rFonts w:cs="Times New Roman"/>
        </w:rPr>
        <w:t>a</w:t>
      </w:r>
      <w:r w:rsidR="00053E6E">
        <w:rPr>
          <w:rFonts w:cs="Times New Roman"/>
        </w:rPr>
        <w:t xml:space="preserve"> </w:t>
      </w:r>
      <w:r w:rsidR="00945F3B">
        <w:rPr>
          <w:rFonts w:cs="Times New Roman"/>
        </w:rPr>
        <w:t xml:space="preserve">institucí EU, která je potřebná </w:t>
      </w:r>
      <w:r w:rsidR="00B65971">
        <w:rPr>
          <w:rFonts w:cs="Times New Roman"/>
        </w:rPr>
        <w:t>k</w:t>
      </w:r>
      <w:r w:rsidR="00521C3A">
        <w:rPr>
          <w:rFonts w:cs="Times New Roman"/>
        </w:rPr>
        <w:t> </w:t>
      </w:r>
      <w:r w:rsidR="00945F3B">
        <w:rPr>
          <w:rFonts w:cs="Times New Roman"/>
        </w:rPr>
        <w:t xml:space="preserve">často zmiňované snaze </w:t>
      </w:r>
      <w:r w:rsidR="00B65971">
        <w:rPr>
          <w:rFonts w:cs="Times New Roman"/>
        </w:rPr>
        <w:t>o</w:t>
      </w:r>
      <w:r w:rsidR="00053E6E">
        <w:rPr>
          <w:rFonts w:cs="Times New Roman"/>
        </w:rPr>
        <w:t xml:space="preserve"> </w:t>
      </w:r>
      <w:r w:rsidR="00945F3B">
        <w:rPr>
          <w:rFonts w:cs="Times New Roman"/>
        </w:rPr>
        <w:t xml:space="preserve">snížení demokratického deficitu mezi EU </w:t>
      </w:r>
      <w:r w:rsidR="00B65971">
        <w:rPr>
          <w:rFonts w:cs="Times New Roman"/>
        </w:rPr>
        <w:t>a</w:t>
      </w:r>
      <w:r w:rsidR="00053E6E">
        <w:rPr>
          <w:rFonts w:cs="Times New Roman"/>
        </w:rPr>
        <w:t xml:space="preserve"> </w:t>
      </w:r>
      <w:r w:rsidR="00945F3B">
        <w:rPr>
          <w:rFonts w:cs="Times New Roman"/>
        </w:rPr>
        <w:t>jejími občany</w:t>
      </w:r>
      <w:r w:rsidR="00153108">
        <w:rPr>
          <w:rFonts w:cs="Times New Roman"/>
        </w:rPr>
        <w:t>.</w:t>
      </w:r>
      <w:r w:rsidR="00945F3B">
        <w:rPr>
          <w:rFonts w:cs="Times New Roman"/>
        </w:rPr>
        <w:t xml:space="preserve"> </w:t>
      </w:r>
      <w:r w:rsidR="00153108">
        <w:rPr>
          <w:rFonts w:cs="Times New Roman"/>
        </w:rPr>
        <w:t xml:space="preserve">Tedy </w:t>
      </w:r>
      <w:r w:rsidR="00B65971">
        <w:rPr>
          <w:rFonts w:cs="Times New Roman"/>
        </w:rPr>
        <w:t>i</w:t>
      </w:r>
      <w:r w:rsidR="00521C3A">
        <w:rPr>
          <w:rFonts w:cs="Times New Roman"/>
        </w:rPr>
        <w:t> </w:t>
      </w:r>
      <w:r w:rsidR="00B65971">
        <w:rPr>
          <w:rFonts w:cs="Times New Roman"/>
        </w:rPr>
        <w:t>v</w:t>
      </w:r>
      <w:r w:rsidR="00521C3A">
        <w:rPr>
          <w:rFonts w:cs="Times New Roman"/>
        </w:rPr>
        <w:t> </w:t>
      </w:r>
      <w:r w:rsidR="00945F3B">
        <w:rPr>
          <w:rFonts w:cs="Times New Roman"/>
        </w:rPr>
        <w:t xml:space="preserve">této oblasti může lobbing </w:t>
      </w:r>
      <w:r w:rsidR="00B65971">
        <w:rPr>
          <w:rFonts w:cs="Times New Roman"/>
        </w:rPr>
        <w:t>a</w:t>
      </w:r>
      <w:r w:rsidR="00053E6E">
        <w:rPr>
          <w:rFonts w:cs="Times New Roman"/>
        </w:rPr>
        <w:t xml:space="preserve"> </w:t>
      </w:r>
      <w:r w:rsidR="00945F3B">
        <w:rPr>
          <w:rFonts w:cs="Times New Roman"/>
        </w:rPr>
        <w:t>jeho regulace být užitečn</w:t>
      </w:r>
      <w:r w:rsidR="00153108">
        <w:rPr>
          <w:rFonts w:cs="Times New Roman"/>
        </w:rPr>
        <w:t>ou součástí</w:t>
      </w:r>
      <w:r w:rsidR="00945F3B">
        <w:rPr>
          <w:rFonts w:cs="Times New Roman"/>
        </w:rPr>
        <w:t>.</w:t>
      </w:r>
      <w:r w:rsidR="001651EA">
        <w:rPr>
          <w:rFonts w:cs="Times New Roman"/>
        </w:rPr>
        <w:t xml:space="preserve"> </w:t>
      </w:r>
      <w:r w:rsidR="00153108">
        <w:rPr>
          <w:rFonts w:cs="Times New Roman"/>
        </w:rPr>
        <w:t>Navíc</w:t>
      </w:r>
      <w:r w:rsidR="001651EA">
        <w:rPr>
          <w:rFonts w:cs="Times New Roman"/>
        </w:rPr>
        <w:t xml:space="preserve"> je určité usměrnění lobbingu zájmových skupin důležité </w:t>
      </w:r>
      <w:r w:rsidR="00B65971">
        <w:rPr>
          <w:rFonts w:cs="Times New Roman"/>
        </w:rPr>
        <w:t>k</w:t>
      </w:r>
      <w:r w:rsidR="00053E6E">
        <w:rPr>
          <w:rFonts w:cs="Times New Roman"/>
        </w:rPr>
        <w:t xml:space="preserve"> </w:t>
      </w:r>
      <w:r w:rsidR="001651EA">
        <w:rPr>
          <w:rFonts w:cs="Times New Roman"/>
        </w:rPr>
        <w:t>zabránění případné korupci.</w:t>
      </w:r>
      <w:r w:rsidR="00945F3B">
        <w:rPr>
          <w:rFonts w:cs="Times New Roman"/>
        </w:rPr>
        <w:t xml:space="preserve"> </w:t>
      </w:r>
    </w:p>
    <w:p w:rsidR="00BA6B47" w:rsidRDefault="00E90845" w:rsidP="00275BEA">
      <w:pPr>
        <w:rPr>
          <w:rFonts w:cs="Times New Roman"/>
        </w:rPr>
      </w:pPr>
      <w:r>
        <w:rPr>
          <w:rFonts w:cs="Times New Roman"/>
        </w:rPr>
        <w:t>Obecným c</w:t>
      </w:r>
      <w:r w:rsidR="00D836DB">
        <w:rPr>
          <w:rFonts w:cs="Times New Roman"/>
        </w:rPr>
        <w:t xml:space="preserve">ílem mé práce je analyzovat působení zájmových skupin na úrovni Evropské komise </w:t>
      </w:r>
      <w:r w:rsidR="00B65971">
        <w:rPr>
          <w:rFonts w:cs="Times New Roman"/>
        </w:rPr>
        <w:t>s</w:t>
      </w:r>
      <w:r w:rsidR="00053E6E">
        <w:rPr>
          <w:rFonts w:cs="Times New Roman"/>
        </w:rPr>
        <w:t xml:space="preserve"> </w:t>
      </w:r>
      <w:r w:rsidR="00D836DB">
        <w:rPr>
          <w:rFonts w:cs="Times New Roman"/>
        </w:rPr>
        <w:t>pomocí teorie Pietera Bouwena</w:t>
      </w:r>
      <w:r w:rsidR="008C2DF7">
        <w:rPr>
          <w:rFonts w:cs="Times New Roman"/>
        </w:rPr>
        <w:t xml:space="preserve"> </w:t>
      </w:r>
      <w:r w:rsidR="00B65971">
        <w:rPr>
          <w:rFonts w:cs="Times New Roman"/>
        </w:rPr>
        <w:t>a</w:t>
      </w:r>
      <w:r w:rsidR="00053E6E">
        <w:rPr>
          <w:rFonts w:cs="Times New Roman"/>
        </w:rPr>
        <w:t xml:space="preserve"> </w:t>
      </w:r>
      <w:r w:rsidR="00D836DB">
        <w:rPr>
          <w:rFonts w:cs="Times New Roman"/>
        </w:rPr>
        <w:t>prozkoumat interakci mezi oběm</w:t>
      </w:r>
      <w:r w:rsidR="008C2DF7">
        <w:rPr>
          <w:rFonts w:cs="Times New Roman"/>
        </w:rPr>
        <w:t>a</w:t>
      </w:r>
      <w:r w:rsidR="001951AE">
        <w:rPr>
          <w:rFonts w:cs="Times New Roman"/>
        </w:rPr>
        <w:t xml:space="preserve"> aktéry, ke které právě podle této teorie dochází. </w:t>
      </w:r>
      <w:r w:rsidR="00020851">
        <w:rPr>
          <w:rFonts w:cs="Times New Roman"/>
        </w:rPr>
        <w:t>Tato teorie</w:t>
      </w:r>
      <w:r w:rsidR="00341088">
        <w:rPr>
          <w:rFonts w:cs="Times New Roman"/>
        </w:rPr>
        <w:t xml:space="preserve"> </w:t>
      </w:r>
      <w:r w:rsidR="00020851">
        <w:rPr>
          <w:rFonts w:cs="Times New Roman"/>
        </w:rPr>
        <w:t xml:space="preserve">vychází </w:t>
      </w:r>
      <w:r w:rsidR="00B65971">
        <w:rPr>
          <w:rFonts w:cs="Times New Roman"/>
        </w:rPr>
        <w:t>z</w:t>
      </w:r>
      <w:r w:rsidR="00053E6E">
        <w:rPr>
          <w:rFonts w:cs="Times New Roman"/>
        </w:rPr>
        <w:t xml:space="preserve"> </w:t>
      </w:r>
      <w:r w:rsidR="00020851">
        <w:rPr>
          <w:rFonts w:cs="Times New Roman"/>
        </w:rPr>
        <w:t xml:space="preserve">dalších přístupů, tzv. exchange modelu </w:t>
      </w:r>
      <w:r w:rsidR="00B65971">
        <w:rPr>
          <w:rFonts w:cs="Times New Roman"/>
        </w:rPr>
        <w:t>a</w:t>
      </w:r>
      <w:r w:rsidR="00521C3A">
        <w:rPr>
          <w:rFonts w:cs="Times New Roman"/>
        </w:rPr>
        <w:t> </w:t>
      </w:r>
      <w:r w:rsidR="00020851">
        <w:rPr>
          <w:rFonts w:cs="Times New Roman"/>
        </w:rPr>
        <w:t>resource dependency modelu</w:t>
      </w:r>
      <w:r w:rsidR="008C2DF7">
        <w:rPr>
          <w:rFonts w:cs="Times New Roman"/>
        </w:rPr>
        <w:t>.</w:t>
      </w:r>
      <w:r w:rsidR="00020851">
        <w:rPr>
          <w:rFonts w:cs="Times New Roman"/>
        </w:rPr>
        <w:t xml:space="preserve"> </w:t>
      </w:r>
      <w:r w:rsidR="008C2DF7">
        <w:rPr>
          <w:rFonts w:cs="Times New Roman"/>
        </w:rPr>
        <w:t>J</w:t>
      </w:r>
      <w:r w:rsidR="00020851">
        <w:rPr>
          <w:rFonts w:cs="Times New Roman"/>
        </w:rPr>
        <w:t xml:space="preserve">e důležitě </w:t>
      </w:r>
      <w:r w:rsidR="00153108">
        <w:rPr>
          <w:rFonts w:cs="Times New Roman"/>
        </w:rPr>
        <w:t>poznamenat</w:t>
      </w:r>
      <w:r w:rsidR="00020851">
        <w:rPr>
          <w:rFonts w:cs="Times New Roman"/>
        </w:rPr>
        <w:t xml:space="preserve">, že oba přístupy zdůrazňují </w:t>
      </w:r>
      <w:r w:rsidR="005C34E9">
        <w:rPr>
          <w:rFonts w:cs="Times New Roman"/>
        </w:rPr>
        <w:t xml:space="preserve">právě </w:t>
      </w:r>
      <w:r w:rsidR="00020851">
        <w:rPr>
          <w:rFonts w:cs="Times New Roman"/>
        </w:rPr>
        <w:t>interakci mezi dvěmi aktéry, která je ale pro oba aktéry výhodná.</w:t>
      </w:r>
      <w:r w:rsidR="00BA6B47">
        <w:rPr>
          <w:rFonts w:cs="Times New Roman"/>
        </w:rPr>
        <w:t xml:space="preserve"> </w:t>
      </w:r>
    </w:p>
    <w:p w:rsidR="00153108" w:rsidRDefault="00BA6B47" w:rsidP="00275BEA">
      <w:pPr>
        <w:rPr>
          <w:rFonts w:cs="Times New Roman"/>
        </w:rPr>
      </w:pPr>
      <w:r>
        <w:rPr>
          <w:rFonts w:cs="Times New Roman"/>
        </w:rPr>
        <w:t>Tuto teorii poté budu aplikovat na tři oblasti</w:t>
      </w:r>
      <w:r w:rsidR="00153108">
        <w:rPr>
          <w:rFonts w:cs="Times New Roman"/>
        </w:rPr>
        <w:t>,</w:t>
      </w:r>
      <w:r>
        <w:rPr>
          <w:rFonts w:cs="Times New Roman"/>
        </w:rPr>
        <w:t xml:space="preserve"> </w:t>
      </w:r>
      <w:r w:rsidR="00B65971">
        <w:rPr>
          <w:rFonts w:cs="Times New Roman"/>
        </w:rPr>
        <w:t>k</w:t>
      </w:r>
      <w:r w:rsidR="00053E6E">
        <w:rPr>
          <w:rFonts w:cs="Times New Roman"/>
        </w:rPr>
        <w:t xml:space="preserve"> </w:t>
      </w:r>
      <w:r>
        <w:rPr>
          <w:rFonts w:cs="Times New Roman"/>
        </w:rPr>
        <w:t>jejichž vytvoření jsem využil právě Rejstřík transparentnosti, který EU zřídila</w:t>
      </w:r>
      <w:r w:rsidR="00E443A7">
        <w:rPr>
          <w:rStyle w:val="FootnoteReference"/>
          <w:rFonts w:cs="Times New Roman"/>
        </w:rPr>
        <w:footnoteReference w:id="1"/>
      </w:r>
      <w:r w:rsidR="00597FA5">
        <w:rPr>
          <w:rFonts w:cs="Times New Roman"/>
        </w:rPr>
        <w:t>.</w:t>
      </w:r>
      <w:r>
        <w:rPr>
          <w:rFonts w:cs="Times New Roman"/>
        </w:rPr>
        <w:t xml:space="preserve"> Jelikož jde </w:t>
      </w:r>
      <w:r w:rsidR="00B65971">
        <w:rPr>
          <w:rFonts w:cs="Times New Roman"/>
        </w:rPr>
        <w:t>o</w:t>
      </w:r>
      <w:r w:rsidR="00053E6E">
        <w:rPr>
          <w:rFonts w:cs="Times New Roman"/>
        </w:rPr>
        <w:t xml:space="preserve"> </w:t>
      </w:r>
      <w:r>
        <w:rPr>
          <w:rFonts w:cs="Times New Roman"/>
        </w:rPr>
        <w:t xml:space="preserve">tři oblasti, musel jsem zvolit shodný referenční bod, který by pro všechny byl využitelný. Má analýza tedy zahrnuje zájmové skupiny registrované od </w:t>
      </w:r>
      <w:r w:rsidR="00B65971">
        <w:rPr>
          <w:rFonts w:cs="Times New Roman"/>
        </w:rPr>
        <w:t>1</w:t>
      </w:r>
      <w:r>
        <w:rPr>
          <w:rFonts w:cs="Times New Roman"/>
        </w:rPr>
        <w:t xml:space="preserve">.11.2014, což je datum, kdy začal mandát nejnověji zvolené Evropské </w:t>
      </w:r>
      <w:r w:rsidR="00E73506">
        <w:rPr>
          <w:rFonts w:cs="Times New Roman"/>
        </w:rPr>
        <w:t>k</w:t>
      </w:r>
      <w:r>
        <w:rPr>
          <w:rFonts w:cs="Times New Roman"/>
        </w:rPr>
        <w:t>omise</w:t>
      </w:r>
      <w:r w:rsidR="00E73506">
        <w:rPr>
          <w:rFonts w:cs="Times New Roman"/>
        </w:rPr>
        <w:t>.</w:t>
      </w:r>
      <w:r>
        <w:rPr>
          <w:rFonts w:cs="Times New Roman"/>
        </w:rPr>
        <w:t xml:space="preserve"> </w:t>
      </w:r>
      <w:r w:rsidR="00E73506">
        <w:rPr>
          <w:rFonts w:cs="Times New Roman"/>
        </w:rPr>
        <w:t>K</w:t>
      </w:r>
      <w:r>
        <w:rPr>
          <w:rFonts w:cs="Times New Roman"/>
        </w:rPr>
        <w:t xml:space="preserve">onečné datum je </w:t>
      </w:r>
      <w:r w:rsidR="00B65971">
        <w:rPr>
          <w:rFonts w:cs="Times New Roman"/>
        </w:rPr>
        <w:t>1</w:t>
      </w:r>
      <w:r>
        <w:rPr>
          <w:rFonts w:cs="Times New Roman"/>
        </w:rPr>
        <w:t>.</w:t>
      </w:r>
      <w:r w:rsidR="00B65971">
        <w:rPr>
          <w:rFonts w:cs="Times New Roman"/>
        </w:rPr>
        <w:t>1</w:t>
      </w:r>
      <w:r>
        <w:rPr>
          <w:rFonts w:cs="Times New Roman"/>
        </w:rPr>
        <w:t>.2019. Poté následoval úkol zvolit vhodné pododdíly zájmových skupin tak, aby odpovídaly co nejvíce dělení Pietera Bouwena.</w:t>
      </w:r>
      <w:r w:rsidR="00521C3A">
        <w:rPr>
          <w:rFonts w:cs="Times New Roman"/>
        </w:rPr>
        <w:t xml:space="preserve"> </w:t>
      </w:r>
      <w:r>
        <w:rPr>
          <w:rFonts w:cs="Times New Roman"/>
        </w:rPr>
        <w:t xml:space="preserve">Ten je dělí na </w:t>
      </w:r>
      <w:r>
        <w:rPr>
          <w:rFonts w:cs="Times New Roman"/>
        </w:rPr>
        <w:lastRenderedPageBreak/>
        <w:t xml:space="preserve">samostatné firmy, </w:t>
      </w:r>
      <w:r w:rsidR="00145183">
        <w:rPr>
          <w:rFonts w:cs="Times New Roman"/>
        </w:rPr>
        <w:t xml:space="preserve">asociace </w:t>
      </w:r>
      <w:r w:rsidR="00B65971">
        <w:rPr>
          <w:rFonts w:cs="Times New Roman"/>
        </w:rPr>
        <w:t>a</w:t>
      </w:r>
      <w:r w:rsidR="00053E6E">
        <w:rPr>
          <w:rFonts w:cs="Times New Roman"/>
        </w:rPr>
        <w:t xml:space="preserve"> </w:t>
      </w:r>
      <w:r w:rsidR="00145183">
        <w:rPr>
          <w:rFonts w:cs="Times New Roman"/>
        </w:rPr>
        <w:t>konzultanty</w:t>
      </w:r>
      <w:r w:rsidR="00153108">
        <w:rPr>
          <w:rFonts w:cs="Times New Roman"/>
        </w:rPr>
        <w:t xml:space="preserve"> </w:t>
      </w:r>
      <w:r w:rsidR="00145183">
        <w:rPr>
          <w:rFonts w:cs="Times New Roman"/>
        </w:rPr>
        <w:t xml:space="preserve">(Bouwen 2002: 376-377). </w:t>
      </w:r>
      <w:r w:rsidR="00B65971">
        <w:rPr>
          <w:rFonts w:cs="Times New Roman"/>
        </w:rPr>
        <w:t>Z</w:t>
      </w:r>
      <w:r w:rsidR="00053E6E">
        <w:rPr>
          <w:rFonts w:cs="Times New Roman"/>
        </w:rPr>
        <w:t xml:space="preserve"> </w:t>
      </w:r>
      <w:r w:rsidR="00145183">
        <w:rPr>
          <w:rFonts w:cs="Times New Roman"/>
        </w:rPr>
        <w:t xml:space="preserve">oddílu </w:t>
      </w:r>
      <w:r w:rsidR="00B65971">
        <w:rPr>
          <w:rFonts w:cs="Times New Roman"/>
        </w:rPr>
        <w:t>1</w:t>
      </w:r>
      <w:r w:rsidR="00053E6E">
        <w:rPr>
          <w:rFonts w:cs="Times New Roman"/>
        </w:rPr>
        <w:t xml:space="preserve"> </w:t>
      </w:r>
      <w:r w:rsidR="00145183">
        <w:rPr>
          <w:rFonts w:cs="Times New Roman"/>
        </w:rPr>
        <w:t xml:space="preserve">tedy zahrnuji odborné poradenské společnosti </w:t>
      </w:r>
      <w:r w:rsidR="00B65971">
        <w:rPr>
          <w:rFonts w:cs="Times New Roman"/>
        </w:rPr>
        <w:t>a</w:t>
      </w:r>
      <w:r w:rsidR="00053E6E">
        <w:rPr>
          <w:rFonts w:cs="Times New Roman"/>
        </w:rPr>
        <w:t xml:space="preserve"> </w:t>
      </w:r>
      <w:r w:rsidR="00145183">
        <w:rPr>
          <w:rFonts w:cs="Times New Roman"/>
        </w:rPr>
        <w:t xml:space="preserve">samostatně výdělečně činné poradce. Právnické kanceláře jsem se rozhodl vynechat, </w:t>
      </w:r>
      <w:r w:rsidR="00B65971">
        <w:rPr>
          <w:rFonts w:cs="Times New Roman"/>
        </w:rPr>
        <w:t>z</w:t>
      </w:r>
      <w:r w:rsidR="00145183">
        <w:rPr>
          <w:rFonts w:cs="Times New Roman"/>
        </w:rPr>
        <w:t xml:space="preserve"> protože jejich registrace je problematická </w:t>
      </w:r>
      <w:r w:rsidR="00B65971">
        <w:rPr>
          <w:rFonts w:cs="Times New Roman"/>
        </w:rPr>
        <w:t>a</w:t>
      </w:r>
      <w:r w:rsidR="00053E6E">
        <w:rPr>
          <w:rFonts w:cs="Times New Roman"/>
        </w:rPr>
        <w:t xml:space="preserve"> </w:t>
      </w:r>
      <w:r w:rsidR="00145183">
        <w:rPr>
          <w:rFonts w:cs="Times New Roman"/>
        </w:rPr>
        <w:t xml:space="preserve">vzhledem ke své povaze nezveřejňují mnoho údajů, jelikož chtějí chránit své klienty (Evropská Komise 2009: </w:t>
      </w:r>
      <w:r w:rsidR="00B65971">
        <w:rPr>
          <w:rFonts w:cs="Times New Roman"/>
        </w:rPr>
        <w:t>3</w:t>
      </w:r>
      <w:r w:rsidR="00145183">
        <w:rPr>
          <w:rFonts w:cs="Times New Roman"/>
        </w:rPr>
        <w:t>).</w:t>
      </w:r>
      <w:r w:rsidR="00C71878">
        <w:rPr>
          <w:rFonts w:cs="Times New Roman"/>
        </w:rPr>
        <w:t xml:space="preserve"> </w:t>
      </w:r>
      <w:r w:rsidR="00B65971">
        <w:rPr>
          <w:rFonts w:cs="Times New Roman"/>
        </w:rPr>
        <w:t>Z</w:t>
      </w:r>
      <w:r w:rsidR="007D04FE">
        <w:rPr>
          <w:rFonts w:cs="Times New Roman"/>
        </w:rPr>
        <w:t> </w:t>
      </w:r>
      <w:r w:rsidR="00137999">
        <w:rPr>
          <w:rFonts w:cs="Times New Roman"/>
        </w:rPr>
        <w:t xml:space="preserve">druhého oddílu jsem zahrnul pododdíly podniky </w:t>
      </w:r>
      <w:r w:rsidR="00B65971">
        <w:rPr>
          <w:rFonts w:cs="Times New Roman"/>
        </w:rPr>
        <w:t>a</w:t>
      </w:r>
      <w:r w:rsidR="00053E6E">
        <w:rPr>
          <w:rFonts w:cs="Times New Roman"/>
        </w:rPr>
        <w:t xml:space="preserve"> </w:t>
      </w:r>
      <w:r w:rsidR="00137999">
        <w:rPr>
          <w:rFonts w:cs="Times New Roman"/>
        </w:rPr>
        <w:t>skupiny</w:t>
      </w:r>
      <w:r w:rsidR="00766B56">
        <w:rPr>
          <w:rFonts w:cs="Times New Roman"/>
        </w:rPr>
        <w:t>,</w:t>
      </w:r>
      <w:r w:rsidR="00137999">
        <w:rPr>
          <w:rFonts w:cs="Times New Roman"/>
        </w:rPr>
        <w:t xml:space="preserve"> </w:t>
      </w:r>
      <w:r w:rsidR="00B65971">
        <w:rPr>
          <w:rFonts w:cs="Times New Roman"/>
        </w:rPr>
        <w:t>a</w:t>
      </w:r>
      <w:r w:rsidR="00053E6E">
        <w:rPr>
          <w:rFonts w:cs="Times New Roman"/>
        </w:rPr>
        <w:t xml:space="preserve"> </w:t>
      </w:r>
      <w:r w:rsidR="00137999">
        <w:rPr>
          <w:rFonts w:cs="Times New Roman"/>
        </w:rPr>
        <w:t xml:space="preserve">také obchodní </w:t>
      </w:r>
      <w:r w:rsidR="00B65971">
        <w:rPr>
          <w:rFonts w:cs="Times New Roman"/>
        </w:rPr>
        <w:t>a</w:t>
      </w:r>
      <w:r w:rsidR="008E17E4">
        <w:rPr>
          <w:rFonts w:cs="Times New Roman"/>
        </w:rPr>
        <w:t> </w:t>
      </w:r>
      <w:r w:rsidR="00137999">
        <w:rPr>
          <w:rFonts w:cs="Times New Roman"/>
        </w:rPr>
        <w:t xml:space="preserve">podniková sdružení. Oddíly think tanků, nevládních organizací </w:t>
      </w:r>
      <w:r w:rsidR="00B65971">
        <w:rPr>
          <w:rFonts w:cs="Times New Roman"/>
        </w:rPr>
        <w:t>a</w:t>
      </w:r>
      <w:r w:rsidR="00053E6E">
        <w:rPr>
          <w:rFonts w:cs="Times New Roman"/>
        </w:rPr>
        <w:t xml:space="preserve"> </w:t>
      </w:r>
      <w:r w:rsidR="00137999">
        <w:rPr>
          <w:rFonts w:cs="Times New Roman"/>
        </w:rPr>
        <w:t xml:space="preserve">organizací zastupujících církev </w:t>
      </w:r>
      <w:r w:rsidR="00597FA5">
        <w:rPr>
          <w:rFonts w:cs="Times New Roman"/>
        </w:rPr>
        <w:t xml:space="preserve">jsem nezahrnul, jelikož nezapadají do Bouwenovy kategorizace. Poslední zahrnuté pododdíly jsou ze šestého oddílu, jde </w:t>
      </w:r>
      <w:r w:rsidR="00B65971">
        <w:rPr>
          <w:rFonts w:cs="Times New Roman"/>
        </w:rPr>
        <w:t>o</w:t>
      </w:r>
      <w:r w:rsidR="00053E6E">
        <w:rPr>
          <w:rFonts w:cs="Times New Roman"/>
        </w:rPr>
        <w:t xml:space="preserve"> </w:t>
      </w:r>
      <w:r w:rsidR="00597FA5">
        <w:rPr>
          <w:rFonts w:cs="Times New Roman"/>
        </w:rPr>
        <w:t xml:space="preserve">regionální struktury, jiné veřejné orgány </w:t>
      </w:r>
      <w:r w:rsidR="00B65971">
        <w:rPr>
          <w:rFonts w:cs="Times New Roman"/>
        </w:rPr>
        <w:t>a</w:t>
      </w:r>
      <w:r w:rsidR="008E17E4">
        <w:rPr>
          <w:rFonts w:cs="Times New Roman"/>
        </w:rPr>
        <w:t>  </w:t>
      </w:r>
      <w:r w:rsidR="00597FA5">
        <w:rPr>
          <w:rFonts w:cs="Times New Roman"/>
        </w:rPr>
        <w:t xml:space="preserve">nadnárodní sdružení. Rozhodl jsem se zahrnout pouze zájmové skupiny </w:t>
      </w:r>
      <w:r w:rsidR="00B65971">
        <w:rPr>
          <w:rFonts w:cs="Times New Roman"/>
        </w:rPr>
        <w:t>s</w:t>
      </w:r>
      <w:r w:rsidR="00053E6E">
        <w:rPr>
          <w:rFonts w:cs="Times New Roman"/>
        </w:rPr>
        <w:t xml:space="preserve"> </w:t>
      </w:r>
      <w:r w:rsidR="00597FA5">
        <w:rPr>
          <w:rFonts w:cs="Times New Roman"/>
        </w:rPr>
        <w:t xml:space="preserve">kanceláří přímo </w:t>
      </w:r>
      <w:r w:rsidR="00B65971">
        <w:rPr>
          <w:rFonts w:cs="Times New Roman"/>
        </w:rPr>
        <w:t>v</w:t>
      </w:r>
      <w:r w:rsidR="008E17E4">
        <w:rPr>
          <w:rFonts w:cs="Times New Roman"/>
        </w:rPr>
        <w:t xml:space="preserve"> </w:t>
      </w:r>
      <w:r w:rsidR="00597FA5">
        <w:rPr>
          <w:rFonts w:cs="Times New Roman"/>
        </w:rPr>
        <w:t xml:space="preserve">Bruselu, jelikož předpokládám, že díky tomu budou mít lepší možnosti lobbování vzhledem </w:t>
      </w:r>
      <w:r w:rsidR="00B65971">
        <w:rPr>
          <w:rFonts w:cs="Times New Roman"/>
        </w:rPr>
        <w:t>k</w:t>
      </w:r>
      <w:r w:rsidR="00053E6E">
        <w:rPr>
          <w:rFonts w:cs="Times New Roman"/>
        </w:rPr>
        <w:t xml:space="preserve"> </w:t>
      </w:r>
      <w:r w:rsidR="00597FA5">
        <w:rPr>
          <w:rFonts w:cs="Times New Roman"/>
        </w:rPr>
        <w:t xml:space="preserve">tomu, že právě zde se nachází </w:t>
      </w:r>
      <w:r w:rsidR="00B65971">
        <w:rPr>
          <w:rFonts w:cs="Times New Roman"/>
        </w:rPr>
        <w:t>i</w:t>
      </w:r>
      <w:r w:rsidR="00053E6E">
        <w:rPr>
          <w:rFonts w:cs="Times New Roman"/>
        </w:rPr>
        <w:t xml:space="preserve"> </w:t>
      </w:r>
      <w:r w:rsidR="00597FA5">
        <w:rPr>
          <w:rFonts w:cs="Times New Roman"/>
        </w:rPr>
        <w:t>sídlo Komise. Zahrnul jsem všechny úrovně zájmů vyjma celosvětových, jelikož ty opět nezapadají do teoretického rámce</w:t>
      </w:r>
      <w:r w:rsidR="00153108">
        <w:rPr>
          <w:rFonts w:cs="Times New Roman"/>
        </w:rPr>
        <w:t>,</w:t>
      </w:r>
      <w:r w:rsidR="00597FA5">
        <w:rPr>
          <w:rFonts w:cs="Times New Roman"/>
        </w:rPr>
        <w:t xml:space="preserve"> ze kterého vycházím. </w:t>
      </w:r>
      <w:r w:rsidR="00B65971">
        <w:rPr>
          <w:rFonts w:cs="Times New Roman"/>
        </w:rPr>
        <w:t>V</w:t>
      </w:r>
      <w:r w:rsidR="00053E6E">
        <w:rPr>
          <w:rFonts w:cs="Times New Roman"/>
        </w:rPr>
        <w:t xml:space="preserve"> </w:t>
      </w:r>
      <w:r w:rsidR="00597FA5">
        <w:rPr>
          <w:rFonts w:cs="Times New Roman"/>
        </w:rPr>
        <w:t xml:space="preserve">sekci činnosti jsem zahrnul pouze položku expertní skupiny Komise </w:t>
      </w:r>
      <w:r w:rsidR="00B65971">
        <w:rPr>
          <w:rFonts w:cs="Times New Roman"/>
        </w:rPr>
        <w:t>a</w:t>
      </w:r>
      <w:r w:rsidR="00053E6E">
        <w:rPr>
          <w:rFonts w:cs="Times New Roman"/>
        </w:rPr>
        <w:t xml:space="preserve"> </w:t>
      </w:r>
      <w:r w:rsidR="00597FA5">
        <w:rPr>
          <w:rFonts w:cs="Times New Roman"/>
        </w:rPr>
        <w:t xml:space="preserve">další podobné subjekty, jelikož má práce se zabývá pouze Evropskou komisí. </w:t>
      </w:r>
    </w:p>
    <w:p w:rsidR="00BA6B47" w:rsidRDefault="00C63126" w:rsidP="00275BEA">
      <w:pPr>
        <w:rPr>
          <w:rFonts w:cs="Times New Roman"/>
        </w:rPr>
      </w:pPr>
      <w:r>
        <w:rPr>
          <w:rFonts w:cs="Times New Roman"/>
        </w:rPr>
        <w:t xml:space="preserve">Dále mě již zajímaly jen konkrétní oblasti. Zde jsem se rozhodl kvůli velkému množství nabízených oblastí spojit jich několik do jedné větší skupiny, která by měla společného jmenovatele. Po delší úvaze jsem si stanovil celkem tři takové skupiny. První </w:t>
      </w:r>
      <w:r w:rsidR="00E90845">
        <w:rPr>
          <w:rFonts w:cs="Times New Roman"/>
        </w:rPr>
        <w:t>skupinu</w:t>
      </w:r>
      <w:r>
        <w:rPr>
          <w:rFonts w:cs="Times New Roman"/>
        </w:rPr>
        <w:t xml:space="preserve"> jsem nazval </w:t>
      </w:r>
      <w:r w:rsidR="00E90845">
        <w:rPr>
          <w:rFonts w:cs="Times New Roman"/>
        </w:rPr>
        <w:t>z</w:t>
      </w:r>
      <w:r>
        <w:rPr>
          <w:rFonts w:cs="Times New Roman"/>
        </w:rPr>
        <w:t xml:space="preserve">ahraniční politika </w:t>
      </w:r>
      <w:r w:rsidR="00B65971">
        <w:rPr>
          <w:rFonts w:cs="Times New Roman"/>
        </w:rPr>
        <w:t>a</w:t>
      </w:r>
      <w:r w:rsidR="00053E6E">
        <w:rPr>
          <w:rFonts w:cs="Times New Roman"/>
        </w:rPr>
        <w:t xml:space="preserve"> </w:t>
      </w:r>
      <w:r>
        <w:rPr>
          <w:rFonts w:cs="Times New Roman"/>
        </w:rPr>
        <w:t xml:space="preserve">zahrnul jsem do ní následující oddíly: Evropská politika sousedství, Humanitární pomoc </w:t>
      </w:r>
      <w:r w:rsidR="00B65971">
        <w:rPr>
          <w:rFonts w:cs="Times New Roman"/>
        </w:rPr>
        <w:t>a</w:t>
      </w:r>
      <w:r w:rsidR="00053E6E">
        <w:rPr>
          <w:rFonts w:cs="Times New Roman"/>
        </w:rPr>
        <w:t xml:space="preserve"> </w:t>
      </w:r>
      <w:r>
        <w:rPr>
          <w:rFonts w:cs="Times New Roman"/>
        </w:rPr>
        <w:t xml:space="preserve">civilní ochrana, Mezinárodní spolupráce </w:t>
      </w:r>
      <w:r w:rsidR="00B65971">
        <w:rPr>
          <w:rFonts w:cs="Times New Roman"/>
        </w:rPr>
        <w:t>a</w:t>
      </w:r>
      <w:r w:rsidR="00053E6E">
        <w:rPr>
          <w:rFonts w:cs="Times New Roman"/>
        </w:rPr>
        <w:t xml:space="preserve"> </w:t>
      </w:r>
      <w:r>
        <w:rPr>
          <w:rFonts w:cs="Times New Roman"/>
        </w:rPr>
        <w:t xml:space="preserve">rozvoj, </w:t>
      </w:r>
      <w:r w:rsidR="00E90845">
        <w:rPr>
          <w:rFonts w:cs="Times New Roman"/>
        </w:rPr>
        <w:t xml:space="preserve">Ostraha hranic </w:t>
      </w:r>
      <w:r w:rsidR="00B65971">
        <w:rPr>
          <w:rFonts w:cs="Times New Roman"/>
        </w:rPr>
        <w:t>a</w:t>
      </w:r>
      <w:r w:rsidR="007D04FE">
        <w:rPr>
          <w:rFonts w:cs="Times New Roman"/>
        </w:rPr>
        <w:t> </w:t>
      </w:r>
      <w:r w:rsidR="00E90845">
        <w:rPr>
          <w:rFonts w:cs="Times New Roman"/>
        </w:rPr>
        <w:t xml:space="preserve">bezpečnost, Zahraniční věci </w:t>
      </w:r>
      <w:r w:rsidR="00B65971">
        <w:rPr>
          <w:rFonts w:cs="Times New Roman"/>
        </w:rPr>
        <w:t>a</w:t>
      </w:r>
      <w:r w:rsidR="00053E6E">
        <w:rPr>
          <w:rFonts w:cs="Times New Roman"/>
        </w:rPr>
        <w:t xml:space="preserve"> </w:t>
      </w:r>
      <w:r w:rsidR="00E90845">
        <w:rPr>
          <w:rFonts w:cs="Times New Roman"/>
        </w:rPr>
        <w:t xml:space="preserve">bezpečnostní politika, Vnější vztahy. Druhou skupinou je kultura </w:t>
      </w:r>
      <w:r w:rsidR="00B65971">
        <w:rPr>
          <w:rFonts w:cs="Times New Roman"/>
        </w:rPr>
        <w:t>a</w:t>
      </w:r>
      <w:r w:rsidR="00053E6E">
        <w:rPr>
          <w:rFonts w:cs="Times New Roman"/>
        </w:rPr>
        <w:t xml:space="preserve"> </w:t>
      </w:r>
      <w:r w:rsidR="00E90845">
        <w:rPr>
          <w:rFonts w:cs="Times New Roman"/>
        </w:rPr>
        <w:t xml:space="preserve">vzdělání, do ní jsem zařadil oblasti Kultura, Kultura </w:t>
      </w:r>
      <w:r w:rsidR="00B65971">
        <w:rPr>
          <w:rFonts w:cs="Times New Roman"/>
        </w:rPr>
        <w:t>a</w:t>
      </w:r>
      <w:r w:rsidR="00053E6E">
        <w:rPr>
          <w:rFonts w:cs="Times New Roman"/>
        </w:rPr>
        <w:t xml:space="preserve"> </w:t>
      </w:r>
      <w:r w:rsidR="00E90845">
        <w:rPr>
          <w:rFonts w:cs="Times New Roman"/>
        </w:rPr>
        <w:t xml:space="preserve">média, Mládež, Sport, Vzdělání </w:t>
      </w:r>
      <w:r w:rsidR="00B65971">
        <w:rPr>
          <w:rFonts w:cs="Times New Roman"/>
        </w:rPr>
        <w:t>a</w:t>
      </w:r>
      <w:r w:rsidR="007D04FE">
        <w:rPr>
          <w:rFonts w:cs="Times New Roman"/>
        </w:rPr>
        <w:t xml:space="preserve"> </w:t>
      </w:r>
      <w:r w:rsidR="009318ED">
        <w:rPr>
          <w:rFonts w:cs="Times New Roman"/>
        </w:rPr>
        <w:t>o</w:t>
      </w:r>
      <w:r w:rsidR="00E90845">
        <w:rPr>
          <w:rFonts w:cs="Times New Roman"/>
        </w:rPr>
        <w:t xml:space="preserve">dborná příprava. Poslední skupinu tvoří zemědělství, do ní patři oblasti Zemědělství </w:t>
      </w:r>
      <w:r w:rsidR="00B65971">
        <w:rPr>
          <w:rFonts w:cs="Times New Roman"/>
        </w:rPr>
        <w:t>a</w:t>
      </w:r>
      <w:r w:rsidR="007D04FE">
        <w:rPr>
          <w:rFonts w:cs="Times New Roman"/>
        </w:rPr>
        <w:t> </w:t>
      </w:r>
      <w:r w:rsidR="00E90845">
        <w:rPr>
          <w:rFonts w:cs="Times New Roman"/>
        </w:rPr>
        <w:t>Bezpečnost potravin</w:t>
      </w:r>
      <w:r w:rsidR="00B4193C">
        <w:rPr>
          <w:rFonts w:cs="Times New Roman"/>
        </w:rPr>
        <w:t>.</w:t>
      </w:r>
      <w:r w:rsidR="005E4B0C">
        <w:rPr>
          <w:rFonts w:cs="Times New Roman"/>
        </w:rPr>
        <w:t xml:space="preserve"> </w:t>
      </w:r>
      <w:r w:rsidR="00E90845">
        <w:rPr>
          <w:rFonts w:cs="Times New Roman"/>
        </w:rPr>
        <w:t xml:space="preserve">Vyhledané údaje </w:t>
      </w:r>
      <w:r w:rsidR="00B65971">
        <w:rPr>
          <w:rFonts w:cs="Times New Roman"/>
        </w:rPr>
        <w:t>z</w:t>
      </w:r>
      <w:r w:rsidR="00053E6E">
        <w:rPr>
          <w:rFonts w:cs="Times New Roman"/>
        </w:rPr>
        <w:t xml:space="preserve"> </w:t>
      </w:r>
      <w:r w:rsidR="00E90845">
        <w:rPr>
          <w:rFonts w:cs="Times New Roman"/>
        </w:rPr>
        <w:t xml:space="preserve">rejstříku jsem poté využil </w:t>
      </w:r>
      <w:r w:rsidR="00B65971">
        <w:rPr>
          <w:rFonts w:cs="Times New Roman"/>
        </w:rPr>
        <w:t>v</w:t>
      </w:r>
      <w:r w:rsidR="008E17E4">
        <w:rPr>
          <w:rFonts w:cs="Times New Roman"/>
        </w:rPr>
        <w:t> </w:t>
      </w:r>
      <w:r w:rsidR="00E90845">
        <w:rPr>
          <w:rFonts w:cs="Times New Roman"/>
        </w:rPr>
        <w:t>analytické části mé práce.</w:t>
      </w:r>
    </w:p>
    <w:p w:rsidR="0033383C" w:rsidRDefault="0033383C" w:rsidP="00275BEA">
      <w:pPr>
        <w:rPr>
          <w:rFonts w:cs="Times New Roman"/>
        </w:rPr>
      </w:pPr>
      <w:r>
        <w:t xml:space="preserve">Analýza je rozdělená do tří částí, </w:t>
      </w:r>
      <w:r w:rsidR="00B65971">
        <w:t>v</w:t>
      </w:r>
      <w:r w:rsidR="00053E6E">
        <w:t xml:space="preserve"> </w:t>
      </w:r>
      <w:r>
        <w:t xml:space="preserve">každé je analyzována jedna </w:t>
      </w:r>
      <w:r w:rsidR="00B65971">
        <w:t>z</w:t>
      </w:r>
      <w:r w:rsidR="00053E6E">
        <w:t xml:space="preserve"> </w:t>
      </w:r>
      <w:r>
        <w:t xml:space="preserve">celkově tří oblastí. Dohromady je analyzováno 81 subjektů. Každá oblast má mezi 24-30 subjekty. Zajímá mne vždy složení </w:t>
      </w:r>
      <w:r w:rsidR="00B65971">
        <w:t>v</w:t>
      </w:r>
      <w:r w:rsidR="00053E6E">
        <w:t xml:space="preserve"> </w:t>
      </w:r>
      <w:r>
        <w:t xml:space="preserve">dané oblasti podle oddílů tak, jak jsou nadefinovány </w:t>
      </w:r>
      <w:r w:rsidR="00B65971">
        <w:t>v</w:t>
      </w:r>
      <w:r w:rsidR="00053E6E">
        <w:t xml:space="preserve"> </w:t>
      </w:r>
      <w:r>
        <w:t xml:space="preserve">Rejstříku, kromě toho pak beru </w:t>
      </w:r>
      <w:r w:rsidR="00B65971">
        <w:t>v</w:t>
      </w:r>
      <w:r w:rsidR="00053E6E">
        <w:t xml:space="preserve"> </w:t>
      </w:r>
      <w:r>
        <w:t xml:space="preserve">úvahu konkrétní právní formu každého subjektu, tedy zda se jedná </w:t>
      </w:r>
      <w:r w:rsidR="00B65971">
        <w:t>o</w:t>
      </w:r>
      <w:r w:rsidR="00053E6E">
        <w:t xml:space="preserve"> </w:t>
      </w:r>
      <w:r>
        <w:t xml:space="preserve">firmu, národní asociaci, evropskou asociaci nebo jiný subjekt. Taktéž zahrnuji zda </w:t>
      </w:r>
      <w:r w:rsidR="00B65971">
        <w:t>a</w:t>
      </w:r>
      <w:r w:rsidR="00053E6E">
        <w:t xml:space="preserve"> </w:t>
      </w:r>
      <w:r>
        <w:t xml:space="preserve">kolik zájmových skupin </w:t>
      </w:r>
      <w:r w:rsidR="00B65971">
        <w:t>v</w:t>
      </w:r>
      <w:r w:rsidR="00053E6E">
        <w:t xml:space="preserve"> </w:t>
      </w:r>
      <w:r>
        <w:t xml:space="preserve">dané oblasti je členem </w:t>
      </w:r>
      <w:r w:rsidR="00766B56">
        <w:t>e</w:t>
      </w:r>
      <w:r>
        <w:t xml:space="preserve">xpertní skupiny Komise či dalších podobných subjektů, ale pouze těch, které mají spojení </w:t>
      </w:r>
      <w:r w:rsidR="00B65971">
        <w:t>s</w:t>
      </w:r>
      <w:r w:rsidR="00053E6E">
        <w:t xml:space="preserve"> </w:t>
      </w:r>
      <w:r>
        <w:t>dotyčnou oblastí, tedy se zahraniční politikou, zemědělstvím či kulturou.</w:t>
      </w:r>
    </w:p>
    <w:p w:rsidR="00E90845" w:rsidRDefault="00C016D3" w:rsidP="00275BEA">
      <w:pPr>
        <w:rPr>
          <w:rFonts w:cs="Times New Roman"/>
        </w:rPr>
      </w:pPr>
      <w:r>
        <w:rPr>
          <w:rFonts w:cs="Times New Roman"/>
        </w:rPr>
        <w:t xml:space="preserve">Využití rejstříku </w:t>
      </w:r>
      <w:r w:rsidR="00B65971">
        <w:rPr>
          <w:rFonts w:cs="Times New Roman"/>
        </w:rPr>
        <w:t>s</w:t>
      </w:r>
      <w:r w:rsidR="00053E6E">
        <w:rPr>
          <w:rFonts w:cs="Times New Roman"/>
        </w:rPr>
        <w:t xml:space="preserve"> </w:t>
      </w:r>
      <w:r>
        <w:rPr>
          <w:rFonts w:cs="Times New Roman"/>
        </w:rPr>
        <w:t xml:space="preserve">sebou přináší ale </w:t>
      </w:r>
      <w:r w:rsidR="00B65971">
        <w:rPr>
          <w:rFonts w:cs="Times New Roman"/>
        </w:rPr>
        <w:t>i</w:t>
      </w:r>
      <w:r w:rsidR="00053E6E">
        <w:rPr>
          <w:rFonts w:cs="Times New Roman"/>
        </w:rPr>
        <w:t xml:space="preserve"> </w:t>
      </w:r>
      <w:r>
        <w:rPr>
          <w:rFonts w:cs="Times New Roman"/>
        </w:rPr>
        <w:t xml:space="preserve">určitá omezení. Tím hlavním je, že rejstřík je dobrovolný, tudíž zde nejsou registrovány úplně všechny subjekty provádějící lobbing </w:t>
      </w:r>
      <w:r w:rsidR="00B65971">
        <w:rPr>
          <w:rFonts w:cs="Times New Roman"/>
        </w:rPr>
        <w:lastRenderedPageBreak/>
        <w:t>v</w:t>
      </w:r>
      <w:r w:rsidR="007D04FE">
        <w:rPr>
          <w:rFonts w:cs="Times New Roman"/>
        </w:rPr>
        <w:t> </w:t>
      </w:r>
      <w:r>
        <w:rPr>
          <w:rFonts w:cs="Times New Roman"/>
        </w:rPr>
        <w:t xml:space="preserve">Komisi. Dalším výrazným problémem je poté fakt, že zaregistrované subjekty </w:t>
      </w:r>
      <w:r w:rsidR="00B65971">
        <w:rPr>
          <w:rFonts w:cs="Times New Roman"/>
        </w:rPr>
        <w:t>v</w:t>
      </w:r>
      <w:r w:rsidR="00053E6E">
        <w:rPr>
          <w:rFonts w:cs="Times New Roman"/>
        </w:rPr>
        <w:t xml:space="preserve"> </w:t>
      </w:r>
      <w:r>
        <w:rPr>
          <w:rFonts w:cs="Times New Roman"/>
        </w:rPr>
        <w:t xml:space="preserve">některých případech uvádějí jako oblasti svých zájmů všechny, které jsou </w:t>
      </w:r>
      <w:r w:rsidR="00B65971">
        <w:rPr>
          <w:rFonts w:cs="Times New Roman"/>
        </w:rPr>
        <w:t>v</w:t>
      </w:r>
      <w:r w:rsidR="00053E6E">
        <w:rPr>
          <w:rFonts w:cs="Times New Roman"/>
        </w:rPr>
        <w:t xml:space="preserve"> </w:t>
      </w:r>
      <w:r>
        <w:rPr>
          <w:rFonts w:cs="Times New Roman"/>
        </w:rPr>
        <w:t>nabídce, tedy ne každá skupina se zahrne do oblastí ve kterých skutečně vykonává svou aktivitu.</w:t>
      </w:r>
      <w:r w:rsidR="00A756F6">
        <w:rPr>
          <w:rFonts w:cs="Times New Roman"/>
        </w:rPr>
        <w:t xml:space="preserve"> To navíc znamená, že dochází </w:t>
      </w:r>
      <w:r w:rsidR="00B65971">
        <w:rPr>
          <w:rFonts w:cs="Times New Roman"/>
        </w:rPr>
        <w:t>k</w:t>
      </w:r>
      <w:r w:rsidR="00053E6E">
        <w:rPr>
          <w:rFonts w:cs="Times New Roman"/>
        </w:rPr>
        <w:t xml:space="preserve"> </w:t>
      </w:r>
      <w:r w:rsidR="00A756F6">
        <w:rPr>
          <w:rFonts w:cs="Times New Roman"/>
        </w:rPr>
        <w:t>opakování některých zájmových skupin ve více oblastech.</w:t>
      </w:r>
      <w:r>
        <w:rPr>
          <w:rFonts w:cs="Times New Roman"/>
        </w:rPr>
        <w:t xml:space="preserve"> </w:t>
      </w:r>
      <w:r w:rsidR="00B65971">
        <w:rPr>
          <w:rFonts w:cs="Times New Roman"/>
        </w:rPr>
        <w:t>I</w:t>
      </w:r>
      <w:r w:rsidR="00053E6E">
        <w:rPr>
          <w:rFonts w:cs="Times New Roman"/>
        </w:rPr>
        <w:t xml:space="preserve"> </w:t>
      </w:r>
      <w:r>
        <w:rPr>
          <w:rFonts w:cs="Times New Roman"/>
        </w:rPr>
        <w:t xml:space="preserve">přes tyto potíže jde stále </w:t>
      </w:r>
      <w:r w:rsidR="00B65971">
        <w:rPr>
          <w:rFonts w:cs="Times New Roman"/>
        </w:rPr>
        <w:t>o</w:t>
      </w:r>
      <w:r w:rsidR="00053E6E">
        <w:rPr>
          <w:rFonts w:cs="Times New Roman"/>
        </w:rPr>
        <w:t xml:space="preserve"> </w:t>
      </w:r>
      <w:r>
        <w:rPr>
          <w:rFonts w:cs="Times New Roman"/>
        </w:rPr>
        <w:t xml:space="preserve">nejlepší nástroj </w:t>
      </w:r>
      <w:r w:rsidR="00B65971">
        <w:rPr>
          <w:rFonts w:cs="Times New Roman"/>
        </w:rPr>
        <w:t>k</w:t>
      </w:r>
      <w:r w:rsidR="00053E6E">
        <w:rPr>
          <w:rFonts w:cs="Times New Roman"/>
        </w:rPr>
        <w:t xml:space="preserve"> </w:t>
      </w:r>
      <w:r>
        <w:rPr>
          <w:rFonts w:cs="Times New Roman"/>
        </w:rPr>
        <w:t xml:space="preserve">získání podrobných dat </w:t>
      </w:r>
      <w:r w:rsidR="00B65971">
        <w:rPr>
          <w:rFonts w:cs="Times New Roman"/>
        </w:rPr>
        <w:t>o</w:t>
      </w:r>
      <w:r w:rsidR="00053E6E">
        <w:rPr>
          <w:rFonts w:cs="Times New Roman"/>
        </w:rPr>
        <w:t xml:space="preserve"> </w:t>
      </w:r>
      <w:r>
        <w:rPr>
          <w:rFonts w:cs="Times New Roman"/>
        </w:rPr>
        <w:t xml:space="preserve">lobbingu </w:t>
      </w:r>
      <w:r w:rsidR="00B65971">
        <w:rPr>
          <w:rFonts w:cs="Times New Roman"/>
        </w:rPr>
        <w:t>v</w:t>
      </w:r>
      <w:r w:rsidR="00053E6E">
        <w:rPr>
          <w:rFonts w:cs="Times New Roman"/>
        </w:rPr>
        <w:t xml:space="preserve"> </w:t>
      </w:r>
      <w:r>
        <w:rPr>
          <w:rFonts w:cs="Times New Roman"/>
        </w:rPr>
        <w:t>EU.</w:t>
      </w:r>
    </w:p>
    <w:p w:rsidR="00A267A3" w:rsidRDefault="00C016D3" w:rsidP="00275BEA">
      <w:pPr>
        <w:rPr>
          <w:rFonts w:cs="Times New Roman"/>
          <w:i/>
        </w:rPr>
      </w:pPr>
      <w:r>
        <w:rPr>
          <w:rFonts w:cs="Times New Roman"/>
        </w:rPr>
        <w:t>Má hlavní hypotéza, kterou b</w:t>
      </w:r>
      <w:r w:rsidR="00B4193C">
        <w:rPr>
          <w:rFonts w:cs="Times New Roman"/>
        </w:rPr>
        <w:t xml:space="preserve">udu </w:t>
      </w:r>
      <w:r w:rsidR="00B65971">
        <w:rPr>
          <w:rFonts w:cs="Times New Roman"/>
        </w:rPr>
        <w:t>v</w:t>
      </w:r>
      <w:r w:rsidR="00053E6E">
        <w:rPr>
          <w:rFonts w:cs="Times New Roman"/>
        </w:rPr>
        <w:t xml:space="preserve"> </w:t>
      </w:r>
      <w:r w:rsidR="00B4193C">
        <w:rPr>
          <w:rFonts w:cs="Times New Roman"/>
        </w:rPr>
        <w:t>práci ověřovat</w:t>
      </w:r>
      <w:r>
        <w:rPr>
          <w:rFonts w:cs="Times New Roman"/>
        </w:rPr>
        <w:t xml:space="preserve">, </w:t>
      </w:r>
      <w:r w:rsidR="00B4193C">
        <w:rPr>
          <w:rFonts w:cs="Times New Roman"/>
        </w:rPr>
        <w:t>zní:</w:t>
      </w:r>
      <w:r>
        <w:rPr>
          <w:rFonts w:cs="Times New Roman"/>
        </w:rPr>
        <w:t xml:space="preserve"> </w:t>
      </w:r>
      <w:r w:rsidR="00B4193C">
        <w:rPr>
          <w:rFonts w:cs="Times New Roman"/>
          <w:i/>
        </w:rPr>
        <w:t>S</w:t>
      </w:r>
      <w:r>
        <w:rPr>
          <w:rFonts w:cs="Times New Roman"/>
          <w:i/>
        </w:rPr>
        <w:t xml:space="preserve">amostatné firmy mají nejlepší přístup </w:t>
      </w:r>
      <w:r w:rsidR="00B65971">
        <w:rPr>
          <w:rFonts w:cs="Times New Roman"/>
          <w:i/>
        </w:rPr>
        <w:t>k</w:t>
      </w:r>
      <w:r w:rsidR="00053E6E">
        <w:rPr>
          <w:rFonts w:cs="Times New Roman"/>
          <w:i/>
        </w:rPr>
        <w:t xml:space="preserve"> </w:t>
      </w:r>
      <w:r>
        <w:rPr>
          <w:rFonts w:cs="Times New Roman"/>
          <w:i/>
        </w:rPr>
        <w:t xml:space="preserve">Evropské komisi </w:t>
      </w:r>
      <w:r w:rsidR="00B65971">
        <w:rPr>
          <w:rFonts w:cs="Times New Roman"/>
          <w:i/>
        </w:rPr>
        <w:t>a</w:t>
      </w:r>
      <w:r w:rsidR="00053E6E">
        <w:rPr>
          <w:rFonts w:cs="Times New Roman"/>
          <w:i/>
        </w:rPr>
        <w:t xml:space="preserve"> </w:t>
      </w:r>
      <w:r w:rsidR="00B4193C">
        <w:rPr>
          <w:rFonts w:cs="Times New Roman"/>
          <w:i/>
        </w:rPr>
        <w:t xml:space="preserve">naopak </w:t>
      </w:r>
      <w:r w:rsidR="00B65971">
        <w:rPr>
          <w:rFonts w:cs="Times New Roman"/>
          <w:i/>
        </w:rPr>
        <w:t>u</w:t>
      </w:r>
      <w:r w:rsidR="00053E6E">
        <w:rPr>
          <w:rFonts w:cs="Times New Roman"/>
          <w:i/>
        </w:rPr>
        <w:t xml:space="preserve"> </w:t>
      </w:r>
      <w:r w:rsidR="00B4193C">
        <w:rPr>
          <w:rFonts w:cs="Times New Roman"/>
          <w:i/>
        </w:rPr>
        <w:t>národních asociací můžeme zaznamenat nejnižší míru přístupu</w:t>
      </w:r>
      <w:r w:rsidR="00A267A3">
        <w:rPr>
          <w:rFonts w:cs="Times New Roman"/>
          <w:i/>
        </w:rPr>
        <w:t>.</w:t>
      </w:r>
      <w:r w:rsidR="00B4193C">
        <w:rPr>
          <w:rFonts w:cs="Times New Roman"/>
        </w:rPr>
        <w:t xml:space="preserve"> Pro zodpovězení této hypotézy využívám následující výzkumné otázky</w:t>
      </w:r>
      <w:r w:rsidR="00A267A3">
        <w:rPr>
          <w:rFonts w:cs="Times New Roman"/>
        </w:rPr>
        <w:t xml:space="preserve">: </w:t>
      </w:r>
      <w:r w:rsidR="00A267A3">
        <w:rPr>
          <w:rFonts w:cs="Times New Roman"/>
          <w:i/>
        </w:rPr>
        <w:t xml:space="preserve">Jaký druh zájmových skupin lobbuje nejvíce </w:t>
      </w:r>
      <w:r w:rsidR="00B65971">
        <w:rPr>
          <w:rFonts w:cs="Times New Roman"/>
          <w:i/>
        </w:rPr>
        <w:t>v</w:t>
      </w:r>
      <w:r w:rsidR="00053E6E">
        <w:rPr>
          <w:rFonts w:cs="Times New Roman"/>
          <w:i/>
        </w:rPr>
        <w:t xml:space="preserve"> </w:t>
      </w:r>
      <w:r w:rsidR="00A267A3">
        <w:rPr>
          <w:rFonts w:cs="Times New Roman"/>
          <w:i/>
        </w:rPr>
        <w:t>Komisi</w:t>
      </w:r>
      <w:r w:rsidR="00276A23">
        <w:rPr>
          <w:rFonts w:cs="Times New Roman"/>
          <w:i/>
        </w:rPr>
        <w:t>,</w:t>
      </w:r>
      <w:r w:rsidR="00A267A3">
        <w:rPr>
          <w:rFonts w:cs="Times New Roman"/>
          <w:i/>
        </w:rPr>
        <w:t xml:space="preserve"> </w:t>
      </w:r>
      <w:r w:rsidR="00B65971">
        <w:rPr>
          <w:rFonts w:cs="Times New Roman"/>
          <w:i/>
        </w:rPr>
        <w:t>v</w:t>
      </w:r>
      <w:r w:rsidR="00053E6E">
        <w:rPr>
          <w:rFonts w:cs="Times New Roman"/>
          <w:i/>
        </w:rPr>
        <w:t xml:space="preserve"> </w:t>
      </w:r>
      <w:r w:rsidR="00A267A3">
        <w:rPr>
          <w:rFonts w:cs="Times New Roman"/>
          <w:i/>
        </w:rPr>
        <w:t xml:space="preserve">oblasti zahraniční politiky </w:t>
      </w:r>
      <w:r w:rsidR="00B65971">
        <w:rPr>
          <w:rFonts w:cs="Times New Roman"/>
          <w:i/>
        </w:rPr>
        <w:t>a</w:t>
      </w:r>
      <w:r w:rsidR="00053E6E">
        <w:rPr>
          <w:rFonts w:cs="Times New Roman"/>
          <w:i/>
        </w:rPr>
        <w:t xml:space="preserve"> </w:t>
      </w:r>
      <w:r w:rsidR="00276A23">
        <w:rPr>
          <w:rFonts w:cs="Times New Roman"/>
          <w:i/>
        </w:rPr>
        <w:t xml:space="preserve">dostává Komise především </w:t>
      </w:r>
      <w:r w:rsidR="006A432F">
        <w:rPr>
          <w:rFonts w:cs="Times New Roman"/>
          <w:i/>
        </w:rPr>
        <w:t>informace od asociací</w:t>
      </w:r>
      <w:r w:rsidR="00276A23">
        <w:rPr>
          <w:rFonts w:cs="Times New Roman"/>
          <w:i/>
        </w:rPr>
        <w:t>?</w:t>
      </w:r>
    </w:p>
    <w:p w:rsidR="00A267A3" w:rsidRDefault="00235CBA" w:rsidP="00275BEA">
      <w:pPr>
        <w:rPr>
          <w:rFonts w:cs="Times New Roman"/>
          <w:i/>
        </w:rPr>
      </w:pPr>
      <w:r>
        <w:rPr>
          <w:rFonts w:cs="Times New Roman"/>
          <w:i/>
        </w:rPr>
        <w:t xml:space="preserve">Jaké zájmové skupiny </w:t>
      </w:r>
      <w:r w:rsidR="00AD566B">
        <w:rPr>
          <w:rFonts w:cs="Times New Roman"/>
          <w:i/>
        </w:rPr>
        <w:t xml:space="preserve">zabývající se zemědělstvím </w:t>
      </w:r>
      <w:r>
        <w:rPr>
          <w:rFonts w:cs="Times New Roman"/>
          <w:i/>
        </w:rPr>
        <w:t xml:space="preserve">nejvíce </w:t>
      </w:r>
      <w:r w:rsidR="00AD566B">
        <w:rPr>
          <w:rFonts w:cs="Times New Roman"/>
          <w:i/>
        </w:rPr>
        <w:t xml:space="preserve">usilují </w:t>
      </w:r>
      <w:r w:rsidR="00B65971">
        <w:rPr>
          <w:rFonts w:cs="Times New Roman"/>
          <w:i/>
        </w:rPr>
        <w:t>o</w:t>
      </w:r>
      <w:r w:rsidR="00053E6E">
        <w:rPr>
          <w:rFonts w:cs="Times New Roman"/>
          <w:i/>
        </w:rPr>
        <w:t xml:space="preserve"> </w:t>
      </w:r>
      <w:r w:rsidR="00AD566B">
        <w:rPr>
          <w:rFonts w:cs="Times New Roman"/>
          <w:i/>
        </w:rPr>
        <w:t>přístup</w:t>
      </w:r>
      <w:r w:rsidR="008B27BD">
        <w:rPr>
          <w:rFonts w:cs="Times New Roman"/>
          <w:i/>
        </w:rPr>
        <w:t xml:space="preserve"> </w:t>
      </w:r>
      <w:r w:rsidR="00B65971">
        <w:rPr>
          <w:rFonts w:cs="Times New Roman"/>
          <w:i/>
        </w:rPr>
        <w:t>k</w:t>
      </w:r>
      <w:r w:rsidR="00053E6E">
        <w:rPr>
          <w:rFonts w:cs="Times New Roman"/>
          <w:i/>
        </w:rPr>
        <w:t xml:space="preserve"> </w:t>
      </w:r>
      <w:r w:rsidR="00AD566B">
        <w:rPr>
          <w:rFonts w:cs="Times New Roman"/>
          <w:i/>
        </w:rPr>
        <w:t xml:space="preserve">Evropské komisi </w:t>
      </w:r>
      <w:r w:rsidR="00B65971">
        <w:rPr>
          <w:rFonts w:cs="Times New Roman"/>
          <w:i/>
        </w:rPr>
        <w:t>a</w:t>
      </w:r>
      <w:r w:rsidR="00053E6E">
        <w:rPr>
          <w:rFonts w:cs="Times New Roman"/>
          <w:i/>
        </w:rPr>
        <w:t xml:space="preserve"> </w:t>
      </w:r>
      <w:r w:rsidR="00AD566B">
        <w:rPr>
          <w:rFonts w:cs="Times New Roman"/>
          <w:i/>
        </w:rPr>
        <w:t>jaký typ informací nabízí výměnou za přístup?</w:t>
      </w:r>
    </w:p>
    <w:p w:rsidR="00AD566B" w:rsidRDefault="00AD566B" w:rsidP="00A267A3">
      <w:pPr>
        <w:rPr>
          <w:rFonts w:cs="Times New Roman"/>
          <w:i/>
        </w:rPr>
      </w:pPr>
      <w:r>
        <w:rPr>
          <w:rFonts w:cs="Times New Roman"/>
          <w:i/>
        </w:rPr>
        <w:t>J</w:t>
      </w:r>
      <w:r w:rsidR="008B27BD">
        <w:rPr>
          <w:rFonts w:cs="Times New Roman"/>
          <w:i/>
        </w:rPr>
        <w:t xml:space="preserve">sou </w:t>
      </w:r>
      <w:r w:rsidR="00B65971">
        <w:rPr>
          <w:rFonts w:cs="Times New Roman"/>
          <w:i/>
        </w:rPr>
        <w:t>v</w:t>
      </w:r>
      <w:r w:rsidR="00053E6E">
        <w:rPr>
          <w:rFonts w:cs="Times New Roman"/>
          <w:i/>
        </w:rPr>
        <w:t xml:space="preserve"> </w:t>
      </w:r>
      <w:r w:rsidR="008B27BD">
        <w:rPr>
          <w:rFonts w:cs="Times New Roman"/>
          <w:i/>
        </w:rPr>
        <w:t>oblasti kultury nejaktivnější národní asociace</w:t>
      </w:r>
      <w:r w:rsidR="00EE4BAB">
        <w:rPr>
          <w:rFonts w:cs="Times New Roman"/>
          <w:i/>
        </w:rPr>
        <w:t>?</w:t>
      </w:r>
      <w:r w:rsidR="008B27BD">
        <w:rPr>
          <w:rFonts w:cs="Times New Roman"/>
          <w:i/>
        </w:rPr>
        <w:t xml:space="preserve"> Pokud ne, jaký druh zájmových organizací se </w:t>
      </w:r>
      <w:r w:rsidR="00B65971">
        <w:rPr>
          <w:rFonts w:cs="Times New Roman"/>
          <w:i/>
        </w:rPr>
        <w:t>v</w:t>
      </w:r>
      <w:r w:rsidR="00053E6E">
        <w:rPr>
          <w:rFonts w:cs="Times New Roman"/>
          <w:i/>
        </w:rPr>
        <w:t xml:space="preserve"> </w:t>
      </w:r>
      <w:r w:rsidR="008B27BD">
        <w:rPr>
          <w:rFonts w:cs="Times New Roman"/>
          <w:i/>
        </w:rPr>
        <w:t>této oblasti prosazuje?</w:t>
      </w:r>
    </w:p>
    <w:p w:rsidR="00A267A3" w:rsidRDefault="00A267A3" w:rsidP="00275BEA">
      <w:pPr>
        <w:rPr>
          <w:rFonts w:cs="Times New Roman"/>
        </w:rPr>
      </w:pPr>
      <w:r>
        <w:rPr>
          <w:rFonts w:cs="Times New Roman"/>
        </w:rPr>
        <w:t xml:space="preserve">Všechny otázky vychází </w:t>
      </w:r>
      <w:r w:rsidR="00B65971">
        <w:rPr>
          <w:rFonts w:cs="Times New Roman"/>
        </w:rPr>
        <w:t>z</w:t>
      </w:r>
      <w:r w:rsidR="00053E6E">
        <w:rPr>
          <w:rFonts w:cs="Times New Roman"/>
        </w:rPr>
        <w:t xml:space="preserve"> </w:t>
      </w:r>
      <w:r>
        <w:rPr>
          <w:rFonts w:cs="Times New Roman"/>
        </w:rPr>
        <w:t xml:space="preserve">definovaných skupin </w:t>
      </w:r>
      <w:r w:rsidR="00B65971">
        <w:rPr>
          <w:rFonts w:cs="Times New Roman"/>
        </w:rPr>
        <w:t>a</w:t>
      </w:r>
      <w:r w:rsidR="00053E6E">
        <w:rPr>
          <w:rFonts w:cs="Times New Roman"/>
        </w:rPr>
        <w:t xml:space="preserve"> </w:t>
      </w:r>
      <w:r>
        <w:rPr>
          <w:rFonts w:cs="Times New Roman"/>
        </w:rPr>
        <w:t>teorie přístupu Bouwena.</w:t>
      </w:r>
    </w:p>
    <w:p w:rsidR="00766B56" w:rsidRPr="008242C6" w:rsidRDefault="00020851" w:rsidP="00275BEA">
      <w:pPr>
        <w:rPr>
          <w:rFonts w:cs="Times New Roman"/>
          <w:bCs/>
        </w:rPr>
      </w:pPr>
      <w:r>
        <w:rPr>
          <w:rFonts w:cs="Times New Roman"/>
        </w:rPr>
        <w:t xml:space="preserve"> </w:t>
      </w:r>
      <w:r w:rsidR="00A756F6">
        <w:rPr>
          <w:rFonts w:cs="Times New Roman"/>
        </w:rPr>
        <w:t>Svou</w:t>
      </w:r>
      <w:r>
        <w:rPr>
          <w:rFonts w:cs="Times New Roman"/>
        </w:rPr>
        <w:t xml:space="preserve"> roli také hraje forma lobbingu, tedy zda </w:t>
      </w:r>
      <w:r w:rsidR="005C34E9">
        <w:rPr>
          <w:rFonts w:cs="Times New Roman"/>
        </w:rPr>
        <w:t xml:space="preserve">skupiny </w:t>
      </w:r>
      <w:r w:rsidR="00B65971">
        <w:rPr>
          <w:rFonts w:cs="Times New Roman"/>
        </w:rPr>
        <w:t>a</w:t>
      </w:r>
      <w:r w:rsidR="00053E6E">
        <w:rPr>
          <w:rFonts w:cs="Times New Roman"/>
        </w:rPr>
        <w:t xml:space="preserve"> </w:t>
      </w:r>
      <w:r w:rsidR="005C34E9">
        <w:rPr>
          <w:rFonts w:cs="Times New Roman"/>
        </w:rPr>
        <w:t>firmy</w:t>
      </w:r>
      <w:r>
        <w:rPr>
          <w:rFonts w:cs="Times New Roman"/>
        </w:rPr>
        <w:t xml:space="preserve"> mají </w:t>
      </w:r>
      <w:r w:rsidR="00B65971">
        <w:rPr>
          <w:rFonts w:cs="Times New Roman"/>
        </w:rPr>
        <w:t>v</w:t>
      </w:r>
      <w:r w:rsidR="00053E6E">
        <w:rPr>
          <w:rFonts w:cs="Times New Roman"/>
        </w:rPr>
        <w:t xml:space="preserve"> </w:t>
      </w:r>
      <w:r>
        <w:rPr>
          <w:rFonts w:cs="Times New Roman"/>
        </w:rPr>
        <w:t xml:space="preserve">Bruselu své vlastní vyslance, zda působí </w:t>
      </w:r>
      <w:r w:rsidR="00B65971">
        <w:rPr>
          <w:rFonts w:cs="Times New Roman"/>
        </w:rPr>
        <w:t>v</w:t>
      </w:r>
      <w:r w:rsidR="00053E6E">
        <w:rPr>
          <w:rFonts w:cs="Times New Roman"/>
        </w:rPr>
        <w:t xml:space="preserve"> </w:t>
      </w:r>
      <w:r>
        <w:rPr>
          <w:rFonts w:cs="Times New Roman"/>
        </w:rPr>
        <w:t xml:space="preserve">rámci národní asociace či jsou zastupovány nějakou třetí stranou, které platí peníze za lobbování přímo </w:t>
      </w:r>
      <w:r w:rsidR="00B65971">
        <w:rPr>
          <w:rFonts w:cs="Times New Roman"/>
        </w:rPr>
        <w:t>v</w:t>
      </w:r>
      <w:r w:rsidR="00053E6E">
        <w:rPr>
          <w:rFonts w:cs="Times New Roman"/>
        </w:rPr>
        <w:t xml:space="preserve"> </w:t>
      </w:r>
      <w:r>
        <w:rPr>
          <w:rFonts w:cs="Times New Roman"/>
        </w:rPr>
        <w:t xml:space="preserve">Evropské komisi. </w:t>
      </w:r>
      <w:r w:rsidR="002C5A7A" w:rsidRPr="008242C6">
        <w:rPr>
          <w:rFonts w:cs="Times New Roman"/>
          <w:bCs/>
        </w:rPr>
        <w:t xml:space="preserve">Má práce </w:t>
      </w:r>
      <w:r w:rsidR="00797DBB" w:rsidRPr="008242C6">
        <w:rPr>
          <w:rFonts w:cs="Times New Roman"/>
          <w:bCs/>
        </w:rPr>
        <w:t xml:space="preserve">bude tzv. cross-case study, jelikož jde o </w:t>
      </w:r>
      <w:r w:rsidR="008242C6" w:rsidRPr="008242C6">
        <w:rPr>
          <w:rFonts w:cs="Times New Roman"/>
          <w:bCs/>
        </w:rPr>
        <w:t xml:space="preserve">kvalitativní </w:t>
      </w:r>
      <w:r w:rsidR="00797DBB" w:rsidRPr="008242C6">
        <w:rPr>
          <w:rFonts w:cs="Times New Roman"/>
          <w:bCs/>
        </w:rPr>
        <w:t>vícepřípadovou studii s přibližně 80 zahrnutými případy.</w:t>
      </w:r>
      <w:r w:rsidR="00937EC4" w:rsidRPr="008242C6">
        <w:rPr>
          <w:rFonts w:cs="Times New Roman"/>
          <w:bCs/>
        </w:rPr>
        <w:t xml:space="preserve"> Právě tento typ se využívá, když se studie místo jednoho případu zaměřuje na větší množství případů.</w:t>
      </w:r>
      <w:r w:rsidR="00DF0C0D" w:rsidRPr="008242C6">
        <w:rPr>
          <w:rFonts w:cs="Times New Roman"/>
          <w:bCs/>
        </w:rPr>
        <w:t xml:space="preserve"> Konkrétně se jedná o cross-sectional</w:t>
      </w:r>
      <w:r w:rsidR="00937EC4" w:rsidRPr="008242C6">
        <w:rPr>
          <w:rFonts w:cs="Times New Roman"/>
          <w:bCs/>
        </w:rPr>
        <w:t xml:space="preserve"> </w:t>
      </w:r>
      <w:r w:rsidR="00DF0C0D" w:rsidRPr="008242C6">
        <w:rPr>
          <w:rFonts w:cs="Times New Roman"/>
          <w:bCs/>
        </w:rPr>
        <w:t>variantu této studie (Gerring 2007:</w:t>
      </w:r>
      <w:r w:rsidR="00797DBB" w:rsidRPr="008242C6">
        <w:rPr>
          <w:rFonts w:cs="Times New Roman"/>
          <w:bCs/>
        </w:rPr>
        <w:t xml:space="preserve"> </w:t>
      </w:r>
      <w:r w:rsidR="00DF0C0D" w:rsidRPr="008242C6">
        <w:rPr>
          <w:rFonts w:cs="Times New Roman"/>
          <w:bCs/>
        </w:rPr>
        <w:t>20</w:t>
      </w:r>
      <w:r w:rsidR="00DF0C0D" w:rsidRPr="008242C6">
        <w:rPr>
          <w:rFonts w:cs="Times New Roman"/>
          <w:bCs/>
          <w:lang w:val="en-US"/>
        </w:rPr>
        <w:t xml:space="preserve">; </w:t>
      </w:r>
      <w:r w:rsidR="00DF0C0D" w:rsidRPr="008242C6">
        <w:rPr>
          <w:rFonts w:cs="Times New Roman"/>
          <w:bCs/>
        </w:rPr>
        <w:t xml:space="preserve">27-28). </w:t>
      </w:r>
    </w:p>
    <w:p w:rsidR="00342ECE" w:rsidRDefault="0033383C" w:rsidP="00275BEA">
      <w:pPr>
        <w:rPr>
          <w:rFonts w:cs="Times New Roman"/>
        </w:rPr>
      </w:pPr>
      <w:r>
        <w:rPr>
          <w:rFonts w:cs="Times New Roman"/>
        </w:rPr>
        <w:t xml:space="preserve">Tato </w:t>
      </w:r>
      <w:r w:rsidR="005C34E9">
        <w:rPr>
          <w:rFonts w:cs="Times New Roman"/>
        </w:rPr>
        <w:t>práce bude začínat</w:t>
      </w:r>
      <w:r w:rsidR="00103C7C">
        <w:rPr>
          <w:rFonts w:cs="Times New Roman"/>
        </w:rPr>
        <w:t xml:space="preserve"> definicí samotného pojmu lobbing</w:t>
      </w:r>
      <w:r w:rsidR="00342ECE">
        <w:rPr>
          <w:rFonts w:cs="Times New Roman"/>
        </w:rPr>
        <w:t xml:space="preserve"> </w:t>
      </w:r>
      <w:r w:rsidR="00B65971">
        <w:rPr>
          <w:rFonts w:cs="Times New Roman"/>
        </w:rPr>
        <w:t>a</w:t>
      </w:r>
      <w:r w:rsidR="00053E6E">
        <w:rPr>
          <w:rFonts w:cs="Times New Roman"/>
        </w:rPr>
        <w:t xml:space="preserve"> </w:t>
      </w:r>
      <w:r w:rsidR="00342ECE">
        <w:rPr>
          <w:rFonts w:cs="Times New Roman"/>
        </w:rPr>
        <w:t xml:space="preserve">to jak obecně, tak zároveň </w:t>
      </w:r>
      <w:r w:rsidR="00B65971">
        <w:rPr>
          <w:rFonts w:cs="Times New Roman"/>
        </w:rPr>
        <w:t>s</w:t>
      </w:r>
      <w:r w:rsidR="00053E6E">
        <w:rPr>
          <w:rFonts w:cs="Times New Roman"/>
        </w:rPr>
        <w:t xml:space="preserve"> </w:t>
      </w:r>
      <w:r w:rsidR="00342ECE">
        <w:rPr>
          <w:rFonts w:cs="Times New Roman"/>
        </w:rPr>
        <w:t>využitím definice přímo</w:t>
      </w:r>
      <w:r w:rsidR="00766B56">
        <w:rPr>
          <w:rFonts w:cs="Times New Roman"/>
        </w:rPr>
        <w:t xml:space="preserve"> od</w:t>
      </w:r>
      <w:r w:rsidR="00342ECE">
        <w:rPr>
          <w:rFonts w:cs="Times New Roman"/>
        </w:rPr>
        <w:t xml:space="preserve"> EU</w:t>
      </w:r>
      <w:r w:rsidR="00103C7C">
        <w:rPr>
          <w:rFonts w:cs="Times New Roman"/>
        </w:rPr>
        <w:t xml:space="preserve"> </w:t>
      </w:r>
      <w:r w:rsidR="00B65971">
        <w:rPr>
          <w:rFonts w:cs="Times New Roman"/>
        </w:rPr>
        <w:t>a</w:t>
      </w:r>
      <w:r w:rsidR="00053E6E">
        <w:rPr>
          <w:rFonts w:cs="Times New Roman"/>
        </w:rPr>
        <w:t xml:space="preserve"> </w:t>
      </w:r>
      <w:r w:rsidR="00103C7C">
        <w:rPr>
          <w:rFonts w:cs="Times New Roman"/>
        </w:rPr>
        <w:t xml:space="preserve">také tím, co to vlastně jsou zájmové skupiny </w:t>
      </w:r>
      <w:r w:rsidR="00B65971">
        <w:rPr>
          <w:rFonts w:cs="Times New Roman"/>
        </w:rPr>
        <w:t>a</w:t>
      </w:r>
      <w:r w:rsidR="00053E6E">
        <w:rPr>
          <w:rFonts w:cs="Times New Roman"/>
        </w:rPr>
        <w:t xml:space="preserve"> </w:t>
      </w:r>
      <w:r w:rsidR="00103C7C">
        <w:rPr>
          <w:rFonts w:cs="Times New Roman"/>
        </w:rPr>
        <w:t xml:space="preserve">jak je lze definovat. Poté se budu zabývat </w:t>
      </w:r>
      <w:r w:rsidR="005C34E9">
        <w:rPr>
          <w:rFonts w:cs="Times New Roman"/>
        </w:rPr>
        <w:t>teoretickou částí</w:t>
      </w:r>
      <w:r w:rsidR="00FC48AA">
        <w:rPr>
          <w:rFonts w:cs="Times New Roman"/>
        </w:rPr>
        <w:t>,</w:t>
      </w:r>
      <w:r w:rsidR="00103C7C">
        <w:rPr>
          <w:rFonts w:cs="Times New Roman"/>
        </w:rPr>
        <w:t xml:space="preserve"> která se skládá </w:t>
      </w:r>
      <w:r w:rsidR="00B65971">
        <w:rPr>
          <w:rFonts w:cs="Times New Roman"/>
        </w:rPr>
        <w:t>z</w:t>
      </w:r>
      <w:r w:rsidR="00053E6E">
        <w:rPr>
          <w:rFonts w:cs="Times New Roman"/>
        </w:rPr>
        <w:t xml:space="preserve"> </w:t>
      </w:r>
      <w:r w:rsidR="00103C7C">
        <w:rPr>
          <w:rFonts w:cs="Times New Roman"/>
        </w:rPr>
        <w:t xml:space="preserve">představení teorií, které Bouwen využil </w:t>
      </w:r>
      <w:r w:rsidR="00B65971">
        <w:rPr>
          <w:rFonts w:cs="Times New Roman"/>
        </w:rPr>
        <w:t>k</w:t>
      </w:r>
      <w:r w:rsidR="00053E6E">
        <w:rPr>
          <w:rFonts w:cs="Times New Roman"/>
        </w:rPr>
        <w:t xml:space="preserve"> </w:t>
      </w:r>
      <w:r w:rsidR="00103C7C">
        <w:rPr>
          <w:rFonts w:cs="Times New Roman"/>
        </w:rPr>
        <w:t xml:space="preserve">sestavení své vlastní teorie </w:t>
      </w:r>
      <w:r w:rsidR="00B65971">
        <w:rPr>
          <w:rFonts w:cs="Times New Roman"/>
        </w:rPr>
        <w:t>a</w:t>
      </w:r>
      <w:r w:rsidR="00053E6E">
        <w:rPr>
          <w:rFonts w:cs="Times New Roman"/>
        </w:rPr>
        <w:t xml:space="preserve"> </w:t>
      </w:r>
      <w:r w:rsidR="00103C7C">
        <w:rPr>
          <w:rFonts w:cs="Times New Roman"/>
        </w:rPr>
        <w:t xml:space="preserve">které jsou zároveň hlavními teoretickými přístupy </w:t>
      </w:r>
      <w:r w:rsidR="00B65971">
        <w:rPr>
          <w:rFonts w:cs="Times New Roman"/>
        </w:rPr>
        <w:t>v</w:t>
      </w:r>
      <w:r w:rsidR="00053E6E">
        <w:rPr>
          <w:rFonts w:cs="Times New Roman"/>
        </w:rPr>
        <w:t xml:space="preserve"> </w:t>
      </w:r>
      <w:r w:rsidR="00103C7C">
        <w:rPr>
          <w:rFonts w:cs="Times New Roman"/>
        </w:rPr>
        <w:t xml:space="preserve">oblasti lobbingu. Jedná se </w:t>
      </w:r>
      <w:r w:rsidR="00B65971">
        <w:rPr>
          <w:rFonts w:cs="Times New Roman"/>
        </w:rPr>
        <w:t>o</w:t>
      </w:r>
      <w:r w:rsidR="00053E6E">
        <w:rPr>
          <w:rFonts w:cs="Times New Roman"/>
        </w:rPr>
        <w:t xml:space="preserve"> </w:t>
      </w:r>
      <w:r w:rsidR="00103C7C">
        <w:rPr>
          <w:rFonts w:cs="Times New Roman"/>
        </w:rPr>
        <w:t xml:space="preserve">koorporativismus, pluralismus, exchange teorii </w:t>
      </w:r>
      <w:r w:rsidR="00B65971">
        <w:rPr>
          <w:rFonts w:cs="Times New Roman"/>
        </w:rPr>
        <w:t>a</w:t>
      </w:r>
      <w:r w:rsidR="007D04FE">
        <w:rPr>
          <w:rFonts w:cs="Times New Roman"/>
        </w:rPr>
        <w:t> </w:t>
      </w:r>
      <w:r w:rsidR="00103C7C">
        <w:rPr>
          <w:rFonts w:cs="Times New Roman"/>
        </w:rPr>
        <w:t>resource dependency teorii. Následuje popis hlavní teorie přístupu Pietera Bouwena. Poté se již věnuji analytické části, která je rozdělena do tří velkých kapitol.</w:t>
      </w:r>
      <w:r w:rsidR="00342ECE">
        <w:rPr>
          <w:rFonts w:cs="Times New Roman"/>
        </w:rPr>
        <w:t xml:space="preserve"> Nechybí závěrečné shrnutí celé práce.</w:t>
      </w:r>
      <w:r w:rsidR="00103C7C">
        <w:rPr>
          <w:rFonts w:cs="Times New Roman"/>
        </w:rPr>
        <w:t xml:space="preserve"> </w:t>
      </w:r>
    </w:p>
    <w:p w:rsidR="00873E87" w:rsidRDefault="00873E87" w:rsidP="00275BEA">
      <w:pPr>
        <w:rPr>
          <w:rFonts w:cs="Times New Roman"/>
        </w:rPr>
      </w:pPr>
      <w:r>
        <w:rPr>
          <w:rFonts w:cs="Times New Roman"/>
        </w:rPr>
        <w:t xml:space="preserve">Jelikož lobbing představuje rozsáhlé téma, věnuje se mu mnoho autorů různým způsobem. Někteří zkoumají lobbing skrze přístup zájmových skupin </w:t>
      </w:r>
      <w:r w:rsidR="00B65971">
        <w:rPr>
          <w:rFonts w:cs="Times New Roman"/>
        </w:rPr>
        <w:t>k</w:t>
      </w:r>
      <w:r w:rsidR="00053E6E">
        <w:rPr>
          <w:rFonts w:cs="Times New Roman"/>
        </w:rPr>
        <w:t xml:space="preserve"> </w:t>
      </w:r>
      <w:r>
        <w:rPr>
          <w:rFonts w:cs="Times New Roman"/>
        </w:rPr>
        <w:t>institucím (Bouwen 2002</w:t>
      </w:r>
      <w:bookmarkStart w:id="1" w:name="_Hlk2339539"/>
      <w:r>
        <w:rPr>
          <w:rFonts w:cs="Times New Roman"/>
        </w:rPr>
        <w:t>;</w:t>
      </w:r>
      <w:bookmarkEnd w:id="1"/>
      <w:r>
        <w:rPr>
          <w:rFonts w:cs="Times New Roman"/>
        </w:rPr>
        <w:t xml:space="preserve"> Henning 2004), jiní zkoumají míru vlivu zájmových skupin jak na národní úrovni, tak na úrovni EU (</w:t>
      </w:r>
      <w:r w:rsidRPr="00873E87">
        <w:rPr>
          <w:rFonts w:cs="Times New Roman"/>
        </w:rPr>
        <w:t>Bernhagen and Brauninger</w:t>
      </w:r>
      <w:r>
        <w:rPr>
          <w:rFonts w:cs="Times New Roman"/>
        </w:rPr>
        <w:t xml:space="preserve"> 2005</w:t>
      </w:r>
      <w:r w:rsidR="001D6A2D" w:rsidRPr="001D6A2D">
        <w:rPr>
          <w:rFonts w:cs="Times New Roman"/>
        </w:rPr>
        <w:t>;</w:t>
      </w:r>
      <w:r>
        <w:rPr>
          <w:rFonts w:cs="Times New Roman"/>
        </w:rPr>
        <w:t xml:space="preserve"> Schneider and Baltz 2004). Stále se také </w:t>
      </w:r>
      <w:r>
        <w:rPr>
          <w:rFonts w:cs="Times New Roman"/>
        </w:rPr>
        <w:lastRenderedPageBreak/>
        <w:t xml:space="preserve">vede debata </w:t>
      </w:r>
      <w:r w:rsidR="00B65971">
        <w:rPr>
          <w:rFonts w:cs="Times New Roman"/>
        </w:rPr>
        <w:t>o</w:t>
      </w:r>
      <w:r w:rsidR="00053E6E">
        <w:rPr>
          <w:rFonts w:cs="Times New Roman"/>
        </w:rPr>
        <w:t xml:space="preserve"> </w:t>
      </w:r>
      <w:r>
        <w:rPr>
          <w:rFonts w:cs="Times New Roman"/>
        </w:rPr>
        <w:t>to, jak vlastně měřit</w:t>
      </w:r>
      <w:r w:rsidR="00B22E8C">
        <w:rPr>
          <w:rFonts w:cs="Times New Roman"/>
        </w:rPr>
        <w:t xml:space="preserve"> úspěšnost/neúspěšnost zájmových skupin při lobbingu </w:t>
      </w:r>
      <w:r w:rsidR="00B65971">
        <w:rPr>
          <w:rFonts w:cs="Times New Roman"/>
        </w:rPr>
        <w:t>a</w:t>
      </w:r>
      <w:r w:rsidR="008E17E4">
        <w:rPr>
          <w:rFonts w:cs="Times New Roman"/>
        </w:rPr>
        <w:t> </w:t>
      </w:r>
      <w:r w:rsidR="00B22E8C">
        <w:rPr>
          <w:rFonts w:cs="Times New Roman"/>
        </w:rPr>
        <w:t>jaké faktory mají na výsledek dopad (Mahoney 2007</w:t>
      </w:r>
      <w:r w:rsidR="00D27674">
        <w:rPr>
          <w:rFonts w:cs="Times New Roman"/>
        </w:rPr>
        <w:t>).</w:t>
      </w:r>
      <w:r w:rsidR="005A4EEA">
        <w:rPr>
          <w:rFonts w:cs="Times New Roman"/>
        </w:rPr>
        <w:t xml:space="preserve"> Mnozí autoři také zkoumají lobbing </w:t>
      </w:r>
      <w:r w:rsidR="00B65971">
        <w:rPr>
          <w:rFonts w:cs="Times New Roman"/>
        </w:rPr>
        <w:t>v</w:t>
      </w:r>
      <w:r w:rsidR="00053E6E">
        <w:rPr>
          <w:rFonts w:cs="Times New Roman"/>
        </w:rPr>
        <w:t xml:space="preserve"> </w:t>
      </w:r>
      <w:r w:rsidR="005A4EEA">
        <w:rPr>
          <w:rFonts w:cs="Times New Roman"/>
        </w:rPr>
        <w:t xml:space="preserve">EU </w:t>
      </w:r>
      <w:r w:rsidR="00B65971">
        <w:rPr>
          <w:rFonts w:cs="Times New Roman"/>
        </w:rPr>
        <w:t>z</w:t>
      </w:r>
      <w:r w:rsidR="00766B56">
        <w:rPr>
          <w:rFonts w:cs="Times New Roman"/>
        </w:rPr>
        <w:t> </w:t>
      </w:r>
      <w:r w:rsidR="005A4EEA">
        <w:rPr>
          <w:rFonts w:cs="Times New Roman"/>
        </w:rPr>
        <w:t xml:space="preserve">hlediska zavedených teorií pro lobbování </w:t>
      </w:r>
      <w:r w:rsidR="00B65971">
        <w:rPr>
          <w:rFonts w:cs="Times New Roman"/>
        </w:rPr>
        <w:t>v</w:t>
      </w:r>
      <w:r w:rsidR="00053E6E">
        <w:rPr>
          <w:rFonts w:cs="Times New Roman"/>
        </w:rPr>
        <w:t xml:space="preserve"> </w:t>
      </w:r>
      <w:r w:rsidR="005A4EEA">
        <w:rPr>
          <w:rFonts w:cs="Times New Roman"/>
        </w:rPr>
        <w:t>národních státech jako korporativismus či pluralismus (Burns and Carson 2002; Beyers and Kerremans 2007, Bunea 2014). Asi nejdominantnější</w:t>
      </w:r>
      <w:r w:rsidR="00D27674">
        <w:rPr>
          <w:rFonts w:cs="Times New Roman"/>
        </w:rPr>
        <w:t xml:space="preserve"> je zaměření se na lobbing </w:t>
      </w:r>
      <w:r w:rsidR="00B65971">
        <w:rPr>
          <w:rFonts w:cs="Times New Roman"/>
        </w:rPr>
        <w:t>v</w:t>
      </w:r>
      <w:r w:rsidR="00053E6E">
        <w:rPr>
          <w:rFonts w:cs="Times New Roman"/>
        </w:rPr>
        <w:t xml:space="preserve"> </w:t>
      </w:r>
      <w:r w:rsidR="00D27674">
        <w:rPr>
          <w:rFonts w:cs="Times New Roman"/>
        </w:rPr>
        <w:t>rámci u</w:t>
      </w:r>
      <w:r w:rsidR="004C605A">
        <w:rPr>
          <w:rFonts w:cs="Times New Roman"/>
        </w:rPr>
        <w:t>r</w:t>
      </w:r>
      <w:r w:rsidR="00D27674">
        <w:rPr>
          <w:rFonts w:cs="Times New Roman"/>
        </w:rPr>
        <w:t>čité ob</w:t>
      </w:r>
      <w:r w:rsidR="00794BED">
        <w:rPr>
          <w:rFonts w:cs="Times New Roman"/>
        </w:rPr>
        <w:t>l</w:t>
      </w:r>
      <w:r w:rsidR="00D27674">
        <w:rPr>
          <w:rFonts w:cs="Times New Roman"/>
        </w:rPr>
        <w:t xml:space="preserve">asti, jako je zemědělství, tabákové odvětví </w:t>
      </w:r>
      <w:r w:rsidR="0025136E">
        <w:rPr>
          <w:rFonts w:cs="Times New Roman"/>
        </w:rPr>
        <w:t xml:space="preserve">nebo například finance </w:t>
      </w:r>
      <w:r w:rsidR="00B65971">
        <w:rPr>
          <w:rFonts w:cs="Times New Roman"/>
        </w:rPr>
        <w:t>a</w:t>
      </w:r>
      <w:r w:rsidR="00053E6E">
        <w:rPr>
          <w:rFonts w:cs="Times New Roman"/>
        </w:rPr>
        <w:t xml:space="preserve"> </w:t>
      </w:r>
      <w:r w:rsidR="0025136E">
        <w:rPr>
          <w:rFonts w:cs="Times New Roman"/>
        </w:rPr>
        <w:t>obchod</w:t>
      </w:r>
      <w:r w:rsidR="005A4EEA">
        <w:rPr>
          <w:rFonts w:cs="Times New Roman"/>
        </w:rPr>
        <w:t xml:space="preserve"> na úrovni EU</w:t>
      </w:r>
      <w:r w:rsidR="00D27674">
        <w:rPr>
          <w:rFonts w:cs="Times New Roman"/>
        </w:rPr>
        <w:t xml:space="preserve"> (Henning 2004; Costa et al. 2014</w:t>
      </w:r>
      <w:r w:rsidR="0025136E">
        <w:rPr>
          <w:rFonts w:cs="Times New Roman"/>
        </w:rPr>
        <w:t xml:space="preserve">; Bouwen 2009; Falco 2019). </w:t>
      </w:r>
    </w:p>
    <w:p w:rsidR="00B22E8C" w:rsidRPr="005878B7" w:rsidRDefault="006200BC" w:rsidP="001D34F7">
      <w:pPr>
        <w:rPr>
          <w:rFonts w:cs="Times New Roman"/>
        </w:rPr>
      </w:pPr>
      <w:r>
        <w:rPr>
          <w:rFonts w:cs="Times New Roman"/>
        </w:rPr>
        <w:tab/>
      </w:r>
      <w:r w:rsidR="00B65971">
        <w:rPr>
          <w:rFonts w:cs="Times New Roman"/>
        </w:rPr>
        <w:t>Z</w:t>
      </w:r>
      <w:r w:rsidR="00053E6E">
        <w:rPr>
          <w:rFonts w:cs="Times New Roman"/>
        </w:rPr>
        <w:t xml:space="preserve"> </w:t>
      </w:r>
      <w:r>
        <w:rPr>
          <w:rFonts w:cs="Times New Roman"/>
        </w:rPr>
        <w:t xml:space="preserve">česky psané literatury jsem využil publikaci Karla </w:t>
      </w:r>
      <w:r w:rsidR="00B65971">
        <w:rPr>
          <w:rFonts w:cs="Times New Roman"/>
        </w:rPr>
        <w:t>B</w:t>
      </w:r>
      <w:r>
        <w:rPr>
          <w:rFonts w:cs="Times New Roman"/>
        </w:rPr>
        <w:t>. M</w:t>
      </w:r>
      <w:r w:rsidR="00A54842" w:rsidRPr="00A54842">
        <w:rPr>
          <w:rFonts w:cs="Times New Roman"/>
        </w:rPr>
        <w:t>ü</w:t>
      </w:r>
      <w:r>
        <w:rPr>
          <w:rFonts w:cs="Times New Roman"/>
        </w:rPr>
        <w:t xml:space="preserve">llera, Šárky Laboutkové </w:t>
      </w:r>
      <w:r w:rsidR="00B65971">
        <w:rPr>
          <w:rFonts w:cs="Times New Roman"/>
        </w:rPr>
        <w:t>a</w:t>
      </w:r>
      <w:r w:rsidR="007D04FE">
        <w:rPr>
          <w:rFonts w:cs="Times New Roman"/>
        </w:rPr>
        <w:t> </w:t>
      </w:r>
      <w:r>
        <w:rPr>
          <w:rFonts w:cs="Times New Roman"/>
        </w:rPr>
        <w:t xml:space="preserve">Petra Vymětala, </w:t>
      </w:r>
      <w:r>
        <w:rPr>
          <w:rFonts w:cs="Times New Roman"/>
          <w:i/>
        </w:rPr>
        <w:t xml:space="preserve">Lobbing </w:t>
      </w:r>
      <w:r w:rsidR="00B65971">
        <w:rPr>
          <w:rFonts w:cs="Times New Roman"/>
          <w:i/>
        </w:rPr>
        <w:t>v</w:t>
      </w:r>
      <w:r w:rsidR="00053E6E">
        <w:rPr>
          <w:rFonts w:cs="Times New Roman"/>
          <w:i/>
        </w:rPr>
        <w:t xml:space="preserve"> </w:t>
      </w:r>
      <w:r>
        <w:rPr>
          <w:rFonts w:cs="Times New Roman"/>
          <w:i/>
        </w:rPr>
        <w:t>moderních demokraciích</w:t>
      </w:r>
      <w:r w:rsidR="00FC48AA">
        <w:rPr>
          <w:rFonts w:cs="Times New Roman"/>
        </w:rPr>
        <w:t>.</w:t>
      </w:r>
      <w:r>
        <w:rPr>
          <w:rFonts w:cs="Times New Roman"/>
        </w:rPr>
        <w:t xml:space="preserve"> </w:t>
      </w:r>
      <w:r w:rsidR="00FC48AA">
        <w:rPr>
          <w:rFonts w:cs="Times New Roman"/>
        </w:rPr>
        <w:t>P</w:t>
      </w:r>
      <w:r>
        <w:rPr>
          <w:rFonts w:cs="Times New Roman"/>
        </w:rPr>
        <w:t>ublikace slouží jako výborný úvod do toho, co vlastně lobbing je, zab</w:t>
      </w:r>
      <w:r w:rsidR="00FC48AA">
        <w:rPr>
          <w:rFonts w:cs="Times New Roman"/>
        </w:rPr>
        <w:t>ý</w:t>
      </w:r>
      <w:r>
        <w:rPr>
          <w:rFonts w:cs="Times New Roman"/>
        </w:rPr>
        <w:t xml:space="preserve">vá </w:t>
      </w:r>
      <w:r w:rsidR="007A2A81">
        <w:rPr>
          <w:rFonts w:cs="Times New Roman"/>
        </w:rPr>
        <w:t xml:space="preserve">se </w:t>
      </w:r>
      <w:r w:rsidR="00B65971">
        <w:rPr>
          <w:rFonts w:cs="Times New Roman"/>
        </w:rPr>
        <w:t>i</w:t>
      </w:r>
      <w:r w:rsidR="00053E6E">
        <w:rPr>
          <w:rFonts w:cs="Times New Roman"/>
        </w:rPr>
        <w:t xml:space="preserve"> </w:t>
      </w:r>
      <w:r w:rsidR="007A2A81">
        <w:rPr>
          <w:rFonts w:cs="Times New Roman"/>
        </w:rPr>
        <w:t xml:space="preserve">obecnou </w:t>
      </w:r>
      <w:r>
        <w:rPr>
          <w:rFonts w:cs="Times New Roman"/>
        </w:rPr>
        <w:t>problematikou regulace lobbingu</w:t>
      </w:r>
      <w:r w:rsidR="00FC48AA">
        <w:rPr>
          <w:rFonts w:cs="Times New Roman"/>
        </w:rPr>
        <w:t>,</w:t>
      </w:r>
      <w:r>
        <w:rPr>
          <w:rFonts w:cs="Times New Roman"/>
        </w:rPr>
        <w:t xml:space="preserve"> </w:t>
      </w:r>
      <w:r w:rsidR="00B65971">
        <w:rPr>
          <w:rFonts w:cs="Times New Roman"/>
        </w:rPr>
        <w:t>a</w:t>
      </w:r>
      <w:r w:rsidR="00053E6E">
        <w:rPr>
          <w:rFonts w:cs="Times New Roman"/>
        </w:rPr>
        <w:t xml:space="preserve"> </w:t>
      </w:r>
      <w:r>
        <w:rPr>
          <w:rFonts w:cs="Times New Roman"/>
        </w:rPr>
        <w:t xml:space="preserve">poté konkrétně regulacemi lobbingu </w:t>
      </w:r>
      <w:r w:rsidR="00B65971">
        <w:rPr>
          <w:rFonts w:cs="Times New Roman"/>
        </w:rPr>
        <w:t>v</w:t>
      </w:r>
      <w:r w:rsidR="00053E6E">
        <w:rPr>
          <w:rFonts w:cs="Times New Roman"/>
        </w:rPr>
        <w:t xml:space="preserve"> </w:t>
      </w:r>
      <w:r>
        <w:rPr>
          <w:rFonts w:cs="Times New Roman"/>
        </w:rPr>
        <w:t xml:space="preserve">několika státech </w:t>
      </w:r>
      <w:r w:rsidR="00B65971">
        <w:rPr>
          <w:rFonts w:cs="Times New Roman"/>
        </w:rPr>
        <w:t>a</w:t>
      </w:r>
      <w:r w:rsidR="00053E6E">
        <w:rPr>
          <w:rFonts w:cs="Times New Roman"/>
        </w:rPr>
        <w:t xml:space="preserve"> </w:t>
      </w:r>
      <w:r>
        <w:rPr>
          <w:rFonts w:cs="Times New Roman"/>
        </w:rPr>
        <w:t>také na úrovni EU</w:t>
      </w:r>
      <w:r w:rsidR="00342ECE">
        <w:rPr>
          <w:rFonts w:cs="Times New Roman"/>
        </w:rPr>
        <w:t>.</w:t>
      </w:r>
      <w:r>
        <w:rPr>
          <w:rFonts w:cs="Times New Roman"/>
        </w:rPr>
        <w:t xml:space="preserve"> </w:t>
      </w:r>
      <w:r w:rsidR="00342ECE">
        <w:rPr>
          <w:rFonts w:cs="Times New Roman"/>
        </w:rPr>
        <w:t>Z</w:t>
      </w:r>
      <w:r>
        <w:rPr>
          <w:rFonts w:cs="Times New Roman"/>
        </w:rPr>
        <w:t xml:space="preserve">ároveň uvádí </w:t>
      </w:r>
      <w:r w:rsidR="005878B7">
        <w:rPr>
          <w:rFonts w:cs="Times New Roman"/>
        </w:rPr>
        <w:t>čtenáře</w:t>
      </w:r>
      <w:r>
        <w:rPr>
          <w:rFonts w:cs="Times New Roman"/>
        </w:rPr>
        <w:t xml:space="preserve"> do problematiky samotných zájmových skupin, zabývá se jejich definicí </w:t>
      </w:r>
      <w:r w:rsidR="00B65971">
        <w:rPr>
          <w:rFonts w:cs="Times New Roman"/>
        </w:rPr>
        <w:t>a</w:t>
      </w:r>
      <w:r w:rsidR="00053E6E">
        <w:rPr>
          <w:rFonts w:cs="Times New Roman"/>
        </w:rPr>
        <w:t xml:space="preserve"> </w:t>
      </w:r>
      <w:r>
        <w:rPr>
          <w:rFonts w:cs="Times New Roman"/>
        </w:rPr>
        <w:t>typologií</w:t>
      </w:r>
      <w:r w:rsidR="00342ECE">
        <w:rPr>
          <w:rFonts w:cs="Times New Roman"/>
        </w:rPr>
        <w:t>.</w:t>
      </w:r>
      <w:r>
        <w:rPr>
          <w:rFonts w:cs="Times New Roman"/>
        </w:rPr>
        <w:t xml:space="preserve"> </w:t>
      </w:r>
      <w:r w:rsidR="00342ECE">
        <w:rPr>
          <w:rFonts w:cs="Times New Roman"/>
        </w:rPr>
        <w:t>S</w:t>
      </w:r>
      <w:r>
        <w:rPr>
          <w:rFonts w:cs="Times New Roman"/>
        </w:rPr>
        <w:t xml:space="preserve">amotnému lobbingu </w:t>
      </w:r>
      <w:r w:rsidR="00B65971">
        <w:rPr>
          <w:rFonts w:cs="Times New Roman"/>
        </w:rPr>
        <w:t>v</w:t>
      </w:r>
      <w:r w:rsidR="00053E6E">
        <w:rPr>
          <w:rFonts w:cs="Times New Roman"/>
        </w:rPr>
        <w:t xml:space="preserve"> </w:t>
      </w:r>
      <w:r>
        <w:rPr>
          <w:rFonts w:cs="Times New Roman"/>
        </w:rPr>
        <w:t xml:space="preserve">EU </w:t>
      </w:r>
      <w:r w:rsidR="00342ECE">
        <w:rPr>
          <w:rFonts w:cs="Times New Roman"/>
        </w:rPr>
        <w:t xml:space="preserve">zde bohužel </w:t>
      </w:r>
      <w:r>
        <w:rPr>
          <w:rFonts w:cs="Times New Roman"/>
        </w:rPr>
        <w:t xml:space="preserve">není věnováno příliš prostoru. Lobbingu </w:t>
      </w:r>
      <w:r w:rsidR="00B65971">
        <w:rPr>
          <w:rFonts w:cs="Times New Roman"/>
        </w:rPr>
        <w:t>v</w:t>
      </w:r>
      <w:r w:rsidR="00053E6E">
        <w:rPr>
          <w:rFonts w:cs="Times New Roman"/>
        </w:rPr>
        <w:t xml:space="preserve"> </w:t>
      </w:r>
      <w:r>
        <w:rPr>
          <w:rFonts w:cs="Times New Roman"/>
        </w:rPr>
        <w:t xml:space="preserve">EU se už zcela věnuje publikace Davida Coena </w:t>
      </w:r>
      <w:r w:rsidR="00B65971">
        <w:rPr>
          <w:rFonts w:cs="Times New Roman"/>
        </w:rPr>
        <w:t>a</w:t>
      </w:r>
      <w:r w:rsidR="00053E6E">
        <w:rPr>
          <w:rFonts w:cs="Times New Roman"/>
        </w:rPr>
        <w:t xml:space="preserve"> </w:t>
      </w:r>
      <w:r>
        <w:rPr>
          <w:rFonts w:cs="Times New Roman"/>
        </w:rPr>
        <w:t>Jeremyho Richardsona</w:t>
      </w:r>
      <w:r w:rsidR="005F32DE">
        <w:rPr>
          <w:rFonts w:cs="Times New Roman"/>
        </w:rPr>
        <w:t>,</w:t>
      </w:r>
      <w:r>
        <w:rPr>
          <w:rFonts w:cs="Times New Roman"/>
        </w:rPr>
        <w:t xml:space="preserve"> </w:t>
      </w:r>
      <w:r>
        <w:rPr>
          <w:rFonts w:cs="Times New Roman"/>
          <w:i/>
        </w:rPr>
        <w:t>Lobbyin</w:t>
      </w:r>
      <w:r w:rsidR="005F32DE">
        <w:rPr>
          <w:rFonts w:cs="Times New Roman"/>
          <w:i/>
        </w:rPr>
        <w:t>g</w:t>
      </w:r>
      <w:r>
        <w:rPr>
          <w:rFonts w:cs="Times New Roman"/>
          <w:i/>
        </w:rPr>
        <w:t xml:space="preserve"> the European Union: Institutions, actors and issues</w:t>
      </w:r>
      <w:r w:rsidR="005F32DE">
        <w:rPr>
          <w:rFonts w:cs="Times New Roman"/>
          <w:i/>
        </w:rPr>
        <w:t>,</w:t>
      </w:r>
      <w:r w:rsidR="005F32DE">
        <w:rPr>
          <w:rFonts w:cs="Times New Roman"/>
        </w:rPr>
        <w:t xml:space="preserve"> ta už se zabývá lobbingem </w:t>
      </w:r>
      <w:r w:rsidR="00B65971">
        <w:rPr>
          <w:rFonts w:cs="Times New Roman"/>
        </w:rPr>
        <w:t>i</w:t>
      </w:r>
      <w:r w:rsidR="00053E6E">
        <w:rPr>
          <w:rFonts w:cs="Times New Roman"/>
        </w:rPr>
        <w:t xml:space="preserve"> </w:t>
      </w:r>
      <w:r w:rsidR="00B65971">
        <w:rPr>
          <w:rFonts w:cs="Times New Roman"/>
        </w:rPr>
        <w:t>v</w:t>
      </w:r>
      <w:r w:rsidR="00053E6E">
        <w:rPr>
          <w:rFonts w:cs="Times New Roman"/>
        </w:rPr>
        <w:t xml:space="preserve"> </w:t>
      </w:r>
      <w:r w:rsidR="005F32DE">
        <w:rPr>
          <w:rFonts w:cs="Times New Roman"/>
        </w:rPr>
        <w:t xml:space="preserve">jednotlivých institucích EU </w:t>
      </w:r>
      <w:r w:rsidR="00B65971">
        <w:rPr>
          <w:rFonts w:cs="Times New Roman"/>
        </w:rPr>
        <w:t>a</w:t>
      </w:r>
      <w:r w:rsidR="00053E6E">
        <w:rPr>
          <w:rFonts w:cs="Times New Roman"/>
        </w:rPr>
        <w:t xml:space="preserve"> </w:t>
      </w:r>
      <w:r w:rsidR="005F32DE">
        <w:rPr>
          <w:rFonts w:cs="Times New Roman"/>
        </w:rPr>
        <w:t>také jednotlivými sektory lobbingu</w:t>
      </w:r>
      <w:r w:rsidR="00342ECE">
        <w:rPr>
          <w:rFonts w:cs="Times New Roman"/>
        </w:rPr>
        <w:t>.</w:t>
      </w:r>
      <w:r w:rsidR="005F32DE">
        <w:rPr>
          <w:rFonts w:cs="Times New Roman"/>
        </w:rPr>
        <w:t xml:space="preserve"> </w:t>
      </w:r>
      <w:r w:rsidR="00B65971">
        <w:rPr>
          <w:rFonts w:cs="Times New Roman"/>
        </w:rPr>
        <w:t>U</w:t>
      </w:r>
      <w:r w:rsidR="00053E6E">
        <w:rPr>
          <w:rFonts w:cs="Times New Roman"/>
        </w:rPr>
        <w:t xml:space="preserve"> </w:t>
      </w:r>
      <w:r w:rsidR="005F32DE">
        <w:rPr>
          <w:rFonts w:cs="Times New Roman"/>
        </w:rPr>
        <w:t xml:space="preserve">každé instituce se </w:t>
      </w:r>
      <w:r w:rsidR="00342ECE">
        <w:rPr>
          <w:rFonts w:cs="Times New Roman"/>
        </w:rPr>
        <w:t xml:space="preserve">dále </w:t>
      </w:r>
      <w:r w:rsidR="005F32DE">
        <w:rPr>
          <w:rFonts w:cs="Times New Roman"/>
        </w:rPr>
        <w:t xml:space="preserve">zabývá také tím, co zájmové skupiny dané instituci přináší </w:t>
      </w:r>
      <w:r w:rsidR="00B65971">
        <w:rPr>
          <w:rFonts w:cs="Times New Roman"/>
        </w:rPr>
        <w:t>a</w:t>
      </w:r>
      <w:r w:rsidR="00053E6E">
        <w:rPr>
          <w:rFonts w:cs="Times New Roman"/>
        </w:rPr>
        <w:t xml:space="preserve"> </w:t>
      </w:r>
      <w:r w:rsidR="005F32DE">
        <w:rPr>
          <w:rFonts w:cs="Times New Roman"/>
        </w:rPr>
        <w:t xml:space="preserve">proč jsou pro danou instituci důležité. Čerpal jsem také </w:t>
      </w:r>
      <w:r w:rsidR="00B65971">
        <w:rPr>
          <w:rFonts w:cs="Times New Roman"/>
        </w:rPr>
        <w:t>z</w:t>
      </w:r>
      <w:r w:rsidR="00053E6E">
        <w:rPr>
          <w:rFonts w:cs="Times New Roman"/>
        </w:rPr>
        <w:t xml:space="preserve"> </w:t>
      </w:r>
      <w:r w:rsidR="005F32DE">
        <w:rPr>
          <w:rFonts w:cs="Times New Roman"/>
        </w:rPr>
        <w:t xml:space="preserve">oficiálních zdrojů, především ze </w:t>
      </w:r>
      <w:r w:rsidR="00342ECE">
        <w:rPr>
          <w:rFonts w:cs="Times New Roman"/>
          <w:i/>
        </w:rPr>
        <w:t>s</w:t>
      </w:r>
      <w:r w:rsidR="005F32DE">
        <w:rPr>
          <w:rFonts w:cs="Times New Roman"/>
          <w:i/>
        </w:rPr>
        <w:t>dělení Komise</w:t>
      </w:r>
      <w:r w:rsidR="005F32DE">
        <w:rPr>
          <w:rFonts w:cs="Times New Roman"/>
        </w:rPr>
        <w:t xml:space="preserve">, </w:t>
      </w:r>
      <w:r w:rsidR="00971546">
        <w:rPr>
          <w:rFonts w:cs="Times New Roman"/>
        </w:rPr>
        <w:t xml:space="preserve">či </w:t>
      </w:r>
      <w:r w:rsidR="00971546">
        <w:rPr>
          <w:rFonts w:cs="Times New Roman"/>
          <w:i/>
        </w:rPr>
        <w:t xml:space="preserve">Bílé knihy, </w:t>
      </w:r>
      <w:r w:rsidR="005F32DE">
        <w:rPr>
          <w:rFonts w:cs="Times New Roman"/>
        </w:rPr>
        <w:t xml:space="preserve">které se týkaly Rejstříku zástupců zájmových skupin. </w:t>
      </w:r>
      <w:r w:rsidR="006B44C8">
        <w:rPr>
          <w:rFonts w:cs="Times New Roman"/>
        </w:rPr>
        <w:t xml:space="preserve">Pro dílčí teorie zabývající se lobbingem jsem využil např. knihu Davida </w:t>
      </w:r>
      <w:r w:rsidR="00B65971">
        <w:rPr>
          <w:rFonts w:cs="Times New Roman"/>
        </w:rPr>
        <w:t>B</w:t>
      </w:r>
      <w:r w:rsidR="006B44C8">
        <w:rPr>
          <w:rFonts w:cs="Times New Roman"/>
        </w:rPr>
        <w:t xml:space="preserve">. Trumana </w:t>
      </w:r>
      <w:r w:rsidR="006B44C8">
        <w:rPr>
          <w:rFonts w:cs="Times New Roman"/>
          <w:i/>
        </w:rPr>
        <w:t>The Governmental Process</w:t>
      </w:r>
      <w:r w:rsidR="006B44C8">
        <w:rPr>
          <w:rFonts w:cs="Times New Roman"/>
        </w:rPr>
        <w:t xml:space="preserve">, která se zabývá pluralismem. </w:t>
      </w:r>
      <w:r w:rsidR="00B65971">
        <w:rPr>
          <w:rFonts w:cs="Times New Roman"/>
        </w:rPr>
        <w:t>O</w:t>
      </w:r>
      <w:r w:rsidR="00053E6E">
        <w:rPr>
          <w:rFonts w:cs="Times New Roman"/>
        </w:rPr>
        <w:t xml:space="preserve"> </w:t>
      </w:r>
      <w:r w:rsidR="006B44C8">
        <w:rPr>
          <w:rFonts w:cs="Times New Roman"/>
        </w:rPr>
        <w:t xml:space="preserve">korporativismu pak velmi dobře pojednává např. Philippe </w:t>
      </w:r>
      <w:r w:rsidR="00B65971">
        <w:rPr>
          <w:rFonts w:cs="Times New Roman"/>
        </w:rPr>
        <w:t>C </w:t>
      </w:r>
      <w:r w:rsidR="006B44C8">
        <w:rPr>
          <w:rFonts w:cs="Times New Roman"/>
        </w:rPr>
        <w:t xml:space="preserve">. Schmitter </w:t>
      </w:r>
      <w:r w:rsidR="00B65971">
        <w:rPr>
          <w:rFonts w:cs="Times New Roman"/>
        </w:rPr>
        <w:t>v</w:t>
      </w:r>
      <w:r w:rsidR="00053E6E">
        <w:rPr>
          <w:rFonts w:cs="Times New Roman"/>
        </w:rPr>
        <w:t xml:space="preserve"> </w:t>
      </w:r>
      <w:r w:rsidR="006B44C8">
        <w:rPr>
          <w:rFonts w:cs="Times New Roman"/>
        </w:rPr>
        <w:t xml:space="preserve">textu </w:t>
      </w:r>
      <w:r w:rsidR="006B44C8">
        <w:rPr>
          <w:rFonts w:cs="Times New Roman"/>
          <w:i/>
        </w:rPr>
        <w:t>Still the century of corporatism</w:t>
      </w:r>
      <w:r w:rsidR="0030424F">
        <w:rPr>
          <w:rFonts w:cs="Times New Roman"/>
        </w:rPr>
        <w:t xml:space="preserve">. </w:t>
      </w:r>
      <w:r w:rsidR="001D34F7">
        <w:rPr>
          <w:rFonts w:cs="Times New Roman"/>
        </w:rPr>
        <w:t>Pro obě původně sociologické teorie byla užitečná kniha od Petera Blaua</w:t>
      </w:r>
      <w:r w:rsidR="001D34F7">
        <w:rPr>
          <w:rFonts w:cs="Times New Roman"/>
          <w:i/>
        </w:rPr>
        <w:t xml:space="preserve"> Exchange and power in social </w:t>
      </w:r>
      <w:r w:rsidR="001D34F7" w:rsidRPr="001D34F7">
        <w:rPr>
          <w:rFonts w:cs="Times New Roman"/>
        </w:rPr>
        <w:t>life</w:t>
      </w:r>
      <w:r w:rsidR="001D34F7">
        <w:rPr>
          <w:rFonts w:cs="Times New Roman"/>
        </w:rPr>
        <w:t xml:space="preserve">. </w:t>
      </w:r>
      <w:r w:rsidR="00A54842" w:rsidRPr="001D34F7">
        <w:rPr>
          <w:rFonts w:cs="Times New Roman"/>
        </w:rPr>
        <w:t>Jak</w:t>
      </w:r>
      <w:r w:rsidR="00A54842">
        <w:rPr>
          <w:rFonts w:cs="Times New Roman"/>
        </w:rPr>
        <w:t xml:space="preserve"> jsem již zmínil, teoretický rámec vychází </w:t>
      </w:r>
      <w:r w:rsidR="00B65971">
        <w:rPr>
          <w:rFonts w:cs="Times New Roman"/>
        </w:rPr>
        <w:t>z</w:t>
      </w:r>
      <w:r w:rsidR="008E17E4">
        <w:rPr>
          <w:rFonts w:cs="Times New Roman"/>
        </w:rPr>
        <w:t> </w:t>
      </w:r>
      <w:r w:rsidR="00A54842">
        <w:rPr>
          <w:rFonts w:cs="Times New Roman"/>
        </w:rPr>
        <w:t xml:space="preserve">práce Pietera Bouwena, </w:t>
      </w:r>
      <w:r w:rsidR="00A54842">
        <w:rPr>
          <w:rFonts w:cs="Times New Roman"/>
          <w:i/>
        </w:rPr>
        <w:t>Corporate lobbying in the European Union: the logic of access</w:t>
      </w:r>
      <w:r w:rsidR="00A54842">
        <w:rPr>
          <w:rFonts w:cs="Times New Roman"/>
        </w:rPr>
        <w:t>,</w:t>
      </w:r>
      <w:r w:rsidR="001D34F7">
        <w:rPr>
          <w:rFonts w:cs="Times New Roman"/>
        </w:rPr>
        <w:t xml:space="preserve"> přínosem byla také jeho aplikace této teorie ve výzkumu </w:t>
      </w:r>
      <w:r w:rsidR="00B65971" w:rsidRPr="001D34F7">
        <w:rPr>
          <w:rFonts w:cs="Times New Roman"/>
          <w:i/>
        </w:rPr>
        <w:t>A</w:t>
      </w:r>
      <w:r w:rsidR="00053E6E">
        <w:rPr>
          <w:rFonts w:cs="Times New Roman"/>
          <w:i/>
        </w:rPr>
        <w:t xml:space="preserve"> </w:t>
      </w:r>
      <w:r w:rsidR="001D34F7" w:rsidRPr="001D34F7">
        <w:rPr>
          <w:rFonts w:cs="Times New Roman"/>
          <w:i/>
        </w:rPr>
        <w:t>comparative study of business lobbying in the European Parliament, the European Commission and the Council of Ministers</w:t>
      </w:r>
      <w:r w:rsidR="001D34F7">
        <w:rPr>
          <w:rFonts w:cs="Times New Roman"/>
          <w:i/>
        </w:rPr>
        <w:t>.</w:t>
      </w:r>
      <w:r w:rsidR="005878B7">
        <w:rPr>
          <w:rFonts w:cs="Times New Roman"/>
        </w:rPr>
        <w:t xml:space="preserve"> Za velice podstatnou knihu </w:t>
      </w:r>
      <w:r w:rsidR="00B65971">
        <w:rPr>
          <w:rFonts w:cs="Times New Roman"/>
        </w:rPr>
        <w:t>k</w:t>
      </w:r>
      <w:r w:rsidR="00053E6E">
        <w:rPr>
          <w:rFonts w:cs="Times New Roman"/>
        </w:rPr>
        <w:t xml:space="preserve"> </w:t>
      </w:r>
      <w:r w:rsidR="005878B7">
        <w:rPr>
          <w:rFonts w:cs="Times New Roman"/>
        </w:rPr>
        <w:t xml:space="preserve">problematice zájmových skupin považuji </w:t>
      </w:r>
      <w:r w:rsidR="005878B7" w:rsidRPr="005878B7">
        <w:rPr>
          <w:i/>
        </w:rPr>
        <w:t>The external control of organizations</w:t>
      </w:r>
      <w:r w:rsidR="005878B7">
        <w:rPr>
          <w:i/>
        </w:rPr>
        <w:t xml:space="preserve"> </w:t>
      </w:r>
      <w:r w:rsidR="005878B7">
        <w:t xml:space="preserve">od Pfeffera </w:t>
      </w:r>
      <w:r w:rsidR="00B65971">
        <w:t>a</w:t>
      </w:r>
      <w:r w:rsidR="00053E6E">
        <w:t xml:space="preserve"> </w:t>
      </w:r>
      <w:r w:rsidR="005878B7">
        <w:t xml:space="preserve">Salancika. Velkou část mých zdrojů tvoří </w:t>
      </w:r>
      <w:r w:rsidR="005878B7">
        <w:rPr>
          <w:i/>
        </w:rPr>
        <w:t>Rejstřík zástupců zájmových skupin</w:t>
      </w:r>
      <w:r w:rsidR="005878B7">
        <w:t xml:space="preserve">, kromě něj jsem velké množství informací čerpal </w:t>
      </w:r>
      <w:r w:rsidR="00B65971">
        <w:t>i</w:t>
      </w:r>
      <w:r w:rsidR="008E17E4">
        <w:t> </w:t>
      </w:r>
      <w:r w:rsidR="00B65971">
        <w:t>z</w:t>
      </w:r>
      <w:r w:rsidR="008E17E4">
        <w:t> </w:t>
      </w:r>
      <w:r w:rsidR="005878B7">
        <w:t>webových stránek některých zájmových skupin.</w:t>
      </w:r>
      <w:r w:rsidR="00053E6E">
        <w:t xml:space="preserve"> </w:t>
      </w:r>
    </w:p>
    <w:p w:rsidR="00B22E8C" w:rsidRDefault="00B22E8C">
      <w:pPr>
        <w:spacing w:after="160" w:line="259" w:lineRule="auto"/>
        <w:ind w:firstLine="0"/>
        <w:jc w:val="left"/>
        <w:rPr>
          <w:rFonts w:cs="Times New Roman"/>
        </w:rPr>
      </w:pPr>
      <w:r>
        <w:rPr>
          <w:rFonts w:cs="Times New Roman"/>
        </w:rPr>
        <w:br w:type="page"/>
      </w:r>
    </w:p>
    <w:p w:rsidR="00306C65" w:rsidRDefault="00B65971" w:rsidP="003330F5">
      <w:pPr>
        <w:pStyle w:val="Heading1"/>
      </w:pPr>
      <w:bookmarkStart w:id="2" w:name="_Toc7414191"/>
      <w:r w:rsidRPr="00306C65">
        <w:lastRenderedPageBreak/>
        <w:t>1</w:t>
      </w:r>
      <w:r w:rsidR="00306C65" w:rsidRPr="00306C65">
        <w:t>.</w:t>
      </w:r>
      <w:r w:rsidR="00306C65">
        <w:t xml:space="preserve"> Teoretická část</w:t>
      </w:r>
      <w:bookmarkEnd w:id="2"/>
    </w:p>
    <w:p w:rsidR="00306C65" w:rsidRDefault="00B65971" w:rsidP="003330F5">
      <w:pPr>
        <w:pStyle w:val="Heading2"/>
      </w:pPr>
      <w:bookmarkStart w:id="3" w:name="_Toc7414192"/>
      <w:r>
        <w:t>1</w:t>
      </w:r>
      <w:r w:rsidR="00306C65">
        <w:t>.</w:t>
      </w:r>
      <w:r>
        <w:t>1</w:t>
      </w:r>
      <w:r w:rsidR="00053E6E">
        <w:t xml:space="preserve"> </w:t>
      </w:r>
      <w:r w:rsidR="00531C90">
        <w:t>Definice</w:t>
      </w:r>
      <w:r w:rsidR="00306C65">
        <w:t xml:space="preserve"> lobbingu</w:t>
      </w:r>
      <w:bookmarkEnd w:id="3"/>
    </w:p>
    <w:p w:rsidR="00FA6D79" w:rsidRDefault="00306C65" w:rsidP="00DC591C">
      <w:pPr>
        <w:rPr>
          <w:rFonts w:cs="Times New Roman"/>
        </w:rPr>
      </w:pPr>
      <w:r>
        <w:rPr>
          <w:rFonts w:cs="Times New Roman"/>
        </w:rPr>
        <w:t>Cílem této kapitoly je</w:t>
      </w:r>
      <w:r w:rsidR="00C655FB">
        <w:rPr>
          <w:rFonts w:cs="Times New Roman"/>
        </w:rPr>
        <w:t xml:space="preserve"> hlavně</w:t>
      </w:r>
      <w:r w:rsidR="00495C8B">
        <w:rPr>
          <w:rFonts w:cs="Times New Roman"/>
        </w:rPr>
        <w:t xml:space="preserve"> </w:t>
      </w:r>
      <w:r>
        <w:rPr>
          <w:rFonts w:cs="Times New Roman"/>
        </w:rPr>
        <w:t xml:space="preserve">vysvětlit, co to vlastně lobbing je, jak jej chápat </w:t>
      </w:r>
      <w:r w:rsidR="00B65971">
        <w:rPr>
          <w:rFonts w:cs="Times New Roman"/>
        </w:rPr>
        <w:t>a</w:t>
      </w:r>
      <w:r w:rsidR="00053E6E">
        <w:rPr>
          <w:rFonts w:cs="Times New Roman"/>
        </w:rPr>
        <w:t xml:space="preserve"> </w:t>
      </w:r>
      <w:r>
        <w:rPr>
          <w:rFonts w:cs="Times New Roman"/>
        </w:rPr>
        <w:t>jak jej definovat.</w:t>
      </w:r>
      <w:r w:rsidR="00495C8B">
        <w:rPr>
          <w:rFonts w:cs="Times New Roman"/>
        </w:rPr>
        <w:t xml:space="preserve"> Pokud se zaměříme na vymezení pojmu lobbing </w:t>
      </w:r>
      <w:r w:rsidR="00B65971">
        <w:rPr>
          <w:rFonts w:cs="Times New Roman"/>
        </w:rPr>
        <w:t>a</w:t>
      </w:r>
      <w:r w:rsidR="00053E6E">
        <w:rPr>
          <w:rFonts w:cs="Times New Roman"/>
        </w:rPr>
        <w:t xml:space="preserve"> </w:t>
      </w:r>
      <w:r w:rsidR="00495C8B">
        <w:rPr>
          <w:rFonts w:cs="Times New Roman"/>
        </w:rPr>
        <w:t xml:space="preserve">vynecháme ta, která lobbing chápou jako vstupní halu či zastřešený průchod, budeme mít </w:t>
      </w:r>
      <w:r w:rsidR="00C655FB">
        <w:rPr>
          <w:rFonts w:cs="Times New Roman"/>
        </w:rPr>
        <w:t>tři</w:t>
      </w:r>
      <w:r w:rsidR="00495C8B">
        <w:rPr>
          <w:rFonts w:cs="Times New Roman"/>
        </w:rPr>
        <w:t xml:space="preserve"> základní vymezení. Lobbing jako </w:t>
      </w:r>
      <w:r w:rsidR="00495C8B">
        <w:rPr>
          <w:rFonts w:cs="Times New Roman"/>
          <w:i/>
        </w:rPr>
        <w:t>„skupina osob zabývajících se ovlivňováním zákonodárců n</w:t>
      </w:r>
      <w:r w:rsidR="00FA1299">
        <w:rPr>
          <w:rFonts w:cs="Times New Roman"/>
          <w:i/>
        </w:rPr>
        <w:t>e</w:t>
      </w:r>
      <w:r w:rsidR="00495C8B">
        <w:rPr>
          <w:rFonts w:cs="Times New Roman"/>
          <w:i/>
        </w:rPr>
        <w:t>bo jiných veřejných činitelů ve specifické záležitosti</w:t>
      </w:r>
      <w:r w:rsidR="00495C8B">
        <w:rPr>
          <w:rFonts w:cs="Times New Roman"/>
        </w:rPr>
        <w:t xml:space="preserve">; </w:t>
      </w:r>
      <w:r w:rsidR="00495C8B">
        <w:rPr>
          <w:rFonts w:cs="Times New Roman"/>
          <w:i/>
        </w:rPr>
        <w:t xml:space="preserve">jako snaha ovlivnit veřejné činitele za účelem vyjádření souhlasu či nesouhlasu </w:t>
      </w:r>
      <w:r w:rsidR="00B65971">
        <w:rPr>
          <w:rFonts w:cs="Times New Roman"/>
          <w:i/>
        </w:rPr>
        <w:t>s</w:t>
      </w:r>
      <w:r w:rsidR="00053E6E">
        <w:rPr>
          <w:rFonts w:cs="Times New Roman"/>
          <w:i/>
        </w:rPr>
        <w:t xml:space="preserve"> </w:t>
      </w:r>
      <w:r w:rsidR="00495C8B">
        <w:rPr>
          <w:rFonts w:cs="Times New Roman"/>
          <w:i/>
        </w:rPr>
        <w:t>konkrétním opatřením či návrhem</w:t>
      </w:r>
      <w:r w:rsidR="00495C8B">
        <w:rPr>
          <w:rFonts w:cs="Times New Roman"/>
        </w:rPr>
        <w:t xml:space="preserve"> </w:t>
      </w:r>
      <w:r w:rsidR="00495C8B" w:rsidRPr="00F5321A">
        <w:rPr>
          <w:rFonts w:cs="Times New Roman"/>
          <w:i/>
          <w:iCs/>
        </w:rPr>
        <w:t>nebo jako sn</w:t>
      </w:r>
      <w:r w:rsidR="007E6C7B" w:rsidRPr="00F5321A">
        <w:rPr>
          <w:rFonts w:cs="Times New Roman"/>
          <w:i/>
          <w:iCs/>
        </w:rPr>
        <w:t>a</w:t>
      </w:r>
      <w:r w:rsidR="00495C8B" w:rsidRPr="00F5321A">
        <w:rPr>
          <w:rFonts w:cs="Times New Roman"/>
          <w:i/>
          <w:iCs/>
        </w:rPr>
        <w:t>ha ovlivnit úředníka</w:t>
      </w:r>
      <w:r w:rsidR="00FA1299" w:rsidRPr="00F5321A">
        <w:rPr>
          <w:rFonts w:cs="Times New Roman"/>
          <w:i/>
          <w:iCs/>
        </w:rPr>
        <w:t xml:space="preserve">, </w:t>
      </w:r>
      <w:r w:rsidR="00495C8B" w:rsidRPr="00F5321A">
        <w:rPr>
          <w:rFonts w:cs="Times New Roman"/>
          <w:i/>
          <w:iCs/>
        </w:rPr>
        <w:t>aby jednal určitým způsobem</w:t>
      </w:r>
      <w:r w:rsidR="00F5321A">
        <w:rPr>
          <w:rFonts w:cs="Times New Roman"/>
        </w:rPr>
        <w:t>“</w:t>
      </w:r>
      <w:r w:rsidR="003F4295">
        <w:rPr>
          <w:rFonts w:cs="Times New Roman"/>
        </w:rPr>
        <w:t xml:space="preserve"> </w:t>
      </w:r>
      <w:r w:rsidR="00495C8B">
        <w:rPr>
          <w:rFonts w:cs="Times New Roman"/>
        </w:rPr>
        <w:t>(</w:t>
      </w:r>
      <w:r w:rsidR="00DF1F7B">
        <w:rPr>
          <w:rFonts w:cs="Times New Roman"/>
        </w:rPr>
        <w:t>Vymětal</w:t>
      </w:r>
      <w:r w:rsidR="00495C8B">
        <w:rPr>
          <w:rFonts w:cs="Times New Roman"/>
        </w:rPr>
        <w:t xml:space="preserve"> </w:t>
      </w:r>
      <w:r w:rsidR="00DF1F7B">
        <w:rPr>
          <w:rFonts w:cs="Times New Roman"/>
        </w:rPr>
        <w:t>2010: 17</w:t>
      </w:r>
      <w:r w:rsidR="00495C8B">
        <w:rPr>
          <w:rFonts w:cs="Times New Roman"/>
        </w:rPr>
        <w:t>).</w:t>
      </w:r>
      <w:r w:rsidR="007E6C7B">
        <w:rPr>
          <w:rFonts w:cs="Times New Roman"/>
        </w:rPr>
        <w:t xml:space="preserve"> Ideální definice lobbingu by tedy měla: odlišit lobbing od prosazování zájmů prostřednictvím volených zástupců, vymezit lobbing jako zdroj informací </w:t>
      </w:r>
      <w:r w:rsidR="00B65971">
        <w:rPr>
          <w:rFonts w:cs="Times New Roman"/>
        </w:rPr>
        <w:t>a</w:t>
      </w:r>
      <w:r w:rsidR="00053E6E">
        <w:rPr>
          <w:rFonts w:cs="Times New Roman"/>
        </w:rPr>
        <w:t xml:space="preserve"> </w:t>
      </w:r>
      <w:r w:rsidR="007E6C7B">
        <w:rPr>
          <w:rFonts w:cs="Times New Roman"/>
        </w:rPr>
        <w:t xml:space="preserve">expertíz, jasně vymezit aktéry lobbingu </w:t>
      </w:r>
      <w:r w:rsidR="00B65971">
        <w:rPr>
          <w:rFonts w:cs="Times New Roman"/>
        </w:rPr>
        <w:t>a</w:t>
      </w:r>
      <w:r w:rsidR="00053E6E">
        <w:rPr>
          <w:rFonts w:cs="Times New Roman"/>
        </w:rPr>
        <w:t xml:space="preserve"> </w:t>
      </w:r>
      <w:r w:rsidR="007E6C7B">
        <w:rPr>
          <w:rFonts w:cs="Times New Roman"/>
        </w:rPr>
        <w:t>vymezit cíle lobbingu (</w:t>
      </w:r>
      <w:r w:rsidR="00DF1F7B">
        <w:rPr>
          <w:rFonts w:cs="Times New Roman"/>
        </w:rPr>
        <w:t xml:space="preserve">Vymětal </w:t>
      </w:r>
      <w:r w:rsidR="003F4295">
        <w:rPr>
          <w:rFonts w:cs="Times New Roman"/>
        </w:rPr>
        <w:t>2</w:t>
      </w:r>
      <w:r w:rsidR="00DF1F7B">
        <w:rPr>
          <w:rFonts w:cs="Times New Roman"/>
        </w:rPr>
        <w:t>010: 18</w:t>
      </w:r>
      <w:r w:rsidR="007E6C7B">
        <w:rPr>
          <w:rFonts w:cs="Times New Roman"/>
        </w:rPr>
        <w:t>).</w:t>
      </w:r>
      <w:r w:rsidR="00DC591C">
        <w:rPr>
          <w:rFonts w:cs="Times New Roman"/>
        </w:rPr>
        <w:t xml:space="preserve"> Jelikož má práce se zabývá lobbingem </w:t>
      </w:r>
      <w:r w:rsidR="00B65971">
        <w:rPr>
          <w:rFonts w:cs="Times New Roman"/>
        </w:rPr>
        <w:t>v</w:t>
      </w:r>
      <w:r w:rsidR="00053E6E">
        <w:rPr>
          <w:rFonts w:cs="Times New Roman"/>
        </w:rPr>
        <w:t xml:space="preserve"> </w:t>
      </w:r>
      <w:r w:rsidR="00DC591C">
        <w:rPr>
          <w:rFonts w:cs="Times New Roman"/>
        </w:rPr>
        <w:t xml:space="preserve">Evropské </w:t>
      </w:r>
      <w:r w:rsidR="008979E6">
        <w:rPr>
          <w:rFonts w:cs="Times New Roman"/>
        </w:rPr>
        <w:t>k</w:t>
      </w:r>
      <w:r w:rsidR="00DC591C">
        <w:rPr>
          <w:rFonts w:cs="Times New Roman"/>
        </w:rPr>
        <w:t xml:space="preserve">omisi je vhodné se podívat, jak sama Komise definuje lobbing. Podle Zelené knihy EK </w:t>
      </w:r>
      <w:r w:rsidR="00B65971">
        <w:rPr>
          <w:rFonts w:cs="Times New Roman"/>
        </w:rPr>
        <w:t>z</w:t>
      </w:r>
      <w:r w:rsidR="00053E6E">
        <w:rPr>
          <w:rFonts w:cs="Times New Roman"/>
        </w:rPr>
        <w:t xml:space="preserve"> </w:t>
      </w:r>
      <w:r w:rsidR="00DC591C">
        <w:rPr>
          <w:rFonts w:cs="Times New Roman"/>
        </w:rPr>
        <w:t>roku 2006 „</w:t>
      </w:r>
      <w:r w:rsidR="00DC591C" w:rsidRPr="00DC591C">
        <w:rPr>
          <w:rFonts w:cs="Times New Roman"/>
          <w:i/>
        </w:rPr>
        <w:t xml:space="preserve">znamená „lobbování“ veškeré činnosti vykonávané </w:t>
      </w:r>
      <w:r w:rsidR="00B65971" w:rsidRPr="00DC591C">
        <w:rPr>
          <w:rFonts w:cs="Times New Roman"/>
          <w:i/>
        </w:rPr>
        <w:t>s</w:t>
      </w:r>
      <w:r w:rsidR="00053E6E">
        <w:rPr>
          <w:rFonts w:cs="Times New Roman"/>
          <w:i/>
        </w:rPr>
        <w:t xml:space="preserve"> </w:t>
      </w:r>
      <w:r w:rsidR="00DC591C" w:rsidRPr="00DC591C">
        <w:rPr>
          <w:rFonts w:cs="Times New Roman"/>
          <w:i/>
        </w:rPr>
        <w:t xml:space="preserve">cílem ovlivnit formulování politiky </w:t>
      </w:r>
      <w:r w:rsidR="00B65971" w:rsidRPr="00DC591C">
        <w:rPr>
          <w:rFonts w:cs="Times New Roman"/>
          <w:i/>
        </w:rPr>
        <w:t>a</w:t>
      </w:r>
      <w:r w:rsidR="008E17E4">
        <w:rPr>
          <w:rFonts w:cs="Times New Roman"/>
          <w:i/>
        </w:rPr>
        <w:t> </w:t>
      </w:r>
      <w:r w:rsidR="00DC591C" w:rsidRPr="00DC591C">
        <w:rPr>
          <w:rFonts w:cs="Times New Roman"/>
          <w:i/>
        </w:rPr>
        <w:t>rozhodovací procesy evropských orgánů</w:t>
      </w:r>
      <w:r w:rsidR="00DC591C">
        <w:rPr>
          <w:rFonts w:cs="Times New Roman"/>
          <w:i/>
        </w:rPr>
        <w:t xml:space="preserve">“ </w:t>
      </w:r>
      <w:r w:rsidR="00DC591C">
        <w:rPr>
          <w:rFonts w:cs="Times New Roman"/>
        </w:rPr>
        <w:t>(E</w:t>
      </w:r>
      <w:r w:rsidR="00267229">
        <w:rPr>
          <w:rFonts w:cs="Times New Roman"/>
        </w:rPr>
        <w:t>vropská Komise</w:t>
      </w:r>
      <w:r w:rsidR="00DC591C">
        <w:rPr>
          <w:rFonts w:cs="Times New Roman"/>
        </w:rPr>
        <w:t xml:space="preserve"> 2006</w:t>
      </w:r>
      <w:r w:rsidR="000C66C1">
        <w:rPr>
          <w:rFonts w:cs="Times New Roman"/>
        </w:rPr>
        <w:t xml:space="preserve">: </w:t>
      </w:r>
      <w:r w:rsidR="00B65971">
        <w:rPr>
          <w:rFonts w:cs="Times New Roman"/>
        </w:rPr>
        <w:t>4</w:t>
      </w:r>
      <w:r w:rsidR="00DC591C">
        <w:rPr>
          <w:rFonts w:cs="Times New Roman"/>
        </w:rPr>
        <w:t>).</w:t>
      </w:r>
    </w:p>
    <w:p w:rsidR="00267229" w:rsidRDefault="00FA6D79" w:rsidP="00810E14">
      <w:pPr>
        <w:rPr>
          <w:rFonts w:cs="Times New Roman"/>
        </w:rPr>
      </w:pPr>
      <w:r>
        <w:rPr>
          <w:rFonts w:cs="Times New Roman"/>
        </w:rPr>
        <w:t xml:space="preserve">Dále Evropská </w:t>
      </w:r>
      <w:r w:rsidR="008979E6">
        <w:rPr>
          <w:rFonts w:cs="Times New Roman"/>
        </w:rPr>
        <w:t>k</w:t>
      </w:r>
      <w:r>
        <w:rPr>
          <w:rFonts w:cs="Times New Roman"/>
        </w:rPr>
        <w:t>omise definuje lobbing jako:</w:t>
      </w:r>
      <w:r w:rsidR="00810E14">
        <w:rPr>
          <w:rFonts w:cs="Times New Roman"/>
        </w:rPr>
        <w:t xml:space="preserve"> </w:t>
      </w:r>
    </w:p>
    <w:p w:rsidR="00810E14" w:rsidRDefault="00B65971" w:rsidP="00810E14">
      <w:pPr>
        <w:rPr>
          <w:rFonts w:cs="Times New Roman"/>
        </w:rPr>
      </w:pPr>
      <w:r>
        <w:rPr>
          <w:rFonts w:cs="Times New Roman"/>
        </w:rPr>
        <w:t>1</w:t>
      </w:r>
      <w:r w:rsidR="00810E14">
        <w:rPr>
          <w:rFonts w:cs="Times New Roman"/>
        </w:rPr>
        <w:t>)</w:t>
      </w:r>
      <w:r w:rsidR="00E26884">
        <w:rPr>
          <w:rFonts w:cs="Times New Roman"/>
        </w:rPr>
        <w:t xml:space="preserve"> </w:t>
      </w:r>
      <w:r w:rsidR="00FA6D79">
        <w:rPr>
          <w:rFonts w:cs="Times New Roman"/>
        </w:rPr>
        <w:t>L</w:t>
      </w:r>
      <w:r w:rsidR="00FA6D79" w:rsidRPr="00FA6D79">
        <w:rPr>
          <w:rFonts w:cs="Times New Roman"/>
        </w:rPr>
        <w:t>egitimní součást demokratického systému, bez ohledu na to, zda jej</w:t>
      </w:r>
      <w:r w:rsidR="00FA6D79">
        <w:rPr>
          <w:rFonts w:cs="Times New Roman"/>
        </w:rPr>
        <w:t xml:space="preserve"> </w:t>
      </w:r>
      <w:r w:rsidR="00FA6D79" w:rsidRPr="00FA6D79">
        <w:rPr>
          <w:rFonts w:cs="Times New Roman"/>
        </w:rPr>
        <w:t xml:space="preserve">provádějí jednotliví občané či společnosti, organizace občanské společnosti </w:t>
      </w:r>
      <w:r w:rsidRPr="00FA6D79">
        <w:rPr>
          <w:rFonts w:cs="Times New Roman"/>
        </w:rPr>
        <w:t>a</w:t>
      </w:r>
      <w:r w:rsidR="00053E6E">
        <w:rPr>
          <w:rFonts w:cs="Times New Roman"/>
        </w:rPr>
        <w:t xml:space="preserve"> </w:t>
      </w:r>
      <w:r w:rsidR="00FA6D79" w:rsidRPr="00FA6D79">
        <w:rPr>
          <w:rFonts w:cs="Times New Roman"/>
        </w:rPr>
        <w:t>další</w:t>
      </w:r>
      <w:r w:rsidR="00FA6D79">
        <w:rPr>
          <w:rFonts w:cs="Times New Roman"/>
        </w:rPr>
        <w:t xml:space="preserve"> </w:t>
      </w:r>
      <w:r w:rsidR="00FA6D79" w:rsidRPr="00FA6D79">
        <w:rPr>
          <w:rFonts w:cs="Times New Roman"/>
        </w:rPr>
        <w:t xml:space="preserve">zájmové skupiny nebo společnosti jednající </w:t>
      </w:r>
      <w:r w:rsidRPr="00FA6D79">
        <w:rPr>
          <w:rFonts w:cs="Times New Roman"/>
        </w:rPr>
        <w:t>v</w:t>
      </w:r>
      <w:r w:rsidR="00053E6E">
        <w:rPr>
          <w:rFonts w:cs="Times New Roman"/>
        </w:rPr>
        <w:t xml:space="preserve"> </w:t>
      </w:r>
      <w:r w:rsidR="00FA6D79" w:rsidRPr="00FA6D79">
        <w:rPr>
          <w:rFonts w:cs="Times New Roman"/>
        </w:rPr>
        <w:t>zastoupení třetích stran (odborníci</w:t>
      </w:r>
      <w:r w:rsidR="00FA6D79">
        <w:rPr>
          <w:rFonts w:cs="Times New Roman"/>
        </w:rPr>
        <w:t xml:space="preserve"> </w:t>
      </w:r>
      <w:r w:rsidR="00FA6D79" w:rsidRPr="00FA6D79">
        <w:rPr>
          <w:rFonts w:cs="Times New Roman"/>
        </w:rPr>
        <w:t xml:space="preserve">na veřejné záležitosti, expertní skupiny typu „think tank“ </w:t>
      </w:r>
      <w:r w:rsidRPr="00FA6D79">
        <w:rPr>
          <w:rFonts w:cs="Times New Roman"/>
        </w:rPr>
        <w:t>a</w:t>
      </w:r>
      <w:r w:rsidR="00053E6E">
        <w:rPr>
          <w:rFonts w:cs="Times New Roman"/>
        </w:rPr>
        <w:t xml:space="preserve"> </w:t>
      </w:r>
      <w:r w:rsidR="00FA6D79" w:rsidRPr="00FA6D79">
        <w:rPr>
          <w:rFonts w:cs="Times New Roman"/>
        </w:rPr>
        <w:t>právníci)</w:t>
      </w:r>
      <w:r w:rsidR="00531C90">
        <w:rPr>
          <w:rFonts w:cs="Times New Roman"/>
        </w:rPr>
        <w:t>.</w:t>
      </w:r>
    </w:p>
    <w:p w:rsidR="00810E14" w:rsidRDefault="00B65971" w:rsidP="00810E14">
      <w:pPr>
        <w:rPr>
          <w:rFonts w:cs="Times New Roman"/>
        </w:rPr>
      </w:pPr>
      <w:r>
        <w:rPr>
          <w:rFonts w:cs="Times New Roman"/>
        </w:rPr>
        <w:t>2</w:t>
      </w:r>
      <w:r w:rsidR="00810E14">
        <w:rPr>
          <w:rFonts w:cs="Times New Roman"/>
        </w:rPr>
        <w:t>) P</w:t>
      </w:r>
      <w:r w:rsidR="00810E14" w:rsidRPr="00810E14">
        <w:rPr>
          <w:rFonts w:cs="Times New Roman"/>
        </w:rPr>
        <w:t>omoc</w:t>
      </w:r>
      <w:r w:rsidR="00810E14">
        <w:rPr>
          <w:rFonts w:cs="Times New Roman"/>
        </w:rPr>
        <w:t xml:space="preserve"> </w:t>
      </w:r>
      <w:r>
        <w:rPr>
          <w:rFonts w:cs="Times New Roman"/>
        </w:rPr>
        <w:t>a</w:t>
      </w:r>
      <w:r w:rsidR="00053E6E">
        <w:rPr>
          <w:rFonts w:cs="Times New Roman"/>
        </w:rPr>
        <w:t xml:space="preserve"> </w:t>
      </w:r>
      <w:r w:rsidR="00810E14">
        <w:rPr>
          <w:rFonts w:cs="Times New Roman"/>
        </w:rPr>
        <w:t xml:space="preserve">upozornění </w:t>
      </w:r>
      <w:r w:rsidR="00810E14" w:rsidRPr="00810E14">
        <w:rPr>
          <w:rFonts w:cs="Times New Roman"/>
        </w:rPr>
        <w:t>evropsk</w:t>
      </w:r>
      <w:r w:rsidR="00810E14">
        <w:rPr>
          <w:rFonts w:cs="Times New Roman"/>
        </w:rPr>
        <w:t xml:space="preserve">ých </w:t>
      </w:r>
      <w:r w:rsidR="00810E14" w:rsidRPr="00810E14">
        <w:rPr>
          <w:rFonts w:cs="Times New Roman"/>
        </w:rPr>
        <w:t>orgán</w:t>
      </w:r>
      <w:r w:rsidR="00810E14">
        <w:rPr>
          <w:rFonts w:cs="Times New Roman"/>
        </w:rPr>
        <w:t>ů</w:t>
      </w:r>
      <w:r w:rsidR="00810E14" w:rsidRPr="00810E14">
        <w:rPr>
          <w:rFonts w:cs="Times New Roman"/>
        </w:rPr>
        <w:t xml:space="preserve"> na důležité problémy.</w:t>
      </w:r>
      <w:r w:rsidR="00810E14">
        <w:rPr>
          <w:rFonts w:cs="Times New Roman"/>
        </w:rPr>
        <w:t xml:space="preserve"> </w:t>
      </w:r>
      <w:r w:rsidRPr="00810E14">
        <w:rPr>
          <w:rFonts w:cs="Times New Roman"/>
        </w:rPr>
        <w:t>V</w:t>
      </w:r>
      <w:r w:rsidR="00053E6E">
        <w:rPr>
          <w:rFonts w:cs="Times New Roman"/>
        </w:rPr>
        <w:t xml:space="preserve"> </w:t>
      </w:r>
      <w:r w:rsidR="00810E14" w:rsidRPr="00810E14">
        <w:rPr>
          <w:rFonts w:cs="Times New Roman"/>
        </w:rPr>
        <w:t xml:space="preserve">některých případech </w:t>
      </w:r>
      <w:r w:rsidR="008979E6">
        <w:rPr>
          <w:rFonts w:cs="Times New Roman"/>
        </w:rPr>
        <w:t>EU</w:t>
      </w:r>
      <w:r w:rsidR="00810E14" w:rsidRPr="00810E14">
        <w:rPr>
          <w:rFonts w:cs="Times New Roman"/>
        </w:rPr>
        <w:t xml:space="preserve"> nabízí finanční podporu pro zajištění účinného</w:t>
      </w:r>
      <w:r w:rsidR="00810E14">
        <w:rPr>
          <w:rFonts w:cs="Times New Roman"/>
        </w:rPr>
        <w:t xml:space="preserve"> </w:t>
      </w:r>
      <w:r w:rsidR="00810E14" w:rsidRPr="00810E14">
        <w:rPr>
          <w:rFonts w:cs="Times New Roman"/>
        </w:rPr>
        <w:t>vyjádření názorů určité zájmové skupiny na evropské úrovni (např. zájmy</w:t>
      </w:r>
      <w:r w:rsidR="00810E14">
        <w:rPr>
          <w:rFonts w:cs="Times New Roman"/>
        </w:rPr>
        <w:t xml:space="preserve"> </w:t>
      </w:r>
      <w:r w:rsidR="00810E14" w:rsidRPr="00810E14">
        <w:rPr>
          <w:rFonts w:cs="Times New Roman"/>
        </w:rPr>
        <w:t>spotřebitelů, postižených občanů</w:t>
      </w:r>
      <w:r w:rsidR="00810E14">
        <w:rPr>
          <w:rFonts w:cs="Times New Roman"/>
        </w:rPr>
        <w:t>).</w:t>
      </w:r>
    </w:p>
    <w:p w:rsidR="00810E14" w:rsidRDefault="00B65971" w:rsidP="00810E14">
      <w:pPr>
        <w:rPr>
          <w:rFonts w:cs="Times New Roman"/>
        </w:rPr>
      </w:pPr>
      <w:r>
        <w:rPr>
          <w:rFonts w:cs="Times New Roman"/>
        </w:rPr>
        <w:t>3</w:t>
      </w:r>
      <w:r w:rsidR="00810E14">
        <w:rPr>
          <w:rFonts w:cs="Times New Roman"/>
        </w:rPr>
        <w:t>)</w:t>
      </w:r>
      <w:r w:rsidR="00E26884">
        <w:rPr>
          <w:rFonts w:cs="Times New Roman"/>
        </w:rPr>
        <w:t xml:space="preserve"> </w:t>
      </w:r>
      <w:r w:rsidR="00810E14" w:rsidRPr="00810E14">
        <w:rPr>
          <w:rFonts w:cs="Times New Roman"/>
        </w:rPr>
        <w:t>Zároveň by neměl být na evropské orgány vyvíjen přehnaný tlak nepřiměřeným</w:t>
      </w:r>
      <w:r w:rsidR="00810E14">
        <w:rPr>
          <w:rFonts w:cs="Times New Roman"/>
        </w:rPr>
        <w:t xml:space="preserve"> </w:t>
      </w:r>
      <w:r w:rsidR="00810E14" w:rsidRPr="00810E14">
        <w:rPr>
          <w:rFonts w:cs="Times New Roman"/>
        </w:rPr>
        <w:t>lobbováním</w:t>
      </w:r>
      <w:r w:rsidR="00810E14">
        <w:rPr>
          <w:rFonts w:cs="Times New Roman"/>
        </w:rPr>
        <w:t>.</w:t>
      </w:r>
    </w:p>
    <w:p w:rsidR="00E26884" w:rsidRDefault="00B65971" w:rsidP="00E26884">
      <w:pPr>
        <w:rPr>
          <w:rFonts w:cs="Times New Roman"/>
        </w:rPr>
      </w:pPr>
      <w:r>
        <w:rPr>
          <w:rFonts w:cs="Times New Roman"/>
        </w:rPr>
        <w:t>4</w:t>
      </w:r>
      <w:r w:rsidR="00810E14">
        <w:rPr>
          <w:rFonts w:cs="Times New Roman"/>
        </w:rPr>
        <w:t>) Pokud se lobbing</w:t>
      </w:r>
      <w:r w:rsidR="00810E14" w:rsidRPr="00810E14">
        <w:rPr>
          <w:rFonts w:cs="Times New Roman"/>
        </w:rPr>
        <w:t xml:space="preserve"> snaží přispět </w:t>
      </w:r>
      <w:r w:rsidRPr="00810E14">
        <w:rPr>
          <w:rFonts w:cs="Times New Roman"/>
        </w:rPr>
        <w:t>k</w:t>
      </w:r>
      <w:r w:rsidR="00053E6E">
        <w:rPr>
          <w:rFonts w:cs="Times New Roman"/>
        </w:rPr>
        <w:t xml:space="preserve"> </w:t>
      </w:r>
      <w:r w:rsidR="00810E14" w:rsidRPr="00810E14">
        <w:rPr>
          <w:rFonts w:cs="Times New Roman"/>
        </w:rPr>
        <w:t>rozvoji politiky EU, musí být</w:t>
      </w:r>
      <w:r w:rsidR="00810E14">
        <w:rPr>
          <w:rFonts w:cs="Times New Roman"/>
        </w:rPr>
        <w:t xml:space="preserve"> </w:t>
      </w:r>
      <w:r w:rsidR="00810E14" w:rsidRPr="00810E14">
        <w:rPr>
          <w:rFonts w:cs="Times New Roman"/>
        </w:rPr>
        <w:t>veřejnosti jasné, jaký přínos to pro evropské orgány má. Musí být také zřejmé, koh</w:t>
      </w:r>
      <w:r w:rsidR="00810E14">
        <w:rPr>
          <w:rFonts w:cs="Times New Roman"/>
        </w:rPr>
        <w:t xml:space="preserve">o lobbující skupiny </w:t>
      </w:r>
      <w:r w:rsidR="00810E14" w:rsidRPr="00810E14">
        <w:rPr>
          <w:rFonts w:cs="Times New Roman"/>
        </w:rPr>
        <w:t xml:space="preserve">zastupují, jaké je jejich poslání </w:t>
      </w:r>
      <w:r w:rsidRPr="00810E14">
        <w:rPr>
          <w:rFonts w:cs="Times New Roman"/>
        </w:rPr>
        <w:t>a</w:t>
      </w:r>
      <w:r w:rsidR="00053E6E">
        <w:rPr>
          <w:rFonts w:cs="Times New Roman"/>
        </w:rPr>
        <w:t xml:space="preserve"> </w:t>
      </w:r>
      <w:r w:rsidR="00810E14" w:rsidRPr="00810E14">
        <w:rPr>
          <w:rFonts w:cs="Times New Roman"/>
        </w:rPr>
        <w:t>odkud čerpají finanční prostředky</w:t>
      </w:r>
      <w:r w:rsidR="00E26884">
        <w:rPr>
          <w:rFonts w:cs="Times New Roman"/>
        </w:rPr>
        <w:t xml:space="preserve"> (</w:t>
      </w:r>
      <w:r w:rsidR="00826D72">
        <w:rPr>
          <w:rFonts w:cs="Times New Roman"/>
        </w:rPr>
        <w:t xml:space="preserve">Evropská Komise 2006: </w:t>
      </w:r>
      <w:r>
        <w:rPr>
          <w:rFonts w:cs="Times New Roman"/>
        </w:rPr>
        <w:t>5</w:t>
      </w:r>
      <w:r w:rsidR="00FA1299">
        <w:rPr>
          <w:rFonts w:cs="Times New Roman"/>
        </w:rPr>
        <w:t>).</w:t>
      </w:r>
    </w:p>
    <w:p w:rsidR="00495C8B" w:rsidRDefault="00176DD4" w:rsidP="00DC591C">
      <w:pPr>
        <w:rPr>
          <w:rFonts w:cs="Times New Roman"/>
        </w:rPr>
      </w:pPr>
      <w:r>
        <w:rPr>
          <w:rFonts w:cs="Times New Roman"/>
        </w:rPr>
        <w:t xml:space="preserve">Komise </w:t>
      </w:r>
      <w:r w:rsidR="00460E5A">
        <w:rPr>
          <w:rFonts w:cs="Times New Roman"/>
        </w:rPr>
        <w:t>již dříve definovala</w:t>
      </w:r>
      <w:r>
        <w:rPr>
          <w:rFonts w:cs="Times New Roman"/>
        </w:rPr>
        <w:t xml:space="preserve"> lobbing jako nástroj oboustranné otevřené komunikace, kter</w:t>
      </w:r>
      <w:r w:rsidR="00C655FB">
        <w:rPr>
          <w:rFonts w:cs="Times New Roman"/>
        </w:rPr>
        <w:t>ý</w:t>
      </w:r>
      <w:r>
        <w:rPr>
          <w:rFonts w:cs="Times New Roman"/>
        </w:rPr>
        <w:t xml:space="preserve"> může přispět </w:t>
      </w:r>
      <w:r w:rsidR="00B65971">
        <w:rPr>
          <w:rFonts w:cs="Times New Roman"/>
        </w:rPr>
        <w:t>k</w:t>
      </w:r>
      <w:r w:rsidR="00053E6E">
        <w:rPr>
          <w:rFonts w:cs="Times New Roman"/>
        </w:rPr>
        <w:t xml:space="preserve"> </w:t>
      </w:r>
      <w:r>
        <w:rPr>
          <w:rFonts w:cs="Times New Roman"/>
        </w:rPr>
        <w:t>dosažení konsensuálních řešení (E</w:t>
      </w:r>
      <w:r w:rsidR="00267229">
        <w:rPr>
          <w:rFonts w:cs="Times New Roman"/>
        </w:rPr>
        <w:t>vropská Komise</w:t>
      </w:r>
      <w:r>
        <w:rPr>
          <w:rFonts w:cs="Times New Roman"/>
        </w:rPr>
        <w:t xml:space="preserve"> 2001).</w:t>
      </w:r>
      <w:r w:rsidR="007153A8">
        <w:rPr>
          <w:rFonts w:cs="Times New Roman"/>
        </w:rPr>
        <w:t xml:space="preserve"> Tato definice lobbingu jako komunikačního nástroje je spojena </w:t>
      </w:r>
      <w:r w:rsidR="00B65971">
        <w:rPr>
          <w:rFonts w:cs="Times New Roman"/>
        </w:rPr>
        <w:t>s</w:t>
      </w:r>
      <w:r w:rsidR="00053E6E">
        <w:rPr>
          <w:rFonts w:cs="Times New Roman"/>
        </w:rPr>
        <w:t xml:space="preserve"> </w:t>
      </w:r>
      <w:r w:rsidR="0061253D">
        <w:rPr>
          <w:rFonts w:cs="Times New Roman"/>
        </w:rPr>
        <w:t xml:space="preserve">Lesterem </w:t>
      </w:r>
      <w:r w:rsidR="00B65971">
        <w:rPr>
          <w:rFonts w:cs="Times New Roman"/>
        </w:rPr>
        <w:t>W</w:t>
      </w:r>
      <w:r w:rsidR="0061253D">
        <w:rPr>
          <w:rFonts w:cs="Times New Roman"/>
        </w:rPr>
        <w:t>. Milbrathem,</w:t>
      </w:r>
      <w:r w:rsidR="009415C4">
        <w:rPr>
          <w:rFonts w:cs="Times New Roman"/>
        </w:rPr>
        <w:t xml:space="preserve"> </w:t>
      </w:r>
      <w:r w:rsidR="0061253D">
        <w:rPr>
          <w:rFonts w:cs="Times New Roman"/>
        </w:rPr>
        <w:t xml:space="preserve">podle něj tato komunikace nabývá </w:t>
      </w:r>
      <w:r w:rsidR="00267229">
        <w:rPr>
          <w:rFonts w:cs="Times New Roman"/>
        </w:rPr>
        <w:t>tří</w:t>
      </w:r>
      <w:r w:rsidR="0061253D">
        <w:rPr>
          <w:rFonts w:cs="Times New Roman"/>
        </w:rPr>
        <w:t xml:space="preserve"> podob:</w:t>
      </w:r>
      <w:r w:rsidR="00FA1299">
        <w:rPr>
          <w:rFonts w:cs="Times New Roman"/>
        </w:rPr>
        <w:t xml:space="preserve"> </w:t>
      </w:r>
      <w:r w:rsidR="0061253D">
        <w:rPr>
          <w:rFonts w:cs="Times New Roman"/>
        </w:rPr>
        <w:t xml:space="preserve">předkládání faktů, předkládání jednostranných argumentů </w:t>
      </w:r>
      <w:r w:rsidR="00B65971">
        <w:rPr>
          <w:rFonts w:cs="Times New Roman"/>
        </w:rPr>
        <w:t>a</w:t>
      </w:r>
      <w:r w:rsidR="008D1595">
        <w:rPr>
          <w:rFonts w:cs="Times New Roman"/>
        </w:rPr>
        <w:t> </w:t>
      </w:r>
      <w:r w:rsidR="0061253D">
        <w:rPr>
          <w:rFonts w:cs="Times New Roman"/>
        </w:rPr>
        <w:t>vlivu veřejného mínění nebo příspěvků na volební kampaň (Milbrat</w:t>
      </w:r>
      <w:r w:rsidR="00527333">
        <w:rPr>
          <w:rFonts w:cs="Times New Roman"/>
        </w:rPr>
        <w:t>h 1960: 35-36).</w:t>
      </w:r>
      <w:r w:rsidR="000D6512">
        <w:rPr>
          <w:rFonts w:cs="Times New Roman"/>
        </w:rPr>
        <w:t xml:space="preserve"> Jelikož </w:t>
      </w:r>
      <w:r w:rsidR="000D6512">
        <w:rPr>
          <w:rFonts w:cs="Times New Roman"/>
        </w:rPr>
        <w:lastRenderedPageBreak/>
        <w:t xml:space="preserve">mne zajímá vztah </w:t>
      </w:r>
      <w:r w:rsidR="00267229">
        <w:rPr>
          <w:rFonts w:cs="Times New Roman"/>
        </w:rPr>
        <w:t xml:space="preserve">Evropské </w:t>
      </w:r>
      <w:r w:rsidR="000D6512">
        <w:rPr>
          <w:rFonts w:cs="Times New Roman"/>
        </w:rPr>
        <w:t xml:space="preserve">Komise </w:t>
      </w:r>
      <w:r w:rsidR="00B65971">
        <w:rPr>
          <w:rFonts w:cs="Times New Roman"/>
        </w:rPr>
        <w:t>a</w:t>
      </w:r>
      <w:r w:rsidR="00053E6E">
        <w:rPr>
          <w:rFonts w:cs="Times New Roman"/>
        </w:rPr>
        <w:t xml:space="preserve"> </w:t>
      </w:r>
      <w:r w:rsidR="000D6512">
        <w:rPr>
          <w:rFonts w:cs="Times New Roman"/>
        </w:rPr>
        <w:t>zájmových skupi</w:t>
      </w:r>
      <w:r w:rsidR="009415C4">
        <w:rPr>
          <w:rFonts w:cs="Times New Roman"/>
        </w:rPr>
        <w:t>n</w:t>
      </w:r>
      <w:r w:rsidR="000D6512">
        <w:rPr>
          <w:rFonts w:cs="Times New Roman"/>
        </w:rPr>
        <w:t>, považuji výše zmíněnou kon</w:t>
      </w:r>
      <w:r w:rsidR="00A756F6">
        <w:rPr>
          <w:rFonts w:cs="Times New Roman"/>
        </w:rPr>
        <w:t>ce</w:t>
      </w:r>
      <w:r w:rsidR="000D6512">
        <w:rPr>
          <w:rFonts w:cs="Times New Roman"/>
        </w:rPr>
        <w:t>ptualizaci lobbingu za nejzásadnější pro mou práci.</w:t>
      </w:r>
    </w:p>
    <w:p w:rsidR="002F38CB" w:rsidRDefault="0020400C" w:rsidP="00DC591C">
      <w:pPr>
        <w:rPr>
          <w:rFonts w:cs="Times New Roman"/>
        </w:rPr>
      </w:pPr>
      <w:r>
        <w:rPr>
          <w:rFonts w:cs="Times New Roman"/>
        </w:rPr>
        <w:t>Než se posunu dále, považuju za podstatné učinit ještě krát</w:t>
      </w:r>
      <w:r w:rsidR="006D79E6">
        <w:rPr>
          <w:rFonts w:cs="Times New Roman"/>
        </w:rPr>
        <w:t>ké</w:t>
      </w:r>
      <w:r>
        <w:rPr>
          <w:rFonts w:cs="Times New Roman"/>
        </w:rPr>
        <w:t xml:space="preserve"> vymezení mezi lobbingem </w:t>
      </w:r>
      <w:r w:rsidR="00B65971">
        <w:rPr>
          <w:rFonts w:cs="Times New Roman"/>
        </w:rPr>
        <w:t>a</w:t>
      </w:r>
      <w:r w:rsidR="00053E6E">
        <w:rPr>
          <w:rFonts w:cs="Times New Roman"/>
        </w:rPr>
        <w:t xml:space="preserve"> </w:t>
      </w:r>
      <w:r>
        <w:rPr>
          <w:rFonts w:cs="Times New Roman"/>
        </w:rPr>
        <w:t xml:space="preserve">korupcí. </w:t>
      </w:r>
      <w:r w:rsidR="002217AB">
        <w:rPr>
          <w:rFonts w:cs="Times New Roman"/>
        </w:rPr>
        <w:t xml:space="preserve">Toto vymezení má svou podstatu, jelikož často </w:t>
      </w:r>
      <w:r w:rsidR="00F266DA">
        <w:rPr>
          <w:rFonts w:cs="Times New Roman"/>
        </w:rPr>
        <w:t xml:space="preserve">dochází </w:t>
      </w:r>
      <w:r w:rsidR="00B65971">
        <w:rPr>
          <w:rFonts w:cs="Times New Roman"/>
        </w:rPr>
        <w:t>k</w:t>
      </w:r>
      <w:r w:rsidR="00053E6E">
        <w:rPr>
          <w:rFonts w:cs="Times New Roman"/>
        </w:rPr>
        <w:t xml:space="preserve"> </w:t>
      </w:r>
      <w:r w:rsidR="002217AB">
        <w:rPr>
          <w:rFonts w:cs="Times New Roman"/>
        </w:rPr>
        <w:t>zaměňování těchto dvou pojmů</w:t>
      </w:r>
      <w:r w:rsidR="006D79E6">
        <w:rPr>
          <w:rFonts w:cs="Times New Roman"/>
        </w:rPr>
        <w:t xml:space="preserve"> </w:t>
      </w:r>
      <w:r w:rsidR="002217AB">
        <w:rPr>
          <w:rFonts w:cs="Times New Roman"/>
        </w:rPr>
        <w:t>(</w:t>
      </w:r>
      <w:r w:rsidR="002217AB" w:rsidRPr="00E37E9A">
        <w:rPr>
          <w:rFonts w:cs="Times New Roman"/>
        </w:rPr>
        <w:t>Giovannoni 2011</w:t>
      </w:r>
      <w:r w:rsidR="00E37E9A" w:rsidRPr="00E37E9A">
        <w:rPr>
          <w:rFonts w:cs="Times New Roman"/>
        </w:rPr>
        <w:t>:</w:t>
      </w:r>
      <w:r w:rsidR="00E37E9A">
        <w:rPr>
          <w:rFonts w:cs="Times New Roman"/>
        </w:rPr>
        <w:t xml:space="preserve"> </w:t>
      </w:r>
      <w:r w:rsidR="00E37E9A" w:rsidRPr="00E37E9A">
        <w:rPr>
          <w:rFonts w:cs="Times New Roman"/>
        </w:rPr>
        <w:t>12</w:t>
      </w:r>
      <w:r w:rsidR="002217AB">
        <w:rPr>
          <w:rFonts w:cs="Times New Roman"/>
        </w:rPr>
        <w:t>).</w:t>
      </w:r>
      <w:r w:rsidR="006D79E6">
        <w:rPr>
          <w:rFonts w:cs="Times New Roman"/>
        </w:rPr>
        <w:t xml:space="preserve"> </w:t>
      </w:r>
      <w:r w:rsidR="00B65971">
        <w:rPr>
          <w:rFonts w:cs="Times New Roman"/>
        </w:rPr>
        <w:t>K</w:t>
      </w:r>
      <w:r w:rsidR="00053E6E">
        <w:rPr>
          <w:rFonts w:cs="Times New Roman"/>
        </w:rPr>
        <w:t xml:space="preserve"> </w:t>
      </w:r>
      <w:r w:rsidR="006D79E6">
        <w:rPr>
          <w:rFonts w:cs="Times New Roman"/>
        </w:rPr>
        <w:t>tomu</w:t>
      </w:r>
      <w:r w:rsidR="002217AB">
        <w:rPr>
          <w:rFonts w:cs="Times New Roman"/>
        </w:rPr>
        <w:t xml:space="preserve"> často </w:t>
      </w:r>
      <w:r w:rsidR="006D79E6">
        <w:rPr>
          <w:rFonts w:cs="Times New Roman"/>
        </w:rPr>
        <w:t>dochází</w:t>
      </w:r>
      <w:r w:rsidR="002217AB">
        <w:rPr>
          <w:rFonts w:cs="Times New Roman"/>
        </w:rPr>
        <w:t xml:space="preserve"> </w:t>
      </w:r>
      <w:r w:rsidR="00B65971">
        <w:rPr>
          <w:rFonts w:cs="Times New Roman"/>
        </w:rPr>
        <w:t>v</w:t>
      </w:r>
      <w:r w:rsidR="00053E6E">
        <w:rPr>
          <w:rFonts w:cs="Times New Roman"/>
        </w:rPr>
        <w:t xml:space="preserve"> </w:t>
      </w:r>
      <w:r w:rsidR="002217AB">
        <w:rPr>
          <w:rFonts w:cs="Times New Roman"/>
        </w:rPr>
        <w:t xml:space="preserve">souvislosti </w:t>
      </w:r>
      <w:r w:rsidR="00B65971">
        <w:rPr>
          <w:rFonts w:cs="Times New Roman"/>
        </w:rPr>
        <w:t>s</w:t>
      </w:r>
      <w:r w:rsidR="00053E6E">
        <w:rPr>
          <w:rFonts w:cs="Times New Roman"/>
        </w:rPr>
        <w:t xml:space="preserve"> </w:t>
      </w:r>
      <w:r w:rsidR="002217AB">
        <w:rPr>
          <w:rFonts w:cs="Times New Roman"/>
        </w:rPr>
        <w:t xml:space="preserve">praktikami </w:t>
      </w:r>
      <w:r w:rsidR="00B65971">
        <w:rPr>
          <w:rFonts w:cs="Times New Roman"/>
        </w:rPr>
        <w:t>z</w:t>
      </w:r>
      <w:r w:rsidR="00053E6E">
        <w:rPr>
          <w:rFonts w:cs="Times New Roman"/>
        </w:rPr>
        <w:t xml:space="preserve"> </w:t>
      </w:r>
      <w:r w:rsidR="002217AB">
        <w:rPr>
          <w:rFonts w:cs="Times New Roman"/>
        </w:rPr>
        <w:t xml:space="preserve">minulosti, kdy byl ještě lobbing považován za prosazování zájmů jakýmkoliv způsobem (Vymětal 2010: 29). Zmatení může přetrvávat </w:t>
      </w:r>
      <w:r w:rsidR="00B65971">
        <w:rPr>
          <w:rFonts w:cs="Times New Roman"/>
        </w:rPr>
        <w:t>i</w:t>
      </w:r>
      <w:r w:rsidR="00053E6E">
        <w:rPr>
          <w:rFonts w:cs="Times New Roman"/>
        </w:rPr>
        <w:t xml:space="preserve"> </w:t>
      </w:r>
      <w:r w:rsidR="002217AB">
        <w:rPr>
          <w:rFonts w:cs="Times New Roman"/>
        </w:rPr>
        <w:t xml:space="preserve">dodnes, zejména díky tomu, že oba pojmy nemají úplně přesně stanovené hranice </w:t>
      </w:r>
      <w:r w:rsidR="00B65971">
        <w:rPr>
          <w:rFonts w:cs="Times New Roman"/>
        </w:rPr>
        <w:t>a</w:t>
      </w:r>
      <w:r w:rsidR="00053E6E">
        <w:rPr>
          <w:rFonts w:cs="Times New Roman"/>
        </w:rPr>
        <w:t xml:space="preserve"> </w:t>
      </w:r>
      <w:r w:rsidR="002217AB">
        <w:rPr>
          <w:rFonts w:cs="Times New Roman"/>
        </w:rPr>
        <w:t xml:space="preserve">definice. </w:t>
      </w:r>
      <w:r w:rsidR="00C655FB">
        <w:rPr>
          <w:rFonts w:cs="Times New Roman"/>
        </w:rPr>
        <w:t>Při</w:t>
      </w:r>
      <w:r w:rsidR="002217AB">
        <w:rPr>
          <w:rFonts w:cs="Times New Roman"/>
        </w:rPr>
        <w:t xml:space="preserve"> sna</w:t>
      </w:r>
      <w:r w:rsidR="00C655FB">
        <w:rPr>
          <w:rFonts w:cs="Times New Roman"/>
        </w:rPr>
        <w:t>ze</w:t>
      </w:r>
      <w:r w:rsidR="002217AB">
        <w:rPr>
          <w:rFonts w:cs="Times New Roman"/>
        </w:rPr>
        <w:t xml:space="preserve"> definovat</w:t>
      </w:r>
      <w:r w:rsidR="00E159F9">
        <w:rPr>
          <w:rFonts w:cs="Times New Roman"/>
        </w:rPr>
        <w:t xml:space="preserve"> korupci narazíme na podobný problém, jako </w:t>
      </w:r>
      <w:r w:rsidR="00B65971">
        <w:rPr>
          <w:rFonts w:cs="Times New Roman"/>
        </w:rPr>
        <w:t>u</w:t>
      </w:r>
      <w:r w:rsidR="00053E6E">
        <w:rPr>
          <w:rFonts w:cs="Times New Roman"/>
        </w:rPr>
        <w:t xml:space="preserve"> </w:t>
      </w:r>
      <w:r w:rsidR="00E159F9">
        <w:rPr>
          <w:rFonts w:cs="Times New Roman"/>
        </w:rPr>
        <w:t>lobbingu (</w:t>
      </w:r>
      <w:r w:rsidR="00F5321A">
        <w:rPr>
          <w:rFonts w:cs="Times New Roman"/>
        </w:rPr>
        <w:t>Tamtéž 2010</w:t>
      </w:r>
      <w:r w:rsidR="00E159F9">
        <w:rPr>
          <w:rFonts w:cs="Times New Roman"/>
        </w:rPr>
        <w:t>:</w:t>
      </w:r>
      <w:r w:rsidR="00F5321A">
        <w:rPr>
          <w:rFonts w:cs="Times New Roman"/>
        </w:rPr>
        <w:t xml:space="preserve"> </w:t>
      </w:r>
      <w:r w:rsidR="00E159F9">
        <w:rPr>
          <w:rFonts w:cs="Times New Roman"/>
        </w:rPr>
        <w:t xml:space="preserve">30). Za asi nejvhodnější lze považovat vymezení </w:t>
      </w:r>
      <w:r w:rsidR="00B65971">
        <w:rPr>
          <w:rFonts w:cs="Times New Roman"/>
        </w:rPr>
        <w:t>J</w:t>
      </w:r>
      <w:r w:rsidR="00E159F9">
        <w:rPr>
          <w:rFonts w:cs="Times New Roman"/>
        </w:rPr>
        <w:t xml:space="preserve">. </w:t>
      </w:r>
      <w:r w:rsidR="00B65971">
        <w:rPr>
          <w:rFonts w:cs="Times New Roman"/>
        </w:rPr>
        <w:t>S</w:t>
      </w:r>
      <w:r w:rsidR="00E159F9">
        <w:rPr>
          <w:rFonts w:cs="Times New Roman"/>
        </w:rPr>
        <w:t xml:space="preserve">. Nye tedy, že korupce je: </w:t>
      </w:r>
      <w:r w:rsidR="00E159F9">
        <w:rPr>
          <w:rFonts w:cs="Times New Roman"/>
          <w:i/>
        </w:rPr>
        <w:t xml:space="preserve">„zneužití postavení pro dosažení soukromého (rodinného, osobního nebo </w:t>
      </w:r>
      <w:r w:rsidR="00B65971">
        <w:rPr>
          <w:rFonts w:cs="Times New Roman"/>
          <w:i/>
        </w:rPr>
        <w:t>i</w:t>
      </w:r>
      <w:r w:rsidR="00053E6E">
        <w:rPr>
          <w:rFonts w:cs="Times New Roman"/>
          <w:i/>
        </w:rPr>
        <w:t xml:space="preserve"> </w:t>
      </w:r>
      <w:r w:rsidR="00E159F9">
        <w:rPr>
          <w:rFonts w:cs="Times New Roman"/>
          <w:i/>
        </w:rPr>
        <w:t>úzce skupinového) finančního, statusového nebo jiného zisku služeb či protislužeb“</w:t>
      </w:r>
      <w:r w:rsidR="00E159F9">
        <w:rPr>
          <w:rFonts w:cs="Times New Roman"/>
        </w:rPr>
        <w:t xml:space="preserve"> (</w:t>
      </w:r>
      <w:r w:rsidR="004514B3">
        <w:rPr>
          <w:rFonts w:cs="Times New Roman"/>
        </w:rPr>
        <w:t>Nye 1967: 419</w:t>
      </w:r>
      <w:r w:rsidR="00E159F9">
        <w:rPr>
          <w:rFonts w:cs="Times New Roman"/>
        </w:rPr>
        <w:t>)</w:t>
      </w:r>
      <w:r w:rsidR="004514B3">
        <w:rPr>
          <w:rFonts w:cs="Times New Roman"/>
        </w:rPr>
        <w:t xml:space="preserve">. </w:t>
      </w:r>
      <w:r w:rsidR="00B65971">
        <w:rPr>
          <w:rFonts w:cs="Times New Roman"/>
        </w:rPr>
        <w:t>V</w:t>
      </w:r>
      <w:r w:rsidR="00053E6E">
        <w:rPr>
          <w:rFonts w:cs="Times New Roman"/>
        </w:rPr>
        <w:t xml:space="preserve"> </w:t>
      </w:r>
      <w:r w:rsidR="004514B3">
        <w:rPr>
          <w:rFonts w:cs="Times New Roman"/>
        </w:rPr>
        <w:t xml:space="preserve">současné době je snaha </w:t>
      </w:r>
      <w:r w:rsidR="00B65971">
        <w:rPr>
          <w:rFonts w:cs="Times New Roman"/>
        </w:rPr>
        <w:t>o</w:t>
      </w:r>
      <w:r w:rsidR="00053E6E">
        <w:rPr>
          <w:rFonts w:cs="Times New Roman"/>
        </w:rPr>
        <w:t xml:space="preserve"> </w:t>
      </w:r>
      <w:r w:rsidR="004514B3">
        <w:rPr>
          <w:rFonts w:cs="Times New Roman"/>
        </w:rPr>
        <w:t xml:space="preserve">oddělení lobbingu </w:t>
      </w:r>
      <w:r w:rsidR="00B65971">
        <w:rPr>
          <w:rFonts w:cs="Times New Roman"/>
        </w:rPr>
        <w:t>a</w:t>
      </w:r>
      <w:r w:rsidR="008E17E4">
        <w:rPr>
          <w:rFonts w:cs="Times New Roman"/>
        </w:rPr>
        <w:t> </w:t>
      </w:r>
      <w:r w:rsidR="004514B3">
        <w:rPr>
          <w:rFonts w:cs="Times New Roman"/>
        </w:rPr>
        <w:t xml:space="preserve">korupce viditelná </w:t>
      </w:r>
      <w:r w:rsidR="00B65971">
        <w:rPr>
          <w:rFonts w:cs="Times New Roman"/>
        </w:rPr>
        <w:t>v</w:t>
      </w:r>
      <w:r w:rsidR="00053E6E">
        <w:rPr>
          <w:rFonts w:cs="Times New Roman"/>
        </w:rPr>
        <w:t xml:space="preserve"> </w:t>
      </w:r>
      <w:r w:rsidR="004514B3">
        <w:rPr>
          <w:rFonts w:cs="Times New Roman"/>
        </w:rPr>
        <w:t xml:space="preserve">postupech usilujících </w:t>
      </w:r>
      <w:r w:rsidR="00B65971">
        <w:rPr>
          <w:rFonts w:cs="Times New Roman"/>
        </w:rPr>
        <w:t>o</w:t>
      </w:r>
      <w:r w:rsidR="008D1595">
        <w:rPr>
          <w:rFonts w:cs="Times New Roman"/>
        </w:rPr>
        <w:t> </w:t>
      </w:r>
      <w:r w:rsidR="004514B3">
        <w:rPr>
          <w:rFonts w:cs="Times New Roman"/>
        </w:rPr>
        <w:t xml:space="preserve">větší transparentnost politických procesů </w:t>
      </w:r>
      <w:r w:rsidR="00B65971">
        <w:rPr>
          <w:rFonts w:cs="Times New Roman"/>
        </w:rPr>
        <w:t>a</w:t>
      </w:r>
      <w:r w:rsidR="008E17E4">
        <w:rPr>
          <w:rFonts w:cs="Times New Roman"/>
        </w:rPr>
        <w:t> </w:t>
      </w:r>
      <w:r w:rsidR="004514B3">
        <w:rPr>
          <w:rFonts w:cs="Times New Roman"/>
        </w:rPr>
        <w:t xml:space="preserve">veřejné správy. Kromě toho </w:t>
      </w:r>
      <w:r w:rsidR="00B65971">
        <w:rPr>
          <w:rFonts w:cs="Times New Roman"/>
        </w:rPr>
        <w:t>v</w:t>
      </w:r>
      <w:r w:rsidR="00053E6E">
        <w:rPr>
          <w:rFonts w:cs="Times New Roman"/>
        </w:rPr>
        <w:t xml:space="preserve"> </w:t>
      </w:r>
      <w:r w:rsidR="004514B3">
        <w:rPr>
          <w:rFonts w:cs="Times New Roman"/>
        </w:rPr>
        <w:t xml:space="preserve">mnoha státech </w:t>
      </w:r>
      <w:r w:rsidR="00B65971">
        <w:rPr>
          <w:rFonts w:cs="Times New Roman"/>
        </w:rPr>
        <w:t>a</w:t>
      </w:r>
      <w:r w:rsidR="008D1595">
        <w:rPr>
          <w:rFonts w:cs="Times New Roman"/>
        </w:rPr>
        <w:t> </w:t>
      </w:r>
      <w:r w:rsidR="004514B3">
        <w:rPr>
          <w:rFonts w:cs="Times New Roman"/>
        </w:rPr>
        <w:t xml:space="preserve">organizacích, jako je </w:t>
      </w:r>
      <w:r w:rsidR="00B65971">
        <w:rPr>
          <w:rFonts w:cs="Times New Roman"/>
        </w:rPr>
        <w:t>i</w:t>
      </w:r>
      <w:r w:rsidR="00053E6E">
        <w:rPr>
          <w:rFonts w:cs="Times New Roman"/>
        </w:rPr>
        <w:t xml:space="preserve"> </w:t>
      </w:r>
      <w:r w:rsidR="004514B3">
        <w:rPr>
          <w:rFonts w:cs="Times New Roman"/>
        </w:rPr>
        <w:t xml:space="preserve">EU dochází </w:t>
      </w:r>
      <w:r w:rsidR="00B65971">
        <w:rPr>
          <w:rFonts w:cs="Times New Roman"/>
        </w:rPr>
        <w:t>k</w:t>
      </w:r>
      <w:r w:rsidR="00053E6E">
        <w:rPr>
          <w:rFonts w:cs="Times New Roman"/>
        </w:rPr>
        <w:t xml:space="preserve"> </w:t>
      </w:r>
      <w:r w:rsidR="004514B3">
        <w:rPr>
          <w:rFonts w:cs="Times New Roman"/>
        </w:rPr>
        <w:t xml:space="preserve">právní regulaci lobbingu nebo </w:t>
      </w:r>
      <w:r w:rsidR="00B65971">
        <w:rPr>
          <w:rFonts w:cs="Times New Roman"/>
        </w:rPr>
        <w:t>k</w:t>
      </w:r>
      <w:r w:rsidR="00053E6E">
        <w:rPr>
          <w:rFonts w:cs="Times New Roman"/>
        </w:rPr>
        <w:t xml:space="preserve"> </w:t>
      </w:r>
      <w:r w:rsidR="004514B3">
        <w:rPr>
          <w:rFonts w:cs="Times New Roman"/>
        </w:rPr>
        <w:t xml:space="preserve">samoregulaci </w:t>
      </w:r>
      <w:r w:rsidR="00B65971">
        <w:rPr>
          <w:rFonts w:cs="Times New Roman"/>
        </w:rPr>
        <w:t>v</w:t>
      </w:r>
      <w:r w:rsidR="00053E6E">
        <w:rPr>
          <w:rFonts w:cs="Times New Roman"/>
        </w:rPr>
        <w:t xml:space="preserve"> </w:t>
      </w:r>
      <w:r w:rsidR="004514B3">
        <w:rPr>
          <w:rFonts w:cs="Times New Roman"/>
        </w:rPr>
        <w:t>podobě etických kodexů (Vymětal 2010</w:t>
      </w:r>
      <w:r w:rsidR="009415C4">
        <w:rPr>
          <w:rFonts w:cs="Times New Roman"/>
        </w:rPr>
        <w:t>:</w:t>
      </w:r>
      <w:r w:rsidR="004514B3">
        <w:rPr>
          <w:rFonts w:cs="Times New Roman"/>
        </w:rPr>
        <w:t xml:space="preserve"> 31). </w:t>
      </w:r>
      <w:r w:rsidR="00B65971">
        <w:rPr>
          <w:rFonts w:cs="Times New Roman"/>
        </w:rPr>
        <w:t>I</w:t>
      </w:r>
      <w:r w:rsidR="00053E6E">
        <w:rPr>
          <w:rFonts w:cs="Times New Roman"/>
        </w:rPr>
        <w:t xml:space="preserve"> </w:t>
      </w:r>
      <w:r w:rsidR="002F38CB">
        <w:rPr>
          <w:rFonts w:cs="Times New Roman"/>
        </w:rPr>
        <w:t xml:space="preserve">přes určité podobnosti tedy lze konstatovat, že lobbing </w:t>
      </w:r>
      <w:r w:rsidR="00B65971">
        <w:rPr>
          <w:rFonts w:cs="Times New Roman"/>
        </w:rPr>
        <w:t>a</w:t>
      </w:r>
      <w:r w:rsidR="00053E6E">
        <w:rPr>
          <w:rFonts w:cs="Times New Roman"/>
        </w:rPr>
        <w:t xml:space="preserve"> </w:t>
      </w:r>
      <w:r w:rsidR="002F38CB">
        <w:rPr>
          <w:rFonts w:cs="Times New Roman"/>
        </w:rPr>
        <w:t xml:space="preserve">korupce se od sebe liší především pokud jde </w:t>
      </w:r>
      <w:r w:rsidR="00B65971">
        <w:rPr>
          <w:rFonts w:cs="Times New Roman"/>
        </w:rPr>
        <w:t>o</w:t>
      </w:r>
      <w:r w:rsidR="00053E6E">
        <w:rPr>
          <w:rFonts w:cs="Times New Roman"/>
        </w:rPr>
        <w:t xml:space="preserve"> </w:t>
      </w:r>
      <w:r w:rsidR="002F38CB">
        <w:rPr>
          <w:rFonts w:cs="Times New Roman"/>
        </w:rPr>
        <w:t>jejich legitimitu (</w:t>
      </w:r>
      <w:r w:rsidR="00F5321A">
        <w:rPr>
          <w:rFonts w:cs="Times New Roman"/>
        </w:rPr>
        <w:t>Tamtéž 2010</w:t>
      </w:r>
      <w:r w:rsidR="002F38CB">
        <w:rPr>
          <w:rFonts w:cs="Times New Roman"/>
        </w:rPr>
        <w:t>: 32).</w:t>
      </w:r>
    </w:p>
    <w:p w:rsidR="00F266DA" w:rsidRPr="004E7A9B" w:rsidRDefault="00393D39" w:rsidP="00DC591C">
      <w:pPr>
        <w:rPr>
          <w:rFonts w:cs="Times New Roman"/>
        </w:rPr>
      </w:pPr>
      <w:r>
        <w:rPr>
          <w:rFonts w:cs="Times New Roman"/>
        </w:rPr>
        <w:t xml:space="preserve">Krátce je ještě potřeba vymezit pojem zájmová skupina, </w:t>
      </w:r>
      <w:r w:rsidR="00B049FA">
        <w:rPr>
          <w:rFonts w:cs="Times New Roman"/>
        </w:rPr>
        <w:t xml:space="preserve">který se </w:t>
      </w:r>
      <w:r w:rsidR="00B65971">
        <w:rPr>
          <w:rFonts w:cs="Times New Roman"/>
        </w:rPr>
        <w:t>v</w:t>
      </w:r>
      <w:r w:rsidR="00053E6E">
        <w:rPr>
          <w:rFonts w:cs="Times New Roman"/>
        </w:rPr>
        <w:t xml:space="preserve"> </w:t>
      </w:r>
      <w:r w:rsidR="00B049FA">
        <w:rPr>
          <w:rFonts w:cs="Times New Roman"/>
        </w:rPr>
        <w:t>mé práci taktéž vyskytuje.</w:t>
      </w:r>
      <w:r w:rsidR="008B1FD6">
        <w:rPr>
          <w:rFonts w:cs="Times New Roman"/>
        </w:rPr>
        <w:t xml:space="preserve"> </w:t>
      </w:r>
      <w:r w:rsidR="00B049FA">
        <w:rPr>
          <w:rFonts w:cs="Times New Roman"/>
        </w:rPr>
        <w:t xml:space="preserve">Na rozdíl od problematiky politických stran se </w:t>
      </w:r>
      <w:r w:rsidR="00B65971">
        <w:rPr>
          <w:rFonts w:cs="Times New Roman"/>
        </w:rPr>
        <w:t>u</w:t>
      </w:r>
      <w:r w:rsidR="00053E6E">
        <w:rPr>
          <w:rFonts w:cs="Times New Roman"/>
        </w:rPr>
        <w:t xml:space="preserve"> </w:t>
      </w:r>
      <w:r w:rsidR="00B049FA">
        <w:rPr>
          <w:rFonts w:cs="Times New Roman"/>
        </w:rPr>
        <w:t xml:space="preserve">zájmových skupin setkáme </w:t>
      </w:r>
      <w:r w:rsidR="00B65971">
        <w:rPr>
          <w:rFonts w:cs="Times New Roman"/>
        </w:rPr>
        <w:t>s</w:t>
      </w:r>
      <w:r w:rsidR="008D1595">
        <w:rPr>
          <w:rFonts w:cs="Times New Roman"/>
        </w:rPr>
        <w:t> </w:t>
      </w:r>
      <w:r w:rsidR="00B049FA">
        <w:rPr>
          <w:rFonts w:cs="Times New Roman"/>
        </w:rPr>
        <w:t xml:space="preserve">poměrně malým množstvím definic (Fiala 1999: 52). Až příliš často se navíc hledí na to, zda zájmové skupiny prosazují politické požadavky, což vede </w:t>
      </w:r>
      <w:r w:rsidR="00B65971">
        <w:rPr>
          <w:rFonts w:cs="Times New Roman"/>
        </w:rPr>
        <w:t>k</w:t>
      </w:r>
      <w:r w:rsidR="00053E6E">
        <w:rPr>
          <w:rFonts w:cs="Times New Roman"/>
        </w:rPr>
        <w:t xml:space="preserve"> </w:t>
      </w:r>
      <w:r w:rsidR="00B049FA">
        <w:rPr>
          <w:rFonts w:cs="Times New Roman"/>
        </w:rPr>
        <w:t>nepřesným definicím (</w:t>
      </w:r>
      <w:r w:rsidR="00267229">
        <w:rPr>
          <w:rFonts w:cs="Times New Roman"/>
        </w:rPr>
        <w:t>Tamtéž</w:t>
      </w:r>
      <w:r w:rsidR="00B049FA">
        <w:rPr>
          <w:rFonts w:cs="Times New Roman"/>
        </w:rPr>
        <w:t xml:space="preserve"> 1999: 54). Za asi ne</w:t>
      </w:r>
      <w:r w:rsidR="004E7A9B">
        <w:rPr>
          <w:rFonts w:cs="Times New Roman"/>
        </w:rPr>
        <w:t>j</w:t>
      </w:r>
      <w:r w:rsidR="00B049FA">
        <w:rPr>
          <w:rFonts w:cs="Times New Roman"/>
        </w:rPr>
        <w:t>přesnější definici lze považovat tu od Ulricha von Alemanna</w:t>
      </w:r>
      <w:r w:rsidR="004E7A9B">
        <w:rPr>
          <w:rFonts w:cs="Times New Roman"/>
        </w:rPr>
        <w:t>, která definuje zájmové skupiny jako „</w:t>
      </w:r>
      <w:r w:rsidR="004E7A9B">
        <w:rPr>
          <w:rFonts w:cs="Times New Roman"/>
          <w:i/>
        </w:rPr>
        <w:t xml:space="preserve">dobrovolně utvářené sociální jednotky </w:t>
      </w:r>
      <w:r w:rsidR="00B65971">
        <w:rPr>
          <w:rFonts w:cs="Times New Roman"/>
          <w:i/>
        </w:rPr>
        <w:t>s</w:t>
      </w:r>
      <w:r w:rsidR="00053E6E">
        <w:rPr>
          <w:rFonts w:cs="Times New Roman"/>
          <w:i/>
        </w:rPr>
        <w:t xml:space="preserve"> </w:t>
      </w:r>
      <w:r w:rsidR="004E7A9B">
        <w:rPr>
          <w:rFonts w:cs="Times New Roman"/>
          <w:i/>
        </w:rPr>
        <w:t xml:space="preserve">určitými cíli </w:t>
      </w:r>
      <w:r w:rsidR="00B65971">
        <w:rPr>
          <w:rFonts w:cs="Times New Roman"/>
          <w:i/>
        </w:rPr>
        <w:t>a</w:t>
      </w:r>
      <w:r w:rsidR="00053E6E">
        <w:rPr>
          <w:rFonts w:cs="Times New Roman"/>
          <w:i/>
        </w:rPr>
        <w:t xml:space="preserve"> </w:t>
      </w:r>
      <w:r w:rsidR="00B65971">
        <w:rPr>
          <w:rFonts w:cs="Times New Roman"/>
          <w:i/>
        </w:rPr>
        <w:t>s</w:t>
      </w:r>
      <w:r w:rsidR="00053E6E">
        <w:rPr>
          <w:rFonts w:cs="Times New Roman"/>
          <w:i/>
        </w:rPr>
        <w:t xml:space="preserve"> </w:t>
      </w:r>
      <w:r w:rsidR="004E7A9B">
        <w:rPr>
          <w:rFonts w:cs="Times New Roman"/>
          <w:i/>
        </w:rPr>
        <w:t xml:space="preserve">určitým – na dělbě práce spočívajícím – vnitřním členěním, které se snaží uskutečnit individuální, materiální </w:t>
      </w:r>
      <w:r w:rsidR="00B65971">
        <w:rPr>
          <w:rFonts w:cs="Times New Roman"/>
          <w:i/>
        </w:rPr>
        <w:t>a</w:t>
      </w:r>
      <w:r w:rsidR="00053E6E">
        <w:rPr>
          <w:rFonts w:cs="Times New Roman"/>
          <w:i/>
        </w:rPr>
        <w:t xml:space="preserve"> </w:t>
      </w:r>
      <w:r w:rsidR="004E7A9B">
        <w:rPr>
          <w:rFonts w:cs="Times New Roman"/>
          <w:i/>
        </w:rPr>
        <w:t xml:space="preserve">ideové zájmy svých členů ve smyslu potřeb, užitku </w:t>
      </w:r>
      <w:r w:rsidR="00B65971">
        <w:rPr>
          <w:rFonts w:cs="Times New Roman"/>
          <w:i/>
        </w:rPr>
        <w:t>a</w:t>
      </w:r>
      <w:r w:rsidR="00053E6E">
        <w:rPr>
          <w:rFonts w:cs="Times New Roman"/>
          <w:i/>
        </w:rPr>
        <w:t xml:space="preserve"> </w:t>
      </w:r>
      <w:r w:rsidR="004E7A9B">
        <w:rPr>
          <w:rFonts w:cs="Times New Roman"/>
          <w:i/>
        </w:rPr>
        <w:t xml:space="preserve">ospravedlnění, příčemž to dělají uvnitř malé jednotky </w:t>
      </w:r>
      <w:r w:rsidR="00B65971">
        <w:rPr>
          <w:rFonts w:cs="Times New Roman"/>
          <w:i/>
        </w:rPr>
        <w:t>a </w:t>
      </w:r>
      <w:r w:rsidR="004E7A9B">
        <w:rPr>
          <w:rFonts w:cs="Times New Roman"/>
          <w:i/>
        </w:rPr>
        <w:t xml:space="preserve">/nebo vůči skupinám, organizacím </w:t>
      </w:r>
      <w:r w:rsidR="00B65971">
        <w:rPr>
          <w:rFonts w:cs="Times New Roman"/>
          <w:i/>
        </w:rPr>
        <w:t>a</w:t>
      </w:r>
      <w:r w:rsidR="00053E6E">
        <w:rPr>
          <w:rFonts w:cs="Times New Roman"/>
          <w:i/>
        </w:rPr>
        <w:t xml:space="preserve"> </w:t>
      </w:r>
      <w:r w:rsidR="004E7A9B">
        <w:rPr>
          <w:rFonts w:cs="Times New Roman"/>
          <w:i/>
        </w:rPr>
        <w:t xml:space="preserve">institucím </w:t>
      </w:r>
      <w:r w:rsidR="004E7A9B">
        <w:rPr>
          <w:rFonts w:cs="Times New Roman"/>
        </w:rPr>
        <w:t>(Alemann</w:t>
      </w:r>
      <w:r w:rsidR="00506260">
        <w:rPr>
          <w:rFonts w:cs="Times New Roman"/>
        </w:rPr>
        <w:t xml:space="preserve"> 1987: 30</w:t>
      </w:r>
      <w:r w:rsidR="004E7A9B">
        <w:rPr>
          <w:rFonts w:cs="Times New Roman"/>
        </w:rPr>
        <w:t xml:space="preserve">). </w:t>
      </w:r>
      <w:r w:rsidR="00506260">
        <w:rPr>
          <w:rFonts w:cs="Times New Roman"/>
        </w:rPr>
        <w:t xml:space="preserve">Výhodou této definice je to, že je dostatečně široká aby zahrnula velké spektrum zájmových skupin </w:t>
      </w:r>
      <w:r w:rsidR="00B65971">
        <w:rPr>
          <w:rFonts w:cs="Times New Roman"/>
        </w:rPr>
        <w:t>a</w:t>
      </w:r>
      <w:r w:rsidR="00053E6E">
        <w:rPr>
          <w:rFonts w:cs="Times New Roman"/>
        </w:rPr>
        <w:t xml:space="preserve"> </w:t>
      </w:r>
      <w:r w:rsidR="00506260">
        <w:rPr>
          <w:rFonts w:cs="Times New Roman"/>
        </w:rPr>
        <w:t xml:space="preserve">také je postupně vystavěna, Alemann začíná chápáním organizace, pak se věnuje pojmu zájem </w:t>
      </w:r>
      <w:r w:rsidR="00B65971">
        <w:rPr>
          <w:rFonts w:cs="Times New Roman"/>
        </w:rPr>
        <w:t>a</w:t>
      </w:r>
      <w:r w:rsidR="008D1595">
        <w:rPr>
          <w:rFonts w:cs="Times New Roman"/>
        </w:rPr>
        <w:t> </w:t>
      </w:r>
      <w:r w:rsidR="00506260">
        <w:rPr>
          <w:rFonts w:cs="Times New Roman"/>
        </w:rPr>
        <w:t>teprve na tomto základu nabízí svou definici organizovaných zájmů (Fiala 1999: 57).</w:t>
      </w:r>
    </w:p>
    <w:p w:rsidR="002F38CB" w:rsidRDefault="002F38CB" w:rsidP="00DC591C">
      <w:pPr>
        <w:rPr>
          <w:rFonts w:cs="Times New Roman"/>
        </w:rPr>
      </w:pPr>
    </w:p>
    <w:p w:rsidR="002F38CB" w:rsidRPr="003330F5" w:rsidRDefault="00B65971" w:rsidP="003330F5">
      <w:pPr>
        <w:pStyle w:val="Heading2"/>
      </w:pPr>
      <w:bookmarkStart w:id="4" w:name="_Toc7414193"/>
      <w:r>
        <w:lastRenderedPageBreak/>
        <w:t>1</w:t>
      </w:r>
      <w:r w:rsidR="002F38CB">
        <w:t>.</w:t>
      </w:r>
      <w:r>
        <w:t>2</w:t>
      </w:r>
      <w:r w:rsidR="00053E6E">
        <w:t xml:space="preserve"> </w:t>
      </w:r>
      <w:r w:rsidR="002F38CB">
        <w:t xml:space="preserve">Základní teoretické přístupy </w:t>
      </w:r>
      <w:r>
        <w:t>k</w:t>
      </w:r>
      <w:r w:rsidR="00053E6E">
        <w:t xml:space="preserve"> </w:t>
      </w:r>
      <w:r w:rsidR="002F38CB">
        <w:t>lobbingu</w:t>
      </w:r>
      <w:bookmarkEnd w:id="4"/>
    </w:p>
    <w:p w:rsidR="00DE0519" w:rsidRDefault="00840D04" w:rsidP="00DC591C">
      <w:pPr>
        <w:rPr>
          <w:rFonts w:cs="Times New Roman"/>
        </w:rPr>
      </w:pPr>
      <w:r>
        <w:rPr>
          <w:rFonts w:cs="Times New Roman"/>
        </w:rPr>
        <w:t xml:space="preserve">Jak již bylo napsáno </w:t>
      </w:r>
      <w:r w:rsidR="00B65971">
        <w:rPr>
          <w:rFonts w:cs="Times New Roman"/>
        </w:rPr>
        <w:t>v</w:t>
      </w:r>
      <w:r w:rsidR="00053E6E">
        <w:rPr>
          <w:rFonts w:cs="Times New Roman"/>
        </w:rPr>
        <w:t xml:space="preserve"> </w:t>
      </w:r>
      <w:r>
        <w:rPr>
          <w:rFonts w:cs="Times New Roman"/>
        </w:rPr>
        <w:t>úvodu mé práce, hlavní teor</w:t>
      </w:r>
      <w:r w:rsidR="00547DC8">
        <w:rPr>
          <w:rFonts w:cs="Times New Roman"/>
        </w:rPr>
        <w:t>ií</w:t>
      </w:r>
      <w:r>
        <w:rPr>
          <w:rFonts w:cs="Times New Roman"/>
        </w:rPr>
        <w:t xml:space="preserve"> se kter</w:t>
      </w:r>
      <w:r w:rsidR="00547DC8">
        <w:rPr>
          <w:rFonts w:cs="Times New Roman"/>
        </w:rPr>
        <w:t>ou</w:t>
      </w:r>
      <w:r>
        <w:rPr>
          <w:rFonts w:cs="Times New Roman"/>
        </w:rPr>
        <w:t xml:space="preserve"> budu pracovat je Bouwenova teorie přístupu. </w:t>
      </w:r>
      <w:r w:rsidR="00547DC8">
        <w:rPr>
          <w:rFonts w:cs="Times New Roman"/>
        </w:rPr>
        <w:t xml:space="preserve">Jak sám Pieter Bouwen ale poznamenává, jeho teorie nestojí úplně sama </w:t>
      </w:r>
      <w:r w:rsidR="00B65971">
        <w:rPr>
          <w:rFonts w:cs="Times New Roman"/>
        </w:rPr>
        <w:t>o</w:t>
      </w:r>
      <w:r w:rsidR="00053E6E">
        <w:rPr>
          <w:rFonts w:cs="Times New Roman"/>
        </w:rPr>
        <w:t xml:space="preserve"> </w:t>
      </w:r>
      <w:r w:rsidR="00547DC8">
        <w:rPr>
          <w:rFonts w:cs="Times New Roman"/>
        </w:rPr>
        <w:t xml:space="preserve">sobě, nýbrž vychází </w:t>
      </w:r>
      <w:r w:rsidR="00B65971">
        <w:rPr>
          <w:rFonts w:cs="Times New Roman"/>
        </w:rPr>
        <w:t>z</w:t>
      </w:r>
      <w:r w:rsidR="00053E6E">
        <w:rPr>
          <w:rFonts w:cs="Times New Roman"/>
        </w:rPr>
        <w:t xml:space="preserve"> </w:t>
      </w:r>
      <w:r w:rsidR="00547DC8">
        <w:rPr>
          <w:rFonts w:cs="Times New Roman"/>
        </w:rPr>
        <w:t xml:space="preserve">dalších teoretických přístupů, které byly využity při </w:t>
      </w:r>
      <w:r w:rsidR="00D46DCE">
        <w:rPr>
          <w:rFonts w:cs="Times New Roman"/>
        </w:rPr>
        <w:t xml:space="preserve">její </w:t>
      </w:r>
      <w:r w:rsidR="00DE0519">
        <w:rPr>
          <w:rFonts w:cs="Times New Roman"/>
        </w:rPr>
        <w:t>tvorbě</w:t>
      </w:r>
      <w:r w:rsidR="00547DC8">
        <w:rPr>
          <w:rFonts w:cs="Times New Roman"/>
        </w:rPr>
        <w:t xml:space="preserve"> </w:t>
      </w:r>
      <w:r w:rsidR="00B65971">
        <w:rPr>
          <w:rFonts w:cs="Times New Roman"/>
        </w:rPr>
        <w:t>a</w:t>
      </w:r>
      <w:r w:rsidR="008D1595">
        <w:rPr>
          <w:rFonts w:cs="Times New Roman"/>
        </w:rPr>
        <w:t> </w:t>
      </w:r>
      <w:r w:rsidR="00547DC8">
        <w:rPr>
          <w:rFonts w:cs="Times New Roman"/>
        </w:rPr>
        <w:t>se kterými spolupracuje</w:t>
      </w:r>
      <w:r w:rsidR="004E3007">
        <w:rPr>
          <w:rFonts w:cs="Times New Roman"/>
        </w:rPr>
        <w:t>.</w:t>
      </w:r>
      <w:r w:rsidR="00DE0519">
        <w:rPr>
          <w:rFonts w:cs="Times New Roman"/>
        </w:rPr>
        <w:t xml:space="preserve"> </w:t>
      </w:r>
      <w:r w:rsidR="004E3007">
        <w:rPr>
          <w:rFonts w:cs="Times New Roman"/>
        </w:rPr>
        <w:t xml:space="preserve">Jako mnoho dalších prací týkajících se lobbingu </w:t>
      </w:r>
      <w:r w:rsidR="00B65971">
        <w:rPr>
          <w:rFonts w:cs="Times New Roman"/>
        </w:rPr>
        <w:t>i</w:t>
      </w:r>
      <w:r w:rsidR="00053E6E">
        <w:rPr>
          <w:rFonts w:cs="Times New Roman"/>
        </w:rPr>
        <w:t xml:space="preserve"> </w:t>
      </w:r>
      <w:r w:rsidR="004E3007">
        <w:rPr>
          <w:rFonts w:cs="Times New Roman"/>
        </w:rPr>
        <w:t xml:space="preserve">ta Bouwenova vychází ze dvou základních teorií spojovaných </w:t>
      </w:r>
      <w:r w:rsidR="00B65971">
        <w:rPr>
          <w:rFonts w:cs="Times New Roman"/>
        </w:rPr>
        <w:t>s</w:t>
      </w:r>
      <w:r w:rsidR="00053E6E">
        <w:rPr>
          <w:rFonts w:cs="Times New Roman"/>
        </w:rPr>
        <w:t xml:space="preserve"> </w:t>
      </w:r>
      <w:r w:rsidR="004E3007">
        <w:rPr>
          <w:rFonts w:cs="Times New Roman"/>
        </w:rPr>
        <w:t>působením zájmových skupin, kon</w:t>
      </w:r>
      <w:r w:rsidR="00DE0519">
        <w:rPr>
          <w:rFonts w:cs="Times New Roman"/>
        </w:rPr>
        <w:t>k</w:t>
      </w:r>
      <w:r w:rsidR="004E3007">
        <w:rPr>
          <w:rFonts w:cs="Times New Roman"/>
        </w:rPr>
        <w:t xml:space="preserve">rétně jde </w:t>
      </w:r>
      <w:r w:rsidR="00B65971">
        <w:rPr>
          <w:rFonts w:cs="Times New Roman"/>
        </w:rPr>
        <w:t>o</w:t>
      </w:r>
      <w:r w:rsidR="00053E6E">
        <w:rPr>
          <w:rFonts w:cs="Times New Roman"/>
        </w:rPr>
        <w:t xml:space="preserve"> </w:t>
      </w:r>
      <w:r w:rsidR="004E3007">
        <w:rPr>
          <w:rFonts w:cs="Times New Roman"/>
        </w:rPr>
        <w:t xml:space="preserve">pluralismus </w:t>
      </w:r>
      <w:r w:rsidR="00B65971">
        <w:rPr>
          <w:rFonts w:cs="Times New Roman"/>
        </w:rPr>
        <w:t>a</w:t>
      </w:r>
      <w:r w:rsidR="00053E6E">
        <w:rPr>
          <w:rFonts w:cs="Times New Roman"/>
        </w:rPr>
        <w:t xml:space="preserve"> </w:t>
      </w:r>
      <w:r w:rsidR="004E3007">
        <w:rPr>
          <w:rFonts w:cs="Times New Roman"/>
        </w:rPr>
        <w:t>korporativismus/neokorporativismus</w:t>
      </w:r>
      <w:r w:rsidR="00EB5916">
        <w:rPr>
          <w:rFonts w:cs="Times New Roman"/>
        </w:rPr>
        <w:t xml:space="preserve"> </w:t>
      </w:r>
      <w:r w:rsidR="00547DC8">
        <w:rPr>
          <w:rFonts w:cs="Times New Roman"/>
        </w:rPr>
        <w:t>(Bouwen 2002: 366).</w:t>
      </w:r>
      <w:r w:rsidR="008D1595">
        <w:rPr>
          <w:rFonts w:cs="Times New Roman"/>
        </w:rPr>
        <w:t xml:space="preserve"> </w:t>
      </w:r>
      <w:r w:rsidR="00547DC8">
        <w:rPr>
          <w:rFonts w:cs="Times New Roman"/>
        </w:rPr>
        <w:t>Dále</w:t>
      </w:r>
      <w:r w:rsidR="008D1595">
        <w:rPr>
          <w:rFonts w:cs="Times New Roman"/>
        </w:rPr>
        <w:t xml:space="preserve"> </w:t>
      </w:r>
      <w:r w:rsidR="00547DC8">
        <w:rPr>
          <w:rFonts w:cs="Times New Roman"/>
        </w:rPr>
        <w:t xml:space="preserve">využil </w:t>
      </w:r>
      <w:r w:rsidR="004E3007">
        <w:rPr>
          <w:rFonts w:cs="Times New Roman"/>
        </w:rPr>
        <w:t xml:space="preserve">původně </w:t>
      </w:r>
      <w:r w:rsidR="00547DC8">
        <w:rPr>
          <w:rFonts w:cs="Times New Roman"/>
        </w:rPr>
        <w:t>sociologick</w:t>
      </w:r>
      <w:r w:rsidR="004E3007">
        <w:rPr>
          <w:rFonts w:cs="Times New Roman"/>
        </w:rPr>
        <w:t>ou</w:t>
      </w:r>
      <w:r w:rsidR="00B6062F">
        <w:rPr>
          <w:rFonts w:cs="Times New Roman"/>
        </w:rPr>
        <w:t>,</w:t>
      </w:r>
      <w:r w:rsidR="00547DC8">
        <w:rPr>
          <w:rFonts w:cs="Times New Roman"/>
        </w:rPr>
        <w:t xml:space="preserve"> tzv. exchange teori</w:t>
      </w:r>
      <w:r w:rsidR="004E3007">
        <w:rPr>
          <w:rFonts w:cs="Times New Roman"/>
        </w:rPr>
        <w:t>i</w:t>
      </w:r>
      <w:r w:rsidR="00547DC8">
        <w:rPr>
          <w:rFonts w:cs="Times New Roman"/>
        </w:rPr>
        <w:t xml:space="preserve"> </w:t>
      </w:r>
      <w:r w:rsidR="00B65971">
        <w:rPr>
          <w:rFonts w:cs="Times New Roman"/>
        </w:rPr>
        <w:t>a</w:t>
      </w:r>
      <w:r w:rsidR="00053E6E">
        <w:rPr>
          <w:rFonts w:cs="Times New Roman"/>
        </w:rPr>
        <w:t xml:space="preserve"> </w:t>
      </w:r>
      <w:r w:rsidR="00547DC8">
        <w:rPr>
          <w:rFonts w:cs="Times New Roman"/>
        </w:rPr>
        <w:t>také resource dependency teori</w:t>
      </w:r>
      <w:r w:rsidR="004E3007">
        <w:rPr>
          <w:rFonts w:cs="Times New Roman"/>
        </w:rPr>
        <w:t>i</w:t>
      </w:r>
      <w:r w:rsidR="00B6062F">
        <w:rPr>
          <w:rFonts w:cs="Times New Roman"/>
        </w:rPr>
        <w:t xml:space="preserve">. Právě kombinace těchto teorií byla nejvíce přínosná pro jeho práci </w:t>
      </w:r>
      <w:r w:rsidR="00267229">
        <w:rPr>
          <w:rFonts w:cs="Times New Roman"/>
        </w:rPr>
        <w:t>(Tamtéž</w:t>
      </w:r>
      <w:r w:rsidR="00B6062F">
        <w:rPr>
          <w:rFonts w:cs="Times New Roman"/>
        </w:rPr>
        <w:t xml:space="preserve"> 2002: 367).</w:t>
      </w:r>
      <w:r w:rsidR="00DE0519">
        <w:rPr>
          <w:rFonts w:cs="Times New Roman"/>
        </w:rPr>
        <w:t xml:space="preserve"> </w:t>
      </w:r>
      <w:r w:rsidR="00A756F6">
        <w:rPr>
          <w:rFonts w:cs="Times New Roman"/>
        </w:rPr>
        <w:t>Z</w:t>
      </w:r>
      <w:r w:rsidR="005921E6">
        <w:rPr>
          <w:rFonts w:cs="Times New Roman"/>
        </w:rPr>
        <w:t xml:space="preserve">vlášť poslední dvě jmenované teorie </w:t>
      </w:r>
      <w:r w:rsidR="00B6175B">
        <w:rPr>
          <w:rFonts w:cs="Times New Roman"/>
        </w:rPr>
        <w:t>jsou spolu úzce propojeny</w:t>
      </w:r>
      <w:r w:rsidR="00267229">
        <w:rPr>
          <w:rFonts w:cs="Times New Roman"/>
        </w:rPr>
        <w:t>.</w:t>
      </w:r>
    </w:p>
    <w:p w:rsidR="00840D04" w:rsidRPr="00840D04" w:rsidRDefault="00EB5916" w:rsidP="00DC591C">
      <w:pPr>
        <w:rPr>
          <w:rFonts w:cs="Times New Roman"/>
        </w:rPr>
      </w:pPr>
      <w:r>
        <w:rPr>
          <w:rFonts w:cs="Times New Roman"/>
        </w:rPr>
        <w:t xml:space="preserve">Abychom tedy mohli plně pochopit Bouwenovu teorii je potřeba věnovat pozornost </w:t>
      </w:r>
      <w:r w:rsidR="00B65971">
        <w:rPr>
          <w:rFonts w:cs="Times New Roman"/>
        </w:rPr>
        <w:t>i</w:t>
      </w:r>
      <w:r w:rsidR="008E17E4">
        <w:rPr>
          <w:rFonts w:cs="Times New Roman"/>
        </w:rPr>
        <w:t> </w:t>
      </w:r>
      <w:r>
        <w:rPr>
          <w:rFonts w:cs="Times New Roman"/>
        </w:rPr>
        <w:t>výše zmíněným</w:t>
      </w:r>
      <w:bookmarkStart w:id="5" w:name="_GoBack"/>
      <w:bookmarkEnd w:id="5"/>
      <w:r>
        <w:rPr>
          <w:rFonts w:cs="Times New Roman"/>
        </w:rPr>
        <w:t xml:space="preserve"> výchozím teoriím ze kterých autor vychází. Cílem následující části bude </w:t>
      </w:r>
      <w:r w:rsidR="00D251A6">
        <w:rPr>
          <w:rFonts w:cs="Times New Roman"/>
        </w:rPr>
        <w:t xml:space="preserve">tedy </w:t>
      </w:r>
      <w:r w:rsidR="004E3007">
        <w:rPr>
          <w:rFonts w:cs="Times New Roman"/>
        </w:rPr>
        <w:t>představit</w:t>
      </w:r>
      <w:r>
        <w:rPr>
          <w:rFonts w:cs="Times New Roman"/>
        </w:rPr>
        <w:t xml:space="preserve"> jednotlivé výchozí teorie. Stručně se budu věnovat vždy historii </w:t>
      </w:r>
      <w:r w:rsidR="00B65971">
        <w:rPr>
          <w:rFonts w:cs="Times New Roman"/>
        </w:rPr>
        <w:t>a</w:t>
      </w:r>
      <w:r w:rsidR="00053E6E">
        <w:rPr>
          <w:rFonts w:cs="Times New Roman"/>
        </w:rPr>
        <w:t xml:space="preserve"> </w:t>
      </w:r>
      <w:r>
        <w:rPr>
          <w:rFonts w:cs="Times New Roman"/>
        </w:rPr>
        <w:t xml:space="preserve">rozvoji dané teorie, popsány budou </w:t>
      </w:r>
      <w:r w:rsidR="00D251A6">
        <w:rPr>
          <w:rFonts w:cs="Times New Roman"/>
        </w:rPr>
        <w:t xml:space="preserve">její </w:t>
      </w:r>
      <w:r>
        <w:rPr>
          <w:rFonts w:cs="Times New Roman"/>
        </w:rPr>
        <w:t xml:space="preserve">základní charakteristiky, poté se budu věnovat aplikaci dané teorie </w:t>
      </w:r>
      <w:r w:rsidR="00D251A6">
        <w:rPr>
          <w:rFonts w:cs="Times New Roman"/>
        </w:rPr>
        <w:t>na úrovni EU, což také pomůže určit jaké rysy těchto teorií aplikoval do své</w:t>
      </w:r>
      <w:r w:rsidR="00D46DCE">
        <w:rPr>
          <w:rFonts w:cs="Times New Roman"/>
        </w:rPr>
        <w:t xml:space="preserve"> práce</w:t>
      </w:r>
      <w:r w:rsidR="00D251A6">
        <w:rPr>
          <w:rFonts w:cs="Times New Roman"/>
        </w:rPr>
        <w:t xml:space="preserve"> Pieter Bouwen</w:t>
      </w:r>
      <w:r w:rsidR="009415C4">
        <w:rPr>
          <w:rFonts w:cs="Times New Roman"/>
        </w:rPr>
        <w:t xml:space="preserve"> </w:t>
      </w:r>
      <w:r w:rsidR="00B65971">
        <w:rPr>
          <w:rFonts w:cs="Times New Roman"/>
        </w:rPr>
        <w:t>a</w:t>
      </w:r>
      <w:r w:rsidR="00053E6E">
        <w:rPr>
          <w:rFonts w:cs="Times New Roman"/>
        </w:rPr>
        <w:t xml:space="preserve"> </w:t>
      </w:r>
      <w:r w:rsidR="009415C4">
        <w:rPr>
          <w:rFonts w:cs="Times New Roman"/>
        </w:rPr>
        <w:t>jaké charakteristiky se promítly skutečně do rámce EU.</w:t>
      </w:r>
    </w:p>
    <w:p w:rsidR="002F38CB" w:rsidRPr="002F38CB" w:rsidRDefault="002F38CB" w:rsidP="00DC591C">
      <w:pPr>
        <w:rPr>
          <w:rFonts w:cs="Times New Roman"/>
        </w:rPr>
      </w:pPr>
    </w:p>
    <w:p w:rsidR="00880EEC" w:rsidRDefault="00B65971" w:rsidP="00880EEC">
      <w:pPr>
        <w:pStyle w:val="Heading3"/>
      </w:pPr>
      <w:bookmarkStart w:id="6" w:name="_Toc7414194"/>
      <w:r>
        <w:t>1</w:t>
      </w:r>
      <w:r w:rsidR="00880EEC">
        <w:t>.</w:t>
      </w:r>
      <w:r>
        <w:t>2</w:t>
      </w:r>
      <w:r w:rsidR="00880EEC">
        <w:t>.</w:t>
      </w:r>
      <w:r>
        <w:t>1</w:t>
      </w:r>
      <w:r w:rsidR="00053E6E">
        <w:t xml:space="preserve"> </w:t>
      </w:r>
      <w:r w:rsidR="00880EEC">
        <w:t>Teorie korporativismu/neokorporativismu</w:t>
      </w:r>
      <w:bookmarkEnd w:id="6"/>
    </w:p>
    <w:p w:rsidR="00566FC0" w:rsidRDefault="00F00DA9" w:rsidP="00880EEC">
      <w:r w:rsidRPr="005F77DA">
        <w:rPr>
          <w:rFonts w:cs="Times New Roman"/>
        </w:rPr>
        <w:t xml:space="preserve">Již </w:t>
      </w:r>
      <w:r w:rsidR="00B65971" w:rsidRPr="005F77DA">
        <w:rPr>
          <w:rFonts w:cs="Times New Roman"/>
        </w:rPr>
        <w:t>v</w:t>
      </w:r>
      <w:r w:rsidR="00053E6E">
        <w:rPr>
          <w:rFonts w:cs="Times New Roman"/>
        </w:rPr>
        <w:t xml:space="preserve"> </w:t>
      </w:r>
      <w:r w:rsidRPr="005F77DA">
        <w:rPr>
          <w:rFonts w:cs="Times New Roman"/>
        </w:rPr>
        <w:t>19.</w:t>
      </w:r>
      <w:r w:rsidR="00E232E7">
        <w:rPr>
          <w:rFonts w:cs="Times New Roman"/>
        </w:rPr>
        <w:t xml:space="preserve"> </w:t>
      </w:r>
      <w:r w:rsidR="00B65971" w:rsidRPr="005F77DA">
        <w:rPr>
          <w:rFonts w:cs="Times New Roman"/>
        </w:rPr>
        <w:t>a</w:t>
      </w:r>
      <w:r w:rsidR="00053E6E">
        <w:rPr>
          <w:rFonts w:cs="Times New Roman"/>
        </w:rPr>
        <w:t xml:space="preserve"> </w:t>
      </w:r>
      <w:r w:rsidRPr="005F77DA">
        <w:rPr>
          <w:rFonts w:cs="Times New Roman"/>
        </w:rPr>
        <w:t xml:space="preserve">na začátku 20. století výrazně vzrostl význam </w:t>
      </w:r>
      <w:r w:rsidR="00B65971">
        <w:rPr>
          <w:rFonts w:cs="Times New Roman"/>
        </w:rPr>
        <w:t>i</w:t>
      </w:r>
      <w:r w:rsidR="00053E6E">
        <w:rPr>
          <w:rFonts w:cs="Times New Roman"/>
        </w:rPr>
        <w:t xml:space="preserve"> </w:t>
      </w:r>
      <w:r w:rsidRPr="005F77DA">
        <w:rPr>
          <w:rFonts w:cs="Times New Roman"/>
        </w:rPr>
        <w:t xml:space="preserve">síla korporací </w:t>
      </w:r>
      <w:r w:rsidR="00B65971" w:rsidRPr="005F77DA">
        <w:rPr>
          <w:rFonts w:cs="Times New Roman"/>
        </w:rPr>
        <w:t>a</w:t>
      </w:r>
      <w:r w:rsidR="00053E6E">
        <w:rPr>
          <w:rFonts w:cs="Times New Roman"/>
        </w:rPr>
        <w:t xml:space="preserve"> </w:t>
      </w:r>
      <w:r w:rsidRPr="005F77DA">
        <w:rPr>
          <w:rFonts w:cs="Times New Roman"/>
        </w:rPr>
        <w:t>dalších zájmových skupin.</w:t>
      </w:r>
      <w:r w:rsidR="005F77DA" w:rsidRPr="005F77DA">
        <w:rPr>
          <w:rFonts w:cs="Times New Roman"/>
        </w:rPr>
        <w:t xml:space="preserve"> </w:t>
      </w:r>
      <w:r w:rsidRPr="005F77DA">
        <w:rPr>
          <w:rFonts w:cs="Times New Roman"/>
        </w:rPr>
        <w:t xml:space="preserve">Tomu napomohl </w:t>
      </w:r>
      <w:r w:rsidR="00B65971" w:rsidRPr="005F77DA">
        <w:rPr>
          <w:rFonts w:cs="Times New Roman"/>
        </w:rPr>
        <w:t>i</w:t>
      </w:r>
      <w:r w:rsidR="00053E6E">
        <w:rPr>
          <w:rFonts w:cs="Times New Roman"/>
        </w:rPr>
        <w:t xml:space="preserve"> </w:t>
      </w:r>
      <w:r w:rsidRPr="005F77DA">
        <w:rPr>
          <w:rFonts w:cs="Times New Roman"/>
        </w:rPr>
        <w:t xml:space="preserve">růst obchodních vztahů ve společnosti </w:t>
      </w:r>
      <w:r w:rsidR="00B65971" w:rsidRPr="005F77DA">
        <w:rPr>
          <w:rFonts w:cs="Times New Roman"/>
        </w:rPr>
        <w:t>a</w:t>
      </w:r>
      <w:r w:rsidR="00053E6E">
        <w:rPr>
          <w:rFonts w:cs="Times New Roman"/>
        </w:rPr>
        <w:t xml:space="preserve"> </w:t>
      </w:r>
      <w:r w:rsidR="00B119A6">
        <w:rPr>
          <w:rFonts w:cs="Times New Roman"/>
        </w:rPr>
        <w:t xml:space="preserve">také růst </w:t>
      </w:r>
      <w:r w:rsidRPr="005F77DA">
        <w:rPr>
          <w:rFonts w:cs="Times New Roman"/>
        </w:rPr>
        <w:t xml:space="preserve">ekonomiky, což mělo za následek zvětšující se sílu některých producentů </w:t>
      </w:r>
      <w:r w:rsidR="00B65971" w:rsidRPr="005F77DA">
        <w:rPr>
          <w:rFonts w:cs="Times New Roman"/>
        </w:rPr>
        <w:t>a</w:t>
      </w:r>
      <w:r w:rsidR="00053E6E">
        <w:rPr>
          <w:rFonts w:cs="Times New Roman"/>
        </w:rPr>
        <w:t xml:space="preserve"> </w:t>
      </w:r>
      <w:r w:rsidRPr="005F77DA">
        <w:rPr>
          <w:rFonts w:cs="Times New Roman"/>
        </w:rPr>
        <w:t>zaměstnavatelů</w:t>
      </w:r>
      <w:r w:rsidR="005F77DA">
        <w:rPr>
          <w:rFonts w:cs="Times New Roman"/>
        </w:rPr>
        <w:t xml:space="preserve"> </w:t>
      </w:r>
      <w:r w:rsidR="00B65971">
        <w:rPr>
          <w:rFonts w:cs="Times New Roman"/>
        </w:rPr>
        <w:t>a</w:t>
      </w:r>
      <w:r w:rsidR="00053E6E">
        <w:rPr>
          <w:rFonts w:cs="Times New Roman"/>
        </w:rPr>
        <w:t xml:space="preserve"> </w:t>
      </w:r>
      <w:r w:rsidR="005F77DA">
        <w:rPr>
          <w:rFonts w:cs="Times New Roman"/>
        </w:rPr>
        <w:t>to vedlo</w:t>
      </w:r>
      <w:r w:rsidR="00267229">
        <w:rPr>
          <w:rFonts w:cs="Times New Roman"/>
        </w:rPr>
        <w:t xml:space="preserve"> </w:t>
      </w:r>
      <w:r w:rsidR="00B65971">
        <w:rPr>
          <w:rFonts w:cs="Times New Roman"/>
        </w:rPr>
        <w:t>k</w:t>
      </w:r>
      <w:r w:rsidR="00B119A6">
        <w:rPr>
          <w:rFonts w:cs="Times New Roman"/>
        </w:rPr>
        <w:t xml:space="preserve"> </w:t>
      </w:r>
      <w:r w:rsidR="005F77DA">
        <w:rPr>
          <w:rFonts w:cs="Times New Roman"/>
        </w:rPr>
        <w:t>ustanovení prvních organizovaných zájmů</w:t>
      </w:r>
      <w:r w:rsidR="00CB03DE">
        <w:rPr>
          <w:rFonts w:cs="Times New Roman"/>
        </w:rPr>
        <w:t xml:space="preserve"> </w:t>
      </w:r>
      <w:r w:rsidR="005F77DA">
        <w:rPr>
          <w:rFonts w:cs="Times New Roman"/>
        </w:rPr>
        <w:t>(Zabkowicz 2014: 12).</w:t>
      </w:r>
      <w:r w:rsidR="00B119A6">
        <w:rPr>
          <w:rFonts w:cs="Times New Roman"/>
        </w:rPr>
        <w:t xml:space="preserve"> </w:t>
      </w:r>
      <w:r w:rsidR="005F77DA">
        <w:rPr>
          <w:rFonts w:cs="Times New Roman"/>
        </w:rPr>
        <w:t xml:space="preserve">Kořeny korporativismu ale sahají už do roku 1820, kdy ve své knize </w:t>
      </w:r>
      <w:r w:rsidR="005F77DA" w:rsidRPr="005F77DA">
        <w:rPr>
          <w:rFonts w:cs="Times New Roman"/>
          <w:i/>
        </w:rPr>
        <w:t>Philosophy of Right</w:t>
      </w:r>
      <w:r w:rsidR="005F77DA">
        <w:t xml:space="preserve">, Hegel popsal korporativní asociace jako druhý základ státu, společně </w:t>
      </w:r>
      <w:r w:rsidR="00B65971">
        <w:t>s</w:t>
      </w:r>
      <w:r w:rsidR="00053E6E">
        <w:t xml:space="preserve"> </w:t>
      </w:r>
      <w:r w:rsidR="005F77DA">
        <w:t xml:space="preserve">rodinou, což bylo </w:t>
      </w:r>
      <w:r w:rsidR="00CB03DE">
        <w:t>vnímáno</w:t>
      </w:r>
      <w:r w:rsidR="005F77DA">
        <w:t>, jako volání po vzniku korporativního</w:t>
      </w:r>
      <w:r w:rsidR="008B1FD6">
        <w:t xml:space="preserve"> </w:t>
      </w:r>
      <w:r w:rsidR="005F77DA">
        <w:t>státu (</w:t>
      </w:r>
      <w:r w:rsidR="000D1C1C">
        <w:t>Kenworthy</w:t>
      </w:r>
      <w:r w:rsidR="00F24B38">
        <w:t xml:space="preserve"> and </w:t>
      </w:r>
      <w:r w:rsidR="000D1C1C">
        <w:t>Streeck 2005: 443).</w:t>
      </w:r>
      <w:r w:rsidR="008B1FD6">
        <w:t xml:space="preserve"> </w:t>
      </w:r>
      <w:r w:rsidR="000D1C1C">
        <w:t xml:space="preserve">Své využití </w:t>
      </w:r>
      <w:r w:rsidR="00B65971">
        <w:t>v</w:t>
      </w:r>
      <w:r w:rsidR="00053E6E">
        <w:t xml:space="preserve"> </w:t>
      </w:r>
      <w:r w:rsidR="001908F2">
        <w:t xml:space="preserve">praxi pak </w:t>
      </w:r>
      <w:r w:rsidR="000D1C1C">
        <w:t>korporativismus nalezl ve fašismu 20. století, kdy byl p</w:t>
      </w:r>
      <w:r w:rsidR="00D46DCE">
        <w:t>raktikován</w:t>
      </w:r>
      <w:r w:rsidR="000D1C1C">
        <w:t xml:space="preserve"> jako vztah silného </w:t>
      </w:r>
      <w:r w:rsidR="00B65971">
        <w:t>a</w:t>
      </w:r>
      <w:r w:rsidR="008D1595">
        <w:t> </w:t>
      </w:r>
      <w:r w:rsidR="000D1C1C">
        <w:t>dominantního státu s</w:t>
      </w:r>
      <w:r w:rsidR="00BA00A7">
        <w:t xml:space="preserve">e zájmovými skupinami (Zabkowicz 2014: 12). </w:t>
      </w:r>
      <w:r w:rsidR="00554E5F">
        <w:t xml:space="preserve">Po </w:t>
      </w:r>
      <w:r w:rsidR="00B65971">
        <w:t>2</w:t>
      </w:r>
      <w:r w:rsidR="00554E5F">
        <w:t xml:space="preserve">. světové válce byl korporativismus využit zejména </w:t>
      </w:r>
      <w:r w:rsidR="00B65971">
        <w:t>k</w:t>
      </w:r>
      <w:r w:rsidR="00053E6E">
        <w:t xml:space="preserve"> </w:t>
      </w:r>
      <w:r w:rsidR="00554E5F">
        <w:t xml:space="preserve">zajištění sociálního míru tím, že státy daly prostor odborům </w:t>
      </w:r>
      <w:r w:rsidR="00B65971">
        <w:t>a</w:t>
      </w:r>
      <w:r w:rsidR="00053E6E">
        <w:t xml:space="preserve"> </w:t>
      </w:r>
      <w:r w:rsidR="00554E5F">
        <w:t xml:space="preserve">dalším zájmovým skupinám aby se mohly podílet na </w:t>
      </w:r>
      <w:r w:rsidR="00895AEA">
        <w:t xml:space="preserve">tvorbě </w:t>
      </w:r>
      <w:r w:rsidR="00554E5F">
        <w:t>politi</w:t>
      </w:r>
      <w:r w:rsidR="00895AEA">
        <w:t>ky</w:t>
      </w:r>
      <w:r w:rsidR="00554E5F">
        <w:t xml:space="preserve"> (Ottaway 2001: </w:t>
      </w:r>
      <w:r w:rsidR="00B65971">
        <w:t>5</w:t>
      </w:r>
      <w:r w:rsidR="00554E5F">
        <w:t xml:space="preserve">). </w:t>
      </w:r>
      <w:r w:rsidR="00B65971">
        <w:t>V</w:t>
      </w:r>
      <w:r w:rsidR="008D1595">
        <w:t> </w:t>
      </w:r>
      <w:r w:rsidR="00895AEA">
        <w:t>tomhle období</w:t>
      </w:r>
      <w:r w:rsidR="00554E5F">
        <w:t xml:space="preserve"> se již </w:t>
      </w:r>
      <w:r w:rsidR="00895AEA">
        <w:t xml:space="preserve">hovořilo </w:t>
      </w:r>
      <w:r w:rsidR="00B65971">
        <w:t>o</w:t>
      </w:r>
      <w:r w:rsidR="00053E6E">
        <w:t xml:space="preserve"> </w:t>
      </w:r>
      <w:r w:rsidR="00554E5F">
        <w:t xml:space="preserve">neokorporativismu </w:t>
      </w:r>
      <w:r w:rsidR="00B65971">
        <w:t>a</w:t>
      </w:r>
      <w:r w:rsidR="00053E6E">
        <w:t xml:space="preserve"> </w:t>
      </w:r>
      <w:r w:rsidR="00554E5F">
        <w:t xml:space="preserve">svůj největší rozmach zažil </w:t>
      </w:r>
      <w:r w:rsidR="00B65971">
        <w:t>v</w:t>
      </w:r>
      <w:r w:rsidR="00053E6E">
        <w:t xml:space="preserve"> </w:t>
      </w:r>
      <w:r w:rsidR="00554E5F">
        <w:t>70. letech (Molina, Rhodes 2002: 305).</w:t>
      </w:r>
      <w:r w:rsidR="00895AEA">
        <w:t xml:space="preserve"> </w:t>
      </w:r>
      <w:r w:rsidR="00B65971">
        <w:t>V</w:t>
      </w:r>
      <w:r w:rsidR="00053E6E">
        <w:t xml:space="preserve"> </w:t>
      </w:r>
      <w:r w:rsidR="00984E00">
        <w:t xml:space="preserve">80. </w:t>
      </w:r>
      <w:r w:rsidR="00B65971">
        <w:t>a</w:t>
      </w:r>
      <w:r w:rsidR="00053E6E">
        <w:t xml:space="preserve"> </w:t>
      </w:r>
      <w:r w:rsidR="00984E00">
        <w:t>90. letech poté došlo</w:t>
      </w:r>
      <w:r w:rsidR="00895AEA">
        <w:t xml:space="preserve"> </w:t>
      </w:r>
      <w:r w:rsidR="00B65971">
        <w:t>k</w:t>
      </w:r>
      <w:r w:rsidR="008E17E4">
        <w:t> </w:t>
      </w:r>
      <w:r w:rsidR="00984E00">
        <w:t xml:space="preserve">úpadku neokorporativismu, zejména kvůli změnám </w:t>
      </w:r>
      <w:r w:rsidR="00B65971">
        <w:t>v</w:t>
      </w:r>
      <w:r w:rsidR="00053E6E">
        <w:t xml:space="preserve"> </w:t>
      </w:r>
      <w:r w:rsidR="00984E00">
        <w:t xml:space="preserve">ekonomice </w:t>
      </w:r>
      <w:r w:rsidR="00B65971">
        <w:t>a</w:t>
      </w:r>
      <w:r w:rsidR="00053E6E">
        <w:t xml:space="preserve"> </w:t>
      </w:r>
      <w:r w:rsidR="00984E00">
        <w:t xml:space="preserve">trhu, ránou pro neokorporativismus bylo také opuštění Keynesyánské ekonomiky </w:t>
      </w:r>
      <w:r w:rsidR="00B65971">
        <w:t>a</w:t>
      </w:r>
      <w:r w:rsidR="00053E6E">
        <w:t xml:space="preserve"> </w:t>
      </w:r>
      <w:r w:rsidR="00984E00">
        <w:t xml:space="preserve">nástup finanční </w:t>
      </w:r>
      <w:r w:rsidR="00984E00">
        <w:lastRenderedPageBreak/>
        <w:t>liberalizace (</w:t>
      </w:r>
      <w:r w:rsidR="00A33587">
        <w:t>Tamtéž</w:t>
      </w:r>
      <w:r w:rsidR="00984E00">
        <w:t xml:space="preserve">: 306, 309). </w:t>
      </w:r>
      <w:r w:rsidR="001908F2">
        <w:t xml:space="preserve">Současný stav neokorporativismu je </w:t>
      </w:r>
      <w:r w:rsidR="00566FC0">
        <w:t>tedy neustálou</w:t>
      </w:r>
      <w:r w:rsidR="001908F2">
        <w:t xml:space="preserve"> otázkou debaty. </w:t>
      </w:r>
    </w:p>
    <w:p w:rsidR="00A756F6" w:rsidRDefault="00D1656D" w:rsidP="00880EEC">
      <w:r>
        <w:t xml:space="preserve">Je </w:t>
      </w:r>
      <w:r w:rsidR="008B1FD6">
        <w:t>dobré</w:t>
      </w:r>
      <w:r>
        <w:t xml:space="preserve"> odlišit </w:t>
      </w:r>
      <w:r w:rsidR="00B65971">
        <w:t>i</w:t>
      </w:r>
      <w:r w:rsidR="00053E6E">
        <w:t xml:space="preserve"> </w:t>
      </w:r>
      <w:r>
        <w:t xml:space="preserve">pojmy korporativismus </w:t>
      </w:r>
      <w:r w:rsidR="00B65971">
        <w:t>a</w:t>
      </w:r>
      <w:r w:rsidR="00053E6E">
        <w:t xml:space="preserve"> </w:t>
      </w:r>
      <w:r>
        <w:t>neokorporativismus, jelikož jsou oba často využívány.</w:t>
      </w:r>
      <w:r w:rsidR="00F36605">
        <w:t xml:space="preserve"> </w:t>
      </w:r>
      <w:r w:rsidR="008B1FD6">
        <w:t>K</w:t>
      </w:r>
      <w:r w:rsidR="00F36605">
        <w:t xml:space="preserve">orporativismus se váže především </w:t>
      </w:r>
      <w:r w:rsidR="00B65971">
        <w:t>k</w:t>
      </w:r>
      <w:r w:rsidR="00053E6E">
        <w:t xml:space="preserve"> </w:t>
      </w:r>
      <w:r w:rsidR="00F36605">
        <w:t xml:space="preserve">režimům </w:t>
      </w:r>
      <w:r w:rsidR="00B65971">
        <w:t>v</w:t>
      </w:r>
      <w:r w:rsidR="00053E6E">
        <w:t xml:space="preserve"> </w:t>
      </w:r>
      <w:r w:rsidR="00F36605">
        <w:t xml:space="preserve">nichž hrál dominantní roli stát, který autoritářským způsobem organizoval </w:t>
      </w:r>
      <w:r w:rsidR="00B65971">
        <w:t>a</w:t>
      </w:r>
      <w:r w:rsidR="00053E6E">
        <w:t xml:space="preserve"> </w:t>
      </w:r>
      <w:r w:rsidR="00F36605">
        <w:t xml:space="preserve">kontroloval zájmové skupiny (Adams 2002: </w:t>
      </w:r>
      <w:r w:rsidR="00B65971">
        <w:t>7</w:t>
      </w:r>
      <w:r w:rsidR="00F36605">
        <w:t>).</w:t>
      </w:r>
      <w:r w:rsidR="00895AEA">
        <w:t xml:space="preserve"> </w:t>
      </w:r>
      <w:r w:rsidR="006A6231">
        <w:t>Kromě toho</w:t>
      </w:r>
      <w:r w:rsidR="00F36605">
        <w:t xml:space="preserve"> korporativismus předpokládá existenci sociální struktury, ve které jsou funkce odpovídající sociální dělbě práce rozděleny mezi jednotlivé korporace. Ty sdružují zástupce zaměstnanců </w:t>
      </w:r>
      <w:r w:rsidR="00B65971">
        <w:t>a</w:t>
      </w:r>
      <w:r w:rsidR="00053E6E">
        <w:t xml:space="preserve"> </w:t>
      </w:r>
      <w:r w:rsidR="00F36605">
        <w:t xml:space="preserve">zaměstnavatelů </w:t>
      </w:r>
      <w:r w:rsidR="00B65971">
        <w:t>v</w:t>
      </w:r>
      <w:r w:rsidR="00053E6E">
        <w:t xml:space="preserve"> </w:t>
      </w:r>
      <w:r w:rsidR="00F36605">
        <w:t xml:space="preserve">rámci téhož oboru </w:t>
      </w:r>
      <w:r w:rsidR="00B65971">
        <w:t>a</w:t>
      </w:r>
      <w:r w:rsidR="00053E6E">
        <w:t xml:space="preserve"> </w:t>
      </w:r>
      <w:r w:rsidR="00F36605">
        <w:t xml:space="preserve">následně reprezentují konkrétní zájmy ve veřejné sféře </w:t>
      </w:r>
      <w:r w:rsidR="00B65971">
        <w:t>a</w:t>
      </w:r>
      <w:r w:rsidR="00053E6E">
        <w:t xml:space="preserve"> </w:t>
      </w:r>
      <w:r w:rsidR="00F36605">
        <w:t xml:space="preserve">politické aréně (Říchová 2000: 177). Korporativismus jako název byl </w:t>
      </w:r>
      <w:r w:rsidR="00FF764A">
        <w:t xml:space="preserve">poté </w:t>
      </w:r>
      <w:r w:rsidR="00F36605">
        <w:t xml:space="preserve">zdiskreditován díky svému spojení </w:t>
      </w:r>
      <w:r w:rsidR="00B65971">
        <w:t>s</w:t>
      </w:r>
      <w:r w:rsidR="00053E6E">
        <w:t xml:space="preserve"> </w:t>
      </w:r>
      <w:r w:rsidR="00F36605">
        <w:t xml:space="preserve">nedemokratickými </w:t>
      </w:r>
      <w:r w:rsidR="00B65971">
        <w:t>a</w:t>
      </w:r>
      <w:r w:rsidR="00053E6E">
        <w:t xml:space="preserve"> </w:t>
      </w:r>
      <w:r w:rsidR="00F36605">
        <w:t>autoritářskými režimy, jako byly Hitlerov</w:t>
      </w:r>
      <w:r w:rsidR="00FF764A">
        <w:t>o</w:t>
      </w:r>
      <w:r w:rsidR="00F36605">
        <w:t xml:space="preserve"> Německo či Francovo Španělsko</w:t>
      </w:r>
      <w:r w:rsidR="00FF764A">
        <w:t xml:space="preserve"> (Laboutková 2010: 155).</w:t>
      </w:r>
      <w:r w:rsidR="00F36605">
        <w:t xml:space="preserve"> </w:t>
      </w:r>
      <w:r w:rsidR="00B65971">
        <w:t>V</w:t>
      </w:r>
      <w:r w:rsidR="00053E6E">
        <w:t xml:space="preserve"> </w:t>
      </w:r>
      <w:r w:rsidR="00FF764A">
        <w:t>kontextu liberální teorie se poté začal využívat pojem neokorporativismus,</w:t>
      </w:r>
      <w:r w:rsidR="006A6231">
        <w:t xml:space="preserve"> </w:t>
      </w:r>
      <w:r w:rsidR="00FF764A">
        <w:t xml:space="preserve">právě kvůli spojení korporativismu </w:t>
      </w:r>
      <w:r w:rsidR="00B65971">
        <w:t>s</w:t>
      </w:r>
      <w:r w:rsidR="008D1595">
        <w:t> </w:t>
      </w:r>
      <w:r w:rsidR="00FF764A">
        <w:t xml:space="preserve">nedemokratickými režimy. Neokorporativismus se liší od korporativismu </w:t>
      </w:r>
      <w:r w:rsidR="00B65971">
        <w:t>i</w:t>
      </w:r>
      <w:r w:rsidR="00053E6E">
        <w:t xml:space="preserve"> </w:t>
      </w:r>
      <w:r w:rsidR="00FF764A">
        <w:t xml:space="preserve">tím, že zájmové skupiny nejsou státu bezvýhradně podřízeny </w:t>
      </w:r>
      <w:r w:rsidR="00B65971">
        <w:t>a</w:t>
      </w:r>
      <w:r w:rsidR="00053E6E">
        <w:t xml:space="preserve"> </w:t>
      </w:r>
      <w:r w:rsidR="00FF764A">
        <w:t xml:space="preserve">jde </w:t>
      </w:r>
      <w:r w:rsidR="00B65971">
        <w:t>o</w:t>
      </w:r>
      <w:r w:rsidR="00053E6E">
        <w:t xml:space="preserve"> </w:t>
      </w:r>
      <w:r w:rsidR="00FF764A">
        <w:t xml:space="preserve">dobrovolnou dohodu mezi státem </w:t>
      </w:r>
      <w:r w:rsidR="00B65971">
        <w:t>a</w:t>
      </w:r>
      <w:r w:rsidR="008D1595">
        <w:t> </w:t>
      </w:r>
      <w:r w:rsidR="00FF764A">
        <w:t xml:space="preserve">zájmovými organizacemi (Laboutková 2010: 155-156). </w:t>
      </w:r>
      <w:r w:rsidR="00B65971">
        <w:t>I</w:t>
      </w:r>
      <w:r w:rsidR="00053E6E">
        <w:t xml:space="preserve"> </w:t>
      </w:r>
      <w:r w:rsidR="00FF764A">
        <w:t xml:space="preserve">zde zůstává stát hlavním aktérem, ale připouští větší roli zájmovým skupinám </w:t>
      </w:r>
      <w:r w:rsidR="00B65971">
        <w:t>a</w:t>
      </w:r>
      <w:r w:rsidR="00053E6E">
        <w:t xml:space="preserve"> </w:t>
      </w:r>
      <w:r w:rsidR="00FF764A">
        <w:t xml:space="preserve">narozdíl od korporativismu je ochotný </w:t>
      </w:r>
      <w:r w:rsidR="00B65971">
        <w:t>s</w:t>
      </w:r>
      <w:r w:rsidR="00053E6E">
        <w:t xml:space="preserve"> </w:t>
      </w:r>
      <w:r w:rsidR="00FF764A">
        <w:t xml:space="preserve">nimi jednat </w:t>
      </w:r>
      <w:r w:rsidR="00B65971">
        <w:t>a</w:t>
      </w:r>
      <w:r w:rsidR="00053E6E">
        <w:t xml:space="preserve"> </w:t>
      </w:r>
      <w:r w:rsidR="00FF764A">
        <w:t xml:space="preserve">konzultovat některé záležitosti (Adams </w:t>
      </w:r>
      <w:r w:rsidR="00DD031B">
        <w:t>2002:</w:t>
      </w:r>
      <w:r w:rsidR="00A26392">
        <w:t xml:space="preserve"> </w:t>
      </w:r>
      <w:r w:rsidR="00B65971">
        <w:t>8</w:t>
      </w:r>
      <w:r w:rsidR="00DD031B">
        <w:t>).</w:t>
      </w:r>
      <w:r w:rsidR="00895AEA">
        <w:t xml:space="preserve"> </w:t>
      </w:r>
    </w:p>
    <w:p w:rsidR="006A6231" w:rsidRDefault="00796A52" w:rsidP="00880EEC">
      <w:r>
        <w:t xml:space="preserve">Jelikož obě teorie sdílí společné charakteristiky </w:t>
      </w:r>
      <w:r w:rsidR="00B65971">
        <w:t>a</w:t>
      </w:r>
      <w:r w:rsidR="00053E6E">
        <w:t xml:space="preserve"> </w:t>
      </w:r>
      <w:r>
        <w:t>na ty se nyní chci zaměř</w:t>
      </w:r>
      <w:r w:rsidR="00921F9B">
        <w:t>i</w:t>
      </w:r>
      <w:r>
        <w:t xml:space="preserve">t budu </w:t>
      </w:r>
      <w:r w:rsidR="00B65971">
        <w:t>v</w:t>
      </w:r>
      <w:r w:rsidR="008D1595">
        <w:t> </w:t>
      </w:r>
      <w:r>
        <w:t>následující části užívat oba pojmy.</w:t>
      </w:r>
      <w:r w:rsidR="008B1FD6">
        <w:t xml:space="preserve"> </w:t>
      </w:r>
      <w:r w:rsidR="004A53B7">
        <w:t>Určit základní znaky neokorporativismu není vůbec jednoduché, jak</w:t>
      </w:r>
      <w:r w:rsidR="008B1FD6">
        <w:t xml:space="preserve"> </w:t>
      </w:r>
      <w:r w:rsidR="004A53B7">
        <w:t xml:space="preserve">podotýká přední odborník na tuto teorii Phillipe Schmitter. Podle něj je základem snaha </w:t>
      </w:r>
      <w:r w:rsidR="00B65971">
        <w:t>o</w:t>
      </w:r>
      <w:r w:rsidR="00053E6E">
        <w:t xml:space="preserve"> </w:t>
      </w:r>
      <w:r w:rsidR="004A53B7">
        <w:t xml:space="preserve">zprostředkování zájmů. Upřednostňuje </w:t>
      </w:r>
      <w:r w:rsidR="00895AEA">
        <w:t xml:space="preserve">právě </w:t>
      </w:r>
      <w:r w:rsidR="004A53B7">
        <w:t>tento termín, jelikož je těžko určit, zda zájmové skupiny své zájmy skutečně prosadí</w:t>
      </w:r>
      <w:r w:rsidR="00895AEA">
        <w:t xml:space="preserve"> </w:t>
      </w:r>
      <w:r w:rsidR="004A53B7">
        <w:t xml:space="preserve">(Wilson 1983: 106). Jiní teoretici chápou neokorporativismus </w:t>
      </w:r>
      <w:r w:rsidR="008B1FD6">
        <w:t>třeba</w:t>
      </w:r>
      <w:r w:rsidR="00895AEA">
        <w:t xml:space="preserve"> </w:t>
      </w:r>
      <w:r w:rsidR="004A53B7">
        <w:t>jako způsob tvorby politiky. Pro tyto experty pak je alternativou vláda stra</w:t>
      </w:r>
      <w:r w:rsidR="00067327">
        <w:t>n (Lehmbruch 1979: 150).</w:t>
      </w:r>
      <w:r w:rsidR="009C32D6">
        <w:t xml:space="preserve"> Nejčastěji využívánou </w:t>
      </w:r>
      <w:r w:rsidR="00B65971">
        <w:t>a</w:t>
      </w:r>
      <w:r w:rsidR="00053E6E">
        <w:t xml:space="preserve"> </w:t>
      </w:r>
      <w:r w:rsidR="009C32D6">
        <w:t>pravděpodobně také nejlepší definicí neokorporativismu je</w:t>
      </w:r>
      <w:r w:rsidR="007725CD">
        <w:t xml:space="preserve"> </w:t>
      </w:r>
      <w:r w:rsidR="009C32D6">
        <w:t xml:space="preserve">Schmitterova definice, která říká, že: </w:t>
      </w:r>
      <w:r w:rsidR="00B119A6">
        <w:t>„</w:t>
      </w:r>
      <w:r w:rsidR="00CE229D" w:rsidRPr="00B119A6">
        <w:rPr>
          <w:i/>
          <w:iCs/>
        </w:rPr>
        <w:t>Korporativismus m</w:t>
      </w:r>
      <w:r w:rsidR="009C32D6" w:rsidRPr="00B119A6">
        <w:rPr>
          <w:i/>
          <w:iCs/>
        </w:rPr>
        <w:t>ůže být definován</w:t>
      </w:r>
      <w:r w:rsidR="008B1FD6" w:rsidRPr="00B119A6">
        <w:rPr>
          <w:i/>
          <w:iCs/>
        </w:rPr>
        <w:t>,</w:t>
      </w:r>
      <w:r w:rsidR="009C32D6" w:rsidRPr="00B119A6">
        <w:rPr>
          <w:i/>
          <w:iCs/>
        </w:rPr>
        <w:t xml:space="preserve"> jako systém reprezentace zájmů ve kterém jsou jednotlivé zájmy</w:t>
      </w:r>
      <w:r w:rsidR="00895AEA" w:rsidRPr="00B119A6">
        <w:rPr>
          <w:i/>
          <w:iCs/>
        </w:rPr>
        <w:t xml:space="preserve"> </w:t>
      </w:r>
      <w:r w:rsidR="009C32D6" w:rsidRPr="00B119A6">
        <w:rPr>
          <w:i/>
          <w:iCs/>
        </w:rPr>
        <w:t>organizovány do omezeného počtu povinných, nekom</w:t>
      </w:r>
      <w:r w:rsidR="00CE229D" w:rsidRPr="00B119A6">
        <w:rPr>
          <w:i/>
          <w:iCs/>
        </w:rPr>
        <w:t xml:space="preserve">petetivních, hiearchicky organizovaných </w:t>
      </w:r>
      <w:r w:rsidR="00B65971" w:rsidRPr="00B119A6">
        <w:rPr>
          <w:i/>
          <w:iCs/>
        </w:rPr>
        <w:t>a</w:t>
      </w:r>
      <w:r w:rsidR="00053E6E" w:rsidRPr="00B119A6">
        <w:rPr>
          <w:i/>
          <w:iCs/>
        </w:rPr>
        <w:t xml:space="preserve"> </w:t>
      </w:r>
      <w:r w:rsidR="00CE229D" w:rsidRPr="00B119A6">
        <w:rPr>
          <w:i/>
          <w:iCs/>
        </w:rPr>
        <w:t xml:space="preserve">funkcionálně odlišných kategorií, které jsou organizovány či přímo vytvořeny státem </w:t>
      </w:r>
      <w:r w:rsidR="00B65971" w:rsidRPr="00B119A6">
        <w:rPr>
          <w:i/>
          <w:iCs/>
        </w:rPr>
        <w:t>a</w:t>
      </w:r>
      <w:r w:rsidR="00053E6E" w:rsidRPr="00B119A6">
        <w:rPr>
          <w:i/>
          <w:iCs/>
        </w:rPr>
        <w:t xml:space="preserve"> </w:t>
      </w:r>
      <w:r w:rsidR="00CE229D" w:rsidRPr="00B119A6">
        <w:rPr>
          <w:i/>
          <w:iCs/>
        </w:rPr>
        <w:t xml:space="preserve">je jim garantován reprezentativní monopol </w:t>
      </w:r>
      <w:r w:rsidR="00B65971" w:rsidRPr="00B119A6">
        <w:rPr>
          <w:i/>
          <w:iCs/>
        </w:rPr>
        <w:t>v</w:t>
      </w:r>
      <w:r w:rsidR="00053E6E" w:rsidRPr="00B119A6">
        <w:rPr>
          <w:i/>
          <w:iCs/>
        </w:rPr>
        <w:t xml:space="preserve"> </w:t>
      </w:r>
      <w:r w:rsidR="00CE229D" w:rsidRPr="00B119A6">
        <w:rPr>
          <w:i/>
          <w:iCs/>
        </w:rPr>
        <w:t xml:space="preserve">rámci jejich kategorie výměnou za artikulaci požadavků </w:t>
      </w:r>
      <w:r w:rsidR="00B65971" w:rsidRPr="00B119A6">
        <w:rPr>
          <w:i/>
          <w:iCs/>
        </w:rPr>
        <w:t>a</w:t>
      </w:r>
      <w:r w:rsidR="00053E6E" w:rsidRPr="00B119A6">
        <w:rPr>
          <w:i/>
          <w:iCs/>
        </w:rPr>
        <w:t xml:space="preserve"> </w:t>
      </w:r>
      <w:r w:rsidR="00CE229D" w:rsidRPr="00B119A6">
        <w:rPr>
          <w:i/>
          <w:iCs/>
        </w:rPr>
        <w:t>podpory dané skupiny</w:t>
      </w:r>
      <w:r w:rsidR="00B119A6">
        <w:rPr>
          <w:i/>
          <w:iCs/>
        </w:rPr>
        <w:t>“</w:t>
      </w:r>
      <w:r w:rsidR="00CE229D">
        <w:t xml:space="preserve"> (Schmitter 197</w:t>
      </w:r>
      <w:r w:rsidR="00FE7043">
        <w:t>9</w:t>
      </w:r>
      <w:r w:rsidR="00CE229D">
        <w:t>: 13). Tato definice je mnoha odborníky vnímána jako nejlepší, jelikož obsahuje rysy, které lze využít při empirické studii korporativismu (</w:t>
      </w:r>
      <w:r w:rsidR="00B44FDB">
        <w:t>Wilson 1983: 108).</w:t>
      </w:r>
      <w:r w:rsidR="0000149D">
        <w:t xml:space="preserve"> Dalším klasickým rysem je, že se konají tzv.</w:t>
      </w:r>
      <w:r w:rsidR="00C450F3">
        <w:t xml:space="preserve"> </w:t>
      </w:r>
      <w:r w:rsidR="0000149D">
        <w:t xml:space="preserve">multipartitní jednání mezi státem </w:t>
      </w:r>
      <w:r w:rsidR="00B65971">
        <w:t>a</w:t>
      </w:r>
      <w:r w:rsidR="008D1595">
        <w:t> </w:t>
      </w:r>
      <w:r w:rsidR="0000149D">
        <w:t xml:space="preserve">organizacemi zastupujícími různé zájmy, které se díky těmto jednáním podílejí na tvorbě politiky nebo se ji alespoň snaží ovlivnit </w:t>
      </w:r>
      <w:r w:rsidR="0000149D">
        <w:lastRenderedPageBreak/>
        <w:t xml:space="preserve">(Burns, Carson 2002: 132). </w:t>
      </w:r>
      <w:r w:rsidR="007B5D03">
        <w:t xml:space="preserve">Jednou </w:t>
      </w:r>
      <w:r w:rsidR="00B65971">
        <w:t>z</w:t>
      </w:r>
      <w:r w:rsidR="00053E6E">
        <w:t xml:space="preserve"> </w:t>
      </w:r>
      <w:r w:rsidR="007B5D03">
        <w:t>výhod je také větší zapojení periferních aktérů do procesu tvorby politiky. Tito periferní aktéři se</w:t>
      </w:r>
      <w:r w:rsidR="00A736C8">
        <w:t xml:space="preserve"> </w:t>
      </w:r>
      <w:r w:rsidR="007B5D03">
        <w:t xml:space="preserve">často spojí do jednoho segmentu se silnějšími organizacemi </w:t>
      </w:r>
      <w:r w:rsidR="00B65971">
        <w:t>a</w:t>
      </w:r>
      <w:r w:rsidR="00053E6E">
        <w:t xml:space="preserve"> </w:t>
      </w:r>
      <w:r w:rsidR="007B5D03">
        <w:t>společně poté mají větší šanci ovlivnit výstupy politik, které je zajímají (Burns, Carson 2002: 134).</w:t>
      </w:r>
      <w:r w:rsidR="00A736C8">
        <w:t xml:space="preserve"> Je potřeba mít na paměti, že </w:t>
      </w:r>
      <w:r w:rsidR="00B65971">
        <w:t>u</w:t>
      </w:r>
      <w:r w:rsidR="008D1595">
        <w:t> </w:t>
      </w:r>
      <w:r w:rsidR="00A736C8">
        <w:t xml:space="preserve">obou korporativistických teorií má zásadní roli stát. Právě stát organizuje zájmové skupiny se kterými bude jednat </w:t>
      </w:r>
      <w:r w:rsidR="00B65971">
        <w:t>a</w:t>
      </w:r>
      <w:r w:rsidR="00053E6E">
        <w:t xml:space="preserve"> </w:t>
      </w:r>
      <w:r w:rsidR="00A736C8">
        <w:t>určuje, které zájmové skupiny to budou</w:t>
      </w:r>
      <w:r w:rsidR="00562D7D">
        <w:t>,</w:t>
      </w:r>
      <w:r w:rsidR="00A736C8">
        <w:t xml:space="preserve"> především na základě toho, jaké jsou národní zájmy. Od těchto organizací pak očekává</w:t>
      </w:r>
      <w:r w:rsidR="00562D7D">
        <w:t xml:space="preserve">, že na oplátku státu pomohou provádět jeho politiku </w:t>
      </w:r>
      <w:r w:rsidR="00B65971">
        <w:t>a</w:t>
      </w:r>
      <w:r w:rsidR="008E17E4">
        <w:t> </w:t>
      </w:r>
      <w:r w:rsidR="00562D7D">
        <w:t xml:space="preserve">program. Stát tedy musí být hlavním manažer, ředitel </w:t>
      </w:r>
      <w:r w:rsidR="00B65971">
        <w:t>a</w:t>
      </w:r>
      <w:r w:rsidR="00053E6E">
        <w:t xml:space="preserve"> </w:t>
      </w:r>
      <w:r w:rsidR="00562D7D">
        <w:t xml:space="preserve">finální arbitr (Adams 2002: </w:t>
      </w:r>
      <w:r w:rsidR="00B65971">
        <w:t>5</w:t>
      </w:r>
      <w:r w:rsidR="00562D7D">
        <w:t>-</w:t>
      </w:r>
      <w:r w:rsidR="00B65971">
        <w:t>6</w:t>
      </w:r>
      <w:r w:rsidR="00562D7D">
        <w:t>).</w:t>
      </w:r>
      <w:r w:rsidR="00F63FB9">
        <w:t xml:space="preserve"> </w:t>
      </w:r>
      <w:r w:rsidR="00352952">
        <w:t xml:space="preserve">Díky spolupráci se státem pak mají tyto zájmové skupiny privilegované postavení vůči jiným </w:t>
      </w:r>
      <w:r w:rsidR="007725CD">
        <w:t>ne</w:t>
      </w:r>
      <w:r w:rsidR="00352952">
        <w:t>státním o</w:t>
      </w:r>
      <w:r w:rsidR="00373158">
        <w:t>rgánům (Laboutková 2010: 156). Shrnuto, neokorporativismus zdůrazňuje vyjadřování zájm</w:t>
      </w:r>
      <w:r w:rsidR="00EC0F58">
        <w:t>ů</w:t>
      </w:r>
      <w:r w:rsidR="00373158">
        <w:t xml:space="preserve"> skrze vysoce organizované </w:t>
      </w:r>
      <w:r w:rsidR="00B65971">
        <w:t>a</w:t>
      </w:r>
      <w:r w:rsidR="00053E6E">
        <w:t xml:space="preserve"> </w:t>
      </w:r>
      <w:r w:rsidR="00373158">
        <w:t xml:space="preserve">stabilní vztahy mezi vládou </w:t>
      </w:r>
      <w:r w:rsidR="00B65971">
        <w:t>a</w:t>
      </w:r>
      <w:r w:rsidR="00053E6E">
        <w:t xml:space="preserve"> </w:t>
      </w:r>
      <w:r w:rsidR="00373158">
        <w:t xml:space="preserve">zájmovými organizacemi. Stát se vůči zájmovým organizacím chová intervencionisticky jelikož určuje své vztahy </w:t>
      </w:r>
      <w:r w:rsidR="00B65971">
        <w:t>s</w:t>
      </w:r>
      <w:r w:rsidR="00053E6E">
        <w:t xml:space="preserve"> </w:t>
      </w:r>
      <w:r w:rsidR="00373158">
        <w:t>těmito skupinami (Burns, Carson 2002: 134).</w:t>
      </w:r>
      <w:r w:rsidR="00F10473">
        <w:t xml:space="preserve"> </w:t>
      </w:r>
      <w:r w:rsidR="00373158">
        <w:t xml:space="preserve">Nejčastěji zmiňovanými státy </w:t>
      </w:r>
      <w:r w:rsidR="00B65971">
        <w:t>s</w:t>
      </w:r>
      <w:r w:rsidR="008E17E4">
        <w:t> </w:t>
      </w:r>
      <w:r w:rsidR="00373158">
        <w:t xml:space="preserve">tímto systémem jsou Rakousko, skandinávské státy </w:t>
      </w:r>
      <w:r w:rsidR="00B65971">
        <w:t>a</w:t>
      </w:r>
      <w:r w:rsidR="00053E6E">
        <w:t xml:space="preserve"> </w:t>
      </w:r>
      <w:r w:rsidR="00373158">
        <w:t>Německo (Laboutková 2010: 157).</w:t>
      </w:r>
    </w:p>
    <w:p w:rsidR="006A6231" w:rsidRDefault="00A26392" w:rsidP="00880EEC">
      <w:r>
        <w:t xml:space="preserve">Nyní se budu věnovat </w:t>
      </w:r>
      <w:r w:rsidR="00C674EB">
        <w:t xml:space="preserve">fungování neokorporativismu </w:t>
      </w:r>
      <w:r w:rsidR="00B65971">
        <w:t>v</w:t>
      </w:r>
      <w:r w:rsidR="00053E6E">
        <w:t xml:space="preserve"> </w:t>
      </w:r>
      <w:r w:rsidR="00C674EB">
        <w:t xml:space="preserve">EU. </w:t>
      </w:r>
      <w:r w:rsidR="00545501">
        <w:t xml:space="preserve">Základním rozdílem pro fungování neokorporativismu </w:t>
      </w:r>
      <w:r w:rsidR="00B65971">
        <w:t>v</w:t>
      </w:r>
      <w:r w:rsidR="00053E6E">
        <w:t xml:space="preserve"> </w:t>
      </w:r>
      <w:r w:rsidR="00545501">
        <w:t xml:space="preserve">EU je fakt, že Evropská unie není klasickým státem </w:t>
      </w:r>
      <w:r w:rsidR="00B65971">
        <w:t>v</w:t>
      </w:r>
      <w:r w:rsidR="008D1595">
        <w:t> </w:t>
      </w:r>
      <w:r w:rsidR="00545501">
        <w:t xml:space="preserve">Evropském či mezinárodním smyslu. Místo toho je potřeba EU vnímat jako novou formu supra-nacionální autority, která ale stále vychází ze silných národních autorit. Podstatným rozdílem je také fakt, že funkce </w:t>
      </w:r>
      <w:r w:rsidR="00B65971">
        <w:t>a</w:t>
      </w:r>
      <w:r w:rsidR="00053E6E">
        <w:t xml:space="preserve"> </w:t>
      </w:r>
      <w:r w:rsidR="00545501">
        <w:t xml:space="preserve">role institucí </w:t>
      </w:r>
      <w:r w:rsidR="00B65971">
        <w:t>v</w:t>
      </w:r>
      <w:r w:rsidR="00053E6E">
        <w:t xml:space="preserve"> </w:t>
      </w:r>
      <w:r w:rsidR="00545501">
        <w:t xml:space="preserve">EU jsou nejasné </w:t>
      </w:r>
      <w:r w:rsidR="00B65971">
        <w:t>a</w:t>
      </w:r>
      <w:r w:rsidR="00053E6E">
        <w:t xml:space="preserve"> </w:t>
      </w:r>
      <w:r w:rsidR="00545501">
        <w:t xml:space="preserve">často se přesouvají (Burns, Carson 2002: 139, 142). </w:t>
      </w:r>
      <w:r w:rsidR="00700ABB">
        <w:t xml:space="preserve">Odborníci, kteří se neokorporativismem </w:t>
      </w:r>
      <w:r w:rsidR="00B65971">
        <w:t>v</w:t>
      </w:r>
      <w:r w:rsidR="00053E6E">
        <w:t xml:space="preserve"> </w:t>
      </w:r>
      <w:r w:rsidR="00700ABB">
        <w:t>EU zabývají mohou být rozdělení na dvě skupiny.</w:t>
      </w:r>
      <w:r w:rsidR="00F10473">
        <w:t xml:space="preserve"> </w:t>
      </w:r>
      <w:r w:rsidR="00700ABB">
        <w:t xml:space="preserve">Ta první </w:t>
      </w:r>
      <w:r w:rsidR="00B65971">
        <w:t>v</w:t>
      </w:r>
      <w:r w:rsidR="00053E6E">
        <w:t xml:space="preserve"> </w:t>
      </w:r>
      <w:r w:rsidR="00700ABB">
        <w:t xml:space="preserve">podstatě odmítá existenci jakýchkoliv prvků neokorporativismu </w:t>
      </w:r>
      <w:r w:rsidR="00B65971">
        <w:t>v</w:t>
      </w:r>
      <w:r w:rsidR="00053E6E">
        <w:t xml:space="preserve"> </w:t>
      </w:r>
      <w:r w:rsidR="00700ABB">
        <w:t xml:space="preserve">EU, což také vychází </w:t>
      </w:r>
      <w:r w:rsidR="00B65971">
        <w:t>z</w:t>
      </w:r>
      <w:r w:rsidR="00053E6E">
        <w:t xml:space="preserve"> </w:t>
      </w:r>
      <w:r w:rsidR="00700ABB">
        <w:t>jejich chápání neokorporativismu jako přítomnost</w:t>
      </w:r>
      <w:r w:rsidR="00CA1020">
        <w:t>i</w:t>
      </w:r>
      <w:r w:rsidR="00700ABB">
        <w:t xml:space="preserve"> monopolistických </w:t>
      </w:r>
      <w:r w:rsidR="00B65971">
        <w:t>a</w:t>
      </w:r>
      <w:r w:rsidR="00053E6E">
        <w:t xml:space="preserve"> </w:t>
      </w:r>
      <w:r w:rsidR="00700ABB">
        <w:t xml:space="preserve">hiearchických zástupců </w:t>
      </w:r>
      <w:r w:rsidR="002411FF">
        <w:t xml:space="preserve">pouze </w:t>
      </w:r>
      <w:r w:rsidR="00700ABB">
        <w:t xml:space="preserve">odborů </w:t>
      </w:r>
      <w:r w:rsidR="00B65971">
        <w:t>a</w:t>
      </w:r>
      <w:r w:rsidR="00053E6E">
        <w:t xml:space="preserve"> </w:t>
      </w:r>
      <w:r w:rsidR="00700ABB">
        <w:t>kapitálu</w:t>
      </w:r>
      <w:r w:rsidR="002411FF">
        <w:t>. Druhá skupina připouští přítomnost prvků neokorporativismu,</w:t>
      </w:r>
      <w:r w:rsidR="00F10473">
        <w:t xml:space="preserve"> </w:t>
      </w:r>
      <w:r w:rsidR="002411FF">
        <w:t xml:space="preserve">například Grunert upozorňuje na přítomnost neokorporativismu při řešení krize se železem </w:t>
      </w:r>
      <w:r w:rsidR="00B65971">
        <w:t>v</w:t>
      </w:r>
      <w:r w:rsidR="00053E6E">
        <w:t xml:space="preserve"> </w:t>
      </w:r>
      <w:r w:rsidR="002411FF">
        <w:t>80. letech</w:t>
      </w:r>
      <w:r w:rsidR="001E5CF1">
        <w:t xml:space="preserve"> (Gorges 1996: </w:t>
      </w:r>
      <w:r w:rsidR="00B65971">
        <w:t>7</w:t>
      </w:r>
      <w:r w:rsidR="001E5CF1">
        <w:t>-</w:t>
      </w:r>
      <w:r w:rsidR="00B65971">
        <w:t>8</w:t>
      </w:r>
      <w:r w:rsidR="001E5CF1">
        <w:t>)</w:t>
      </w:r>
      <w:r w:rsidR="002411FF">
        <w:t>.</w:t>
      </w:r>
      <w:r w:rsidR="002B6C5E">
        <w:t xml:space="preserve"> </w:t>
      </w:r>
      <w:r w:rsidR="003122B4">
        <w:t xml:space="preserve">Už Římská smlouva se zmiňovala </w:t>
      </w:r>
      <w:r w:rsidR="00B65971">
        <w:t>o</w:t>
      </w:r>
      <w:r w:rsidR="00053E6E">
        <w:t xml:space="preserve"> </w:t>
      </w:r>
      <w:r w:rsidR="003122B4">
        <w:t>idei vytvoření tripartitního dialogu skrze tzv. Economic and Social Committee (ESC). To mělo určitým zájmovým skupinám poskytnou</w:t>
      </w:r>
      <w:r w:rsidR="007725CD">
        <w:t>t</w:t>
      </w:r>
      <w:r w:rsidR="003122B4">
        <w:t xml:space="preserve"> privilegovaný přístup </w:t>
      </w:r>
      <w:r w:rsidR="00B65971">
        <w:t>k</w:t>
      </w:r>
      <w:r w:rsidR="008D1595">
        <w:t> </w:t>
      </w:r>
      <w:r w:rsidR="003122B4">
        <w:t>EU. Nicméně díky konzervativním vládám 80. let, ESC nikdy nedokázalo naplnit svůj potenci</w:t>
      </w:r>
      <w:r w:rsidR="00F05F3C">
        <w:t xml:space="preserve">ál (Streeck 1991: </w:t>
      </w:r>
      <w:r w:rsidR="00B65971">
        <w:t>6</w:t>
      </w:r>
      <w:r w:rsidR="00F05F3C">
        <w:t xml:space="preserve">). Už zde lze ale vidět první snahu </w:t>
      </w:r>
      <w:r w:rsidR="00B65971">
        <w:t>o</w:t>
      </w:r>
      <w:r w:rsidR="008E17E4">
        <w:t> </w:t>
      </w:r>
      <w:r w:rsidR="00F05F3C">
        <w:t>zahrnutí neokorporativistických prvků.</w:t>
      </w:r>
      <w:r w:rsidR="00CA1020">
        <w:t xml:space="preserve"> </w:t>
      </w:r>
      <w:r w:rsidR="00B65971">
        <w:t>V</w:t>
      </w:r>
      <w:r w:rsidR="00053E6E">
        <w:t xml:space="preserve"> </w:t>
      </w:r>
      <w:r w:rsidR="009A0C22">
        <w:t xml:space="preserve">souvislosti </w:t>
      </w:r>
      <w:r w:rsidR="00B65971">
        <w:t>s</w:t>
      </w:r>
      <w:r w:rsidR="00053E6E">
        <w:t xml:space="preserve"> </w:t>
      </w:r>
      <w:r w:rsidR="009A0C22">
        <w:t xml:space="preserve">neokorporativismem někteří autoři poukazují </w:t>
      </w:r>
      <w:r w:rsidR="00CA1020">
        <w:t>také</w:t>
      </w:r>
      <w:r w:rsidR="009A0C22">
        <w:t xml:space="preserve"> na roli Komise, která se snaží </w:t>
      </w:r>
      <w:r w:rsidR="00B65971">
        <w:t>o</w:t>
      </w:r>
      <w:r w:rsidR="00053E6E">
        <w:t xml:space="preserve"> </w:t>
      </w:r>
      <w:r w:rsidR="009A0C22">
        <w:t xml:space="preserve">uspořádání </w:t>
      </w:r>
      <w:r w:rsidR="00B65971">
        <w:t>a</w:t>
      </w:r>
      <w:r w:rsidR="00053E6E">
        <w:t xml:space="preserve"> </w:t>
      </w:r>
      <w:r w:rsidR="009A0C22">
        <w:t>organizaci svých vztahů se zájmovými skupinami,</w:t>
      </w:r>
      <w:r w:rsidR="00B119A6">
        <w:t xml:space="preserve"> </w:t>
      </w:r>
      <w:r w:rsidR="009A0C22">
        <w:t xml:space="preserve">podobně jako národní státy (Charrad 2009: 10; Gorges 1996: 29). </w:t>
      </w:r>
      <w:r w:rsidR="001409A7">
        <w:t xml:space="preserve">Komise také </w:t>
      </w:r>
      <w:r w:rsidR="00B65971">
        <w:t>v</w:t>
      </w:r>
      <w:r w:rsidR="00053E6E">
        <w:t xml:space="preserve"> </w:t>
      </w:r>
      <w:r w:rsidR="001409A7">
        <w:t>70.</w:t>
      </w:r>
      <w:r w:rsidR="00B119A6">
        <w:t xml:space="preserve"> letech</w:t>
      </w:r>
      <w:r w:rsidR="001409A7">
        <w:t xml:space="preserve"> nejvíce usilovala </w:t>
      </w:r>
      <w:r w:rsidR="00B65971">
        <w:t>o</w:t>
      </w:r>
      <w:r w:rsidR="008D1595">
        <w:t> </w:t>
      </w:r>
      <w:r w:rsidR="001409A7">
        <w:t xml:space="preserve">vytvoření tripartitního dialogu, </w:t>
      </w:r>
      <w:r w:rsidR="00F10473">
        <w:t>hlavně</w:t>
      </w:r>
      <w:r w:rsidR="001409A7">
        <w:t xml:space="preserve"> se zástupci odborů </w:t>
      </w:r>
      <w:r w:rsidR="00B65971">
        <w:t>a</w:t>
      </w:r>
      <w:r w:rsidR="00053E6E">
        <w:t xml:space="preserve"> </w:t>
      </w:r>
      <w:r w:rsidR="001409A7">
        <w:t xml:space="preserve">byznysu, ale neuspěla. </w:t>
      </w:r>
      <w:r w:rsidR="00B65971">
        <w:t>V</w:t>
      </w:r>
      <w:r w:rsidR="00053E6E">
        <w:t xml:space="preserve"> </w:t>
      </w:r>
      <w:r w:rsidR="001409A7">
        <w:t xml:space="preserve">80. letech to zkusila Komise znovu </w:t>
      </w:r>
      <w:r w:rsidR="00B65971">
        <w:t>a</w:t>
      </w:r>
      <w:r w:rsidR="00053E6E">
        <w:t xml:space="preserve"> </w:t>
      </w:r>
      <w:r w:rsidR="00B65971">
        <w:t>i</w:t>
      </w:r>
      <w:r w:rsidR="00053E6E">
        <w:t xml:space="preserve"> </w:t>
      </w:r>
      <w:r w:rsidR="001409A7">
        <w:t xml:space="preserve">díky </w:t>
      </w:r>
      <w:r w:rsidR="001409A7">
        <w:lastRenderedPageBreak/>
        <w:t xml:space="preserve">jednáním se zájmovými skupinami se jí podařilo přesvědčit členské státy </w:t>
      </w:r>
      <w:r w:rsidR="00B65971">
        <w:t>o</w:t>
      </w:r>
      <w:r w:rsidR="00053E6E">
        <w:t xml:space="preserve"> </w:t>
      </w:r>
      <w:r w:rsidR="001409A7">
        <w:t xml:space="preserve">potřebě „sociálního dialogu“ (Gorges 1996: 113-114). </w:t>
      </w:r>
      <w:r w:rsidR="00B65971">
        <w:t>I</w:t>
      </w:r>
      <w:r w:rsidR="00053E6E">
        <w:t xml:space="preserve"> </w:t>
      </w:r>
      <w:r w:rsidR="001409A7">
        <w:t xml:space="preserve">dnes můžeme </w:t>
      </w:r>
      <w:r w:rsidR="00B65971">
        <w:t>v</w:t>
      </w:r>
      <w:r w:rsidR="008D1595">
        <w:t xml:space="preserve"> </w:t>
      </w:r>
      <w:r w:rsidR="001409A7">
        <w:t xml:space="preserve">EU najít neokorporativistické prvky </w:t>
      </w:r>
      <w:r w:rsidR="00B65971">
        <w:t>a</w:t>
      </w:r>
      <w:r w:rsidR="00053E6E">
        <w:t xml:space="preserve"> </w:t>
      </w:r>
      <w:r w:rsidR="001409A7">
        <w:t xml:space="preserve">to </w:t>
      </w:r>
      <w:r w:rsidR="00B65971">
        <w:t>v</w:t>
      </w:r>
      <w:r w:rsidR="00053E6E">
        <w:t xml:space="preserve"> </w:t>
      </w:r>
      <w:r w:rsidR="001409A7">
        <w:t xml:space="preserve">sektorech, které se vyznačují dobře organizovanými </w:t>
      </w:r>
      <w:r w:rsidR="00B65971">
        <w:t>a</w:t>
      </w:r>
      <w:r w:rsidR="008E17E4">
        <w:t> </w:t>
      </w:r>
      <w:r w:rsidR="001409A7">
        <w:t>jasnými mechanizmy.</w:t>
      </w:r>
      <w:r w:rsidR="0049713E">
        <w:t xml:space="preserve"> </w:t>
      </w:r>
      <w:r w:rsidR="00B65971">
        <w:t>V</w:t>
      </w:r>
      <w:r w:rsidR="00053E6E">
        <w:t xml:space="preserve"> </w:t>
      </w:r>
      <w:r w:rsidR="0049713E">
        <w:t>t</w:t>
      </w:r>
      <w:r w:rsidR="001409A7">
        <w:t>akových sektorech pak vznikaj</w:t>
      </w:r>
      <w:r w:rsidR="00F10473">
        <w:t>í</w:t>
      </w:r>
      <w:r w:rsidR="0049713E">
        <w:t xml:space="preserve"> </w:t>
      </w:r>
      <w:r w:rsidR="001409A7">
        <w:t xml:space="preserve">organizační charakteristiky </w:t>
      </w:r>
      <w:r w:rsidR="0049713E">
        <w:t xml:space="preserve">neokorporativního systému. Za takovéto sektory lze považovat například oblasti farmacie či energetiky, zde vznikají jasná centra vyjednávání </w:t>
      </w:r>
      <w:r w:rsidR="00B65971">
        <w:t>a</w:t>
      </w:r>
      <w:r w:rsidR="00053E6E">
        <w:t xml:space="preserve"> </w:t>
      </w:r>
      <w:r w:rsidR="0049713E">
        <w:t xml:space="preserve">moci, která budou homogenní </w:t>
      </w:r>
      <w:r w:rsidR="00B65971">
        <w:t>a</w:t>
      </w:r>
      <w:r w:rsidR="00053E6E">
        <w:t xml:space="preserve"> </w:t>
      </w:r>
      <w:r w:rsidR="0049713E">
        <w:t>bude jasně určeno členství</w:t>
      </w:r>
      <w:r w:rsidR="00CA1020">
        <w:t>,</w:t>
      </w:r>
      <w:r w:rsidR="0049713E">
        <w:t xml:space="preserve"> celý systém pak vykazuje znaky uzavřenější struktury (Burns, Carson 2002: 156-158). </w:t>
      </w:r>
      <w:r w:rsidR="00B65971">
        <w:t>I</w:t>
      </w:r>
      <w:r w:rsidR="00053E6E">
        <w:t xml:space="preserve"> </w:t>
      </w:r>
      <w:r w:rsidR="00DC0FEF">
        <w:t xml:space="preserve">přesto, že se EU výrazně liší od národních států, lze vidět, že prvky neokorporativismu se </w:t>
      </w:r>
      <w:r w:rsidR="00B65971">
        <w:t>v</w:t>
      </w:r>
      <w:r w:rsidR="00053E6E">
        <w:t xml:space="preserve"> </w:t>
      </w:r>
      <w:r w:rsidR="00DC0FEF">
        <w:t xml:space="preserve">ní vyskytují (Michalowitz 2002: 37, 50) </w:t>
      </w:r>
      <w:r w:rsidR="00B65971">
        <w:t>a</w:t>
      </w:r>
      <w:r w:rsidR="00053E6E">
        <w:t xml:space="preserve"> </w:t>
      </w:r>
      <w:r w:rsidR="00DC0FEF">
        <w:t xml:space="preserve">proto je validní využití neokorporativismu </w:t>
      </w:r>
      <w:r w:rsidR="00B65971">
        <w:t>v</w:t>
      </w:r>
      <w:r w:rsidR="00053E6E">
        <w:t xml:space="preserve"> </w:t>
      </w:r>
      <w:r w:rsidR="00DC0FEF">
        <w:t xml:space="preserve">teoriích zájmových skupin </w:t>
      </w:r>
      <w:r w:rsidR="00B65971">
        <w:t>a</w:t>
      </w:r>
      <w:r w:rsidR="00053E6E">
        <w:t xml:space="preserve"> </w:t>
      </w:r>
      <w:r w:rsidR="00DC0FEF">
        <w:t xml:space="preserve">vztahu </w:t>
      </w:r>
      <w:r w:rsidR="00B65971">
        <w:t>k</w:t>
      </w:r>
      <w:r w:rsidR="00053E6E">
        <w:t xml:space="preserve"> </w:t>
      </w:r>
      <w:r w:rsidR="00DC0FEF">
        <w:t>EU.</w:t>
      </w:r>
    </w:p>
    <w:p w:rsidR="006A6231" w:rsidRDefault="006A6231" w:rsidP="00FB7BBD">
      <w:pPr>
        <w:pStyle w:val="Heading3"/>
      </w:pPr>
    </w:p>
    <w:p w:rsidR="001B749F" w:rsidRDefault="00B65971" w:rsidP="008033E2">
      <w:pPr>
        <w:pStyle w:val="Heading3"/>
      </w:pPr>
      <w:bookmarkStart w:id="7" w:name="_Toc7414195"/>
      <w:r>
        <w:t>1</w:t>
      </w:r>
      <w:r w:rsidR="00FB7BBD">
        <w:t>.</w:t>
      </w:r>
      <w:r>
        <w:t>2</w:t>
      </w:r>
      <w:r w:rsidR="00FB7BBD">
        <w:t>.</w:t>
      </w:r>
      <w:r>
        <w:t>2</w:t>
      </w:r>
      <w:r w:rsidR="00053E6E">
        <w:t xml:space="preserve"> </w:t>
      </w:r>
      <w:r w:rsidR="00FB7BBD">
        <w:t>Teorie pluralismu</w:t>
      </w:r>
      <w:bookmarkEnd w:id="7"/>
    </w:p>
    <w:p w:rsidR="006A6231" w:rsidRDefault="008033E2" w:rsidP="008033E2">
      <w:r>
        <w:t xml:space="preserve">První zmínky </w:t>
      </w:r>
      <w:r w:rsidR="00B65971">
        <w:t>o</w:t>
      </w:r>
      <w:r w:rsidR="00053E6E">
        <w:t xml:space="preserve"> </w:t>
      </w:r>
      <w:r>
        <w:t xml:space="preserve">teorii pluralismu pocházejí již ze slavného díla </w:t>
      </w:r>
      <w:r>
        <w:rPr>
          <w:i/>
        </w:rPr>
        <w:t>Federalista</w:t>
      </w:r>
      <w:r w:rsidR="00621455">
        <w:rPr>
          <w:i/>
        </w:rPr>
        <w:t>,</w:t>
      </w:r>
      <w:r>
        <w:t xml:space="preserve"> ve kterém James Madison zmiňuje, že mechanismy nové americké ústavy byly vytvořeny tak, aby vyvažovaly interní konflikty mezi frakcemi </w:t>
      </w:r>
      <w:r w:rsidR="00B65971">
        <w:t>a</w:t>
      </w:r>
      <w:r w:rsidR="00053E6E">
        <w:t xml:space="preserve"> </w:t>
      </w:r>
      <w:r>
        <w:t>jednotlivými zájmy</w:t>
      </w:r>
      <w:r w:rsidR="003324D7" w:rsidRPr="002D493F">
        <w:rPr>
          <w:b/>
        </w:rPr>
        <w:t xml:space="preserve"> </w:t>
      </w:r>
      <w:r w:rsidR="007F1D34">
        <w:t>(Cigler and Loomis</w:t>
      </w:r>
      <w:r w:rsidR="001651BF">
        <w:t xml:space="preserve"> 2002: </w:t>
      </w:r>
      <w:r w:rsidR="00B65971">
        <w:t>2</w:t>
      </w:r>
      <w:r w:rsidR="001651BF">
        <w:t>)</w:t>
      </w:r>
      <w:r w:rsidR="00027D20">
        <w:t>.</w:t>
      </w:r>
      <w:r w:rsidR="001B0251">
        <w:t xml:space="preserve"> Navíc</w:t>
      </w:r>
      <w:r w:rsidR="00F10473">
        <w:t>,</w:t>
      </w:r>
      <w:r w:rsidR="001B0251">
        <w:t xml:space="preserve"> podle Madisona regulace těchto různorodých zájmů má být jedním hlavních úkolů moderní legislativy</w:t>
      </w:r>
      <w:r w:rsidR="00063392">
        <w:t xml:space="preserve"> </w:t>
      </w:r>
      <w:r w:rsidR="001B0251">
        <w:t>(Truman 1951:</w:t>
      </w:r>
      <w:r w:rsidR="00063392">
        <w:t xml:space="preserve"> </w:t>
      </w:r>
      <w:r w:rsidR="00B65971">
        <w:t>5</w:t>
      </w:r>
      <w:r w:rsidR="001B0251">
        <w:t>).</w:t>
      </w:r>
      <w:r w:rsidR="00F96A8E">
        <w:t xml:space="preserve"> </w:t>
      </w:r>
      <w:r w:rsidR="00027D20">
        <w:t xml:space="preserve">Klasický pluralismus </w:t>
      </w:r>
      <w:r w:rsidR="001B0251">
        <w:t xml:space="preserve">pak </w:t>
      </w:r>
      <w:r w:rsidR="00027D20">
        <w:t xml:space="preserve">je spojován především </w:t>
      </w:r>
      <w:r w:rsidR="00B65971">
        <w:t>s</w:t>
      </w:r>
      <w:r w:rsidR="00BB4E03">
        <w:t> </w:t>
      </w:r>
      <w:r w:rsidR="00027D20">
        <w:t xml:space="preserve">angloamerickou demokratickou tradicí </w:t>
      </w:r>
      <w:r w:rsidR="00B65971">
        <w:t>a</w:t>
      </w:r>
      <w:r w:rsidR="00053E6E">
        <w:t xml:space="preserve"> </w:t>
      </w:r>
      <w:r w:rsidR="00027D20">
        <w:t xml:space="preserve">politology Arthurem </w:t>
      </w:r>
      <w:r w:rsidR="00B65971">
        <w:t>F </w:t>
      </w:r>
      <w:r w:rsidR="00027D20">
        <w:t xml:space="preserve">. Benleyem, Davidem </w:t>
      </w:r>
      <w:r w:rsidR="00B65971">
        <w:t>B</w:t>
      </w:r>
      <w:r w:rsidR="00027D20">
        <w:t xml:space="preserve">. Trumanem </w:t>
      </w:r>
      <w:r w:rsidR="00B65971">
        <w:t>a</w:t>
      </w:r>
      <w:r w:rsidR="00053E6E">
        <w:t xml:space="preserve"> </w:t>
      </w:r>
      <w:r w:rsidR="00027D20">
        <w:t>Robertem Dahlem (Laboutková 2010: 151).</w:t>
      </w:r>
      <w:r w:rsidR="00C476CA">
        <w:t xml:space="preserve"> </w:t>
      </w:r>
      <w:r w:rsidR="00B627AB">
        <w:t>Za model pluralismu zájmových skupin jsou považovány</w:t>
      </w:r>
      <w:r w:rsidR="00C476CA">
        <w:t xml:space="preserve"> především</w:t>
      </w:r>
      <w:r w:rsidR="00402C6D">
        <w:t xml:space="preserve"> tedy</w:t>
      </w:r>
      <w:r w:rsidR="00C476CA">
        <w:t xml:space="preserve"> Spoje</w:t>
      </w:r>
      <w:r w:rsidR="00B627AB">
        <w:t>né</w:t>
      </w:r>
      <w:r w:rsidR="00C476CA">
        <w:t xml:space="preserve"> státy</w:t>
      </w:r>
      <w:r w:rsidR="00CA1020">
        <w:t xml:space="preserve"> americké</w:t>
      </w:r>
      <w:r w:rsidR="00B627AB">
        <w:t xml:space="preserve"> </w:t>
      </w:r>
      <w:r w:rsidR="00C476CA">
        <w:t>(Zabkowicz 2014: 10</w:t>
      </w:r>
      <w:r w:rsidR="00B55BEC">
        <w:t>).</w:t>
      </w:r>
      <w:r w:rsidR="006675DB">
        <w:t xml:space="preserve"> </w:t>
      </w:r>
      <w:r w:rsidR="00352AEF">
        <w:t xml:space="preserve">Bentley vnímal pluralitní vládnutí jako neustálý proces řešení konfliktů mezi zájmovými skupinami </w:t>
      </w:r>
      <w:r w:rsidR="00B65971">
        <w:t>a</w:t>
      </w:r>
      <w:r w:rsidR="00BB4E03">
        <w:t> </w:t>
      </w:r>
      <w:r w:rsidR="00352AEF">
        <w:t xml:space="preserve">za jednu ze zájmových skupin považoval také vládu (Laboutková 2010: 151). Truman vychází </w:t>
      </w:r>
      <w:r w:rsidR="00B65971">
        <w:t>z</w:t>
      </w:r>
      <w:r w:rsidR="00BB4E03">
        <w:t> </w:t>
      </w:r>
      <w:r w:rsidR="00352AEF">
        <w:t xml:space="preserve">Bentleyho </w:t>
      </w:r>
      <w:r w:rsidR="00B65971">
        <w:t>a</w:t>
      </w:r>
      <w:r w:rsidR="00053E6E">
        <w:t xml:space="preserve"> </w:t>
      </w:r>
      <w:r w:rsidR="00352AEF">
        <w:t xml:space="preserve">tvrdí, že tyto konflikty nejsou výrazem nestability vlády </w:t>
      </w:r>
      <w:r w:rsidR="00B65971">
        <w:t>a</w:t>
      </w:r>
      <w:r w:rsidR="00053E6E">
        <w:t xml:space="preserve"> </w:t>
      </w:r>
      <w:r w:rsidR="00352AEF">
        <w:t xml:space="preserve">je podle něj mylné je tak interpretovat </w:t>
      </w:r>
      <w:r w:rsidR="00352AEF" w:rsidRPr="00621455">
        <w:rPr>
          <w:b/>
        </w:rPr>
        <w:t>(</w:t>
      </w:r>
      <w:r w:rsidR="00352AEF" w:rsidRPr="0033383C">
        <w:t>Říchová 2000:</w:t>
      </w:r>
      <w:r w:rsidR="008E17E4">
        <w:t xml:space="preserve"> </w:t>
      </w:r>
      <w:r w:rsidR="00352AEF" w:rsidRPr="0033383C">
        <w:t>148</w:t>
      </w:r>
      <w:r w:rsidR="00352AEF">
        <w:t>)</w:t>
      </w:r>
      <w:r w:rsidR="00F24B38">
        <w:t xml:space="preserve">. </w:t>
      </w:r>
      <w:r w:rsidR="00352AEF">
        <w:t xml:space="preserve">Věnoval se také rovnováze působení zájmových skupin, která je podle něj </w:t>
      </w:r>
      <w:r w:rsidR="00B65971">
        <w:t>v</w:t>
      </w:r>
      <w:r w:rsidR="00053E6E">
        <w:t xml:space="preserve"> </w:t>
      </w:r>
      <w:r w:rsidR="00352AEF">
        <w:t>pluralismu zajištěna tím, že žádný zájem není nadřazen druhým</w:t>
      </w:r>
      <w:r w:rsidR="001A041F">
        <w:t>. Stát vnímal jako neutrálního arbitra</w:t>
      </w:r>
      <w:r w:rsidR="00F10473">
        <w:t>.</w:t>
      </w:r>
      <w:r w:rsidR="001A041F">
        <w:t xml:space="preserve"> (Laboutková 2010: 152). Dahl svůj pluralistický přístup zahrnul do své teorie polyarchie. </w:t>
      </w:r>
      <w:r w:rsidR="00B65971">
        <w:t>V</w:t>
      </w:r>
      <w:r w:rsidR="00053E6E">
        <w:t xml:space="preserve"> </w:t>
      </w:r>
      <w:r w:rsidR="001A041F">
        <w:t xml:space="preserve">rámci této teorie předpokládá, že společenské zájmy </w:t>
      </w:r>
      <w:r w:rsidR="00DF4B6F">
        <w:t xml:space="preserve">jsou organizované </w:t>
      </w:r>
      <w:r w:rsidR="00B65971">
        <w:t>a</w:t>
      </w:r>
      <w:r w:rsidR="00BB4E03">
        <w:t> </w:t>
      </w:r>
      <w:r w:rsidR="00DF4B6F">
        <w:t xml:space="preserve">že si vzájemně konkurují. Podstatným znakem jeho polyarchie je totiž absence zvýhodňování jedinců či skupin před ostatními (Říchová 2000). Evropské pojetí pluralismu </w:t>
      </w:r>
      <w:r w:rsidR="00B65971">
        <w:t>a</w:t>
      </w:r>
      <w:r w:rsidR="00053E6E">
        <w:t xml:space="preserve"> </w:t>
      </w:r>
      <w:r w:rsidR="00DF4B6F">
        <w:t>jeho aplikace se liš</w:t>
      </w:r>
      <w:r w:rsidR="00F10473">
        <w:t>il</w:t>
      </w:r>
      <w:r w:rsidR="00402C6D">
        <w:t>y</w:t>
      </w:r>
      <w:r w:rsidR="00DF4B6F">
        <w:t xml:space="preserve"> od americk</w:t>
      </w:r>
      <w:r w:rsidR="00F10473">
        <w:t>ého</w:t>
      </w:r>
      <w:r w:rsidR="00DF4B6F">
        <w:t xml:space="preserve"> </w:t>
      </w:r>
      <w:r w:rsidR="00402C6D">
        <w:t xml:space="preserve">pojetí </w:t>
      </w:r>
      <w:r w:rsidR="00DF4B6F">
        <w:t xml:space="preserve">natolik, že se stalo základem tzv. korporativního pluralismu, který je charakteristický působením organizačně samostatných korporací </w:t>
      </w:r>
      <w:r w:rsidR="00B65971">
        <w:t>v</w:t>
      </w:r>
      <w:r w:rsidR="00053E6E">
        <w:t xml:space="preserve"> </w:t>
      </w:r>
      <w:r w:rsidR="00DF4B6F">
        <w:t xml:space="preserve">politických procesech </w:t>
      </w:r>
      <w:r w:rsidR="00B86B37">
        <w:t xml:space="preserve">(Laboutková 2010: 153). </w:t>
      </w:r>
    </w:p>
    <w:p w:rsidR="00B86B37" w:rsidRDefault="00B65971" w:rsidP="008033E2">
      <w:r>
        <w:lastRenderedPageBreak/>
        <w:t>I</w:t>
      </w:r>
      <w:r w:rsidR="00053E6E">
        <w:t xml:space="preserve"> </w:t>
      </w:r>
      <w:r w:rsidR="00B86B37">
        <w:t>přes různorodost konceptu pluralismu lze identifikovat určité obecné charakteristiky, které jsou společné pro většinu pojetí této teorie.</w:t>
      </w:r>
      <w:r w:rsidR="001A5F8C">
        <w:t xml:space="preserve"> </w:t>
      </w:r>
      <w:r w:rsidR="00EB524A">
        <w:t xml:space="preserve">Pluralismus </w:t>
      </w:r>
      <w:r w:rsidR="00F73A90">
        <w:t xml:space="preserve">dává zájmovým skupinám </w:t>
      </w:r>
      <w:r w:rsidR="00FE2E1F">
        <w:t>relativně</w:t>
      </w:r>
      <w:r w:rsidR="00F73A90">
        <w:t xml:space="preserve"> velkou možnost přístupu, ovšem tento přístup ke státu nezíská každá skupina. </w:t>
      </w:r>
      <w:r w:rsidR="00FE2E1F">
        <w:t>A</w:t>
      </w:r>
      <w:r w:rsidR="00F73A90">
        <w:t xml:space="preserve">by mohla skupina přístup získat </w:t>
      </w:r>
      <w:r>
        <w:t>a</w:t>
      </w:r>
      <w:r w:rsidR="00053E6E">
        <w:t xml:space="preserve"> </w:t>
      </w:r>
      <w:r w:rsidR="00F73A90">
        <w:t xml:space="preserve">ovlivnit politiku musí mít silné zdroje, jelikož stát si nevybírá </w:t>
      </w:r>
      <w:r>
        <w:t>s</w:t>
      </w:r>
      <w:r w:rsidR="00BB4E03">
        <w:t> </w:t>
      </w:r>
      <w:r w:rsidR="00F73A90">
        <w:t>kým bude jednat, ale nechává zájmové skupiny mezi sebou volně soutěžit (Burns and Flam 1987: 380).</w:t>
      </w:r>
      <w:r w:rsidR="004658D7">
        <w:t xml:space="preserve"> Skupiny, které jsou v</w:t>
      </w:r>
      <w:r w:rsidR="00BD6BC7">
        <w:t>e</w:t>
      </w:r>
      <w:r w:rsidR="004658D7">
        <w:t> </w:t>
      </w:r>
      <w:r w:rsidR="00BD6BC7">
        <w:t xml:space="preserve">volné </w:t>
      </w:r>
      <w:r w:rsidR="004658D7">
        <w:t xml:space="preserve">soutěži úspěšnější tedy získavají lepší přístup </w:t>
      </w:r>
      <w:r>
        <w:t>a</w:t>
      </w:r>
      <w:r w:rsidR="008E17E4">
        <w:t> </w:t>
      </w:r>
      <w:r w:rsidR="00BD6BC7">
        <w:t xml:space="preserve">větší </w:t>
      </w:r>
      <w:r w:rsidR="00912924">
        <w:t>š</w:t>
      </w:r>
      <w:r w:rsidR="00BD6BC7">
        <w:t>anci</w:t>
      </w:r>
      <w:r w:rsidR="00912924">
        <w:t xml:space="preserve">, </w:t>
      </w:r>
      <w:r w:rsidR="00BD6BC7">
        <w:t xml:space="preserve">aby jejich zájmy byly nejen vyslechnuty ale </w:t>
      </w:r>
      <w:r>
        <w:t>i</w:t>
      </w:r>
      <w:r w:rsidR="00053E6E">
        <w:t xml:space="preserve"> </w:t>
      </w:r>
      <w:r w:rsidR="00BD6BC7">
        <w:t xml:space="preserve">vzaty </w:t>
      </w:r>
      <w:r>
        <w:t>v</w:t>
      </w:r>
      <w:r w:rsidR="00053E6E">
        <w:t xml:space="preserve"> </w:t>
      </w:r>
      <w:r w:rsidR="00BD6BC7">
        <w:t>potaz při tvorbě legislativy (Truman 1951: 321).</w:t>
      </w:r>
      <w:r w:rsidR="00F73A90">
        <w:t xml:space="preserve"> Pluralismus se tedy zaměřuje spíše na kompetetivnost mezi zájmovými skupinami</w:t>
      </w:r>
      <w:r w:rsidR="00CC5285">
        <w:t>,</w:t>
      </w:r>
      <w:r w:rsidR="00F73A90">
        <w:t xml:space="preserve"> stát </w:t>
      </w:r>
      <w:r w:rsidR="00CC5285">
        <w:t>na</w:t>
      </w:r>
      <w:r w:rsidR="00FE2E1F">
        <w:t xml:space="preserve"> </w:t>
      </w:r>
      <w:r w:rsidR="00CC5285">
        <w:t xml:space="preserve">rozdíl od korporativismu </w:t>
      </w:r>
      <w:r w:rsidR="00F73A90">
        <w:t xml:space="preserve">méně intervenuje </w:t>
      </w:r>
      <w:r w:rsidR="00CC5285">
        <w:t xml:space="preserve">do oblasti zájmových organizací </w:t>
      </w:r>
      <w:r>
        <w:t>a</w:t>
      </w:r>
      <w:r w:rsidR="00053E6E">
        <w:t xml:space="preserve"> </w:t>
      </w:r>
      <w:r w:rsidR="00F73A90">
        <w:t xml:space="preserve">nevytváří </w:t>
      </w:r>
      <w:r>
        <w:t>s</w:t>
      </w:r>
      <w:r w:rsidR="00053E6E">
        <w:t xml:space="preserve"> </w:t>
      </w:r>
      <w:r w:rsidR="00CC5285">
        <w:t xml:space="preserve">nimi </w:t>
      </w:r>
      <w:r w:rsidR="00F73A90">
        <w:t>struktu</w:t>
      </w:r>
      <w:r w:rsidR="00CC5285">
        <w:t>r</w:t>
      </w:r>
      <w:r w:rsidR="00F73A90">
        <w:t>ované vztahy</w:t>
      </w:r>
      <w:r w:rsidR="00CC5285">
        <w:t xml:space="preserve"> </w:t>
      </w:r>
      <w:r w:rsidR="00F73A90">
        <w:t>(Burns and Carson 2002:</w:t>
      </w:r>
      <w:r w:rsidR="00CC5285">
        <w:t xml:space="preserve"> 134).</w:t>
      </w:r>
      <w:r w:rsidR="00CC1D7D">
        <w:t xml:space="preserve"> Tato teorie tedy pohlíží na působení zájmových skupin podobně, jako na působení ekonomických organizací na volném trhu.</w:t>
      </w:r>
      <w:r w:rsidR="00EA1C0A">
        <w:t xml:space="preserve"> </w:t>
      </w:r>
      <w:r w:rsidR="00CC1D7D">
        <w:t>Díky pestrosti zájmů podle pluralistů není možné aby jeden zájem dlouhodobě převážil nad ostatními</w:t>
      </w:r>
      <w:r w:rsidR="005548EC">
        <w:t xml:space="preserve">, tyto konkurující zájmy by se měly navzájem kontrolovat </w:t>
      </w:r>
      <w:r>
        <w:t>a</w:t>
      </w:r>
      <w:r w:rsidR="00053E6E">
        <w:t xml:space="preserve"> </w:t>
      </w:r>
      <w:r w:rsidR="005548EC">
        <w:t>omezovat</w:t>
      </w:r>
      <w:r w:rsidR="00554F5E">
        <w:t xml:space="preserve"> </w:t>
      </w:r>
      <w:r w:rsidR="005548EC">
        <w:t>(Laboutková 2010: 151).</w:t>
      </w:r>
      <w:r w:rsidR="00554F5E">
        <w:t xml:space="preserve"> </w:t>
      </w:r>
      <w:r w:rsidR="004041D1">
        <w:t xml:space="preserve">Ve státech </w:t>
      </w:r>
      <w:r>
        <w:t>s</w:t>
      </w:r>
      <w:r w:rsidR="00053E6E">
        <w:t xml:space="preserve"> </w:t>
      </w:r>
      <w:r w:rsidR="004041D1">
        <w:t xml:space="preserve">pluralistickým uspořádáním vztahů se zájmovými organizacemi mají také větší šanci </w:t>
      </w:r>
      <w:r>
        <w:t>k</w:t>
      </w:r>
      <w:r w:rsidR="00053E6E">
        <w:t xml:space="preserve"> </w:t>
      </w:r>
      <w:r w:rsidR="004041D1">
        <w:t xml:space="preserve">prosazení se nové zájmy. Díky volné soutěži mají větší šanci na úspěch, než </w:t>
      </w:r>
      <w:r>
        <w:t>v</w:t>
      </w:r>
      <w:r w:rsidR="00053E6E">
        <w:t xml:space="preserve"> </w:t>
      </w:r>
      <w:r w:rsidR="004041D1">
        <w:t xml:space="preserve">korporativistickém uspořádání, kde by musely čekat až jim dá přístup samotný stát (Adams 2002: </w:t>
      </w:r>
      <w:r>
        <w:t>9</w:t>
      </w:r>
      <w:r w:rsidR="004041D1">
        <w:t>).</w:t>
      </w:r>
      <w:r w:rsidR="00053E6E">
        <w:t xml:space="preserve"> </w:t>
      </w:r>
    </w:p>
    <w:p w:rsidR="00FF1669" w:rsidRDefault="00E6181B" w:rsidP="008033E2">
      <w:r>
        <w:t xml:space="preserve">Nyní se zaměřím na </w:t>
      </w:r>
      <w:r w:rsidR="005712CF">
        <w:t xml:space="preserve">pluralismus </w:t>
      </w:r>
      <w:r w:rsidR="00B65971">
        <w:t>v</w:t>
      </w:r>
      <w:r w:rsidR="00053E6E">
        <w:t xml:space="preserve"> </w:t>
      </w:r>
      <w:r w:rsidR="005712CF">
        <w:t xml:space="preserve">souvislosti </w:t>
      </w:r>
      <w:r w:rsidR="00B65971">
        <w:t>s</w:t>
      </w:r>
      <w:r w:rsidR="00053E6E">
        <w:t xml:space="preserve"> </w:t>
      </w:r>
      <w:r>
        <w:t xml:space="preserve">EU. </w:t>
      </w:r>
      <w:r w:rsidR="00AD2F2D">
        <w:t>Podle některých EU vykaz</w:t>
      </w:r>
      <w:r w:rsidR="00FC4F0B">
        <w:t>ovala</w:t>
      </w:r>
      <w:r w:rsidR="00AD2F2D">
        <w:t xml:space="preserve"> především od období 70. let 20. století spíše prvky pluralismu než korporativismu. Vztahy EU se zájmovými skupinami jsou </w:t>
      </w:r>
      <w:r w:rsidR="00FC4F0B">
        <w:t xml:space="preserve">totiž </w:t>
      </w:r>
      <w:r w:rsidR="00AD2F2D">
        <w:t xml:space="preserve">mnohdy organizačně fragmentované </w:t>
      </w:r>
      <w:r w:rsidR="00B65971">
        <w:t>a</w:t>
      </w:r>
      <w:r w:rsidR="00053E6E">
        <w:t xml:space="preserve"> </w:t>
      </w:r>
      <w:r w:rsidR="00AD2F2D">
        <w:t xml:space="preserve">méně hiearchicky uspořádané, než jak je tomu </w:t>
      </w:r>
      <w:r w:rsidR="00B65971">
        <w:t>u</w:t>
      </w:r>
      <w:r w:rsidR="00053E6E">
        <w:t xml:space="preserve"> </w:t>
      </w:r>
      <w:r w:rsidR="00AD2F2D">
        <w:t xml:space="preserve">korporativismu. EU </w:t>
      </w:r>
      <w:r w:rsidR="00FE2E1F">
        <w:t xml:space="preserve">má </w:t>
      </w:r>
      <w:r w:rsidR="00AD2F2D">
        <w:t>čast</w:t>
      </w:r>
      <w:r w:rsidR="00FE2E1F">
        <w:t xml:space="preserve">o </w:t>
      </w:r>
      <w:r w:rsidR="00AD2F2D">
        <w:t>menší kontrolu na</w:t>
      </w:r>
      <w:r w:rsidR="005712CF">
        <w:t>d</w:t>
      </w:r>
      <w:r w:rsidR="00AD2F2D">
        <w:t xml:space="preserve"> vztahem zájmových skupin se svými členy </w:t>
      </w:r>
      <w:r w:rsidR="00B65971">
        <w:t>a</w:t>
      </w:r>
      <w:r w:rsidR="00053E6E">
        <w:t xml:space="preserve"> </w:t>
      </w:r>
      <w:r w:rsidR="00AD2F2D">
        <w:t>stejně tak příliš nevěn</w:t>
      </w:r>
      <w:r w:rsidR="00C476CA">
        <w:t>uje</w:t>
      </w:r>
      <w:r w:rsidR="00AD2F2D">
        <w:t xml:space="preserve"> pozornost vztahu mezi asociacemi </w:t>
      </w:r>
      <w:r w:rsidR="00B65971">
        <w:t>a</w:t>
      </w:r>
      <w:r w:rsidR="00053E6E">
        <w:t xml:space="preserve"> </w:t>
      </w:r>
      <w:r w:rsidR="00AD2F2D">
        <w:t xml:space="preserve">jim podřízenými skupinami (Streeck 1991: </w:t>
      </w:r>
      <w:r w:rsidR="00B65971">
        <w:t>6</w:t>
      </w:r>
      <w:r w:rsidR="00AD2F2D">
        <w:t>).</w:t>
      </w:r>
      <w:r w:rsidR="000010C3">
        <w:t xml:space="preserve"> </w:t>
      </w:r>
      <w:r w:rsidR="00B65971">
        <w:t>A</w:t>
      </w:r>
      <w:r w:rsidR="00053E6E">
        <w:t xml:space="preserve"> </w:t>
      </w:r>
      <w:r w:rsidR="000010C3">
        <w:t xml:space="preserve">jak jsem již naznačil </w:t>
      </w:r>
      <w:r w:rsidR="00B65971">
        <w:t>v</w:t>
      </w:r>
      <w:r w:rsidR="008E17E4">
        <w:t> </w:t>
      </w:r>
      <w:r w:rsidR="000010C3">
        <w:t>předchozí sekci, velmi nízká intervence státu (</w:t>
      </w:r>
      <w:r w:rsidR="00B65971">
        <w:t>v</w:t>
      </w:r>
      <w:r w:rsidR="00053E6E">
        <w:t xml:space="preserve"> </w:t>
      </w:r>
      <w:r w:rsidR="000010C3">
        <w:t>tomto případě EU)</w:t>
      </w:r>
      <w:r w:rsidR="00561105">
        <w:t xml:space="preserve"> do oblasti zájmových skupin</w:t>
      </w:r>
      <w:r w:rsidR="000010C3">
        <w:t xml:space="preserve"> je jedním </w:t>
      </w:r>
      <w:r w:rsidR="00B65971">
        <w:t>z</w:t>
      </w:r>
      <w:r w:rsidR="00BB4E03">
        <w:t> </w:t>
      </w:r>
      <w:r w:rsidR="000010C3">
        <w:t xml:space="preserve">typických znaků pluralismu. </w:t>
      </w:r>
      <w:r w:rsidR="00B65971">
        <w:t>I</w:t>
      </w:r>
      <w:r w:rsidR="00053E6E">
        <w:t xml:space="preserve"> </w:t>
      </w:r>
      <w:r w:rsidR="00B65971">
        <w:t>v</w:t>
      </w:r>
      <w:r w:rsidR="00053E6E">
        <w:t xml:space="preserve"> </w:t>
      </w:r>
      <w:r w:rsidR="000010C3">
        <w:t xml:space="preserve">90. letech se objevovaly argumenty, že </w:t>
      </w:r>
      <w:r w:rsidR="005712CF">
        <w:t>pomalejší</w:t>
      </w:r>
      <w:r w:rsidR="000010C3">
        <w:t xml:space="preserve"> růst</w:t>
      </w:r>
      <w:r w:rsidR="005712CF">
        <w:t xml:space="preserve"> životní úrovně</w:t>
      </w:r>
      <w:r w:rsidR="000010C3">
        <w:t xml:space="preserve"> </w:t>
      </w:r>
      <w:r w:rsidR="00B65971">
        <w:t>a</w:t>
      </w:r>
      <w:r w:rsidR="00053E6E">
        <w:t xml:space="preserve"> </w:t>
      </w:r>
      <w:r w:rsidR="000010C3">
        <w:t xml:space="preserve">integrace evropského trhu povedou </w:t>
      </w:r>
      <w:r w:rsidR="00B65971">
        <w:t>k</w:t>
      </w:r>
      <w:r w:rsidR="00053E6E">
        <w:t xml:space="preserve"> </w:t>
      </w:r>
      <w:r w:rsidR="000010C3">
        <w:t>redukci kolektivního vyjednávání, které je typické pro korporativismus.</w:t>
      </w:r>
      <w:r w:rsidR="00933D7A">
        <w:t xml:space="preserve"> Navíc díky mnoha přístupovým bodům </w:t>
      </w:r>
      <w:r w:rsidR="00B65971">
        <w:t>k</w:t>
      </w:r>
      <w:r w:rsidR="008E17E4">
        <w:t> </w:t>
      </w:r>
      <w:r w:rsidR="00933D7A">
        <w:t xml:space="preserve">EU, které mohou zájmové skupiny využít se zvyšuje méně centralizovaný </w:t>
      </w:r>
      <w:r w:rsidR="00B65971">
        <w:t>a</w:t>
      </w:r>
      <w:r w:rsidR="008E17E4">
        <w:t> </w:t>
      </w:r>
      <w:r w:rsidR="00933D7A">
        <w:t>fragmentovan</w:t>
      </w:r>
      <w:r w:rsidR="00554F5E">
        <w:t>ější</w:t>
      </w:r>
      <w:r w:rsidR="00933D7A">
        <w:t xml:space="preserve"> lobbing.</w:t>
      </w:r>
      <w:r w:rsidR="00B178F6">
        <w:t xml:space="preserve"> </w:t>
      </w:r>
      <w:r w:rsidR="00933D7A">
        <w:t>T</w:t>
      </w:r>
      <w:r w:rsidR="00B178F6">
        <w:t>ato</w:t>
      </w:r>
      <w:r w:rsidR="00933D7A">
        <w:t xml:space="preserve"> pozorování vedla </w:t>
      </w:r>
      <w:r w:rsidR="00B65971">
        <w:t>k</w:t>
      </w:r>
      <w:r w:rsidR="00053E6E">
        <w:t xml:space="preserve"> </w:t>
      </w:r>
      <w:r w:rsidR="00933D7A">
        <w:t xml:space="preserve">názoru, že </w:t>
      </w:r>
      <w:r w:rsidR="00B65971">
        <w:t>v</w:t>
      </w:r>
      <w:r w:rsidR="00053E6E">
        <w:t xml:space="preserve"> </w:t>
      </w:r>
      <w:r w:rsidR="00933D7A">
        <w:t xml:space="preserve">EU převáží spíše pluralistický přístup nad korporativistickým </w:t>
      </w:r>
      <w:r w:rsidR="000010C3">
        <w:t>(Zabkowicz 2014: 16).</w:t>
      </w:r>
      <w:r w:rsidR="005269A7">
        <w:t xml:space="preserve"> </w:t>
      </w:r>
      <w:r>
        <w:t xml:space="preserve">Streeck spatřuje nárust pluralismu </w:t>
      </w:r>
      <w:r w:rsidR="00B65971">
        <w:t>i</w:t>
      </w:r>
      <w:r w:rsidR="00053E6E">
        <w:t xml:space="preserve"> </w:t>
      </w:r>
      <w:r>
        <w:t xml:space="preserve">ve zvyšující se roli regionů </w:t>
      </w:r>
      <w:r w:rsidR="00B65971">
        <w:t>v</w:t>
      </w:r>
      <w:r w:rsidR="00053E6E">
        <w:t xml:space="preserve"> </w:t>
      </w:r>
      <w:r>
        <w:t>EU.</w:t>
      </w:r>
      <w:r w:rsidR="00C476CA">
        <w:t xml:space="preserve"> </w:t>
      </w:r>
      <w:r>
        <w:t xml:space="preserve">Regiony totiž podle něj nemají kapacitu potřebnou </w:t>
      </w:r>
      <w:r w:rsidR="00B65971">
        <w:t>k</w:t>
      </w:r>
      <w:r w:rsidR="00053E6E">
        <w:t xml:space="preserve"> </w:t>
      </w:r>
      <w:r>
        <w:t xml:space="preserve">tomu, aby své vztahy </w:t>
      </w:r>
      <w:r w:rsidR="00B65971">
        <w:t>s</w:t>
      </w:r>
      <w:r w:rsidR="00053E6E">
        <w:t xml:space="preserve"> </w:t>
      </w:r>
      <w:r>
        <w:t>EU transformoval</w:t>
      </w:r>
      <w:r w:rsidR="005712CF">
        <w:t>y</w:t>
      </w:r>
      <w:r>
        <w:t xml:space="preserve"> do korporativistického vztahu, ale svou narůstající rolí </w:t>
      </w:r>
      <w:r w:rsidR="00B65971">
        <w:t>v</w:t>
      </w:r>
      <w:r w:rsidR="00053E6E">
        <w:t xml:space="preserve"> </w:t>
      </w:r>
      <w:r>
        <w:t>EU se stávají dalším aktérem na už tak pluralistické scéně (Streeck 1991: 20-21).</w:t>
      </w:r>
      <w:r w:rsidR="004F6D9B">
        <w:t xml:space="preserve"> </w:t>
      </w:r>
      <w:r w:rsidR="00B65971">
        <w:t>Z</w:t>
      </w:r>
      <w:r w:rsidR="00053E6E">
        <w:t xml:space="preserve"> </w:t>
      </w:r>
      <w:r w:rsidR="002B3349">
        <w:t xml:space="preserve">pluralismu vychází </w:t>
      </w:r>
      <w:r w:rsidR="00B65971">
        <w:t>i</w:t>
      </w:r>
      <w:r w:rsidR="00053E6E">
        <w:t xml:space="preserve"> </w:t>
      </w:r>
      <w:r w:rsidR="002B3349">
        <w:t xml:space="preserve">jiné teorie zabývající se vztahem EU </w:t>
      </w:r>
      <w:r w:rsidR="00B65971">
        <w:t>a</w:t>
      </w:r>
      <w:r w:rsidR="00053E6E">
        <w:t xml:space="preserve"> </w:t>
      </w:r>
      <w:r w:rsidR="002B3349">
        <w:t xml:space="preserve">zájmových </w:t>
      </w:r>
      <w:r w:rsidR="002B3349">
        <w:lastRenderedPageBreak/>
        <w:t>skupin, například tzv. chameleon pluralism</w:t>
      </w:r>
      <w:r w:rsidR="00FC4F0B">
        <w:t xml:space="preserve">. </w:t>
      </w:r>
      <w:r w:rsidR="008C2E87">
        <w:t>T</w:t>
      </w:r>
      <w:r w:rsidR="00FC4F0B">
        <w:t>en</w:t>
      </w:r>
      <w:r w:rsidR="008C2E87">
        <w:t xml:space="preserve"> </w:t>
      </w:r>
      <w:r w:rsidR="00FC4F0B">
        <w:t xml:space="preserve">zjednodušeně řečeno </w:t>
      </w:r>
      <w:r w:rsidR="008C2E87">
        <w:t xml:space="preserve">znamená, že Komise mění svůj přístup </w:t>
      </w:r>
      <w:r w:rsidR="00B65971">
        <w:t>k</w:t>
      </w:r>
      <w:r w:rsidR="00053E6E">
        <w:t xml:space="preserve"> </w:t>
      </w:r>
      <w:r w:rsidR="008C2E87">
        <w:t xml:space="preserve">pluralismu </w:t>
      </w:r>
      <w:r w:rsidR="00B65971">
        <w:t>v</w:t>
      </w:r>
      <w:r w:rsidR="00053E6E">
        <w:t xml:space="preserve"> </w:t>
      </w:r>
      <w:r w:rsidR="008C2E87">
        <w:t xml:space="preserve">závislosti na tom, jaký typ legitimity (zda output či input) chce dát své politice (Decre 2015: 10-11). Další teorií vycházející </w:t>
      </w:r>
      <w:r w:rsidR="00B65971">
        <w:t>z</w:t>
      </w:r>
      <w:r w:rsidR="00053E6E">
        <w:t xml:space="preserve"> </w:t>
      </w:r>
      <w:r w:rsidR="008C2E87">
        <w:t xml:space="preserve">pluralismu je tzv. elitní pluralismus. Podle něj si již Komise vybírá své partnery </w:t>
      </w:r>
      <w:r w:rsidR="00B65971">
        <w:t>a</w:t>
      </w:r>
      <w:r w:rsidR="00053E6E">
        <w:t xml:space="preserve"> </w:t>
      </w:r>
      <w:r w:rsidR="008C2E87">
        <w:t xml:space="preserve">tím vytváří rozlišení na „insiders“ </w:t>
      </w:r>
      <w:r w:rsidR="00B65971">
        <w:t>a</w:t>
      </w:r>
      <w:r w:rsidR="00053E6E">
        <w:t xml:space="preserve"> </w:t>
      </w:r>
      <w:r w:rsidR="008C2E87">
        <w:t xml:space="preserve">„outsiders“. Přístup už není tedy dostupný pro všechny stejně, nejčastěji je dán trans-evropským organizacím </w:t>
      </w:r>
      <w:r w:rsidR="00B65971">
        <w:t>s</w:t>
      </w:r>
      <w:r w:rsidR="00053E6E">
        <w:t xml:space="preserve"> </w:t>
      </w:r>
      <w:r w:rsidR="008C2E87">
        <w:t xml:space="preserve">velkou politickou váhou. Tento přístup již kromě pluralismu spojuje </w:t>
      </w:r>
      <w:r w:rsidR="00B65971">
        <w:t>i</w:t>
      </w:r>
      <w:r w:rsidR="00053E6E">
        <w:t xml:space="preserve"> </w:t>
      </w:r>
      <w:r w:rsidR="008C2E87">
        <w:t>prvky korporativismu (</w:t>
      </w:r>
      <w:r w:rsidR="00B627AB">
        <w:t>Tamtéž</w:t>
      </w:r>
      <w:r w:rsidR="008C2E87">
        <w:t xml:space="preserve"> 2015: 10).</w:t>
      </w:r>
      <w:r w:rsidR="009D78AB">
        <w:t xml:space="preserve"> Místo klasického pluralismu se nabízí </w:t>
      </w:r>
      <w:r w:rsidR="00B65971">
        <w:t>i</w:t>
      </w:r>
      <w:r w:rsidR="008E17E4">
        <w:t> </w:t>
      </w:r>
      <w:r w:rsidR="009D78AB">
        <w:t xml:space="preserve">tzv. neo-pluralismus, ve kterém by političtí lídři přestali být pouze neutrálními arbitry </w:t>
      </w:r>
      <w:r w:rsidR="00B65971">
        <w:t>a</w:t>
      </w:r>
      <w:r w:rsidR="008E17E4">
        <w:t> </w:t>
      </w:r>
      <w:r w:rsidR="009D78AB">
        <w:t xml:space="preserve">pomohli by podreprezentovaným zájmovým skupinám pobídkami či dotacemi, což se také </w:t>
      </w:r>
      <w:r w:rsidR="00B65971">
        <w:t>v</w:t>
      </w:r>
      <w:r w:rsidR="00053E6E">
        <w:t xml:space="preserve"> </w:t>
      </w:r>
      <w:r w:rsidR="009D78AB">
        <w:t xml:space="preserve">některých případech děje </w:t>
      </w:r>
      <w:r w:rsidR="00B65971">
        <w:t>a</w:t>
      </w:r>
      <w:r w:rsidR="00053E6E">
        <w:t xml:space="preserve"> </w:t>
      </w:r>
      <w:r w:rsidR="009D78AB">
        <w:t xml:space="preserve">Komise dává pobídky ve snaze vyvážit sílu obchodních společností (Tamtéž 2015: </w:t>
      </w:r>
      <w:r w:rsidR="00B65971">
        <w:t>7</w:t>
      </w:r>
      <w:r w:rsidR="009D78AB">
        <w:t xml:space="preserve">). Jak je vidět pluralismus je </w:t>
      </w:r>
      <w:r w:rsidR="00B65971">
        <w:t>v</w:t>
      </w:r>
      <w:r w:rsidR="00053E6E">
        <w:t xml:space="preserve"> </w:t>
      </w:r>
      <w:r w:rsidR="009D78AB">
        <w:t xml:space="preserve">rámci EU vlivnou teorií, která může nabrat mnoho podob, ale základ zůstává věrný jeho </w:t>
      </w:r>
      <w:r w:rsidR="00FC4F0B">
        <w:t>typickým</w:t>
      </w:r>
      <w:r w:rsidR="009D78AB">
        <w:t xml:space="preserve"> charakteristikám.</w:t>
      </w:r>
    </w:p>
    <w:p w:rsidR="00CB77CC" w:rsidRDefault="00CB77CC" w:rsidP="008033E2"/>
    <w:p w:rsidR="00CB77CC" w:rsidRDefault="00B65971" w:rsidP="00CB77CC">
      <w:pPr>
        <w:pStyle w:val="Heading3"/>
      </w:pPr>
      <w:bookmarkStart w:id="8" w:name="_Toc7414196"/>
      <w:r>
        <w:t>1</w:t>
      </w:r>
      <w:r w:rsidR="00CB77CC">
        <w:t>.</w:t>
      </w:r>
      <w:r>
        <w:t>2</w:t>
      </w:r>
      <w:r w:rsidR="00CB77CC">
        <w:t>.</w:t>
      </w:r>
      <w:r>
        <w:t>3</w:t>
      </w:r>
      <w:r w:rsidR="00053E6E">
        <w:t xml:space="preserve"> </w:t>
      </w:r>
      <w:r w:rsidR="00CB77CC">
        <w:t xml:space="preserve">Exchange teorie </w:t>
      </w:r>
      <w:r>
        <w:t>a</w:t>
      </w:r>
      <w:r w:rsidR="00053E6E">
        <w:t xml:space="preserve"> </w:t>
      </w:r>
      <w:r w:rsidR="00CB77CC">
        <w:t>resource dependency teorie</w:t>
      </w:r>
      <w:bookmarkEnd w:id="8"/>
    </w:p>
    <w:p w:rsidR="00CB77CC" w:rsidRDefault="00BD639F" w:rsidP="00CB77CC">
      <w:r>
        <w:t>Tyto dv</w:t>
      </w:r>
      <w:r w:rsidR="00F17F3D">
        <w:t>ě</w:t>
      </w:r>
      <w:r>
        <w:t xml:space="preserve"> </w:t>
      </w:r>
      <w:r w:rsidR="00F17F3D">
        <w:t>teorie</w:t>
      </w:r>
      <w:r>
        <w:t xml:space="preserve"> jsem se rozhodl spojit do jedné kapitoly protože jsou spolu propojeny</w:t>
      </w:r>
      <w:r w:rsidR="00F17F3D">
        <w:t>, jelikož</w:t>
      </w:r>
      <w:r>
        <w:t xml:space="preserve"> </w:t>
      </w:r>
      <w:r w:rsidR="00F17F3D">
        <w:t>o</w:t>
      </w:r>
      <w:r>
        <w:t>b</w:t>
      </w:r>
      <w:r w:rsidR="00F17F3D">
        <w:t>ě</w:t>
      </w:r>
      <w:r>
        <w:t xml:space="preserve"> </w:t>
      </w:r>
      <w:r w:rsidR="00F17F3D">
        <w:t>zdůrazňují jak důležitá je pro organizace výměna zdrojů (Bouwen 2002: 368). Navíc spojení těchto teorií tvoří základ Bouwenova přístupu (Tamtéž 2002: 367). Prvně popíš</w:t>
      </w:r>
      <w:r w:rsidR="00402C6D">
        <w:t>i</w:t>
      </w:r>
      <w:r w:rsidR="00F17F3D">
        <w:t xml:space="preserve"> základy exchange teorie </w:t>
      </w:r>
      <w:r w:rsidR="00B65971">
        <w:t>i</w:t>
      </w:r>
      <w:r w:rsidR="00053E6E">
        <w:t xml:space="preserve"> </w:t>
      </w:r>
      <w:r w:rsidR="00F17F3D">
        <w:t>proto, že tato teorie byla popsána dříve (Levine and White 1961, Blau 1964) než resource dependency teorie (Pf</w:t>
      </w:r>
      <w:r w:rsidR="008975D0">
        <w:t>e</w:t>
      </w:r>
      <w:r w:rsidR="00F17F3D">
        <w:t>ffer and Salancik 1978).</w:t>
      </w:r>
      <w:r w:rsidR="001903A8">
        <w:t xml:space="preserve"> Jelikož se jedná</w:t>
      </w:r>
      <w:r w:rsidR="00FE2E1F">
        <w:t xml:space="preserve"> původem</w:t>
      </w:r>
      <w:r w:rsidR="001903A8">
        <w:t xml:space="preserve"> </w:t>
      </w:r>
      <w:r w:rsidR="00B65971">
        <w:t>o</w:t>
      </w:r>
      <w:r w:rsidR="00BB4E03">
        <w:t> </w:t>
      </w:r>
      <w:r w:rsidR="001903A8">
        <w:t xml:space="preserve">sociologické teorie, zabývám se zde pouze jejich aplikací na </w:t>
      </w:r>
      <w:r w:rsidR="00FC4F0B">
        <w:t>zájmové</w:t>
      </w:r>
      <w:r w:rsidR="001903A8">
        <w:t xml:space="preserve"> skupiny.</w:t>
      </w:r>
      <w:r w:rsidR="00BB2C3E">
        <w:t xml:space="preserve"> </w:t>
      </w:r>
      <w:r w:rsidR="002C219D">
        <w:t xml:space="preserve">Exchange teorie vychází </w:t>
      </w:r>
      <w:r w:rsidR="00B65971">
        <w:t>z</w:t>
      </w:r>
      <w:r w:rsidR="00053E6E">
        <w:t xml:space="preserve"> </w:t>
      </w:r>
      <w:r w:rsidR="002C219D">
        <w:t xml:space="preserve">ekonomické teorie výměny, ale </w:t>
      </w:r>
      <w:r w:rsidR="00B65971">
        <w:t>u</w:t>
      </w:r>
      <w:r w:rsidR="00053E6E">
        <w:t xml:space="preserve"> </w:t>
      </w:r>
      <w:r w:rsidR="002C219D">
        <w:t xml:space="preserve">politické výměny nehovoříme </w:t>
      </w:r>
      <w:r w:rsidR="00B65971">
        <w:t>o</w:t>
      </w:r>
      <w:r w:rsidR="00053E6E">
        <w:t xml:space="preserve"> </w:t>
      </w:r>
      <w:r w:rsidR="002C219D">
        <w:t>„zboží“, které by mohlo být finančně ohodnocen</w:t>
      </w:r>
      <w:r w:rsidR="001F7784">
        <w:t xml:space="preserve">o (Charrad 2009: </w:t>
      </w:r>
      <w:r w:rsidR="00B65971">
        <w:t>7</w:t>
      </w:r>
      <w:r w:rsidR="001F7784">
        <w:t>).</w:t>
      </w:r>
      <w:r w:rsidR="002C219D">
        <w:t xml:space="preserve"> </w:t>
      </w:r>
      <w:r w:rsidR="00BB2C3E">
        <w:t xml:space="preserve">Základním předpokladem exchange teorie je, že organizace nebo instituce musejí vždy spolupracovat </w:t>
      </w:r>
      <w:r w:rsidR="00B65971">
        <w:t>s</w:t>
      </w:r>
      <w:r w:rsidR="00053E6E">
        <w:t xml:space="preserve"> </w:t>
      </w:r>
      <w:r w:rsidR="00BB2C3E">
        <w:t xml:space="preserve">dalšími, jelikož samy mají jen málokdy dostatek zdrojů </w:t>
      </w:r>
      <w:r w:rsidR="00B65971">
        <w:t>k</w:t>
      </w:r>
      <w:r w:rsidR="00053E6E">
        <w:t xml:space="preserve"> </w:t>
      </w:r>
      <w:r w:rsidR="00BB2C3E">
        <w:t>naplnění všech svých cílů. Pokud by se spoléhaly jen na sebe, velmi pravděpodobně by jejich funkce musely zůstat limitovány.</w:t>
      </w:r>
      <w:r w:rsidR="000D2E33">
        <w:t xml:space="preserve"> To je způsobeno tím, že instituce samy nemají neomezeně zdrojů, což je nutí do interakce </w:t>
      </w:r>
      <w:r w:rsidR="00B65971">
        <w:t>s</w:t>
      </w:r>
      <w:r w:rsidR="00053E6E">
        <w:t xml:space="preserve"> </w:t>
      </w:r>
      <w:r w:rsidR="000D2E33">
        <w:t xml:space="preserve">dalšími organizacemi (Levine and White 1961: 586-587). </w:t>
      </w:r>
      <w:r w:rsidR="00106D5F">
        <w:t xml:space="preserve">Ideální definice toho, co je výměnou mezi organizacemi zní takto: </w:t>
      </w:r>
      <w:r w:rsidR="009D6E1A">
        <w:t>„</w:t>
      </w:r>
      <w:r w:rsidR="009D6E1A">
        <w:rPr>
          <w:i/>
        </w:rPr>
        <w:t xml:space="preserve">Jde </w:t>
      </w:r>
      <w:r w:rsidR="00B65971">
        <w:rPr>
          <w:i/>
        </w:rPr>
        <w:t>o</w:t>
      </w:r>
      <w:r w:rsidR="00053E6E">
        <w:rPr>
          <w:i/>
        </w:rPr>
        <w:t xml:space="preserve"> </w:t>
      </w:r>
      <w:r w:rsidR="009D6E1A">
        <w:rPr>
          <w:i/>
        </w:rPr>
        <w:t xml:space="preserve">dobrovolnou aktivitu mezi dvěmi organizacemi, která má následky pro realizaci jejich cílů </w:t>
      </w:r>
      <w:r w:rsidR="00B65971">
        <w:rPr>
          <w:i/>
        </w:rPr>
        <w:t>a</w:t>
      </w:r>
      <w:r w:rsidR="00053E6E">
        <w:rPr>
          <w:i/>
        </w:rPr>
        <w:t xml:space="preserve"> </w:t>
      </w:r>
      <w:r w:rsidR="009D6E1A">
        <w:rPr>
          <w:i/>
        </w:rPr>
        <w:t>úkolů“</w:t>
      </w:r>
      <w:r w:rsidR="009D6E1A">
        <w:t xml:space="preserve"> (Tamtéž 1961: 588). Výhodou této definice, je to, že na rozdíl od jiných, podle ní nemusí jít vždy </w:t>
      </w:r>
      <w:r w:rsidR="00B65971">
        <w:t>o</w:t>
      </w:r>
      <w:r w:rsidR="00053E6E">
        <w:t xml:space="preserve"> </w:t>
      </w:r>
      <w:r w:rsidR="009D6E1A">
        <w:t xml:space="preserve">reciproční aktivitu, kterou zdůrazňují jiné podobné teorie (Cropanzano and Mitchell 2005: 875). Kromě toho tahle definice zdůrazňuje dobrovolnost takového vztahu </w:t>
      </w:r>
      <w:r w:rsidR="00B65971">
        <w:t>a</w:t>
      </w:r>
      <w:r w:rsidR="00053E6E">
        <w:t xml:space="preserve"> </w:t>
      </w:r>
      <w:r w:rsidR="009D6E1A">
        <w:t>to, že výměna nemusí být pouze materiální (Levine and White 1961: 588).</w:t>
      </w:r>
      <w:r w:rsidR="001903A8">
        <w:t xml:space="preserve"> </w:t>
      </w:r>
      <w:r w:rsidR="002056F5">
        <w:t>Dobrý příklad takové výměny na území Spojených států nabízí studie týkající se legislativy okolo odpadu (Browne 2002).</w:t>
      </w:r>
      <w:r w:rsidR="001F7784">
        <w:t xml:space="preserve"> Tato teorie </w:t>
      </w:r>
      <w:r w:rsidR="001F7784">
        <w:lastRenderedPageBreak/>
        <w:t xml:space="preserve">je také považována za vhodnou pro studování vztahů mezi EU </w:t>
      </w:r>
      <w:r w:rsidR="00B65971">
        <w:t>a</w:t>
      </w:r>
      <w:r w:rsidR="00053E6E">
        <w:t xml:space="preserve"> </w:t>
      </w:r>
      <w:r w:rsidR="001F7784">
        <w:t xml:space="preserve">privátními aktéry (Charrad 2009: </w:t>
      </w:r>
      <w:r w:rsidR="00B65971">
        <w:t>7</w:t>
      </w:r>
      <w:r w:rsidR="001F7784">
        <w:t>).</w:t>
      </w:r>
    </w:p>
    <w:p w:rsidR="00C107E5" w:rsidRDefault="00C107E5" w:rsidP="00CB77CC">
      <w:r>
        <w:t>Resour</w:t>
      </w:r>
      <w:r w:rsidR="00757A17">
        <w:t xml:space="preserve">ce dependency teorie vznikla </w:t>
      </w:r>
      <w:r w:rsidR="00B65971">
        <w:t>v</w:t>
      </w:r>
      <w:r w:rsidR="00053E6E">
        <w:t xml:space="preserve"> </w:t>
      </w:r>
      <w:r w:rsidR="00757A17">
        <w:t>70. letech</w:t>
      </w:r>
      <w:r w:rsidR="00302947">
        <w:t xml:space="preserve">. </w:t>
      </w:r>
      <w:r w:rsidR="00B65971">
        <w:t>O</w:t>
      </w:r>
      <w:r w:rsidR="00053E6E">
        <w:t xml:space="preserve"> </w:t>
      </w:r>
      <w:r w:rsidR="00B25351">
        <w:t xml:space="preserve">prosazení této teorie se významnou měrou zasloužila kniha </w:t>
      </w:r>
      <w:r w:rsidR="00C4137D">
        <w:rPr>
          <w:i/>
        </w:rPr>
        <w:t>The external control of organizations</w:t>
      </w:r>
      <w:r w:rsidR="00C4137D">
        <w:t xml:space="preserve"> od Jeffa Pffefera </w:t>
      </w:r>
      <w:r w:rsidR="00B65971">
        <w:t>a</w:t>
      </w:r>
      <w:r w:rsidR="00053E6E">
        <w:t xml:space="preserve"> </w:t>
      </w:r>
      <w:r w:rsidR="00647C69" w:rsidRPr="00647C69">
        <w:t>J</w:t>
      </w:r>
      <w:r w:rsidR="00C4137D" w:rsidRPr="00647C69">
        <w:t>erryho</w:t>
      </w:r>
      <w:r w:rsidR="00C4137D">
        <w:t xml:space="preserve"> Salancika.</w:t>
      </w:r>
      <w:r w:rsidR="00757A17">
        <w:t xml:space="preserve"> Ze všech těchto teorií má právě resource dependency nej</w:t>
      </w:r>
      <w:r w:rsidR="00302947">
        <w:t>větší</w:t>
      </w:r>
      <w:r w:rsidR="00757A17">
        <w:t xml:space="preserve"> rozsah, kombinuje získávání síly </w:t>
      </w:r>
      <w:r w:rsidR="00B65971">
        <w:t>v</w:t>
      </w:r>
      <w:r w:rsidR="00053E6E">
        <w:t xml:space="preserve"> </w:t>
      </w:r>
      <w:r w:rsidR="00757A17">
        <w:t xml:space="preserve">rámci skupin </w:t>
      </w:r>
      <w:r w:rsidR="00B65971">
        <w:t>a</w:t>
      </w:r>
      <w:r w:rsidR="00053E6E">
        <w:t xml:space="preserve"> </w:t>
      </w:r>
      <w:r w:rsidR="00757A17">
        <w:t xml:space="preserve">teorii toho, jak zájmové skupiny kontrolují své </w:t>
      </w:r>
      <w:r w:rsidR="00C4137D">
        <w:t xml:space="preserve">externí </w:t>
      </w:r>
      <w:r w:rsidR="00757A17">
        <w:t xml:space="preserve">prostředí (Cobb and Davis 2009: </w:t>
      </w:r>
      <w:r w:rsidR="00B65971">
        <w:t>3</w:t>
      </w:r>
      <w:r w:rsidR="00757A17">
        <w:t xml:space="preserve">). </w:t>
      </w:r>
      <w:r w:rsidR="008F7456">
        <w:t>Základním předpokladem je, že jakákoliv organizace</w:t>
      </w:r>
      <w:r w:rsidR="001F0CB2">
        <w:t xml:space="preserve"> pro své přežití musí zajistit zdroje </w:t>
      </w:r>
      <w:r w:rsidR="00B65971">
        <w:t>a</w:t>
      </w:r>
      <w:r w:rsidR="00053E6E">
        <w:t xml:space="preserve"> </w:t>
      </w:r>
      <w:r w:rsidR="001F0CB2">
        <w:t xml:space="preserve">to ji nutí do interakce se svým prostředím (Lowery 2007: 50). Závislost </w:t>
      </w:r>
      <w:r w:rsidR="00B65971">
        <w:t>v</w:t>
      </w:r>
      <w:r w:rsidR="00BB4E03">
        <w:t> </w:t>
      </w:r>
      <w:r w:rsidR="001F0CB2">
        <w:t xml:space="preserve">tomto přístupu vychází </w:t>
      </w:r>
      <w:r w:rsidR="00B65971">
        <w:t>z</w:t>
      </w:r>
      <w:r w:rsidR="00053E6E">
        <w:t xml:space="preserve"> </w:t>
      </w:r>
      <w:r w:rsidR="001F0CB2">
        <w:t xml:space="preserve">toho, že organizace </w:t>
      </w:r>
      <w:r w:rsidR="00B65971">
        <w:t>A</w:t>
      </w:r>
      <w:r w:rsidR="00053E6E">
        <w:t xml:space="preserve"> </w:t>
      </w:r>
      <w:r w:rsidR="001F0CB2">
        <w:t xml:space="preserve">má zdroje, které organizace </w:t>
      </w:r>
      <w:r w:rsidR="00B65971">
        <w:t>B</w:t>
      </w:r>
      <w:r w:rsidR="00053E6E">
        <w:t xml:space="preserve"> </w:t>
      </w:r>
      <w:r w:rsidR="001F0CB2">
        <w:t xml:space="preserve">nutně potřebuje </w:t>
      </w:r>
      <w:r w:rsidR="00B65971">
        <w:t>a</w:t>
      </w:r>
      <w:r w:rsidR="00053E6E">
        <w:t xml:space="preserve"> </w:t>
      </w:r>
      <w:r w:rsidR="001F0CB2">
        <w:t>nejsou jinde dostupné.</w:t>
      </w:r>
      <w:r w:rsidR="00302947">
        <w:t xml:space="preserve"> </w:t>
      </w:r>
      <w:r w:rsidR="001F0CB2">
        <w:t>Podstatné ale je, že mohou být situace kdy na sobě budou obě organizace (</w:t>
      </w:r>
      <w:r w:rsidR="00B65971">
        <w:t>A</w:t>
      </w:r>
      <w:r w:rsidR="00053E6E">
        <w:t xml:space="preserve"> </w:t>
      </w:r>
      <w:r w:rsidR="00B65971">
        <w:t>i</w:t>
      </w:r>
      <w:r w:rsidR="00053E6E">
        <w:t xml:space="preserve"> </w:t>
      </w:r>
      <w:r w:rsidR="00B65971">
        <w:t>B</w:t>
      </w:r>
      <w:r w:rsidR="001F0CB2">
        <w:t>) navzájem závislé</w:t>
      </w:r>
      <w:r w:rsidR="00C4137D">
        <w:t xml:space="preserve">. </w:t>
      </w:r>
      <w:r w:rsidR="001F0CB2">
        <w:t xml:space="preserve">Organizace </w:t>
      </w:r>
      <w:r w:rsidR="00B65971">
        <w:t>A</w:t>
      </w:r>
      <w:r w:rsidR="00053E6E">
        <w:t xml:space="preserve"> </w:t>
      </w:r>
      <w:r w:rsidR="001F0CB2">
        <w:t>sice bude mít zdroje</w:t>
      </w:r>
      <w:r w:rsidR="00323349">
        <w:t>,</w:t>
      </w:r>
      <w:r w:rsidR="001F0CB2">
        <w:t xml:space="preserve"> které organizace </w:t>
      </w:r>
      <w:r w:rsidR="00B65971">
        <w:t>B</w:t>
      </w:r>
      <w:r w:rsidR="00BB4E03">
        <w:t> </w:t>
      </w:r>
      <w:r w:rsidR="001F0CB2">
        <w:t xml:space="preserve">nutně potřebuje, ale organizace </w:t>
      </w:r>
      <w:r w:rsidR="00B65971">
        <w:t>B</w:t>
      </w:r>
      <w:r w:rsidR="00053E6E">
        <w:t xml:space="preserve"> </w:t>
      </w:r>
      <w:r w:rsidR="001F0CB2">
        <w:t xml:space="preserve">zároveň může být jediným zájemcem </w:t>
      </w:r>
      <w:r w:rsidR="00B65971">
        <w:t>o</w:t>
      </w:r>
      <w:r w:rsidR="00053E6E">
        <w:t xml:space="preserve"> </w:t>
      </w:r>
      <w:r w:rsidR="001F0CB2">
        <w:t xml:space="preserve">tyto zdroje </w:t>
      </w:r>
      <w:r w:rsidR="00B65971">
        <w:t>a</w:t>
      </w:r>
      <w:r w:rsidR="00053E6E">
        <w:t xml:space="preserve"> </w:t>
      </w:r>
      <w:r w:rsidR="001F0CB2">
        <w:t xml:space="preserve">tak vzniká vzájemná závislost (Cobb and Davis 2009: </w:t>
      </w:r>
      <w:r w:rsidR="00B65971">
        <w:t>6</w:t>
      </w:r>
      <w:r w:rsidR="001F0CB2">
        <w:t>).</w:t>
      </w:r>
      <w:r w:rsidR="00302947">
        <w:t xml:space="preserve"> </w:t>
      </w:r>
      <w:r w:rsidR="00323349" w:rsidRPr="00323349">
        <w:t xml:space="preserve">Tato vzájemná závislost pomáhá redukovat nejistotu </w:t>
      </w:r>
      <w:r w:rsidR="00B65971" w:rsidRPr="00323349">
        <w:t>a</w:t>
      </w:r>
      <w:r w:rsidR="00053E6E">
        <w:t xml:space="preserve"> </w:t>
      </w:r>
      <w:r w:rsidR="00323349" w:rsidRPr="00323349">
        <w:t>nedůvěru ve vztahu těchto dvou organizací (Pfeffer and Salancik 1978)</w:t>
      </w:r>
      <w:r w:rsidR="00323349">
        <w:t xml:space="preserve">. </w:t>
      </w:r>
      <w:r w:rsidR="001F0CB2">
        <w:t xml:space="preserve">Organizace </w:t>
      </w:r>
      <w:r w:rsidR="00B65971">
        <w:t>A</w:t>
      </w:r>
      <w:r w:rsidR="00053E6E">
        <w:t xml:space="preserve"> </w:t>
      </w:r>
      <w:r w:rsidR="00323349">
        <w:t>může mít také</w:t>
      </w:r>
      <w:r w:rsidR="001F0CB2">
        <w:t xml:space="preserve"> na</w:t>
      </w:r>
      <w:r w:rsidR="00323349">
        <w:t>v</w:t>
      </w:r>
      <w:r w:rsidR="001F0CB2">
        <w:t xml:space="preserve">rch nad </w:t>
      </w:r>
      <w:r w:rsidR="00B65971">
        <w:t>B</w:t>
      </w:r>
      <w:r w:rsidR="00053E6E">
        <w:t xml:space="preserve"> </w:t>
      </w:r>
      <w:r w:rsidR="001F0CB2">
        <w:t xml:space="preserve">jelikož vyhrožováním </w:t>
      </w:r>
      <w:r w:rsidR="00B65971">
        <w:t>o</w:t>
      </w:r>
      <w:r w:rsidR="008E17E4">
        <w:t> </w:t>
      </w:r>
      <w:r w:rsidR="001F0CB2">
        <w:t xml:space="preserve">ukončení </w:t>
      </w:r>
      <w:r w:rsidR="00B25351">
        <w:t xml:space="preserve">dodávání zdrojů může organizaci </w:t>
      </w:r>
      <w:r w:rsidR="00B65971">
        <w:t>B</w:t>
      </w:r>
      <w:r w:rsidR="00053E6E">
        <w:t xml:space="preserve"> </w:t>
      </w:r>
      <w:r w:rsidR="00B25351">
        <w:t>přinutit ke změně postoje</w:t>
      </w:r>
      <w:r w:rsidR="00F72152">
        <w:t xml:space="preserve"> (Cobb And Davis 2009: </w:t>
      </w:r>
      <w:r w:rsidR="00B65971">
        <w:t>6</w:t>
      </w:r>
      <w:r w:rsidR="00F72152">
        <w:t xml:space="preserve">). To záleží vždy na kritičnosti zdrojů </w:t>
      </w:r>
      <w:r w:rsidR="00B65971">
        <w:t>a</w:t>
      </w:r>
      <w:r w:rsidR="00053E6E">
        <w:t xml:space="preserve"> </w:t>
      </w:r>
      <w:r w:rsidR="00F72152">
        <w:t xml:space="preserve">na schopnosti organizace obstát </w:t>
      </w:r>
      <w:r w:rsidR="00B65971">
        <w:t>i</w:t>
      </w:r>
      <w:r w:rsidR="00053E6E">
        <w:t xml:space="preserve"> </w:t>
      </w:r>
      <w:r w:rsidR="00F72152">
        <w:t>případně bez těchto zdrojů (Pfeffer and Salancik 1978: 46).</w:t>
      </w:r>
      <w:r w:rsidR="00B25351">
        <w:t xml:space="preserve"> </w:t>
      </w:r>
      <w:r w:rsidR="00F72152">
        <w:t>Na tuto teorii lze tedy nahlížet jako na</w:t>
      </w:r>
      <w:r w:rsidR="00B25351">
        <w:t xml:space="preserve"> politický pohled na věc ukazující, jak externí aktéři mohou ovlivňovat chování organizací. </w:t>
      </w:r>
      <w:r w:rsidR="00323349">
        <w:t xml:space="preserve">Resource dependency teorie tedy může být aplikována </w:t>
      </w:r>
      <w:r w:rsidR="00B65971">
        <w:t>i</w:t>
      </w:r>
      <w:r w:rsidR="00053E6E">
        <w:t xml:space="preserve"> </w:t>
      </w:r>
      <w:r w:rsidR="00323349">
        <w:t xml:space="preserve">na analýzu lobbingu coby prostředku, kterým organizace ovlivňují své kompetitivní prostředí </w:t>
      </w:r>
      <w:r w:rsidR="00B25351">
        <w:t xml:space="preserve">(Lowery 2007: 50). </w:t>
      </w:r>
      <w:r w:rsidR="00F72152">
        <w:t xml:space="preserve">Důležitost zdrojů je často zmiňována </w:t>
      </w:r>
      <w:r w:rsidR="00B65971">
        <w:t>v</w:t>
      </w:r>
      <w:r w:rsidR="00053E6E">
        <w:t xml:space="preserve"> </w:t>
      </w:r>
      <w:r w:rsidR="00F72152">
        <w:t xml:space="preserve">souvislosti právě </w:t>
      </w:r>
      <w:r w:rsidR="00B65971">
        <w:t>s</w:t>
      </w:r>
      <w:r w:rsidR="00053E6E">
        <w:t xml:space="preserve"> </w:t>
      </w:r>
      <w:r w:rsidR="00F72152">
        <w:t xml:space="preserve">EU, jelikož návrhy EU často vyžadují detailní znalosti </w:t>
      </w:r>
      <w:r w:rsidR="00B65971">
        <w:t>a</w:t>
      </w:r>
      <w:r w:rsidR="00053E6E">
        <w:t xml:space="preserve"> </w:t>
      </w:r>
      <w:r w:rsidR="00F72152">
        <w:t xml:space="preserve">přehled, čehož dokáží využít zájmové skupiny </w:t>
      </w:r>
      <w:r w:rsidR="00B65971">
        <w:t>a</w:t>
      </w:r>
      <w:r w:rsidR="00053E6E">
        <w:t xml:space="preserve"> </w:t>
      </w:r>
      <w:r w:rsidR="00F72152">
        <w:t xml:space="preserve">právě takto usilují </w:t>
      </w:r>
      <w:r w:rsidR="00B65971">
        <w:t>o</w:t>
      </w:r>
      <w:r w:rsidR="00053E6E">
        <w:t xml:space="preserve"> </w:t>
      </w:r>
      <w:r w:rsidR="00F72152">
        <w:t xml:space="preserve">získání </w:t>
      </w:r>
      <w:r w:rsidR="00930BE9">
        <w:t xml:space="preserve">vlivu (Beyers and Kerremans 2007: </w:t>
      </w:r>
      <w:r w:rsidR="00B65971">
        <w:t>4</w:t>
      </w:r>
      <w:r w:rsidR="00930BE9">
        <w:t xml:space="preserve">). </w:t>
      </w:r>
      <w:r w:rsidR="000068C3">
        <w:t xml:space="preserve">Organizace získávají zdroje ze svého prostředí, ale </w:t>
      </w:r>
      <w:r w:rsidR="00B65971">
        <w:t>i</w:t>
      </w:r>
      <w:r w:rsidR="00053E6E">
        <w:t xml:space="preserve"> </w:t>
      </w:r>
      <w:r w:rsidR="000068C3">
        <w:t xml:space="preserve">pro ně jde </w:t>
      </w:r>
      <w:r w:rsidR="00B65971">
        <w:t>o</w:t>
      </w:r>
      <w:r w:rsidR="00053E6E">
        <w:t xml:space="preserve"> </w:t>
      </w:r>
      <w:r w:rsidR="000068C3">
        <w:t>nákladnou záležitost</w:t>
      </w:r>
      <w:r w:rsidR="00467EA7">
        <w:t xml:space="preserve"> jelikož, jak již bylo naznačeno</w:t>
      </w:r>
      <w:r w:rsidR="001B03E3">
        <w:t>,</w:t>
      </w:r>
      <w:r w:rsidR="00467EA7">
        <w:t xml:space="preserve"> interakce </w:t>
      </w:r>
      <w:r w:rsidR="00B65971">
        <w:t>s</w:t>
      </w:r>
      <w:r w:rsidR="008E17E4">
        <w:t> </w:t>
      </w:r>
      <w:r w:rsidR="00467EA7">
        <w:t xml:space="preserve">externími organizacemi kvůli zdrojům mohou omezovat jejich autonomii (Tamtéž: </w:t>
      </w:r>
      <w:r w:rsidR="00F873A6">
        <w:t>6</w:t>
      </w:r>
      <w:r w:rsidR="00467EA7">
        <w:t>).</w:t>
      </w:r>
    </w:p>
    <w:p w:rsidR="00EA1C0A" w:rsidRDefault="00EA1C0A" w:rsidP="00CB77CC"/>
    <w:p w:rsidR="007D100D" w:rsidRDefault="00B65971" w:rsidP="007D100D">
      <w:pPr>
        <w:pStyle w:val="Heading2"/>
      </w:pPr>
      <w:bookmarkStart w:id="9" w:name="_Toc7414197"/>
      <w:r>
        <w:t>1</w:t>
      </w:r>
      <w:r w:rsidR="007D100D">
        <w:t>.</w:t>
      </w:r>
      <w:r>
        <w:t>3</w:t>
      </w:r>
      <w:r w:rsidR="00053E6E">
        <w:t xml:space="preserve"> </w:t>
      </w:r>
      <w:r w:rsidR="007D100D">
        <w:t>Teorie přístupu Pietera Bouwena</w:t>
      </w:r>
      <w:bookmarkEnd w:id="9"/>
    </w:p>
    <w:p w:rsidR="007D100D" w:rsidRDefault="008E17E4" w:rsidP="007D100D">
      <w:r>
        <w:t> </w:t>
      </w:r>
      <w:r w:rsidR="007D100D">
        <w:t>Hlavní teorií ze které ve své práci vycházím je teorie přístupu od Pietera Bouwena. Tato teorie byla poprvé formu</w:t>
      </w:r>
      <w:r w:rsidR="006937BD">
        <w:t xml:space="preserve">lována </w:t>
      </w:r>
      <w:r w:rsidR="00B65971">
        <w:t>v</w:t>
      </w:r>
      <w:r w:rsidR="00053E6E">
        <w:t xml:space="preserve"> </w:t>
      </w:r>
      <w:r w:rsidR="006937BD">
        <w:t xml:space="preserve">roce 2002 </w:t>
      </w:r>
      <w:r w:rsidR="00B65971">
        <w:t>v</w:t>
      </w:r>
      <w:r w:rsidR="00053E6E">
        <w:t xml:space="preserve"> </w:t>
      </w:r>
      <w:r w:rsidR="006937BD">
        <w:t xml:space="preserve">textu </w:t>
      </w:r>
      <w:r w:rsidR="006937BD">
        <w:rPr>
          <w:i/>
        </w:rPr>
        <w:t>Corporate lobbying in the European Union: the logic of access.</w:t>
      </w:r>
      <w:r w:rsidR="006937BD">
        <w:t xml:space="preserve"> Jelikož měřit přímo vliv zájmových skupin je obtížné, zaujímá tato teorie odlišný postoj. Místo na vliv se orientuje na přístup zájmových skupin </w:t>
      </w:r>
      <w:r w:rsidR="00B65971">
        <w:t>k</w:t>
      </w:r>
      <w:r>
        <w:t> </w:t>
      </w:r>
      <w:r w:rsidR="006937BD">
        <w:t xml:space="preserve">EU, ale zároveň </w:t>
      </w:r>
      <w:r w:rsidR="004120D8">
        <w:t>zdůrazňuje</w:t>
      </w:r>
      <w:r w:rsidR="006937BD">
        <w:t xml:space="preserve">, že přístup neznamená přímo vliv. Nicméně získání přístupu </w:t>
      </w:r>
      <w:r w:rsidR="006937BD">
        <w:lastRenderedPageBreak/>
        <w:t xml:space="preserve">je nutnou podmínkou </w:t>
      </w:r>
      <w:r w:rsidR="00B65971">
        <w:t>k</w:t>
      </w:r>
      <w:r w:rsidR="00053E6E">
        <w:t xml:space="preserve"> </w:t>
      </w:r>
      <w:r w:rsidR="006937BD">
        <w:t>tomu, aby zájmová skupina měla</w:t>
      </w:r>
      <w:r w:rsidR="004120D8">
        <w:t xml:space="preserve"> </w:t>
      </w:r>
      <w:r w:rsidR="006937BD">
        <w:t xml:space="preserve">šanci ovlivnit legislativu EU (Bouwen 2002: 366). </w:t>
      </w:r>
      <w:r w:rsidR="00C323A8">
        <w:t xml:space="preserve">Na důležitost přístupu </w:t>
      </w:r>
      <w:r w:rsidR="00B65971">
        <w:t>k</w:t>
      </w:r>
      <w:r w:rsidR="00053E6E">
        <w:t xml:space="preserve"> </w:t>
      </w:r>
      <w:r w:rsidR="00C323A8">
        <w:t xml:space="preserve">tomu aby zájmové skupiny mohly mít šanci ovlivnit tvorbu legislativy upozornil </w:t>
      </w:r>
      <w:r w:rsidR="00B65971">
        <w:t>i</w:t>
      </w:r>
      <w:r w:rsidR="00053E6E">
        <w:t xml:space="preserve"> </w:t>
      </w:r>
      <w:r w:rsidR="00C323A8">
        <w:t xml:space="preserve">David Truman. Podle něj rozvíjení přístupu </w:t>
      </w:r>
      <w:r w:rsidR="00B65971">
        <w:t>k</w:t>
      </w:r>
      <w:r>
        <w:t> </w:t>
      </w:r>
      <w:r w:rsidR="00C323A8">
        <w:t xml:space="preserve">institucím je jednou </w:t>
      </w:r>
      <w:r w:rsidR="00B65971">
        <w:t>z</w:t>
      </w:r>
      <w:r w:rsidR="00053E6E">
        <w:t xml:space="preserve"> </w:t>
      </w:r>
      <w:r w:rsidR="00C323A8">
        <w:t>hlavních činností zájmových skupin</w:t>
      </w:r>
      <w:r w:rsidR="00A427AE">
        <w:t xml:space="preserve">. Ať už lobbing probíhá </w:t>
      </w:r>
      <w:r w:rsidR="00B65971">
        <w:t>v</w:t>
      </w:r>
      <w:r>
        <w:t> </w:t>
      </w:r>
      <w:r w:rsidR="00A427AE">
        <w:t xml:space="preserve">jakékoliv organizaci, přístup je vždy zásadní </w:t>
      </w:r>
      <w:r w:rsidR="00B65971">
        <w:t>a</w:t>
      </w:r>
      <w:r w:rsidR="00053E6E">
        <w:t xml:space="preserve"> </w:t>
      </w:r>
      <w:r w:rsidR="00A427AE">
        <w:t xml:space="preserve">pomáhá často určit </w:t>
      </w:r>
      <w:r w:rsidR="00B65971">
        <w:t>i</w:t>
      </w:r>
      <w:r w:rsidR="00053E6E">
        <w:t xml:space="preserve"> </w:t>
      </w:r>
      <w:r w:rsidR="00A427AE">
        <w:t>způsob lobbingu</w:t>
      </w:r>
      <w:r w:rsidR="00C323A8">
        <w:t xml:space="preserve"> (Truman 1951</w:t>
      </w:r>
      <w:r w:rsidR="00A427AE">
        <w:t>: 264</w:t>
      </w:r>
      <w:r w:rsidR="00C323A8">
        <w:t xml:space="preserve">). </w:t>
      </w:r>
    </w:p>
    <w:p w:rsidR="003D7414" w:rsidRDefault="009765F1" w:rsidP="007447B2">
      <w:r>
        <w:t xml:space="preserve">Tato teorie zahrnuje </w:t>
      </w:r>
      <w:r w:rsidR="00B65971">
        <w:t>i</w:t>
      </w:r>
      <w:r w:rsidR="00053E6E">
        <w:t xml:space="preserve"> </w:t>
      </w:r>
      <w:r>
        <w:t xml:space="preserve">prvky klasických teorií zájmových skupin, pluralismu </w:t>
      </w:r>
      <w:r w:rsidR="00B65971">
        <w:t>a</w:t>
      </w:r>
      <w:r w:rsidR="00BB4E03">
        <w:t> </w:t>
      </w:r>
      <w:r>
        <w:t xml:space="preserve">korporativismu. Je kladen důraz na pluralitu zájmových skupin </w:t>
      </w:r>
      <w:r w:rsidR="00B65971">
        <w:t>a</w:t>
      </w:r>
      <w:r w:rsidR="00053E6E">
        <w:t xml:space="preserve"> </w:t>
      </w:r>
      <w:r>
        <w:t xml:space="preserve">na </w:t>
      </w:r>
      <w:r w:rsidR="00771433">
        <w:t>důležitost</w:t>
      </w:r>
      <w:r>
        <w:t xml:space="preserve"> informací, což je typické pro pluralistickou teorii. To je kombinováno </w:t>
      </w:r>
      <w:r w:rsidR="00B65971">
        <w:t>s</w:t>
      </w:r>
      <w:r w:rsidR="00053E6E">
        <w:t xml:space="preserve"> </w:t>
      </w:r>
      <w:r>
        <w:t>důrazem na vzájemné vyměňování zdrojů</w:t>
      </w:r>
      <w:r w:rsidR="00532BDF">
        <w:t xml:space="preserve">, </w:t>
      </w:r>
      <w:r>
        <w:t xml:space="preserve">což je pro změnu typický znak korporativismu (Bouwen 2002: 366). </w:t>
      </w:r>
      <w:r w:rsidR="00FC56FE">
        <w:t xml:space="preserve">Důležité pro pochopení lobbingu </w:t>
      </w:r>
      <w:r w:rsidR="00B65971">
        <w:t>v</w:t>
      </w:r>
      <w:r w:rsidR="00053E6E">
        <w:t xml:space="preserve"> </w:t>
      </w:r>
      <w:r w:rsidR="00FC56FE">
        <w:t xml:space="preserve">EU je uvědomění, že jde </w:t>
      </w:r>
      <w:r w:rsidR="00B65971">
        <w:t>o</w:t>
      </w:r>
      <w:r w:rsidR="00053E6E">
        <w:t xml:space="preserve"> </w:t>
      </w:r>
      <w:r w:rsidR="00FC56FE">
        <w:t xml:space="preserve">vzájemnou výměnu mezi veřejnými </w:t>
      </w:r>
      <w:r w:rsidR="00B65971">
        <w:t>a</w:t>
      </w:r>
      <w:r w:rsidR="00BB4E03">
        <w:t> </w:t>
      </w:r>
      <w:r w:rsidR="00FC56FE">
        <w:t>privátními aktéry. Ne</w:t>
      </w:r>
      <w:r w:rsidR="00E162E6">
        <w:t>lze</w:t>
      </w:r>
      <w:r w:rsidR="00FC56FE">
        <w:t xml:space="preserve"> vnímat lobbing jako jednostrannou aktivitu směrem </w:t>
      </w:r>
      <w:r w:rsidR="00B65971">
        <w:t>k</w:t>
      </w:r>
      <w:r w:rsidR="008E17E4">
        <w:t> </w:t>
      </w:r>
      <w:r w:rsidR="00FC56FE">
        <w:t xml:space="preserve">institucím, </w:t>
      </w:r>
      <w:r w:rsidR="00B65971">
        <w:t>i</w:t>
      </w:r>
      <w:r w:rsidR="00053E6E">
        <w:t xml:space="preserve"> </w:t>
      </w:r>
      <w:r w:rsidR="00FC56FE">
        <w:t xml:space="preserve">ty totiž potřebují kontakt </w:t>
      </w:r>
      <w:r w:rsidR="00B65971">
        <w:t>s</w:t>
      </w:r>
      <w:r w:rsidR="00053E6E">
        <w:t xml:space="preserve"> </w:t>
      </w:r>
      <w:r w:rsidR="0058721E">
        <w:t xml:space="preserve">těmito </w:t>
      </w:r>
      <w:r w:rsidR="00FC56FE">
        <w:t>privátními aktéry.</w:t>
      </w:r>
      <w:r w:rsidR="00F76E3C">
        <w:t xml:space="preserve"> Proto jsou do této teorie začleněny </w:t>
      </w:r>
      <w:r w:rsidR="00B65971">
        <w:t>i</w:t>
      </w:r>
      <w:r w:rsidR="00BB4E03">
        <w:t> </w:t>
      </w:r>
      <w:r w:rsidR="00F76E3C">
        <w:t xml:space="preserve">resource dependency </w:t>
      </w:r>
      <w:r w:rsidR="00B65971">
        <w:t>a</w:t>
      </w:r>
      <w:r w:rsidR="00053E6E">
        <w:t xml:space="preserve"> </w:t>
      </w:r>
      <w:r w:rsidR="00F76E3C">
        <w:t xml:space="preserve">exchange teorie, které zdůrazňují právě tyto prvky (Tamtéž: 368). Exchange teorie, původně sociologická, pomáhá analyzovat </w:t>
      </w:r>
      <w:r w:rsidR="00B65971">
        <w:t>i</w:t>
      </w:r>
      <w:r w:rsidR="00053E6E">
        <w:t xml:space="preserve"> </w:t>
      </w:r>
      <w:r w:rsidR="00F76E3C">
        <w:t xml:space="preserve">zájmové skupiny </w:t>
      </w:r>
      <w:r w:rsidR="00B65971">
        <w:t>v</w:t>
      </w:r>
      <w:r w:rsidR="00053E6E">
        <w:t xml:space="preserve"> </w:t>
      </w:r>
      <w:r w:rsidR="00F76E3C">
        <w:t xml:space="preserve">EU (Buholzer 1998). Podle ní můžeme na interakci veřejných organizací nahlížet jako na sérii vzájemných výměn, </w:t>
      </w:r>
      <w:r w:rsidR="00266ABC">
        <w:t>podstatné je, že výměna musí být reciproční, ale benefity nemusí být rozloženy mezi organizace rovnoměrně (Bouwen 2002: 368).</w:t>
      </w:r>
      <w:r w:rsidR="00C568EE">
        <w:t xml:space="preserve"> Resource dependency se zaměřuje také na vzájemnou výměnu zdrojů, ale klade důraz na vzájemnou závislost mezi oběmi organizacemi (Pfeffer 1997: 63).</w:t>
      </w:r>
      <w:r w:rsidR="005D7A00">
        <w:t xml:space="preserve"> </w:t>
      </w:r>
      <w:r w:rsidR="00C568EE">
        <w:t xml:space="preserve">Tato vzájemná závislost pak může vést ke snaze </w:t>
      </w:r>
      <w:r w:rsidR="00B65971">
        <w:t>o</w:t>
      </w:r>
      <w:r w:rsidR="00053E6E">
        <w:t xml:space="preserve"> </w:t>
      </w:r>
      <w:r w:rsidR="00C568EE">
        <w:t xml:space="preserve">ovlivňování ze strany organizace poskytující zdroje. To </w:t>
      </w:r>
      <w:r w:rsidR="00B65971">
        <w:t>v</w:t>
      </w:r>
      <w:r w:rsidR="00053E6E">
        <w:t xml:space="preserve"> </w:t>
      </w:r>
      <w:r w:rsidR="00C568EE">
        <w:t xml:space="preserve">kontextu EU znamená, že instituce </w:t>
      </w:r>
      <w:r w:rsidR="00B65971">
        <w:t>a</w:t>
      </w:r>
      <w:r w:rsidR="00053E6E">
        <w:t xml:space="preserve"> </w:t>
      </w:r>
      <w:r w:rsidR="00C568EE">
        <w:t xml:space="preserve">zájmové skupiny jsou na sobě závislé, jelikož potřebují zdroje, které si vzájemně vyměňují. Instituce potřebují zdroje pro své fungování </w:t>
      </w:r>
      <w:r w:rsidR="00B65971">
        <w:t>a</w:t>
      </w:r>
      <w:r w:rsidR="00053E6E">
        <w:t xml:space="preserve"> </w:t>
      </w:r>
      <w:r w:rsidR="00C568EE">
        <w:t>zájmové organizace zase potřebují přístup (</w:t>
      </w:r>
      <w:r w:rsidR="007447B2">
        <w:t>Bouwen 2002: 368). Důležité je taky nakolik jsou</w:t>
      </w:r>
      <w:r w:rsidR="0056469F">
        <w:t xml:space="preserve"> vyměňované zdroje pro obě strany kritické. Míra kritičnosti zdroje také vychází </w:t>
      </w:r>
      <w:r w:rsidR="00B65971">
        <w:t>z</w:t>
      </w:r>
      <w:r w:rsidR="00053E6E">
        <w:t xml:space="preserve"> </w:t>
      </w:r>
      <w:r w:rsidR="0056469F">
        <w:t>resource depend</w:t>
      </w:r>
      <w:r w:rsidR="002651CB">
        <w:t>e</w:t>
      </w:r>
      <w:r w:rsidR="0056469F">
        <w:t>ncy teorie (Pfeffer and Salancik 1978: 46-47)</w:t>
      </w:r>
      <w:r w:rsidR="00F60DBF">
        <w:t>.</w:t>
      </w:r>
    </w:p>
    <w:p w:rsidR="007447B2" w:rsidRDefault="007447B2" w:rsidP="007447B2">
      <w:r>
        <w:t xml:space="preserve"> </w:t>
      </w:r>
      <w:r w:rsidR="000627B8">
        <w:t>Z</w:t>
      </w:r>
      <w:r>
        <w:t xml:space="preserve">droje výměny jsou </w:t>
      </w:r>
      <w:r w:rsidR="00E162E6">
        <w:t xml:space="preserve">Bouwenem </w:t>
      </w:r>
      <w:r>
        <w:t xml:space="preserve">označovány jako tzv. </w:t>
      </w:r>
      <w:r>
        <w:rPr>
          <w:i/>
        </w:rPr>
        <w:t>access goods</w:t>
      </w:r>
      <w:r>
        <w:t>.</w:t>
      </w:r>
      <w:r w:rsidR="00BD142D">
        <w:t xml:space="preserve"> Bouwen pracuje </w:t>
      </w:r>
      <w:r w:rsidR="00B65971">
        <w:t>s</w:t>
      </w:r>
      <w:r w:rsidR="00053E6E">
        <w:t xml:space="preserve"> </w:t>
      </w:r>
      <w:r w:rsidR="00BD142D">
        <w:t xml:space="preserve">tím, že aby zájmové skupiny dostaly přístup </w:t>
      </w:r>
      <w:r w:rsidR="00B65971">
        <w:t>k</w:t>
      </w:r>
      <w:r w:rsidR="00053E6E">
        <w:t xml:space="preserve"> </w:t>
      </w:r>
      <w:r w:rsidR="00BD142D">
        <w:t>dané instituci, budou chtít výměnou tyto instituce</w:t>
      </w:r>
      <w:r w:rsidR="0058721E">
        <w:t xml:space="preserve"> </w:t>
      </w:r>
      <w:r w:rsidR="000627B8">
        <w:t>z</w:t>
      </w:r>
      <w:r w:rsidR="0058721E">
        <w:t>a poskytnutí přístupu</w:t>
      </w:r>
      <w:r w:rsidR="00BD142D">
        <w:t xml:space="preserve"> určité „zboží“. </w:t>
      </w:r>
      <w:r w:rsidR="00B65971">
        <w:t>A</w:t>
      </w:r>
      <w:r w:rsidR="00053E6E">
        <w:t xml:space="preserve"> </w:t>
      </w:r>
      <w:r w:rsidR="00BD142D">
        <w:t xml:space="preserve">právě tímhle zbožím jsou tzv. access goods. Základem každého access goods jsou informace, podle jejich druhu můžeme rozlišit tři </w:t>
      </w:r>
      <w:r w:rsidR="00532BDF">
        <w:t>typy</w:t>
      </w:r>
      <w:r w:rsidR="00BD142D">
        <w:t xml:space="preserve"> access goods.</w:t>
      </w:r>
    </w:p>
    <w:p w:rsidR="00BD142D" w:rsidRDefault="00BD142D" w:rsidP="007447B2">
      <w:r>
        <w:t>Prvním typem je tzv.</w:t>
      </w:r>
      <w:r>
        <w:rPr>
          <w:i/>
        </w:rPr>
        <w:t xml:space="preserve"> expert knowledge</w:t>
      </w:r>
      <w:r>
        <w:t xml:space="preserve">. Tento druh zahrnuje především expertízy </w:t>
      </w:r>
      <w:r w:rsidR="00B65971">
        <w:t>a</w:t>
      </w:r>
      <w:r w:rsidR="00BB4E03">
        <w:t> </w:t>
      </w:r>
      <w:r>
        <w:t>technologické detailní znalosti, které EU potřebuje ke tvorbě své</w:t>
      </w:r>
      <w:r w:rsidR="00F60DBF">
        <w:t xml:space="preserve"> legislativy (Bouwen 2002: 369). </w:t>
      </w:r>
      <w:r w:rsidR="00B178F6">
        <w:t>Takový typ</w:t>
      </w:r>
      <w:r w:rsidR="00F60DBF">
        <w:t xml:space="preserve"> informací byl identifikován již </w:t>
      </w:r>
      <w:r w:rsidR="00B65971">
        <w:t>v</w:t>
      </w:r>
      <w:r w:rsidR="00053E6E">
        <w:t xml:space="preserve"> </w:t>
      </w:r>
      <w:r w:rsidR="00F60DBF">
        <w:t xml:space="preserve">dřívějších výzkumech (Buholzer </w:t>
      </w:r>
      <w:r w:rsidR="00F60DBF">
        <w:lastRenderedPageBreak/>
        <w:t>1998, Truman 1951 etc</w:t>
      </w:r>
      <w:r w:rsidR="00CE3E83">
        <w:t>.</w:t>
      </w:r>
      <w:r w:rsidR="00F60DBF">
        <w:t>).</w:t>
      </w:r>
      <w:r w:rsidR="00532BDF">
        <w:t xml:space="preserve"> </w:t>
      </w:r>
      <w:r w:rsidR="00F60DBF">
        <w:t xml:space="preserve">Podle Bouwena jsou nejlepšími poskytovateli tohoto druhu informací samostatné firmy mj. </w:t>
      </w:r>
      <w:r w:rsidR="00B65971">
        <w:t>i</w:t>
      </w:r>
      <w:r w:rsidR="00053E6E">
        <w:t xml:space="preserve"> </w:t>
      </w:r>
      <w:r w:rsidR="00F60DBF">
        <w:t>protože mají velké výzkumné divize (Bouwen 2002: 376).</w:t>
      </w:r>
    </w:p>
    <w:p w:rsidR="00911FCD" w:rsidRDefault="00911FCD" w:rsidP="007447B2">
      <w:r>
        <w:t xml:space="preserve">Druhý typ se nazývá </w:t>
      </w:r>
      <w:r>
        <w:rPr>
          <w:i/>
        </w:rPr>
        <w:t>Information about European Encompassing Interest</w:t>
      </w:r>
      <w:r>
        <w:t xml:space="preserve"> nebo-li IEEI. Zde jde </w:t>
      </w:r>
      <w:r w:rsidR="00B65971">
        <w:t>o</w:t>
      </w:r>
      <w:r w:rsidR="00053E6E">
        <w:t xml:space="preserve"> </w:t>
      </w:r>
      <w:r>
        <w:t xml:space="preserve">informace od privátního sektoru </w:t>
      </w:r>
      <w:r w:rsidR="00B65971">
        <w:t>o</w:t>
      </w:r>
      <w:r w:rsidR="00053E6E">
        <w:t xml:space="preserve"> </w:t>
      </w:r>
      <w:r>
        <w:t xml:space="preserve">evropských zájmech. Zájmy se zde tedy sdružují na </w:t>
      </w:r>
      <w:r w:rsidR="00AB1FEF">
        <w:t>e</w:t>
      </w:r>
      <w:r>
        <w:t>vropské úrovni (</w:t>
      </w:r>
      <w:r w:rsidR="003D7414">
        <w:t>Tamtéž: 369, 370).</w:t>
      </w:r>
    </w:p>
    <w:p w:rsidR="003D7414" w:rsidRDefault="003D7414" w:rsidP="007447B2">
      <w:r>
        <w:t xml:space="preserve">Poslední typ access goods se označuje jako tzv. </w:t>
      </w:r>
      <w:r>
        <w:rPr>
          <w:i/>
        </w:rPr>
        <w:t>Information about the Domestic Encompassing Interest</w:t>
      </w:r>
      <w:r>
        <w:t xml:space="preserve">, zkráceně IDEI. </w:t>
      </w:r>
      <w:r w:rsidR="00EA3CD9">
        <w:t>Tady</w:t>
      </w:r>
      <w:r>
        <w:t xml:space="preserve"> jde především </w:t>
      </w:r>
      <w:r w:rsidR="00B65971">
        <w:t>o</w:t>
      </w:r>
      <w:r w:rsidR="00053E6E">
        <w:t xml:space="preserve"> </w:t>
      </w:r>
      <w:r>
        <w:t>informace na národní úrovni, tento druh informací se vyskytuje tam, kde se spojují zájmy na národní úrovni (Tamtéž).</w:t>
      </w:r>
    </w:p>
    <w:p w:rsidR="00E962CC" w:rsidRDefault="00E962CC" w:rsidP="007447B2">
      <w:r>
        <w:t xml:space="preserve">Pro poslední dva jmenované typy platí, že </w:t>
      </w:r>
      <w:r>
        <w:rPr>
          <w:i/>
        </w:rPr>
        <w:t>encompassing</w:t>
      </w:r>
      <w:r>
        <w:t xml:space="preserve"> informace se vyskytují tam, kde je více zájmových skupin zapojeno do tvorby jednoho konkrétního zájmu. Příkladem může být národní asociace, jelikož ta se snaží </w:t>
      </w:r>
      <w:r w:rsidR="00B65971">
        <w:t>o</w:t>
      </w:r>
      <w:r w:rsidR="00053E6E">
        <w:t xml:space="preserve"> </w:t>
      </w:r>
      <w:r>
        <w:t xml:space="preserve">shromažďování zájmů </w:t>
      </w:r>
      <w:r w:rsidR="00B65971">
        <w:t>a</w:t>
      </w:r>
      <w:r w:rsidR="00053E6E">
        <w:t xml:space="preserve"> </w:t>
      </w:r>
      <w:r w:rsidR="00702A21">
        <w:t xml:space="preserve">potřeb svých členů. Podstatný je vždy rozptyl zájmů dané skupiny </w:t>
      </w:r>
      <w:r w:rsidR="00B65971">
        <w:t>a</w:t>
      </w:r>
      <w:r w:rsidR="00053E6E">
        <w:t xml:space="preserve"> </w:t>
      </w:r>
      <w:r w:rsidR="00702A21">
        <w:t>to jakou skupinu lidí chce zastupovat. Kromě toho záleží také na tom, na jaké úrovni chce daná zájmová skupina působit, zda je tedy členem např. nějaké asociace (Tamtéž: 370).</w:t>
      </w:r>
    </w:p>
    <w:p w:rsidR="00AB1FEF" w:rsidRDefault="003D6ED4" w:rsidP="007447B2">
      <w:r>
        <w:t xml:space="preserve">Podstatné je vysvětlit </w:t>
      </w:r>
      <w:r w:rsidR="00B65971">
        <w:t>i</w:t>
      </w:r>
      <w:r w:rsidR="00053E6E">
        <w:t xml:space="preserve"> </w:t>
      </w:r>
      <w:r>
        <w:t xml:space="preserve">přímé propojení access goods </w:t>
      </w:r>
      <w:r w:rsidR="00B65971">
        <w:t>s</w:t>
      </w:r>
      <w:r w:rsidR="00053E6E">
        <w:t xml:space="preserve"> </w:t>
      </w:r>
      <w:r>
        <w:t xml:space="preserve">problémem legitimity EU (Tamtéž). Nejprve je </w:t>
      </w:r>
      <w:r w:rsidR="000627B8">
        <w:t>nutné</w:t>
      </w:r>
      <w:r>
        <w:t xml:space="preserve"> rozliš</w:t>
      </w:r>
      <w:r w:rsidR="000627B8">
        <w:t>it</w:t>
      </w:r>
      <w:r>
        <w:t xml:space="preserve"> mezi input </w:t>
      </w:r>
      <w:r w:rsidR="00B65971">
        <w:t>a</w:t>
      </w:r>
      <w:r w:rsidR="00053E6E">
        <w:t xml:space="preserve"> </w:t>
      </w:r>
      <w:r>
        <w:t>output legitimitou (Scharpf 1999: 268). Input legitimita se za</w:t>
      </w:r>
      <w:r w:rsidR="00D664A4">
        <w:t>bývá</w:t>
      </w:r>
      <w:r>
        <w:t xml:space="preserve"> rozhodováním </w:t>
      </w:r>
      <w:r w:rsidR="00B65971">
        <w:t>v</w:t>
      </w:r>
      <w:r w:rsidR="00053E6E">
        <w:t xml:space="preserve"> </w:t>
      </w:r>
      <w:r>
        <w:t xml:space="preserve">EU skrze participaci občanů </w:t>
      </w:r>
      <w:r w:rsidR="00B65971">
        <w:t>a</w:t>
      </w:r>
      <w:r w:rsidR="00053E6E">
        <w:t xml:space="preserve"> </w:t>
      </w:r>
      <w:r>
        <w:t xml:space="preserve">zájmových skupin. Output legitimita se pak zabývá celkově efektivitou EU při řešení problémů. Input legitimita souvisí </w:t>
      </w:r>
      <w:r w:rsidR="00B65971">
        <w:t>s</w:t>
      </w:r>
      <w:r w:rsidR="00BB4E03">
        <w:t> </w:t>
      </w:r>
      <w:r>
        <w:t xml:space="preserve">IEEI </w:t>
      </w:r>
      <w:r w:rsidR="00B65971">
        <w:t>a</w:t>
      </w:r>
      <w:r w:rsidR="00053E6E">
        <w:t xml:space="preserve"> </w:t>
      </w:r>
      <w:r>
        <w:t>IDEI, jelikož tyto dvě formy poskytují reprezentativní zájmy.</w:t>
      </w:r>
      <w:r w:rsidR="00532BDF">
        <w:t xml:space="preserve"> Output legitimita je naopak úzce spojena </w:t>
      </w:r>
      <w:r w:rsidR="00B65971">
        <w:t>s</w:t>
      </w:r>
      <w:r w:rsidR="00053E6E">
        <w:t xml:space="preserve"> </w:t>
      </w:r>
      <w:r w:rsidR="00532BDF">
        <w:t xml:space="preserve">Expert Knowledge. Tento druh informací </w:t>
      </w:r>
      <w:r w:rsidR="00B65971">
        <w:t>v</w:t>
      </w:r>
      <w:r w:rsidR="00053E6E">
        <w:t xml:space="preserve"> </w:t>
      </w:r>
      <w:r w:rsidR="00532BDF">
        <w:t>podobě expertíz či analýz totiž poskytuje orgánům EU</w:t>
      </w:r>
      <w:r w:rsidR="001812B2">
        <w:t xml:space="preserve"> </w:t>
      </w:r>
      <w:r w:rsidR="00532BDF">
        <w:t xml:space="preserve">detailní znalost problematiky, čímž zvyšuje efektivitu při rozhodování EU </w:t>
      </w:r>
      <w:r w:rsidR="00B65971">
        <w:t>o</w:t>
      </w:r>
      <w:r w:rsidR="00053E6E">
        <w:t xml:space="preserve"> </w:t>
      </w:r>
      <w:r w:rsidR="00532BDF">
        <w:t xml:space="preserve">problémech </w:t>
      </w:r>
      <w:r w:rsidR="00B65971">
        <w:t>a</w:t>
      </w:r>
      <w:r w:rsidR="00053E6E">
        <w:t xml:space="preserve"> </w:t>
      </w:r>
      <w:r w:rsidR="00532BDF">
        <w:t xml:space="preserve">tím také přispívá </w:t>
      </w:r>
      <w:r w:rsidR="00B65971">
        <w:t>k</w:t>
      </w:r>
      <w:r w:rsidR="00053E6E">
        <w:t xml:space="preserve"> </w:t>
      </w:r>
      <w:r w:rsidR="00532BDF">
        <w:t>nárustu output legitimity (Bouwen 2002: 371).</w:t>
      </w:r>
    </w:p>
    <w:p w:rsidR="005953D9" w:rsidRDefault="005D7A00" w:rsidP="007447B2">
      <w:r>
        <w:t xml:space="preserve">Výše </w:t>
      </w:r>
      <w:r w:rsidR="00607FCB">
        <w:t xml:space="preserve">uvedené access goods jsou základem výměny mezi zájmovými skupinami </w:t>
      </w:r>
      <w:r w:rsidR="00B65971">
        <w:t>a</w:t>
      </w:r>
      <w:r w:rsidR="00BB4E03">
        <w:t> </w:t>
      </w:r>
      <w:r w:rsidR="00607FCB">
        <w:t xml:space="preserve">institucemi EU. Tento systém lze chápat jako nabídku </w:t>
      </w:r>
      <w:r w:rsidR="00B65971">
        <w:t>a</w:t>
      </w:r>
      <w:r w:rsidR="00053E6E">
        <w:t xml:space="preserve"> </w:t>
      </w:r>
      <w:r w:rsidR="00607FCB">
        <w:t>poptávku. Je důležité nezapomínat na to, že zájmové skupiny přístup dostanou pouze tehdy, pokud jsou jejich access goods</w:t>
      </w:r>
      <w:r w:rsidR="00B9581E">
        <w:t xml:space="preserve"> zároveň</w:t>
      </w:r>
      <w:r w:rsidR="00607FCB">
        <w:t xml:space="preserve"> vyžadovány danou institucí.</w:t>
      </w:r>
      <w:r w:rsidR="00CF7C6A">
        <w:t xml:space="preserve"> Je </w:t>
      </w:r>
      <w:r w:rsidR="000627B8">
        <w:t>potřeba</w:t>
      </w:r>
      <w:r w:rsidR="00CF7C6A">
        <w:t xml:space="preserve"> vždy analyzovat obě strany, jak poptávku ze strany institucí (</w:t>
      </w:r>
      <w:r w:rsidR="00B65971">
        <w:t>v</w:t>
      </w:r>
      <w:r w:rsidR="00053E6E">
        <w:t xml:space="preserve"> </w:t>
      </w:r>
      <w:r w:rsidR="00CF7C6A">
        <w:t>mém případě Evropské Komise), tak nabídku access goods ze strany zájmových skupin (Tamtéž: 372)</w:t>
      </w:r>
      <w:r w:rsidR="00B9581E">
        <w:t>.</w:t>
      </w:r>
      <w:r w:rsidR="00CF7C6A">
        <w:t xml:space="preserve"> Ne</w:t>
      </w:r>
      <w:r w:rsidR="00A603B7">
        <w:t xml:space="preserve"> </w:t>
      </w:r>
      <w:r w:rsidR="00CF7C6A">
        <w:t>všechny zájmové skupiny ale mají stejné možnosti poskytování access goods. Jední</w:t>
      </w:r>
      <w:r w:rsidR="00A603B7">
        <w:t>m</w:t>
      </w:r>
      <w:r w:rsidR="00CF7C6A">
        <w:t xml:space="preserve"> </w:t>
      </w:r>
      <w:r w:rsidR="00B65971">
        <w:t>z</w:t>
      </w:r>
      <w:r w:rsidR="00053E6E">
        <w:t xml:space="preserve"> </w:t>
      </w:r>
      <w:r w:rsidR="00CF7C6A">
        <w:t>hlavních prvků určují</w:t>
      </w:r>
      <w:r w:rsidR="00A603B7">
        <w:t xml:space="preserve">cích, jaké access goods bude moci skupina poskytnout je to, jakou organizační formu si vybere pro lobbování </w:t>
      </w:r>
      <w:r w:rsidR="00B65971">
        <w:t>v</w:t>
      </w:r>
      <w:r w:rsidR="00053E6E">
        <w:t xml:space="preserve"> </w:t>
      </w:r>
      <w:r w:rsidR="00A603B7">
        <w:t xml:space="preserve">EU. Existují tři faktory, které pomáhají určit, jakou formu by zájmová skupina měla zvolit. Prvním je </w:t>
      </w:r>
      <w:r w:rsidR="00A603B7">
        <w:rPr>
          <w:i/>
        </w:rPr>
        <w:t>velikost</w:t>
      </w:r>
      <w:r w:rsidR="00A603B7">
        <w:t xml:space="preserve">, jelikož velké firmy si mohou dovolit lobbovat samy za sebe, mají </w:t>
      </w:r>
      <w:r w:rsidR="00B65971">
        <w:t>k</w:t>
      </w:r>
      <w:r w:rsidR="00053E6E">
        <w:t xml:space="preserve"> </w:t>
      </w:r>
      <w:r w:rsidR="00A603B7">
        <w:t xml:space="preserve">tomu dostatek zdrojů, naopak menší podniky se často musí spoléhat na kolektivní formy akce, jako jsou </w:t>
      </w:r>
      <w:r w:rsidR="00A603B7">
        <w:lastRenderedPageBreak/>
        <w:t xml:space="preserve">třeba asociace. Druhým faktorem je </w:t>
      </w:r>
      <w:r w:rsidR="00A603B7">
        <w:rPr>
          <w:i/>
        </w:rPr>
        <w:t>ekonomická strategie</w:t>
      </w:r>
      <w:r w:rsidR="00A603B7">
        <w:t xml:space="preserve">, jinou volí malé podniky </w:t>
      </w:r>
      <w:r w:rsidR="00B65971">
        <w:t>a</w:t>
      </w:r>
      <w:r w:rsidR="008E17E4">
        <w:t> </w:t>
      </w:r>
      <w:r w:rsidR="00A603B7">
        <w:t>odlišnou mají zase velké národní firmy. Ekonomické strategie se poté transformují do strategie politické</w:t>
      </w:r>
      <w:r w:rsidR="00365765">
        <w:t xml:space="preserve"> (Bouwen 2009: 10). Třetím faktorem je </w:t>
      </w:r>
      <w:r w:rsidR="00365765">
        <w:rPr>
          <w:i/>
        </w:rPr>
        <w:t>domácí institucionální prostředí</w:t>
      </w:r>
      <w:r w:rsidR="00365765">
        <w:t>, které je důležité pro pochopení toho, jak privátní aktér</w:t>
      </w:r>
      <w:r w:rsidR="005953D9">
        <w:t xml:space="preserve"> lobbuje ve svém státě </w:t>
      </w:r>
      <w:r w:rsidR="00B65971">
        <w:t>i</w:t>
      </w:r>
      <w:r w:rsidR="00053E6E">
        <w:t xml:space="preserve"> </w:t>
      </w:r>
      <w:r w:rsidR="00B65971">
        <w:t>v</w:t>
      </w:r>
      <w:r w:rsidR="00053E6E">
        <w:t xml:space="preserve"> </w:t>
      </w:r>
      <w:r w:rsidR="005953D9">
        <w:t xml:space="preserve">EU (Beyers 2000: 211). Tyto faktory tedy pomáhají určit zájmové skupině organizační formu. </w:t>
      </w:r>
    </w:p>
    <w:p w:rsidR="00766877" w:rsidRDefault="005953D9" w:rsidP="007447B2">
      <w:r>
        <w:t>Kromě</w:t>
      </w:r>
      <w:r w:rsidR="00BB4E03">
        <w:t xml:space="preserve"> </w:t>
      </w:r>
      <w:r>
        <w:t xml:space="preserve">toho jsou zde dva další faktory, které mají vliv na kvantitu </w:t>
      </w:r>
      <w:r w:rsidR="00B65971">
        <w:t>a</w:t>
      </w:r>
      <w:r w:rsidR="00053E6E">
        <w:t xml:space="preserve"> </w:t>
      </w:r>
      <w:r>
        <w:t>kvalitu poskytovaných access goods, stejně jako na jejich efektivnost (Bouwen 2009: 11). Prvním j</w:t>
      </w:r>
      <w:r w:rsidR="00F33EE5">
        <w:t xml:space="preserve">e </w:t>
      </w:r>
      <w:r w:rsidR="00F33EE5">
        <w:rPr>
          <w:i/>
        </w:rPr>
        <w:t>počet vrstev</w:t>
      </w:r>
      <w:r w:rsidR="00F33EE5">
        <w:t xml:space="preserve">, které se zapojují do poskytování access goods. Rozlišujeme především tři možné vrsty, individuální firma – národní asociace </w:t>
      </w:r>
      <w:r w:rsidR="00CE3E83">
        <w:t>-</w:t>
      </w:r>
      <w:r w:rsidR="00F33EE5">
        <w:t xml:space="preserve"> evropská asociace (Bouwen 2002: 375). Čím více vrstev je zapojeno do poskytování access goods, tím pomalejší </w:t>
      </w:r>
      <w:r w:rsidR="00B65971">
        <w:t>a</w:t>
      </w:r>
      <w:r w:rsidR="00053E6E">
        <w:t xml:space="preserve"> </w:t>
      </w:r>
      <w:r w:rsidR="00F33EE5">
        <w:t xml:space="preserve">komplikovanější toto poskytování bude (Schmitter and Streeck 1999: 76). Zde je nevýhoda například národních asociací, které se skládají ze dvou vrstev, první vrstvou jsou individuální firmy </w:t>
      </w:r>
      <w:r w:rsidR="00B65971">
        <w:t>a</w:t>
      </w:r>
      <w:r w:rsidR="008E17E4">
        <w:t> </w:t>
      </w:r>
      <w:r w:rsidR="00F33EE5">
        <w:t xml:space="preserve">druhou je národní asociace. Je ale nutné poznamenat, že encompassing access goods </w:t>
      </w:r>
      <w:r w:rsidR="00EA3CD9">
        <w:t xml:space="preserve">(jak IDEI, tak IEEI) </w:t>
      </w:r>
      <w:r w:rsidR="00F33EE5">
        <w:t>vyžadují více vrstev pro účinné poskytování informací</w:t>
      </w:r>
      <w:r w:rsidR="007A06F8">
        <w:t xml:space="preserve"> (Bouwen 2002: 376).</w:t>
      </w:r>
      <w:r w:rsidR="00417108">
        <w:t xml:space="preserve"> </w:t>
      </w:r>
      <w:r w:rsidR="001D1F49">
        <w:t xml:space="preserve">Efektivita </w:t>
      </w:r>
      <w:r w:rsidR="00B65971">
        <w:t>v</w:t>
      </w:r>
      <w:r w:rsidR="00BB4E03">
        <w:t> </w:t>
      </w:r>
      <w:r w:rsidR="001D1F49">
        <w:t xml:space="preserve">poskytování access goods je také ovlivněna </w:t>
      </w:r>
      <w:r w:rsidR="00F70050">
        <w:t>interními rozhodovacími procesy</w:t>
      </w:r>
      <w:r w:rsidR="00BB4E03">
        <w:t xml:space="preserve"> </w:t>
      </w:r>
      <w:r w:rsidR="00F70050">
        <w:t>zájmové skupiny.</w:t>
      </w:r>
      <w:r w:rsidR="00BB4E03">
        <w:t xml:space="preserve"> </w:t>
      </w:r>
      <w:r w:rsidR="00F70050">
        <w:t xml:space="preserve">To znamená, že samostatná firma </w:t>
      </w:r>
      <w:r w:rsidR="00B65971">
        <w:t>s</w:t>
      </w:r>
      <w:r w:rsidR="00053E6E">
        <w:t xml:space="preserve"> </w:t>
      </w:r>
      <w:r w:rsidR="00F70050">
        <w:t xml:space="preserve">hiearchickou rozhodovací strukturou bude efektivnější při poskytování access goods než decentralizovaná </w:t>
      </w:r>
      <w:r w:rsidR="00B65971">
        <w:t>a</w:t>
      </w:r>
      <w:r w:rsidR="00053E6E">
        <w:t xml:space="preserve"> </w:t>
      </w:r>
      <w:r w:rsidR="00F70050">
        <w:t xml:space="preserve">demokraticky organizovaná forma, jako asociace (Salisbury 1984: 67-68). Je potřeba ale podotknout, že pro vysokou kvantitu </w:t>
      </w:r>
      <w:r w:rsidR="00B65971">
        <w:t>a</w:t>
      </w:r>
      <w:r w:rsidR="00053E6E">
        <w:t xml:space="preserve"> </w:t>
      </w:r>
      <w:r w:rsidR="00F70050">
        <w:t xml:space="preserve">kvalitu encompassing access goods jsou složité rozhodovací procesy nevyhnutelné. Svou roli může sehrát </w:t>
      </w:r>
      <w:r w:rsidR="00B65971">
        <w:t>i</w:t>
      </w:r>
      <w:r w:rsidR="00053E6E">
        <w:t xml:space="preserve"> </w:t>
      </w:r>
      <w:r w:rsidR="00F70050">
        <w:t xml:space="preserve">pověst zájmové skupiny, která se odráží od její spolehlivosti </w:t>
      </w:r>
      <w:r w:rsidR="00B65971">
        <w:t>a</w:t>
      </w:r>
      <w:r w:rsidR="00053E6E">
        <w:t xml:space="preserve"> </w:t>
      </w:r>
      <w:r w:rsidR="00F70050">
        <w:t xml:space="preserve">efektivity při poskytování access goods. Pozitivní reputace založená na poskytování kvalitních zdrojů může pomoci zájmové skupině </w:t>
      </w:r>
      <w:r w:rsidR="00B65971">
        <w:t>k</w:t>
      </w:r>
      <w:r w:rsidR="00053E6E">
        <w:t xml:space="preserve"> </w:t>
      </w:r>
      <w:r w:rsidR="00F70050">
        <w:t xml:space="preserve">lepší výměně zdrojů </w:t>
      </w:r>
      <w:r w:rsidR="00B65971">
        <w:t>s</w:t>
      </w:r>
      <w:r w:rsidR="00053E6E">
        <w:t xml:space="preserve"> </w:t>
      </w:r>
      <w:r w:rsidR="00F70050">
        <w:t>EU</w:t>
      </w:r>
      <w:r w:rsidR="00766877">
        <w:t xml:space="preserve"> (Bouwen 2002: 376).</w:t>
      </w:r>
    </w:p>
    <w:p w:rsidR="005D7A00" w:rsidRDefault="00766877" w:rsidP="007447B2">
      <w:r>
        <w:t>Nyní se budu věnovat tomu,</w:t>
      </w:r>
      <w:r w:rsidR="00A46ABE">
        <w:t xml:space="preserve"> </w:t>
      </w:r>
      <w:r>
        <w:t xml:space="preserve">jak organizační forma </w:t>
      </w:r>
      <w:r w:rsidR="00B65971">
        <w:t>a</w:t>
      </w:r>
      <w:r w:rsidR="00053E6E">
        <w:t xml:space="preserve"> </w:t>
      </w:r>
      <w:r>
        <w:t xml:space="preserve">faktory vyjmenované </w:t>
      </w:r>
      <w:r w:rsidR="00B65971">
        <w:t>v</w:t>
      </w:r>
      <w:r w:rsidR="008E17E4">
        <w:t> </w:t>
      </w:r>
      <w:r>
        <w:t xml:space="preserve">předcházející části ovlivňují poskytování access goods, což se nám ukáže </w:t>
      </w:r>
      <w:r w:rsidR="00B65971">
        <w:t>v</w:t>
      </w:r>
      <w:r w:rsidR="00053E6E">
        <w:t xml:space="preserve"> </w:t>
      </w:r>
      <w:r>
        <w:t xml:space="preserve">diskuzi </w:t>
      </w:r>
      <w:r w:rsidR="00B65971">
        <w:t>o</w:t>
      </w:r>
      <w:r w:rsidR="00053E6E">
        <w:t xml:space="preserve"> </w:t>
      </w:r>
      <w:r>
        <w:t>třech hlavních organizačních formách zájmových skupin (Bouwen 2009: 11).</w:t>
      </w:r>
      <w:r w:rsidR="00F70050">
        <w:t xml:space="preserve"> </w:t>
      </w:r>
    </w:p>
    <w:p w:rsidR="00365AA3" w:rsidRDefault="00B65971" w:rsidP="00365AA3">
      <w:r>
        <w:rPr>
          <w:i/>
        </w:rPr>
        <w:t> </w:t>
      </w:r>
      <w:r w:rsidR="00E162E6">
        <w:rPr>
          <w:i/>
        </w:rPr>
        <w:t>1</w:t>
      </w:r>
      <w:r w:rsidR="00365AA3" w:rsidRPr="00365AA3">
        <w:rPr>
          <w:i/>
        </w:rPr>
        <w:t>)</w:t>
      </w:r>
      <w:r w:rsidR="00365AA3">
        <w:rPr>
          <w:i/>
        </w:rPr>
        <w:t xml:space="preserve"> Samostatné firmy</w:t>
      </w:r>
      <w:r w:rsidR="00365AA3">
        <w:t xml:space="preserve">. </w:t>
      </w:r>
      <w:r w:rsidR="00B16239">
        <w:t xml:space="preserve">Strategie firem mohou být regionální, národní nebo evropské. Velké firmy </w:t>
      </w:r>
      <w:r>
        <w:t>s</w:t>
      </w:r>
      <w:r w:rsidR="00053E6E">
        <w:t xml:space="preserve"> </w:t>
      </w:r>
      <w:r w:rsidR="00B16239">
        <w:t xml:space="preserve">národní strategií se nazývají tzv. národní šampioni. Ti nejlépe dokáží poskytovat IDEI. To, do jaké míry jde </w:t>
      </w:r>
      <w:r>
        <w:t>o</w:t>
      </w:r>
      <w:r w:rsidR="00053E6E">
        <w:t xml:space="preserve"> </w:t>
      </w:r>
      <w:r w:rsidR="00B16239">
        <w:t xml:space="preserve">„společné“ domácí zájmy je omezeno tím, že jde pouze </w:t>
      </w:r>
      <w:r>
        <w:t>o</w:t>
      </w:r>
      <w:r w:rsidR="00053E6E">
        <w:t xml:space="preserve"> </w:t>
      </w:r>
      <w:r w:rsidR="00B16239">
        <w:t xml:space="preserve">jednu firmu. Velké firmy </w:t>
      </w:r>
      <w:r>
        <w:t>s</w:t>
      </w:r>
      <w:r w:rsidR="00053E6E">
        <w:t xml:space="preserve"> </w:t>
      </w:r>
      <w:r w:rsidR="00B16239">
        <w:t xml:space="preserve">evropskou strategií jsou pak označovány jako tzv. evropští šampioni. Ti dokáží poskytovat IEEI. </w:t>
      </w:r>
      <w:r>
        <w:t>I</w:t>
      </w:r>
      <w:r w:rsidR="00053E6E">
        <w:t xml:space="preserve"> </w:t>
      </w:r>
      <w:r w:rsidR="00B16239">
        <w:t xml:space="preserve">zde ale je obtížné poskytovat skutečně „společné“ evropské zájmy, jelikož jde opět </w:t>
      </w:r>
      <w:r>
        <w:t>o</w:t>
      </w:r>
      <w:r w:rsidR="00053E6E">
        <w:t xml:space="preserve"> </w:t>
      </w:r>
      <w:r w:rsidR="00B16239">
        <w:t>jednoho evropského šampiona.</w:t>
      </w:r>
      <w:r w:rsidR="00D5180E">
        <w:t xml:space="preserve"> Jak již bylo zmíněno samostatné firmy jsou nejlepší při poskytování expert knowledge, tedy technických </w:t>
      </w:r>
      <w:r>
        <w:t>a</w:t>
      </w:r>
      <w:r w:rsidR="00053E6E">
        <w:t xml:space="preserve"> </w:t>
      </w:r>
      <w:r w:rsidR="00D5180E">
        <w:t>detailních znalostí.</w:t>
      </w:r>
    </w:p>
    <w:p w:rsidR="00B16239" w:rsidRDefault="00B65971" w:rsidP="00365AA3">
      <w:r>
        <w:rPr>
          <w:i/>
        </w:rPr>
        <w:lastRenderedPageBreak/>
        <w:t>2</w:t>
      </w:r>
      <w:r w:rsidR="00B16239">
        <w:rPr>
          <w:i/>
        </w:rPr>
        <w:t>) Asociace</w:t>
      </w:r>
      <w:r w:rsidR="00B16239">
        <w:t xml:space="preserve">. Asociace nejsou tak efektivní při poskytování expert knowledge jelikož </w:t>
      </w:r>
      <w:r w:rsidR="003570EE">
        <w:t xml:space="preserve">se musejí vypořádat se širším okruhem problémů. Navíc efektivitu ztěžuje </w:t>
      </w:r>
      <w:r>
        <w:t>i</w:t>
      </w:r>
      <w:r w:rsidR="00053E6E">
        <w:t xml:space="preserve"> </w:t>
      </w:r>
      <w:r w:rsidR="003570EE">
        <w:t xml:space="preserve">komplikovaná organizační </w:t>
      </w:r>
      <w:r w:rsidR="00D5180E">
        <w:t>struktura</w:t>
      </w:r>
      <w:r w:rsidR="003570EE">
        <w:t>, která</w:t>
      </w:r>
      <w:r w:rsidR="00D5180E">
        <w:t xml:space="preserve"> má</w:t>
      </w:r>
      <w:r w:rsidR="003570EE">
        <w:t xml:space="preserve"> tři vrstvy, samostatná firma - národní asociace - evropská asociace. </w:t>
      </w:r>
      <w:r>
        <w:t>Z</w:t>
      </w:r>
      <w:r w:rsidR="00053E6E">
        <w:t xml:space="preserve"> </w:t>
      </w:r>
      <w:r w:rsidR="003570EE">
        <w:t>druhé strany díky tomu evropské asociace dokáží poskytnout společnou evrop</w:t>
      </w:r>
      <w:r w:rsidR="00D5180E">
        <w:t>s</w:t>
      </w:r>
      <w:r w:rsidR="003570EE">
        <w:t xml:space="preserve">kou pozici </w:t>
      </w:r>
      <w:r>
        <w:t>k</w:t>
      </w:r>
      <w:r w:rsidR="00053E6E">
        <w:t xml:space="preserve"> </w:t>
      </w:r>
      <w:r w:rsidR="003570EE">
        <w:t xml:space="preserve">danému sektoru neboli IEEI. Národní asociace mají dobrý vztah se svou vládou </w:t>
      </w:r>
      <w:r>
        <w:t>a</w:t>
      </w:r>
      <w:r w:rsidR="00BB4E03">
        <w:t> </w:t>
      </w:r>
      <w:r>
        <w:t>s</w:t>
      </w:r>
      <w:r w:rsidR="00BB4E03">
        <w:t> </w:t>
      </w:r>
      <w:r w:rsidR="003570EE">
        <w:t xml:space="preserve">firmami ve své zemi </w:t>
      </w:r>
      <w:r>
        <w:t>a</w:t>
      </w:r>
      <w:r w:rsidR="00053E6E">
        <w:t xml:space="preserve"> </w:t>
      </w:r>
      <w:r w:rsidR="003570EE">
        <w:t xml:space="preserve">proto dokáží poskytovat kvalitní IDEI. Stejně jako </w:t>
      </w:r>
      <w:r>
        <w:t>u</w:t>
      </w:r>
      <w:r w:rsidR="008E17E4">
        <w:t> </w:t>
      </w:r>
      <w:r w:rsidR="003570EE">
        <w:t xml:space="preserve">evropských asociací ani ty národní nejsou příliš dobré </w:t>
      </w:r>
      <w:r>
        <w:t>v</w:t>
      </w:r>
      <w:r w:rsidR="00053E6E">
        <w:t xml:space="preserve"> </w:t>
      </w:r>
      <w:r w:rsidR="003570EE">
        <w:t xml:space="preserve">poskytování expert knowledge </w:t>
      </w:r>
      <w:r>
        <w:t>a</w:t>
      </w:r>
      <w:r w:rsidR="008E17E4">
        <w:t> </w:t>
      </w:r>
      <w:r>
        <w:t>i</w:t>
      </w:r>
      <w:r w:rsidR="008E17E4">
        <w:t> </w:t>
      </w:r>
      <w:r w:rsidR="003570EE">
        <w:t>zde vše zpomaluje dvojvrstvá struktura, samostatná firma – národní asociace.</w:t>
      </w:r>
    </w:p>
    <w:p w:rsidR="003570EE" w:rsidRDefault="00B65971" w:rsidP="00365AA3">
      <w:r>
        <w:rPr>
          <w:i/>
        </w:rPr>
        <w:t>3</w:t>
      </w:r>
      <w:r w:rsidR="003570EE">
        <w:rPr>
          <w:i/>
        </w:rPr>
        <w:t>) Konzultanti</w:t>
      </w:r>
      <w:r w:rsidR="003570EE">
        <w:t>. Jelikož kon</w:t>
      </w:r>
      <w:r w:rsidR="00B8751C">
        <w:t>z</w:t>
      </w:r>
      <w:r w:rsidR="003570EE">
        <w:t>ultanti neprosazují své vlastní zájmy, nedokáží poskytovat společné evropské či domácí zájmy. Expert knowledge mohou posytovat pouze, pokud jsou</w:t>
      </w:r>
      <w:r w:rsidR="00D5180E">
        <w:t xml:space="preserve"> sami</w:t>
      </w:r>
      <w:r w:rsidR="003570EE">
        <w:t xml:space="preserve"> experty </w:t>
      </w:r>
      <w:r>
        <w:t>v</w:t>
      </w:r>
      <w:r w:rsidR="00053E6E">
        <w:t xml:space="preserve"> </w:t>
      </w:r>
      <w:r w:rsidR="003570EE">
        <w:t xml:space="preserve">určité oblasti, což </w:t>
      </w:r>
      <w:r>
        <w:t>v</w:t>
      </w:r>
      <w:r w:rsidR="00053E6E">
        <w:t xml:space="preserve"> </w:t>
      </w:r>
      <w:r w:rsidR="003570EE">
        <w:t>Bruselu není příliš obvyklé.</w:t>
      </w:r>
      <w:r w:rsidR="00D7264C">
        <w:t xml:space="preserve"> Omezené poskytování access goods konzultanty je kompenzováno vztahem konzultantů </w:t>
      </w:r>
      <w:r>
        <w:t>s</w:t>
      </w:r>
      <w:r w:rsidR="00053E6E">
        <w:t xml:space="preserve"> </w:t>
      </w:r>
      <w:r w:rsidR="00D7264C">
        <w:t xml:space="preserve">jejich klientem. Právě klienti totiž mohou poskytnout často různé druhy zdrojů </w:t>
      </w:r>
      <w:r>
        <w:t>v</w:t>
      </w:r>
      <w:r w:rsidR="00053E6E">
        <w:t xml:space="preserve"> </w:t>
      </w:r>
      <w:r w:rsidR="00D7264C">
        <w:t xml:space="preserve">závislosti na jejich organizační formě. Aby klient uspěl, musí se svým konzultantem sdílet své access goods, konzultant slouží </w:t>
      </w:r>
      <w:r>
        <w:t>k</w:t>
      </w:r>
      <w:r w:rsidR="008E17E4">
        <w:t> </w:t>
      </w:r>
      <w:r w:rsidR="00D7264C">
        <w:t>tomu, aby jeho access goods místo něj distribuoval do institucí EU (Bouwen 2002: 376-378).</w:t>
      </w:r>
      <w:r w:rsidR="00D5180E">
        <w:t xml:space="preserve"> Celou</w:t>
      </w:r>
      <w:r w:rsidR="00D7264C">
        <w:t xml:space="preserve"> </w:t>
      </w:r>
      <w:r w:rsidR="00D5180E">
        <w:t>výše p</w:t>
      </w:r>
      <w:r w:rsidR="00D7264C">
        <w:t xml:space="preserve">opsanou strukturu přehledně vysvětluje tabulka </w:t>
      </w:r>
      <w:r>
        <w:t>č </w:t>
      </w:r>
      <w:r w:rsidR="00EB294A">
        <w:t xml:space="preserve">. </w:t>
      </w:r>
      <w:r>
        <w:t>1 </w:t>
      </w:r>
      <w:r w:rsidR="003F1BF2">
        <w:rPr>
          <w:rStyle w:val="FootnoteReference"/>
        </w:rPr>
        <w:footnoteReference w:id="2"/>
      </w:r>
      <w:r w:rsidR="00EB294A">
        <w:t xml:space="preserve">. </w:t>
      </w:r>
    </w:p>
    <w:p w:rsidR="0062189F" w:rsidRDefault="0062189F" w:rsidP="00365AA3">
      <w:r w:rsidRPr="0062189F">
        <w:rPr>
          <w:noProof/>
        </w:rPr>
        <w:drawing>
          <wp:inline distT="0" distB="0" distL="0" distR="0">
            <wp:extent cx="5759450" cy="2515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515235"/>
                    </a:xfrm>
                    <a:prstGeom prst="rect">
                      <a:avLst/>
                    </a:prstGeom>
                    <a:noFill/>
                    <a:ln>
                      <a:noFill/>
                    </a:ln>
                  </pic:spPr>
                </pic:pic>
              </a:graphicData>
            </a:graphic>
          </wp:inline>
        </w:drawing>
      </w:r>
    </w:p>
    <w:p w:rsidR="0062189F" w:rsidRDefault="00E5447D" w:rsidP="00365AA3">
      <w:r>
        <w:t xml:space="preserve">Tím jsme ale prozkoumali pouze stranu nabídky access goods. Nyní je potřeba se podívat na stranu poptávky, kterou </w:t>
      </w:r>
      <w:r w:rsidR="00B65971">
        <w:t>v</w:t>
      </w:r>
      <w:r w:rsidR="00053E6E">
        <w:t xml:space="preserve"> </w:t>
      </w:r>
      <w:r>
        <w:t>mém případě představuje jed</w:t>
      </w:r>
      <w:r w:rsidR="00E162E6">
        <w:t>na</w:t>
      </w:r>
      <w:r>
        <w:t xml:space="preserve"> instituce EU, Evropská </w:t>
      </w:r>
      <w:r w:rsidR="00AB1FEF">
        <w:t>k</w:t>
      </w:r>
      <w:r>
        <w:t xml:space="preserve">omise. Jelikož instituce jsou </w:t>
      </w:r>
      <w:r w:rsidR="00E162E6" w:rsidRPr="00E162E6">
        <w:t>obvykle</w:t>
      </w:r>
      <w:r w:rsidR="00E162E6">
        <w:t xml:space="preserve"> </w:t>
      </w:r>
      <w:r>
        <w:t xml:space="preserve">závislé na více druzích zdrojů, </w:t>
      </w:r>
      <w:r w:rsidR="000A25E8">
        <w:t>lze</w:t>
      </w:r>
      <w:r>
        <w:t xml:space="preserve"> si práci zjednodušit </w:t>
      </w:r>
      <w:r w:rsidR="00B65971">
        <w:t>a</w:t>
      </w:r>
      <w:r w:rsidR="00053E6E">
        <w:t xml:space="preserve"> </w:t>
      </w:r>
      <w:r>
        <w:t>na základě resource dependency teorie hledat</w:t>
      </w:r>
      <w:r w:rsidR="000A25E8">
        <w:t xml:space="preserve"> </w:t>
      </w:r>
      <w:r>
        <w:t xml:space="preserve">zdroje na kterých instituce závisí nejvíc. Zde se objevuje již dříve použitý pojem kritický zdroj (Pfeffer and Salancik 1978, Jacobs 1974). </w:t>
      </w:r>
      <w:r w:rsidR="000A25E8">
        <w:t>P</w:t>
      </w:r>
      <w:r>
        <w:t xml:space="preserve">optávka po zdrojích je založena na roli instituce </w:t>
      </w:r>
      <w:r w:rsidR="00B65971">
        <w:t>v</w:t>
      </w:r>
      <w:r w:rsidR="00053E6E">
        <w:t xml:space="preserve"> </w:t>
      </w:r>
      <w:r>
        <w:t xml:space="preserve">legislativním procesu, nejkritičtějším </w:t>
      </w:r>
      <w:r>
        <w:lastRenderedPageBreak/>
        <w:t xml:space="preserve">zdrojem bude ten, který instituce potřebuje pro naplnění své role (Bouwen 2002: 378). </w:t>
      </w:r>
      <w:r w:rsidR="00B65971">
        <w:t>I</w:t>
      </w:r>
      <w:r w:rsidR="00BB4E03">
        <w:t> </w:t>
      </w:r>
      <w:r w:rsidR="00F94D7B">
        <w:t>samotná instituce bude více naslouchat požadavkům toho, kdo drží pro ni kritické zdroje (Pfeffer 1982: 193).</w:t>
      </w:r>
    </w:p>
    <w:p w:rsidR="00542617" w:rsidRDefault="00542617" w:rsidP="00365AA3">
      <w:r>
        <w:t xml:space="preserve">Evropská </w:t>
      </w:r>
      <w:r w:rsidR="00C87758">
        <w:t>k</w:t>
      </w:r>
      <w:r>
        <w:t xml:space="preserve">omise je nejvíce supranacionální institucí, jejímž cílem je </w:t>
      </w:r>
      <w:r w:rsidR="00DC5A3B">
        <w:t xml:space="preserve">podporovat společné evropské zájmy (Rometch and Wessels 1997: 214). Právě proto potřebuje dostávat informace </w:t>
      </w:r>
      <w:r w:rsidR="00B65971">
        <w:t>o</w:t>
      </w:r>
      <w:r w:rsidR="00053E6E">
        <w:t xml:space="preserve"> </w:t>
      </w:r>
      <w:r w:rsidR="00DC5A3B">
        <w:t xml:space="preserve">společných evropských zájmech (IEEI). Tento druh informací ji pomůže při identifikování </w:t>
      </w:r>
      <w:r w:rsidR="000A25E8">
        <w:t xml:space="preserve">těchto </w:t>
      </w:r>
      <w:r w:rsidR="00DC5A3B">
        <w:t xml:space="preserve">zájmů. Zároveň je ale Komise klíčovým aktérem při navrhování legislativy. Má exkluzivní právo legislativu navrhovat </w:t>
      </w:r>
      <w:r w:rsidR="00B65971">
        <w:t>a</w:t>
      </w:r>
      <w:r w:rsidR="00053E6E">
        <w:t xml:space="preserve"> </w:t>
      </w:r>
      <w:r w:rsidR="00DC5A3B">
        <w:t>při tomto procesu tvorby návrhů Komise vyžaduje především expert knowledge</w:t>
      </w:r>
      <w:r w:rsidR="000A25E8">
        <w:t>.</w:t>
      </w:r>
      <w:r w:rsidR="00DC5A3B">
        <w:t xml:space="preserve"> </w:t>
      </w:r>
      <w:r w:rsidR="000A25E8">
        <w:t>T</w:t>
      </w:r>
      <w:r w:rsidR="00DC5A3B">
        <w:t xml:space="preserve">yto informace jí totiž dodávají detailní </w:t>
      </w:r>
      <w:r w:rsidR="00B65971">
        <w:t>a</w:t>
      </w:r>
      <w:r w:rsidR="00BB4E03">
        <w:t> </w:t>
      </w:r>
      <w:r w:rsidR="00DC5A3B">
        <w:t>technické znalosti dané problematiky (Bouwen 2002: 379). Právě expert knowledge je tedy identifikováno jako kritický zdroj pro Komisi. Kvůli nedostatku zaměstnanců</w:t>
      </w:r>
      <w:r w:rsidR="00F0115A">
        <w:t xml:space="preserve"> </w:t>
      </w:r>
      <w:r w:rsidR="00B65971">
        <w:t>a</w:t>
      </w:r>
      <w:r w:rsidR="00053E6E">
        <w:t xml:space="preserve"> </w:t>
      </w:r>
      <w:r w:rsidR="00F0115A">
        <w:t xml:space="preserve">problémům </w:t>
      </w:r>
      <w:r w:rsidR="00B65971">
        <w:t>s</w:t>
      </w:r>
      <w:r w:rsidR="00BB4E03">
        <w:t> </w:t>
      </w:r>
      <w:r w:rsidR="00F0115A">
        <w:t>rozpočtem je totiž Komise závislá na externích zdrojích těchto informací (Spence 1997: 71).</w:t>
      </w:r>
      <w:r w:rsidR="003D7CF8">
        <w:t xml:space="preserve"> Naopak při tvorbě legislativy Komise nevyžaduje IDEI. </w:t>
      </w:r>
      <w:r w:rsidR="00B65971">
        <w:t>V</w:t>
      </w:r>
      <w:r w:rsidR="00053E6E">
        <w:t xml:space="preserve"> </w:t>
      </w:r>
      <w:r w:rsidR="003D7CF8">
        <w:t xml:space="preserve">téhle fázi zájmy členských států </w:t>
      </w:r>
      <w:r w:rsidR="00B65971">
        <w:t>a</w:t>
      </w:r>
      <w:r w:rsidR="00BB4E03">
        <w:t> </w:t>
      </w:r>
      <w:r w:rsidR="003D7CF8">
        <w:t xml:space="preserve">národních asociací </w:t>
      </w:r>
      <w:r w:rsidR="002F05E3">
        <w:t xml:space="preserve">často nebývají ještě rozvinuty </w:t>
      </w:r>
      <w:r w:rsidR="00B65971">
        <w:t>a</w:t>
      </w:r>
      <w:r w:rsidR="00053E6E">
        <w:t xml:space="preserve"> </w:t>
      </w:r>
      <w:r w:rsidR="002F05E3">
        <w:t xml:space="preserve">proto zde nejsou využívány. Navíc, jak již bylo řečeno, Komisi zajímají především evropské společné zájmy. Zájmy členských státu Komise bere </w:t>
      </w:r>
      <w:r w:rsidR="00B65971">
        <w:t>v</w:t>
      </w:r>
      <w:r w:rsidR="00053E6E">
        <w:t xml:space="preserve"> </w:t>
      </w:r>
      <w:r w:rsidR="002F05E3">
        <w:t xml:space="preserve">potaz spíše </w:t>
      </w:r>
      <w:r w:rsidR="00B65971">
        <w:t>v</w:t>
      </w:r>
      <w:r w:rsidR="00053E6E">
        <w:t xml:space="preserve"> </w:t>
      </w:r>
      <w:r w:rsidR="002F05E3">
        <w:t xml:space="preserve">pozdějších fázích legislativního procesu. Kromě </w:t>
      </w:r>
      <w:r w:rsidR="000A25E8">
        <w:t>toho</w:t>
      </w:r>
      <w:r w:rsidR="002F05E3">
        <w:t xml:space="preserve">, Komise má poptávku </w:t>
      </w:r>
      <w:r w:rsidR="000A25E8">
        <w:t>po</w:t>
      </w:r>
      <w:r w:rsidR="002F05E3">
        <w:t xml:space="preserve"> informac</w:t>
      </w:r>
      <w:r w:rsidR="000A25E8">
        <w:t>ích</w:t>
      </w:r>
      <w:r w:rsidR="002F05E3">
        <w:t xml:space="preserve">, které by jí pomohly snížit demokratický deficit </w:t>
      </w:r>
      <w:r w:rsidR="00B65971">
        <w:t>a</w:t>
      </w:r>
      <w:r w:rsidR="00053E6E">
        <w:t xml:space="preserve"> </w:t>
      </w:r>
      <w:r w:rsidR="002F05E3">
        <w:t>zvýšit input legitimitu. Ke zvýšení legitimity Komise hledá</w:t>
      </w:r>
      <w:r w:rsidR="000A25E8">
        <w:t xml:space="preserve"> hlavně</w:t>
      </w:r>
      <w:r w:rsidR="002F05E3">
        <w:t xml:space="preserve"> expert knowledge, což ji pomáhá efektivněji řešit podstatné politické otázky </w:t>
      </w:r>
      <w:r w:rsidR="00B65971">
        <w:t>a</w:t>
      </w:r>
      <w:r w:rsidR="00053E6E">
        <w:t xml:space="preserve"> </w:t>
      </w:r>
      <w:r w:rsidR="002F05E3">
        <w:t>tím se zvyšuje legitimita</w:t>
      </w:r>
      <w:r w:rsidR="003A0BC2">
        <w:t xml:space="preserve"> instituce</w:t>
      </w:r>
      <w:r w:rsidR="00A16CBE">
        <w:t xml:space="preserve"> (Bouwen 2002 379-380).</w:t>
      </w:r>
      <w:r w:rsidR="008C0751">
        <w:t xml:space="preserve"> Komise </w:t>
      </w:r>
      <w:r w:rsidR="000A25E8">
        <w:t>má</w:t>
      </w:r>
      <w:r w:rsidR="008C0751">
        <w:t xml:space="preserve"> pro zájmové skupiny ještě jednu podstatnou roli, právě tato instituce totiž může členský stát EU žalovat </w:t>
      </w:r>
      <w:r w:rsidR="00B65971">
        <w:t>u</w:t>
      </w:r>
      <w:r w:rsidR="00053E6E">
        <w:t xml:space="preserve"> </w:t>
      </w:r>
      <w:r w:rsidR="008C0751">
        <w:t xml:space="preserve">Evropského soudního dvora, pokud daný stát neplní závaznou legislativu. </w:t>
      </w:r>
      <w:r w:rsidR="00B65971">
        <w:t>A</w:t>
      </w:r>
      <w:r w:rsidR="00053E6E">
        <w:t xml:space="preserve"> </w:t>
      </w:r>
      <w:r w:rsidR="008C0751">
        <w:t xml:space="preserve">jsou to často zájmové organizace, které na porušení pravidel Komisi upozorní, zejména </w:t>
      </w:r>
      <w:r w:rsidR="00B65971">
        <w:t>z</w:t>
      </w:r>
      <w:r w:rsidR="00053E6E">
        <w:t xml:space="preserve"> </w:t>
      </w:r>
      <w:r w:rsidR="008C0751">
        <w:t xml:space="preserve">důvodu, že jejich nenaplňování může zájmovou skupinu poškozovat. Aby však mohla být Komise upozorněna, musí zájmová skupina získat přístup (Hauser 2011: </w:t>
      </w:r>
      <w:r w:rsidR="004D3B96">
        <w:t xml:space="preserve">694-695). </w:t>
      </w:r>
    </w:p>
    <w:p w:rsidR="000336FF" w:rsidRDefault="00A16CBE" w:rsidP="00365AA3">
      <w:r>
        <w:t xml:space="preserve">Shrnuto tedy, aby mohl být vysvětlen přístup zájmových skupin </w:t>
      </w:r>
      <w:r w:rsidR="00B65971">
        <w:t>k</w:t>
      </w:r>
      <w:r w:rsidR="00053E6E">
        <w:t xml:space="preserve"> </w:t>
      </w:r>
      <w:r>
        <w:t>institucím EU (</w:t>
      </w:r>
      <w:r w:rsidR="00B65971">
        <w:t>v</w:t>
      </w:r>
      <w:r w:rsidR="008E17E4">
        <w:t> </w:t>
      </w:r>
      <w:r>
        <w:t xml:space="preserve">mém případě pouze </w:t>
      </w:r>
      <w:r w:rsidR="00B65971">
        <w:t>k</w:t>
      </w:r>
      <w:r w:rsidR="00053E6E">
        <w:t xml:space="preserve"> </w:t>
      </w:r>
      <w:r>
        <w:t xml:space="preserve">Evropské Komisi), je potřeba brát </w:t>
      </w:r>
      <w:r w:rsidR="00B65971">
        <w:t>v</w:t>
      </w:r>
      <w:r w:rsidR="00053E6E">
        <w:t xml:space="preserve"> </w:t>
      </w:r>
      <w:r>
        <w:t>úvahu jak poptávku, tak nabídku access goods.</w:t>
      </w:r>
      <w:r w:rsidR="0005685C">
        <w:t xml:space="preserve"> </w:t>
      </w:r>
      <w:r>
        <w:t xml:space="preserve">Access goods, které skupina nabízí musí být zároveň požadovány Komisí, aby získala </w:t>
      </w:r>
      <w:r w:rsidR="00BF7742">
        <w:t xml:space="preserve">zájmová </w:t>
      </w:r>
      <w:r>
        <w:t>skupina přístu</w:t>
      </w:r>
      <w:r w:rsidR="008949A2">
        <w:t>p</w:t>
      </w:r>
      <w:r>
        <w:t xml:space="preserve"> </w:t>
      </w:r>
      <w:r w:rsidR="00B65971">
        <w:t>k</w:t>
      </w:r>
      <w:r w:rsidR="00053E6E">
        <w:t xml:space="preserve"> </w:t>
      </w:r>
      <w:r>
        <w:t>instituci.</w:t>
      </w:r>
      <w:r w:rsidR="008949A2">
        <w:t xml:space="preserve"> Podle resource dependency teorie, identifikováni kritických zdrojů pro instituci umožní určit, kteří aktéři získají nejlepší přístup. Komise tedy bude odpovídat na požadavky těch aktérů, kte</w:t>
      </w:r>
      <w:r w:rsidR="000A25E8">
        <w:t>ř</w:t>
      </w:r>
      <w:r w:rsidR="008949A2">
        <w:t xml:space="preserve">í kontrolují právě pro ni kritické zdroje </w:t>
      </w:r>
      <w:r w:rsidR="00B65971">
        <w:t>a</w:t>
      </w:r>
      <w:r w:rsidR="00053E6E">
        <w:t xml:space="preserve"> </w:t>
      </w:r>
      <w:r w:rsidR="008949A2">
        <w:t xml:space="preserve">tito aktéři pak dostanou také lepší přístup (Tamtéž: 382). Na základě poptávky </w:t>
      </w:r>
      <w:r w:rsidR="00B65971">
        <w:t>a</w:t>
      </w:r>
      <w:r w:rsidR="00053E6E">
        <w:t xml:space="preserve"> </w:t>
      </w:r>
      <w:r w:rsidR="008949A2">
        <w:t xml:space="preserve">nabídky po access goods tedy tato teorie usiluje </w:t>
      </w:r>
      <w:r w:rsidR="00B65971">
        <w:t>o</w:t>
      </w:r>
      <w:r w:rsidR="00053E6E">
        <w:t xml:space="preserve"> </w:t>
      </w:r>
      <w:r w:rsidR="001A6967">
        <w:t xml:space="preserve">pochopení míry přístupu </w:t>
      </w:r>
      <w:r w:rsidR="00B65971">
        <w:t>k</w:t>
      </w:r>
      <w:r w:rsidR="008E17E4">
        <w:t> </w:t>
      </w:r>
      <w:r w:rsidR="001A6967">
        <w:t>institucím EU různými organizačními formami privátních aktérů (Tamtéž: 383).</w:t>
      </w:r>
      <w:r w:rsidR="00E94D58">
        <w:t xml:space="preserve"> Jde tedy </w:t>
      </w:r>
      <w:r w:rsidR="00B65971">
        <w:lastRenderedPageBreak/>
        <w:t>o</w:t>
      </w:r>
      <w:r w:rsidR="00053E6E">
        <w:t xml:space="preserve"> </w:t>
      </w:r>
      <w:r w:rsidR="00E94D58">
        <w:t xml:space="preserve">alternativní přístup, na rozdíl od většiny studií, které se zabývají přímým vlivem lobbingu na legislativu, Bouwen </w:t>
      </w:r>
      <w:r w:rsidR="00B65971">
        <w:t>k</w:t>
      </w:r>
      <w:r w:rsidR="00053E6E">
        <w:t xml:space="preserve"> </w:t>
      </w:r>
      <w:r w:rsidR="00E94D58">
        <w:t xml:space="preserve">problematice přistupuje jinak </w:t>
      </w:r>
      <w:r w:rsidR="00B65971">
        <w:t>a</w:t>
      </w:r>
      <w:r w:rsidR="00053E6E">
        <w:t xml:space="preserve"> </w:t>
      </w:r>
      <w:r w:rsidR="00B65971">
        <w:t>i</w:t>
      </w:r>
      <w:r w:rsidR="00053E6E">
        <w:t xml:space="preserve"> </w:t>
      </w:r>
      <w:r w:rsidR="00E94D58">
        <w:t xml:space="preserve">to činí </w:t>
      </w:r>
      <w:r w:rsidR="00B65971">
        <w:t>z</w:t>
      </w:r>
      <w:r w:rsidR="00053E6E">
        <w:t xml:space="preserve"> </w:t>
      </w:r>
      <w:r w:rsidR="00E94D58">
        <w:t>jeho teoretického přístupu atraktivní nástroj pro výzkum lobbingu.</w:t>
      </w:r>
    </w:p>
    <w:p w:rsidR="00B40B65" w:rsidRDefault="00B40B65" w:rsidP="00365AA3"/>
    <w:p w:rsidR="00B40B65" w:rsidRDefault="00B65971" w:rsidP="00B40B65">
      <w:pPr>
        <w:pStyle w:val="Heading2"/>
      </w:pPr>
      <w:bookmarkStart w:id="10" w:name="_Toc7414198"/>
      <w:r>
        <w:t>1</w:t>
      </w:r>
      <w:r w:rsidR="00B40B65">
        <w:t>.</w:t>
      </w:r>
      <w:r>
        <w:t>4</w:t>
      </w:r>
      <w:r w:rsidR="00053E6E">
        <w:t xml:space="preserve"> </w:t>
      </w:r>
      <w:r w:rsidR="00B40B65">
        <w:t xml:space="preserve">Legislativa EU </w:t>
      </w:r>
      <w:r>
        <w:t>a</w:t>
      </w:r>
      <w:r w:rsidR="00053E6E">
        <w:t xml:space="preserve"> </w:t>
      </w:r>
      <w:r w:rsidR="00B40B65">
        <w:t>lobbing</w:t>
      </w:r>
      <w:bookmarkEnd w:id="10"/>
    </w:p>
    <w:p w:rsidR="00B40B65" w:rsidRDefault="004F2F81" w:rsidP="00B40B65">
      <w:r>
        <w:t xml:space="preserve">Legislativní změny </w:t>
      </w:r>
      <w:r w:rsidR="00B65971">
        <w:t>a</w:t>
      </w:r>
      <w:r w:rsidR="00053E6E">
        <w:t xml:space="preserve"> </w:t>
      </w:r>
      <w:r>
        <w:t xml:space="preserve">smlouvy EU mají dopad </w:t>
      </w:r>
      <w:r w:rsidR="00B65971">
        <w:t>i</w:t>
      </w:r>
      <w:r w:rsidR="00053E6E">
        <w:t xml:space="preserve"> </w:t>
      </w:r>
      <w:r>
        <w:t xml:space="preserve">na aktivity zájmových skupin. </w:t>
      </w:r>
      <w:r w:rsidR="00260C37">
        <w:t>Z</w:t>
      </w:r>
      <w:r>
        <w:t xml:space="preserve">a velký nárust lobbingu </w:t>
      </w:r>
      <w:r w:rsidR="00B65971">
        <w:t>v</w:t>
      </w:r>
      <w:r w:rsidR="00053E6E">
        <w:t xml:space="preserve"> </w:t>
      </w:r>
      <w:r>
        <w:t>90.</w:t>
      </w:r>
      <w:r w:rsidR="00E33CAC">
        <w:t xml:space="preserve"> </w:t>
      </w:r>
      <w:r>
        <w:t xml:space="preserve">letech mohlo </w:t>
      </w:r>
      <w:r w:rsidR="00B65971">
        <w:t>z</w:t>
      </w:r>
      <w:r w:rsidR="00053E6E">
        <w:t xml:space="preserve"> </w:t>
      </w:r>
      <w:r w:rsidR="00260C37">
        <w:t xml:space="preserve">velké části </w:t>
      </w:r>
      <w:r>
        <w:t xml:space="preserve">zavedení hlasování kvalifikovanou většinou </w:t>
      </w:r>
      <w:r w:rsidR="00B65971">
        <w:t>v</w:t>
      </w:r>
      <w:r w:rsidR="00BB4E03">
        <w:t> </w:t>
      </w:r>
      <w:r>
        <w:t>otázkách jednotného trhu, což mělo za následek zvýšení aktivity lobbistů</w:t>
      </w:r>
      <w:r w:rsidR="00E33CAC">
        <w:t xml:space="preserve">. Aktivita byla značná právě </w:t>
      </w:r>
      <w:r w:rsidR="00B65971">
        <w:t>v</w:t>
      </w:r>
      <w:r w:rsidR="00053E6E">
        <w:t xml:space="preserve"> </w:t>
      </w:r>
      <w:r w:rsidR="00E33CAC">
        <w:t xml:space="preserve">Komisi, např. Evropský </w:t>
      </w:r>
      <w:r w:rsidR="00DB0FD1">
        <w:t>p</w:t>
      </w:r>
      <w:r w:rsidR="00E33CAC">
        <w:t xml:space="preserve">arlament zažil </w:t>
      </w:r>
      <w:r w:rsidR="00E92651">
        <w:t>větší úroveň</w:t>
      </w:r>
      <w:r w:rsidR="00E33CAC">
        <w:t xml:space="preserve"> lobbingu až </w:t>
      </w:r>
      <w:r w:rsidR="00B65971">
        <w:t>v</w:t>
      </w:r>
      <w:r w:rsidR="00053E6E">
        <w:t xml:space="preserve"> </w:t>
      </w:r>
      <w:r w:rsidR="00E33CAC">
        <w:t xml:space="preserve">období po Maastrichtské smlouvě, kdy mu byly přiděleny podstatnější pravomoci (Coen 2007: </w:t>
      </w:r>
      <w:r w:rsidR="00B65971">
        <w:t>6 </w:t>
      </w:r>
      <w:r w:rsidR="00E33CAC">
        <w:t>-</w:t>
      </w:r>
      <w:r w:rsidR="00B65971">
        <w:t>7</w:t>
      </w:r>
      <w:r w:rsidR="00E33CAC">
        <w:t>)</w:t>
      </w:r>
      <w:r w:rsidR="00DB0FD1">
        <w:t xml:space="preserve">. Jelikož poslední zásadní smlouvou je Lisabonská smlouva, je zajímavé podívat se na její </w:t>
      </w:r>
      <w:r w:rsidR="00E92651">
        <w:t xml:space="preserve">možný </w:t>
      </w:r>
      <w:r w:rsidR="00DB0FD1">
        <w:t xml:space="preserve">vliv na aktivitu zájmových skupin. </w:t>
      </w:r>
      <w:r w:rsidR="00F41E05">
        <w:t xml:space="preserve">Nejzásadnější změnou by mělo být rozšíření hlasování kvalifikovanou většinou, které by se mělo dotknout především Rady ministrů </w:t>
      </w:r>
      <w:r w:rsidR="00B65971">
        <w:t>a</w:t>
      </w:r>
      <w:r w:rsidR="008E17E4">
        <w:t> </w:t>
      </w:r>
      <w:r w:rsidR="00F41E05">
        <w:t xml:space="preserve">právě díky této nové proceduře by se tato instituce mohla stát atraktivnější pro zájmové skupiny. Dochází také </w:t>
      </w:r>
      <w:r w:rsidR="00B65971">
        <w:t>k</w:t>
      </w:r>
      <w:r w:rsidR="00053E6E">
        <w:t xml:space="preserve"> </w:t>
      </w:r>
      <w:r w:rsidR="00F41E05">
        <w:t>posílení procedury spolurozhodování, což zvyšuje podstatu Evropského parlamentu</w:t>
      </w:r>
      <w:r w:rsidR="00E73506">
        <w:t>,</w:t>
      </w:r>
      <w:r w:rsidR="00F41E05">
        <w:t xml:space="preserve"> tím se pravděpodobně zvýší </w:t>
      </w:r>
      <w:r w:rsidR="00B65971">
        <w:t>i</w:t>
      </w:r>
      <w:r w:rsidR="00053E6E">
        <w:t xml:space="preserve"> </w:t>
      </w:r>
      <w:r w:rsidR="00F41E05">
        <w:t>zájem lobbistů</w:t>
      </w:r>
      <w:r w:rsidR="0003685C">
        <w:t xml:space="preserve"> (Hauser 2011: 682, 687). Samotná Lisabonská smlouva se lobbingu dotýká především </w:t>
      </w:r>
      <w:r w:rsidR="00B65971">
        <w:t>v</w:t>
      </w:r>
      <w:r w:rsidR="00053E6E">
        <w:t xml:space="preserve"> </w:t>
      </w:r>
      <w:r w:rsidR="00EA1C0A">
        <w:t>č</w:t>
      </w:r>
      <w:r w:rsidR="0003685C">
        <w:t xml:space="preserve">lánku 11, kde se píše, </w:t>
      </w:r>
      <w:r w:rsidR="00B70C49">
        <w:t>že:</w:t>
      </w:r>
      <w:r w:rsidR="0003685C" w:rsidRPr="00B70C49">
        <w:rPr>
          <w:i/>
        </w:rPr>
        <w:t xml:space="preserve"> </w:t>
      </w:r>
      <w:r w:rsidR="00B70C49">
        <w:rPr>
          <w:i/>
        </w:rPr>
        <w:t>„</w:t>
      </w:r>
      <w:r w:rsidR="0003685C" w:rsidRPr="00B70C49">
        <w:rPr>
          <w:i/>
        </w:rPr>
        <w:t xml:space="preserve">instituce mají vést otevřený </w:t>
      </w:r>
      <w:r w:rsidR="00B65971" w:rsidRPr="00B70C49">
        <w:rPr>
          <w:i/>
        </w:rPr>
        <w:t>a</w:t>
      </w:r>
      <w:r w:rsidR="00BB4E03">
        <w:rPr>
          <w:i/>
        </w:rPr>
        <w:t> </w:t>
      </w:r>
      <w:r w:rsidR="0003685C" w:rsidRPr="00B70C49">
        <w:rPr>
          <w:i/>
        </w:rPr>
        <w:t xml:space="preserve">transparentní dialog se zastupujícími asociacemi </w:t>
      </w:r>
      <w:r w:rsidR="00B65971" w:rsidRPr="00B70C49">
        <w:rPr>
          <w:i/>
        </w:rPr>
        <w:t>a</w:t>
      </w:r>
      <w:r w:rsidR="008E17E4">
        <w:rPr>
          <w:i/>
        </w:rPr>
        <w:t> </w:t>
      </w:r>
      <w:r w:rsidR="00B65971" w:rsidRPr="00B70C49">
        <w:rPr>
          <w:i/>
        </w:rPr>
        <w:t>s</w:t>
      </w:r>
      <w:r w:rsidR="008E17E4">
        <w:rPr>
          <w:i/>
        </w:rPr>
        <w:t> </w:t>
      </w:r>
      <w:r w:rsidR="0003685C" w:rsidRPr="00B70C49">
        <w:rPr>
          <w:i/>
        </w:rPr>
        <w:t>občanskou společností</w:t>
      </w:r>
      <w:r w:rsidR="00B70C49">
        <w:rPr>
          <w:i/>
        </w:rPr>
        <w:t>“</w:t>
      </w:r>
      <w:r w:rsidR="00B70C49">
        <w:t xml:space="preserve"> (Lisabonská smlouva 2008: </w:t>
      </w:r>
      <w:r w:rsidR="00B65971">
        <w:t>9</w:t>
      </w:r>
      <w:r w:rsidR="00B70C49">
        <w:t xml:space="preserve">), dále ten samý článek uvádí že: </w:t>
      </w:r>
      <w:r w:rsidR="00B70C49">
        <w:rPr>
          <w:i/>
        </w:rPr>
        <w:t xml:space="preserve">„Evropská Komise má vést široké konzultace se skupinami za účelem zajištění transparentnosti </w:t>
      </w:r>
      <w:r w:rsidR="00B65971">
        <w:rPr>
          <w:i/>
        </w:rPr>
        <w:t>a</w:t>
      </w:r>
      <w:r w:rsidR="00053E6E">
        <w:rPr>
          <w:i/>
        </w:rPr>
        <w:t xml:space="preserve"> </w:t>
      </w:r>
      <w:r w:rsidR="00B70C49">
        <w:rPr>
          <w:i/>
        </w:rPr>
        <w:t>koherence akcí Unie“</w:t>
      </w:r>
      <w:r w:rsidR="00E162E6">
        <w:t xml:space="preserve"> </w:t>
      </w:r>
      <w:r w:rsidR="00B70C49">
        <w:t xml:space="preserve">(Tamtéž). </w:t>
      </w:r>
      <w:r w:rsidR="00B65971">
        <w:t>V</w:t>
      </w:r>
      <w:r w:rsidR="00BB4E03">
        <w:t> </w:t>
      </w:r>
      <w:r w:rsidR="00B70C49">
        <w:t xml:space="preserve">Lisabonské smlouvě, konkrétně </w:t>
      </w:r>
      <w:r w:rsidR="00B65971">
        <w:t>v</w:t>
      </w:r>
      <w:r w:rsidR="008E17E4">
        <w:t> </w:t>
      </w:r>
      <w:r w:rsidR="00B70C49">
        <w:t>článku 17 je také explicitně zmíněno, že Komise má dohlížet na aplikaci legislativy členskými státy, což jak již bylo naznačeno dříve, může mít taky vliv na aktivitu lobbingu</w:t>
      </w:r>
      <w:r w:rsidR="00EA1C0A">
        <w:t xml:space="preserve"> (Tamtéž: 13).</w:t>
      </w:r>
    </w:p>
    <w:p w:rsidR="00392D5E" w:rsidRDefault="00260C37" w:rsidP="00B40B65">
      <w:r>
        <w:t xml:space="preserve">Přímý vliv na lobbing pak má Transparenční iniciativa EK, která byla spuštěna </w:t>
      </w:r>
      <w:r w:rsidR="00B65971">
        <w:t>v</w:t>
      </w:r>
      <w:r w:rsidR="00053E6E">
        <w:t xml:space="preserve"> </w:t>
      </w:r>
      <w:r>
        <w:t xml:space="preserve">roce 2005 komisařem Simem Kallasem </w:t>
      </w:r>
      <w:r w:rsidR="00B65971">
        <w:t>z</w:t>
      </w:r>
      <w:r w:rsidR="00053E6E">
        <w:t xml:space="preserve"> </w:t>
      </w:r>
      <w:r>
        <w:t xml:space="preserve">Estonska. Mezi cíle této iniciativy již od jejího počátku také transparentnost lobbingu </w:t>
      </w:r>
      <w:r w:rsidR="00B65971">
        <w:t>v</w:t>
      </w:r>
      <w:r w:rsidR="00053E6E">
        <w:t xml:space="preserve"> </w:t>
      </w:r>
      <w:r>
        <w:t xml:space="preserve">EU. Dlouhé úsilí této iniciativy přineslo první úspěchy </w:t>
      </w:r>
      <w:r w:rsidR="00B65971">
        <w:t>v</w:t>
      </w:r>
      <w:r w:rsidR="008E17E4">
        <w:t> </w:t>
      </w:r>
      <w:r>
        <w:t>roce 2008.</w:t>
      </w:r>
      <w:r w:rsidR="00E162E6">
        <w:t xml:space="preserve"> </w:t>
      </w:r>
      <w:r>
        <w:t xml:space="preserve">Nejprve byl sepsán </w:t>
      </w:r>
      <w:r w:rsidR="006C33A3">
        <w:t xml:space="preserve">„kodex chování“ zájmových skupin, který musí při kontaku </w:t>
      </w:r>
      <w:r w:rsidR="00B65971">
        <w:t>s</w:t>
      </w:r>
      <w:r w:rsidR="00BB4E03">
        <w:t> </w:t>
      </w:r>
      <w:r w:rsidR="006C33A3">
        <w:t xml:space="preserve">institucemi EU dodržovat. Dále byl </w:t>
      </w:r>
      <w:r w:rsidR="00B65971">
        <w:t>v</w:t>
      </w:r>
      <w:r w:rsidR="00053E6E">
        <w:t xml:space="preserve"> </w:t>
      </w:r>
      <w:r w:rsidR="006C33A3">
        <w:t xml:space="preserve">tom samém roce spuštěn první dobrovolný registr zájmových skupin, jehož úkolem je poskytnout veřejnosti transparentní informace </w:t>
      </w:r>
      <w:r w:rsidR="00B65971">
        <w:t>o</w:t>
      </w:r>
      <w:r w:rsidR="00053E6E">
        <w:t xml:space="preserve"> </w:t>
      </w:r>
      <w:r w:rsidR="006C33A3">
        <w:t xml:space="preserve">tom, kdo </w:t>
      </w:r>
      <w:r w:rsidR="00B65971">
        <w:t>v</w:t>
      </w:r>
      <w:r w:rsidR="00053E6E">
        <w:t xml:space="preserve"> </w:t>
      </w:r>
      <w:r w:rsidR="006C33A3">
        <w:t xml:space="preserve">unii lobbuje </w:t>
      </w:r>
      <w:r w:rsidR="00B65971">
        <w:t>a</w:t>
      </w:r>
      <w:r w:rsidR="00053E6E">
        <w:t xml:space="preserve"> </w:t>
      </w:r>
      <w:r w:rsidR="006C33A3">
        <w:t>kolik peněz za tuto činnost utratí. Nutno podotknout, že tento registr se týkal pouze Evropské komise</w:t>
      </w:r>
      <w:r w:rsidR="00B17ADD">
        <w:t xml:space="preserve"> </w:t>
      </w:r>
      <w:r w:rsidR="00B65971">
        <w:t>a</w:t>
      </w:r>
      <w:r w:rsidR="00053E6E">
        <w:t xml:space="preserve"> </w:t>
      </w:r>
      <w:r w:rsidR="00B17ADD">
        <w:t xml:space="preserve">zahrnoval tři hlavní skupiny subjektů – profesionální konzultanty </w:t>
      </w:r>
      <w:r w:rsidR="00B65971">
        <w:t>a</w:t>
      </w:r>
      <w:r w:rsidR="00BB4E03">
        <w:t> </w:t>
      </w:r>
      <w:r w:rsidR="00B17ADD">
        <w:t xml:space="preserve">právnické firmy, obchodní asociace </w:t>
      </w:r>
      <w:r w:rsidR="00B65971">
        <w:t>a</w:t>
      </w:r>
      <w:r w:rsidR="00053E6E">
        <w:t xml:space="preserve"> </w:t>
      </w:r>
      <w:r w:rsidR="00B17ADD">
        <w:t xml:space="preserve">NGOs </w:t>
      </w:r>
      <w:r w:rsidR="00B65971">
        <w:t>s</w:t>
      </w:r>
      <w:r w:rsidR="00053E6E">
        <w:t xml:space="preserve"> </w:t>
      </w:r>
      <w:r w:rsidR="00B17ADD">
        <w:t>think tanky.</w:t>
      </w:r>
      <w:r w:rsidR="006C33A3">
        <w:t xml:space="preserve"> (Euractiv 2010). </w:t>
      </w:r>
      <w:r w:rsidR="006C33A3">
        <w:lastRenderedPageBreak/>
        <w:t xml:space="preserve">Komise se tak stala jedním </w:t>
      </w:r>
      <w:r w:rsidR="00B65971">
        <w:t>z</w:t>
      </w:r>
      <w:r w:rsidR="00053E6E">
        <w:t xml:space="preserve"> </w:t>
      </w:r>
      <w:r w:rsidR="006C33A3">
        <w:t xml:space="preserve">mála veřejnoprávních orgánů, které </w:t>
      </w:r>
      <w:r w:rsidR="00B65971">
        <w:t>v</w:t>
      </w:r>
      <w:r w:rsidR="00053E6E">
        <w:t xml:space="preserve"> </w:t>
      </w:r>
      <w:r w:rsidR="006C33A3">
        <w:t>oblasti lobbingu zavedl</w:t>
      </w:r>
      <w:r w:rsidR="00E162E6">
        <w:t>y</w:t>
      </w:r>
      <w:r w:rsidR="006C33A3">
        <w:t xml:space="preserve"> takovéhle opatření</w:t>
      </w:r>
      <w:r w:rsidR="00304D6E">
        <w:t>. M</w:t>
      </w:r>
      <w:r w:rsidR="006C33A3">
        <w:t>noho subjektů začalo registrac</w:t>
      </w:r>
      <w:r w:rsidR="00304D6E">
        <w:t>i</w:t>
      </w:r>
      <w:r w:rsidR="006C33A3">
        <w:t xml:space="preserve"> do rejstříku </w:t>
      </w:r>
      <w:r w:rsidR="00B65971">
        <w:t>i</w:t>
      </w:r>
      <w:r w:rsidR="00053E6E">
        <w:t xml:space="preserve"> </w:t>
      </w:r>
      <w:r w:rsidR="00304D6E">
        <w:t xml:space="preserve">přestože je pouze dobrovolná, </w:t>
      </w:r>
      <w:r w:rsidR="006C33A3">
        <w:t xml:space="preserve">ihned využívat. </w:t>
      </w:r>
      <w:r w:rsidR="00B17ADD">
        <w:t xml:space="preserve">Mezi hlavní potíže patřily nejasnosti ohledně toho, co vše by měly zájmové skupiny zahrnout do výdajů na lobbing </w:t>
      </w:r>
      <w:r w:rsidR="00B65971">
        <w:t>a</w:t>
      </w:r>
      <w:r w:rsidR="00053E6E">
        <w:t xml:space="preserve"> </w:t>
      </w:r>
      <w:r w:rsidR="00B17ADD">
        <w:t xml:space="preserve">také to, že se rejstřík týkal pouze subjektů lobbujících </w:t>
      </w:r>
      <w:r w:rsidR="00B65971">
        <w:t>v</w:t>
      </w:r>
      <w:r w:rsidR="00053E6E">
        <w:t xml:space="preserve"> </w:t>
      </w:r>
      <w:r w:rsidR="00B17ADD">
        <w:t>EK (Evropská Komise 2009</w:t>
      </w:r>
      <w:r w:rsidR="00E162E6">
        <w:t>:</w:t>
      </w:r>
      <w:r w:rsidR="00B17ADD">
        <w:t xml:space="preserve"> </w:t>
      </w:r>
      <w:r w:rsidR="00B65971">
        <w:t>3</w:t>
      </w:r>
      <w:r w:rsidR="00B17ADD">
        <w:t>-</w:t>
      </w:r>
      <w:r w:rsidR="00B65971">
        <w:t>8</w:t>
      </w:r>
      <w:r w:rsidR="00B17ADD">
        <w:t>).</w:t>
      </w:r>
      <w:r w:rsidR="00AF678B">
        <w:t xml:space="preserve"> Ke změně došlo </w:t>
      </w:r>
      <w:r w:rsidR="00B65971">
        <w:t>v</w:t>
      </w:r>
      <w:r w:rsidR="00053E6E">
        <w:t xml:space="preserve"> </w:t>
      </w:r>
      <w:r w:rsidR="00AF678B">
        <w:t xml:space="preserve">roce 2011, kdy byl na základě dohody mezi Evropským parlamentem </w:t>
      </w:r>
      <w:r w:rsidR="00B65971">
        <w:t>a</w:t>
      </w:r>
      <w:r w:rsidR="00053E6E">
        <w:t xml:space="preserve"> </w:t>
      </w:r>
      <w:r w:rsidR="00AF678B">
        <w:t xml:space="preserve">Komisí zřízen společný Rejstřík zástupců zájmových skupin. Ten zahrnuje </w:t>
      </w:r>
      <w:r w:rsidR="00B65971">
        <w:t>i</w:t>
      </w:r>
      <w:r w:rsidR="00053E6E">
        <w:t xml:space="preserve"> </w:t>
      </w:r>
      <w:r w:rsidR="00AF678B">
        <w:t xml:space="preserve">zmíněný kodex chování, kromě toho došlo </w:t>
      </w:r>
      <w:r w:rsidR="00B65971">
        <w:t>k</w:t>
      </w:r>
      <w:r w:rsidR="009A75C0">
        <w:t> </w:t>
      </w:r>
      <w:r w:rsidR="00AF678B">
        <w:t xml:space="preserve">rozšíření na celkem šest oddílů – think tanky se oddělily od NGOs, přidány byly organizace zastupující církev </w:t>
      </w:r>
      <w:r w:rsidR="00B65971">
        <w:t>a</w:t>
      </w:r>
      <w:r w:rsidR="00053E6E">
        <w:t xml:space="preserve"> </w:t>
      </w:r>
      <w:r w:rsidR="00AF678B">
        <w:t xml:space="preserve">náboženská společenství </w:t>
      </w:r>
      <w:r w:rsidR="00B65971">
        <w:t>a</w:t>
      </w:r>
      <w:r w:rsidR="00053E6E">
        <w:t xml:space="preserve"> </w:t>
      </w:r>
      <w:r w:rsidR="00AF678B">
        <w:t xml:space="preserve">jako poslední </w:t>
      </w:r>
      <w:r w:rsidR="00B65971">
        <w:t>i</w:t>
      </w:r>
      <w:r w:rsidR="00053E6E">
        <w:t xml:space="preserve"> </w:t>
      </w:r>
      <w:r w:rsidR="00AF678B">
        <w:t>o</w:t>
      </w:r>
      <w:r w:rsidR="00AF678B" w:rsidRPr="00AF678B">
        <w:t xml:space="preserve">rganizace zastupující místní, regionální </w:t>
      </w:r>
      <w:r w:rsidR="00B65971" w:rsidRPr="00AF678B">
        <w:t>a</w:t>
      </w:r>
      <w:r w:rsidR="00053E6E">
        <w:t xml:space="preserve"> </w:t>
      </w:r>
      <w:r w:rsidR="00AF678B" w:rsidRPr="00AF678B">
        <w:t>obecní orgány, jiné veřejné či smíšené subjekty</w:t>
      </w:r>
      <w:r w:rsidR="00AF678B">
        <w:t xml:space="preserve">. Celkem šest oddílů má </w:t>
      </w:r>
      <w:r w:rsidR="00041E99">
        <w:t xml:space="preserve">navíc </w:t>
      </w:r>
      <w:r w:rsidR="00AF678B">
        <w:t>vždy své pododdíly</w:t>
      </w:r>
      <w:r w:rsidR="00041E99">
        <w:t xml:space="preserve"> (Úřední věstník Evropské unie 2011). Tato interinstitucionální dohoda pak byla revidována </w:t>
      </w:r>
      <w:r w:rsidR="00B65971">
        <w:t>v</w:t>
      </w:r>
      <w:r w:rsidR="00053E6E">
        <w:t xml:space="preserve"> </w:t>
      </w:r>
      <w:r w:rsidR="00041E99">
        <w:t xml:space="preserve">roce 2014, upřesňovala např. jednotlivé oddíly tak, aby byl usnadněn výběr správného oddílu nebo rozšířila kodex chování (Evropská komise 2014). </w:t>
      </w:r>
      <w:r w:rsidR="00B65971">
        <w:t>I</w:t>
      </w:r>
      <w:r w:rsidR="00053E6E">
        <w:t xml:space="preserve"> </w:t>
      </w:r>
      <w:r w:rsidR="00041E99">
        <w:t>díky tomu, že se Rej</w:t>
      </w:r>
      <w:r w:rsidR="00861E26">
        <w:t>s</w:t>
      </w:r>
      <w:r w:rsidR="00041E99">
        <w:t>třík oběma institucím osvědčil</w:t>
      </w:r>
      <w:r w:rsidR="008C2F25">
        <w:t>,</w:t>
      </w:r>
      <w:r w:rsidR="00041E99">
        <w:t xml:space="preserve"> byl </w:t>
      </w:r>
      <w:r w:rsidR="00B65971">
        <w:t>v</w:t>
      </w:r>
      <w:r w:rsidR="00053E6E">
        <w:t xml:space="preserve"> </w:t>
      </w:r>
      <w:r w:rsidR="00041E99">
        <w:t xml:space="preserve">roce 2016 vypracován návrh </w:t>
      </w:r>
      <w:r w:rsidR="00861E26">
        <w:t xml:space="preserve">na přidání </w:t>
      </w:r>
      <w:r w:rsidR="00041E99">
        <w:t>Rad</w:t>
      </w:r>
      <w:r w:rsidR="00861E26">
        <w:t xml:space="preserve">y </w:t>
      </w:r>
      <w:r w:rsidR="00041E99">
        <w:t xml:space="preserve">ministrů jakožto další instituce. </w:t>
      </w:r>
      <w:r w:rsidR="00B65971">
        <w:t>V</w:t>
      </w:r>
      <w:r w:rsidR="00BB4E03">
        <w:t> </w:t>
      </w:r>
      <w:r w:rsidR="00041E99">
        <w:t xml:space="preserve">roce 2019 pak byla zahájena interinstitucionální jednání </w:t>
      </w:r>
      <w:r w:rsidR="00B65971">
        <w:t>o</w:t>
      </w:r>
      <w:r w:rsidR="00053E6E">
        <w:t xml:space="preserve"> </w:t>
      </w:r>
      <w:r w:rsidR="00041E99">
        <w:t>tomto návrhu (Evropská komise 2019).</w:t>
      </w:r>
      <w:r w:rsidR="00F81707">
        <w:t xml:space="preserve"> Největší výzvou zůstává udělat regi</w:t>
      </w:r>
      <w:r w:rsidR="009A1217">
        <w:t>s</w:t>
      </w:r>
      <w:r w:rsidR="00F81707">
        <w:t xml:space="preserve">traci </w:t>
      </w:r>
      <w:r w:rsidR="00B65971">
        <w:t>v</w:t>
      </w:r>
      <w:r w:rsidR="00053E6E">
        <w:t xml:space="preserve"> </w:t>
      </w:r>
      <w:r w:rsidR="00F81707">
        <w:t>Rej</w:t>
      </w:r>
      <w:r w:rsidR="009A1217">
        <w:t>s</w:t>
      </w:r>
      <w:r w:rsidR="00F81707">
        <w:t xml:space="preserve">tříku povinnou pro všechny subjekty, které chtějí lobbovat </w:t>
      </w:r>
      <w:r w:rsidR="00B65971">
        <w:t>v</w:t>
      </w:r>
      <w:r w:rsidR="00053E6E">
        <w:t xml:space="preserve"> </w:t>
      </w:r>
      <w:r w:rsidR="00F81707">
        <w:t xml:space="preserve">EU. </w:t>
      </w:r>
      <w:r w:rsidR="00B65971">
        <w:t>V</w:t>
      </w:r>
      <w:r w:rsidR="00053E6E">
        <w:t xml:space="preserve"> </w:t>
      </w:r>
      <w:r w:rsidR="00F81707">
        <w:t xml:space="preserve">tomto ohledu je velmi aktivní Evropský parlament, který již </w:t>
      </w:r>
      <w:r w:rsidR="008C2F25">
        <w:t xml:space="preserve">dokonce </w:t>
      </w:r>
      <w:r w:rsidR="00F81707">
        <w:t>vyzval Komisi</w:t>
      </w:r>
      <w:r w:rsidR="008C2F25">
        <w:t>,</w:t>
      </w:r>
      <w:r w:rsidR="00F81707">
        <w:t xml:space="preserve"> aby se tímto problémem zabývala (Cerulus 2014).</w:t>
      </w:r>
      <w:r w:rsidR="00041E99">
        <w:t xml:space="preserve"> Od svého vzniku tedy Rejstřík prošel </w:t>
      </w:r>
      <w:r w:rsidR="00F81707">
        <w:t xml:space="preserve">poměrně důležitým vývojem </w:t>
      </w:r>
      <w:r w:rsidR="00B65971">
        <w:t>a</w:t>
      </w:r>
      <w:r w:rsidR="00053E6E">
        <w:t xml:space="preserve"> </w:t>
      </w:r>
      <w:r w:rsidR="00F81707">
        <w:t>jak je vidět, další změny jej ještě pravděpodobně čekají, prozatím ale povinnost registrace či zapojení Rady ministrů zůstávají jen ve stádiu jednání.</w:t>
      </w:r>
      <w:r w:rsidR="00BA43C7">
        <w:t xml:space="preserve"> </w:t>
      </w:r>
      <w:r w:rsidR="00B65971">
        <w:t>I</w:t>
      </w:r>
      <w:r w:rsidR="00053E6E">
        <w:t xml:space="preserve"> </w:t>
      </w:r>
      <w:r w:rsidR="00E92651">
        <w:t>přes určité nedostatky</w:t>
      </w:r>
      <w:r w:rsidR="00F81707">
        <w:t xml:space="preserve"> </w:t>
      </w:r>
      <w:r w:rsidR="00E92651">
        <w:t xml:space="preserve">Rejstřík představuje velký pokrok </w:t>
      </w:r>
      <w:r w:rsidR="00B65971">
        <w:t>v</w:t>
      </w:r>
      <w:r w:rsidR="00BB4E03">
        <w:t> </w:t>
      </w:r>
      <w:r w:rsidR="00E92651">
        <w:t xml:space="preserve">transparentnosti EU směrem </w:t>
      </w:r>
      <w:r w:rsidR="00B65971">
        <w:t>k</w:t>
      </w:r>
      <w:r w:rsidR="00053E6E">
        <w:t xml:space="preserve"> </w:t>
      </w:r>
      <w:r w:rsidR="00E92651">
        <w:t>občanům.</w:t>
      </w:r>
      <w:r w:rsidR="00392D5E">
        <w:t xml:space="preserve"> </w:t>
      </w:r>
    </w:p>
    <w:p w:rsidR="00392D5E" w:rsidRDefault="00392D5E">
      <w:pPr>
        <w:spacing w:after="160" w:line="259" w:lineRule="auto"/>
        <w:ind w:firstLine="0"/>
        <w:jc w:val="left"/>
      </w:pPr>
      <w:r>
        <w:br w:type="page"/>
      </w:r>
    </w:p>
    <w:p w:rsidR="00392D5E" w:rsidRDefault="00B65971" w:rsidP="00090FF8">
      <w:pPr>
        <w:pStyle w:val="Heading1"/>
        <w:spacing w:before="0"/>
      </w:pPr>
      <w:bookmarkStart w:id="11" w:name="_Toc7414199"/>
      <w:r>
        <w:lastRenderedPageBreak/>
        <w:t>2 </w:t>
      </w:r>
      <w:r w:rsidR="00392D5E">
        <w:t>. Analytická část</w:t>
      </w:r>
      <w:bookmarkEnd w:id="11"/>
    </w:p>
    <w:p w:rsidR="00FB01E4" w:rsidRDefault="00FB01E4" w:rsidP="00390C08">
      <w:pPr>
        <w:rPr>
          <w:b/>
        </w:rPr>
      </w:pPr>
    </w:p>
    <w:p w:rsidR="009C6745" w:rsidRDefault="00B65971" w:rsidP="009C6745">
      <w:pPr>
        <w:pStyle w:val="Heading2"/>
      </w:pPr>
      <w:bookmarkStart w:id="12" w:name="_Toc7414200"/>
      <w:r>
        <w:t>2 </w:t>
      </w:r>
      <w:r w:rsidR="009C6745">
        <w:t>.</w:t>
      </w:r>
      <w:r>
        <w:t>1</w:t>
      </w:r>
      <w:r w:rsidR="00053E6E">
        <w:t xml:space="preserve"> </w:t>
      </w:r>
      <w:r w:rsidR="009C6745">
        <w:t>Zahraniční politika</w:t>
      </w:r>
      <w:bookmarkEnd w:id="12"/>
    </w:p>
    <w:p w:rsidR="006D2DCF" w:rsidRDefault="00F04A97" w:rsidP="009C6745">
      <w:r>
        <w:t xml:space="preserve">Evropská unie dlouhodobě usiluje </w:t>
      </w:r>
      <w:r w:rsidR="00B65971">
        <w:t>o</w:t>
      </w:r>
      <w:r w:rsidR="00053E6E">
        <w:t xml:space="preserve"> </w:t>
      </w:r>
      <w:r>
        <w:t xml:space="preserve">vytvoření společné zahraniční politiky </w:t>
      </w:r>
      <w:r w:rsidR="00B65971">
        <w:t>a</w:t>
      </w:r>
      <w:r w:rsidR="00053E6E">
        <w:t xml:space="preserve"> </w:t>
      </w:r>
      <w:r>
        <w:t xml:space="preserve">jedná se </w:t>
      </w:r>
      <w:r w:rsidR="00B65971">
        <w:t>o</w:t>
      </w:r>
      <w:r w:rsidR="00FB01E4">
        <w:t> </w:t>
      </w:r>
      <w:r>
        <w:t>oblast ve které je Unie velmi aktivní.</w:t>
      </w:r>
      <w:r w:rsidR="00197685">
        <w:t xml:space="preserve"> Tato oblast si prošla velmi dlouhým vývojem od debat </w:t>
      </w:r>
      <w:r w:rsidR="00B65971">
        <w:t>v</w:t>
      </w:r>
      <w:r w:rsidR="00053E6E">
        <w:t xml:space="preserve"> </w:t>
      </w:r>
      <w:r w:rsidR="00197685">
        <w:t>roce</w:t>
      </w:r>
      <w:r w:rsidR="00BD2A00">
        <w:t xml:space="preserve"> </w:t>
      </w:r>
      <w:r w:rsidR="00197685">
        <w:t xml:space="preserve">1950, přes zřízení SZBP Maastrchtskou smlouvou až po zavedení postu Vysokého představitele </w:t>
      </w:r>
      <w:r w:rsidR="00197685" w:rsidRPr="00197685">
        <w:t xml:space="preserve">Unie pro zahraniční věci </w:t>
      </w:r>
      <w:r w:rsidR="00B65971" w:rsidRPr="00197685">
        <w:t>a</w:t>
      </w:r>
      <w:r w:rsidR="00053E6E">
        <w:t xml:space="preserve"> </w:t>
      </w:r>
      <w:r w:rsidR="00197685" w:rsidRPr="00197685">
        <w:t>bezpečnostní politiku</w:t>
      </w:r>
      <w:r w:rsidR="00197685">
        <w:t xml:space="preserve"> (</w:t>
      </w:r>
      <w:r w:rsidR="000D6916">
        <w:t>Euroskop</w:t>
      </w:r>
      <w:r w:rsidR="00BD2A00">
        <w:t xml:space="preserve"> 2018).</w:t>
      </w:r>
      <w:r>
        <w:t xml:space="preserve"> Kromě toho představuje zahraniční politika jednu </w:t>
      </w:r>
      <w:r w:rsidR="00B65971">
        <w:t>z</w:t>
      </w:r>
      <w:r w:rsidR="00053E6E">
        <w:t xml:space="preserve"> </w:t>
      </w:r>
      <w:r>
        <w:t>priorit EU</w:t>
      </w:r>
      <w:r w:rsidR="00390C08">
        <w:t xml:space="preserve"> </w:t>
      </w:r>
      <w:r>
        <w:t>(Evropská unie 2018).</w:t>
      </w:r>
      <w:r w:rsidR="00BD2A00">
        <w:t xml:space="preserve"> Cíle </w:t>
      </w:r>
      <w:r w:rsidR="00B65971">
        <w:t>v</w:t>
      </w:r>
      <w:r w:rsidR="009A75C0">
        <w:t> </w:t>
      </w:r>
      <w:r w:rsidR="00BD2A00">
        <w:t>této oblasti jsou podstatné, třeba zachování míru, upevňování mezinárodní bezpečnosti nebo posilování mezinárodní spolupráce (</w:t>
      </w:r>
      <w:r w:rsidR="00CA149B">
        <w:t>Evropská Unie</w:t>
      </w:r>
      <w:r w:rsidR="00BD2A00">
        <w:t xml:space="preserve"> 2019). Díky důležitosti je zahraniční politika zásadní pro výzkum </w:t>
      </w:r>
      <w:r w:rsidR="00B65971">
        <w:t>v</w:t>
      </w:r>
      <w:r w:rsidR="00053E6E">
        <w:t xml:space="preserve"> </w:t>
      </w:r>
      <w:r w:rsidR="00BD2A00">
        <w:t xml:space="preserve">jakékoliv oblasti, tedy </w:t>
      </w:r>
      <w:r w:rsidR="00B65971">
        <w:t>i</w:t>
      </w:r>
      <w:r w:rsidR="00053E6E">
        <w:t xml:space="preserve"> </w:t>
      </w:r>
      <w:r w:rsidR="00B65971">
        <w:t>v</w:t>
      </w:r>
      <w:r w:rsidR="00053E6E">
        <w:t xml:space="preserve"> </w:t>
      </w:r>
      <w:r w:rsidR="00BD2A00">
        <w:t>oblasti lobbingu.</w:t>
      </w:r>
      <w:r w:rsidR="007C4F51">
        <w:t xml:space="preserve"> </w:t>
      </w:r>
      <w:r w:rsidR="00CE3E83">
        <w:t xml:space="preserve">Jelikož EU nevydává mnoho přímé legislativy </w:t>
      </w:r>
      <w:r w:rsidR="00B65971">
        <w:t>v</w:t>
      </w:r>
      <w:r w:rsidR="00053E6E">
        <w:t xml:space="preserve"> </w:t>
      </w:r>
      <w:r w:rsidR="00BD2A00">
        <w:t>této oblasti</w:t>
      </w:r>
      <w:r w:rsidR="00B70F64">
        <w:t>,</w:t>
      </w:r>
      <w:r w:rsidR="00CE3E83">
        <w:t xml:space="preserve"> nebude mít </w:t>
      </w:r>
      <w:r w:rsidR="00B70F64">
        <w:t xml:space="preserve">pravděpodobně </w:t>
      </w:r>
      <w:r w:rsidR="00CE3E83">
        <w:t xml:space="preserve">ani Komise zájem </w:t>
      </w:r>
      <w:r w:rsidR="00B65971">
        <w:t>o</w:t>
      </w:r>
      <w:r w:rsidR="00053E6E">
        <w:t xml:space="preserve"> </w:t>
      </w:r>
      <w:r w:rsidR="00CE3E83">
        <w:t xml:space="preserve">expert knowledge </w:t>
      </w:r>
      <w:r w:rsidR="00B65971">
        <w:t>a</w:t>
      </w:r>
      <w:r w:rsidR="00FB01E4">
        <w:t> </w:t>
      </w:r>
      <w:r w:rsidR="00BD2A00">
        <w:t>proto</w:t>
      </w:r>
      <w:r w:rsidR="00CE3E83">
        <w:t xml:space="preserve"> předpokládám, že </w:t>
      </w:r>
      <w:r w:rsidR="00B65971">
        <w:t>v</w:t>
      </w:r>
      <w:r w:rsidR="00053E6E">
        <w:t xml:space="preserve"> </w:t>
      </w:r>
      <w:r w:rsidR="00CE3E83">
        <w:t>této oblasti budou poskytovány především oba druhy encompassing goods.</w:t>
      </w:r>
      <w:r w:rsidR="00980013">
        <w:t xml:space="preserve"> </w:t>
      </w:r>
      <w:r w:rsidR="00572560">
        <w:t xml:space="preserve">Pokud by se mé očekávání potvrdilo, měly by </w:t>
      </w:r>
      <w:r w:rsidR="00B65971">
        <w:t>v</w:t>
      </w:r>
      <w:r w:rsidR="009A75C0">
        <w:t> </w:t>
      </w:r>
      <w:r w:rsidR="00572560">
        <w:t>této oblasti nejaktivněji vystupovat zejména asociace, které dokáží nejlépe tyto druhy „zboží“ produkovat.</w:t>
      </w:r>
      <w:r w:rsidR="00B737FC">
        <w:t xml:space="preserve"> </w:t>
      </w:r>
      <w:r w:rsidR="006D2DCF">
        <w:t>Za zahraniční politiku zde považuji</w:t>
      </w:r>
      <w:r w:rsidR="00B737FC">
        <w:t xml:space="preserve"> vztah členských států EU vůči nečlenským státům, nikoliv vztah mezi členskými státy navzájem.</w:t>
      </w:r>
    </w:p>
    <w:p w:rsidR="00572560" w:rsidRDefault="00B70F64" w:rsidP="009C6745">
      <w:r>
        <w:t xml:space="preserve"> </w:t>
      </w:r>
      <w:r w:rsidR="00B65971">
        <w:t>V</w:t>
      </w:r>
      <w:r w:rsidR="00053E6E">
        <w:t xml:space="preserve"> </w:t>
      </w:r>
      <w:r w:rsidR="007C4F51">
        <w:t>této oblasti bylo analyzováno celkem 24 subjektů.</w:t>
      </w:r>
      <w:r w:rsidR="001E2B6D">
        <w:t xml:space="preserve"> </w:t>
      </w:r>
      <w:r w:rsidR="00B65971">
        <w:t>Z</w:t>
      </w:r>
      <w:r w:rsidR="00053E6E">
        <w:t xml:space="preserve"> </w:t>
      </w:r>
      <w:r w:rsidR="008418F6">
        <w:t>od</w:t>
      </w:r>
      <w:r w:rsidR="00980013">
        <w:t>d</w:t>
      </w:r>
      <w:r w:rsidR="008418F6">
        <w:t xml:space="preserve">ílů měl největší zastoupení </w:t>
      </w:r>
      <w:r w:rsidR="008D31E2">
        <w:t xml:space="preserve">oddíl </w:t>
      </w:r>
      <w:r w:rsidR="008418F6" w:rsidRPr="008418F6">
        <w:t xml:space="preserve">interní lobbisté </w:t>
      </w:r>
      <w:r w:rsidR="00B65971" w:rsidRPr="008418F6">
        <w:t>a</w:t>
      </w:r>
      <w:r w:rsidR="00053E6E">
        <w:t xml:space="preserve"> </w:t>
      </w:r>
      <w:r w:rsidR="008418F6" w:rsidRPr="008418F6">
        <w:t>obchodní/podniková/profesní sdružení</w:t>
      </w:r>
      <w:r w:rsidR="008418F6">
        <w:t>, kter</w:t>
      </w:r>
      <w:r w:rsidR="00B737FC">
        <w:t>ý</w:t>
      </w:r>
      <w:r w:rsidR="008418F6">
        <w:t xml:space="preserve"> zastupovalo 21 subjektů, </w:t>
      </w:r>
      <w:r w:rsidR="008D31E2">
        <w:t>tři</w:t>
      </w:r>
      <w:r w:rsidR="008418F6">
        <w:t xml:space="preserve"> subjekty patří do oddílu</w:t>
      </w:r>
      <w:r w:rsidR="00980013">
        <w:t xml:space="preserve"> </w:t>
      </w:r>
      <w:r w:rsidR="00B65971">
        <w:t>č </w:t>
      </w:r>
      <w:r w:rsidR="00980013">
        <w:t>. IV</w:t>
      </w:r>
      <w:r w:rsidR="008418F6">
        <w:t xml:space="preserve"> o</w:t>
      </w:r>
      <w:r w:rsidR="008418F6" w:rsidRPr="008418F6">
        <w:t xml:space="preserve">rganizace zastupující místní, regionální </w:t>
      </w:r>
      <w:r w:rsidR="00B65971" w:rsidRPr="008418F6">
        <w:t>a</w:t>
      </w:r>
      <w:r w:rsidR="00053E6E">
        <w:t xml:space="preserve"> </w:t>
      </w:r>
      <w:r w:rsidR="008418F6" w:rsidRPr="008418F6">
        <w:t>obecní orgány, jiné veřejné či smíšené subjekty atd.</w:t>
      </w:r>
      <w:r w:rsidR="00980013">
        <w:t xml:space="preserve"> Vůbec nebyla zastoupena sekce </w:t>
      </w:r>
      <w:r w:rsidR="00B65971">
        <w:t>č</w:t>
      </w:r>
      <w:r w:rsidR="00980013">
        <w:t>.</w:t>
      </w:r>
      <w:r w:rsidR="00B65971">
        <w:t>1</w:t>
      </w:r>
      <w:r w:rsidR="00053E6E">
        <w:t xml:space="preserve"> </w:t>
      </w:r>
      <w:r w:rsidR="00980013">
        <w:t>o</w:t>
      </w:r>
      <w:r w:rsidR="00980013" w:rsidRPr="00980013">
        <w:t>dborné</w:t>
      </w:r>
      <w:r w:rsidR="00980013">
        <w:t xml:space="preserve"> </w:t>
      </w:r>
      <w:r w:rsidR="00980013" w:rsidRPr="00980013">
        <w:t>poradenské společnosti/právnické firmy/samostatně výdělečně činní poradci</w:t>
      </w:r>
      <w:r w:rsidR="00980013">
        <w:t xml:space="preserve">. Nejvýraznějším pododdílem je poté ten </w:t>
      </w:r>
      <w:r w:rsidR="00B65971">
        <w:t>s</w:t>
      </w:r>
      <w:r w:rsidR="00053E6E">
        <w:t xml:space="preserve"> </w:t>
      </w:r>
      <w:r w:rsidR="00980013">
        <w:t xml:space="preserve">názvem obchodní </w:t>
      </w:r>
      <w:r w:rsidR="00B65971">
        <w:t>a</w:t>
      </w:r>
      <w:r w:rsidR="00053E6E">
        <w:t xml:space="preserve"> </w:t>
      </w:r>
      <w:r w:rsidR="00980013">
        <w:t>podniková sdružení, má 14 zástupců. Podstatnější je ale samotná právní forma jednotlivých subjektů</w:t>
      </w:r>
      <w:r w:rsidR="004E48E3">
        <w:t xml:space="preserve"> uvedená </w:t>
      </w:r>
      <w:r w:rsidR="00B65971">
        <w:t>v</w:t>
      </w:r>
      <w:r w:rsidR="009A75C0">
        <w:t> </w:t>
      </w:r>
      <w:r w:rsidR="004E48E3">
        <w:t>Rejstříku</w:t>
      </w:r>
      <w:r w:rsidR="00980013">
        <w:t xml:space="preserve">, jelikož ta ne vždy odpovídá zařazení do oddílu či pododdílu. Celkem </w:t>
      </w:r>
      <w:r w:rsidR="00B65971">
        <w:t>8</w:t>
      </w:r>
      <w:r w:rsidR="00053E6E">
        <w:t xml:space="preserve"> </w:t>
      </w:r>
      <w:r w:rsidR="00980013">
        <w:t>subjektů</w:t>
      </w:r>
      <w:r w:rsidR="003B6E34">
        <w:rPr>
          <w:rStyle w:val="FootnoteReference"/>
        </w:rPr>
        <w:footnoteReference w:id="3"/>
      </w:r>
      <w:r w:rsidR="00980013">
        <w:t xml:space="preserve"> by odpovídalo svou právní formou samostatné společnosti/firmě,</w:t>
      </w:r>
      <w:r w:rsidR="00390C08">
        <w:t xml:space="preserve"> </w:t>
      </w:r>
      <w:r w:rsidR="00980013">
        <w:t>14 zbývajících subjektů</w:t>
      </w:r>
      <w:r w:rsidR="00D51197">
        <w:rPr>
          <w:rStyle w:val="FootnoteReference"/>
        </w:rPr>
        <w:footnoteReference w:id="4"/>
      </w:r>
      <w:r w:rsidR="00980013">
        <w:t xml:space="preserve"> </w:t>
      </w:r>
      <w:r w:rsidR="00B737FC">
        <w:t>jsou</w:t>
      </w:r>
      <w:r w:rsidR="00980013">
        <w:t xml:space="preserve"> různé formy asociace</w:t>
      </w:r>
      <w:r w:rsidR="002A6284">
        <w:t xml:space="preserve">. </w:t>
      </w:r>
      <w:r w:rsidR="008D31E2">
        <w:t>Problematické</w:t>
      </w:r>
      <w:r w:rsidR="00B46F88">
        <w:t xml:space="preserve"> </w:t>
      </w:r>
      <w:r w:rsidR="008D31E2">
        <w:t>jsou</w:t>
      </w:r>
      <w:r w:rsidR="002A6284">
        <w:t xml:space="preserve"> především belgické právní formy, tzv. AISBL </w:t>
      </w:r>
      <w:r w:rsidR="00B65971">
        <w:t>a</w:t>
      </w:r>
      <w:r w:rsidR="00053E6E">
        <w:t xml:space="preserve"> </w:t>
      </w:r>
      <w:r w:rsidR="002A6284">
        <w:t xml:space="preserve">ASBL, což jsou </w:t>
      </w:r>
      <w:r w:rsidR="00B65971">
        <w:t>v</w:t>
      </w:r>
      <w:r w:rsidR="00053E6E">
        <w:t xml:space="preserve"> </w:t>
      </w:r>
      <w:r w:rsidR="002A6284">
        <w:t>podstatě</w:t>
      </w:r>
      <w:r w:rsidR="00D81BB7">
        <w:t xml:space="preserve"> </w:t>
      </w:r>
      <w:r w:rsidR="002A6284">
        <w:t>neziskov</w:t>
      </w:r>
      <w:r w:rsidR="00D81BB7">
        <w:t>é</w:t>
      </w:r>
      <w:r w:rsidR="002A6284">
        <w:t xml:space="preserve"> asociace, </w:t>
      </w:r>
      <w:r w:rsidR="00D81BB7">
        <w:t xml:space="preserve">rozdílem </w:t>
      </w:r>
      <w:r w:rsidR="00B65971">
        <w:t>u</w:t>
      </w:r>
      <w:r w:rsidR="00053E6E">
        <w:t xml:space="preserve"> </w:t>
      </w:r>
      <w:r w:rsidR="002A6284">
        <w:t>AISBL je, že má mezinárodní charakter, takže jej</w:t>
      </w:r>
      <w:r w:rsidR="00390C08">
        <w:t>ch</w:t>
      </w:r>
      <w:r w:rsidR="002A6284">
        <w:t xml:space="preserve"> cíl by měl mít vždy mezinárodní charakter (Lebbink 2012).</w:t>
      </w:r>
      <w:r w:rsidR="00390C08">
        <w:t xml:space="preserve"> </w:t>
      </w:r>
      <w:r w:rsidR="00104B23">
        <w:t>Ne</w:t>
      </w:r>
      <w:r w:rsidR="008D31E2">
        <w:t>z</w:t>
      </w:r>
      <w:r w:rsidR="00104B23">
        <w:t xml:space="preserve">iskové organizace </w:t>
      </w:r>
      <w:r w:rsidR="008D31E2">
        <w:t xml:space="preserve">podle oddílů </w:t>
      </w:r>
      <w:r w:rsidR="00B65971">
        <w:t>v</w:t>
      </w:r>
      <w:r w:rsidR="00FB01E4">
        <w:t> </w:t>
      </w:r>
      <w:r w:rsidR="008D31E2">
        <w:t xml:space="preserve">Rejstříku </w:t>
      </w:r>
      <w:r w:rsidR="00B65971">
        <w:t>v</w:t>
      </w:r>
      <w:r w:rsidR="00053E6E">
        <w:t xml:space="preserve"> </w:t>
      </w:r>
      <w:r w:rsidR="008D31E2">
        <w:t>mé práci zahrnuty nejsou, tyto ale podle registrace</w:t>
      </w:r>
      <w:r w:rsidR="008377C4">
        <w:t xml:space="preserve"> </w:t>
      </w:r>
      <w:r w:rsidR="00B65971">
        <w:t>v</w:t>
      </w:r>
      <w:r w:rsidR="00053E6E">
        <w:t xml:space="preserve"> </w:t>
      </w:r>
      <w:r w:rsidR="008377C4">
        <w:t>Rejstříku</w:t>
      </w:r>
      <w:r w:rsidR="008D31E2">
        <w:t xml:space="preserve"> spadají do oddílu interních lobbistů, který ve své práci mám </w:t>
      </w:r>
      <w:r w:rsidR="008D31E2">
        <w:lastRenderedPageBreak/>
        <w:t xml:space="preserve">zahrnut, tudíž </w:t>
      </w:r>
      <w:r w:rsidR="00B65971">
        <w:t>i</w:t>
      </w:r>
      <w:r w:rsidR="00053E6E">
        <w:t xml:space="preserve"> </w:t>
      </w:r>
      <w:r w:rsidR="008D31E2">
        <w:t>přes jejich speci</w:t>
      </w:r>
      <w:r w:rsidR="00B737FC">
        <w:t>fickou</w:t>
      </w:r>
      <w:r w:rsidR="008D31E2">
        <w:t xml:space="preserve"> právní formu, dává smysl do analýzy zahrnout </w:t>
      </w:r>
      <w:r w:rsidR="00B65971">
        <w:t>i</w:t>
      </w:r>
      <w:r w:rsidR="00053E6E">
        <w:t xml:space="preserve"> </w:t>
      </w:r>
      <w:r w:rsidR="008D31E2">
        <w:t xml:space="preserve">je. </w:t>
      </w:r>
      <w:r w:rsidR="00B65971">
        <w:t>I</w:t>
      </w:r>
      <w:r w:rsidR="009A75C0">
        <w:t> </w:t>
      </w:r>
      <w:r w:rsidR="008D31E2">
        <w:t xml:space="preserve">přesto, že právní formou jde </w:t>
      </w:r>
      <w:r w:rsidR="00B65971">
        <w:t>o</w:t>
      </w:r>
      <w:r w:rsidR="00053E6E">
        <w:t xml:space="preserve"> </w:t>
      </w:r>
      <w:r w:rsidR="008D31E2">
        <w:t xml:space="preserve">neziskové organizace, velmi často fungují jako asociace na </w:t>
      </w:r>
      <w:r w:rsidR="00B46F88">
        <w:t>určité</w:t>
      </w:r>
      <w:r w:rsidR="008D31E2">
        <w:t xml:space="preserve"> úrovni.</w:t>
      </w:r>
      <w:r w:rsidR="002A6284">
        <w:t xml:space="preserve"> Do </w:t>
      </w:r>
      <w:r w:rsidR="008D31E2">
        <w:t>žádné</w:t>
      </w:r>
      <w:r w:rsidR="002A6284">
        <w:t xml:space="preserve"> skupiny nezapadá </w:t>
      </w:r>
      <w:r w:rsidR="002A6284" w:rsidRPr="002A6284">
        <w:t>CARwDR</w:t>
      </w:r>
      <w:r w:rsidR="002A6284">
        <w:rPr>
          <w:rStyle w:val="FootnoteReference"/>
        </w:rPr>
        <w:footnoteReference w:id="5"/>
      </w:r>
      <w:r w:rsidR="002A6284">
        <w:t xml:space="preserve">, patří do poddodílu regionálních struktur, ale neuvádí svou právní formu. </w:t>
      </w:r>
    </w:p>
    <w:p w:rsidR="000A2745" w:rsidRDefault="00B65971" w:rsidP="009C6745">
      <w:r>
        <w:t>Z</w:t>
      </w:r>
      <w:r w:rsidR="00053E6E">
        <w:t xml:space="preserve"> </w:t>
      </w:r>
      <w:r w:rsidR="000A2745">
        <w:t xml:space="preserve">celkem </w:t>
      </w:r>
      <w:r>
        <w:t>8</w:t>
      </w:r>
      <w:r w:rsidR="00053E6E">
        <w:t xml:space="preserve"> </w:t>
      </w:r>
      <w:r w:rsidR="000A2745">
        <w:t xml:space="preserve">samostatných firem/podniků, lze říct, že většina nemá zahraniční politiku jako primární zájem. </w:t>
      </w:r>
      <w:r w:rsidR="00C41F66">
        <w:t xml:space="preserve">Většina </w:t>
      </w:r>
      <w:r>
        <w:t>z</w:t>
      </w:r>
      <w:r w:rsidR="00053E6E">
        <w:t xml:space="preserve"> </w:t>
      </w:r>
      <w:r w:rsidR="00C41F66">
        <w:t>nich se zaměřuje na jiné oblasti, např. udržitelný rozvoj (DNV GL, Snam), výrobu součástí do automobilu (</w:t>
      </w:r>
      <w:r w:rsidR="00C41F66" w:rsidRPr="00C41F66">
        <w:t>ZF Friedrichshafen AG</w:t>
      </w:r>
      <w:r w:rsidR="00C41F66">
        <w:t>, Bridgestone Europe)</w:t>
      </w:r>
      <w:r w:rsidR="00A43456">
        <w:t>,</w:t>
      </w:r>
      <w:r w:rsidR="00C41F66">
        <w:t xml:space="preserve"> výrobu alkoholu (Bacardi-Martini BV)</w:t>
      </w:r>
      <w:r w:rsidR="00A43456">
        <w:t xml:space="preserve"> či produkci železa (</w:t>
      </w:r>
      <w:r w:rsidR="00A43456" w:rsidRPr="00A20B31">
        <w:t>Salzgitter</w:t>
      </w:r>
      <w:r w:rsidR="00A43456">
        <w:t xml:space="preserve"> </w:t>
      </w:r>
      <w:r w:rsidR="00A43456" w:rsidRPr="00A20B31">
        <w:t>AG</w:t>
      </w:r>
      <w:r w:rsidR="00A43456">
        <w:t>)</w:t>
      </w:r>
      <w:r w:rsidR="00C41F66">
        <w:t xml:space="preserve">. </w:t>
      </w:r>
      <w:r w:rsidR="00EE798B">
        <w:t xml:space="preserve">Hlavní zájem </w:t>
      </w:r>
      <w:r>
        <w:t>v</w:t>
      </w:r>
      <w:r w:rsidR="00053E6E">
        <w:t xml:space="preserve"> </w:t>
      </w:r>
      <w:r w:rsidR="00EE798B">
        <w:t>oblasti zahraniční politiky</w:t>
      </w:r>
      <w:r w:rsidR="008D31E2">
        <w:t xml:space="preserve"> tedy souvisí </w:t>
      </w:r>
      <w:r>
        <w:t>s</w:t>
      </w:r>
      <w:r w:rsidR="00053E6E">
        <w:t xml:space="preserve"> </w:t>
      </w:r>
      <w:r w:rsidR="008D31E2">
        <w:t>obchodováním</w:t>
      </w:r>
      <w:r w:rsidR="00EE798B">
        <w:t xml:space="preserve"> </w:t>
      </w:r>
      <w:r>
        <w:t>a</w:t>
      </w:r>
      <w:r w:rsidR="00053E6E">
        <w:t xml:space="preserve"> </w:t>
      </w:r>
      <w:r>
        <w:t>z</w:t>
      </w:r>
      <w:r w:rsidR="00053E6E">
        <w:t xml:space="preserve"> </w:t>
      </w:r>
      <w:r w:rsidR="00EE798B">
        <w:t>iniciativ, kter</w:t>
      </w:r>
      <w:r w:rsidR="00B737FC">
        <w:t>é mají</w:t>
      </w:r>
      <w:r w:rsidR="00EE798B">
        <w:t xml:space="preserve"> jednotlivé firmy </w:t>
      </w:r>
      <w:r w:rsidR="00227BBC">
        <w:t>uvedeny jako důležité,</w:t>
      </w:r>
      <w:r w:rsidR="00EE798B">
        <w:t xml:space="preserve"> lze vidět, že </w:t>
      </w:r>
      <w:r>
        <w:t>i</w:t>
      </w:r>
      <w:r w:rsidR="00053E6E">
        <w:t xml:space="preserve"> </w:t>
      </w:r>
      <w:r w:rsidR="00977C0F">
        <w:t xml:space="preserve">např. </w:t>
      </w:r>
      <w:r w:rsidR="00EE798B">
        <w:t>ekologické téma</w:t>
      </w:r>
      <w:r w:rsidR="00A43456">
        <w:t xml:space="preserve"> </w:t>
      </w:r>
      <w:r>
        <w:t>a</w:t>
      </w:r>
      <w:r w:rsidR="00053E6E">
        <w:t xml:space="preserve"> </w:t>
      </w:r>
      <w:r w:rsidR="00A43456">
        <w:t>udržitelný rozvoj</w:t>
      </w:r>
      <w:r w:rsidR="00EE798B">
        <w:t xml:space="preserve"> j</w:t>
      </w:r>
      <w:r w:rsidR="00A43456">
        <w:t>sou</w:t>
      </w:r>
      <w:r w:rsidR="00EE798B">
        <w:t xml:space="preserve"> </w:t>
      </w:r>
      <w:r>
        <w:t>v</w:t>
      </w:r>
      <w:r w:rsidR="00053E6E">
        <w:t xml:space="preserve"> </w:t>
      </w:r>
      <w:r w:rsidR="00EE798B">
        <w:t>jejich zájmu, což může také zahrnovat zahraniční problematiku</w:t>
      </w:r>
      <w:r w:rsidR="00A43456">
        <w:t xml:space="preserve">, </w:t>
      </w:r>
      <w:r w:rsidR="00390C08">
        <w:t>jelikož</w:t>
      </w:r>
      <w:r w:rsidR="00A43456">
        <w:t xml:space="preserve"> většina zmíněných podniků má </w:t>
      </w:r>
      <w:r w:rsidR="008D31E2">
        <w:t>s</w:t>
      </w:r>
      <w:r w:rsidR="00A43456">
        <w:t xml:space="preserve">vé výrobny </w:t>
      </w:r>
      <w:r>
        <w:t>i</w:t>
      </w:r>
      <w:r w:rsidR="00053E6E">
        <w:t xml:space="preserve"> </w:t>
      </w:r>
      <w:r w:rsidR="00A43456">
        <w:t>mimo EU</w:t>
      </w:r>
      <w:r w:rsidR="00EE798B">
        <w:t>.</w:t>
      </w:r>
      <w:r w:rsidR="00A43456">
        <w:t xml:space="preserve"> </w:t>
      </w:r>
      <w:r>
        <w:t>Z</w:t>
      </w:r>
      <w:r w:rsidR="00053E6E">
        <w:t xml:space="preserve"> </w:t>
      </w:r>
      <w:r w:rsidR="00227BBC">
        <w:t>podoblastí</w:t>
      </w:r>
      <w:r w:rsidR="00EE798B">
        <w:t xml:space="preserve"> </w:t>
      </w:r>
      <w:r>
        <w:t>v</w:t>
      </w:r>
      <w:r w:rsidR="00053E6E">
        <w:t xml:space="preserve"> </w:t>
      </w:r>
      <w:r w:rsidR="00227BBC">
        <w:t>sekci</w:t>
      </w:r>
      <w:r w:rsidR="00EE798B">
        <w:t xml:space="preserve"> zahraniční politiky,</w:t>
      </w:r>
      <w:r w:rsidR="00390C08">
        <w:t xml:space="preserve"> se nejvíce objevovala mezinárodní spolupráce </w:t>
      </w:r>
      <w:r>
        <w:t>a</w:t>
      </w:r>
      <w:r w:rsidR="00053E6E">
        <w:t xml:space="preserve"> </w:t>
      </w:r>
      <w:r w:rsidR="00390C08">
        <w:t>rozvoj</w:t>
      </w:r>
      <w:r w:rsidR="00954B1F">
        <w:t xml:space="preserve"> (Rejstřík 2018,</w:t>
      </w:r>
      <w:r w:rsidR="00825320">
        <w:t xml:space="preserve"> </w:t>
      </w:r>
      <w:r w:rsidR="00954B1F">
        <w:t>2019)</w:t>
      </w:r>
      <w:r w:rsidR="00EE798B">
        <w:t>.</w:t>
      </w:r>
      <w:r w:rsidR="00A9557D">
        <w:t xml:space="preserve"> </w:t>
      </w:r>
      <w:r w:rsidR="00390C08">
        <w:t xml:space="preserve">Jedinou samostatnou organizací </w:t>
      </w:r>
      <w:r>
        <w:t>s</w:t>
      </w:r>
      <w:r w:rsidR="00FB01E4">
        <w:t> </w:t>
      </w:r>
      <w:r w:rsidR="00390C08">
        <w:t xml:space="preserve">primárním zájmem </w:t>
      </w:r>
      <w:r>
        <w:t>v</w:t>
      </w:r>
      <w:r w:rsidR="00053E6E">
        <w:t xml:space="preserve"> </w:t>
      </w:r>
      <w:r w:rsidR="00390C08">
        <w:t>této oblasti</w:t>
      </w:r>
      <w:r w:rsidR="00A9557D">
        <w:t xml:space="preserve"> by mohla být </w:t>
      </w:r>
      <w:r w:rsidR="00A9557D" w:rsidRPr="00A9557D">
        <w:t>Swedish Association of Local Authorities and Regions (SALAR)</w:t>
      </w:r>
      <w:r w:rsidR="00A9557D">
        <w:t xml:space="preserve">. </w:t>
      </w:r>
      <w:r>
        <w:t>I</w:t>
      </w:r>
      <w:r w:rsidR="00053E6E">
        <w:t xml:space="preserve"> </w:t>
      </w:r>
      <w:r w:rsidR="00A9557D">
        <w:t xml:space="preserve">přesto, že má </w:t>
      </w:r>
      <w:r>
        <w:t>v</w:t>
      </w:r>
      <w:r w:rsidR="00053E6E">
        <w:t xml:space="preserve"> </w:t>
      </w:r>
      <w:r w:rsidR="00A9557D">
        <w:t>názvu asociaci, do této kategorie byla zařazena, jelikož jako svou právní formu uvádí privátní organizaci.</w:t>
      </w:r>
      <w:r w:rsidR="00390C08">
        <w:t xml:space="preserve"> </w:t>
      </w:r>
      <w:r w:rsidR="001050AB">
        <w:t>M</w:t>
      </w:r>
      <w:r w:rsidR="00A9557D">
        <w:t>á mezi svými iniciativami</w:t>
      </w:r>
      <w:r w:rsidR="00CE7038">
        <w:t xml:space="preserve"> </w:t>
      </w:r>
      <w:r>
        <w:t>i</w:t>
      </w:r>
      <w:r w:rsidR="00053E6E">
        <w:t xml:space="preserve"> </w:t>
      </w:r>
      <w:r w:rsidR="00A9557D">
        <w:t xml:space="preserve">migrační politiku, </w:t>
      </w:r>
      <w:r w:rsidR="00EA0FD1">
        <w:t>což se přímo týká zahraniční politiky</w:t>
      </w:r>
      <w:r w:rsidR="00490F4E">
        <w:t xml:space="preserve"> (Rejstřík 2019)</w:t>
      </w:r>
      <w:r w:rsidR="00D360E2">
        <w:t>. Navíc je členem expertní skupiny Komise zabývající se volným pohybem pracovní síly, což má také napojení na oblast zahraniční politiky (Register of Commision expert groups 2019)</w:t>
      </w:r>
      <w:r w:rsidR="00A43456">
        <w:t>.</w:t>
      </w:r>
      <w:r w:rsidR="00884210">
        <w:t xml:space="preserve"> Omezené zde bylo hledání přímo na stránce firmy, kvůli faktu, že </w:t>
      </w:r>
      <w:r>
        <w:t>v</w:t>
      </w:r>
      <w:r w:rsidR="009A75C0">
        <w:t> </w:t>
      </w:r>
      <w:r w:rsidR="00884210">
        <w:t>angličtině jsou dostupné pouze omezené části stránek, většina je dostupná pouze švédsky.</w:t>
      </w:r>
      <w:r w:rsidR="00A43456">
        <w:t xml:space="preserve"> </w:t>
      </w:r>
      <w:bookmarkStart w:id="13" w:name="_Hlk7182421"/>
    </w:p>
    <w:bookmarkEnd w:id="13"/>
    <w:p w:rsidR="00227BBC" w:rsidRDefault="00B65971" w:rsidP="005F4224">
      <w:r>
        <w:t>Z</w:t>
      </w:r>
      <w:r w:rsidR="00053E6E">
        <w:t xml:space="preserve"> </w:t>
      </w:r>
      <w:r w:rsidR="00227BBC">
        <w:t xml:space="preserve">15 subjektů spadajících do kategorie </w:t>
      </w:r>
      <w:r w:rsidR="008B2C6B">
        <w:t xml:space="preserve">asociací </w:t>
      </w:r>
      <w:r w:rsidR="00227BBC">
        <w:t>je zajímavé,</w:t>
      </w:r>
      <w:r w:rsidR="008B2C6B">
        <w:t xml:space="preserve"> </w:t>
      </w:r>
      <w:r w:rsidR="00227BBC">
        <w:t xml:space="preserve">že pouze jeden lze označit jako národní asociaci </w:t>
      </w:r>
      <w:r>
        <w:t>a</w:t>
      </w:r>
      <w:r w:rsidR="00053E6E">
        <w:t xml:space="preserve"> </w:t>
      </w:r>
      <w:r w:rsidR="00AC6850">
        <w:t xml:space="preserve">to </w:t>
      </w:r>
      <w:r w:rsidR="00AC6850" w:rsidRPr="00AC6850">
        <w:t xml:space="preserve">Bund für Lebensmittelrecht und Lebensmittelkunde </w:t>
      </w:r>
      <w:r w:rsidRPr="00AC6850">
        <w:t>e</w:t>
      </w:r>
      <w:r w:rsidR="00AC6850" w:rsidRPr="00AC6850">
        <w:t>.</w:t>
      </w:r>
      <w:r w:rsidRPr="00AC6850">
        <w:t>V</w:t>
      </w:r>
      <w:r w:rsidR="00AC6850" w:rsidRPr="00AC6850">
        <w:t xml:space="preserve">. de </w:t>
      </w:r>
      <w:r w:rsidRPr="00AC6850">
        <w:t>e</w:t>
      </w:r>
      <w:r w:rsidR="00AC6850" w:rsidRPr="00AC6850">
        <w:t>.</w:t>
      </w:r>
      <w:r w:rsidRPr="00AC6850">
        <w:t>V</w:t>
      </w:r>
      <w:r w:rsidR="00AC6850" w:rsidRPr="00AC6850">
        <w:t>. (BLL</w:t>
      </w:r>
      <w:r w:rsidR="00EC1C2C">
        <w:t xml:space="preserve"> 2019</w:t>
      </w:r>
      <w:r w:rsidR="00AC6850" w:rsidRPr="00AC6850">
        <w:t>)</w:t>
      </w:r>
      <w:r w:rsidR="00AC6850">
        <w:t>.</w:t>
      </w:r>
      <w:r w:rsidR="00735542">
        <w:t xml:space="preserve"> </w:t>
      </w:r>
      <w:r w:rsidR="00AC6850">
        <w:t xml:space="preserve">Jedná se </w:t>
      </w:r>
      <w:r>
        <w:t>o</w:t>
      </w:r>
      <w:r w:rsidR="00053E6E">
        <w:t xml:space="preserve"> </w:t>
      </w:r>
      <w:r w:rsidR="00AC6850">
        <w:t xml:space="preserve">německou národní asociaci, která se zabývá </w:t>
      </w:r>
      <w:r w:rsidR="008B2C6B">
        <w:t>potravinářským průmyslem</w:t>
      </w:r>
      <w:r w:rsidR="00AC6850">
        <w:t xml:space="preserve">. </w:t>
      </w:r>
      <w:r>
        <w:t>V</w:t>
      </w:r>
      <w:r w:rsidR="00053E6E">
        <w:t xml:space="preserve"> </w:t>
      </w:r>
      <w:r w:rsidR="00AC6850">
        <w:t xml:space="preserve">oblasti zahraniční politiky </w:t>
      </w:r>
      <w:r w:rsidR="008B2C6B">
        <w:t>prosazuje</w:t>
      </w:r>
      <w:r w:rsidR="00AC6850">
        <w:t xml:space="preserve"> propagování německých potravin</w:t>
      </w:r>
      <w:r w:rsidR="001050AB">
        <w:t xml:space="preserve"> </w:t>
      </w:r>
      <w:r w:rsidR="00AC6850">
        <w:t xml:space="preserve">(Bll.de 2019). </w:t>
      </w:r>
      <w:r>
        <w:t>V</w:t>
      </w:r>
      <w:r w:rsidR="00053E6E">
        <w:t xml:space="preserve"> </w:t>
      </w:r>
      <w:r w:rsidR="00AC6850">
        <w:t>Rej</w:t>
      </w:r>
      <w:r w:rsidR="005F4224">
        <w:t>s</w:t>
      </w:r>
      <w:r w:rsidR="00AC6850">
        <w:t>tříku jako svou oblast zájmu uvádí vnější vztahy</w:t>
      </w:r>
      <w:r w:rsidR="00490F4E">
        <w:t xml:space="preserve"> (Rejstřík 2018)</w:t>
      </w:r>
      <w:r w:rsidR="00AC6850">
        <w:t xml:space="preserve">. </w:t>
      </w:r>
      <w:r w:rsidR="005F4224">
        <w:t xml:space="preserve">Jednoho zástupce mají </w:t>
      </w:r>
      <w:r>
        <w:t>i</w:t>
      </w:r>
      <w:r w:rsidR="00053E6E">
        <w:t xml:space="preserve"> </w:t>
      </w:r>
      <w:r w:rsidR="005F4224">
        <w:t>regionální asociace, t</w:t>
      </w:r>
      <w:r w:rsidR="008B2C6B">
        <w:t>ou</w:t>
      </w:r>
      <w:r w:rsidR="005F4224">
        <w:t xml:space="preserve"> je </w:t>
      </w:r>
      <w:r w:rsidR="005F4224" w:rsidRPr="005F4224">
        <w:t>Vereniging van Vlaamse Steden en Gemeenten (VVSG)</w:t>
      </w:r>
      <w:r w:rsidR="005F4224">
        <w:t xml:space="preserve">. Jde </w:t>
      </w:r>
      <w:r>
        <w:t>o</w:t>
      </w:r>
      <w:r w:rsidR="00053E6E">
        <w:t xml:space="preserve"> </w:t>
      </w:r>
      <w:r w:rsidR="005F4224">
        <w:t xml:space="preserve">asociaci, která sdružuje Vlámské města </w:t>
      </w:r>
      <w:r>
        <w:t>a</w:t>
      </w:r>
      <w:r w:rsidR="00053E6E">
        <w:t xml:space="preserve"> </w:t>
      </w:r>
      <w:r w:rsidR="005F4224">
        <w:t xml:space="preserve">regiony. </w:t>
      </w:r>
      <w:r>
        <w:t>V</w:t>
      </w:r>
      <w:r w:rsidR="00053E6E">
        <w:t xml:space="preserve"> </w:t>
      </w:r>
      <w:r w:rsidR="003B71EA">
        <w:t xml:space="preserve">oblasti zahraniční politiky má mezi svými iniciativami </w:t>
      </w:r>
      <w:r>
        <w:t>v</w:t>
      </w:r>
      <w:r w:rsidR="00053E6E">
        <w:t xml:space="preserve"> </w:t>
      </w:r>
      <w:r w:rsidR="003B71EA">
        <w:t xml:space="preserve">Rejstříku </w:t>
      </w:r>
      <w:r>
        <w:t>a</w:t>
      </w:r>
      <w:r w:rsidR="00053E6E">
        <w:t xml:space="preserve"> </w:t>
      </w:r>
      <w:r w:rsidR="003B71EA">
        <w:t>také ve svém programu</w:t>
      </w:r>
      <w:r w:rsidR="00490F4E">
        <w:t xml:space="preserve"> </w:t>
      </w:r>
      <w:r w:rsidR="003B71EA">
        <w:t xml:space="preserve">zdůrazněnou zejména bezpečnostní politiku, migraci </w:t>
      </w:r>
      <w:r>
        <w:t>a</w:t>
      </w:r>
      <w:r w:rsidR="00053E6E">
        <w:t xml:space="preserve"> </w:t>
      </w:r>
      <w:r w:rsidR="003B71EA">
        <w:t>radikalizaci (VVSG 2019</w:t>
      </w:r>
      <w:r w:rsidR="00490F4E">
        <w:t>, Rejstřík 2019</w:t>
      </w:r>
      <w:r w:rsidR="003B71EA">
        <w:t xml:space="preserve">). </w:t>
      </w:r>
      <w:r w:rsidR="000F2E35">
        <w:t>Zbytek evrop</w:t>
      </w:r>
      <w:r w:rsidR="00CD2CF3">
        <w:t>s</w:t>
      </w:r>
      <w:r w:rsidR="000F2E35">
        <w:t xml:space="preserve">kých asociací jsem rozdělil na </w:t>
      </w:r>
      <w:r w:rsidR="00CD2CF3">
        <w:t>tři</w:t>
      </w:r>
      <w:r w:rsidR="000F2E35">
        <w:t xml:space="preserve"> skupiny</w:t>
      </w:r>
      <w:r w:rsidR="00CD2CF3">
        <w:t xml:space="preserve"> podle hlavního zájmu</w:t>
      </w:r>
      <w:r w:rsidR="008A444B">
        <w:t>.</w:t>
      </w:r>
      <w:r w:rsidR="00CD2CF3">
        <w:t xml:space="preserve"> První skupinu tvoří asociace</w:t>
      </w:r>
      <w:r w:rsidR="00C53438">
        <w:t>,</w:t>
      </w:r>
      <w:r w:rsidR="00CD2CF3">
        <w:t xml:space="preserve"> které </w:t>
      </w:r>
      <w:r w:rsidR="008B2C6B">
        <w:t>nešlo nikam zařadit</w:t>
      </w:r>
      <w:r w:rsidR="00CD2CF3">
        <w:t xml:space="preserve">, druhou tvoří asociace zastupující střední </w:t>
      </w:r>
      <w:r>
        <w:t>a</w:t>
      </w:r>
      <w:r w:rsidR="00053E6E">
        <w:t xml:space="preserve"> </w:t>
      </w:r>
      <w:r w:rsidR="00CD2CF3">
        <w:t xml:space="preserve">malé </w:t>
      </w:r>
      <w:r w:rsidR="00CD2CF3">
        <w:lastRenderedPageBreak/>
        <w:t xml:space="preserve">podnikatele </w:t>
      </w:r>
      <w:r>
        <w:t>a</w:t>
      </w:r>
      <w:r w:rsidR="00053E6E">
        <w:t xml:space="preserve"> </w:t>
      </w:r>
      <w:r w:rsidR="00CD2CF3">
        <w:t xml:space="preserve">třetí skupinu tvoří ty, které mají jako </w:t>
      </w:r>
      <w:r w:rsidR="003B475A">
        <w:t>primární</w:t>
      </w:r>
      <w:r w:rsidR="00CD2CF3">
        <w:t xml:space="preserve"> </w:t>
      </w:r>
      <w:r w:rsidR="003B475A">
        <w:t>zájem</w:t>
      </w:r>
      <w:r w:rsidR="00CD2CF3">
        <w:t xml:space="preserve"> dopravu</w:t>
      </w:r>
      <w:r w:rsidR="008B2C6B">
        <w:t xml:space="preserve"> </w:t>
      </w:r>
      <w:r>
        <w:t>a</w:t>
      </w:r>
      <w:r w:rsidR="00053E6E">
        <w:t xml:space="preserve"> </w:t>
      </w:r>
      <w:r w:rsidR="008B2C6B">
        <w:t>přepravu</w:t>
      </w:r>
      <w:r w:rsidR="00CD2CF3">
        <w:t>.</w:t>
      </w:r>
      <w:r w:rsidR="008A444B">
        <w:t xml:space="preserve"> </w:t>
      </w:r>
      <w:r w:rsidR="004F6A56">
        <w:t xml:space="preserve">Mezi </w:t>
      </w:r>
      <w:r w:rsidR="00CD2CF3">
        <w:t>první skupinu</w:t>
      </w:r>
      <w:r w:rsidR="004F6A56">
        <w:t xml:space="preserve"> patří </w:t>
      </w:r>
      <w:r w:rsidR="004F6A56" w:rsidRPr="004F6A56">
        <w:t>European Confederation of Woodworking Industries</w:t>
      </w:r>
      <w:r w:rsidR="004F6A56">
        <w:t>, která se zabývá dřevařským průmyslem</w:t>
      </w:r>
      <w:r w:rsidR="00B92553">
        <w:t xml:space="preserve"> </w:t>
      </w:r>
      <w:r w:rsidR="004F6A56">
        <w:t>(</w:t>
      </w:r>
      <w:r w:rsidR="00490F4E">
        <w:t>Rejstřík 2019</w:t>
      </w:r>
      <w:r w:rsidR="004F6A56">
        <w:t>).</w:t>
      </w:r>
      <w:r w:rsidR="00C53438">
        <w:t xml:space="preserve"> </w:t>
      </w:r>
      <w:r>
        <w:t>V</w:t>
      </w:r>
      <w:r w:rsidR="00053E6E">
        <w:t xml:space="preserve"> </w:t>
      </w:r>
      <w:r w:rsidR="00C53438">
        <w:t>oblasti zahraniční politiky pak jako své zájmy uvádí vnější vztahy</w:t>
      </w:r>
      <w:r w:rsidR="00145E88">
        <w:t xml:space="preserve"> (T</w:t>
      </w:r>
      <w:r w:rsidR="00B92553">
        <w:t>amtéž</w:t>
      </w:r>
      <w:r w:rsidR="00145E88">
        <w:t>)</w:t>
      </w:r>
      <w:r w:rsidR="00C53438">
        <w:t>.</w:t>
      </w:r>
      <w:r w:rsidR="00155052">
        <w:t xml:space="preserve"> Další organizací jsou </w:t>
      </w:r>
      <w:r w:rsidR="00155052" w:rsidRPr="00155052">
        <w:t>Low Impact Fishers of Europe</w:t>
      </w:r>
      <w:r w:rsidR="00155052">
        <w:t xml:space="preserve">. Tato organizace podporuje zejména malé </w:t>
      </w:r>
      <w:r>
        <w:t>a</w:t>
      </w:r>
      <w:r w:rsidR="00FB01E4">
        <w:t> </w:t>
      </w:r>
      <w:r w:rsidR="00155052">
        <w:t xml:space="preserve">střední rybáře, </w:t>
      </w:r>
      <w:r>
        <w:t>v</w:t>
      </w:r>
      <w:r w:rsidR="00053E6E">
        <w:t xml:space="preserve"> </w:t>
      </w:r>
      <w:r w:rsidR="00155052">
        <w:t>Rejstříku má mezi svými zájmy vnější vztahy</w:t>
      </w:r>
      <w:r w:rsidR="003B475A">
        <w:t>,</w:t>
      </w:r>
      <w:r w:rsidR="00155052">
        <w:t xml:space="preserve"> mezinárodní spolupráci </w:t>
      </w:r>
      <w:r>
        <w:t>a</w:t>
      </w:r>
      <w:r w:rsidR="00FB01E4">
        <w:t> </w:t>
      </w:r>
      <w:r w:rsidR="00155052">
        <w:t>rozvoj, ale ani na stránkách asociace jsem nenalezl detailnější informac</w:t>
      </w:r>
      <w:r w:rsidR="00F54CC7">
        <w:t>e</w:t>
      </w:r>
      <w:r w:rsidR="00145E88">
        <w:t xml:space="preserve"> (Rejstřík 2018)</w:t>
      </w:r>
      <w:r w:rsidR="00155052">
        <w:t>.</w:t>
      </w:r>
      <w:r w:rsidR="00145E88">
        <w:t xml:space="preserve"> </w:t>
      </w:r>
      <w:r w:rsidR="007D547B" w:rsidRPr="007D547B">
        <w:t xml:space="preserve">Federation of European </w:t>
      </w:r>
      <w:r w:rsidR="007D547B">
        <w:t>e</w:t>
      </w:r>
      <w:r w:rsidR="007D547B" w:rsidRPr="007D547B">
        <w:t xml:space="preserve">xplosives </w:t>
      </w:r>
      <w:r w:rsidR="007D547B">
        <w:t>m</w:t>
      </w:r>
      <w:r w:rsidR="007D547B" w:rsidRPr="007D547B">
        <w:t>anufacturers</w:t>
      </w:r>
      <w:r w:rsidR="007D547B">
        <w:t xml:space="preserve"> je aktivní </w:t>
      </w:r>
      <w:r>
        <w:t>v</w:t>
      </w:r>
      <w:r w:rsidR="00053E6E">
        <w:t xml:space="preserve"> </w:t>
      </w:r>
      <w:r w:rsidR="007D547B">
        <w:t xml:space="preserve">oblasti zahraničních věcí </w:t>
      </w:r>
      <w:r>
        <w:t>a</w:t>
      </w:r>
      <w:r w:rsidR="00FB01E4">
        <w:t> </w:t>
      </w:r>
      <w:r w:rsidR="007D547B">
        <w:t>bezpečnostní politiky</w:t>
      </w:r>
      <w:r w:rsidR="00145E88">
        <w:t xml:space="preserve"> (Rejstřík 2019)</w:t>
      </w:r>
      <w:r w:rsidR="007D547B">
        <w:t xml:space="preserve">. </w:t>
      </w:r>
      <w:r w:rsidR="00B92553">
        <w:t>To dává smysl, j</w:t>
      </w:r>
      <w:r w:rsidR="007D547B">
        <w:t xml:space="preserve">de </w:t>
      </w:r>
      <w:r w:rsidR="00B92553">
        <w:t xml:space="preserve">totiž </w:t>
      </w:r>
      <w:r>
        <w:t>o</w:t>
      </w:r>
      <w:r w:rsidR="00053E6E">
        <w:t xml:space="preserve"> </w:t>
      </w:r>
      <w:r w:rsidR="007D547B">
        <w:t xml:space="preserve">evropskou asociaci sdružující 19 firem zabývajících se výrobou </w:t>
      </w:r>
      <w:r>
        <w:t>a</w:t>
      </w:r>
      <w:r w:rsidR="00053E6E">
        <w:t xml:space="preserve"> </w:t>
      </w:r>
      <w:r w:rsidR="007D547B">
        <w:t>distribucí výbušnin (</w:t>
      </w:r>
      <w:r w:rsidR="00301E4E">
        <w:t xml:space="preserve">FEEM </w:t>
      </w:r>
      <w:r w:rsidR="009148AA">
        <w:t xml:space="preserve">2019). </w:t>
      </w:r>
      <w:r w:rsidR="00F02127" w:rsidRPr="00F02127">
        <w:t>CIRFS: European Man-made Fibres Association</w:t>
      </w:r>
      <w:r w:rsidR="00F02127">
        <w:t xml:space="preserve"> je</w:t>
      </w:r>
      <w:r w:rsidR="005F4406">
        <w:t xml:space="preserve"> asociací, která sdružuje textilní společnosti. Podle Rejstříku má zájmy </w:t>
      </w:r>
      <w:r>
        <w:t>v</w:t>
      </w:r>
      <w:r w:rsidR="00053E6E">
        <w:t xml:space="preserve"> </w:t>
      </w:r>
      <w:r w:rsidR="005F4406">
        <w:t xml:space="preserve">mezinárodní spolupráci </w:t>
      </w:r>
      <w:r>
        <w:t>a</w:t>
      </w:r>
      <w:r w:rsidR="00053E6E">
        <w:t xml:space="preserve"> </w:t>
      </w:r>
      <w:r w:rsidR="005F4406">
        <w:t xml:space="preserve">rozvoji, </w:t>
      </w:r>
      <w:r>
        <w:t>v</w:t>
      </w:r>
      <w:r w:rsidR="00053E6E">
        <w:t xml:space="preserve"> </w:t>
      </w:r>
      <w:r w:rsidR="005F4406">
        <w:t xml:space="preserve">ostraze hranic </w:t>
      </w:r>
      <w:r>
        <w:t>a</w:t>
      </w:r>
      <w:r w:rsidR="00053E6E">
        <w:t xml:space="preserve"> </w:t>
      </w:r>
      <w:r w:rsidR="005F4406">
        <w:t xml:space="preserve">bezpečnosti </w:t>
      </w:r>
      <w:r>
        <w:t>a</w:t>
      </w:r>
      <w:r w:rsidR="00053E6E">
        <w:t xml:space="preserve"> </w:t>
      </w:r>
      <w:r w:rsidR="005F4406">
        <w:t xml:space="preserve">také </w:t>
      </w:r>
      <w:r>
        <w:t>v</w:t>
      </w:r>
      <w:r w:rsidR="00053E6E">
        <w:t xml:space="preserve"> </w:t>
      </w:r>
      <w:r w:rsidR="005F4406">
        <w:t xml:space="preserve">zahraničních věcech </w:t>
      </w:r>
      <w:r>
        <w:t>a</w:t>
      </w:r>
      <w:r w:rsidR="00053E6E">
        <w:t xml:space="preserve"> </w:t>
      </w:r>
      <w:r w:rsidR="00597F72">
        <w:t>bezpečnostní politice</w:t>
      </w:r>
      <w:r w:rsidR="00145E88">
        <w:t xml:space="preserve"> (Rejstřík 2018)</w:t>
      </w:r>
      <w:r w:rsidR="00597F72">
        <w:t xml:space="preserve">. </w:t>
      </w:r>
      <w:r w:rsidR="00FD0710">
        <w:t>Zahraniční politika</w:t>
      </w:r>
      <w:r w:rsidR="00597F72">
        <w:t xml:space="preserve"> j</w:t>
      </w:r>
      <w:r w:rsidR="00FD0710">
        <w:t>e</w:t>
      </w:r>
      <w:r w:rsidR="00597F72">
        <w:t xml:space="preserve"> pro tuto asociaci zajímav</w:t>
      </w:r>
      <w:r w:rsidR="00FD0710">
        <w:t>á</w:t>
      </w:r>
      <w:r w:rsidR="00597F72">
        <w:t xml:space="preserve"> pravděpodobně </w:t>
      </w:r>
      <w:r>
        <w:t>z</w:t>
      </w:r>
      <w:r w:rsidR="00053E6E">
        <w:t xml:space="preserve"> </w:t>
      </w:r>
      <w:r w:rsidR="00597F72">
        <w:t xml:space="preserve">toho důvodu, že sdružuje firmy </w:t>
      </w:r>
      <w:r>
        <w:t>i</w:t>
      </w:r>
      <w:r w:rsidR="00053E6E">
        <w:t xml:space="preserve"> </w:t>
      </w:r>
      <w:r>
        <w:t>z</w:t>
      </w:r>
      <w:r w:rsidR="00053E6E">
        <w:t xml:space="preserve"> </w:t>
      </w:r>
      <w:r w:rsidR="00597F72">
        <w:t>Turecka či Japonska</w:t>
      </w:r>
      <w:r w:rsidR="001050AB">
        <w:t xml:space="preserve"> </w:t>
      </w:r>
      <w:r w:rsidR="00597F72">
        <w:t>(</w:t>
      </w:r>
      <w:r w:rsidR="00EC1C2C">
        <w:t>CIRFS</w:t>
      </w:r>
      <w:r w:rsidR="00597F72">
        <w:t xml:space="preserve"> 2017)</w:t>
      </w:r>
      <w:r w:rsidR="00FD0710">
        <w:t xml:space="preserve">. Poslední asociací </w:t>
      </w:r>
      <w:r>
        <w:t>v</w:t>
      </w:r>
      <w:r w:rsidR="00053E6E">
        <w:t xml:space="preserve"> </w:t>
      </w:r>
      <w:r w:rsidR="00FD0710">
        <w:t xml:space="preserve">této skupině je </w:t>
      </w:r>
      <w:r w:rsidR="00FD0710" w:rsidRPr="00FD0710">
        <w:t>European Network of Transmission System Operators for Gas</w:t>
      </w:r>
      <w:r w:rsidR="001932C3">
        <w:t xml:space="preserve">, jde </w:t>
      </w:r>
      <w:r>
        <w:t>o</w:t>
      </w:r>
      <w:r w:rsidR="00053E6E">
        <w:t xml:space="preserve"> </w:t>
      </w:r>
      <w:r w:rsidR="001932C3">
        <w:t>evropskou asociaci jejímž cílem je vytvoření</w:t>
      </w:r>
      <w:r w:rsidR="00B64507">
        <w:t xml:space="preserve"> </w:t>
      </w:r>
      <w:r w:rsidR="001932C3">
        <w:t>pan-evropského plynového systému</w:t>
      </w:r>
      <w:r w:rsidR="00B64507">
        <w:t xml:space="preserve"> </w:t>
      </w:r>
      <w:r w:rsidR="001932C3">
        <w:t>(</w:t>
      </w:r>
      <w:r w:rsidR="00301E4E">
        <w:t>Entsog</w:t>
      </w:r>
      <w:r w:rsidR="001932C3">
        <w:t xml:space="preserve"> 2018).</w:t>
      </w:r>
      <w:r w:rsidR="00825320">
        <w:t xml:space="preserve"> </w:t>
      </w:r>
      <w:r>
        <w:t>V</w:t>
      </w:r>
      <w:r w:rsidR="00053E6E">
        <w:t xml:space="preserve"> </w:t>
      </w:r>
      <w:r w:rsidR="001932C3">
        <w:t>Rejstříku uvádí ze zahraniční politiky pouze oblast vnějších vztahů</w:t>
      </w:r>
      <w:r w:rsidR="00145E88">
        <w:t xml:space="preserve"> (Rejstřík 2018)</w:t>
      </w:r>
      <w:r w:rsidR="001932C3">
        <w:t xml:space="preserve">. </w:t>
      </w:r>
    </w:p>
    <w:p w:rsidR="001932C3" w:rsidRDefault="00B65971" w:rsidP="005F4224">
      <w:r>
        <w:t>V</w:t>
      </w:r>
      <w:r w:rsidR="00053E6E">
        <w:t xml:space="preserve"> </w:t>
      </w:r>
      <w:r w:rsidR="001932C3">
        <w:t>této oblasti fi</w:t>
      </w:r>
      <w:r w:rsidR="00B64507">
        <w:t>gu</w:t>
      </w:r>
      <w:r w:rsidR="001932C3">
        <w:t>rují také tři subjekty zastupující malé či střední podnikatele.</w:t>
      </w:r>
      <w:r w:rsidR="00B64507">
        <w:t xml:space="preserve"> </w:t>
      </w:r>
      <w:r w:rsidR="00B64507" w:rsidRPr="00B64507">
        <w:t>Confédération Européenne des Associations de Petites et Moyennes Entreprises</w:t>
      </w:r>
      <w:r w:rsidR="00B64507">
        <w:t xml:space="preserve"> je byznysová federace skládají se </w:t>
      </w:r>
      <w:r>
        <w:t>z</w:t>
      </w:r>
      <w:r w:rsidR="00053E6E">
        <w:t xml:space="preserve"> </w:t>
      </w:r>
      <w:r w:rsidR="00B64507">
        <w:t xml:space="preserve">asociací malých </w:t>
      </w:r>
      <w:r>
        <w:t>a</w:t>
      </w:r>
      <w:r w:rsidR="00053E6E">
        <w:t xml:space="preserve"> </w:t>
      </w:r>
      <w:r w:rsidR="00B64507">
        <w:t>středních podnikatelů (</w:t>
      </w:r>
      <w:r w:rsidR="002C0139">
        <w:t xml:space="preserve">CEA-PME </w:t>
      </w:r>
      <w:r w:rsidR="00B64507">
        <w:t xml:space="preserve">2019). Podle Rejstříku se </w:t>
      </w:r>
      <w:r>
        <w:t>v</w:t>
      </w:r>
      <w:r w:rsidR="00053E6E">
        <w:t xml:space="preserve"> </w:t>
      </w:r>
      <w:r w:rsidR="00B64507">
        <w:t xml:space="preserve">oblasti zahraniční politiky zabývá evropskou obranou </w:t>
      </w:r>
      <w:r>
        <w:t>a</w:t>
      </w:r>
      <w:r w:rsidR="00053E6E">
        <w:t xml:space="preserve"> </w:t>
      </w:r>
      <w:r w:rsidR="00B64507">
        <w:t>bezp</w:t>
      </w:r>
      <w:r w:rsidR="00F54CC7">
        <w:t>e</w:t>
      </w:r>
      <w:r w:rsidR="00B64507">
        <w:t>čností</w:t>
      </w:r>
      <w:r w:rsidR="00F54CC7">
        <w:t>,</w:t>
      </w:r>
      <w:r w:rsidR="00B64507">
        <w:t xml:space="preserve"> </w:t>
      </w:r>
      <w:r>
        <w:t>a</w:t>
      </w:r>
      <w:r w:rsidR="009A75C0">
        <w:t> </w:t>
      </w:r>
      <w:r w:rsidR="00B64507">
        <w:t>také migrací</w:t>
      </w:r>
      <w:r w:rsidR="006D75FF">
        <w:t xml:space="preserve"> (Rejstřík 2018)</w:t>
      </w:r>
      <w:r w:rsidR="00B64507">
        <w:t xml:space="preserve">. Mezi pěti hlavními cíli má </w:t>
      </w:r>
      <w:r>
        <w:t>i</w:t>
      </w:r>
      <w:r w:rsidR="00053E6E">
        <w:t xml:space="preserve"> </w:t>
      </w:r>
      <w:r w:rsidR="00B64507">
        <w:t xml:space="preserve">internacionalizaci </w:t>
      </w:r>
      <w:r>
        <w:t>a</w:t>
      </w:r>
      <w:r w:rsidR="00053E6E">
        <w:t xml:space="preserve"> </w:t>
      </w:r>
      <w:r w:rsidR="00B64507">
        <w:t>zahraniční obcho</w:t>
      </w:r>
      <w:r w:rsidR="001050AB">
        <w:t xml:space="preserve">d </w:t>
      </w:r>
      <w:r w:rsidR="00B64507">
        <w:t>(</w:t>
      </w:r>
      <w:r w:rsidR="002C0139">
        <w:t xml:space="preserve">CEA-PME </w:t>
      </w:r>
      <w:r w:rsidR="00B64507">
        <w:t>2019).</w:t>
      </w:r>
      <w:r w:rsidR="001050AB">
        <w:t xml:space="preserve"> </w:t>
      </w:r>
      <w:r w:rsidR="00F54CC7">
        <w:t>P</w:t>
      </w:r>
      <w:r w:rsidR="002841D8">
        <w:t xml:space="preserve">odobnou organizací je </w:t>
      </w:r>
      <w:r w:rsidR="002841D8" w:rsidRPr="002841D8">
        <w:t>European Small Business Alliance</w:t>
      </w:r>
      <w:r w:rsidR="002841D8">
        <w:t xml:space="preserve">, která sdružuje taktéž malé </w:t>
      </w:r>
      <w:r>
        <w:t>a</w:t>
      </w:r>
      <w:r w:rsidR="00053E6E">
        <w:t xml:space="preserve"> </w:t>
      </w:r>
      <w:r w:rsidR="002841D8">
        <w:t>střední podnikatele</w:t>
      </w:r>
      <w:r w:rsidR="00451166">
        <w:t xml:space="preserve"> </w:t>
      </w:r>
      <w:r>
        <w:t>a</w:t>
      </w:r>
      <w:r w:rsidR="00053E6E">
        <w:t xml:space="preserve"> </w:t>
      </w:r>
      <w:r w:rsidR="002841D8">
        <w:t>má velmi podobné cíle</w:t>
      </w:r>
      <w:r w:rsidR="00451166">
        <w:t xml:space="preserve"> (Rejstřík 2019)</w:t>
      </w:r>
      <w:r w:rsidR="002841D8">
        <w:t>. Poslední</w:t>
      </w:r>
      <w:r w:rsidR="00F1535D">
        <w:t xml:space="preserve"> subjekt je </w:t>
      </w:r>
      <w:r w:rsidR="00F1535D" w:rsidRPr="00F1535D">
        <w:t>Young Entrepreneurs for Europe</w:t>
      </w:r>
      <w:r w:rsidR="00F1535D">
        <w:t xml:space="preserve">, </w:t>
      </w:r>
      <w:r w:rsidR="004607FB">
        <w:t>účelem</w:t>
      </w:r>
      <w:r w:rsidR="00F1535D">
        <w:t xml:space="preserve"> je sdružovat mladé podnikatele, </w:t>
      </w:r>
      <w:r>
        <w:t>s</w:t>
      </w:r>
      <w:r w:rsidR="00053E6E">
        <w:t xml:space="preserve"> </w:t>
      </w:r>
      <w:r w:rsidR="00F1535D">
        <w:t xml:space="preserve">cílem vytvořit pan-evropskou síť, která </w:t>
      </w:r>
      <w:r w:rsidR="00F54CC7">
        <w:t>je</w:t>
      </w:r>
      <w:r w:rsidR="00F1535D">
        <w:t xml:space="preserve"> spojovala </w:t>
      </w:r>
      <w:r>
        <w:t>a</w:t>
      </w:r>
      <w:r w:rsidR="00053E6E">
        <w:t xml:space="preserve"> </w:t>
      </w:r>
      <w:r w:rsidR="00F1535D">
        <w:t>umožňovala jim internacionalizaci (</w:t>
      </w:r>
      <w:r w:rsidR="002C0139">
        <w:rPr>
          <w:rStyle w:val="Hyperlink"/>
          <w:color w:val="auto"/>
          <w:u w:val="none"/>
        </w:rPr>
        <w:t>European confederation of young entrepreneurs</w:t>
      </w:r>
      <w:r w:rsidR="002C0139">
        <w:t xml:space="preserve"> </w:t>
      </w:r>
      <w:r w:rsidR="00F1535D">
        <w:t xml:space="preserve">2019). Zájmům </w:t>
      </w:r>
      <w:r>
        <w:t>v</w:t>
      </w:r>
      <w:r w:rsidR="00053E6E">
        <w:t xml:space="preserve"> </w:t>
      </w:r>
      <w:r w:rsidR="00F1535D">
        <w:t>oblasti zahraniční politik</w:t>
      </w:r>
      <w:r w:rsidR="004607FB">
        <w:t>y</w:t>
      </w:r>
      <w:r w:rsidR="00F1535D">
        <w:t xml:space="preserve"> napomáhá </w:t>
      </w:r>
      <w:r>
        <w:t>i</w:t>
      </w:r>
      <w:r w:rsidR="00FB01E4">
        <w:t> </w:t>
      </w:r>
      <w:r w:rsidR="00F1535D">
        <w:t xml:space="preserve">fakt, že do asociace patří podniky </w:t>
      </w:r>
      <w:r>
        <w:t>z</w:t>
      </w:r>
      <w:r w:rsidR="00053E6E">
        <w:t xml:space="preserve"> </w:t>
      </w:r>
      <w:r w:rsidR="00F1535D">
        <w:t>Turecka či Albánie, které nejsou členskými státy EU (</w:t>
      </w:r>
      <w:r w:rsidR="002C0139">
        <w:rPr>
          <w:rStyle w:val="Hyperlink"/>
          <w:color w:val="auto"/>
          <w:u w:val="none"/>
        </w:rPr>
        <w:t xml:space="preserve">Tamtéž </w:t>
      </w:r>
      <w:r w:rsidR="00F1535D">
        <w:t>2019).</w:t>
      </w:r>
    </w:p>
    <w:p w:rsidR="008234FD" w:rsidRDefault="00A77106" w:rsidP="005F4224">
      <w:r>
        <w:t xml:space="preserve">Poslední skupinu tvoří asociace, které se primárně zabývají dopravou osob či přepravou zboží. </w:t>
      </w:r>
      <w:r w:rsidR="00D5777F">
        <w:t>Náleží</w:t>
      </w:r>
      <w:r>
        <w:t xml:space="preserve"> zde Airlines for Europe</w:t>
      </w:r>
      <w:r w:rsidR="00B70F64">
        <w:t xml:space="preserve">, European Boatmen’s Association, European Shippers Council, </w:t>
      </w:r>
      <w:r w:rsidR="00B70F64" w:rsidRPr="00B70F64">
        <w:t>Union Internationale des Chemins de Fer</w:t>
      </w:r>
      <w:r w:rsidR="00B70F64">
        <w:t xml:space="preserve"> (sdružuje železniční společnosti) </w:t>
      </w:r>
      <w:r w:rsidR="00B65971">
        <w:t>a</w:t>
      </w:r>
      <w:r w:rsidR="00053E6E">
        <w:t xml:space="preserve"> </w:t>
      </w:r>
      <w:r w:rsidR="00B70F64">
        <w:t xml:space="preserve">European Cargo Alliance. Tyto asociace mají </w:t>
      </w:r>
      <w:r w:rsidR="00B65971">
        <w:t>v</w:t>
      </w:r>
      <w:r w:rsidR="00053E6E">
        <w:t xml:space="preserve"> </w:t>
      </w:r>
      <w:r w:rsidR="00B70F64">
        <w:t xml:space="preserve">oblasti zahraniční politiky </w:t>
      </w:r>
      <w:r w:rsidR="00B70F64">
        <w:lastRenderedPageBreak/>
        <w:t xml:space="preserve">velmi podobné zájmy, jde jim především </w:t>
      </w:r>
      <w:r w:rsidR="00B65971">
        <w:t>o</w:t>
      </w:r>
      <w:r w:rsidR="00053E6E">
        <w:t xml:space="preserve"> </w:t>
      </w:r>
      <w:r w:rsidR="00B70F64">
        <w:t xml:space="preserve">bezpečnost </w:t>
      </w:r>
      <w:r w:rsidR="00B65971">
        <w:t>a</w:t>
      </w:r>
      <w:r w:rsidR="00053E6E">
        <w:t xml:space="preserve"> </w:t>
      </w:r>
      <w:r w:rsidR="00B70F64">
        <w:t>také lobbují za lepší vztahy EU se třetími zeměmi, každá ve své oblasti</w:t>
      </w:r>
      <w:r w:rsidR="00451166">
        <w:t xml:space="preserve"> (Rejstřík 2019</w:t>
      </w:r>
      <w:r w:rsidR="00757D19">
        <w:rPr>
          <w:lang w:val="en-US"/>
        </w:rPr>
        <w:t>;</w:t>
      </w:r>
      <w:r w:rsidR="00451166">
        <w:t xml:space="preserve"> 2018</w:t>
      </w:r>
      <w:r w:rsidR="00757D19">
        <w:t>)</w:t>
      </w:r>
      <w:r w:rsidR="00B70F64">
        <w:t>.</w:t>
      </w:r>
    </w:p>
    <w:p w:rsidR="00B70F64" w:rsidRDefault="006C5F0C" w:rsidP="005F4224">
      <w:r>
        <w:t xml:space="preserve">Na základě předložené analýzy lze tedy pozorovat větší aktivitu ze strany asociací, nejvíce potom </w:t>
      </w:r>
      <w:r w:rsidR="00B65971">
        <w:t>z</w:t>
      </w:r>
      <w:r w:rsidR="00053E6E">
        <w:t xml:space="preserve"> </w:t>
      </w:r>
      <w:r>
        <w:t xml:space="preserve">oblasti evropských asociací. </w:t>
      </w:r>
      <w:r w:rsidR="0023263D">
        <w:t xml:space="preserve">To indikuje skutečnost, že </w:t>
      </w:r>
      <w:r w:rsidR="00B65971">
        <w:t>v</w:t>
      </w:r>
      <w:r w:rsidR="00053E6E">
        <w:t xml:space="preserve"> </w:t>
      </w:r>
      <w:r w:rsidR="0023263D">
        <w:t xml:space="preserve">oblasti zahraniční politiky jsou Komisi nejčastěji dodávány </w:t>
      </w:r>
      <w:r w:rsidR="0023263D">
        <w:rPr>
          <w:i/>
        </w:rPr>
        <w:t>Information about European Encompassing Interest</w:t>
      </w:r>
      <w:r w:rsidR="0023263D">
        <w:t xml:space="preserve">. To, že se </w:t>
      </w:r>
      <w:r w:rsidR="00B65971">
        <w:t>v</w:t>
      </w:r>
      <w:r w:rsidR="00053E6E">
        <w:t xml:space="preserve"> </w:t>
      </w:r>
      <w:r w:rsidR="0023263D">
        <w:t xml:space="preserve">této oblasti neangažuje mnoho samostatných firem také dokazuje, že zde není zájem </w:t>
      </w:r>
      <w:r w:rsidR="00B65971">
        <w:t>o</w:t>
      </w:r>
      <w:r w:rsidR="00053E6E">
        <w:t xml:space="preserve"> </w:t>
      </w:r>
      <w:r w:rsidR="0023263D">
        <w:t>expert knowledge.</w:t>
      </w:r>
      <w:r w:rsidR="00F54CC7">
        <w:t xml:space="preserve"> </w:t>
      </w:r>
      <w:r w:rsidR="00B65971">
        <w:t>Z</w:t>
      </w:r>
      <w:r w:rsidR="00053E6E">
        <w:t xml:space="preserve"> </w:t>
      </w:r>
      <w:r w:rsidR="00F54CC7">
        <w:t xml:space="preserve">osmi samostatných subjektů, pouze jeden má </w:t>
      </w:r>
      <w:r w:rsidR="00B65971">
        <w:t>v</w:t>
      </w:r>
      <w:r w:rsidR="00053E6E">
        <w:t xml:space="preserve"> </w:t>
      </w:r>
      <w:r w:rsidR="00F54CC7">
        <w:t>této oblasti primární zájmy.</w:t>
      </w:r>
      <w:r w:rsidR="0023263D">
        <w:t xml:space="preserve"> Asociace jsou </w:t>
      </w:r>
      <w:r w:rsidR="00B65971">
        <w:t>v</w:t>
      </w:r>
      <w:r w:rsidR="00053E6E">
        <w:t xml:space="preserve"> </w:t>
      </w:r>
      <w:r w:rsidR="0023263D">
        <w:t xml:space="preserve">této oblasti aktivnější </w:t>
      </w:r>
      <w:r w:rsidR="00B65971">
        <w:t>a</w:t>
      </w:r>
      <w:r w:rsidR="00053E6E">
        <w:t xml:space="preserve"> </w:t>
      </w:r>
      <w:r w:rsidR="0023263D">
        <w:t>lépe se prosazují.</w:t>
      </w:r>
      <w:r w:rsidR="00D5777F">
        <w:t xml:space="preserve"> </w:t>
      </w:r>
      <w:r w:rsidR="00B65971">
        <w:t>I</w:t>
      </w:r>
      <w:r w:rsidR="00053E6E">
        <w:t xml:space="preserve"> </w:t>
      </w:r>
      <w:r w:rsidR="00D5777F">
        <w:t xml:space="preserve">přes komplexnost jejich vnitřního </w:t>
      </w:r>
      <w:r w:rsidR="007C2988">
        <w:t xml:space="preserve">rozhodování jsou tedy </w:t>
      </w:r>
      <w:r w:rsidR="00B65971">
        <w:t>v</w:t>
      </w:r>
      <w:r w:rsidR="00053E6E">
        <w:t xml:space="preserve"> </w:t>
      </w:r>
      <w:r w:rsidR="007C2988">
        <w:t>této oblasti efektivní.</w:t>
      </w:r>
      <w:r w:rsidR="00AC603F">
        <w:t xml:space="preserve"> Na druhou stranu to není až tak překvapující, již pojetí zahraniční politiky jako vztahu mezi EU </w:t>
      </w:r>
      <w:r w:rsidR="00B65971">
        <w:t>a</w:t>
      </w:r>
      <w:r w:rsidR="00053E6E">
        <w:t xml:space="preserve"> </w:t>
      </w:r>
      <w:r w:rsidR="00AC603F">
        <w:t xml:space="preserve">třetími zeměmi napovídá větší aktivitě asociací, které velmi často mají partnery mimo EU. Navíc požadavky asociací </w:t>
      </w:r>
      <w:r w:rsidR="00B65971">
        <w:t>v</w:t>
      </w:r>
      <w:r w:rsidR="00053E6E">
        <w:t xml:space="preserve"> </w:t>
      </w:r>
      <w:r w:rsidR="00AC603F">
        <w:t xml:space="preserve">této oblasti budou mít pravděpodobně větší váhu než požadavky samostatné firmy už jen </w:t>
      </w:r>
      <w:r w:rsidR="00B65971">
        <w:t>z</w:t>
      </w:r>
      <w:r w:rsidR="00053E6E">
        <w:t xml:space="preserve"> </w:t>
      </w:r>
      <w:r w:rsidR="00AC603F">
        <w:t xml:space="preserve">toho důvodu, že se </w:t>
      </w:r>
      <w:r w:rsidR="00B65971">
        <w:t>v</w:t>
      </w:r>
      <w:r w:rsidR="00053E6E">
        <w:t xml:space="preserve"> </w:t>
      </w:r>
      <w:r w:rsidR="00AC603F">
        <w:t xml:space="preserve">zahraniční politice EU poslední dobou snaží působit jednotně </w:t>
      </w:r>
      <w:r w:rsidR="00B65971">
        <w:t>a</w:t>
      </w:r>
      <w:r w:rsidR="00FB01E4">
        <w:t> </w:t>
      </w:r>
      <w:r w:rsidR="00B65971">
        <w:t>i</w:t>
      </w:r>
      <w:r w:rsidR="00FB01E4">
        <w:t> </w:t>
      </w:r>
      <w:r w:rsidR="00AC603F">
        <w:t>proto ji zajímají spíše evropské zájmy.</w:t>
      </w:r>
    </w:p>
    <w:p w:rsidR="00331EDB" w:rsidRDefault="00331EDB" w:rsidP="005F4224"/>
    <w:p w:rsidR="00DA30AB" w:rsidRDefault="00B65971" w:rsidP="00DA30AB">
      <w:pPr>
        <w:pStyle w:val="Heading2"/>
      </w:pPr>
      <w:bookmarkStart w:id="14" w:name="_Toc7414201"/>
      <w:r>
        <w:t>2</w:t>
      </w:r>
      <w:r w:rsidR="00DA30AB">
        <w:t>.</w:t>
      </w:r>
      <w:r>
        <w:t>2</w:t>
      </w:r>
      <w:r w:rsidR="00053E6E">
        <w:t xml:space="preserve"> </w:t>
      </w:r>
      <w:r w:rsidR="00DA30AB">
        <w:t xml:space="preserve">Kultura </w:t>
      </w:r>
      <w:r>
        <w:t>a</w:t>
      </w:r>
      <w:r w:rsidR="00053E6E">
        <w:t xml:space="preserve"> </w:t>
      </w:r>
      <w:r w:rsidR="00DA30AB">
        <w:t>vzdělávání</w:t>
      </w:r>
      <w:bookmarkEnd w:id="14"/>
    </w:p>
    <w:p w:rsidR="00DA30AB" w:rsidRDefault="00DA30AB" w:rsidP="00DA30AB">
      <w:r>
        <w:t xml:space="preserve">Součástí EU je </w:t>
      </w:r>
      <w:r w:rsidR="00F41129">
        <w:t>spousta různých</w:t>
      </w:r>
      <w:r>
        <w:t xml:space="preserve"> kultur, což přispívá ke vzájemnému obohacování členských států, ale </w:t>
      </w:r>
      <w:r w:rsidR="00871346">
        <w:t xml:space="preserve">zároveň jde také </w:t>
      </w:r>
      <w:r w:rsidR="00B65971">
        <w:t>o</w:t>
      </w:r>
      <w:r w:rsidR="00053E6E">
        <w:t xml:space="preserve"> </w:t>
      </w:r>
      <w:r w:rsidR="00871346">
        <w:t xml:space="preserve">velkou výzvu se kterou je potřeba se vypořádat. Proto kultura patří do jádra </w:t>
      </w:r>
      <w:r w:rsidR="007E6044">
        <w:t xml:space="preserve">zájmů </w:t>
      </w:r>
      <w:r w:rsidR="00871346">
        <w:t xml:space="preserve">EU. Kromě toho má také velký ekonomický význam, produkuje okolo </w:t>
      </w:r>
      <w:r w:rsidR="00B65971">
        <w:t>5</w:t>
      </w:r>
      <w:r w:rsidR="00871346">
        <w:t>,</w:t>
      </w:r>
      <w:r w:rsidR="00B65971">
        <w:t>3 </w:t>
      </w:r>
      <w:r w:rsidR="00871346">
        <w:t xml:space="preserve">% HDP unie </w:t>
      </w:r>
      <w:r w:rsidR="00B65971">
        <w:t>a</w:t>
      </w:r>
      <w:r w:rsidR="00053E6E">
        <w:t xml:space="preserve"> </w:t>
      </w:r>
      <w:r w:rsidR="00871346">
        <w:t xml:space="preserve">zaměstnává okolo </w:t>
      </w:r>
      <w:r w:rsidR="00B65971">
        <w:t>7</w:t>
      </w:r>
      <w:r w:rsidR="00871346">
        <w:t>% občanů.</w:t>
      </w:r>
      <w:r w:rsidR="002839D2">
        <w:t xml:space="preserve"> </w:t>
      </w:r>
      <w:r w:rsidR="0084765C">
        <w:t xml:space="preserve">Mimo to EU podporuje </w:t>
      </w:r>
      <w:r w:rsidR="00B65971">
        <w:t>i</w:t>
      </w:r>
      <w:r w:rsidR="00053E6E">
        <w:t xml:space="preserve"> </w:t>
      </w:r>
      <w:r w:rsidR="0084765C">
        <w:t>vzdělání, velmi vý</w:t>
      </w:r>
      <w:r w:rsidR="00F41129">
        <w:t>znamným</w:t>
      </w:r>
      <w:r w:rsidR="0084765C">
        <w:t xml:space="preserve"> programem je </w:t>
      </w:r>
      <w:r w:rsidR="00B65971">
        <w:t>v</w:t>
      </w:r>
      <w:r w:rsidR="00053E6E">
        <w:t xml:space="preserve"> </w:t>
      </w:r>
      <w:r w:rsidR="0084765C">
        <w:t xml:space="preserve">této oblasti zejména Erasmus+, kromě něj EU podporuje </w:t>
      </w:r>
      <w:r w:rsidR="00B65971">
        <w:t>i</w:t>
      </w:r>
      <w:r w:rsidR="00FB01E4">
        <w:t> </w:t>
      </w:r>
      <w:r w:rsidR="0084765C">
        <w:t>rozvoj studia jazyků.</w:t>
      </w:r>
      <w:r w:rsidR="00AC603F">
        <w:t xml:space="preserve"> Řada politik EU má prvky kultury, např. výzkum nebo regionální rozvoj. EU podporuje kulturu</w:t>
      </w:r>
      <w:r w:rsidR="00735542">
        <w:t xml:space="preserve"> </w:t>
      </w:r>
      <w:r w:rsidR="00AC603F">
        <w:t>iniciativami jako je Evropský rok kulturního dědictví nebo program Kulturní Evropa na podporu kinematografie</w:t>
      </w:r>
      <w:r w:rsidR="00A5431A">
        <w:t xml:space="preserve">. Kromě toho EU podporuje nejrůznější festivaly, koncerty </w:t>
      </w:r>
      <w:r w:rsidR="00B65971">
        <w:t>a</w:t>
      </w:r>
      <w:r w:rsidR="00053E6E">
        <w:t xml:space="preserve"> </w:t>
      </w:r>
      <w:r w:rsidR="00A5431A">
        <w:t>další kulturní akce (</w:t>
      </w:r>
      <w:r w:rsidR="002C0139">
        <w:t>Evropská Unie</w:t>
      </w:r>
      <w:r w:rsidR="00A5431A">
        <w:t xml:space="preserve"> 2019).</w:t>
      </w:r>
      <w:r w:rsidR="0084765C">
        <w:t xml:space="preserve"> </w:t>
      </w:r>
      <w:r w:rsidR="00B65971">
        <w:t>V</w:t>
      </w:r>
      <w:r w:rsidR="00053E6E">
        <w:t xml:space="preserve"> </w:t>
      </w:r>
      <w:r w:rsidR="0084765C">
        <w:t xml:space="preserve">oblasti sportu pak </w:t>
      </w:r>
      <w:r w:rsidR="00F41129">
        <w:t>propaguje</w:t>
      </w:r>
      <w:r w:rsidR="0084765C">
        <w:t xml:space="preserve"> fair play </w:t>
      </w:r>
      <w:r w:rsidR="00B65971">
        <w:t>a</w:t>
      </w:r>
      <w:r w:rsidR="00053E6E">
        <w:t xml:space="preserve"> </w:t>
      </w:r>
      <w:r w:rsidR="00B65971">
        <w:t>i</w:t>
      </w:r>
      <w:r w:rsidR="00053E6E">
        <w:t xml:space="preserve"> </w:t>
      </w:r>
      <w:r w:rsidR="0084765C">
        <w:t>sportovní oblast spadá do programu Erasmus+</w:t>
      </w:r>
      <w:r w:rsidR="00A223C7">
        <w:t xml:space="preserve"> </w:t>
      </w:r>
      <w:r w:rsidR="0084765C">
        <w:t>(</w:t>
      </w:r>
      <w:r w:rsidR="007D3B27">
        <w:t>Evropská Unie</w:t>
      </w:r>
      <w:r w:rsidR="0084765C">
        <w:t xml:space="preserve"> 2019; </w:t>
      </w:r>
      <w:r w:rsidR="00876007">
        <w:t>Katarzyna</w:t>
      </w:r>
      <w:r w:rsidR="0084765C">
        <w:t xml:space="preserve"> 2019).</w:t>
      </w:r>
      <w:r w:rsidR="007C2988">
        <w:t xml:space="preserve"> Všechny tyto podoblasti jsem zařadil do </w:t>
      </w:r>
      <w:r w:rsidR="000C7A24">
        <w:t>oblasti</w:t>
      </w:r>
      <w:r w:rsidR="007C2988">
        <w:t xml:space="preserve"> kultury </w:t>
      </w:r>
      <w:r w:rsidR="00B65971">
        <w:t>a</w:t>
      </w:r>
      <w:r w:rsidR="00053E6E">
        <w:t xml:space="preserve"> </w:t>
      </w:r>
      <w:r w:rsidR="007C2988">
        <w:t>vzdělávání.</w:t>
      </w:r>
      <w:r w:rsidR="0084765C">
        <w:t xml:space="preserve"> Minimálně kvůli</w:t>
      </w:r>
      <w:r w:rsidR="00A5431A">
        <w:t xml:space="preserve"> značnému</w:t>
      </w:r>
      <w:r w:rsidR="0084765C">
        <w:t xml:space="preserve"> finančnímu dopadu má tedy výzkum lobbingu </w:t>
      </w:r>
      <w:r w:rsidR="00B65971">
        <w:t>v</w:t>
      </w:r>
      <w:r w:rsidR="00053E6E">
        <w:t xml:space="preserve"> </w:t>
      </w:r>
      <w:r w:rsidR="0084765C">
        <w:t>této oblasti význam.</w:t>
      </w:r>
    </w:p>
    <w:p w:rsidR="004F5ADE" w:rsidRDefault="00B65971" w:rsidP="00DA30AB">
      <w:r>
        <w:t>V</w:t>
      </w:r>
      <w:r w:rsidR="00053E6E">
        <w:t xml:space="preserve"> </w:t>
      </w:r>
      <w:r w:rsidR="00DF6655">
        <w:t xml:space="preserve">této oblasti tedy vydává </w:t>
      </w:r>
      <w:r w:rsidR="007C2988">
        <w:t xml:space="preserve">EU </w:t>
      </w:r>
      <w:r w:rsidR="00DF6655">
        <w:t xml:space="preserve">především nejrůznější iniciativy </w:t>
      </w:r>
      <w:r>
        <w:t>a</w:t>
      </w:r>
      <w:r w:rsidR="00053E6E">
        <w:t xml:space="preserve"> </w:t>
      </w:r>
      <w:r w:rsidR="00DF6655">
        <w:t xml:space="preserve">programy, na druhou stranu zde jsou poměrně značné finance. Předpokládám tedy, že </w:t>
      </w:r>
      <w:r>
        <w:t>i</w:t>
      </w:r>
      <w:r w:rsidR="00053E6E">
        <w:t xml:space="preserve"> </w:t>
      </w:r>
      <w:r>
        <w:t>v</w:t>
      </w:r>
      <w:r w:rsidR="00053E6E">
        <w:t xml:space="preserve"> </w:t>
      </w:r>
      <w:r w:rsidR="00DF6655">
        <w:t>této oblasti bude největší množství zájmových organizací poskytujících encompassing goods</w:t>
      </w:r>
      <w:r w:rsidR="007C2988">
        <w:t>, tedy asociace</w:t>
      </w:r>
      <w:r w:rsidR="00DF6655">
        <w:t xml:space="preserve">. </w:t>
      </w:r>
      <w:r w:rsidR="00EA5DDE">
        <w:lastRenderedPageBreak/>
        <w:t xml:space="preserve">Očekávám více regionálních </w:t>
      </w:r>
      <w:r>
        <w:t>a</w:t>
      </w:r>
      <w:r w:rsidR="00053E6E">
        <w:t xml:space="preserve"> </w:t>
      </w:r>
      <w:r w:rsidR="008B27BD">
        <w:t xml:space="preserve">národních </w:t>
      </w:r>
      <w:r w:rsidR="00EA5DDE">
        <w:t>asociací, jelikož si myslím, že by pro ně zrovna oblast kultury mohla být atraktivní.</w:t>
      </w:r>
    </w:p>
    <w:p w:rsidR="007E6044" w:rsidRDefault="00F44C6F" w:rsidP="00DA30AB">
      <w:r>
        <w:t>Zde</w:t>
      </w:r>
      <w:r w:rsidR="00833210">
        <w:t xml:space="preserve"> </w:t>
      </w:r>
      <w:r>
        <w:t xml:space="preserve">tedy </w:t>
      </w:r>
      <w:r w:rsidR="00833210">
        <w:t xml:space="preserve">bylo analyzováno celkem 29 subjektů, 23 jich patří do oddílu </w:t>
      </w:r>
      <w:r w:rsidR="00833210" w:rsidRPr="00833210">
        <w:t xml:space="preserve">II - interní lobbisté </w:t>
      </w:r>
      <w:r w:rsidR="00B65971" w:rsidRPr="00833210">
        <w:t>a</w:t>
      </w:r>
      <w:r w:rsidR="00053E6E">
        <w:t xml:space="preserve"> </w:t>
      </w:r>
      <w:r w:rsidR="00833210" w:rsidRPr="00833210">
        <w:t>obchodní/podniková/profesní sdružení</w:t>
      </w:r>
      <w:r w:rsidR="00833210">
        <w:t xml:space="preserve">, </w:t>
      </w:r>
      <w:r w:rsidR="007E6044">
        <w:t>čtyři</w:t>
      </w:r>
      <w:r w:rsidR="00833210">
        <w:t xml:space="preserve"> do oddílu </w:t>
      </w:r>
      <w:r w:rsidR="00833210" w:rsidRPr="00833210">
        <w:t xml:space="preserve">VI - </w:t>
      </w:r>
      <w:r w:rsidR="00867F82">
        <w:t>o</w:t>
      </w:r>
      <w:r w:rsidR="00833210" w:rsidRPr="00833210">
        <w:t xml:space="preserve">rganizace zastupující místní, regionální </w:t>
      </w:r>
      <w:r w:rsidR="00B65971" w:rsidRPr="00833210">
        <w:t>a</w:t>
      </w:r>
      <w:r w:rsidR="00053E6E">
        <w:t xml:space="preserve"> </w:t>
      </w:r>
      <w:r w:rsidR="00833210" w:rsidRPr="00833210">
        <w:t>obecní orgány, jiné veřejné či smíšené subjekty</w:t>
      </w:r>
      <w:r w:rsidR="00833210">
        <w:t xml:space="preserve"> </w:t>
      </w:r>
      <w:r w:rsidR="00B65971">
        <w:t>a</w:t>
      </w:r>
      <w:r w:rsidR="00053E6E">
        <w:t xml:space="preserve"> </w:t>
      </w:r>
      <w:r w:rsidR="007E6044">
        <w:t>dva</w:t>
      </w:r>
      <w:r w:rsidR="00833210">
        <w:t xml:space="preserve"> zastupují oddíl </w:t>
      </w:r>
      <w:r w:rsidR="00B65971" w:rsidRPr="00833210">
        <w:t>I</w:t>
      </w:r>
      <w:r w:rsidR="00053E6E">
        <w:t xml:space="preserve"> </w:t>
      </w:r>
      <w:r w:rsidR="00867F82">
        <w:t>–</w:t>
      </w:r>
      <w:r w:rsidR="00833210" w:rsidRPr="00833210">
        <w:t xml:space="preserve"> </w:t>
      </w:r>
      <w:r w:rsidR="00867F82">
        <w:t>o</w:t>
      </w:r>
      <w:r w:rsidR="00833210" w:rsidRPr="00833210">
        <w:t>dborné</w:t>
      </w:r>
      <w:r w:rsidR="00867F82">
        <w:t xml:space="preserve"> </w:t>
      </w:r>
      <w:r w:rsidR="00833210" w:rsidRPr="00833210">
        <w:t>poradenské společnosti/právnické firmy/samostatně výdělečně činní poradci</w:t>
      </w:r>
      <w:r w:rsidR="00833210">
        <w:t xml:space="preserve">. </w:t>
      </w:r>
      <w:r w:rsidR="00B65971">
        <w:t>Z</w:t>
      </w:r>
      <w:r w:rsidR="009A75C0">
        <w:t> </w:t>
      </w:r>
      <w:r w:rsidR="00833210">
        <w:t xml:space="preserve">pododdílů jsou nejčastěji, </w:t>
      </w:r>
      <w:r w:rsidR="000832FB">
        <w:t>hned</w:t>
      </w:r>
      <w:r w:rsidR="00833210">
        <w:t xml:space="preserve"> sedmnáctkrát zastoupena obchodní </w:t>
      </w:r>
      <w:r w:rsidR="00B65971">
        <w:t>a</w:t>
      </w:r>
      <w:r w:rsidR="00053E6E">
        <w:t xml:space="preserve"> </w:t>
      </w:r>
      <w:r w:rsidR="00833210">
        <w:t xml:space="preserve">podniková sdružení. </w:t>
      </w:r>
      <w:r w:rsidR="005B5FB0">
        <w:t>Š</w:t>
      </w:r>
      <w:r w:rsidR="007C2988">
        <w:t>est</w:t>
      </w:r>
      <w:r w:rsidR="00A752B9">
        <w:t xml:space="preserve"> zájmových skupin spadá do kategorie samostatných firem</w:t>
      </w:r>
      <w:r w:rsidR="00D105DB">
        <w:rPr>
          <w:rStyle w:val="FootnoteReference"/>
        </w:rPr>
        <w:footnoteReference w:id="6"/>
      </w:r>
      <w:r w:rsidR="000C78D4">
        <w:t>, 21 jsou asociace</w:t>
      </w:r>
      <w:r w:rsidR="00D65D92">
        <w:t>mi</w:t>
      </w:r>
      <w:r w:rsidR="000C78D4">
        <w:t xml:space="preserve"> různého druhu</w:t>
      </w:r>
      <w:r w:rsidR="00D105DB">
        <w:rPr>
          <w:rStyle w:val="FootnoteReference"/>
        </w:rPr>
        <w:footnoteReference w:id="7"/>
      </w:r>
      <w:r w:rsidR="000C78D4">
        <w:t xml:space="preserve"> </w:t>
      </w:r>
      <w:r w:rsidR="00B65971">
        <w:t>a</w:t>
      </w:r>
      <w:r w:rsidR="00053E6E">
        <w:t xml:space="preserve"> </w:t>
      </w:r>
      <w:r w:rsidR="007C2988">
        <w:t>dvě</w:t>
      </w:r>
      <w:r w:rsidR="000C78D4">
        <w:t xml:space="preserve"> organizace sice spadají do asociací</w:t>
      </w:r>
      <w:r w:rsidR="00735542">
        <w:t>,</w:t>
      </w:r>
      <w:r w:rsidR="000C78D4">
        <w:t xml:space="preserve"> ale </w:t>
      </w:r>
      <w:r w:rsidR="000832FB">
        <w:t>kvůli</w:t>
      </w:r>
      <w:r w:rsidR="00735542">
        <w:t xml:space="preserve"> </w:t>
      </w:r>
      <w:r w:rsidR="000C78D4">
        <w:t>pododdílu</w:t>
      </w:r>
      <w:r w:rsidR="00E477B0">
        <w:t xml:space="preserve"> </w:t>
      </w:r>
      <w:r w:rsidR="000C78D4">
        <w:t>odborných poradenských společností jsem se rozhodl je zařadit samostatně</w:t>
      </w:r>
      <w:r w:rsidR="007C2988">
        <w:t>, patří</w:t>
      </w:r>
      <w:r w:rsidR="000832FB">
        <w:t xml:space="preserve"> totiž</w:t>
      </w:r>
      <w:r w:rsidR="007C2988">
        <w:t xml:space="preserve"> do oddílu </w:t>
      </w:r>
      <w:r w:rsidR="00B65971">
        <w:t>I</w:t>
      </w:r>
      <w:r w:rsidR="007C2988">
        <w:t>, který se poměrně výrazně svým charakterem liší od ostatních</w:t>
      </w:r>
      <w:r w:rsidR="000C78D4">
        <w:t>.</w:t>
      </w:r>
      <w:r w:rsidR="007C2988">
        <w:t xml:space="preserve"> </w:t>
      </w:r>
      <w:r w:rsidR="004607FB">
        <w:t>Z</w:t>
      </w:r>
      <w:r w:rsidR="00110AEE">
        <w:t xml:space="preserve">astoupené právní formy se </w:t>
      </w:r>
      <w:r w:rsidR="000832FB">
        <w:t>moc</w:t>
      </w:r>
      <w:r w:rsidR="007E6044">
        <w:t xml:space="preserve"> </w:t>
      </w:r>
      <w:r w:rsidR="00110AEE">
        <w:t xml:space="preserve">neliší od těch </w:t>
      </w:r>
      <w:r w:rsidR="00B65971">
        <w:t>v</w:t>
      </w:r>
      <w:r w:rsidR="00053E6E">
        <w:t xml:space="preserve"> </w:t>
      </w:r>
      <w:r w:rsidR="00110AEE">
        <w:t xml:space="preserve">předchozí sekci </w:t>
      </w:r>
      <w:r w:rsidR="00B65971">
        <w:t>s</w:t>
      </w:r>
      <w:r w:rsidR="00053E6E">
        <w:t xml:space="preserve"> </w:t>
      </w:r>
      <w:r w:rsidR="00110AEE">
        <w:t xml:space="preserve">výjímkou dvou, EEIG </w:t>
      </w:r>
      <w:r w:rsidR="00B65971">
        <w:t>a</w:t>
      </w:r>
      <w:r w:rsidR="00053E6E">
        <w:t xml:space="preserve"> </w:t>
      </w:r>
      <w:r w:rsidR="00110AEE">
        <w:t>GmbH.</w:t>
      </w:r>
      <w:r w:rsidR="00D65D92">
        <w:t xml:space="preserve"> </w:t>
      </w:r>
      <w:r w:rsidR="00110AEE">
        <w:t>European economic interest grouping</w:t>
      </w:r>
      <w:r w:rsidR="000C7A24">
        <w:t xml:space="preserve"> </w:t>
      </w:r>
      <w:r w:rsidR="00110AEE">
        <w:t xml:space="preserve">musí být založena alespoň dvěmi firmami či lidmi, kteří již provozují </w:t>
      </w:r>
      <w:r w:rsidR="007C2988">
        <w:t>danou</w:t>
      </w:r>
      <w:r w:rsidR="00110AEE">
        <w:t xml:space="preserve"> činnost</w:t>
      </w:r>
      <w:r w:rsidR="007C2988">
        <w:t xml:space="preserve"> na nižší úrovni</w:t>
      </w:r>
      <w:r w:rsidR="00110AEE">
        <w:t xml:space="preserve"> </w:t>
      </w:r>
      <w:r w:rsidR="00B65971">
        <w:t>a</w:t>
      </w:r>
      <w:r w:rsidR="00053E6E">
        <w:t xml:space="preserve"> </w:t>
      </w:r>
      <w:r w:rsidR="00110AEE">
        <w:t>zakladatelé musí pocházet ze dvou různých států EU</w:t>
      </w:r>
      <w:r>
        <w:t xml:space="preserve"> </w:t>
      </w:r>
      <w:r w:rsidR="00110AEE">
        <w:t>(eur</w:t>
      </w:r>
      <w:r w:rsidR="00845DAE">
        <w:t>-</w:t>
      </w:r>
      <w:r w:rsidR="00110AEE">
        <w:t>lex 201</w:t>
      </w:r>
      <w:r w:rsidR="00845DAE">
        <w:t>6</w:t>
      </w:r>
      <w:r w:rsidR="00110AEE">
        <w:t>).</w:t>
      </w:r>
      <w:r w:rsidR="002758EB">
        <w:t xml:space="preserve"> Druhá forma je GmbH, jde </w:t>
      </w:r>
      <w:r w:rsidR="00B65971">
        <w:t>o</w:t>
      </w:r>
      <w:r w:rsidR="00053E6E">
        <w:t xml:space="preserve"> </w:t>
      </w:r>
      <w:r w:rsidR="002758EB">
        <w:t xml:space="preserve">formu samostatné společnosti, která je častá </w:t>
      </w:r>
      <w:r w:rsidR="00B65971">
        <w:t>v</w:t>
      </w:r>
      <w:r w:rsidR="009A75C0">
        <w:t> </w:t>
      </w:r>
      <w:r w:rsidR="002758EB">
        <w:t>Rakousku či Německu (</w:t>
      </w:r>
      <w:r w:rsidR="00F170DD">
        <w:t>Hargrave</w:t>
      </w:r>
      <w:r w:rsidR="002758EB">
        <w:t xml:space="preserve"> 2019). </w:t>
      </w:r>
      <w:r w:rsidR="00DF6655">
        <w:t xml:space="preserve">Stejně, jako </w:t>
      </w:r>
      <w:r w:rsidR="00B65971">
        <w:t>v</w:t>
      </w:r>
      <w:r w:rsidR="00FB01E4">
        <w:t> </w:t>
      </w:r>
      <w:r w:rsidR="00DF6655">
        <w:t xml:space="preserve">předchozí oblasti </w:t>
      </w:r>
      <w:r w:rsidR="00B65971">
        <w:t>i</w:t>
      </w:r>
      <w:r w:rsidR="00053E6E">
        <w:t xml:space="preserve"> </w:t>
      </w:r>
      <w:r w:rsidR="00DF6655">
        <w:t xml:space="preserve">zde došlo </w:t>
      </w:r>
      <w:r w:rsidR="00B65971">
        <w:t>k</w:t>
      </w:r>
      <w:r w:rsidR="009A75C0">
        <w:t> </w:t>
      </w:r>
      <w:r w:rsidR="00DF6655">
        <w:t>vyloučení subjektu CARwDR.</w:t>
      </w:r>
    </w:p>
    <w:p w:rsidR="004607FB" w:rsidRDefault="007E6044" w:rsidP="00DA30AB">
      <w:r>
        <w:t xml:space="preserve">Jako první se budu zabývat opět samostatnými organizacemi. Nejdříve vezmu </w:t>
      </w:r>
      <w:r w:rsidR="00B65971">
        <w:t>v</w:t>
      </w:r>
      <w:r w:rsidR="00053E6E">
        <w:t xml:space="preserve"> </w:t>
      </w:r>
      <w:r>
        <w:t xml:space="preserve">úvahu ty, které se již vyskytly </w:t>
      </w:r>
      <w:r w:rsidR="00B65971">
        <w:t>i</w:t>
      </w:r>
      <w:r w:rsidR="00053E6E">
        <w:t xml:space="preserve"> </w:t>
      </w:r>
      <w:r w:rsidR="00B65971">
        <w:t>v</w:t>
      </w:r>
      <w:r w:rsidR="00053E6E">
        <w:t xml:space="preserve"> </w:t>
      </w:r>
      <w:r>
        <w:t>předchozí sekci</w:t>
      </w:r>
      <w:r w:rsidR="009318ED">
        <w:t xml:space="preserve">. Jde </w:t>
      </w:r>
      <w:r w:rsidR="00B65971">
        <w:t>o</w:t>
      </w:r>
      <w:r w:rsidR="00053E6E">
        <w:t xml:space="preserve"> </w:t>
      </w:r>
      <w:r w:rsidR="009318ED">
        <w:t>DNV GL, jej</w:t>
      </w:r>
      <w:r w:rsidR="002401E2">
        <w:t>íž</w:t>
      </w:r>
      <w:r w:rsidR="009318ED">
        <w:t xml:space="preserve"> zájem </w:t>
      </w:r>
      <w:r w:rsidR="00B65971">
        <w:t>v</w:t>
      </w:r>
      <w:r w:rsidR="00053E6E">
        <w:t xml:space="preserve"> </w:t>
      </w:r>
      <w:r w:rsidR="009318ED">
        <w:t>této oblasti se</w:t>
      </w:r>
      <w:r w:rsidR="00DF6655">
        <w:t xml:space="preserve"> </w:t>
      </w:r>
      <w:r w:rsidR="009318ED">
        <w:t xml:space="preserve">týká vzdělání </w:t>
      </w:r>
      <w:r w:rsidR="00B65971">
        <w:t>a</w:t>
      </w:r>
      <w:r w:rsidR="00053E6E">
        <w:t xml:space="preserve"> </w:t>
      </w:r>
      <w:r w:rsidR="009318ED">
        <w:t xml:space="preserve">odborné přípravy, </w:t>
      </w:r>
      <w:r w:rsidR="00B65971">
        <w:t>a</w:t>
      </w:r>
      <w:r w:rsidR="00053E6E">
        <w:t xml:space="preserve"> </w:t>
      </w:r>
      <w:r w:rsidR="009318ED">
        <w:t>ve svém oboru udržitelného rozvoje proto nabízí velké množství kurzů</w:t>
      </w:r>
      <w:r w:rsidR="00F41129">
        <w:t xml:space="preserve"> </w:t>
      </w:r>
      <w:r w:rsidR="00B65971">
        <w:t>a</w:t>
      </w:r>
      <w:r w:rsidR="00053E6E">
        <w:t xml:space="preserve"> </w:t>
      </w:r>
      <w:r w:rsidR="00F41129">
        <w:t>výcvik</w:t>
      </w:r>
      <w:r w:rsidR="000C7A24">
        <w:t>ů</w:t>
      </w:r>
      <w:r w:rsidR="00F41129">
        <w:t xml:space="preserve"> pro zaměstanance</w:t>
      </w:r>
      <w:r w:rsidR="009318ED">
        <w:t xml:space="preserve"> (Rejstřík 2018, </w:t>
      </w:r>
      <w:r w:rsidR="00047805">
        <w:t xml:space="preserve">DNV GL </w:t>
      </w:r>
      <w:r w:rsidR="009318ED">
        <w:t>2019).</w:t>
      </w:r>
      <w:r w:rsidR="002401E2">
        <w:t xml:space="preserve"> </w:t>
      </w:r>
      <w:r w:rsidR="00FC7919" w:rsidRPr="00004D30">
        <w:t>Swedish Association of Local Authorities and Regions (SALAR)</w:t>
      </w:r>
      <w:r w:rsidR="00FC7919">
        <w:t xml:space="preserve"> </w:t>
      </w:r>
      <w:r w:rsidR="000832FB">
        <w:t xml:space="preserve">má </w:t>
      </w:r>
      <w:r w:rsidR="00B65971">
        <w:t>v</w:t>
      </w:r>
      <w:r w:rsidR="00053E6E">
        <w:t xml:space="preserve"> </w:t>
      </w:r>
      <w:r w:rsidR="00FC7919">
        <w:t xml:space="preserve">Rejstříku obecně uvedeny všechny </w:t>
      </w:r>
      <w:r w:rsidR="00F41129">
        <w:t xml:space="preserve">možné </w:t>
      </w:r>
      <w:r w:rsidR="00FC7919">
        <w:t xml:space="preserve">podoblasti, </w:t>
      </w:r>
      <w:r w:rsidR="000832FB">
        <w:t xml:space="preserve">podle stránek se zabývá stejně jako DNV podoblastí vzdělání </w:t>
      </w:r>
      <w:r w:rsidR="00FC7919">
        <w:t>(Rejstřík 2019</w:t>
      </w:r>
      <w:r w:rsidR="000832FB">
        <w:t xml:space="preserve">, </w:t>
      </w:r>
      <w:r w:rsidR="00B77F2F">
        <w:t>SKL</w:t>
      </w:r>
      <w:r w:rsidR="00FC7919">
        <w:t xml:space="preserve"> 2019).</w:t>
      </w:r>
      <w:r w:rsidR="00F44C6F">
        <w:t xml:space="preserve"> </w:t>
      </w:r>
      <w:r w:rsidR="00FC7919">
        <w:t xml:space="preserve">Poslední společnost, která se již </w:t>
      </w:r>
      <w:r w:rsidR="00B65971">
        <w:t>v</w:t>
      </w:r>
      <w:r w:rsidR="00053E6E">
        <w:t xml:space="preserve"> </w:t>
      </w:r>
      <w:r w:rsidR="00FC7919">
        <w:t xml:space="preserve">mé předchozí analýze objevila je </w:t>
      </w:r>
      <w:r w:rsidR="009318ED">
        <w:t>Bacardi-Martini BV</w:t>
      </w:r>
      <w:r w:rsidR="00FC7919">
        <w:t>.</w:t>
      </w:r>
      <w:r w:rsidR="009318ED">
        <w:t xml:space="preserve"> </w:t>
      </w:r>
      <w:r w:rsidR="000832FB">
        <w:t>P</w:t>
      </w:r>
      <w:r w:rsidR="009318ED">
        <w:t xml:space="preserve">odle Rejstříku </w:t>
      </w:r>
      <w:r w:rsidR="000832FB">
        <w:t xml:space="preserve">má </w:t>
      </w:r>
      <w:r w:rsidR="009318ED">
        <w:t xml:space="preserve">zájem </w:t>
      </w:r>
      <w:r w:rsidR="00B65971">
        <w:t>v</w:t>
      </w:r>
      <w:r w:rsidR="00053E6E">
        <w:t xml:space="preserve"> </w:t>
      </w:r>
      <w:r w:rsidR="009318ED">
        <w:t xml:space="preserve">podoblasti kultury </w:t>
      </w:r>
      <w:r w:rsidR="00B65971">
        <w:t>a</w:t>
      </w:r>
      <w:r w:rsidR="00053E6E">
        <w:t xml:space="preserve"> </w:t>
      </w:r>
      <w:r w:rsidR="009318ED">
        <w:t>médií</w:t>
      </w:r>
      <w:r w:rsidR="00E22694">
        <w:t xml:space="preserve"> (Rejstřík 2019). Zájímavé je, že </w:t>
      </w:r>
      <w:r w:rsidR="00B65971">
        <w:t>v</w:t>
      </w:r>
      <w:r w:rsidR="00053E6E">
        <w:t xml:space="preserve"> </w:t>
      </w:r>
      <w:r w:rsidR="000832FB">
        <w:t xml:space="preserve">něm </w:t>
      </w:r>
      <w:r w:rsidR="00E22694">
        <w:t xml:space="preserve">neuvádí zájem </w:t>
      </w:r>
      <w:r w:rsidR="00B65971">
        <w:t>v</w:t>
      </w:r>
      <w:r w:rsidR="00053E6E">
        <w:t xml:space="preserve"> </w:t>
      </w:r>
      <w:r w:rsidR="00E22694">
        <w:t>podoblasti vzdělání, podle stránek</w:t>
      </w:r>
      <w:r w:rsidR="000C7A24">
        <w:t xml:space="preserve"> </w:t>
      </w:r>
      <w:r w:rsidR="00E22694">
        <w:t xml:space="preserve">společnosti je vzdělání </w:t>
      </w:r>
      <w:r w:rsidR="00B65971">
        <w:t>v</w:t>
      </w:r>
      <w:r w:rsidR="00053E6E">
        <w:t xml:space="preserve"> </w:t>
      </w:r>
      <w:r w:rsidR="00E22694">
        <w:t>zodpovědnosti konzumace alkoholu</w:t>
      </w:r>
      <w:r w:rsidR="000832FB">
        <w:t xml:space="preserve"> významným</w:t>
      </w:r>
      <w:r w:rsidR="00E22694">
        <w:t xml:space="preserve"> cílem společnosti (</w:t>
      </w:r>
      <w:r w:rsidR="0082525F">
        <w:t>Bacardi Limited</w:t>
      </w:r>
      <w:r w:rsidR="00E22694">
        <w:t xml:space="preserve"> 2019).</w:t>
      </w:r>
      <w:r w:rsidR="00FC7919">
        <w:t xml:space="preserve"> </w:t>
      </w:r>
      <w:r w:rsidR="00352721">
        <w:t xml:space="preserve">Heineken je pivní společnost, </w:t>
      </w:r>
      <w:r w:rsidR="003A1473">
        <w:t>k</w:t>
      </w:r>
      <w:r w:rsidR="00352721">
        <w:t xml:space="preserve">terá uvádí svůj zájem ve stejné podoblasti jako Bacardi (Rejstřík 2019). Bohužel </w:t>
      </w:r>
      <w:r w:rsidR="00B65971">
        <w:t>o</w:t>
      </w:r>
      <w:r w:rsidR="00053E6E">
        <w:t xml:space="preserve"> </w:t>
      </w:r>
      <w:r w:rsidR="00352721">
        <w:t xml:space="preserve">konkrétních cílech </w:t>
      </w:r>
      <w:r w:rsidR="00B65971">
        <w:t>v</w:t>
      </w:r>
      <w:r w:rsidR="00053E6E">
        <w:t xml:space="preserve"> </w:t>
      </w:r>
      <w:r w:rsidR="00352721">
        <w:t>této oblasti jsem nic nezjistil</w:t>
      </w:r>
      <w:r w:rsidR="003A1473">
        <w:t xml:space="preserve"> ani na stránkách firmy. European Sponsorship Association je na tom podobně jako SALAR, </w:t>
      </w:r>
      <w:r w:rsidR="00B65971">
        <w:t>i</w:t>
      </w:r>
      <w:r w:rsidR="00053E6E">
        <w:t xml:space="preserve"> </w:t>
      </w:r>
      <w:r w:rsidR="003A1473">
        <w:t xml:space="preserve">přestože má </w:t>
      </w:r>
      <w:r w:rsidR="00B65971">
        <w:t>v</w:t>
      </w:r>
      <w:r w:rsidR="00053E6E">
        <w:t xml:space="preserve"> </w:t>
      </w:r>
      <w:r w:rsidR="003A1473">
        <w:t xml:space="preserve">názvu asociaci, jako právní formu uvádí samostatnou firmu </w:t>
      </w:r>
      <w:r w:rsidR="00B65971">
        <w:t>a</w:t>
      </w:r>
      <w:r w:rsidR="00053E6E">
        <w:t xml:space="preserve"> </w:t>
      </w:r>
      <w:r w:rsidR="003A1473">
        <w:t>proto ji řadím zde.</w:t>
      </w:r>
      <w:r w:rsidR="000C7A24">
        <w:t xml:space="preserve"> </w:t>
      </w:r>
      <w:r w:rsidR="00F44C6F">
        <w:t>Její</w:t>
      </w:r>
      <w:r w:rsidR="00D14059">
        <w:t xml:space="preserve"> hlavní </w:t>
      </w:r>
      <w:r w:rsidR="00F41129">
        <w:t>pod</w:t>
      </w:r>
      <w:r w:rsidR="00D14059">
        <w:t>oblastí zájm</w:t>
      </w:r>
      <w:r w:rsidR="00F41129">
        <w:t>ů</w:t>
      </w:r>
      <w:r w:rsidR="00D14059">
        <w:t xml:space="preserve"> je taktéž vzdělání, kromě toho uvádí také podoblast kultury </w:t>
      </w:r>
      <w:r w:rsidR="00B65971">
        <w:lastRenderedPageBreak/>
        <w:t>a</w:t>
      </w:r>
      <w:r w:rsidR="00053E6E">
        <w:t xml:space="preserve"> </w:t>
      </w:r>
      <w:r w:rsidR="00D14059">
        <w:t xml:space="preserve">médií. </w:t>
      </w:r>
      <w:r w:rsidR="002401E2">
        <w:t>Vzdělání n</w:t>
      </w:r>
      <w:r w:rsidR="00D14059">
        <w:t xml:space="preserve">abízí </w:t>
      </w:r>
      <w:r w:rsidR="00B65971">
        <w:t>v</w:t>
      </w:r>
      <w:r w:rsidR="00053E6E">
        <w:t xml:space="preserve"> </w:t>
      </w:r>
      <w:r w:rsidR="00D14059">
        <w:t xml:space="preserve">oblasti sponzoringu </w:t>
      </w:r>
      <w:r w:rsidR="00B65971">
        <w:t>a</w:t>
      </w:r>
      <w:r w:rsidR="00053E6E">
        <w:t xml:space="preserve"> </w:t>
      </w:r>
      <w:r w:rsidR="00D14059">
        <w:t xml:space="preserve">marketingu (Rejstřík 2019). Poslední samostatnou firmou je </w:t>
      </w:r>
      <w:r w:rsidR="00D14059" w:rsidRPr="00D14059">
        <w:t>DFL Deutsche Fußball Liga</w:t>
      </w:r>
      <w:r w:rsidR="000832FB">
        <w:t>.</w:t>
      </w:r>
      <w:r w:rsidR="00D14059">
        <w:t xml:space="preserve"> </w:t>
      </w:r>
      <w:r w:rsidR="000832FB">
        <w:t>J</w:t>
      </w:r>
      <w:r w:rsidR="00D14059">
        <w:t xml:space="preserve">de </w:t>
      </w:r>
      <w:r w:rsidR="00B65971">
        <w:t>o</w:t>
      </w:r>
      <w:r w:rsidR="00053E6E">
        <w:t xml:space="preserve"> </w:t>
      </w:r>
      <w:r w:rsidR="00D14059">
        <w:t xml:space="preserve">německou fotbalovou ligu, proto </w:t>
      </w:r>
      <w:r w:rsidR="00B65971">
        <w:t>v</w:t>
      </w:r>
      <w:r w:rsidR="00053E6E">
        <w:t xml:space="preserve"> </w:t>
      </w:r>
      <w:r w:rsidR="00D14059">
        <w:t xml:space="preserve">této oblasti má primární zájem </w:t>
      </w:r>
      <w:r w:rsidR="00B65971">
        <w:t>a</w:t>
      </w:r>
      <w:r w:rsidR="00053E6E">
        <w:t xml:space="preserve"> </w:t>
      </w:r>
      <w:r w:rsidR="00D14059">
        <w:t xml:space="preserve">to </w:t>
      </w:r>
      <w:r w:rsidR="00B65971">
        <w:t>v</w:t>
      </w:r>
      <w:r w:rsidR="00FB01E4">
        <w:t> </w:t>
      </w:r>
      <w:r w:rsidR="00D14059">
        <w:t>podoblasti sportu (Rejstřík 2019</w:t>
      </w:r>
      <w:r w:rsidR="004607FB">
        <w:t>).</w:t>
      </w:r>
    </w:p>
    <w:p w:rsidR="004607FB" w:rsidRDefault="00507F40" w:rsidP="001D34F7">
      <w:r>
        <w:t>Nyní se zaměřím na různé formy asociací</w:t>
      </w:r>
      <w:r w:rsidR="000832FB">
        <w:t xml:space="preserve">. </w:t>
      </w:r>
      <w:r w:rsidR="00B65971">
        <w:t>V</w:t>
      </w:r>
      <w:r w:rsidR="00053E6E">
        <w:t xml:space="preserve"> </w:t>
      </w:r>
      <w:r w:rsidR="00B41968">
        <w:t>této oblasti jsou aktivní dvě asociace regionů.</w:t>
      </w:r>
      <w:r w:rsidR="00873548">
        <w:t xml:space="preserve"> </w:t>
      </w:r>
      <w:r w:rsidR="00B41968">
        <w:t xml:space="preserve">První </w:t>
      </w:r>
      <w:r w:rsidR="00B65971">
        <w:t>z</w:t>
      </w:r>
      <w:r w:rsidR="00053E6E">
        <w:t xml:space="preserve"> </w:t>
      </w:r>
      <w:r w:rsidR="00B41968">
        <w:t xml:space="preserve">nich je </w:t>
      </w:r>
      <w:r w:rsidR="00B41968" w:rsidRPr="00B41968">
        <w:t>Mission Opérationnelle</w:t>
      </w:r>
      <w:r w:rsidR="00B77F2F">
        <w:t xml:space="preserve"> </w:t>
      </w:r>
      <w:r w:rsidR="00B41968" w:rsidRPr="00B41968">
        <w:t>Transfrontalière</w:t>
      </w:r>
      <w:r w:rsidR="00D65D92">
        <w:t xml:space="preserve"> </w:t>
      </w:r>
      <w:r w:rsidR="00B41968">
        <w:t>sdružuj</w:t>
      </w:r>
      <w:r w:rsidR="00D65D92">
        <w:t>ící</w:t>
      </w:r>
      <w:r w:rsidR="00B41968">
        <w:t xml:space="preserve"> francouzské regiony, podle Rejstříku má zájmy </w:t>
      </w:r>
      <w:r w:rsidR="00B65971">
        <w:t>v</w:t>
      </w:r>
      <w:r w:rsidR="00053E6E">
        <w:t xml:space="preserve"> </w:t>
      </w:r>
      <w:r w:rsidR="00B41968">
        <w:t>podoblasti kultury</w:t>
      </w:r>
      <w:r w:rsidR="002F4E01">
        <w:t xml:space="preserve">, </w:t>
      </w:r>
      <w:r w:rsidR="00B41968">
        <w:t xml:space="preserve">vzdělávání </w:t>
      </w:r>
      <w:r w:rsidR="00B65971">
        <w:t>a</w:t>
      </w:r>
      <w:r w:rsidR="00053E6E">
        <w:t xml:space="preserve"> </w:t>
      </w:r>
      <w:r w:rsidR="002F4E01">
        <w:t xml:space="preserve">sportu </w:t>
      </w:r>
      <w:r w:rsidR="00B41968">
        <w:t xml:space="preserve">(Rejstřík 2018). </w:t>
      </w:r>
      <w:r w:rsidR="00F44C6F">
        <w:t xml:space="preserve">Podle </w:t>
      </w:r>
      <w:r w:rsidR="00D65D92">
        <w:t>stránek</w:t>
      </w:r>
      <w:r w:rsidR="004607FB">
        <w:t xml:space="preserve"> </w:t>
      </w:r>
      <w:r w:rsidR="00F44C6F">
        <w:t xml:space="preserve">se </w:t>
      </w:r>
      <w:r w:rsidR="00D65D92">
        <w:t xml:space="preserve">tato </w:t>
      </w:r>
      <w:r w:rsidR="00B41968">
        <w:t xml:space="preserve">asociace zabývá spoluprací </w:t>
      </w:r>
      <w:r w:rsidR="00B65971">
        <w:t>s</w:t>
      </w:r>
      <w:r w:rsidR="00053E6E">
        <w:t xml:space="preserve"> </w:t>
      </w:r>
      <w:r w:rsidR="00B41968">
        <w:t xml:space="preserve">přeshraničními regiony, což zřejmě bude zahrnovat </w:t>
      </w:r>
      <w:r w:rsidR="00B65971">
        <w:t>i</w:t>
      </w:r>
      <w:r w:rsidR="00053E6E">
        <w:t xml:space="preserve"> </w:t>
      </w:r>
      <w:r w:rsidR="00B41968">
        <w:t xml:space="preserve">kulturní záležitosti, </w:t>
      </w:r>
      <w:r w:rsidR="00B65971">
        <w:t>v</w:t>
      </w:r>
      <w:r w:rsidR="00053E6E">
        <w:t xml:space="preserve"> </w:t>
      </w:r>
      <w:r w:rsidR="00B41968">
        <w:t>oblasti vzdělávání pak poskytuje semináře, týkající se</w:t>
      </w:r>
      <w:r w:rsidR="000832FB">
        <w:t xml:space="preserve"> toho typu</w:t>
      </w:r>
      <w:r w:rsidR="00D65D92">
        <w:t xml:space="preserve"> </w:t>
      </w:r>
      <w:r w:rsidR="00B41968">
        <w:t>spolupráce</w:t>
      </w:r>
      <w:r w:rsidR="00873548">
        <w:t xml:space="preserve"> </w:t>
      </w:r>
      <w:r w:rsidR="00B41968">
        <w:t>(</w:t>
      </w:r>
      <w:r w:rsidR="00873548">
        <w:t>The transfrontier operational mission</w:t>
      </w:r>
      <w:r w:rsidR="00B41968">
        <w:t xml:space="preserve"> 2019).</w:t>
      </w:r>
      <w:r w:rsidR="002F4E01">
        <w:t xml:space="preserve"> Druhé regionální sdružení</w:t>
      </w:r>
      <w:r w:rsidR="00F44C6F">
        <w:t xml:space="preserve"> je opět</w:t>
      </w:r>
      <w:r w:rsidR="002F4E01">
        <w:t xml:space="preserve"> </w:t>
      </w:r>
      <w:r w:rsidR="000832FB">
        <w:t>VVSG</w:t>
      </w:r>
      <w:r w:rsidR="002F4E01">
        <w:t xml:space="preserve">. Toto sdružení flanderských regionů </w:t>
      </w:r>
      <w:r w:rsidR="00B65971">
        <w:t>a</w:t>
      </w:r>
      <w:r w:rsidR="00053E6E">
        <w:t xml:space="preserve"> </w:t>
      </w:r>
      <w:r w:rsidR="002F4E01">
        <w:t xml:space="preserve">měst </w:t>
      </w:r>
      <w:r w:rsidR="00B65971">
        <w:t>v</w:t>
      </w:r>
      <w:r w:rsidR="00053E6E">
        <w:t xml:space="preserve"> </w:t>
      </w:r>
      <w:r w:rsidR="002F4E01">
        <w:t xml:space="preserve">Rejstříku uvádí podoblasti mládeže, sportu </w:t>
      </w:r>
      <w:r w:rsidR="00B65971">
        <w:t>a</w:t>
      </w:r>
      <w:r w:rsidR="00053E6E">
        <w:t xml:space="preserve"> </w:t>
      </w:r>
      <w:r w:rsidR="002F4E01">
        <w:t>kultury (Rejstřík 2019).</w:t>
      </w:r>
      <w:r w:rsidR="000832FB">
        <w:t xml:space="preserve"> D</w:t>
      </w:r>
      <w:r w:rsidR="00EA5DDE">
        <w:t xml:space="preserve">etailnější informace jsem nenalezl </w:t>
      </w:r>
      <w:r w:rsidR="000832FB">
        <w:t xml:space="preserve">ani </w:t>
      </w:r>
      <w:r w:rsidR="00EA5DDE">
        <w:t>na stránkách organizace</w:t>
      </w:r>
      <w:r w:rsidR="00F41129">
        <w:t>,</w:t>
      </w:r>
      <w:r w:rsidR="00D65D92">
        <w:t xml:space="preserve"> jejich </w:t>
      </w:r>
      <w:r w:rsidR="00EA5DDE">
        <w:t>mezinárodní čás</w:t>
      </w:r>
      <w:r w:rsidR="00D65D92">
        <w:t>t</w:t>
      </w:r>
      <w:r w:rsidR="00EA5DDE">
        <w:t xml:space="preserve"> nefunguje příliš dobře.</w:t>
      </w:r>
    </w:p>
    <w:p w:rsidR="002C2DA4" w:rsidRDefault="00DC4B74" w:rsidP="00DA30AB">
      <w:r>
        <w:t xml:space="preserve">Národní asociace jsou </w:t>
      </w:r>
      <w:r w:rsidR="00B65971">
        <w:t>v</w:t>
      </w:r>
      <w:r w:rsidR="00053E6E">
        <w:t xml:space="preserve"> </w:t>
      </w:r>
      <w:r>
        <w:t xml:space="preserve">této oblasti také pouze dvě. První </w:t>
      </w:r>
      <w:r w:rsidR="00B65971">
        <w:t>z</w:t>
      </w:r>
      <w:r w:rsidR="00053E6E">
        <w:t xml:space="preserve"> </w:t>
      </w:r>
      <w:r>
        <w:t xml:space="preserve">nich je </w:t>
      </w:r>
      <w:r w:rsidRPr="00DC4B74">
        <w:t>FEDIL</w:t>
      </w:r>
      <w:r>
        <w:t>.</w:t>
      </w:r>
      <w:r w:rsidR="00F44C6F">
        <w:t xml:space="preserve"> </w:t>
      </w:r>
      <w:r>
        <w:t xml:space="preserve">Tahle organizace spojuje lucemburské společnosti fungující </w:t>
      </w:r>
      <w:r w:rsidR="00B65971">
        <w:t>v</w:t>
      </w:r>
      <w:r w:rsidR="00053E6E">
        <w:t xml:space="preserve"> </w:t>
      </w:r>
      <w:r>
        <w:t>odlišných</w:t>
      </w:r>
      <w:r w:rsidR="00D65D92">
        <w:t xml:space="preserve"> sektorech</w:t>
      </w:r>
      <w:r w:rsidR="00F44C6F">
        <w:t xml:space="preserve">. </w:t>
      </w:r>
      <w:r>
        <w:t xml:space="preserve">Na úrovni EU je tato asociace také členem BUSINESSEUROPE </w:t>
      </w:r>
      <w:r w:rsidR="00B65971">
        <w:t>a</w:t>
      </w:r>
      <w:r w:rsidR="00053E6E">
        <w:t xml:space="preserve"> </w:t>
      </w:r>
      <w:r>
        <w:t xml:space="preserve">má svou reprezentaci přímo </w:t>
      </w:r>
      <w:r w:rsidR="00B65971">
        <w:t>v</w:t>
      </w:r>
      <w:r w:rsidR="00053E6E">
        <w:t xml:space="preserve"> </w:t>
      </w:r>
      <w:r>
        <w:t>Bruselu.</w:t>
      </w:r>
      <w:r w:rsidR="00F41129">
        <w:t xml:space="preserve"> </w:t>
      </w:r>
      <w:r w:rsidR="00D65D92">
        <w:t>Mezi</w:t>
      </w:r>
      <w:r w:rsidR="002401E2">
        <w:t xml:space="preserve"> své p</w:t>
      </w:r>
      <w:r>
        <w:t xml:space="preserve">odoblasti zájmů uvádí </w:t>
      </w:r>
      <w:r w:rsidR="00B65971">
        <w:t>v</w:t>
      </w:r>
      <w:r w:rsidR="00053E6E">
        <w:t xml:space="preserve"> </w:t>
      </w:r>
      <w:r>
        <w:t xml:space="preserve">této kategorii kulturu </w:t>
      </w:r>
      <w:r w:rsidR="00B65971">
        <w:t>a</w:t>
      </w:r>
      <w:r w:rsidR="00053E6E">
        <w:t xml:space="preserve"> </w:t>
      </w:r>
      <w:r>
        <w:t>média</w:t>
      </w:r>
      <w:r w:rsidR="002C2DA4">
        <w:t>,</w:t>
      </w:r>
      <w:r>
        <w:t xml:space="preserve"> společně se vzděláváním </w:t>
      </w:r>
      <w:r w:rsidR="00B65971">
        <w:t>a</w:t>
      </w:r>
      <w:r w:rsidR="00FB01E4">
        <w:t> </w:t>
      </w:r>
      <w:r>
        <w:t>odbornou přípravou (Rejstřík 2019).</w:t>
      </w:r>
      <w:r w:rsidR="00F44C6F">
        <w:t xml:space="preserve"> Klade důraz především na vzdělání </w:t>
      </w:r>
      <w:r w:rsidR="00B65971">
        <w:t>a</w:t>
      </w:r>
      <w:r w:rsidR="00053E6E">
        <w:t xml:space="preserve"> </w:t>
      </w:r>
      <w:r w:rsidR="00F44C6F">
        <w:t>získání mladých lidí do svých řad</w:t>
      </w:r>
      <w:r w:rsidR="00C36E50">
        <w:t xml:space="preserve">. Kulturní rozměr členů této asociace vychází </w:t>
      </w:r>
      <w:r w:rsidR="00B65971">
        <w:t>z</w:t>
      </w:r>
      <w:r w:rsidR="00053E6E">
        <w:t xml:space="preserve"> </w:t>
      </w:r>
      <w:r w:rsidR="00C36E50">
        <w:t>jejich mezinárodního prostředí díky poloze Lucemburska (</w:t>
      </w:r>
      <w:r w:rsidR="00690A51">
        <w:t>FEDIL</w:t>
      </w:r>
      <w:r w:rsidR="00C36E50">
        <w:t xml:space="preserve"> 2019). </w:t>
      </w:r>
      <w:r w:rsidR="00E34C75" w:rsidRPr="00E34C75">
        <w:t>Belgian &amp; Luxembourg Federation of Automotive &amp;</w:t>
      </w:r>
      <w:r w:rsidR="00FB01E4">
        <w:t> </w:t>
      </w:r>
      <w:r w:rsidR="00E34C75" w:rsidRPr="00E34C75">
        <w:t>Two-wheeler Industry</w:t>
      </w:r>
      <w:r w:rsidR="00E34C75">
        <w:t xml:space="preserve">, jak již název napovídá se zaměřuje </w:t>
      </w:r>
      <w:r w:rsidR="00586A90">
        <w:t xml:space="preserve">na automobilový průmysl. </w:t>
      </w:r>
      <w:r w:rsidR="00B65971">
        <w:t>I</w:t>
      </w:r>
      <w:r w:rsidR="00FB01E4">
        <w:t> </w:t>
      </w:r>
      <w:r w:rsidR="00586A90">
        <w:t xml:space="preserve">přesto, že jde </w:t>
      </w:r>
      <w:r w:rsidR="00B65971">
        <w:t>o</w:t>
      </w:r>
      <w:r w:rsidR="00053E6E">
        <w:t xml:space="preserve"> </w:t>
      </w:r>
      <w:r w:rsidR="00586A90">
        <w:t xml:space="preserve">spojení dvou států přišlo mi logičtější zařadit tuto asociaci </w:t>
      </w:r>
      <w:r w:rsidR="002C2DA4">
        <w:t>zde</w:t>
      </w:r>
      <w:r w:rsidR="00586A90">
        <w:t xml:space="preserve">. Podoblasti zájmů jsou kultura </w:t>
      </w:r>
      <w:r w:rsidR="00B65971">
        <w:t>a</w:t>
      </w:r>
      <w:r w:rsidR="00053E6E">
        <w:t xml:space="preserve"> </w:t>
      </w:r>
      <w:r w:rsidR="00586A90">
        <w:t xml:space="preserve">média </w:t>
      </w:r>
      <w:r w:rsidR="00B65971">
        <w:t>a</w:t>
      </w:r>
      <w:r w:rsidR="00053E6E">
        <w:t xml:space="preserve"> </w:t>
      </w:r>
      <w:r w:rsidR="00586A90">
        <w:t xml:space="preserve">také vzdělávání. </w:t>
      </w:r>
      <w:r w:rsidR="00B65971">
        <w:t>V</w:t>
      </w:r>
      <w:r w:rsidR="00735542">
        <w:t xml:space="preserve"> </w:t>
      </w:r>
      <w:r w:rsidR="00586A90">
        <w:t xml:space="preserve">oblasti kultury je přínosem například organizace </w:t>
      </w:r>
      <w:r w:rsidR="00586A90" w:rsidRPr="00586A90">
        <w:t>European Motor Show Brussels</w:t>
      </w:r>
      <w:r w:rsidR="00586A90">
        <w:t>, což je významný evropský autosalon</w:t>
      </w:r>
      <w:r w:rsidR="0063173A">
        <w:t xml:space="preserve"> (Rejstřík 2018).</w:t>
      </w:r>
      <w:r w:rsidR="00525400">
        <w:t xml:space="preserve"> </w:t>
      </w:r>
    </w:p>
    <w:p w:rsidR="0089088C" w:rsidRDefault="00F41129" w:rsidP="00DA30AB">
      <w:r>
        <w:t xml:space="preserve"> </w:t>
      </w:r>
      <w:r w:rsidR="00525400">
        <w:t xml:space="preserve">Vzhledem </w:t>
      </w:r>
      <w:r w:rsidR="00B65971">
        <w:t>k</w:t>
      </w:r>
      <w:r w:rsidR="00053E6E">
        <w:t xml:space="preserve"> </w:t>
      </w:r>
      <w:r w:rsidR="00525400">
        <w:t xml:space="preserve">tomu, že zde je 17 </w:t>
      </w:r>
      <w:r w:rsidR="002C2DA4">
        <w:t>evrop</w:t>
      </w:r>
      <w:r w:rsidR="00F03A7F">
        <w:t>s</w:t>
      </w:r>
      <w:r w:rsidR="002C2DA4">
        <w:t>kých asociací</w:t>
      </w:r>
      <w:r w:rsidR="00525400">
        <w:t xml:space="preserve">, rozhodl jsem se pro řazení podle podoblastí zájmů. </w:t>
      </w:r>
      <w:r w:rsidR="00B65971">
        <w:t>V</w:t>
      </w:r>
      <w:r w:rsidR="00053E6E">
        <w:t xml:space="preserve"> </w:t>
      </w:r>
      <w:r w:rsidR="00525400">
        <w:t xml:space="preserve">podoblasti mládeže </w:t>
      </w:r>
      <w:r w:rsidR="00B65971">
        <w:t>a</w:t>
      </w:r>
      <w:r w:rsidR="00053E6E">
        <w:t xml:space="preserve"> </w:t>
      </w:r>
      <w:r w:rsidR="00525400">
        <w:t xml:space="preserve">sportu je výrazně aktivní pouze jedna organizace </w:t>
      </w:r>
      <w:r w:rsidR="00B65971">
        <w:t>a</w:t>
      </w:r>
      <w:r w:rsidR="00FB01E4">
        <w:t> </w:t>
      </w:r>
      <w:r w:rsidR="00525400">
        <w:t>to EuropeActive</w:t>
      </w:r>
      <w:r w:rsidR="00D65D92">
        <w:t>.</w:t>
      </w:r>
      <w:r w:rsidR="002C2DA4">
        <w:t xml:space="preserve"> </w:t>
      </w:r>
      <w:r w:rsidR="00D65D92">
        <w:t>J</w:t>
      </w:r>
      <w:r w:rsidR="00525400">
        <w:t xml:space="preserve">de </w:t>
      </w:r>
      <w:r w:rsidR="00B65971">
        <w:t>o</w:t>
      </w:r>
      <w:r w:rsidR="00053E6E">
        <w:t xml:space="preserve"> </w:t>
      </w:r>
      <w:r w:rsidR="00525400">
        <w:t xml:space="preserve">evropskou asociaci sdružující organizace zabývající se zdravím </w:t>
      </w:r>
      <w:r w:rsidR="00B65971">
        <w:t>a</w:t>
      </w:r>
      <w:r w:rsidR="009A75C0">
        <w:t> </w:t>
      </w:r>
      <w:r w:rsidR="00525400">
        <w:t>fitness. Její EuropeActive EU affairs tým se zaměřuje na evropské úrovni na různé iniciativy včet</w:t>
      </w:r>
      <w:r w:rsidR="00150EAF">
        <w:t>n</w:t>
      </w:r>
      <w:r w:rsidR="00525400">
        <w:t xml:space="preserve">ě vzdělání </w:t>
      </w:r>
      <w:r w:rsidR="00B65971">
        <w:t>a</w:t>
      </w:r>
      <w:r w:rsidR="00053E6E">
        <w:t xml:space="preserve"> </w:t>
      </w:r>
      <w:r w:rsidR="00525400">
        <w:t xml:space="preserve">propagování sportu. </w:t>
      </w:r>
      <w:r w:rsidR="00CA29CD">
        <w:t>Tato organizace je také členem hned tří expertníc</w:t>
      </w:r>
      <w:r w:rsidR="00150EAF">
        <w:t>h</w:t>
      </w:r>
      <w:r w:rsidR="00CA29CD">
        <w:t xml:space="preserve"> skupin Komise, </w:t>
      </w:r>
      <w:r w:rsidR="00B65971">
        <w:t>z</w:t>
      </w:r>
      <w:r w:rsidR="00053E6E">
        <w:t xml:space="preserve"> </w:t>
      </w:r>
      <w:r w:rsidR="00CA29CD">
        <w:t xml:space="preserve">nichž hned dvě se týkají sportu (Rejstřík 2019). </w:t>
      </w:r>
    </w:p>
    <w:p w:rsidR="0084765C" w:rsidRDefault="00CA29CD" w:rsidP="00DA30AB">
      <w:r>
        <w:t xml:space="preserve">Druhou skupinu tvoří tři organizace se zájmem </w:t>
      </w:r>
      <w:r w:rsidR="00B65971">
        <w:t>v</w:t>
      </w:r>
      <w:r w:rsidR="00053E6E">
        <w:t xml:space="preserve"> </w:t>
      </w:r>
      <w:r>
        <w:t>podoblasti kultury.</w:t>
      </w:r>
      <w:r w:rsidR="00150EAF">
        <w:t xml:space="preserve"> </w:t>
      </w:r>
      <w:r w:rsidR="00B65971">
        <w:t>U</w:t>
      </w:r>
      <w:r w:rsidR="00053E6E">
        <w:t xml:space="preserve"> </w:t>
      </w:r>
      <w:r w:rsidR="00150EAF">
        <w:t xml:space="preserve">dvou </w:t>
      </w:r>
      <w:r w:rsidR="00B65971">
        <w:t>z</w:t>
      </w:r>
      <w:r w:rsidR="00053E6E">
        <w:t xml:space="preserve"> </w:t>
      </w:r>
      <w:r w:rsidR="00150EAF">
        <w:t xml:space="preserve">nich můžeme pozorovat, že jde </w:t>
      </w:r>
      <w:r w:rsidR="00B65971">
        <w:t>o</w:t>
      </w:r>
      <w:r w:rsidR="00053E6E">
        <w:t xml:space="preserve"> </w:t>
      </w:r>
      <w:r w:rsidR="00150EAF">
        <w:t>jejich primární zájem</w:t>
      </w:r>
      <w:r w:rsidR="0089088C">
        <w:t xml:space="preserve">. První je </w:t>
      </w:r>
      <w:r w:rsidR="0089088C" w:rsidRPr="0089088C">
        <w:t>Fédération Internationale des Associations de producteurs de Films Headquarters</w:t>
      </w:r>
      <w:r w:rsidR="0089088C">
        <w:t xml:space="preserve">, která reprezentuje zájmy </w:t>
      </w:r>
      <w:r w:rsidR="00B65971">
        <w:t>v</w:t>
      </w:r>
      <w:r w:rsidR="00053E6E">
        <w:t xml:space="preserve"> </w:t>
      </w:r>
      <w:r w:rsidR="0089088C">
        <w:t xml:space="preserve">oblasti filmů </w:t>
      </w:r>
      <w:r w:rsidR="00B65971">
        <w:t>a</w:t>
      </w:r>
      <w:r w:rsidR="00FB01E4">
        <w:t> </w:t>
      </w:r>
      <w:r w:rsidR="0089088C">
        <w:t xml:space="preserve">filmových producentů. Je také členem expertní skupiny EK, Cinema expert group. Kromě </w:t>
      </w:r>
      <w:r w:rsidR="0089088C">
        <w:lastRenderedPageBreak/>
        <w:t xml:space="preserve">toho má zájmy také </w:t>
      </w:r>
      <w:r w:rsidR="00B65971">
        <w:t>v</w:t>
      </w:r>
      <w:r w:rsidR="00053E6E">
        <w:t xml:space="preserve"> </w:t>
      </w:r>
      <w:r w:rsidR="0089088C">
        <w:t xml:space="preserve">podoblasti vzdělání </w:t>
      </w:r>
      <w:r w:rsidR="00B65971">
        <w:t>a</w:t>
      </w:r>
      <w:r w:rsidR="00053E6E">
        <w:t xml:space="preserve"> </w:t>
      </w:r>
      <w:r w:rsidR="0089088C">
        <w:t>odborné přípravy (Rejstřík 2018).</w:t>
      </w:r>
      <w:r w:rsidR="00C0633D">
        <w:t xml:space="preserve"> </w:t>
      </w:r>
      <w:r w:rsidR="0089088C">
        <w:t>Ke kultuře EU přispívá</w:t>
      </w:r>
      <w:r w:rsidR="002C2DA4">
        <w:t xml:space="preserve"> </w:t>
      </w:r>
      <w:r w:rsidR="00B65971">
        <w:t>i</w:t>
      </w:r>
      <w:r w:rsidR="00053E6E">
        <w:t xml:space="preserve"> </w:t>
      </w:r>
      <w:r w:rsidR="0089088C">
        <w:t>podílením se na pořádání filmových festivalů</w:t>
      </w:r>
      <w:r w:rsidR="004607FB">
        <w:t xml:space="preserve"> </w:t>
      </w:r>
      <w:r w:rsidR="0089088C">
        <w:t>(</w:t>
      </w:r>
      <w:r w:rsidR="00690A51">
        <w:t>FIAPF</w:t>
      </w:r>
      <w:r w:rsidR="0089088C">
        <w:t xml:space="preserve"> 2019).</w:t>
      </w:r>
      <w:r w:rsidR="002C2DA4">
        <w:t xml:space="preserve"> Jako druhá</w:t>
      </w:r>
      <w:r w:rsidR="00596E51">
        <w:t xml:space="preserve"> je </w:t>
      </w:r>
      <w:r w:rsidR="00596E51" w:rsidRPr="00596E51">
        <w:t>News Media Europe</w:t>
      </w:r>
      <w:r w:rsidR="00596E51">
        <w:t xml:space="preserve">, </w:t>
      </w:r>
      <w:r w:rsidR="00150EAF">
        <w:t xml:space="preserve">ta </w:t>
      </w:r>
      <w:r w:rsidR="00596E51">
        <w:t xml:space="preserve">reprezentuje zájmy </w:t>
      </w:r>
      <w:r w:rsidR="00B65971">
        <w:t>v</w:t>
      </w:r>
      <w:r w:rsidR="00053E6E">
        <w:t xml:space="preserve"> </w:t>
      </w:r>
      <w:r w:rsidR="003E0577">
        <w:t xml:space="preserve">oblasti zpravodajského </w:t>
      </w:r>
      <w:r w:rsidR="00B65971">
        <w:t>a</w:t>
      </w:r>
      <w:r w:rsidR="00053E6E">
        <w:t xml:space="preserve"> </w:t>
      </w:r>
      <w:r w:rsidR="003E0577">
        <w:t xml:space="preserve">informačního průmyslu. Sekundární zájem má také </w:t>
      </w:r>
      <w:r w:rsidR="00B65971">
        <w:t>v</w:t>
      </w:r>
      <w:r w:rsidR="00053E6E">
        <w:t xml:space="preserve"> </w:t>
      </w:r>
      <w:r w:rsidR="003E0577">
        <w:t>oblasti vzdělávání (Rejstřík 2018).</w:t>
      </w:r>
      <w:r w:rsidR="00C06A3E">
        <w:t xml:space="preserve"> </w:t>
      </w:r>
      <w:r w:rsidR="003E0577">
        <w:t xml:space="preserve">Konkrétně se zabývá především svobodou tisku, digitalizací zpravodajství </w:t>
      </w:r>
      <w:r w:rsidR="00B65971">
        <w:t>a</w:t>
      </w:r>
      <w:r w:rsidR="00053E6E">
        <w:t xml:space="preserve"> </w:t>
      </w:r>
      <w:r w:rsidR="003E0577">
        <w:t>ochranou obsahu</w:t>
      </w:r>
      <w:r w:rsidR="00150EAF">
        <w:t xml:space="preserve"> </w:t>
      </w:r>
      <w:r w:rsidR="003E0577">
        <w:t>(</w:t>
      </w:r>
      <w:r w:rsidR="00F61581">
        <w:t xml:space="preserve">News media Europe </w:t>
      </w:r>
      <w:r w:rsidR="003E0577">
        <w:t xml:space="preserve">2019). Poslední je </w:t>
      </w:r>
      <w:r w:rsidR="003E0577" w:rsidRPr="003E0577">
        <w:t>CIRFS</w:t>
      </w:r>
      <w:r w:rsidR="00D65D92">
        <w:t xml:space="preserve">. </w:t>
      </w:r>
      <w:r w:rsidR="00C0633D">
        <w:t xml:space="preserve">Zabývá se ručním zpracováním textilu, jako podoblast zájmu </w:t>
      </w:r>
      <w:r w:rsidR="00B65971">
        <w:t>v</w:t>
      </w:r>
      <w:r w:rsidR="00053E6E">
        <w:t xml:space="preserve"> </w:t>
      </w:r>
      <w:r w:rsidR="00C0633D">
        <w:t>t</w:t>
      </w:r>
      <w:r w:rsidR="00150EAF">
        <w:t>éto sekci</w:t>
      </w:r>
      <w:r w:rsidR="00C0633D">
        <w:t xml:space="preserve"> označuje kulturu.</w:t>
      </w:r>
      <w:r w:rsidR="002C2DA4">
        <w:t xml:space="preserve"> A</w:t>
      </w:r>
      <w:r w:rsidR="00C0633D">
        <w:t>ni n</w:t>
      </w:r>
      <w:r w:rsidR="00150EAF">
        <w:t>a</w:t>
      </w:r>
      <w:r w:rsidR="00C0633D">
        <w:t xml:space="preserve"> stránkách asociace jsem bližší cíle </w:t>
      </w:r>
      <w:r w:rsidR="00B65971">
        <w:t>v</w:t>
      </w:r>
      <w:r w:rsidR="009A75C0">
        <w:t> </w:t>
      </w:r>
      <w:r w:rsidR="00C0633D">
        <w:t xml:space="preserve">této oblasti nenašel </w:t>
      </w:r>
      <w:r w:rsidR="00B65971">
        <w:t>a</w:t>
      </w:r>
      <w:r w:rsidR="00053E6E">
        <w:t xml:space="preserve"> </w:t>
      </w:r>
      <w:r w:rsidR="00B65971">
        <w:t>v</w:t>
      </w:r>
      <w:r w:rsidR="00053E6E">
        <w:t xml:space="preserve"> </w:t>
      </w:r>
      <w:r w:rsidR="00C0633D">
        <w:t xml:space="preserve">Rejstříku uvádí tato asociace velké množství podoblastí, na základě </w:t>
      </w:r>
      <w:r w:rsidR="00150EAF">
        <w:t>čehož</w:t>
      </w:r>
      <w:r w:rsidR="00C0633D">
        <w:t xml:space="preserve"> usuzuji, že kultura není primárním zájmem (Rejstřík 2018).</w:t>
      </w:r>
    </w:p>
    <w:p w:rsidR="008C1E48" w:rsidRDefault="00C0633D" w:rsidP="00DA30AB">
      <w:r>
        <w:t xml:space="preserve">Poslední skupinu tvoří 13 asociací, které mají zájem </w:t>
      </w:r>
      <w:r w:rsidR="00B65971">
        <w:t>v</w:t>
      </w:r>
      <w:r w:rsidR="00053E6E">
        <w:t xml:space="preserve"> </w:t>
      </w:r>
      <w:r>
        <w:t xml:space="preserve">podoblasti vzdělávání </w:t>
      </w:r>
      <w:r w:rsidR="00B65971">
        <w:t>a</w:t>
      </w:r>
      <w:r w:rsidR="00053E6E">
        <w:t xml:space="preserve"> </w:t>
      </w:r>
      <w:r>
        <w:t xml:space="preserve">odborné přípravy. </w:t>
      </w:r>
      <w:r w:rsidR="006521C3">
        <w:t xml:space="preserve">Samostatně analyzuji dvě asociace patřící do oddílu </w:t>
      </w:r>
      <w:r w:rsidR="00B65971">
        <w:t>I</w:t>
      </w:r>
      <w:r w:rsidR="006521C3">
        <w:t xml:space="preserve">, </w:t>
      </w:r>
      <w:r w:rsidR="002C2DA4">
        <w:t xml:space="preserve">pododdíl </w:t>
      </w:r>
      <w:r w:rsidR="006521C3">
        <w:t>odborné poradenské společnosti.</w:t>
      </w:r>
      <w:r w:rsidR="007136F1">
        <w:t xml:space="preserve"> </w:t>
      </w:r>
      <w:r w:rsidR="006521C3">
        <w:t xml:space="preserve">Jde </w:t>
      </w:r>
      <w:r w:rsidR="00B65971">
        <w:t>o</w:t>
      </w:r>
      <w:r w:rsidR="00053E6E">
        <w:t xml:space="preserve"> </w:t>
      </w:r>
      <w:r w:rsidR="006521C3">
        <w:t xml:space="preserve">Oksigen Lab </w:t>
      </w:r>
      <w:r w:rsidR="00B65971">
        <w:t>a</w:t>
      </w:r>
      <w:r w:rsidR="00053E6E">
        <w:t xml:space="preserve"> </w:t>
      </w:r>
      <w:r w:rsidR="006521C3" w:rsidRPr="006521C3">
        <w:t>European Cosmetics Responsible Person Association</w:t>
      </w:r>
      <w:r w:rsidR="009616E6">
        <w:t xml:space="preserve"> </w:t>
      </w:r>
      <w:r w:rsidR="00B92553">
        <w:t>(</w:t>
      </w:r>
      <w:r w:rsidR="009616E6">
        <w:t>Rejstřík 2018)</w:t>
      </w:r>
      <w:r w:rsidR="006521C3">
        <w:t xml:space="preserve">. Prvně jmenovaná se zabývá poradenstvím pro menší podniky, </w:t>
      </w:r>
      <w:r w:rsidR="009616E6">
        <w:t xml:space="preserve">nabízí jim kurzy </w:t>
      </w:r>
      <w:r w:rsidR="00B65971">
        <w:t>a</w:t>
      </w:r>
      <w:r w:rsidR="00053E6E">
        <w:t xml:space="preserve"> </w:t>
      </w:r>
      <w:r w:rsidR="009616E6">
        <w:t xml:space="preserve">tréninky pro rozvoj společnosti, což je právě rozměr vzdělávání </w:t>
      </w:r>
      <w:r w:rsidR="00B65971">
        <w:t>a</w:t>
      </w:r>
      <w:r w:rsidR="00053E6E">
        <w:t xml:space="preserve"> </w:t>
      </w:r>
      <w:r w:rsidR="009616E6">
        <w:t>odborné přípravy (</w:t>
      </w:r>
      <w:r w:rsidR="007136F1">
        <w:t>Oksigen Lab</w:t>
      </w:r>
      <w:r w:rsidR="009616E6">
        <w:t xml:space="preserve"> 2019). Druhá zmíněná asociace se zabývá poradenstvím </w:t>
      </w:r>
      <w:r w:rsidR="00B65971">
        <w:t>v</w:t>
      </w:r>
      <w:r w:rsidR="00053E6E">
        <w:t xml:space="preserve"> </w:t>
      </w:r>
      <w:r w:rsidR="009616E6">
        <w:t xml:space="preserve">oblasti kosmetiky </w:t>
      </w:r>
      <w:r w:rsidR="00B65971">
        <w:t>a</w:t>
      </w:r>
      <w:r w:rsidR="00053E6E">
        <w:t xml:space="preserve"> </w:t>
      </w:r>
      <w:r w:rsidR="009616E6">
        <w:t>bezpečnosti produktů.</w:t>
      </w:r>
      <w:r w:rsidR="00735542">
        <w:t xml:space="preserve"> </w:t>
      </w:r>
      <w:r w:rsidR="00B65971">
        <w:t>V</w:t>
      </w:r>
      <w:r w:rsidR="00735542">
        <w:t xml:space="preserve"> </w:t>
      </w:r>
      <w:r w:rsidR="009616E6">
        <w:t xml:space="preserve">podoblasti vzdělání pořádá </w:t>
      </w:r>
      <w:r w:rsidR="00886CF4">
        <w:t>mezinárodní semináře zabývající se touto problematikou (Rejstřík 2018).</w:t>
      </w:r>
    </w:p>
    <w:p w:rsidR="00C0633D" w:rsidRDefault="00886CF4" w:rsidP="00DA30AB">
      <w:r>
        <w:t xml:space="preserve"> </w:t>
      </w:r>
      <w:r w:rsidR="00A56498">
        <w:t>Zbytek jsem</w:t>
      </w:r>
      <w:r w:rsidR="003A0C3D">
        <w:t xml:space="preserve"> rozdělil do dvou skupin. První představují asociace pro které je podoblast vzdělávání podstatná </w:t>
      </w:r>
      <w:r w:rsidR="00B65971">
        <w:t>a</w:t>
      </w:r>
      <w:r w:rsidR="00053E6E">
        <w:t xml:space="preserve"> </w:t>
      </w:r>
      <w:r w:rsidR="003A0C3D">
        <w:t xml:space="preserve">vyvíjejí </w:t>
      </w:r>
      <w:r w:rsidR="00B65971">
        <w:t>v</w:t>
      </w:r>
      <w:r w:rsidR="00053E6E">
        <w:t xml:space="preserve"> </w:t>
      </w:r>
      <w:r w:rsidR="003A0C3D">
        <w:t xml:space="preserve">ní skutečnou aktivitu. Druhou skupinu reprezentují asociace, které ji mají uvedenou prakticky puze mezi </w:t>
      </w:r>
      <w:r w:rsidR="00F65F66">
        <w:t>podoblastmi</w:t>
      </w:r>
      <w:r w:rsidR="003A0C3D">
        <w:t xml:space="preserve">, ale </w:t>
      </w:r>
      <w:r w:rsidR="00B65971">
        <w:t>o</w:t>
      </w:r>
      <w:r w:rsidR="00053E6E">
        <w:t xml:space="preserve"> </w:t>
      </w:r>
      <w:r w:rsidR="003A0C3D">
        <w:t xml:space="preserve">konkrétních krocích jsem nic nenašel </w:t>
      </w:r>
      <w:r w:rsidR="00B65971">
        <w:t>a</w:t>
      </w:r>
      <w:r w:rsidR="00053E6E">
        <w:t xml:space="preserve"> </w:t>
      </w:r>
      <w:r w:rsidR="003A0C3D">
        <w:t xml:space="preserve">předpokládám proto, </w:t>
      </w:r>
      <w:r w:rsidR="00E131FD">
        <w:t xml:space="preserve">že jde </w:t>
      </w:r>
      <w:r w:rsidR="00B65971">
        <w:t>o</w:t>
      </w:r>
      <w:r w:rsidR="00053E6E">
        <w:t xml:space="preserve"> </w:t>
      </w:r>
      <w:r w:rsidR="003A0C3D">
        <w:t xml:space="preserve">jejich sekundární zájem. Do první skupiny patří </w:t>
      </w:r>
      <w:r w:rsidR="003A0C3D" w:rsidRPr="003A0C3D">
        <w:t>Confédération Européenne des Associations de Petites et Moyennes Entreprises</w:t>
      </w:r>
      <w:r w:rsidR="003A0C3D">
        <w:t>,</w:t>
      </w:r>
      <w:r w:rsidR="00F65F66">
        <w:t xml:space="preserve"> </w:t>
      </w:r>
      <w:r w:rsidR="003A0C3D">
        <w:t>evropsk</w:t>
      </w:r>
      <w:r w:rsidR="00F65F66">
        <w:t>á</w:t>
      </w:r>
      <w:r w:rsidR="003A0C3D">
        <w:t xml:space="preserve"> asociaci sdružující 20 asociací malých</w:t>
      </w:r>
      <w:r w:rsidR="008C1E48">
        <w:t xml:space="preserve"> </w:t>
      </w:r>
      <w:r w:rsidR="00B65971">
        <w:t>a</w:t>
      </w:r>
      <w:r w:rsidR="00053E6E">
        <w:t xml:space="preserve"> </w:t>
      </w:r>
      <w:r w:rsidR="003A0C3D">
        <w:t>středních podnikatelů</w:t>
      </w:r>
      <w:r w:rsidR="008C1E48">
        <w:t xml:space="preserve"> (Rejstřík 2018)</w:t>
      </w:r>
      <w:r w:rsidR="003A0C3D">
        <w:t xml:space="preserve">. </w:t>
      </w:r>
      <w:r w:rsidR="00B65971">
        <w:t>V</w:t>
      </w:r>
      <w:r w:rsidR="009A75C0">
        <w:t> </w:t>
      </w:r>
      <w:r w:rsidR="003A0C3D">
        <w:t xml:space="preserve">oblasti vzdělání patří mezi hlavní partnery dvou Erasmus+ projektů, European Dual System </w:t>
      </w:r>
      <w:r w:rsidR="00B65971">
        <w:t>a</w:t>
      </w:r>
      <w:r w:rsidR="00FB01E4">
        <w:t> </w:t>
      </w:r>
      <w:r w:rsidR="003A0C3D" w:rsidRPr="003A0C3D">
        <w:t>Mobilities for professionals and qualified employees of MSMEs</w:t>
      </w:r>
      <w:r w:rsidR="008C1E48">
        <w:t>.</w:t>
      </w:r>
      <w:r w:rsidR="00C06A3E">
        <w:t xml:space="preserve"> V</w:t>
      </w:r>
      <w:r w:rsidR="008C1E48">
        <w:t xml:space="preserve">zdělávání </w:t>
      </w:r>
      <w:r w:rsidR="00B65971">
        <w:t>a</w:t>
      </w:r>
      <w:r w:rsidR="009A75C0">
        <w:t> </w:t>
      </w:r>
      <w:r w:rsidR="008C1E48">
        <w:t>trénink mladých podnikatelů má tato asociace také ve svých cílech (</w:t>
      </w:r>
      <w:r w:rsidR="00690A51">
        <w:t xml:space="preserve">CEA-PME </w:t>
      </w:r>
      <w:r w:rsidR="008C1E48">
        <w:t>2019).</w:t>
      </w:r>
      <w:r w:rsidR="00F65F66">
        <w:t xml:space="preserve"> </w:t>
      </w:r>
      <w:r w:rsidR="008C1E48">
        <w:t xml:space="preserve">European testing inspection and </w:t>
      </w:r>
      <w:r w:rsidR="004F5939">
        <w:t>certification</w:t>
      </w:r>
      <w:r w:rsidR="00C06A3E">
        <w:t xml:space="preserve"> </w:t>
      </w:r>
      <w:r w:rsidR="004F5939">
        <w:t>system</w:t>
      </w:r>
      <w:r w:rsidR="00F65F66">
        <w:t>, se z</w:t>
      </w:r>
      <w:r w:rsidR="004F5939">
        <w:t>abývá</w:t>
      </w:r>
      <w:r w:rsidR="00F65F66">
        <w:t xml:space="preserve"> </w:t>
      </w:r>
      <w:r w:rsidR="004F5939">
        <w:t xml:space="preserve">testováním, certifikací </w:t>
      </w:r>
      <w:r w:rsidR="00B65971">
        <w:t>a</w:t>
      </w:r>
      <w:r w:rsidR="009A75C0">
        <w:t> </w:t>
      </w:r>
      <w:r w:rsidR="004F5939">
        <w:t>inspekcí</w:t>
      </w:r>
      <w:r w:rsidR="00C06A3E">
        <w:t xml:space="preserve"> </w:t>
      </w:r>
      <w:r w:rsidR="004F5939">
        <w:t>strojů</w:t>
      </w:r>
      <w:r w:rsidR="00B92553">
        <w:t xml:space="preserve"> </w:t>
      </w:r>
      <w:r w:rsidR="00B65971">
        <w:t>a</w:t>
      </w:r>
      <w:r w:rsidR="00FB01E4">
        <w:t> </w:t>
      </w:r>
      <w:r w:rsidR="004F5939">
        <w:t xml:space="preserve">personálu </w:t>
      </w:r>
      <w:r w:rsidR="00B65971">
        <w:t>v</w:t>
      </w:r>
      <w:r w:rsidR="00FB01E4">
        <w:t xml:space="preserve"> </w:t>
      </w:r>
      <w:r w:rsidR="004F5939">
        <w:t>elektrotechnickém průmyslu.</w:t>
      </w:r>
      <w:r w:rsidR="00E131FD">
        <w:t xml:space="preserve"> </w:t>
      </w:r>
      <w:r w:rsidR="00B65971">
        <w:t>V</w:t>
      </w:r>
      <w:r w:rsidR="00053E6E">
        <w:t xml:space="preserve"> </w:t>
      </w:r>
      <w:r w:rsidR="004F5939">
        <w:t xml:space="preserve">Rejstříku uvádí jako svou podoblast zájmu kulturu </w:t>
      </w:r>
      <w:r w:rsidR="00B65971">
        <w:t>a</w:t>
      </w:r>
      <w:r w:rsidR="00053E6E">
        <w:t xml:space="preserve"> </w:t>
      </w:r>
      <w:r w:rsidR="004F5939">
        <w:t xml:space="preserve">média. </w:t>
      </w:r>
      <w:r w:rsidR="00B92553">
        <w:t>J</w:t>
      </w:r>
      <w:r w:rsidR="004F5939">
        <w:t>e pro mne překvapivé, že neuvád</w:t>
      </w:r>
      <w:r w:rsidR="00E131FD">
        <w:t>í</w:t>
      </w:r>
      <w:r w:rsidR="004F5939">
        <w:t xml:space="preserve"> vzdělání </w:t>
      </w:r>
      <w:r w:rsidR="00B65971">
        <w:t>a</w:t>
      </w:r>
      <w:r w:rsidR="00053E6E">
        <w:t xml:space="preserve"> </w:t>
      </w:r>
      <w:r w:rsidR="004F5939">
        <w:t>odborn</w:t>
      </w:r>
      <w:r w:rsidR="00E131FD">
        <w:t>ou</w:t>
      </w:r>
      <w:r w:rsidR="004F5939">
        <w:t xml:space="preserve"> příprav</w:t>
      </w:r>
      <w:r w:rsidR="00E131FD">
        <w:t>u</w:t>
      </w:r>
      <w:r w:rsidR="004F5939">
        <w:t>, jelikož</w:t>
      </w:r>
      <w:r w:rsidR="00E131FD">
        <w:t xml:space="preserve"> podle</w:t>
      </w:r>
      <w:r w:rsidR="00EE3D33">
        <w:t xml:space="preserve"> svých</w:t>
      </w:r>
      <w:r w:rsidR="00E131FD">
        <w:t xml:space="preserve"> </w:t>
      </w:r>
      <w:r w:rsidR="004F5939">
        <w:t xml:space="preserve">konkrétních </w:t>
      </w:r>
      <w:r w:rsidR="00E131FD">
        <w:t xml:space="preserve">cílů </w:t>
      </w:r>
      <w:r w:rsidR="004F5939">
        <w:t>pořádá tréninkové kurzy pro týmy expertů na testování</w:t>
      </w:r>
      <w:r w:rsidR="00B92553">
        <w:t xml:space="preserve"> </w:t>
      </w:r>
      <w:r w:rsidR="004F5939">
        <w:t xml:space="preserve">(Rejstřík 2018). Právě tenhle důraz na vzdělání mne vedl </w:t>
      </w:r>
      <w:r w:rsidR="00B65971">
        <w:t>k</w:t>
      </w:r>
      <w:r w:rsidR="00053E6E">
        <w:t xml:space="preserve"> </w:t>
      </w:r>
      <w:r w:rsidR="004F5939">
        <w:t xml:space="preserve">zařazení do této skupiny </w:t>
      </w:r>
      <w:r w:rsidR="00B65971">
        <w:t>a</w:t>
      </w:r>
      <w:r w:rsidR="00053E6E">
        <w:t xml:space="preserve"> </w:t>
      </w:r>
      <w:r w:rsidR="004F5939">
        <w:t xml:space="preserve">ne do skupiny </w:t>
      </w:r>
      <w:r w:rsidR="00B65971">
        <w:t>s</w:t>
      </w:r>
      <w:r w:rsidR="00053E6E">
        <w:t xml:space="preserve"> </w:t>
      </w:r>
      <w:r w:rsidR="004F5939">
        <w:t xml:space="preserve">podoblastí kultury. </w:t>
      </w:r>
      <w:r w:rsidR="00A761FF">
        <w:t>Další organizací j</w:t>
      </w:r>
      <w:r w:rsidR="00B92553">
        <w:t>sou</w:t>
      </w:r>
      <w:r w:rsidR="00A761FF">
        <w:t xml:space="preserve"> </w:t>
      </w:r>
      <w:r w:rsidR="00A761FF" w:rsidRPr="00A761FF">
        <w:t>Young Entrepreneurs for Europe</w:t>
      </w:r>
      <w:r w:rsidR="00B92553">
        <w:t>, ti</w:t>
      </w:r>
      <w:r w:rsidR="00A761FF">
        <w:t xml:space="preserve"> sdružuj</w:t>
      </w:r>
      <w:r w:rsidR="00B92553">
        <w:t>í</w:t>
      </w:r>
      <w:r w:rsidR="00A761FF">
        <w:t xml:space="preserve"> mladé podnikatele. Kromě vzdělávání </w:t>
      </w:r>
      <w:r w:rsidR="00B92553">
        <w:t>je</w:t>
      </w:r>
      <w:r w:rsidR="00A761FF">
        <w:t xml:space="preserve"> mezi iniciatiavmi </w:t>
      </w:r>
      <w:r w:rsidR="00B65971">
        <w:t>i</w:t>
      </w:r>
      <w:r w:rsidR="00053E6E">
        <w:t xml:space="preserve"> </w:t>
      </w:r>
      <w:r w:rsidR="00A761FF">
        <w:t>podoblast mládeže (Rejstřík 2019).</w:t>
      </w:r>
      <w:r w:rsidR="00B92553">
        <w:t xml:space="preserve"> Účastní se také</w:t>
      </w:r>
      <w:r w:rsidR="00A761FF">
        <w:t xml:space="preserve"> </w:t>
      </w:r>
      <w:r w:rsidR="00E65173">
        <w:t>tří</w:t>
      </w:r>
      <w:r w:rsidR="00A761FF">
        <w:t xml:space="preserve"> Erasmus+ projektů</w:t>
      </w:r>
      <w:r w:rsidR="00124195">
        <w:t xml:space="preserve"> </w:t>
      </w:r>
      <w:r w:rsidR="00E65173">
        <w:t>(</w:t>
      </w:r>
      <w:r w:rsidR="00AF03C7">
        <w:rPr>
          <w:rStyle w:val="Hyperlink"/>
          <w:color w:val="auto"/>
          <w:u w:val="none"/>
        </w:rPr>
        <w:t xml:space="preserve">European confederation of young </w:t>
      </w:r>
      <w:r w:rsidR="00AF03C7">
        <w:rPr>
          <w:rStyle w:val="Hyperlink"/>
          <w:color w:val="auto"/>
          <w:u w:val="none"/>
        </w:rPr>
        <w:lastRenderedPageBreak/>
        <w:t>entrepreneurs</w:t>
      </w:r>
      <w:r w:rsidR="00AF03C7">
        <w:t xml:space="preserve"> </w:t>
      </w:r>
      <w:r w:rsidR="00E65173">
        <w:t xml:space="preserve">2019). European federation of financial analysts societies je federací reprezentují organizace </w:t>
      </w:r>
      <w:r w:rsidR="00B65971">
        <w:t>v</w:t>
      </w:r>
      <w:r w:rsidR="00053E6E">
        <w:t xml:space="preserve"> </w:t>
      </w:r>
      <w:r w:rsidR="00E65173">
        <w:t>oblasti finančn</w:t>
      </w:r>
      <w:r w:rsidR="00E131FD">
        <w:t>ictví</w:t>
      </w:r>
      <w:r w:rsidR="00E65173">
        <w:t>.</w:t>
      </w:r>
      <w:r w:rsidR="00B425BA">
        <w:t xml:space="preserve"> </w:t>
      </w:r>
      <w:r w:rsidR="00B65971">
        <w:t>V</w:t>
      </w:r>
      <w:r w:rsidR="00053E6E">
        <w:t xml:space="preserve"> </w:t>
      </w:r>
      <w:r w:rsidR="00B425BA">
        <w:t xml:space="preserve">oblasti vzdělávání ve finančním sektoru chce patřit mezi nejlepší (Rejstřík 2019). </w:t>
      </w:r>
      <w:r w:rsidR="00124195">
        <w:t>Podle</w:t>
      </w:r>
      <w:r w:rsidR="00B425BA">
        <w:t xml:space="preserve"> strán</w:t>
      </w:r>
      <w:r w:rsidR="00124195">
        <w:t>ek</w:t>
      </w:r>
      <w:r w:rsidR="00B425BA">
        <w:t xml:space="preserve"> nabízí skutečně širokou škálu vzdělávacích programů včetně letní školy (</w:t>
      </w:r>
      <w:r w:rsidR="00AF03C7">
        <w:t xml:space="preserve">The european federation of financial analysts societies </w:t>
      </w:r>
      <w:r w:rsidR="00B425BA">
        <w:t>2019).</w:t>
      </w:r>
      <w:r w:rsidR="00182633">
        <w:t xml:space="preserve"> </w:t>
      </w:r>
      <w:r w:rsidR="00B425BA">
        <w:t xml:space="preserve">Poslední </w:t>
      </w:r>
      <w:r w:rsidR="00B65971">
        <w:t>v</w:t>
      </w:r>
      <w:r w:rsidR="00053E6E">
        <w:t xml:space="preserve"> </w:t>
      </w:r>
      <w:r w:rsidR="00B425BA">
        <w:t xml:space="preserve">této části je euRobotics, která se zabývá robotikou </w:t>
      </w:r>
      <w:r w:rsidR="00B65971">
        <w:t>v</w:t>
      </w:r>
      <w:r w:rsidR="00053E6E">
        <w:t xml:space="preserve"> </w:t>
      </w:r>
      <w:r w:rsidR="00B425BA">
        <w:t xml:space="preserve">různých oblastech. Podporuje </w:t>
      </w:r>
      <w:r w:rsidR="009C7243">
        <w:t>výměnu znalostí jak na pracovní, tak akademické úrovni (Rejstřík 2019).</w:t>
      </w:r>
    </w:p>
    <w:p w:rsidR="009C7243" w:rsidRDefault="009C7243" w:rsidP="00DA30AB">
      <w:r>
        <w:t xml:space="preserve">Druhou skupinu tvoří evropské asociace, které podoblast vzdělání </w:t>
      </w:r>
      <w:r w:rsidR="00B65971">
        <w:t>a</w:t>
      </w:r>
      <w:r w:rsidR="00053E6E">
        <w:t xml:space="preserve"> </w:t>
      </w:r>
      <w:r>
        <w:t xml:space="preserve">odborné přípravy mají zaznamenanou </w:t>
      </w:r>
      <w:r w:rsidR="00B65971">
        <w:t>v</w:t>
      </w:r>
      <w:r w:rsidR="00053E6E">
        <w:t xml:space="preserve"> </w:t>
      </w:r>
      <w:r>
        <w:t xml:space="preserve">Rejstříku, ale více informací </w:t>
      </w:r>
      <w:r w:rsidR="00B65971">
        <w:t>o</w:t>
      </w:r>
      <w:r w:rsidR="00053E6E">
        <w:t xml:space="preserve"> </w:t>
      </w:r>
      <w:r>
        <w:t>ní neposkytují</w:t>
      </w:r>
      <w:r w:rsidR="005C1FEE">
        <w:t xml:space="preserve"> ani na vlastních stránkách</w:t>
      </w:r>
      <w:r>
        <w:t>. Proto předpokládám, že se pro ně nejedná</w:t>
      </w:r>
      <w:r w:rsidR="001D1F11">
        <w:t xml:space="preserve"> </w:t>
      </w:r>
      <w:r w:rsidR="00B65971">
        <w:t>o</w:t>
      </w:r>
      <w:r w:rsidR="00053E6E">
        <w:t xml:space="preserve"> </w:t>
      </w:r>
      <w:r>
        <w:t xml:space="preserve">jednu </w:t>
      </w:r>
      <w:r w:rsidR="00B65971">
        <w:t>z</w:t>
      </w:r>
      <w:r w:rsidR="00053E6E">
        <w:t xml:space="preserve"> </w:t>
      </w:r>
      <w:r>
        <w:t xml:space="preserve">primárních oblastí </w:t>
      </w:r>
      <w:r w:rsidR="00B65971">
        <w:t>a</w:t>
      </w:r>
      <w:r w:rsidR="00053E6E">
        <w:t xml:space="preserve"> </w:t>
      </w:r>
      <w:r w:rsidR="00B65971">
        <w:t>i</w:t>
      </w:r>
      <w:r w:rsidR="00053E6E">
        <w:t xml:space="preserve"> </w:t>
      </w:r>
      <w:r w:rsidR="00B65971">
        <w:t>z</w:t>
      </w:r>
      <w:r w:rsidR="00053E6E">
        <w:t xml:space="preserve"> </w:t>
      </w:r>
      <w:r>
        <w:t xml:space="preserve">tohoto důvodu se jim zde nebudu příliš věnovat. </w:t>
      </w:r>
      <w:r w:rsidR="00124195">
        <w:t xml:space="preserve">Sem </w:t>
      </w:r>
      <w:r>
        <w:t xml:space="preserve">patří </w:t>
      </w:r>
      <w:r w:rsidRPr="009C7243">
        <w:t>European Organisation of the Sawmill industry</w:t>
      </w:r>
      <w:r w:rsidR="001D1F11">
        <w:t xml:space="preserve"> zabývající se zpracováním dřeva</w:t>
      </w:r>
      <w:r>
        <w:t xml:space="preserve">, </w:t>
      </w:r>
      <w:r w:rsidRPr="009C7243">
        <w:t>European Federation of Catering Equipment Manufacturers</w:t>
      </w:r>
      <w:r w:rsidR="003370BD">
        <w:t>, která se zaměřuje na výrobu kuchyňského nářadí</w:t>
      </w:r>
      <w:r w:rsidR="001D1F11">
        <w:t xml:space="preserve">, </w:t>
      </w:r>
      <w:r w:rsidR="001D1F11" w:rsidRPr="001D1F11">
        <w:t>European DIGITAL SME Alliance</w:t>
      </w:r>
      <w:r w:rsidR="003370BD">
        <w:t xml:space="preserve"> zastupující zájmy malých </w:t>
      </w:r>
      <w:r w:rsidR="00B65971">
        <w:t>a</w:t>
      </w:r>
      <w:r w:rsidR="00053E6E">
        <w:t xml:space="preserve"> </w:t>
      </w:r>
      <w:r w:rsidR="003370BD">
        <w:t xml:space="preserve">středních podnikatelů </w:t>
      </w:r>
      <w:r w:rsidR="00B65971">
        <w:t>v</w:t>
      </w:r>
      <w:r w:rsidR="00053E6E">
        <w:t xml:space="preserve"> </w:t>
      </w:r>
      <w:r w:rsidR="003370BD">
        <w:t>oblasti digitálních technologií</w:t>
      </w:r>
      <w:r w:rsidR="001D1F11">
        <w:t xml:space="preserve"> </w:t>
      </w:r>
      <w:r w:rsidR="00B65971">
        <w:t>a</w:t>
      </w:r>
      <w:r w:rsidR="00053E6E">
        <w:t xml:space="preserve"> </w:t>
      </w:r>
      <w:r w:rsidR="001D1F11" w:rsidRPr="001D1F11">
        <w:t xml:space="preserve">European </w:t>
      </w:r>
      <w:r w:rsidR="00B65971" w:rsidRPr="001D1F11">
        <w:t>E</w:t>
      </w:r>
      <w:r w:rsidR="001D1F11" w:rsidRPr="001D1F11">
        <w:t>-Invoicing Service Providers Association</w:t>
      </w:r>
      <w:r w:rsidR="000C7A24">
        <w:t xml:space="preserve">, ta sdružuje rostoucí oblast firem zabývajících se </w:t>
      </w:r>
      <w:r w:rsidR="00B65971">
        <w:t>e </w:t>
      </w:r>
      <w:r w:rsidR="000C7A24">
        <w:t>-fakturami</w:t>
      </w:r>
      <w:r w:rsidR="001D1F11">
        <w:t xml:space="preserve"> (Rejstřík </w:t>
      </w:r>
      <w:r w:rsidR="000C7A24">
        <w:t xml:space="preserve">2018; </w:t>
      </w:r>
      <w:r w:rsidR="001D1F11">
        <w:t>2019</w:t>
      </w:r>
      <w:r w:rsidR="000C7A24">
        <w:t>)</w:t>
      </w:r>
      <w:r w:rsidR="001D1F11">
        <w:t xml:space="preserve">. Kromě toho zde patří </w:t>
      </w:r>
      <w:r w:rsidR="00B65971">
        <w:t>i</w:t>
      </w:r>
      <w:r w:rsidR="00053E6E">
        <w:t xml:space="preserve"> </w:t>
      </w:r>
      <w:r w:rsidR="001D1F11" w:rsidRPr="001D1F11">
        <w:t>European Boatmen's Association</w:t>
      </w:r>
      <w:r w:rsidR="005C1FEE">
        <w:t xml:space="preserve"> zastupující majitelé lodí</w:t>
      </w:r>
      <w:r w:rsidR="001D1F11">
        <w:t xml:space="preserve"> </w:t>
      </w:r>
      <w:r w:rsidR="00B65971">
        <w:t>a</w:t>
      </w:r>
      <w:r w:rsidR="00053E6E">
        <w:t xml:space="preserve"> </w:t>
      </w:r>
      <w:r w:rsidR="001D1F11" w:rsidRPr="001D1F11">
        <w:t>European Small Business Alliance</w:t>
      </w:r>
      <w:r w:rsidR="000C7A24">
        <w:t xml:space="preserve"> </w:t>
      </w:r>
      <w:r w:rsidR="005C1FEE">
        <w:t xml:space="preserve">hájící zájmy drobných podnikatelů </w:t>
      </w:r>
      <w:r w:rsidR="000C7A24">
        <w:t>(Rejstřík 2018; 2019).</w:t>
      </w:r>
    </w:p>
    <w:p w:rsidR="00150EAF" w:rsidRDefault="00150EAF" w:rsidP="00DA30AB">
      <w:r>
        <w:t xml:space="preserve">Potvrdilo se tedy očekávání, že </w:t>
      </w:r>
      <w:r w:rsidR="00B65971">
        <w:t>i</w:t>
      </w:r>
      <w:r w:rsidR="00053E6E">
        <w:t xml:space="preserve"> </w:t>
      </w:r>
      <w:r>
        <w:t xml:space="preserve">zde budou nejvíce zastoupeny asociace, ovšem překvapením pro mne bylo nízké zastoupení národních </w:t>
      </w:r>
      <w:r w:rsidR="00B65971">
        <w:t>a</w:t>
      </w:r>
      <w:r w:rsidR="00053E6E">
        <w:t xml:space="preserve"> </w:t>
      </w:r>
      <w:r>
        <w:t xml:space="preserve">regionálních asociací, zrovna </w:t>
      </w:r>
      <w:r w:rsidR="00B65971">
        <w:t>v</w:t>
      </w:r>
      <w:r w:rsidR="009A75C0">
        <w:t> </w:t>
      </w:r>
      <w:r>
        <w:t>oblasti kultury bych čekal větší výskyt.</w:t>
      </w:r>
      <w:r w:rsidR="00BD6333">
        <w:t xml:space="preserve"> </w:t>
      </w:r>
      <w:r>
        <w:t>Podobně</w:t>
      </w:r>
      <w:r w:rsidR="005C1FEE">
        <w:t>,</w:t>
      </w:r>
      <w:r>
        <w:t xml:space="preserve"> jako </w:t>
      </w:r>
      <w:r w:rsidR="00B65971">
        <w:t>v</w:t>
      </w:r>
      <w:r w:rsidR="00053E6E">
        <w:t xml:space="preserve"> </w:t>
      </w:r>
      <w:r>
        <w:t xml:space="preserve">předchozí oblasti </w:t>
      </w:r>
      <w:r w:rsidR="00B65971">
        <w:t>i</w:t>
      </w:r>
      <w:r w:rsidR="00053E6E">
        <w:t xml:space="preserve"> </w:t>
      </w:r>
      <w:r>
        <w:t xml:space="preserve">zde tedy převažují </w:t>
      </w:r>
      <w:r>
        <w:rPr>
          <w:i/>
        </w:rPr>
        <w:t xml:space="preserve">Information about European Encompassing Interest, </w:t>
      </w:r>
      <w:r>
        <w:t>díky mnoha evrop</w:t>
      </w:r>
      <w:r w:rsidR="005C1FEE">
        <w:t>s</w:t>
      </w:r>
      <w:r>
        <w:t xml:space="preserve">kým asociacím. </w:t>
      </w:r>
      <w:r w:rsidR="005C1FEE">
        <w:t>Nečekaným</w:t>
      </w:r>
      <w:r>
        <w:t xml:space="preserve"> zjištěním pro mě také byla převaha zájmů </w:t>
      </w:r>
      <w:r w:rsidR="00B65971">
        <w:t>v</w:t>
      </w:r>
      <w:r w:rsidR="00053E6E">
        <w:t xml:space="preserve"> </w:t>
      </w:r>
      <w:r>
        <w:t xml:space="preserve">podoblasti vzdělání </w:t>
      </w:r>
      <w:r w:rsidR="00B65971">
        <w:t>a</w:t>
      </w:r>
      <w:r w:rsidR="009A75C0">
        <w:t> </w:t>
      </w:r>
      <w:r>
        <w:t>odborné přípravy</w:t>
      </w:r>
      <w:r w:rsidR="004607FB">
        <w:t>.</w:t>
      </w:r>
      <w:r>
        <w:t xml:space="preserve"> Je pro mne zarážející malý výskyt zájmových organizací </w:t>
      </w:r>
      <w:r w:rsidR="00B65971">
        <w:t>v</w:t>
      </w:r>
      <w:r w:rsidR="00053E6E">
        <w:t xml:space="preserve"> </w:t>
      </w:r>
      <w:r>
        <w:t xml:space="preserve">podoblasti kultury. Co se týká oblastí kultury </w:t>
      </w:r>
      <w:r w:rsidR="00B65971">
        <w:t>a</w:t>
      </w:r>
      <w:r w:rsidR="00053E6E">
        <w:t xml:space="preserve"> </w:t>
      </w:r>
      <w:r>
        <w:t xml:space="preserve">médií </w:t>
      </w:r>
      <w:r w:rsidR="00B65971">
        <w:t>a</w:t>
      </w:r>
      <w:r w:rsidR="00053E6E">
        <w:t xml:space="preserve"> </w:t>
      </w:r>
      <w:r>
        <w:t xml:space="preserve">sportu, je zde sice nízké zastoupení, na druhou stranu skupiny působící </w:t>
      </w:r>
      <w:r w:rsidR="00B65971">
        <w:t>v</w:t>
      </w:r>
      <w:r w:rsidR="00053E6E">
        <w:t xml:space="preserve"> </w:t>
      </w:r>
      <w:r>
        <w:t>těchto podoblastech ji měly vždy jako svou prioritu.</w:t>
      </w:r>
      <w:r w:rsidR="005C1FEE">
        <w:t xml:space="preserve"> Ukazuje se tedy velký zájem </w:t>
      </w:r>
      <w:r w:rsidR="00B65971">
        <w:t>o</w:t>
      </w:r>
      <w:r w:rsidR="00053E6E">
        <w:t xml:space="preserve"> </w:t>
      </w:r>
      <w:r w:rsidR="005C1FEE">
        <w:t xml:space="preserve">oblast vzdělávání, kterou zřejmě jak zájmové skupiny, tak </w:t>
      </w:r>
      <w:r w:rsidR="00B65971">
        <w:t>i</w:t>
      </w:r>
      <w:r w:rsidR="00053E6E">
        <w:t xml:space="preserve"> </w:t>
      </w:r>
      <w:r w:rsidR="005C1FEE">
        <w:t>EK, považují za velmi podstatnou.</w:t>
      </w:r>
      <w:r w:rsidR="00F03A7F">
        <w:t xml:space="preserve"> </w:t>
      </w:r>
      <w:r w:rsidR="00B65971">
        <w:t>V</w:t>
      </w:r>
      <w:r w:rsidR="00053E6E">
        <w:t xml:space="preserve"> </w:t>
      </w:r>
      <w:r w:rsidR="00F03A7F">
        <w:t>oblasti sportu se vyskytlo taky malé množství zájmových skupi</w:t>
      </w:r>
      <w:r w:rsidR="00C12E66">
        <w:t>n</w:t>
      </w:r>
      <w:r w:rsidR="00F03A7F">
        <w:t xml:space="preserve">, ale </w:t>
      </w:r>
      <w:r w:rsidR="00B65971">
        <w:t>i</w:t>
      </w:r>
      <w:r w:rsidR="00053E6E">
        <w:t xml:space="preserve"> </w:t>
      </w:r>
      <w:r w:rsidR="00F03A7F">
        <w:t xml:space="preserve">zde platí, že pokud se </w:t>
      </w:r>
      <w:r w:rsidR="00C12E66">
        <w:t xml:space="preserve">nějaké vyskytly měly </w:t>
      </w:r>
      <w:r w:rsidR="00B65971">
        <w:t>v</w:t>
      </w:r>
      <w:r w:rsidR="00053E6E">
        <w:t xml:space="preserve"> </w:t>
      </w:r>
      <w:r w:rsidR="00C12E66">
        <w:t>této oblasti primární zájem.</w:t>
      </w:r>
    </w:p>
    <w:p w:rsidR="00D67F49" w:rsidRDefault="00D67F49" w:rsidP="00DA30AB"/>
    <w:p w:rsidR="00BC33DB" w:rsidRDefault="00B65971" w:rsidP="00BC33DB">
      <w:pPr>
        <w:pStyle w:val="Heading2"/>
      </w:pPr>
      <w:bookmarkStart w:id="15" w:name="_Toc7414202"/>
      <w:r>
        <w:t>2</w:t>
      </w:r>
      <w:r w:rsidR="00D67F49">
        <w:t>.</w:t>
      </w:r>
      <w:r>
        <w:t>3</w:t>
      </w:r>
      <w:r w:rsidR="00053E6E">
        <w:t xml:space="preserve"> </w:t>
      </w:r>
      <w:r w:rsidR="00D67F49">
        <w:t>Zemědělství</w:t>
      </w:r>
      <w:bookmarkEnd w:id="15"/>
    </w:p>
    <w:p w:rsidR="0016246D" w:rsidRDefault="00BC33DB" w:rsidP="00BC33DB">
      <w:r>
        <w:tab/>
      </w:r>
      <w:r w:rsidR="00B65971">
        <w:t>V</w:t>
      </w:r>
      <w:r w:rsidR="00053E6E">
        <w:t xml:space="preserve"> </w:t>
      </w:r>
      <w:r>
        <w:t xml:space="preserve">oblasti zemědělství čelí EU mnoha výzvám </w:t>
      </w:r>
      <w:r w:rsidR="00B65971">
        <w:t>a</w:t>
      </w:r>
      <w:r w:rsidR="00053E6E">
        <w:t xml:space="preserve"> </w:t>
      </w:r>
      <w:r>
        <w:t xml:space="preserve">také změnám. </w:t>
      </w:r>
      <w:r w:rsidR="00054044">
        <w:t>D</w:t>
      </w:r>
      <w:r>
        <w:t xml:space="preserve">o roku 2050 </w:t>
      </w:r>
      <w:r w:rsidR="00054044">
        <w:t>by se měla</w:t>
      </w:r>
      <w:r>
        <w:t xml:space="preserve"> produkce potravin zdvojnásobit, aby </w:t>
      </w:r>
      <w:r w:rsidR="005932DC">
        <w:t xml:space="preserve">dokázala udržet tempo </w:t>
      </w:r>
      <w:r w:rsidR="00B65971">
        <w:t>s</w:t>
      </w:r>
      <w:r w:rsidR="00053E6E">
        <w:t xml:space="preserve"> </w:t>
      </w:r>
      <w:r w:rsidR="005932DC">
        <w:t xml:space="preserve">rostoucím počtem </w:t>
      </w:r>
      <w:r w:rsidR="005932DC">
        <w:lastRenderedPageBreak/>
        <w:t xml:space="preserve">obyvatel. Zemědělská politika tedy musí pomáhat zemědělcům vyrovnat se </w:t>
      </w:r>
      <w:r w:rsidR="00B65971">
        <w:t>s</w:t>
      </w:r>
      <w:r w:rsidR="00053E6E">
        <w:t xml:space="preserve"> </w:t>
      </w:r>
      <w:r w:rsidR="005932DC">
        <w:t xml:space="preserve">těmito výzvami </w:t>
      </w:r>
      <w:r w:rsidR="00B65971">
        <w:t>a</w:t>
      </w:r>
      <w:r w:rsidR="00053E6E">
        <w:t xml:space="preserve"> </w:t>
      </w:r>
      <w:r w:rsidR="005932DC">
        <w:t xml:space="preserve">dokázat na ně adekvátně reagovat. Tato politika se dotýká celé řady dalších oblastí, např. bezpečnosti potravin, propagaci zemědělských produktů EU nebo kvality potravin. Orgány EU se podílejí na tvorbě legislativy </w:t>
      </w:r>
      <w:r w:rsidR="00B65971">
        <w:t>v</w:t>
      </w:r>
      <w:r w:rsidR="00053E6E">
        <w:t xml:space="preserve"> </w:t>
      </w:r>
      <w:r w:rsidR="005932DC">
        <w:t xml:space="preserve">této oblasti </w:t>
      </w:r>
      <w:r w:rsidR="00B65971">
        <w:t>a</w:t>
      </w:r>
      <w:r w:rsidR="00053E6E">
        <w:t xml:space="preserve"> </w:t>
      </w:r>
      <w:r w:rsidR="005932DC">
        <w:t xml:space="preserve">poté dohlížejí na její implementaci jednotlivými státy </w:t>
      </w:r>
      <w:r w:rsidR="00B65971">
        <w:t>a</w:t>
      </w:r>
      <w:r w:rsidR="00FB01E4">
        <w:t> </w:t>
      </w:r>
      <w:r w:rsidR="005932DC">
        <w:t xml:space="preserve">hodnotí úspěšnost. </w:t>
      </w:r>
      <w:r w:rsidR="00B65971">
        <w:t>V</w:t>
      </w:r>
      <w:r w:rsidR="00053E6E">
        <w:t xml:space="preserve"> </w:t>
      </w:r>
      <w:r w:rsidR="005932DC">
        <w:t xml:space="preserve">oblasti zemědělství </w:t>
      </w:r>
      <w:r w:rsidR="00B65971">
        <w:t>a</w:t>
      </w:r>
      <w:r w:rsidR="00053E6E">
        <w:t xml:space="preserve"> </w:t>
      </w:r>
      <w:r w:rsidR="005932DC">
        <w:t xml:space="preserve">souvisejících služeb je zaměstnáno okolo 44 miliónů lidí, jen </w:t>
      </w:r>
      <w:r w:rsidR="00B65971">
        <w:t>v</w:t>
      </w:r>
      <w:r w:rsidR="00053E6E">
        <w:t xml:space="preserve"> </w:t>
      </w:r>
      <w:r w:rsidR="005932DC">
        <w:t xml:space="preserve">samotném zemědělství je to okolo 20 milionů lidí, </w:t>
      </w:r>
      <w:r w:rsidR="00B65971">
        <w:t>i</w:t>
      </w:r>
      <w:r w:rsidR="00053E6E">
        <w:t xml:space="preserve"> </w:t>
      </w:r>
      <w:r w:rsidR="005932DC">
        <w:t xml:space="preserve">tato čísla </w:t>
      </w:r>
      <w:r w:rsidR="004F4FB5">
        <w:t xml:space="preserve">dokazují důležitost </w:t>
      </w:r>
      <w:r w:rsidR="00054044">
        <w:t>zemědělské</w:t>
      </w:r>
      <w:r w:rsidR="004F4FB5">
        <w:t xml:space="preserve"> politiky</w:t>
      </w:r>
      <w:r w:rsidR="00244129">
        <w:t xml:space="preserve"> (</w:t>
      </w:r>
      <w:r w:rsidR="00F61581">
        <w:t>Evropská Unie</w:t>
      </w:r>
      <w:r w:rsidR="004F4FB5">
        <w:t xml:space="preserve">, 2019). Plně tato politika funguje od roku 1968 </w:t>
      </w:r>
      <w:r w:rsidR="00B65971">
        <w:t>a</w:t>
      </w:r>
      <w:r w:rsidR="00053E6E">
        <w:t xml:space="preserve"> </w:t>
      </w:r>
      <w:r w:rsidR="004F4FB5">
        <w:t>pět cílů této politiky obsahovala už Římská smlouva.</w:t>
      </w:r>
      <w:r w:rsidR="00C2242E">
        <w:t xml:space="preserve"> Nyní je zemědělská politika rozdělena do dvou hlavních pilířů, </w:t>
      </w:r>
      <w:r w:rsidR="00B65971">
        <w:t>I</w:t>
      </w:r>
      <w:r w:rsidR="00C2242E">
        <w:t xml:space="preserve">. obsahuje </w:t>
      </w:r>
      <w:r w:rsidR="00054044">
        <w:t>přímé platby zemědělcům</w:t>
      </w:r>
      <w:r w:rsidR="00C2242E">
        <w:t xml:space="preserve"> </w:t>
      </w:r>
      <w:r w:rsidR="00B65971">
        <w:t>a</w:t>
      </w:r>
      <w:r w:rsidR="00053E6E">
        <w:t xml:space="preserve"> </w:t>
      </w:r>
      <w:r w:rsidR="00054044">
        <w:t>II.</w:t>
      </w:r>
      <w:r w:rsidR="00C2242E">
        <w:t xml:space="preserve"> rozvoj venkova. </w:t>
      </w:r>
      <w:r w:rsidR="00B65971">
        <w:t>V</w:t>
      </w:r>
      <w:r w:rsidR="00FB01E4">
        <w:t> </w:t>
      </w:r>
      <w:r w:rsidR="004F4FB5">
        <w:t xml:space="preserve">některých obdobích, třeba </w:t>
      </w:r>
      <w:r w:rsidR="00B65971">
        <w:t>v</w:t>
      </w:r>
      <w:r w:rsidR="00053E6E">
        <w:t xml:space="preserve"> </w:t>
      </w:r>
      <w:r w:rsidR="004F4FB5">
        <w:t>70.</w:t>
      </w:r>
      <w:r w:rsidR="00E863B1">
        <w:t xml:space="preserve"> </w:t>
      </w:r>
      <w:r w:rsidR="004F4FB5">
        <w:t xml:space="preserve">letech byla zemědělská politika největší položkou </w:t>
      </w:r>
      <w:r w:rsidR="00B65971">
        <w:t>v</w:t>
      </w:r>
      <w:r w:rsidR="00FB01E4">
        <w:t> </w:t>
      </w:r>
      <w:r w:rsidR="004F4FB5">
        <w:t>rozpočtu, zabírala</w:t>
      </w:r>
      <w:r w:rsidR="00C2242E">
        <w:t xml:space="preserve"> </w:t>
      </w:r>
      <w:r w:rsidR="006B2106">
        <w:t xml:space="preserve">celkem </w:t>
      </w:r>
      <w:r w:rsidR="00C2242E">
        <w:t>70%.</w:t>
      </w:r>
      <w:r w:rsidR="006B2106">
        <w:t xml:space="preserve"> </w:t>
      </w:r>
      <w:r w:rsidR="00B65971">
        <w:t>V</w:t>
      </w:r>
      <w:r w:rsidR="00053E6E">
        <w:t xml:space="preserve"> </w:t>
      </w:r>
      <w:r w:rsidR="00C2242E">
        <w:t>poslední době bylo vyvinuto značné úsílí, aby se tyto náklady snížily. Zemědělská politika prodělala několik reforem,</w:t>
      </w:r>
      <w:r w:rsidR="00CD17A6">
        <w:t xml:space="preserve"> </w:t>
      </w:r>
      <w:r w:rsidR="00C2242E">
        <w:t xml:space="preserve">např. Fischlerova reforma </w:t>
      </w:r>
      <w:r w:rsidR="00B65971">
        <w:t>z</w:t>
      </w:r>
      <w:r w:rsidR="00FB01E4">
        <w:t> </w:t>
      </w:r>
      <w:r w:rsidR="00C2242E">
        <w:t xml:space="preserve">roku 2003 nebo tzv. Health chech </w:t>
      </w:r>
      <w:r w:rsidR="00B65971">
        <w:t>z</w:t>
      </w:r>
      <w:r w:rsidR="00053E6E">
        <w:t xml:space="preserve"> </w:t>
      </w:r>
      <w:r w:rsidR="00C2242E">
        <w:t xml:space="preserve">roku 2008. </w:t>
      </w:r>
      <w:r w:rsidR="00B65971">
        <w:t>V</w:t>
      </w:r>
      <w:r w:rsidR="00053E6E">
        <w:t xml:space="preserve"> </w:t>
      </w:r>
      <w:r w:rsidR="00C2242E">
        <w:t>so</w:t>
      </w:r>
      <w:r w:rsidR="00D008BF">
        <w:t>učasné době</w:t>
      </w:r>
      <w:r w:rsidR="00C2242E">
        <w:t xml:space="preserve"> již tato politika tvoří přibližně</w:t>
      </w:r>
      <w:r w:rsidR="00D008BF">
        <w:t xml:space="preserve"> jen </w:t>
      </w:r>
      <w:r w:rsidR="00C2242E">
        <w:t xml:space="preserve">37% rozpočtu, což </w:t>
      </w:r>
      <w:r w:rsidR="00B65971">
        <w:t>v</w:t>
      </w:r>
      <w:r w:rsidR="00053E6E">
        <w:t xml:space="preserve"> </w:t>
      </w:r>
      <w:r w:rsidR="00C2242E">
        <w:t xml:space="preserve">porovnání </w:t>
      </w:r>
      <w:r w:rsidR="00B65971">
        <w:t>s</w:t>
      </w:r>
      <w:r w:rsidR="00053E6E">
        <w:t xml:space="preserve"> </w:t>
      </w:r>
      <w:r w:rsidR="00C2242E">
        <w:t>minulostí je podstatně nižší částka</w:t>
      </w:r>
      <w:r w:rsidR="001F51A2">
        <w:t xml:space="preserve"> (Bydžovská 2018). </w:t>
      </w:r>
    </w:p>
    <w:p w:rsidR="005E4B0C" w:rsidRDefault="001F51A2" w:rsidP="00BC33DB">
      <w:r>
        <w:t xml:space="preserve">Jelikož do této oblasti zahrnuji </w:t>
      </w:r>
      <w:r w:rsidR="00B65971">
        <w:t>i</w:t>
      </w:r>
      <w:r w:rsidR="00053E6E">
        <w:t xml:space="preserve"> </w:t>
      </w:r>
      <w:r>
        <w:t>bezpečnost potravin</w:t>
      </w:r>
      <w:r w:rsidR="00D008BF">
        <w:t>,</w:t>
      </w:r>
      <w:r>
        <w:t xml:space="preserve"> je potřeba napsat něco </w:t>
      </w:r>
      <w:r w:rsidR="00B65971">
        <w:t>k</w:t>
      </w:r>
      <w:r w:rsidR="00053E6E">
        <w:t xml:space="preserve"> </w:t>
      </w:r>
      <w:r w:rsidR="00D008BF">
        <w:t>této</w:t>
      </w:r>
      <w:r>
        <w:t xml:space="preserve"> problematice.</w:t>
      </w:r>
      <w:r w:rsidR="00E863B1">
        <w:t xml:space="preserve"> T</w:t>
      </w:r>
      <w:r>
        <w:t xml:space="preserve">ýká </w:t>
      </w:r>
      <w:r w:rsidR="00E863B1">
        <w:t xml:space="preserve">se </w:t>
      </w:r>
      <w:r w:rsidR="006B2106">
        <w:t>třeba</w:t>
      </w:r>
      <w:r>
        <w:t xml:space="preserve"> hygieny potravin, zdraví </w:t>
      </w:r>
      <w:r w:rsidR="00E863B1">
        <w:t xml:space="preserve">farmářských </w:t>
      </w:r>
      <w:r>
        <w:t xml:space="preserve">zvířat, zdraví rostlin </w:t>
      </w:r>
      <w:r w:rsidR="00B65971">
        <w:t>a</w:t>
      </w:r>
      <w:r w:rsidR="00FB01E4">
        <w:t> </w:t>
      </w:r>
      <w:r>
        <w:t xml:space="preserve">používání zněčišťujících látek. Na uplatnění </w:t>
      </w:r>
      <w:r w:rsidR="00B65971">
        <w:t>a</w:t>
      </w:r>
      <w:r w:rsidR="00053E6E">
        <w:t xml:space="preserve"> </w:t>
      </w:r>
      <w:r>
        <w:t xml:space="preserve">prosazení norem EU </w:t>
      </w:r>
      <w:r w:rsidR="00B65971">
        <w:t>v</w:t>
      </w:r>
      <w:r w:rsidR="00053E6E">
        <w:t xml:space="preserve"> </w:t>
      </w:r>
      <w:r>
        <w:t>této oblasti dohlížejí členské státy, orgány EU provádějí poté audit. Posouzení rizik ohledně bezpečnosti potravin provádí E</w:t>
      </w:r>
      <w:r w:rsidRPr="001F51A2">
        <w:t>vropský úřad pro bezpečnost potravin</w:t>
      </w:r>
      <w:r>
        <w:t xml:space="preserve"> </w:t>
      </w:r>
      <w:r w:rsidR="00244129">
        <w:t>(</w:t>
      </w:r>
      <w:r w:rsidR="00F61581">
        <w:t>Evropská Unie</w:t>
      </w:r>
      <w:r w:rsidR="00244129">
        <w:t xml:space="preserve"> 2019). Vysoké náklady, velká zaměstnanost lidí </w:t>
      </w:r>
      <w:r w:rsidR="00B65971">
        <w:t>a</w:t>
      </w:r>
      <w:r w:rsidR="00053E6E">
        <w:t xml:space="preserve"> </w:t>
      </w:r>
      <w:r w:rsidR="00244129">
        <w:t>důležitost pro budoucnost nejen Evropy. Minimálně už jen kvůli</w:t>
      </w:r>
      <w:r w:rsidR="005E4B0C">
        <w:t xml:space="preserve"> </w:t>
      </w:r>
      <w:r w:rsidR="00244129">
        <w:t xml:space="preserve">těmto věcem je zemědělská politika velmi důležitá </w:t>
      </w:r>
      <w:r w:rsidR="00B65971">
        <w:t>i</w:t>
      </w:r>
      <w:r w:rsidR="00053E6E">
        <w:t xml:space="preserve"> </w:t>
      </w:r>
      <w:r w:rsidR="00244129">
        <w:t>pro zájmové skupiny.</w:t>
      </w:r>
    </w:p>
    <w:p w:rsidR="00CB26DB" w:rsidRDefault="00F6409B" w:rsidP="00BC33DB">
      <w:r>
        <w:t>Do analýzy vstoupilo celkem 2</w:t>
      </w:r>
      <w:r w:rsidR="00C35523">
        <w:t>8</w:t>
      </w:r>
      <w:r>
        <w:t xml:space="preserve"> subjektů, tři </w:t>
      </w:r>
      <w:r w:rsidR="00B65971">
        <w:t>z</w:t>
      </w:r>
      <w:r w:rsidR="00053E6E">
        <w:t xml:space="preserve"> </w:t>
      </w:r>
      <w:r>
        <w:t xml:space="preserve">oddílu </w:t>
      </w:r>
      <w:r w:rsidRPr="00F6409B">
        <w:t xml:space="preserve">VI - </w:t>
      </w:r>
      <w:r>
        <w:t>o</w:t>
      </w:r>
      <w:r w:rsidRPr="00F6409B">
        <w:t xml:space="preserve">rganizace zastupující místní, regionální </w:t>
      </w:r>
      <w:r w:rsidR="00B65971" w:rsidRPr="00F6409B">
        <w:t>a</w:t>
      </w:r>
      <w:r w:rsidR="00053E6E">
        <w:t xml:space="preserve"> </w:t>
      </w:r>
      <w:r w:rsidRPr="00F6409B">
        <w:t>obecní orgány, jiné veřejné či smíšené subjekty</w:t>
      </w:r>
      <w:r>
        <w:t xml:space="preserve">, jeden zastupující oddíl </w:t>
      </w:r>
      <w:r w:rsidR="00B65971" w:rsidRPr="00F6409B">
        <w:t>I</w:t>
      </w:r>
      <w:r w:rsidR="00053E6E">
        <w:t xml:space="preserve"> </w:t>
      </w:r>
      <w:r w:rsidRPr="00F6409B">
        <w:t xml:space="preserve">- </w:t>
      </w:r>
      <w:r>
        <w:t>o</w:t>
      </w:r>
      <w:r w:rsidRPr="00F6409B">
        <w:t>dborné poradenské společnosti/právnické firmy/samostatně výdělečně činní poradci</w:t>
      </w:r>
      <w:r>
        <w:t>.</w:t>
      </w:r>
      <w:r w:rsidR="00EE3D33">
        <w:t xml:space="preserve"> </w:t>
      </w:r>
      <w:r w:rsidR="00CB26DB">
        <w:t xml:space="preserve">Největší zastoupení měl oddíl </w:t>
      </w:r>
      <w:r w:rsidR="00CB26DB" w:rsidRPr="00CB26DB">
        <w:t xml:space="preserve">II - interní lobbisté </w:t>
      </w:r>
      <w:r w:rsidR="00B65971" w:rsidRPr="00CB26DB">
        <w:t>a</w:t>
      </w:r>
      <w:r w:rsidR="00053E6E">
        <w:t xml:space="preserve"> </w:t>
      </w:r>
      <w:r w:rsidR="00CB26DB" w:rsidRPr="00CB26DB">
        <w:t>obchodní/podniková/profesní sdružení</w:t>
      </w:r>
      <w:r w:rsidR="00CB26DB">
        <w:t>.</w:t>
      </w:r>
      <w:r>
        <w:t xml:space="preserve"> </w:t>
      </w:r>
      <w:r w:rsidR="00B65971">
        <w:t>Z</w:t>
      </w:r>
      <w:r w:rsidR="00053E6E">
        <w:t xml:space="preserve"> </w:t>
      </w:r>
      <w:r>
        <w:t xml:space="preserve">pododdílů byly nejčastěji zastoupeny obchodní </w:t>
      </w:r>
      <w:r w:rsidR="00B65971">
        <w:t>a</w:t>
      </w:r>
      <w:r w:rsidR="00053E6E">
        <w:t xml:space="preserve"> </w:t>
      </w:r>
      <w:r>
        <w:t>podniková sdružení. Subjektů bylo celkem 29,</w:t>
      </w:r>
      <w:r w:rsidR="0068020C">
        <w:t xml:space="preserve"> ale jeden byl vyloučen, jde opět </w:t>
      </w:r>
      <w:r w:rsidR="00B65971">
        <w:t>o</w:t>
      </w:r>
      <w:r w:rsidR="00053E6E">
        <w:t xml:space="preserve"> </w:t>
      </w:r>
      <w:r w:rsidR="0068020C">
        <w:t xml:space="preserve">CARwDR </w:t>
      </w:r>
      <w:r w:rsidR="00B65971">
        <w:t>a</w:t>
      </w:r>
      <w:r w:rsidR="00053E6E">
        <w:t xml:space="preserve"> </w:t>
      </w:r>
      <w:r w:rsidR="0068020C">
        <w:t xml:space="preserve">to ze stejného důvodu, jako </w:t>
      </w:r>
      <w:r w:rsidR="00B65971">
        <w:t>v</w:t>
      </w:r>
      <w:r w:rsidR="000F4175">
        <w:t> </w:t>
      </w:r>
      <w:r w:rsidR="0068020C">
        <w:t>předchozích částech.</w:t>
      </w:r>
      <w:r w:rsidR="00C35523">
        <w:t xml:space="preserve"> </w:t>
      </w:r>
      <w:r w:rsidR="00CB26DB">
        <w:t>Má očekávání od analýzy této oblasti byla nejistá.</w:t>
      </w:r>
      <w:r w:rsidR="00F86C3E">
        <w:t xml:space="preserve"> </w:t>
      </w:r>
      <w:r w:rsidR="001374EA">
        <w:t xml:space="preserve">Vzhledem </w:t>
      </w:r>
      <w:r w:rsidR="00B65971">
        <w:t>k</w:t>
      </w:r>
      <w:r w:rsidR="00053E6E">
        <w:t xml:space="preserve"> </w:t>
      </w:r>
      <w:r w:rsidR="001374EA">
        <w:t xml:space="preserve">tomu, že </w:t>
      </w:r>
      <w:r w:rsidR="00B65971">
        <w:t>v</w:t>
      </w:r>
      <w:r w:rsidR="00053E6E">
        <w:t xml:space="preserve"> </w:t>
      </w:r>
      <w:r w:rsidR="001374EA">
        <w:t>oblasti zemědělství je vydáváno značné množství legislativy, očekával bych větší množství samostatných firem, které by dodávaly expert knowledge.</w:t>
      </w:r>
      <w:r w:rsidR="00E863B1">
        <w:t xml:space="preserve"> Ale zemědělci se často sdru</w:t>
      </w:r>
      <w:r w:rsidR="00EE3D33">
        <w:t>ž</w:t>
      </w:r>
      <w:r w:rsidR="00E863B1">
        <w:t xml:space="preserve">ují také do asociací, takže </w:t>
      </w:r>
      <w:r w:rsidR="00B65971">
        <w:t>i</w:t>
      </w:r>
      <w:r w:rsidR="00053E6E">
        <w:t xml:space="preserve"> </w:t>
      </w:r>
      <w:r w:rsidR="00E863B1">
        <w:t>těch jsem očekával značné množství.</w:t>
      </w:r>
    </w:p>
    <w:p w:rsidR="001374EA" w:rsidRDefault="00B65971" w:rsidP="00BC33DB">
      <w:r>
        <w:lastRenderedPageBreak/>
        <w:t>V</w:t>
      </w:r>
      <w:r w:rsidR="00053E6E">
        <w:t xml:space="preserve"> </w:t>
      </w:r>
      <w:r w:rsidR="001374EA">
        <w:t xml:space="preserve">podoblastech zemědělství </w:t>
      </w:r>
      <w:r>
        <w:t>a</w:t>
      </w:r>
      <w:r w:rsidR="00053E6E">
        <w:t xml:space="preserve"> </w:t>
      </w:r>
      <w:r w:rsidR="001374EA">
        <w:t xml:space="preserve">rozvoje venkova, společně </w:t>
      </w:r>
      <w:r>
        <w:t>s</w:t>
      </w:r>
      <w:r w:rsidR="00053E6E">
        <w:t xml:space="preserve"> </w:t>
      </w:r>
      <w:r w:rsidR="001374EA">
        <w:t>bezpečností potravin figuruje pouze pět samostatných organizací</w:t>
      </w:r>
      <w:r w:rsidR="00431608">
        <w:rPr>
          <w:rStyle w:val="FootnoteReference"/>
        </w:rPr>
        <w:footnoteReference w:id="8"/>
      </w:r>
      <w:r w:rsidR="001374EA">
        <w:t>.</w:t>
      </w:r>
      <w:r w:rsidR="00055C5B">
        <w:t xml:space="preserve"> Většina </w:t>
      </w:r>
      <w:r>
        <w:t>z</w:t>
      </w:r>
      <w:r w:rsidR="00053E6E">
        <w:t xml:space="preserve"> </w:t>
      </w:r>
      <w:r w:rsidR="00055C5B">
        <w:t xml:space="preserve">nich už se </w:t>
      </w:r>
      <w:r>
        <w:t>v</w:t>
      </w:r>
      <w:r w:rsidR="00053E6E">
        <w:t xml:space="preserve"> </w:t>
      </w:r>
      <w:r w:rsidR="00055C5B">
        <w:t>mé analýze objevila. Heineken</w:t>
      </w:r>
      <w:r w:rsidR="00B63CF8">
        <w:t xml:space="preserve"> </w:t>
      </w:r>
      <w:r w:rsidR="00D70523">
        <w:t xml:space="preserve">má podoblast zemědělské politiky </w:t>
      </w:r>
      <w:r>
        <w:t>a</w:t>
      </w:r>
      <w:r w:rsidR="00053E6E">
        <w:t xml:space="preserve"> </w:t>
      </w:r>
      <w:r w:rsidR="00D70523">
        <w:t xml:space="preserve">rozvoje venkova </w:t>
      </w:r>
      <w:r w:rsidR="00B63CF8">
        <w:t xml:space="preserve">přímo </w:t>
      </w:r>
      <w:r w:rsidR="00D70523">
        <w:t xml:space="preserve">mezi svými iniciativami (Rejstřík 2019). DNV GL je </w:t>
      </w:r>
      <w:r>
        <w:t>v</w:t>
      </w:r>
      <w:r w:rsidR="00053E6E">
        <w:t xml:space="preserve"> </w:t>
      </w:r>
      <w:r w:rsidR="00D70523">
        <w:t>oblasti zemědělství také aktivní, mezi iniciativami má bezpečnost potravin (Tamtéž).</w:t>
      </w:r>
      <w:r w:rsidR="00B1491B">
        <w:t xml:space="preserve"> </w:t>
      </w:r>
      <w:r w:rsidR="00D70523">
        <w:t>Touto podoblastí se zabývá kvůli nárustu nemocí způsobený</w:t>
      </w:r>
      <w:r w:rsidR="00B1491B">
        <w:t>ch</w:t>
      </w:r>
      <w:r w:rsidR="00D70523">
        <w:t xml:space="preserve"> kvalitou potravin </w:t>
      </w:r>
      <w:r>
        <w:t>a</w:t>
      </w:r>
      <w:r w:rsidR="00FB01E4">
        <w:t> </w:t>
      </w:r>
      <w:r w:rsidR="00F86C3E">
        <w:t xml:space="preserve">tato oblast patří </w:t>
      </w:r>
      <w:r>
        <w:t>k</w:t>
      </w:r>
      <w:r w:rsidR="00053E6E">
        <w:t xml:space="preserve"> </w:t>
      </w:r>
      <w:r w:rsidR="00F86C3E">
        <w:t xml:space="preserve">prioritám </w:t>
      </w:r>
      <w:r w:rsidR="00B1491B">
        <w:t>(dnvgl.com 2019).</w:t>
      </w:r>
      <w:r w:rsidR="00D70523">
        <w:t xml:space="preserve"> </w:t>
      </w:r>
      <w:r w:rsidR="00B1491B">
        <w:t xml:space="preserve">Firma Lloyd’s Register </w:t>
      </w:r>
      <w:r>
        <w:t>z</w:t>
      </w:r>
      <w:r w:rsidR="00053E6E">
        <w:t xml:space="preserve"> </w:t>
      </w:r>
      <w:r w:rsidR="00B1491B">
        <w:t xml:space="preserve">Velké Británie má také bezpečnost potravin mezi svými primárními zájmy (Rejstřík 2018). Nabízí </w:t>
      </w:r>
      <w:r>
        <w:t>v</w:t>
      </w:r>
      <w:r w:rsidR="00053E6E">
        <w:t xml:space="preserve"> </w:t>
      </w:r>
      <w:r w:rsidR="00B1491B">
        <w:t xml:space="preserve">této oblasti </w:t>
      </w:r>
      <w:r w:rsidR="00F86C3E">
        <w:t>široké možnosti</w:t>
      </w:r>
      <w:r w:rsidR="00B1491B">
        <w:t xml:space="preserve"> poradenství</w:t>
      </w:r>
      <w:r w:rsidR="00B63CF8">
        <w:t xml:space="preserve"> </w:t>
      </w:r>
      <w:r w:rsidR="00B1491B">
        <w:t>(</w:t>
      </w:r>
      <w:r w:rsidR="00D333F8">
        <w:t>Lloyd’s Register</w:t>
      </w:r>
      <w:r w:rsidR="00B1491B">
        <w:t xml:space="preserve"> 2019).</w:t>
      </w:r>
      <w:r w:rsidR="00B63CF8">
        <w:t xml:space="preserve"> </w:t>
      </w:r>
      <w:r w:rsidR="00B1491B">
        <w:t xml:space="preserve">Bacardi-Martini </w:t>
      </w:r>
      <w:r>
        <w:t>a</w:t>
      </w:r>
      <w:r w:rsidR="00053E6E">
        <w:t xml:space="preserve"> </w:t>
      </w:r>
      <w:r w:rsidR="00B63CF8">
        <w:t xml:space="preserve">SALAR </w:t>
      </w:r>
      <w:r w:rsidR="00567854">
        <w:t xml:space="preserve">mají mezi podoblastmi zájmů zemědělství </w:t>
      </w:r>
      <w:r>
        <w:t>a</w:t>
      </w:r>
      <w:r w:rsidR="00053E6E">
        <w:t xml:space="preserve"> </w:t>
      </w:r>
      <w:r w:rsidR="00567854">
        <w:t xml:space="preserve">rozvoj venkova, SALAR dokonce </w:t>
      </w:r>
      <w:r>
        <w:t>i</w:t>
      </w:r>
      <w:r w:rsidR="00053E6E">
        <w:t xml:space="preserve"> </w:t>
      </w:r>
      <w:r w:rsidR="00567854">
        <w:t>bezpečnost potravin, ale dataily nenabízí ani na svých stránkách (Rejstřík 2019).</w:t>
      </w:r>
      <w:r w:rsidR="00B63CF8">
        <w:t xml:space="preserve"> </w:t>
      </w:r>
    </w:p>
    <w:p w:rsidR="00567854" w:rsidRDefault="00B65971" w:rsidP="00BC33DB">
      <w:r>
        <w:t>V</w:t>
      </w:r>
      <w:r w:rsidR="00053E6E">
        <w:t xml:space="preserve"> </w:t>
      </w:r>
      <w:r w:rsidR="00884386">
        <w:t xml:space="preserve">této oblasti fungují dvě regionální asociace, </w:t>
      </w:r>
      <w:r w:rsidR="00884386" w:rsidRPr="00884386">
        <w:t>Mission Opérationnelle Transfrontalière</w:t>
      </w:r>
      <w:r w:rsidR="00884386">
        <w:t xml:space="preserve"> zastupující francouzské regiony </w:t>
      </w:r>
      <w:r>
        <w:t>a</w:t>
      </w:r>
      <w:r w:rsidR="00053E6E">
        <w:t xml:space="preserve"> </w:t>
      </w:r>
      <w:r w:rsidR="00884386">
        <w:t>VVSG zastupující flanderské regiony.</w:t>
      </w:r>
      <w:r w:rsidR="00431608">
        <w:t xml:space="preserve"> </w:t>
      </w:r>
      <w:r w:rsidR="00884386">
        <w:t xml:space="preserve">Obě organizace zastupují regiony </w:t>
      </w:r>
      <w:r>
        <w:t>v</w:t>
      </w:r>
      <w:r w:rsidR="00053E6E">
        <w:t xml:space="preserve"> </w:t>
      </w:r>
      <w:r w:rsidR="00884386">
        <w:t>širokém spektru záležitostí, včetně zemědělství (Rejstřík 2018,</w:t>
      </w:r>
      <w:r w:rsidR="00F86C3E">
        <w:t xml:space="preserve"> </w:t>
      </w:r>
      <w:r w:rsidR="00884386">
        <w:t>2019).</w:t>
      </w:r>
      <w:r w:rsidR="00431608">
        <w:t xml:space="preserve"> Dvě národní asociace mají </w:t>
      </w:r>
      <w:r>
        <w:t>v</w:t>
      </w:r>
      <w:r w:rsidR="00053E6E">
        <w:t xml:space="preserve"> </w:t>
      </w:r>
      <w:r w:rsidR="00431608">
        <w:t>této oblasti své primární zájmy,</w:t>
      </w:r>
      <w:r w:rsidR="00EE3D33">
        <w:t xml:space="preserve"> </w:t>
      </w:r>
      <w:r w:rsidR="00431608">
        <w:t xml:space="preserve">jde </w:t>
      </w:r>
      <w:r>
        <w:t>o</w:t>
      </w:r>
      <w:r w:rsidR="00053E6E">
        <w:t xml:space="preserve"> </w:t>
      </w:r>
      <w:r w:rsidR="00431608" w:rsidRPr="00431608">
        <w:t>Federazione Nazionale Costruttori Macchine per l'Agricoltura</w:t>
      </w:r>
      <w:r w:rsidR="00431608">
        <w:t xml:space="preserve">, italskou asociaci poskytující služby hlavně </w:t>
      </w:r>
      <w:r>
        <w:t>v</w:t>
      </w:r>
      <w:r w:rsidR="00053E6E">
        <w:t xml:space="preserve"> </w:t>
      </w:r>
      <w:r w:rsidR="00431608">
        <w:t xml:space="preserve">oblasti zemědělských strojů </w:t>
      </w:r>
      <w:r>
        <w:t>a</w:t>
      </w:r>
      <w:r w:rsidR="00053E6E">
        <w:t xml:space="preserve"> </w:t>
      </w:r>
      <w:r w:rsidR="00431608">
        <w:t>BLL</w:t>
      </w:r>
      <w:r w:rsidR="00431608">
        <w:rPr>
          <w:rStyle w:val="FootnoteReference"/>
        </w:rPr>
        <w:footnoteReference w:id="9"/>
      </w:r>
      <w:r w:rsidR="00431608">
        <w:t>, asociace německého potravinářského průmyslu</w:t>
      </w:r>
      <w:r w:rsidR="00F86C3E">
        <w:t xml:space="preserve"> (bll.de 2019</w:t>
      </w:r>
      <w:r w:rsidR="00F86C3E">
        <w:rPr>
          <w:lang w:val="en-US"/>
        </w:rPr>
        <w:t xml:space="preserve">; </w:t>
      </w:r>
      <w:r w:rsidR="00485AFC">
        <w:t xml:space="preserve">Federunacoma </w:t>
      </w:r>
      <w:r w:rsidR="00F86C3E">
        <w:t>2019)</w:t>
      </w:r>
      <w:r w:rsidR="00431608">
        <w:t>.</w:t>
      </w:r>
      <w:r w:rsidR="00F86C3E">
        <w:t xml:space="preserve"> </w:t>
      </w:r>
      <w:r w:rsidR="00431608">
        <w:t xml:space="preserve">Obě mají mezi svými podoblastmi zemědělství </w:t>
      </w:r>
      <w:r>
        <w:t>a</w:t>
      </w:r>
      <w:r w:rsidR="00053E6E">
        <w:t xml:space="preserve"> </w:t>
      </w:r>
      <w:r w:rsidR="00431608">
        <w:t xml:space="preserve">BLL </w:t>
      </w:r>
      <w:r>
        <w:t>i</w:t>
      </w:r>
      <w:r w:rsidR="00053E6E">
        <w:t xml:space="preserve"> </w:t>
      </w:r>
      <w:r w:rsidR="00431608">
        <w:t>bezpečnost potravin (Rejstřík 2018).</w:t>
      </w:r>
      <w:r w:rsidR="00E863B1">
        <w:t xml:space="preserve"> </w:t>
      </w:r>
      <w:r w:rsidR="008835C5">
        <w:t xml:space="preserve">Jako poslední zde patří FEDIL, který zastupuje lucemburské podniky </w:t>
      </w:r>
      <w:r>
        <w:t>a</w:t>
      </w:r>
      <w:r w:rsidR="00053E6E">
        <w:t xml:space="preserve"> </w:t>
      </w:r>
      <w:r w:rsidR="008835C5">
        <w:t xml:space="preserve">hájí jejich ekonomické zájmy, mezi podoblastmi má uvedenou bezpečnost potravin, ale jedná se </w:t>
      </w:r>
      <w:r>
        <w:t>o</w:t>
      </w:r>
      <w:r w:rsidR="00053E6E">
        <w:t xml:space="preserve"> </w:t>
      </w:r>
      <w:r w:rsidR="008835C5">
        <w:t>jeden ze sekundárních zájmů (Rejstřík 2019).</w:t>
      </w:r>
      <w:r w:rsidR="00EE45E0">
        <w:t xml:space="preserve"> Evropské asociace jsem rozdělil podle podoblastí.</w:t>
      </w:r>
      <w:r w:rsidR="00671FFC">
        <w:t xml:space="preserve"> </w:t>
      </w:r>
      <w:r w:rsidR="00EE45E0">
        <w:t>Bezpečností</w:t>
      </w:r>
      <w:r w:rsidR="00E863B1">
        <w:t xml:space="preserve"> </w:t>
      </w:r>
      <w:r w:rsidR="00EE45E0">
        <w:t>potravin se</w:t>
      </w:r>
      <w:r w:rsidR="00F05E43">
        <w:t xml:space="preserve"> </w:t>
      </w:r>
      <w:r w:rsidR="00EE45E0">
        <w:t xml:space="preserve">zabývá </w:t>
      </w:r>
      <w:r w:rsidR="00671FFC">
        <w:t>sedm</w:t>
      </w:r>
      <w:r w:rsidR="00EE45E0">
        <w:t xml:space="preserve"> asociací vyrábějící</w:t>
      </w:r>
      <w:r w:rsidR="00E863B1">
        <w:t>ch</w:t>
      </w:r>
      <w:r w:rsidR="00EE45E0">
        <w:t xml:space="preserve"> nejrůznější druhy </w:t>
      </w:r>
      <w:r w:rsidR="002C64E2">
        <w:t>obalů</w:t>
      </w:r>
      <w:r w:rsidR="00F05E43">
        <w:t xml:space="preserve"> </w:t>
      </w:r>
      <w:r>
        <w:t>a</w:t>
      </w:r>
      <w:r w:rsidR="00FB01E4">
        <w:t> </w:t>
      </w:r>
      <w:r w:rsidR="002C64E2">
        <w:t>kuchyňského náčiní,</w:t>
      </w:r>
      <w:r w:rsidR="00671FFC">
        <w:t xml:space="preserve"> FEC,</w:t>
      </w:r>
      <w:r w:rsidR="002C64E2">
        <w:t xml:space="preserve"> ESGA, EUROFEMA, European Domestic Glass, EFCEM, </w:t>
      </w:r>
      <w:r w:rsidR="002C64E2" w:rsidRPr="002C64E2">
        <w:t>Metal Packaging Europe External Affairs</w:t>
      </w:r>
      <w:r w:rsidR="002C64E2">
        <w:t xml:space="preserve"> </w:t>
      </w:r>
      <w:r>
        <w:t>a</w:t>
      </w:r>
      <w:r w:rsidR="00053E6E">
        <w:t xml:space="preserve"> </w:t>
      </w:r>
      <w:r w:rsidR="002C64E2">
        <w:t>GlassFibreEurope (Rejstřík 2018, 2019).</w:t>
      </w:r>
      <w:r w:rsidR="00F5784B">
        <w:t xml:space="preserve"> </w:t>
      </w:r>
      <w:r w:rsidR="00671FFC">
        <w:t xml:space="preserve">ERPA má také zájem </w:t>
      </w:r>
      <w:r>
        <w:t>o</w:t>
      </w:r>
      <w:r w:rsidR="00053E6E">
        <w:t xml:space="preserve"> </w:t>
      </w:r>
      <w:r w:rsidR="00671FFC">
        <w:t xml:space="preserve">bezpečnost potravin </w:t>
      </w:r>
      <w:r>
        <w:t>i</w:t>
      </w:r>
      <w:r w:rsidR="00053E6E">
        <w:t xml:space="preserve"> </w:t>
      </w:r>
      <w:r w:rsidR="00671FFC">
        <w:t>když primárně se zabývá kosmetikou, nic konkrétn</w:t>
      </w:r>
      <w:r w:rsidR="00C456C5">
        <w:t>ějšího</w:t>
      </w:r>
      <w:r w:rsidR="00671FFC">
        <w:t xml:space="preserve"> </w:t>
      </w:r>
      <w:r>
        <w:t>o</w:t>
      </w:r>
      <w:r w:rsidR="00053E6E">
        <w:t xml:space="preserve"> </w:t>
      </w:r>
      <w:r w:rsidR="00671FFC">
        <w:t>dané podoblasti jsem nezjistil ani n</w:t>
      </w:r>
      <w:r w:rsidR="00996A7D">
        <w:t>a</w:t>
      </w:r>
      <w:r w:rsidR="00671FFC">
        <w:t xml:space="preserve"> stránkách</w:t>
      </w:r>
      <w:r w:rsidR="00C456C5">
        <w:t xml:space="preserve"> </w:t>
      </w:r>
      <w:r w:rsidR="00671FFC">
        <w:t>(Tamtéž). EUROFEMA se pak zabývá bezpečností potravin</w:t>
      </w:r>
      <w:r w:rsidR="00C456C5">
        <w:t>,</w:t>
      </w:r>
      <w:r w:rsidR="00671FFC">
        <w:t xml:space="preserve"> jelikož vyrábí chemické postřiky, mezi podoblasti zájmů řadí </w:t>
      </w:r>
      <w:r>
        <w:t>i</w:t>
      </w:r>
      <w:r w:rsidR="00053E6E">
        <w:t xml:space="preserve"> </w:t>
      </w:r>
      <w:r w:rsidR="00671FFC">
        <w:t>zemědělství (Tamtéž).</w:t>
      </w:r>
      <w:r w:rsidR="00996A7D">
        <w:t xml:space="preserve"> </w:t>
      </w:r>
      <w:r w:rsidR="00E9078C">
        <w:t xml:space="preserve">Podobným tématem se zabývá </w:t>
      </w:r>
      <w:r>
        <w:t>i</w:t>
      </w:r>
      <w:r w:rsidR="00053E6E">
        <w:t xml:space="preserve"> </w:t>
      </w:r>
      <w:r w:rsidR="00E9078C" w:rsidRPr="00E9078C">
        <w:t>European Crop Care Association</w:t>
      </w:r>
      <w:r w:rsidR="00E9078C">
        <w:t xml:space="preserve">, kromě postřiků </w:t>
      </w:r>
      <w:r w:rsidR="00C456C5">
        <w:t>zahrnuje</w:t>
      </w:r>
      <w:r w:rsidR="00E9078C">
        <w:t xml:space="preserve"> celkově podpor</w:t>
      </w:r>
      <w:r w:rsidR="00C456C5">
        <w:t>u</w:t>
      </w:r>
      <w:r w:rsidR="00E9078C">
        <w:t xml:space="preserve"> zemědělství (ecca-org.eu 2019).</w:t>
      </w:r>
      <w:r w:rsidR="00555A4D">
        <w:t xml:space="preserve"> </w:t>
      </w:r>
      <w:r w:rsidR="00D15FA6">
        <w:t xml:space="preserve">Obě podoblasti </w:t>
      </w:r>
      <w:r w:rsidR="00F05E43">
        <w:t>mezi</w:t>
      </w:r>
      <w:r w:rsidR="00D15FA6">
        <w:t xml:space="preserve"> zájm</w:t>
      </w:r>
      <w:r w:rsidR="00F05E43">
        <w:t xml:space="preserve">y </w:t>
      </w:r>
      <w:r w:rsidR="00D15FA6">
        <w:t xml:space="preserve">mají uvedeny </w:t>
      </w:r>
      <w:r>
        <w:t>i</w:t>
      </w:r>
      <w:r w:rsidR="00FB01E4">
        <w:t> </w:t>
      </w:r>
      <w:r w:rsidR="00D15FA6">
        <w:t xml:space="preserve">EFPRA, zabývající se zpracováním zvířat </w:t>
      </w:r>
      <w:r>
        <w:t>a</w:t>
      </w:r>
      <w:r w:rsidR="00053E6E">
        <w:t xml:space="preserve"> </w:t>
      </w:r>
      <w:r w:rsidR="00D15FA6">
        <w:t>jejich chovem,</w:t>
      </w:r>
      <w:r w:rsidR="00555A4D">
        <w:t xml:space="preserve"> </w:t>
      </w:r>
      <w:r w:rsidR="00DF1F8D">
        <w:t xml:space="preserve">EFBW </w:t>
      </w:r>
      <w:r w:rsidR="00C456C5">
        <w:t>zastupující</w:t>
      </w:r>
      <w:r w:rsidR="00DF1F8D">
        <w:t xml:space="preserve"> výrobce vody </w:t>
      </w:r>
      <w:r>
        <w:t>v</w:t>
      </w:r>
      <w:r w:rsidR="00053E6E">
        <w:t xml:space="preserve"> </w:t>
      </w:r>
      <w:r w:rsidR="00DF1F8D">
        <w:t>lahvích</w:t>
      </w:r>
      <w:r w:rsidR="00825320">
        <w:t>, ta má</w:t>
      </w:r>
      <w:r w:rsidR="00DF1F8D">
        <w:t xml:space="preserve"> bezpečnost potravin </w:t>
      </w:r>
      <w:r>
        <w:t>i</w:t>
      </w:r>
      <w:r w:rsidR="009A75C0">
        <w:t> </w:t>
      </w:r>
      <w:r w:rsidR="00C456C5">
        <w:t>mezi</w:t>
      </w:r>
      <w:r w:rsidR="00DF1F8D">
        <w:t xml:space="preserve"> iniciati</w:t>
      </w:r>
      <w:r w:rsidR="00C456C5">
        <w:t>vami</w:t>
      </w:r>
      <w:r w:rsidR="00DF1F8D">
        <w:t>.</w:t>
      </w:r>
      <w:r w:rsidR="00C456C5">
        <w:t xml:space="preserve"> </w:t>
      </w:r>
      <w:r w:rsidR="008309A9">
        <w:t xml:space="preserve">Kromě těchto asociací to má stejně </w:t>
      </w:r>
      <w:r>
        <w:t>i</w:t>
      </w:r>
      <w:r w:rsidR="00FB01E4">
        <w:t> </w:t>
      </w:r>
      <w:r w:rsidR="008309A9">
        <w:t xml:space="preserve">IPIFF, asociace podporující šíření </w:t>
      </w:r>
      <w:r w:rsidR="008309A9">
        <w:lastRenderedPageBreak/>
        <w:t xml:space="preserve">hmyzu </w:t>
      </w:r>
      <w:r w:rsidR="00825320">
        <w:t>coby</w:t>
      </w:r>
      <w:r w:rsidR="008309A9">
        <w:t xml:space="preserve"> jídla budoucnosti</w:t>
      </w:r>
      <w:r w:rsidR="00C456C5">
        <w:t xml:space="preserve"> </w:t>
      </w:r>
      <w:r w:rsidR="008309A9">
        <w:t>(Rejstřík 2018, 2019).</w:t>
      </w:r>
      <w:r w:rsidR="00054044">
        <w:t xml:space="preserve"> </w:t>
      </w:r>
      <w:r>
        <w:t>V</w:t>
      </w:r>
      <w:r w:rsidR="00FB01E4">
        <w:t> </w:t>
      </w:r>
      <w:r w:rsidR="008309A9">
        <w:t xml:space="preserve">podoblasti zemědělství jsou </w:t>
      </w:r>
      <w:r w:rsidR="004834F3">
        <w:t xml:space="preserve">tři asociace, </w:t>
      </w:r>
      <w:r w:rsidR="004834F3" w:rsidRPr="004834F3">
        <w:t>European Confederation of Woodworking Industries</w:t>
      </w:r>
      <w:r w:rsidR="004834F3">
        <w:t xml:space="preserve"> </w:t>
      </w:r>
      <w:r>
        <w:t>a</w:t>
      </w:r>
      <w:r w:rsidR="00053E6E">
        <w:t xml:space="preserve"> </w:t>
      </w:r>
      <w:r w:rsidR="004834F3" w:rsidRPr="004834F3">
        <w:t>European Organisation of the Sawmill industry</w:t>
      </w:r>
      <w:r w:rsidR="004834F3">
        <w:t xml:space="preserve">, které se zabývají kácením </w:t>
      </w:r>
      <w:r>
        <w:t>a</w:t>
      </w:r>
      <w:r w:rsidR="00FB01E4">
        <w:t> </w:t>
      </w:r>
      <w:r w:rsidR="004834F3">
        <w:t xml:space="preserve">zpracováním dřeva </w:t>
      </w:r>
      <w:r>
        <w:t>a</w:t>
      </w:r>
      <w:r w:rsidR="00053E6E">
        <w:t xml:space="preserve"> </w:t>
      </w:r>
      <w:r w:rsidR="004834F3">
        <w:t xml:space="preserve">také Leaseurope, zabývající se leasingem, mezi podoblastmi zájmů má </w:t>
      </w:r>
      <w:r>
        <w:t>i</w:t>
      </w:r>
      <w:r w:rsidR="00053E6E">
        <w:t xml:space="preserve"> </w:t>
      </w:r>
      <w:r w:rsidR="004834F3">
        <w:t xml:space="preserve">zemědělství, nicméně zde půjde pravděpodobně </w:t>
      </w:r>
      <w:r>
        <w:t>o</w:t>
      </w:r>
      <w:r w:rsidR="00053E6E">
        <w:t xml:space="preserve"> </w:t>
      </w:r>
      <w:r w:rsidR="004834F3">
        <w:t>okrajový zájem (Tamtéž).</w:t>
      </w:r>
      <w:r w:rsidR="00825320">
        <w:t xml:space="preserve"> </w:t>
      </w:r>
      <w:r w:rsidR="004834F3" w:rsidRPr="004834F3">
        <w:t>European Small Business Alliance</w:t>
      </w:r>
      <w:r w:rsidR="004834F3">
        <w:t xml:space="preserve"> </w:t>
      </w:r>
      <w:r>
        <w:t>a</w:t>
      </w:r>
      <w:r w:rsidR="00053E6E">
        <w:t xml:space="preserve"> </w:t>
      </w:r>
      <w:r w:rsidR="004834F3">
        <w:t xml:space="preserve">CEA-PME jsou asociace uvádějící téměř všechny možné podoblasti jako své zájmy </w:t>
      </w:r>
      <w:r>
        <w:t>i</w:t>
      </w:r>
      <w:r w:rsidR="00053E6E">
        <w:t xml:space="preserve"> </w:t>
      </w:r>
      <w:r w:rsidR="004834F3">
        <w:t xml:space="preserve">proto je nikam specificky neřadím, navíc </w:t>
      </w:r>
      <w:r>
        <w:t>z</w:t>
      </w:r>
      <w:r w:rsidR="00053E6E">
        <w:t xml:space="preserve"> </w:t>
      </w:r>
      <w:r w:rsidR="004834F3">
        <w:t>jejich stránek nebylo jasné, zda některá ze zahrnutých podoblastí je skutečně jich zájmem (Tamtéž).</w:t>
      </w:r>
    </w:p>
    <w:p w:rsidR="008B56C2" w:rsidRDefault="00B65971" w:rsidP="00BC33DB">
      <w:r>
        <w:t>I</w:t>
      </w:r>
      <w:r w:rsidR="00053E6E">
        <w:t xml:space="preserve"> </w:t>
      </w:r>
      <w:r>
        <w:t>v</w:t>
      </w:r>
      <w:r w:rsidR="00053E6E">
        <w:t xml:space="preserve"> </w:t>
      </w:r>
      <w:r w:rsidR="00C456C5">
        <w:t xml:space="preserve">této oblasti tedy došlo </w:t>
      </w:r>
      <w:r>
        <w:t>k</w:t>
      </w:r>
      <w:r w:rsidR="00053E6E">
        <w:t xml:space="preserve"> </w:t>
      </w:r>
      <w:r w:rsidR="00C456C5">
        <w:t xml:space="preserve">výskytu velkého množství evropských asociací. Rozdíl </w:t>
      </w:r>
      <w:r>
        <w:t>u</w:t>
      </w:r>
      <w:r w:rsidR="009A75C0">
        <w:t> </w:t>
      </w:r>
      <w:r w:rsidR="00C456C5">
        <w:t xml:space="preserve">této oblasti spatřuji ale </w:t>
      </w:r>
      <w:r>
        <w:t>v</w:t>
      </w:r>
      <w:r w:rsidR="00053E6E">
        <w:t xml:space="preserve"> </w:t>
      </w:r>
      <w:r w:rsidR="00C456C5">
        <w:t xml:space="preserve">tom, že </w:t>
      </w:r>
      <w:r>
        <w:t>i</w:t>
      </w:r>
      <w:r w:rsidR="00053E6E">
        <w:t xml:space="preserve"> </w:t>
      </w:r>
      <w:r w:rsidR="00C456C5">
        <w:t xml:space="preserve">přes fakt, že samostatné firmy </w:t>
      </w:r>
      <w:r>
        <w:t>a</w:t>
      </w:r>
      <w:r w:rsidR="00053E6E">
        <w:t xml:space="preserve"> </w:t>
      </w:r>
      <w:r w:rsidR="00C456C5">
        <w:t xml:space="preserve">národní asociace byly méně početné, většina jejich zástupců má </w:t>
      </w:r>
      <w:r>
        <w:t>v</w:t>
      </w:r>
      <w:r w:rsidR="00053E6E">
        <w:t xml:space="preserve"> </w:t>
      </w:r>
      <w:r w:rsidR="00C456C5">
        <w:t>této oblasti skutečně značné zájmy.</w:t>
      </w:r>
      <w:r w:rsidR="00E9529C">
        <w:t xml:space="preserve"> Velká část jich byla orientována do této oblasti, zvláště pak do podoblasti bezpečnosti potravin, která se </w:t>
      </w:r>
      <w:r>
        <w:t>i</w:t>
      </w:r>
      <w:r w:rsidR="00053E6E">
        <w:t xml:space="preserve"> </w:t>
      </w:r>
      <w:r w:rsidR="00E9529C">
        <w:t xml:space="preserve">díky problematice obalů jídel </w:t>
      </w:r>
      <w:r>
        <w:t>a</w:t>
      </w:r>
      <w:r w:rsidR="00053E6E">
        <w:t xml:space="preserve"> </w:t>
      </w:r>
      <w:r w:rsidR="00E9529C">
        <w:t>pití stává stále důležitější. Početně tedy převažují</w:t>
      </w:r>
      <w:r w:rsidR="00BD1BE5">
        <w:t xml:space="preserve"> evropské asociace </w:t>
      </w:r>
      <w:r>
        <w:t>a</w:t>
      </w:r>
      <w:r w:rsidR="00053E6E">
        <w:t xml:space="preserve"> </w:t>
      </w:r>
      <w:r w:rsidR="00BD1BE5">
        <w:t xml:space="preserve">tím pádem </w:t>
      </w:r>
      <w:r w:rsidR="00BD1BE5">
        <w:rPr>
          <w:i/>
        </w:rPr>
        <w:t xml:space="preserve">Information about European Encompassing Interest, </w:t>
      </w:r>
      <w:r w:rsidR="00BD1BE5">
        <w:t xml:space="preserve">nicméně </w:t>
      </w:r>
      <w:r>
        <w:t>v</w:t>
      </w:r>
      <w:r w:rsidR="00053E6E">
        <w:t xml:space="preserve"> </w:t>
      </w:r>
      <w:r w:rsidR="00BD1BE5">
        <w:t xml:space="preserve">této oblasti se vyskytuje </w:t>
      </w:r>
      <w:r>
        <w:t>i</w:t>
      </w:r>
      <w:r w:rsidR="00053E6E">
        <w:t xml:space="preserve"> </w:t>
      </w:r>
      <w:r w:rsidR="00BD1BE5">
        <w:t>několik firem, které díky</w:t>
      </w:r>
      <w:r w:rsidR="00825320">
        <w:t xml:space="preserve"> </w:t>
      </w:r>
      <w:r w:rsidR="00BD1BE5">
        <w:t xml:space="preserve">zájmům </w:t>
      </w:r>
      <w:r>
        <w:t>v</w:t>
      </w:r>
      <w:r w:rsidR="00053E6E">
        <w:t xml:space="preserve"> </w:t>
      </w:r>
      <w:r w:rsidR="00BD1BE5">
        <w:t xml:space="preserve">zemědělství budou poskytovat </w:t>
      </w:r>
      <w:r>
        <w:t>i</w:t>
      </w:r>
      <w:r w:rsidR="00053E6E">
        <w:t xml:space="preserve"> </w:t>
      </w:r>
      <w:r w:rsidR="00BD1BE5">
        <w:rPr>
          <w:i/>
        </w:rPr>
        <w:t>Expert knowledge</w:t>
      </w:r>
      <w:r w:rsidR="00BD1BE5">
        <w:t xml:space="preserve">. Tyto dva druhy tedy budou </w:t>
      </w:r>
      <w:r>
        <w:t>v</w:t>
      </w:r>
      <w:r w:rsidR="00053E6E">
        <w:t xml:space="preserve"> </w:t>
      </w:r>
      <w:r w:rsidR="00BD1BE5">
        <w:t xml:space="preserve">této oblasti nejsilnější, samostatných firem je sice méně ale </w:t>
      </w:r>
      <w:r>
        <w:t>i</w:t>
      </w:r>
      <w:r w:rsidR="00053E6E">
        <w:t xml:space="preserve"> </w:t>
      </w:r>
      <w:r w:rsidR="00BD1BE5">
        <w:t>díky jednodušší vnitřní struktuře mají potenciál být efektivnějším zdrojem informací.</w:t>
      </w:r>
      <w:r w:rsidR="008B27BD">
        <w:t xml:space="preserve"> Navíc </w:t>
      </w:r>
      <w:r>
        <w:t>s</w:t>
      </w:r>
      <w:r w:rsidR="00053E6E">
        <w:t xml:space="preserve"> </w:t>
      </w:r>
      <w:r w:rsidR="008B27BD">
        <w:t xml:space="preserve">množstvím legislativy </w:t>
      </w:r>
      <w:r>
        <w:t>v</w:t>
      </w:r>
      <w:r w:rsidR="00053E6E">
        <w:t xml:space="preserve"> </w:t>
      </w:r>
      <w:r w:rsidR="008B27BD">
        <w:t xml:space="preserve">této oblasti se dá očekávat, že </w:t>
      </w:r>
      <w:r w:rsidR="00D008BF">
        <w:t>K</w:t>
      </w:r>
      <w:r w:rsidR="008B27BD">
        <w:t>omise bude požadovat právě detailní</w:t>
      </w:r>
      <w:r w:rsidR="00D008BF">
        <w:t xml:space="preserve"> </w:t>
      </w:r>
      <w:r>
        <w:t>a</w:t>
      </w:r>
      <w:r w:rsidR="00053E6E">
        <w:t xml:space="preserve"> </w:t>
      </w:r>
      <w:r w:rsidR="008B27BD">
        <w:t xml:space="preserve">technické znalosti, které nejlépe posktuje právě tento druh access goods. </w:t>
      </w:r>
      <w:r w:rsidR="00BD1BE5">
        <w:t xml:space="preserve">Na druhou stranu některé zmíněné evropské asociace jsou členem EK </w:t>
      </w:r>
      <w:r>
        <w:t>v</w:t>
      </w:r>
      <w:r w:rsidR="00053E6E">
        <w:t xml:space="preserve"> </w:t>
      </w:r>
      <w:r w:rsidR="00BD1BE5">
        <w:t>oblasti tzv. food contact materiálů, což zase může usnadnit jejich přístup (ec.europa.eu). Nutné je podotknout</w:t>
      </w:r>
      <w:r w:rsidR="00090FF8">
        <w:t>,</w:t>
      </w:r>
      <w:r w:rsidR="00BD1BE5">
        <w:t xml:space="preserve"> že obě zahrnuté podoblasti se značně prolínají </w:t>
      </w:r>
      <w:r>
        <w:t>a</w:t>
      </w:r>
      <w:r w:rsidR="00053E6E">
        <w:t xml:space="preserve"> </w:t>
      </w:r>
      <w:r>
        <w:t>v</w:t>
      </w:r>
      <w:r w:rsidR="00053E6E">
        <w:t xml:space="preserve"> </w:t>
      </w:r>
      <w:r w:rsidR="00BD1BE5">
        <w:t>některých případech proto může odlišení být velmi obtížné.</w:t>
      </w:r>
    </w:p>
    <w:p w:rsidR="00CB26DB" w:rsidRDefault="008B56C2" w:rsidP="008B27BD">
      <w:pPr>
        <w:pStyle w:val="Heading1"/>
      </w:pPr>
      <w:r>
        <w:br w:type="page"/>
      </w:r>
      <w:bookmarkStart w:id="16" w:name="_Toc7414203"/>
      <w:r>
        <w:lastRenderedPageBreak/>
        <w:t>Závěr</w:t>
      </w:r>
      <w:bookmarkEnd w:id="16"/>
    </w:p>
    <w:p w:rsidR="00090FF8" w:rsidRDefault="008B56C2" w:rsidP="008B56C2">
      <w:r>
        <w:t xml:space="preserve">Problematika lobbingu </w:t>
      </w:r>
      <w:r w:rsidR="00B65971">
        <w:t>v</w:t>
      </w:r>
      <w:r w:rsidR="00053E6E">
        <w:t xml:space="preserve"> </w:t>
      </w:r>
      <w:r>
        <w:t xml:space="preserve">EU je velmi rozsáhlou oblastí. Má práce se zaměřila </w:t>
      </w:r>
      <w:r w:rsidR="000B76CD">
        <w:t>jen</w:t>
      </w:r>
      <w:r>
        <w:t xml:space="preserve"> na malou část této problematiky. Cílem bylo aplikovat Bouwenův teoretický rámec na tři vybrané oblasti lobbingu</w:t>
      </w:r>
      <w:r w:rsidR="00090FF8">
        <w:t>,</w:t>
      </w:r>
      <w:r>
        <w:t xml:space="preserve"> </w:t>
      </w:r>
      <w:r w:rsidR="00B65971">
        <w:t>a</w:t>
      </w:r>
      <w:r w:rsidR="00053E6E">
        <w:t xml:space="preserve"> </w:t>
      </w:r>
      <w:r>
        <w:t xml:space="preserve">to na úrovni Evropské komise. </w:t>
      </w:r>
      <w:r w:rsidR="00B65971">
        <w:t>K</w:t>
      </w:r>
      <w:r w:rsidR="00053E6E">
        <w:t xml:space="preserve"> </w:t>
      </w:r>
      <w:r>
        <w:t>tomu jsem využil Rejstřík</w:t>
      </w:r>
      <w:r w:rsidR="00F55EF8">
        <w:t xml:space="preserve"> zástupců zájmových skupin, </w:t>
      </w:r>
      <w:r w:rsidR="00B65971">
        <w:t>z</w:t>
      </w:r>
      <w:r w:rsidR="00053E6E">
        <w:t xml:space="preserve"> </w:t>
      </w:r>
      <w:r w:rsidR="00F55EF8">
        <w:t>jehož dat jsem čerpal pro svou analýzu.</w:t>
      </w:r>
    </w:p>
    <w:p w:rsidR="00090FF8" w:rsidRPr="00090FF8" w:rsidRDefault="00090FF8" w:rsidP="00090FF8">
      <w:pPr>
        <w:rPr>
          <w:rFonts w:cs="Times New Roman"/>
        </w:rPr>
      </w:pPr>
      <w:r>
        <w:t xml:space="preserve">Má hypotéza zněla: </w:t>
      </w:r>
      <w:r>
        <w:rPr>
          <w:rFonts w:cs="Times New Roman"/>
          <w:i/>
        </w:rPr>
        <w:t xml:space="preserve">Samostatné firmy mají nejlepší přístup </w:t>
      </w:r>
      <w:r w:rsidR="00B65971">
        <w:rPr>
          <w:rFonts w:cs="Times New Roman"/>
          <w:i/>
        </w:rPr>
        <w:t>k</w:t>
      </w:r>
      <w:r w:rsidR="00053E6E">
        <w:rPr>
          <w:rFonts w:cs="Times New Roman"/>
          <w:i/>
        </w:rPr>
        <w:t xml:space="preserve"> </w:t>
      </w:r>
      <w:r>
        <w:rPr>
          <w:rFonts w:cs="Times New Roman"/>
          <w:i/>
        </w:rPr>
        <w:t xml:space="preserve">Evropské komisi </w:t>
      </w:r>
      <w:r w:rsidR="00B65971">
        <w:rPr>
          <w:rFonts w:cs="Times New Roman"/>
          <w:i/>
        </w:rPr>
        <w:t>a</w:t>
      </w:r>
      <w:r w:rsidR="00053E6E">
        <w:rPr>
          <w:rFonts w:cs="Times New Roman"/>
          <w:i/>
        </w:rPr>
        <w:t xml:space="preserve"> </w:t>
      </w:r>
      <w:r>
        <w:rPr>
          <w:rFonts w:cs="Times New Roman"/>
          <w:i/>
        </w:rPr>
        <w:t xml:space="preserve">naopak </w:t>
      </w:r>
      <w:r w:rsidR="00B65971">
        <w:rPr>
          <w:rFonts w:cs="Times New Roman"/>
          <w:i/>
        </w:rPr>
        <w:t>u</w:t>
      </w:r>
      <w:r w:rsidR="00053E6E">
        <w:rPr>
          <w:rFonts w:cs="Times New Roman"/>
          <w:i/>
        </w:rPr>
        <w:t xml:space="preserve"> </w:t>
      </w:r>
      <w:r>
        <w:rPr>
          <w:rFonts w:cs="Times New Roman"/>
          <w:i/>
        </w:rPr>
        <w:t>národních asociací můžeme zaznamenat nejnižší míru přístupu.</w:t>
      </w:r>
      <w:r>
        <w:rPr>
          <w:rFonts w:cs="Times New Roman"/>
        </w:rPr>
        <w:t xml:space="preserve"> </w:t>
      </w:r>
      <w:r w:rsidR="00B65971">
        <w:rPr>
          <w:rFonts w:cs="Times New Roman"/>
        </w:rPr>
        <w:t>K</w:t>
      </w:r>
      <w:r w:rsidR="00053E6E">
        <w:rPr>
          <w:rFonts w:cs="Times New Roman"/>
        </w:rPr>
        <w:t xml:space="preserve"> </w:t>
      </w:r>
      <w:r>
        <w:rPr>
          <w:rFonts w:cs="Times New Roman"/>
        </w:rPr>
        <w:t xml:space="preserve">jejímu zodpovězení jsem také využil několik výzkumných otázek. </w:t>
      </w:r>
      <w:r>
        <w:rPr>
          <w:rFonts w:cs="Times New Roman"/>
          <w:i/>
        </w:rPr>
        <w:t xml:space="preserve">Jaké zájmové skupiny zabývající se zemědělstvím nejvíce usilují </w:t>
      </w:r>
      <w:r w:rsidR="00B65971">
        <w:rPr>
          <w:rFonts w:cs="Times New Roman"/>
          <w:i/>
        </w:rPr>
        <w:t>o</w:t>
      </w:r>
      <w:r w:rsidR="00053E6E">
        <w:rPr>
          <w:rFonts w:cs="Times New Roman"/>
          <w:i/>
        </w:rPr>
        <w:t xml:space="preserve"> </w:t>
      </w:r>
      <w:r>
        <w:rPr>
          <w:rFonts w:cs="Times New Roman"/>
          <w:i/>
        </w:rPr>
        <w:t xml:space="preserve">přístup </w:t>
      </w:r>
      <w:r w:rsidR="00B65971">
        <w:rPr>
          <w:rFonts w:cs="Times New Roman"/>
          <w:i/>
        </w:rPr>
        <w:t>k</w:t>
      </w:r>
      <w:r w:rsidR="00053E6E">
        <w:rPr>
          <w:rFonts w:cs="Times New Roman"/>
          <w:i/>
        </w:rPr>
        <w:t xml:space="preserve"> </w:t>
      </w:r>
      <w:r>
        <w:rPr>
          <w:rFonts w:cs="Times New Roman"/>
          <w:i/>
        </w:rPr>
        <w:t xml:space="preserve">Evropské komisi </w:t>
      </w:r>
      <w:r w:rsidR="00B65971">
        <w:rPr>
          <w:rFonts w:cs="Times New Roman"/>
          <w:i/>
        </w:rPr>
        <w:t>a</w:t>
      </w:r>
      <w:r w:rsidR="00053E6E">
        <w:rPr>
          <w:rFonts w:cs="Times New Roman"/>
          <w:i/>
        </w:rPr>
        <w:t xml:space="preserve"> </w:t>
      </w:r>
      <w:r>
        <w:rPr>
          <w:rFonts w:cs="Times New Roman"/>
          <w:i/>
        </w:rPr>
        <w:t>jaký typ informací nabízí výměnou za přístup?</w:t>
      </w:r>
    </w:p>
    <w:p w:rsidR="00090FF8" w:rsidRDefault="00090FF8" w:rsidP="00090FF8">
      <w:pPr>
        <w:ind w:firstLine="0"/>
        <w:rPr>
          <w:rFonts w:cs="Times New Roman"/>
          <w:i/>
        </w:rPr>
      </w:pPr>
      <w:r>
        <w:rPr>
          <w:rFonts w:cs="Times New Roman"/>
          <w:i/>
        </w:rPr>
        <w:t xml:space="preserve">Jsou </w:t>
      </w:r>
      <w:r w:rsidR="00B65971">
        <w:rPr>
          <w:rFonts w:cs="Times New Roman"/>
          <w:i/>
        </w:rPr>
        <w:t>v</w:t>
      </w:r>
      <w:r w:rsidR="00053E6E">
        <w:rPr>
          <w:rFonts w:cs="Times New Roman"/>
          <w:i/>
        </w:rPr>
        <w:t xml:space="preserve"> </w:t>
      </w:r>
      <w:r>
        <w:rPr>
          <w:rFonts w:cs="Times New Roman"/>
          <w:i/>
        </w:rPr>
        <w:t>oblasti kultury nejaktivnější národní asociace?</w:t>
      </w:r>
    </w:p>
    <w:p w:rsidR="00090FF8" w:rsidRDefault="00090FF8" w:rsidP="00090FF8">
      <w:pPr>
        <w:ind w:firstLine="0"/>
        <w:rPr>
          <w:rFonts w:cs="Times New Roman"/>
          <w:i/>
        </w:rPr>
      </w:pPr>
      <w:r>
        <w:rPr>
          <w:rFonts w:cs="Times New Roman"/>
          <w:i/>
        </w:rPr>
        <w:t xml:space="preserve">Pokud ne, jaký druh zájmových organizací se </w:t>
      </w:r>
      <w:r w:rsidR="00B65971">
        <w:rPr>
          <w:rFonts w:cs="Times New Roman"/>
          <w:i/>
        </w:rPr>
        <w:t>v</w:t>
      </w:r>
      <w:r w:rsidR="00053E6E">
        <w:rPr>
          <w:rFonts w:cs="Times New Roman"/>
          <w:i/>
        </w:rPr>
        <w:t xml:space="preserve"> </w:t>
      </w:r>
      <w:r>
        <w:rPr>
          <w:rFonts w:cs="Times New Roman"/>
          <w:i/>
        </w:rPr>
        <w:t>této oblasti prosazuje?</w:t>
      </w:r>
    </w:p>
    <w:p w:rsidR="008B27BD" w:rsidRDefault="00F55EF8" w:rsidP="008B56C2">
      <w:r>
        <w:t xml:space="preserve"> Samostatné firmy podle Bouwenovy teorie skutečně získávají nejlepší </w:t>
      </w:r>
      <w:r w:rsidR="00B65971">
        <w:t>a</w:t>
      </w:r>
      <w:r w:rsidR="009A75C0">
        <w:t> </w:t>
      </w:r>
      <w:r>
        <w:t xml:space="preserve">nejefektivnější přístup, bohužel tuto hypotézu bylo obtížně ověřit, už jen kvůli tomu, že ve sledovaných oblastech se mnoho samostatných firem nevyskytlo. Asi největší vliv může být patrný </w:t>
      </w:r>
      <w:r w:rsidR="00B65971">
        <w:t>v</w:t>
      </w:r>
      <w:r w:rsidR="00053E6E">
        <w:t xml:space="preserve"> </w:t>
      </w:r>
      <w:r>
        <w:t xml:space="preserve">oblasti zemědělství, kde jich sice také nebylo mnoho, nicméně pokud se vyskytly, bylo zemědělství jejich primárním zájmem. Efektivitě národních firem </w:t>
      </w:r>
      <w:r w:rsidR="00B65971">
        <w:t>v</w:t>
      </w:r>
      <w:r w:rsidR="00053E6E">
        <w:t xml:space="preserve"> </w:t>
      </w:r>
      <w:r>
        <w:t xml:space="preserve">této oblasti nahrává </w:t>
      </w:r>
      <w:r w:rsidR="00B65971">
        <w:t>i</w:t>
      </w:r>
      <w:r w:rsidR="00053E6E">
        <w:t xml:space="preserve"> </w:t>
      </w:r>
      <w:r>
        <w:t xml:space="preserve">velké množství legislativy vydané EU, ke které je potřeba často právě </w:t>
      </w:r>
      <w:r>
        <w:rPr>
          <w:i/>
        </w:rPr>
        <w:t>expert knowledge</w:t>
      </w:r>
      <w:r>
        <w:t xml:space="preserve">, které nejlepé poskytují právě samostatné firmy. </w:t>
      </w:r>
    </w:p>
    <w:p w:rsidR="0098609D" w:rsidRDefault="00B65971" w:rsidP="008B56C2">
      <w:r>
        <w:t>V</w:t>
      </w:r>
      <w:r w:rsidR="00053E6E">
        <w:t xml:space="preserve"> </w:t>
      </w:r>
      <w:r w:rsidR="00F55EF8">
        <w:t xml:space="preserve">oblasti zahraniční politiky se potvrdilo mé očekávání, že zde budou převažovat </w:t>
      </w:r>
      <w:r w:rsidR="00F55EF8">
        <w:rPr>
          <w:i/>
        </w:rPr>
        <w:t>encompassing goods</w:t>
      </w:r>
      <w:r w:rsidR="00F55EF8">
        <w:t xml:space="preserve">, konkrétně IEEI, jelikož </w:t>
      </w:r>
      <w:r>
        <w:t>v</w:t>
      </w:r>
      <w:r w:rsidR="00053E6E">
        <w:t xml:space="preserve"> </w:t>
      </w:r>
      <w:r w:rsidR="00F55EF8">
        <w:t xml:space="preserve">této oblasti jsou nejaktivnější evropské asociace. </w:t>
      </w:r>
      <w:r>
        <w:t>I</w:t>
      </w:r>
      <w:r w:rsidR="00053E6E">
        <w:t xml:space="preserve"> </w:t>
      </w:r>
      <w:r w:rsidR="00F55EF8">
        <w:t xml:space="preserve">přes složitější strukturu </w:t>
      </w:r>
      <w:r>
        <w:t>a</w:t>
      </w:r>
      <w:r w:rsidR="00053E6E">
        <w:t xml:space="preserve"> </w:t>
      </w:r>
      <w:r w:rsidR="00F55EF8">
        <w:t xml:space="preserve">distribuci informací, které musí </w:t>
      </w:r>
      <w:r>
        <w:t>u</w:t>
      </w:r>
      <w:r w:rsidR="00053E6E">
        <w:t xml:space="preserve"> </w:t>
      </w:r>
      <w:r w:rsidR="00F55EF8">
        <w:t xml:space="preserve">asociací projít několika úrovněmi, jsou </w:t>
      </w:r>
      <w:r>
        <w:t>v</w:t>
      </w:r>
      <w:r w:rsidR="00053E6E">
        <w:t xml:space="preserve"> </w:t>
      </w:r>
      <w:r w:rsidR="00F55EF8">
        <w:t xml:space="preserve">této oblasti nejčastěji se vyskytující </w:t>
      </w:r>
      <w:r>
        <w:t>a</w:t>
      </w:r>
      <w:r w:rsidR="00053E6E">
        <w:t xml:space="preserve"> </w:t>
      </w:r>
      <w:r w:rsidR="008B27BD">
        <w:t xml:space="preserve">mají </w:t>
      </w:r>
      <w:r>
        <w:t>v</w:t>
      </w:r>
      <w:r w:rsidR="00053E6E">
        <w:t xml:space="preserve"> </w:t>
      </w:r>
      <w:r w:rsidR="008B27BD">
        <w:t xml:space="preserve">ní </w:t>
      </w:r>
      <w:r>
        <w:t>i</w:t>
      </w:r>
      <w:r w:rsidR="00053E6E">
        <w:t xml:space="preserve"> </w:t>
      </w:r>
      <w:r w:rsidR="008B27BD">
        <w:t>nejčastěji hlavní zájmy.</w:t>
      </w:r>
      <w:r w:rsidR="0098609D">
        <w:t xml:space="preserve"> To ale reflektuje skutečnost, že se EU snaží </w:t>
      </w:r>
      <w:r>
        <w:t>v</w:t>
      </w:r>
      <w:r w:rsidR="00053E6E">
        <w:t xml:space="preserve"> </w:t>
      </w:r>
      <w:r w:rsidR="0098609D">
        <w:t xml:space="preserve">oblasti zahraniční politiky postupovat jednotně, </w:t>
      </w:r>
      <w:r>
        <w:t>i</w:t>
      </w:r>
      <w:r w:rsidR="00FB01E4">
        <w:t> </w:t>
      </w:r>
      <w:r w:rsidR="0098609D">
        <w:t xml:space="preserve">proto se jeví jako smysluplné, že jsou zde nejvíce zastoupeny právě informace </w:t>
      </w:r>
      <w:r>
        <w:t>o</w:t>
      </w:r>
      <w:r w:rsidR="009A75C0">
        <w:t> </w:t>
      </w:r>
      <w:r w:rsidR="0098609D">
        <w:t xml:space="preserve">evropských zájmech, pravděpodobně </w:t>
      </w:r>
      <w:r>
        <w:t>i</w:t>
      </w:r>
      <w:r w:rsidR="00053E6E">
        <w:t xml:space="preserve"> </w:t>
      </w:r>
      <w:r w:rsidR="0098609D">
        <w:t xml:space="preserve">kvůli tomuto faktu nejsou </w:t>
      </w:r>
      <w:r>
        <w:t>v</w:t>
      </w:r>
      <w:r w:rsidR="00053E6E">
        <w:t xml:space="preserve"> </w:t>
      </w:r>
      <w:r w:rsidR="0098609D">
        <w:t xml:space="preserve">této oblasti samostatné firmy moc úspěšné. </w:t>
      </w:r>
    </w:p>
    <w:p w:rsidR="0098609D" w:rsidRDefault="008B27BD" w:rsidP="008B56C2">
      <w:r>
        <w:t xml:space="preserve">Výsledky </w:t>
      </w:r>
      <w:r w:rsidR="00B65971">
        <w:t>v</w:t>
      </w:r>
      <w:r w:rsidR="00053E6E">
        <w:t xml:space="preserve"> </w:t>
      </w:r>
      <w:r>
        <w:t>oblasti zemědělství jsou nejednoznačné. Počtem převažují opět evropské asociace</w:t>
      </w:r>
      <w:r w:rsidR="00090FF8">
        <w:t>,</w:t>
      </w:r>
      <w:r>
        <w:t xml:space="preserve"> </w:t>
      </w:r>
      <w:r w:rsidR="00B65971">
        <w:t>a</w:t>
      </w:r>
      <w:r w:rsidR="00053E6E">
        <w:t xml:space="preserve"> </w:t>
      </w:r>
      <w:r>
        <w:t xml:space="preserve">tedy opět IEEI, ale </w:t>
      </w:r>
      <w:r w:rsidR="00B65971">
        <w:t>i</w:t>
      </w:r>
      <w:r w:rsidR="00053E6E">
        <w:t xml:space="preserve"> </w:t>
      </w:r>
      <w:r>
        <w:t xml:space="preserve">přes menší počet </w:t>
      </w:r>
      <w:r w:rsidR="00090FF8">
        <w:t xml:space="preserve">zde </w:t>
      </w:r>
      <w:r>
        <w:t xml:space="preserve">samostatné firmy mají primární zájmy </w:t>
      </w:r>
      <w:r w:rsidR="00B65971">
        <w:t>a</w:t>
      </w:r>
      <w:r w:rsidR="00FB01E4">
        <w:t> </w:t>
      </w:r>
      <w:r>
        <w:t>jelikož jejich struktura není tak komplikovaná</w:t>
      </w:r>
      <w:r w:rsidR="00090FF8">
        <w:t>,</w:t>
      </w:r>
      <w:r>
        <w:t xml:space="preserve"> lze předpokládat, že budou efektivnější při dodávání </w:t>
      </w:r>
      <w:r>
        <w:rPr>
          <w:i/>
        </w:rPr>
        <w:t>expert knowledge</w:t>
      </w:r>
      <w:r>
        <w:t xml:space="preserve">. Tomu napovídá </w:t>
      </w:r>
      <w:r w:rsidR="00B65971">
        <w:t>i</w:t>
      </w:r>
      <w:r w:rsidR="00053E6E">
        <w:t xml:space="preserve"> </w:t>
      </w:r>
      <w:r>
        <w:t xml:space="preserve">množství legislativy vydávané </w:t>
      </w:r>
      <w:r w:rsidR="00B65971">
        <w:t>v</w:t>
      </w:r>
      <w:r w:rsidR="00053E6E">
        <w:t xml:space="preserve"> </w:t>
      </w:r>
      <w:r>
        <w:t>této oblasti, ke které je často potřeba právě detailních informací.</w:t>
      </w:r>
      <w:r w:rsidR="00611E47">
        <w:t xml:space="preserve"> Roste zde počet organizací </w:t>
      </w:r>
      <w:r w:rsidR="00B65971">
        <w:t>v</w:t>
      </w:r>
      <w:r w:rsidR="00053E6E">
        <w:t xml:space="preserve"> </w:t>
      </w:r>
      <w:r w:rsidR="00611E47">
        <w:t xml:space="preserve">podoblasti bezpečnosti potravin, což má návaznost </w:t>
      </w:r>
      <w:r w:rsidR="00B65971">
        <w:t>i</w:t>
      </w:r>
      <w:r w:rsidR="00053E6E">
        <w:t xml:space="preserve"> </w:t>
      </w:r>
      <w:r w:rsidR="00611E47">
        <w:t xml:space="preserve">na udržitelný rozvoj, který se týká </w:t>
      </w:r>
      <w:r w:rsidR="00B65971">
        <w:t>i</w:t>
      </w:r>
      <w:r w:rsidR="00053E6E">
        <w:t xml:space="preserve"> </w:t>
      </w:r>
      <w:r w:rsidR="00611E47">
        <w:t>různých typů obalů.</w:t>
      </w:r>
    </w:p>
    <w:p w:rsidR="00090FF8" w:rsidRDefault="0098609D" w:rsidP="008B56C2">
      <w:r>
        <w:lastRenderedPageBreak/>
        <w:t xml:space="preserve">Překvapivé výsledky obsahovala oblast kultury. Nepotvrdilo se mé očekávání, že zde budou převažovat národní </w:t>
      </w:r>
      <w:r w:rsidR="00B65971">
        <w:t>a</w:t>
      </w:r>
      <w:r w:rsidR="00053E6E">
        <w:t xml:space="preserve"> </w:t>
      </w:r>
      <w:r>
        <w:t xml:space="preserve">regionální asociace, což bych </w:t>
      </w:r>
      <w:r w:rsidR="00B65971">
        <w:t>v</w:t>
      </w:r>
      <w:r w:rsidR="00053E6E">
        <w:t xml:space="preserve"> </w:t>
      </w:r>
      <w:r>
        <w:t xml:space="preserve">této oblasti očekával. Také velký výskyt </w:t>
      </w:r>
      <w:r w:rsidR="00B65971">
        <w:t>v</w:t>
      </w:r>
      <w:r w:rsidR="00053E6E">
        <w:t xml:space="preserve"> </w:t>
      </w:r>
      <w:r>
        <w:t xml:space="preserve">skupin </w:t>
      </w:r>
      <w:r w:rsidR="00B65971">
        <w:t>v</w:t>
      </w:r>
      <w:r w:rsidR="00053E6E">
        <w:t xml:space="preserve"> </w:t>
      </w:r>
      <w:r>
        <w:t xml:space="preserve">podoblasti vzdělání </w:t>
      </w:r>
      <w:r w:rsidR="00B65971">
        <w:t>a</w:t>
      </w:r>
      <w:r w:rsidR="00053E6E">
        <w:t xml:space="preserve"> </w:t>
      </w:r>
      <w:r>
        <w:t xml:space="preserve">odborné přípravy byl překvapující, nízké zastoupení měly podoblasti kultury </w:t>
      </w:r>
      <w:r w:rsidR="00B65971">
        <w:t>a</w:t>
      </w:r>
      <w:r w:rsidR="00053E6E">
        <w:t xml:space="preserve"> </w:t>
      </w:r>
      <w:r>
        <w:t>také sportu.</w:t>
      </w:r>
      <w:r w:rsidR="00611E47">
        <w:t xml:space="preserve"> Ukazuje se tedy, že na vzdělání je skutečně kladen velký důraz, stejně jako na zlepšování</w:t>
      </w:r>
      <w:r w:rsidR="00EE3D33">
        <w:t xml:space="preserve"> schopností</w:t>
      </w:r>
      <w:r w:rsidR="00611E47">
        <w:t xml:space="preserve"> zaměstnanců, mnoho zájmových organizací </w:t>
      </w:r>
      <w:r w:rsidR="00B65971">
        <w:t>v</w:t>
      </w:r>
      <w:r w:rsidR="00053E6E">
        <w:t xml:space="preserve"> </w:t>
      </w:r>
      <w:r w:rsidR="00611E47">
        <w:t>této oblasti nabízelo trénink zaměstnanců.</w:t>
      </w:r>
      <w:r>
        <w:t xml:space="preserve"> Na druhou stranu pokud se </w:t>
      </w:r>
      <w:r w:rsidR="00B65971">
        <w:t>v</w:t>
      </w:r>
      <w:r w:rsidR="009A75C0">
        <w:t> </w:t>
      </w:r>
      <w:r>
        <w:t xml:space="preserve">podoblastech </w:t>
      </w:r>
      <w:r w:rsidR="00611E47">
        <w:t xml:space="preserve">sportu či mládeže </w:t>
      </w:r>
      <w:r>
        <w:t xml:space="preserve">objevila zájmová skupina, šlo </w:t>
      </w:r>
      <w:r w:rsidR="00B65971">
        <w:t>o</w:t>
      </w:r>
      <w:r w:rsidR="00053E6E">
        <w:t xml:space="preserve"> </w:t>
      </w:r>
      <w:r>
        <w:t xml:space="preserve">její prioritu, což dokazuje </w:t>
      </w:r>
      <w:r w:rsidR="00611E47">
        <w:t xml:space="preserve">třeba </w:t>
      </w:r>
      <w:r>
        <w:t xml:space="preserve">asociace EuropeActive nebo samostatný podnik </w:t>
      </w:r>
      <w:r w:rsidRPr="00D14059">
        <w:t>DFL Deutsche Fußball Liga</w:t>
      </w:r>
      <w:r>
        <w:t xml:space="preserve">. </w:t>
      </w:r>
      <w:r w:rsidR="00611E47">
        <w:t xml:space="preserve">Přesto všechno převažují </w:t>
      </w:r>
      <w:r w:rsidR="00B65971">
        <w:t>i</w:t>
      </w:r>
      <w:r w:rsidR="00053E6E">
        <w:t xml:space="preserve"> </w:t>
      </w:r>
      <w:r w:rsidR="00B65971">
        <w:t>v</w:t>
      </w:r>
      <w:r w:rsidR="00053E6E">
        <w:t xml:space="preserve"> </w:t>
      </w:r>
      <w:r w:rsidR="00611E47">
        <w:t xml:space="preserve">této oblasti </w:t>
      </w:r>
      <w:r w:rsidR="00611E47">
        <w:rPr>
          <w:i/>
        </w:rPr>
        <w:t>Information about European Encompassing Interest.</w:t>
      </w:r>
      <w:r w:rsidR="00ED2DE2">
        <w:t xml:space="preserve"> </w:t>
      </w:r>
    </w:p>
    <w:p w:rsidR="00090FF8" w:rsidRDefault="00611E47" w:rsidP="008B56C2">
      <w:r>
        <w:t>Tato práce čelila několika problémům. Ten nejvýraznější představuje samotný Rejstřík.</w:t>
      </w:r>
      <w:r w:rsidR="0051496A">
        <w:t xml:space="preserve"> První problém spočívá již </w:t>
      </w:r>
      <w:r w:rsidR="00B65971">
        <w:t>v</w:t>
      </w:r>
      <w:r w:rsidR="00053E6E">
        <w:t xml:space="preserve"> </w:t>
      </w:r>
      <w:r w:rsidR="0051496A">
        <w:t xml:space="preserve">tom, že je pouze dobrovolný </w:t>
      </w:r>
      <w:r w:rsidR="00B65971">
        <w:t>a</w:t>
      </w:r>
      <w:r w:rsidR="00053E6E">
        <w:t xml:space="preserve"> </w:t>
      </w:r>
      <w:r w:rsidR="0051496A">
        <w:t xml:space="preserve">tak zcela neodráží stav lobbingu </w:t>
      </w:r>
      <w:r w:rsidR="00B65971">
        <w:t>v</w:t>
      </w:r>
      <w:r w:rsidR="00FB01E4">
        <w:t> </w:t>
      </w:r>
      <w:r w:rsidR="0051496A">
        <w:t xml:space="preserve">EU. </w:t>
      </w:r>
      <w:r w:rsidR="00B65971">
        <w:t>I</w:t>
      </w:r>
      <w:r w:rsidR="00053E6E">
        <w:t xml:space="preserve"> </w:t>
      </w:r>
      <w:r w:rsidR="0051496A">
        <w:t xml:space="preserve">přesto jde zatím </w:t>
      </w:r>
      <w:r w:rsidR="00B65971">
        <w:t>o</w:t>
      </w:r>
      <w:r w:rsidR="00053E6E">
        <w:t xml:space="preserve"> </w:t>
      </w:r>
      <w:r w:rsidR="0051496A">
        <w:t xml:space="preserve">nejkomplexnější nástroj </w:t>
      </w:r>
      <w:r w:rsidR="00B65971">
        <w:t>v</w:t>
      </w:r>
      <w:r w:rsidR="00053E6E">
        <w:t xml:space="preserve"> </w:t>
      </w:r>
      <w:r w:rsidR="0051496A">
        <w:t xml:space="preserve">této oblasti, který od svého vzniku </w:t>
      </w:r>
      <w:r w:rsidR="00B65971">
        <w:t>v</w:t>
      </w:r>
      <w:r w:rsidR="00053E6E">
        <w:t xml:space="preserve"> </w:t>
      </w:r>
      <w:r w:rsidR="0051496A">
        <w:t xml:space="preserve">roce 2008 prošel značným vývojem. </w:t>
      </w:r>
      <w:r>
        <w:t xml:space="preserve">Častým problémem je, že zájmové skupiny označí jako své oblasti zájmů </w:t>
      </w:r>
      <w:r w:rsidR="00B65971">
        <w:t>i</w:t>
      </w:r>
      <w:r w:rsidR="00053E6E">
        <w:t xml:space="preserve"> </w:t>
      </w:r>
      <w:r>
        <w:t>ty, kde zájem ve skutečnosti nem</w:t>
      </w:r>
      <w:r w:rsidR="00657536">
        <w:t>ají</w:t>
      </w:r>
      <w:r>
        <w:t>. Několikrát jsem narazil na skupiny, které měly prostě označeny všechny dostupné oblasti.</w:t>
      </w:r>
      <w:r w:rsidR="00C05592">
        <w:t xml:space="preserve"> </w:t>
      </w:r>
      <w:r w:rsidR="00B65971">
        <w:t>O</w:t>
      </w:r>
      <w:r w:rsidR="00053E6E">
        <w:t xml:space="preserve"> </w:t>
      </w:r>
      <w:r w:rsidR="00D208CB">
        <w:t xml:space="preserve">zvlášť velký problém se pro mne jednalo </w:t>
      </w:r>
      <w:r w:rsidR="00B65971">
        <w:t>v</w:t>
      </w:r>
      <w:r w:rsidR="00FB01E4">
        <w:t> </w:t>
      </w:r>
      <w:r w:rsidR="00D208CB">
        <w:t>momentě, kdy daná skupina neměla internetové stránky</w:t>
      </w:r>
      <w:r w:rsidR="009A75C0">
        <w:t xml:space="preserve">. </w:t>
      </w:r>
      <w:r>
        <w:t xml:space="preserve">Dalším problémem pro mne byla dostupnost informací, jelikož ty nejsou vždy poskytovány </w:t>
      </w:r>
      <w:r w:rsidR="00B65971">
        <w:t>v</w:t>
      </w:r>
      <w:r w:rsidR="00FB01E4">
        <w:t> </w:t>
      </w:r>
      <w:r>
        <w:t xml:space="preserve">anglickém jazyce </w:t>
      </w:r>
      <w:r w:rsidR="00B65971">
        <w:t>a</w:t>
      </w:r>
      <w:r w:rsidR="00053E6E">
        <w:t xml:space="preserve"> </w:t>
      </w:r>
      <w:r w:rsidR="00B65971">
        <w:t>i</w:t>
      </w:r>
      <w:r w:rsidR="00053E6E">
        <w:t xml:space="preserve"> </w:t>
      </w:r>
      <w:r>
        <w:t xml:space="preserve">stránky skupin </w:t>
      </w:r>
      <w:r w:rsidR="00B65971">
        <w:t>v</w:t>
      </w:r>
      <w:r w:rsidR="00053E6E">
        <w:t xml:space="preserve"> </w:t>
      </w:r>
      <w:r>
        <w:t>některých případech nepos</w:t>
      </w:r>
      <w:r w:rsidR="0051496A">
        <w:t xml:space="preserve">kytovaly anglickou verzi nebo byla tato verze velmi strohá. </w:t>
      </w:r>
      <w:r w:rsidR="00B65971">
        <w:t>I</w:t>
      </w:r>
      <w:r w:rsidR="00053E6E">
        <w:t xml:space="preserve"> </w:t>
      </w:r>
      <w:r w:rsidR="0051496A">
        <w:t>rozdělení do oddílů podle Rejstříku ne vždy funguje přesně</w:t>
      </w:r>
      <w:r w:rsidR="001407D7">
        <w:t>,</w:t>
      </w:r>
      <w:r w:rsidR="0051496A">
        <w:t xml:space="preserve"> </w:t>
      </w:r>
      <w:r w:rsidR="00B65971">
        <w:t>a</w:t>
      </w:r>
      <w:r w:rsidR="00053E6E">
        <w:t xml:space="preserve"> </w:t>
      </w:r>
      <w:r w:rsidR="0051496A">
        <w:t xml:space="preserve">proto jsem se pro svou analýzu radši spoléhal na uvedenou právní formu, což občas bylo také problematické, jelikož různé státy mají odlišné právní formy, takže </w:t>
      </w:r>
      <w:r w:rsidR="00B65971">
        <w:t>v</w:t>
      </w:r>
      <w:r w:rsidR="00053E6E">
        <w:t xml:space="preserve"> </w:t>
      </w:r>
      <w:r w:rsidR="0051496A">
        <w:t xml:space="preserve">některých případech bylo zařazení obtížné. Zklamáním pro mne byla také téměř naprostá absence konzultantských skupin, což značně ochudilo tuto práci, jelikož se jedná </w:t>
      </w:r>
      <w:r w:rsidR="00B65971">
        <w:t>o</w:t>
      </w:r>
      <w:r w:rsidR="00053E6E">
        <w:t xml:space="preserve"> </w:t>
      </w:r>
      <w:r w:rsidR="0051496A">
        <w:t xml:space="preserve">jednu </w:t>
      </w:r>
      <w:r w:rsidR="00B65971">
        <w:t>z</w:t>
      </w:r>
      <w:r w:rsidR="00053E6E">
        <w:t xml:space="preserve"> </w:t>
      </w:r>
      <w:r w:rsidR="0051496A">
        <w:t xml:space="preserve">forem zájmových organizací, které Bouwen ve své teorii popisuje. </w:t>
      </w:r>
      <w:r w:rsidR="00447A91">
        <w:t>Obtížně bylo taktéž optimální zvolení oblastí, především to, které podoblasti do nich zahrnout</w:t>
      </w:r>
      <w:r w:rsidR="001407D7">
        <w:t>,</w:t>
      </w:r>
      <w:r w:rsidR="00447A91">
        <w:t xml:space="preserve"> </w:t>
      </w:r>
      <w:r w:rsidR="00B65971">
        <w:t>a</w:t>
      </w:r>
      <w:r w:rsidR="00053E6E">
        <w:t xml:space="preserve"> </w:t>
      </w:r>
      <w:r w:rsidR="00447A91">
        <w:t>to tak aby vzorek měl přiměřenou velikost, vhodnou pro obsah této práce.</w:t>
      </w:r>
      <w:r w:rsidR="00C05592">
        <w:t xml:space="preserve"> </w:t>
      </w:r>
    </w:p>
    <w:p w:rsidR="00611E47" w:rsidRDefault="00447A91" w:rsidP="008B56C2">
      <w:r>
        <w:t>Mnohem l</w:t>
      </w:r>
      <w:r w:rsidR="000B76CD">
        <w:t>épe</w:t>
      </w:r>
      <w:r>
        <w:t xml:space="preserve"> se pracovalo </w:t>
      </w:r>
      <w:r w:rsidR="00B65971">
        <w:t>s</w:t>
      </w:r>
      <w:r w:rsidR="00053E6E">
        <w:t xml:space="preserve"> </w:t>
      </w:r>
      <w:r>
        <w:t xml:space="preserve">teoretickou částí, která nabízí větší množství zdrojů </w:t>
      </w:r>
      <w:r w:rsidR="00B65971">
        <w:t>a</w:t>
      </w:r>
      <w:r w:rsidR="00FB01E4">
        <w:t> </w:t>
      </w:r>
      <w:r>
        <w:t>literatury.</w:t>
      </w:r>
      <w:r w:rsidR="007A2B76">
        <w:t xml:space="preserve"> </w:t>
      </w:r>
      <w:r w:rsidR="00B65971">
        <w:t>I</w:t>
      </w:r>
      <w:r w:rsidR="00053E6E">
        <w:t xml:space="preserve"> </w:t>
      </w:r>
      <w:r w:rsidR="007A2B76">
        <w:t xml:space="preserve">přes všechny problémy se úspěšně povedlo ve výzkumu aplikovat Bouwenovu teorii </w:t>
      </w:r>
      <w:r w:rsidR="00B65971">
        <w:t>a</w:t>
      </w:r>
      <w:r w:rsidR="00053E6E">
        <w:t xml:space="preserve"> </w:t>
      </w:r>
      <w:r w:rsidR="007A2B76">
        <w:t xml:space="preserve">ověřit tak </w:t>
      </w:r>
      <w:r w:rsidR="00B65971">
        <w:t>i</w:t>
      </w:r>
      <w:r w:rsidR="00053E6E">
        <w:t xml:space="preserve"> </w:t>
      </w:r>
      <w:r w:rsidR="007A2B76">
        <w:t xml:space="preserve">některá jeho teoretická tvrzení. Tato práce by tedy mohla přispět </w:t>
      </w:r>
      <w:r w:rsidR="00B65971">
        <w:t>k</w:t>
      </w:r>
      <w:r w:rsidR="009A75C0">
        <w:t> </w:t>
      </w:r>
      <w:r w:rsidR="007A2B76">
        <w:t>praktické aplikaci této teorie</w:t>
      </w:r>
      <w:r w:rsidR="00657536">
        <w:t>.</w:t>
      </w:r>
      <w:r w:rsidR="007A2B76">
        <w:t xml:space="preserve"> Zároveň může nabídnout </w:t>
      </w:r>
      <w:r w:rsidR="00B65971">
        <w:t>i</w:t>
      </w:r>
      <w:r w:rsidR="00053E6E">
        <w:t xml:space="preserve"> </w:t>
      </w:r>
      <w:r w:rsidR="007A2B76">
        <w:t xml:space="preserve">využití Rejstříku jako prostředku pro výzkum zájmových skupin </w:t>
      </w:r>
      <w:r w:rsidR="00B65971">
        <w:t>v</w:t>
      </w:r>
      <w:r w:rsidR="00657536">
        <w:t xml:space="preserve"> </w:t>
      </w:r>
      <w:r w:rsidR="007A2B76">
        <w:t>akademické sféře.</w:t>
      </w:r>
      <w:r w:rsidR="009A75C0">
        <w:t xml:space="preserve"> V aplikaci Rejstříku do tohoto způsobu výzkumu spatřuji důležitý přínos.</w:t>
      </w:r>
      <w:r w:rsidR="007A2B76">
        <w:t xml:space="preserve"> Přispívá taktéž </w:t>
      </w:r>
      <w:r w:rsidR="00B65971">
        <w:t>k</w:t>
      </w:r>
      <w:r w:rsidR="00053E6E">
        <w:t xml:space="preserve"> </w:t>
      </w:r>
      <w:r w:rsidR="007A2B76">
        <w:t xml:space="preserve">částečnému poznání toho, jaké zájmové skupiny se </w:t>
      </w:r>
      <w:r w:rsidR="00B65971">
        <w:t>v</w:t>
      </w:r>
      <w:r w:rsidR="00053E6E">
        <w:t xml:space="preserve"> </w:t>
      </w:r>
      <w:r w:rsidR="007A2B76">
        <w:t xml:space="preserve">těchto třech oblastech vyskytují. </w:t>
      </w:r>
    </w:p>
    <w:p w:rsidR="008321CD" w:rsidRDefault="00D208CB" w:rsidP="008B56C2">
      <w:r>
        <w:lastRenderedPageBreak/>
        <w:t xml:space="preserve">Možnosti dalšího výzkumu </w:t>
      </w:r>
      <w:r w:rsidR="00B65971">
        <w:t>v</w:t>
      </w:r>
      <w:r w:rsidR="00053E6E">
        <w:t xml:space="preserve"> </w:t>
      </w:r>
      <w:r>
        <w:t xml:space="preserve">této oblasti jsou </w:t>
      </w:r>
      <w:r w:rsidR="0036248F">
        <w:t>rozsáhlé</w:t>
      </w:r>
      <w:r>
        <w:t xml:space="preserve">. Pokud zůstaneme jen </w:t>
      </w:r>
      <w:r w:rsidR="00B65971">
        <w:t>u</w:t>
      </w:r>
      <w:r w:rsidR="009A75C0">
        <w:t> </w:t>
      </w:r>
      <w:r>
        <w:t>Evrops</w:t>
      </w:r>
      <w:r w:rsidR="00AD348E">
        <w:t>k</w:t>
      </w:r>
      <w:r>
        <w:t xml:space="preserve">é komise </w:t>
      </w:r>
      <w:r w:rsidR="00B65971">
        <w:t>i</w:t>
      </w:r>
      <w:r w:rsidR="00053E6E">
        <w:t xml:space="preserve"> </w:t>
      </w:r>
      <w:r>
        <w:t>tak lze rozšířit výzkum na další oblasti nebo zahrnout odlišné typy zájmových skupin. Druhá možnost by mohla být zajímavá, už jen kvůli tomu, zda by se navýšil počet konzultantských společností.</w:t>
      </w:r>
      <w:r w:rsidR="0036248F">
        <w:t xml:space="preserve"> </w:t>
      </w:r>
      <w:r>
        <w:t xml:space="preserve">Samozřejmě </w:t>
      </w:r>
      <w:r w:rsidR="00B65971">
        <w:t>i</w:t>
      </w:r>
      <w:r w:rsidR="00053E6E">
        <w:t xml:space="preserve"> </w:t>
      </w:r>
      <w:r>
        <w:t xml:space="preserve">díky rozvoji rozhodovacích procesů by byl relevantní </w:t>
      </w:r>
      <w:r w:rsidR="00B65971">
        <w:t>i</w:t>
      </w:r>
      <w:r w:rsidR="00053E6E">
        <w:t xml:space="preserve"> </w:t>
      </w:r>
      <w:r>
        <w:t xml:space="preserve">výzkum </w:t>
      </w:r>
      <w:r w:rsidR="00B65971">
        <w:t>v</w:t>
      </w:r>
      <w:r w:rsidR="00053E6E">
        <w:t xml:space="preserve"> </w:t>
      </w:r>
      <w:r>
        <w:t xml:space="preserve">rámci jiné instituce EU, zejména </w:t>
      </w:r>
      <w:r w:rsidR="00B65971">
        <w:t>v</w:t>
      </w:r>
      <w:r w:rsidR="00053E6E">
        <w:t xml:space="preserve"> </w:t>
      </w:r>
      <w:r>
        <w:t xml:space="preserve">Evropském parlamentu, který sdílí Rejstřík </w:t>
      </w:r>
      <w:r w:rsidR="00B65971">
        <w:t>s</w:t>
      </w:r>
      <w:r w:rsidR="00053E6E">
        <w:t xml:space="preserve"> </w:t>
      </w:r>
      <w:r>
        <w:t xml:space="preserve">EK. </w:t>
      </w:r>
      <w:r w:rsidR="00B65971">
        <w:t>I</w:t>
      </w:r>
      <w:r w:rsidR="00053E6E">
        <w:t xml:space="preserve"> </w:t>
      </w:r>
      <w:r w:rsidR="0036248F">
        <w:t>samotný Rejstřík by možná byl zajímavým předmětem výzkumu, případně regulace lobbingu samotná představuje další možnou oblast výzkumu.</w:t>
      </w:r>
      <w:r w:rsidR="00ED2DE2">
        <w:t xml:space="preserve"> Je možnost také úplně detailně se zaměřit pouze na jednu oblast.</w:t>
      </w:r>
      <w:r w:rsidR="0036248F">
        <w:t xml:space="preserve"> Téma lobbingu </w:t>
      </w:r>
      <w:r w:rsidR="00B65971">
        <w:t>v</w:t>
      </w:r>
      <w:r w:rsidR="00053E6E">
        <w:t xml:space="preserve"> </w:t>
      </w:r>
      <w:r w:rsidR="0036248F">
        <w:t xml:space="preserve">EU je </w:t>
      </w:r>
      <w:r w:rsidR="00ED2DE2">
        <w:t xml:space="preserve">tedy </w:t>
      </w:r>
      <w:r w:rsidR="0036248F">
        <w:t xml:space="preserve">skutečně objemné </w:t>
      </w:r>
      <w:r w:rsidR="00B65971">
        <w:t>a</w:t>
      </w:r>
      <w:r w:rsidR="00FB01E4">
        <w:t> </w:t>
      </w:r>
      <w:r w:rsidR="0036248F">
        <w:t xml:space="preserve">stejně jako samotný lobbing se neustále rozvijí. Navíc díky mnoha teoretickým přístupům zkoumání zájmových skupin se toto téma opravdu nabízí. </w:t>
      </w:r>
    </w:p>
    <w:p w:rsidR="008321CD" w:rsidRDefault="008321CD">
      <w:pPr>
        <w:spacing w:after="160" w:line="259" w:lineRule="auto"/>
        <w:ind w:firstLine="0"/>
        <w:jc w:val="left"/>
      </w:pPr>
      <w:r>
        <w:br w:type="page"/>
      </w:r>
    </w:p>
    <w:p w:rsidR="00335FFB" w:rsidRDefault="008321CD" w:rsidP="008321CD">
      <w:pPr>
        <w:pStyle w:val="Heading1"/>
      </w:pPr>
      <w:bookmarkStart w:id="17" w:name="_Toc7414204"/>
      <w:r>
        <w:lastRenderedPageBreak/>
        <w:t>Abstrakt</w:t>
      </w:r>
      <w:bookmarkEnd w:id="17"/>
    </w:p>
    <w:p w:rsidR="00C36109" w:rsidRDefault="00C36109" w:rsidP="008321CD"/>
    <w:p w:rsidR="00B4360F" w:rsidRDefault="00C36109" w:rsidP="008321CD">
      <w:r>
        <w:t>Tato bakalářská práce se zabývá lobbingem zájmových skupin v Evropské komisi ve třech oblastech</w:t>
      </w:r>
      <w:r w:rsidR="001407D7">
        <w:t>. Jedná se o oblasti</w:t>
      </w:r>
      <w:r>
        <w:t xml:space="preserve"> kultury, zahraniční politiky a zemědělství. K tomu využívá teorii přístupu Pietera Bouwena a data z</w:t>
      </w:r>
      <w:r w:rsidR="001F50F4">
        <w:t xml:space="preserve"> </w:t>
      </w:r>
      <w:r>
        <w:t>Rejstříku zástupců zájmových skupin. Časově je omezena nástupem nově složené komise v roce 2014 a končí 1. lednem 2019. Cílem práce bylo zjistit jaké druhy zájmových skupin v daných oblastech nejčastěji působí a také jaké druhy zájmů jsou Komisi nejčastěji poskytovány v uvedených oblastech. Na základě analýzy lze konstatovat, že se ve vybraných oblastech nejčastěji vyskytují evropské asociace a jsou nejvíce poskytovány informace o evropských zájmech. V oblasti zemědělství pak jsou relativně aktivní také samostatné podniky poskytující detailní znalosti.</w:t>
      </w:r>
      <w:r w:rsidR="00053E6E">
        <w:t xml:space="preserve"> </w:t>
      </w:r>
    </w:p>
    <w:p w:rsidR="00B4360F" w:rsidRDefault="00B4360F" w:rsidP="008321CD"/>
    <w:p w:rsidR="00B4360F" w:rsidRDefault="00B4360F" w:rsidP="00B4360F">
      <w:pPr>
        <w:ind w:firstLine="0"/>
      </w:pPr>
      <w:r>
        <w:t>Klíčová slova: Lobbing, Evropská unie, Evropská komise, zájmové skupiny, teorie přístupu</w:t>
      </w:r>
    </w:p>
    <w:p w:rsidR="00B4360F" w:rsidRDefault="00B4360F">
      <w:pPr>
        <w:spacing w:after="160" w:line="259" w:lineRule="auto"/>
        <w:ind w:firstLine="0"/>
        <w:jc w:val="left"/>
      </w:pPr>
      <w:r>
        <w:br w:type="page"/>
      </w:r>
    </w:p>
    <w:p w:rsidR="00B4360F" w:rsidRDefault="00B4360F" w:rsidP="00B4360F">
      <w:pPr>
        <w:pStyle w:val="Heading1"/>
      </w:pPr>
      <w:bookmarkStart w:id="18" w:name="_Toc7414205"/>
      <w:r>
        <w:lastRenderedPageBreak/>
        <w:t>Abstract</w:t>
      </w:r>
      <w:bookmarkEnd w:id="18"/>
    </w:p>
    <w:p w:rsidR="00B4360F" w:rsidRDefault="00B4360F" w:rsidP="00B4360F"/>
    <w:p w:rsidR="00B4360F" w:rsidRDefault="00B4360F" w:rsidP="00B4360F">
      <w:r>
        <w:t xml:space="preserve">The concern of this bachelor thesis is lobbying in the European commision in three areas, agriculture, foreign policy and culture. To analyze the relation between the Commision and interests groups the thesis use Pieter Bouwen’s theory of access and data from European Union’s Transparency register of interest groups. The timeline of the analysis is from november 2014 when new Commison was appointed until january 2019. The purpose of this work was to find out what kind of interest groups is most active in those area and what kind of information </w:t>
      </w:r>
      <w:r w:rsidR="003A4EDA">
        <w:t xml:space="preserve">does Commision in those areas seek and get. Everything is based on Bouwen’s theory. The analysis shows that in all areas european associations are the most active and that means that Commision on those areas gets usually </w:t>
      </w:r>
      <w:r w:rsidR="003A4EDA" w:rsidRPr="003A4EDA">
        <w:t>Information about European Encompassing Interest</w:t>
      </w:r>
      <w:r w:rsidR="003A4EDA">
        <w:t>. Only in agriculture was also quite a few individual companies with primary interest in this area so only here Commision gets bigger amout of Expert Knowledge.</w:t>
      </w:r>
    </w:p>
    <w:p w:rsidR="003A4EDA" w:rsidRDefault="003A4EDA" w:rsidP="00B4360F"/>
    <w:p w:rsidR="003A4EDA" w:rsidRPr="00B4360F" w:rsidRDefault="003A4EDA" w:rsidP="003A4EDA">
      <w:pPr>
        <w:ind w:firstLine="0"/>
      </w:pPr>
      <w:r>
        <w:t>Key words: Lobbying, European Union, European Commision, theory of access, interest groups</w:t>
      </w:r>
    </w:p>
    <w:p w:rsidR="003A4EDA" w:rsidRDefault="00335FFB">
      <w:pPr>
        <w:spacing w:after="160" w:line="259" w:lineRule="auto"/>
        <w:ind w:firstLine="0"/>
        <w:jc w:val="left"/>
      </w:pPr>
      <w:r>
        <w:br w:type="page"/>
      </w:r>
    </w:p>
    <w:p w:rsidR="00850C76" w:rsidRDefault="008F77A9" w:rsidP="00850C76">
      <w:pPr>
        <w:pStyle w:val="Heading1"/>
      </w:pPr>
      <w:bookmarkStart w:id="19" w:name="_Toc7414206"/>
      <w:r>
        <w:lastRenderedPageBreak/>
        <w:t>Přílohy</w:t>
      </w:r>
      <w:bookmarkEnd w:id="19"/>
    </w:p>
    <w:p w:rsidR="00850C76" w:rsidRPr="00850C76" w:rsidRDefault="00850C76" w:rsidP="00850C76">
      <w:r>
        <w:t xml:space="preserve">Tabulka č.1 </w:t>
      </w:r>
    </w:p>
    <w:tbl>
      <w:tblPr>
        <w:tblStyle w:val="GridTable2-Accent1"/>
        <w:tblW w:w="9209" w:type="dxa"/>
        <w:tblLook w:val="04A0" w:firstRow="1" w:lastRow="0" w:firstColumn="1" w:lastColumn="0" w:noHBand="0" w:noVBand="1"/>
      </w:tblPr>
      <w:tblGrid>
        <w:gridCol w:w="3090"/>
        <w:gridCol w:w="2043"/>
        <w:gridCol w:w="2085"/>
        <w:gridCol w:w="1991"/>
      </w:tblGrid>
      <w:tr w:rsidR="00A20B31" w:rsidTr="00850C76">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3090" w:type="dxa"/>
          </w:tcPr>
          <w:p w:rsidR="00850C76" w:rsidRDefault="00850C76" w:rsidP="008F77A9">
            <w:pPr>
              <w:ind w:firstLine="0"/>
            </w:pPr>
            <w:r>
              <w:t>Oddíl</w:t>
            </w:r>
          </w:p>
        </w:tc>
        <w:tc>
          <w:tcPr>
            <w:tcW w:w="2043" w:type="dxa"/>
          </w:tcPr>
          <w:p w:rsidR="00850C76" w:rsidRDefault="00850C76" w:rsidP="008F77A9">
            <w:pPr>
              <w:ind w:firstLine="0"/>
              <w:cnfStyle w:val="100000000000" w:firstRow="1" w:lastRow="0" w:firstColumn="0" w:lastColumn="0" w:oddVBand="0" w:evenVBand="0" w:oddHBand="0" w:evenHBand="0" w:firstRowFirstColumn="0" w:firstRowLastColumn="0" w:lastRowFirstColumn="0" w:lastRowLastColumn="0"/>
            </w:pPr>
            <w:r>
              <w:t>Podod</w:t>
            </w:r>
            <w:r w:rsidR="00E21986">
              <w:t>d</w:t>
            </w:r>
            <w:r>
              <w:t>íl</w:t>
            </w:r>
          </w:p>
        </w:tc>
        <w:tc>
          <w:tcPr>
            <w:tcW w:w="2085" w:type="dxa"/>
          </w:tcPr>
          <w:p w:rsidR="00850C76" w:rsidRDefault="00850C76" w:rsidP="008F77A9">
            <w:pPr>
              <w:ind w:firstLine="0"/>
              <w:cnfStyle w:val="100000000000" w:firstRow="1" w:lastRow="0" w:firstColumn="0" w:lastColumn="0" w:oddVBand="0" w:evenVBand="0" w:oddHBand="0" w:evenHBand="0" w:firstRowFirstColumn="0" w:firstRowLastColumn="0" w:lastRowFirstColumn="0" w:lastRowLastColumn="0"/>
            </w:pPr>
            <w:r>
              <w:t>Název organizace</w:t>
            </w:r>
          </w:p>
        </w:tc>
        <w:tc>
          <w:tcPr>
            <w:tcW w:w="1991" w:type="dxa"/>
          </w:tcPr>
          <w:p w:rsidR="00850C76" w:rsidRDefault="00850C76" w:rsidP="008F77A9">
            <w:pPr>
              <w:ind w:firstLine="0"/>
              <w:cnfStyle w:val="100000000000" w:firstRow="1" w:lastRow="0" w:firstColumn="0" w:lastColumn="0" w:oddVBand="0" w:evenVBand="0" w:oddHBand="0" w:evenHBand="0" w:firstRowFirstColumn="0" w:firstRowLastColumn="0" w:lastRowFirstColumn="0" w:lastRowLastColumn="0"/>
            </w:pPr>
            <w:r>
              <w:t>Právní forma</w:t>
            </w:r>
          </w:p>
        </w:tc>
      </w:tr>
      <w:tr w:rsidR="00A20B31" w:rsidTr="00850C76">
        <w:trPr>
          <w:cnfStyle w:val="000000100000" w:firstRow="0" w:lastRow="0" w:firstColumn="0" w:lastColumn="0" w:oddVBand="0" w:evenVBand="0" w:oddHBand="1"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3090" w:type="dxa"/>
          </w:tcPr>
          <w:p w:rsidR="00850C76" w:rsidRPr="00850C76" w:rsidRDefault="00850C76" w:rsidP="00850C76">
            <w:pPr>
              <w:spacing w:line="240" w:lineRule="auto"/>
              <w:ind w:firstLine="0"/>
              <w:rPr>
                <w:b w:val="0"/>
              </w:rPr>
            </w:pPr>
            <w:r w:rsidRPr="00850C76">
              <w:rPr>
                <w:b w:val="0"/>
              </w:rPr>
              <w:t>II</w:t>
            </w:r>
            <w:r>
              <w:rPr>
                <w:b w:val="0"/>
              </w:rPr>
              <w:t xml:space="preserve">. </w:t>
            </w:r>
            <w:r w:rsidRPr="00850C76">
              <w:rPr>
                <w:b w:val="0"/>
              </w:rPr>
              <w:t>interní lobbisté a obchodní/podniková/profesní sdružení</w:t>
            </w:r>
          </w:p>
        </w:tc>
        <w:tc>
          <w:tcPr>
            <w:tcW w:w="2043" w:type="dxa"/>
          </w:tcPr>
          <w:p w:rsidR="00850C76" w:rsidRDefault="00A20B31" w:rsidP="008F77A9">
            <w:pPr>
              <w:ind w:firstLine="0"/>
              <w:cnfStyle w:val="000000100000" w:firstRow="0" w:lastRow="0" w:firstColumn="0" w:lastColumn="0" w:oddVBand="0" w:evenVBand="0" w:oddHBand="1" w:evenHBand="0" w:firstRowFirstColumn="0" w:firstRowLastColumn="0" w:lastRowFirstColumn="0" w:lastRowLastColumn="0"/>
            </w:pPr>
            <w:r w:rsidRPr="00A20B31">
              <w:t>podniky a skupiny</w:t>
            </w:r>
          </w:p>
        </w:tc>
        <w:tc>
          <w:tcPr>
            <w:tcW w:w="2085" w:type="dxa"/>
          </w:tcPr>
          <w:p w:rsidR="00850C76" w:rsidRDefault="00A20B31" w:rsidP="00A20B31">
            <w:pPr>
              <w:spacing w:line="240" w:lineRule="auto"/>
              <w:ind w:firstLine="0"/>
              <w:cnfStyle w:val="000000100000" w:firstRow="0" w:lastRow="0" w:firstColumn="0" w:lastColumn="0" w:oddVBand="0" w:evenVBand="0" w:oddHBand="1" w:evenHBand="0" w:firstRowFirstColumn="0" w:firstRowLastColumn="0" w:lastRowFirstColumn="0" w:lastRowLastColumn="0"/>
            </w:pPr>
            <w:r w:rsidRPr="00A20B31">
              <w:t>Snam</w:t>
            </w:r>
            <w:r>
              <w:t>,</w:t>
            </w:r>
            <w:r w:rsidRPr="00A20B31">
              <w:t>S.p.A. (SNAM)</w:t>
            </w:r>
          </w:p>
        </w:tc>
        <w:tc>
          <w:tcPr>
            <w:tcW w:w="1991" w:type="dxa"/>
          </w:tcPr>
          <w:p w:rsidR="00850C76" w:rsidRDefault="00A20B31" w:rsidP="00A20B31">
            <w:pPr>
              <w:spacing w:line="240" w:lineRule="auto"/>
              <w:ind w:firstLine="0"/>
              <w:cnfStyle w:val="000000100000" w:firstRow="0" w:lastRow="0" w:firstColumn="0" w:lastColumn="0" w:oddVBand="0" w:evenVBand="0" w:oddHBand="1" w:evenHBand="0" w:firstRowFirstColumn="0" w:firstRowLastColumn="0" w:lastRowFirstColumn="0" w:lastRowLastColumn="0"/>
            </w:pPr>
            <w:r>
              <w:t>Joint-stock company</w:t>
            </w:r>
          </w:p>
        </w:tc>
      </w:tr>
      <w:tr w:rsidR="00850C76" w:rsidTr="00850C76">
        <w:trPr>
          <w:trHeight w:val="925"/>
        </w:trPr>
        <w:tc>
          <w:tcPr>
            <w:cnfStyle w:val="001000000000" w:firstRow="0" w:lastRow="0" w:firstColumn="1" w:lastColumn="0" w:oddVBand="0" w:evenVBand="0" w:oddHBand="0" w:evenHBand="0" w:firstRowFirstColumn="0" w:firstRowLastColumn="0" w:lastRowFirstColumn="0" w:lastRowLastColumn="0"/>
            <w:tcW w:w="3090" w:type="dxa"/>
          </w:tcPr>
          <w:p w:rsidR="00850C76" w:rsidRPr="00850C76" w:rsidRDefault="00850C76" w:rsidP="00850C76">
            <w:pPr>
              <w:spacing w:line="240" w:lineRule="auto"/>
              <w:ind w:firstLine="0"/>
              <w:rPr>
                <w:b w:val="0"/>
              </w:rPr>
            </w:pPr>
            <w:r w:rsidRPr="00850C76">
              <w:rPr>
                <w:b w:val="0"/>
              </w:rPr>
              <w:t>II. interní lobbisté a obchodní/podniková/profesní sdružení</w:t>
            </w:r>
          </w:p>
        </w:tc>
        <w:tc>
          <w:tcPr>
            <w:tcW w:w="2043" w:type="dxa"/>
          </w:tcPr>
          <w:p w:rsidR="00850C76" w:rsidRDefault="00A20B31" w:rsidP="008F77A9">
            <w:pPr>
              <w:ind w:firstLine="0"/>
              <w:cnfStyle w:val="000000000000" w:firstRow="0" w:lastRow="0" w:firstColumn="0" w:lastColumn="0" w:oddVBand="0" w:evenVBand="0" w:oddHBand="0" w:evenHBand="0" w:firstRowFirstColumn="0" w:firstRowLastColumn="0" w:lastRowFirstColumn="0" w:lastRowLastColumn="0"/>
            </w:pPr>
            <w:r w:rsidRPr="00A20B31">
              <w:t>podniky a skupiny</w:t>
            </w:r>
          </w:p>
        </w:tc>
        <w:tc>
          <w:tcPr>
            <w:tcW w:w="2085" w:type="dxa"/>
          </w:tcPr>
          <w:p w:rsidR="00850C76" w:rsidRDefault="00A20B31" w:rsidP="00A20B31">
            <w:pPr>
              <w:spacing w:line="240" w:lineRule="auto"/>
              <w:ind w:firstLine="0"/>
              <w:cnfStyle w:val="000000000000" w:firstRow="0" w:lastRow="0" w:firstColumn="0" w:lastColumn="0" w:oddVBand="0" w:evenVBand="0" w:oddHBand="0" w:evenHBand="0" w:firstRowFirstColumn="0" w:firstRowLastColumn="0" w:lastRowFirstColumn="0" w:lastRowLastColumn="0"/>
            </w:pPr>
            <w:r w:rsidRPr="00A20B31">
              <w:t>ZF Friedrichshafen AG</w:t>
            </w:r>
          </w:p>
        </w:tc>
        <w:tc>
          <w:tcPr>
            <w:tcW w:w="1991" w:type="dxa"/>
          </w:tcPr>
          <w:p w:rsidR="00850C76" w:rsidRDefault="003B6E34" w:rsidP="003B6E34">
            <w:pPr>
              <w:spacing w:line="240" w:lineRule="auto"/>
              <w:ind w:firstLine="0"/>
              <w:cnfStyle w:val="000000000000" w:firstRow="0" w:lastRow="0" w:firstColumn="0" w:lastColumn="0" w:oddVBand="0" w:evenVBand="0" w:oddHBand="0" w:evenHBand="0" w:firstRowFirstColumn="0" w:firstRowLastColumn="0" w:lastRowFirstColumn="0" w:lastRowLastColumn="0"/>
            </w:pPr>
            <w:r>
              <w:t>Akciová společnost</w:t>
            </w:r>
          </w:p>
        </w:tc>
      </w:tr>
      <w:tr w:rsidR="00A20B31" w:rsidTr="00850C76">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3090" w:type="dxa"/>
          </w:tcPr>
          <w:p w:rsidR="00850C76" w:rsidRDefault="00850C76" w:rsidP="00850C76">
            <w:pPr>
              <w:spacing w:line="240" w:lineRule="auto"/>
              <w:ind w:firstLine="0"/>
            </w:pPr>
            <w:r w:rsidRPr="00850C76">
              <w:rPr>
                <w:b w:val="0"/>
              </w:rPr>
              <w:t>II</w:t>
            </w:r>
            <w:r>
              <w:rPr>
                <w:b w:val="0"/>
              </w:rPr>
              <w:t xml:space="preserve">. </w:t>
            </w:r>
            <w:r w:rsidRPr="00850C76">
              <w:rPr>
                <w:b w:val="0"/>
              </w:rPr>
              <w:t>interní lobbisté a obchodní/podniková/profesní sdružení</w:t>
            </w:r>
          </w:p>
        </w:tc>
        <w:tc>
          <w:tcPr>
            <w:tcW w:w="2043" w:type="dxa"/>
          </w:tcPr>
          <w:p w:rsidR="00850C76" w:rsidRDefault="00A20B31" w:rsidP="008F77A9">
            <w:pPr>
              <w:ind w:firstLine="0"/>
              <w:cnfStyle w:val="000000100000" w:firstRow="0" w:lastRow="0" w:firstColumn="0" w:lastColumn="0" w:oddVBand="0" w:evenVBand="0" w:oddHBand="1" w:evenHBand="0" w:firstRowFirstColumn="0" w:firstRowLastColumn="0" w:lastRowFirstColumn="0" w:lastRowLastColumn="0"/>
            </w:pPr>
            <w:r w:rsidRPr="00A20B31">
              <w:t>podniky a skupiny</w:t>
            </w:r>
          </w:p>
        </w:tc>
        <w:tc>
          <w:tcPr>
            <w:tcW w:w="2085" w:type="dxa"/>
          </w:tcPr>
          <w:p w:rsidR="00850C76" w:rsidRDefault="00A20B31" w:rsidP="008F77A9">
            <w:pPr>
              <w:ind w:firstLine="0"/>
              <w:cnfStyle w:val="000000100000" w:firstRow="0" w:lastRow="0" w:firstColumn="0" w:lastColumn="0" w:oddVBand="0" w:evenVBand="0" w:oddHBand="1" w:evenHBand="0" w:firstRowFirstColumn="0" w:firstRowLastColumn="0" w:lastRowFirstColumn="0" w:lastRowLastColumn="0"/>
            </w:pPr>
            <w:r>
              <w:t>DNV GL</w:t>
            </w:r>
          </w:p>
        </w:tc>
        <w:tc>
          <w:tcPr>
            <w:tcW w:w="1991" w:type="dxa"/>
          </w:tcPr>
          <w:p w:rsidR="00850C76" w:rsidRDefault="003B6E34" w:rsidP="003B6E34">
            <w:pPr>
              <w:spacing w:line="240" w:lineRule="auto"/>
              <w:ind w:firstLine="0"/>
              <w:cnfStyle w:val="000000100000" w:firstRow="0" w:lastRow="0" w:firstColumn="0" w:lastColumn="0" w:oddVBand="0" w:evenVBand="0" w:oddHBand="1" w:evenHBand="0" w:firstRowFirstColumn="0" w:firstRowLastColumn="0" w:lastRowFirstColumn="0" w:lastRowLastColumn="0"/>
            </w:pPr>
            <w:r>
              <w:t>Akciová společnost</w:t>
            </w:r>
          </w:p>
        </w:tc>
      </w:tr>
      <w:tr w:rsidR="00850C76" w:rsidTr="00850C76">
        <w:trPr>
          <w:trHeight w:val="462"/>
        </w:trPr>
        <w:tc>
          <w:tcPr>
            <w:cnfStyle w:val="001000000000" w:firstRow="0" w:lastRow="0" w:firstColumn="1" w:lastColumn="0" w:oddVBand="0" w:evenVBand="0" w:oddHBand="0" w:evenHBand="0" w:firstRowFirstColumn="0" w:firstRowLastColumn="0" w:lastRowFirstColumn="0" w:lastRowLastColumn="0"/>
            <w:tcW w:w="3090" w:type="dxa"/>
          </w:tcPr>
          <w:p w:rsidR="00850C76" w:rsidRDefault="00850C76" w:rsidP="00850C76">
            <w:pPr>
              <w:spacing w:line="240" w:lineRule="auto"/>
              <w:ind w:firstLine="0"/>
            </w:pPr>
            <w:r w:rsidRPr="00850C76">
              <w:rPr>
                <w:b w:val="0"/>
              </w:rPr>
              <w:t>II</w:t>
            </w:r>
            <w:r>
              <w:rPr>
                <w:b w:val="0"/>
              </w:rPr>
              <w:t xml:space="preserve">. </w:t>
            </w:r>
            <w:r w:rsidRPr="00850C76">
              <w:rPr>
                <w:b w:val="0"/>
              </w:rPr>
              <w:t>interní lobbisté a obchodní/podniková/profesní sdružení</w:t>
            </w:r>
          </w:p>
        </w:tc>
        <w:tc>
          <w:tcPr>
            <w:tcW w:w="2043" w:type="dxa"/>
          </w:tcPr>
          <w:p w:rsidR="00850C76" w:rsidRDefault="00A20B31" w:rsidP="008F77A9">
            <w:pPr>
              <w:ind w:firstLine="0"/>
              <w:cnfStyle w:val="000000000000" w:firstRow="0" w:lastRow="0" w:firstColumn="0" w:lastColumn="0" w:oddVBand="0" w:evenVBand="0" w:oddHBand="0" w:evenHBand="0" w:firstRowFirstColumn="0" w:firstRowLastColumn="0" w:lastRowFirstColumn="0" w:lastRowLastColumn="0"/>
            </w:pPr>
            <w:r w:rsidRPr="00A20B31">
              <w:t>podniky a skupiny</w:t>
            </w:r>
          </w:p>
        </w:tc>
        <w:tc>
          <w:tcPr>
            <w:tcW w:w="2085" w:type="dxa"/>
          </w:tcPr>
          <w:p w:rsidR="00850C76" w:rsidRDefault="00A20B31" w:rsidP="00A20B31">
            <w:pPr>
              <w:spacing w:line="240" w:lineRule="auto"/>
              <w:ind w:firstLine="0"/>
              <w:cnfStyle w:val="000000000000" w:firstRow="0" w:lastRow="0" w:firstColumn="0" w:lastColumn="0" w:oddVBand="0" w:evenVBand="0" w:oddHBand="0" w:evenHBand="0" w:firstRowFirstColumn="0" w:firstRowLastColumn="0" w:lastRowFirstColumn="0" w:lastRowLastColumn="0"/>
            </w:pPr>
            <w:r w:rsidRPr="00A20B31">
              <w:t>SalzgitterAG (SZAG)</w:t>
            </w:r>
          </w:p>
        </w:tc>
        <w:tc>
          <w:tcPr>
            <w:tcW w:w="1991" w:type="dxa"/>
          </w:tcPr>
          <w:p w:rsidR="00850C76" w:rsidRDefault="003B6E34" w:rsidP="003B6E34">
            <w:pPr>
              <w:spacing w:line="240" w:lineRule="auto"/>
              <w:ind w:firstLine="0"/>
              <w:cnfStyle w:val="000000000000" w:firstRow="0" w:lastRow="0" w:firstColumn="0" w:lastColumn="0" w:oddVBand="0" w:evenVBand="0" w:oddHBand="0" w:evenHBand="0" w:firstRowFirstColumn="0" w:firstRowLastColumn="0" w:lastRowFirstColumn="0" w:lastRowLastColumn="0"/>
            </w:pPr>
            <w:r>
              <w:t>Akciová společnost</w:t>
            </w:r>
          </w:p>
        </w:tc>
      </w:tr>
      <w:tr w:rsidR="00A20B31" w:rsidTr="00850C76">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3090" w:type="dxa"/>
          </w:tcPr>
          <w:p w:rsidR="00850C76" w:rsidRDefault="00850C76" w:rsidP="00850C76">
            <w:pPr>
              <w:spacing w:line="240" w:lineRule="auto"/>
              <w:ind w:firstLine="0"/>
            </w:pPr>
            <w:r w:rsidRPr="00850C76">
              <w:rPr>
                <w:b w:val="0"/>
              </w:rPr>
              <w:t>II</w:t>
            </w:r>
            <w:r>
              <w:rPr>
                <w:b w:val="0"/>
              </w:rPr>
              <w:t xml:space="preserve">. </w:t>
            </w:r>
            <w:r w:rsidRPr="00850C76">
              <w:rPr>
                <w:b w:val="0"/>
              </w:rPr>
              <w:t>interní lobbisté a obchodní/podniková/profesní sdružení</w:t>
            </w:r>
          </w:p>
        </w:tc>
        <w:tc>
          <w:tcPr>
            <w:tcW w:w="2043" w:type="dxa"/>
          </w:tcPr>
          <w:p w:rsidR="00850C76" w:rsidRDefault="00A20B31" w:rsidP="008F77A9">
            <w:pPr>
              <w:ind w:firstLine="0"/>
              <w:cnfStyle w:val="000000100000" w:firstRow="0" w:lastRow="0" w:firstColumn="0" w:lastColumn="0" w:oddVBand="0" w:evenVBand="0" w:oddHBand="1" w:evenHBand="0" w:firstRowFirstColumn="0" w:firstRowLastColumn="0" w:lastRowFirstColumn="0" w:lastRowLastColumn="0"/>
            </w:pPr>
            <w:r w:rsidRPr="00A20B31">
              <w:t>podniky a skupiny</w:t>
            </w:r>
          </w:p>
        </w:tc>
        <w:tc>
          <w:tcPr>
            <w:tcW w:w="2085" w:type="dxa"/>
          </w:tcPr>
          <w:p w:rsidR="00850C76" w:rsidRDefault="00A20B31" w:rsidP="00A20B31">
            <w:pPr>
              <w:spacing w:line="240" w:lineRule="auto"/>
              <w:ind w:firstLine="0"/>
              <w:cnfStyle w:val="000000100000" w:firstRow="0" w:lastRow="0" w:firstColumn="0" w:lastColumn="0" w:oddVBand="0" w:evenVBand="0" w:oddHBand="1" w:evenHBand="0" w:firstRowFirstColumn="0" w:firstRowLastColumn="0" w:lastRowFirstColumn="0" w:lastRowLastColumn="0"/>
            </w:pPr>
            <w:r w:rsidRPr="00A20B31">
              <w:t>Bacardi-Martini BV (BMBV)</w:t>
            </w:r>
          </w:p>
        </w:tc>
        <w:tc>
          <w:tcPr>
            <w:tcW w:w="1991" w:type="dxa"/>
          </w:tcPr>
          <w:p w:rsidR="00850C76" w:rsidRDefault="003B6E34" w:rsidP="003B6E34">
            <w:pPr>
              <w:spacing w:line="240" w:lineRule="auto"/>
              <w:ind w:firstLine="0"/>
              <w:cnfStyle w:val="000000100000" w:firstRow="0" w:lastRow="0" w:firstColumn="0" w:lastColumn="0" w:oddVBand="0" w:evenVBand="0" w:oddHBand="1" w:evenHBand="0" w:firstRowFirstColumn="0" w:firstRowLastColumn="0" w:lastRowFirstColumn="0" w:lastRowLastColumn="0"/>
            </w:pPr>
            <w:r>
              <w:t>Akciová společnost</w:t>
            </w:r>
          </w:p>
        </w:tc>
      </w:tr>
      <w:tr w:rsidR="00850C76" w:rsidTr="00850C76">
        <w:trPr>
          <w:trHeight w:val="462"/>
        </w:trPr>
        <w:tc>
          <w:tcPr>
            <w:cnfStyle w:val="001000000000" w:firstRow="0" w:lastRow="0" w:firstColumn="1" w:lastColumn="0" w:oddVBand="0" w:evenVBand="0" w:oddHBand="0" w:evenHBand="0" w:firstRowFirstColumn="0" w:firstRowLastColumn="0" w:lastRowFirstColumn="0" w:lastRowLastColumn="0"/>
            <w:tcW w:w="3090" w:type="dxa"/>
          </w:tcPr>
          <w:p w:rsidR="00850C76" w:rsidRDefault="00850C76" w:rsidP="00850C76">
            <w:pPr>
              <w:spacing w:line="240" w:lineRule="auto"/>
              <w:ind w:firstLine="0"/>
            </w:pPr>
            <w:r w:rsidRPr="00850C76">
              <w:rPr>
                <w:b w:val="0"/>
              </w:rPr>
              <w:t>II</w:t>
            </w:r>
            <w:r>
              <w:rPr>
                <w:b w:val="0"/>
              </w:rPr>
              <w:t xml:space="preserve">. </w:t>
            </w:r>
            <w:r w:rsidRPr="00850C76">
              <w:rPr>
                <w:b w:val="0"/>
              </w:rPr>
              <w:t>interní lobbisté a obchodní/podniková/profesní sdružení</w:t>
            </w:r>
          </w:p>
        </w:tc>
        <w:tc>
          <w:tcPr>
            <w:tcW w:w="2043" w:type="dxa"/>
          </w:tcPr>
          <w:p w:rsidR="00850C76" w:rsidRDefault="00A20B31" w:rsidP="008F77A9">
            <w:pPr>
              <w:ind w:firstLine="0"/>
              <w:cnfStyle w:val="000000000000" w:firstRow="0" w:lastRow="0" w:firstColumn="0" w:lastColumn="0" w:oddVBand="0" w:evenVBand="0" w:oddHBand="0" w:evenHBand="0" w:firstRowFirstColumn="0" w:firstRowLastColumn="0" w:lastRowFirstColumn="0" w:lastRowLastColumn="0"/>
            </w:pPr>
            <w:r w:rsidRPr="00A20B31">
              <w:t>podniky a skupiny</w:t>
            </w:r>
          </w:p>
        </w:tc>
        <w:tc>
          <w:tcPr>
            <w:tcW w:w="2085" w:type="dxa"/>
          </w:tcPr>
          <w:p w:rsidR="00850C76" w:rsidRDefault="00A20B31" w:rsidP="00A20B31">
            <w:pPr>
              <w:spacing w:line="240" w:lineRule="auto"/>
              <w:ind w:firstLine="0"/>
              <w:cnfStyle w:val="000000000000" w:firstRow="0" w:lastRow="0" w:firstColumn="0" w:lastColumn="0" w:oddVBand="0" w:evenVBand="0" w:oddHBand="0" w:evenHBand="0" w:firstRowFirstColumn="0" w:firstRowLastColumn="0" w:lastRowFirstColumn="0" w:lastRowLastColumn="0"/>
            </w:pPr>
            <w:r w:rsidRPr="00A20B31">
              <w:t>Bridgestone Europe (BSEU)</w:t>
            </w:r>
          </w:p>
        </w:tc>
        <w:tc>
          <w:tcPr>
            <w:tcW w:w="1991" w:type="dxa"/>
          </w:tcPr>
          <w:p w:rsidR="00850C76" w:rsidRDefault="003B6E34" w:rsidP="003B6E34">
            <w:pPr>
              <w:spacing w:line="240" w:lineRule="auto"/>
              <w:ind w:firstLine="0"/>
              <w:cnfStyle w:val="000000000000" w:firstRow="0" w:lastRow="0" w:firstColumn="0" w:lastColumn="0" w:oddVBand="0" w:evenVBand="0" w:oddHBand="0" w:evenHBand="0" w:firstRowFirstColumn="0" w:firstRowLastColumn="0" w:lastRowFirstColumn="0" w:lastRowLastColumn="0"/>
            </w:pPr>
            <w:r>
              <w:t>Akciová společnost</w:t>
            </w:r>
          </w:p>
        </w:tc>
      </w:tr>
      <w:tr w:rsidR="00A20B31" w:rsidTr="00850C76">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3090" w:type="dxa"/>
          </w:tcPr>
          <w:p w:rsidR="00850C76" w:rsidRPr="00850C76" w:rsidRDefault="00A20B31" w:rsidP="00850C76">
            <w:pPr>
              <w:spacing w:line="240" w:lineRule="auto"/>
              <w:ind w:firstLine="0"/>
              <w:rPr>
                <w:b w:val="0"/>
              </w:rPr>
            </w:pPr>
            <w:r w:rsidRPr="00850C76">
              <w:rPr>
                <w:b w:val="0"/>
              </w:rPr>
              <w:t>II</w:t>
            </w:r>
            <w:r>
              <w:rPr>
                <w:b w:val="0"/>
              </w:rPr>
              <w:t xml:space="preserve">. </w:t>
            </w:r>
            <w:r w:rsidRPr="00850C76">
              <w:rPr>
                <w:b w:val="0"/>
              </w:rPr>
              <w:t>interní lobbisté a obchodní/podniková/profesní sdružení</w:t>
            </w:r>
          </w:p>
        </w:tc>
        <w:tc>
          <w:tcPr>
            <w:tcW w:w="2043" w:type="dxa"/>
          </w:tcPr>
          <w:p w:rsidR="00850C76" w:rsidRDefault="00A20B31" w:rsidP="008F77A9">
            <w:pPr>
              <w:ind w:firstLine="0"/>
              <w:cnfStyle w:val="000000100000" w:firstRow="0" w:lastRow="0" w:firstColumn="0" w:lastColumn="0" w:oddVBand="0" w:evenVBand="0" w:oddHBand="1" w:evenHBand="0" w:firstRowFirstColumn="0" w:firstRowLastColumn="0" w:lastRowFirstColumn="0" w:lastRowLastColumn="0"/>
            </w:pPr>
            <w:r w:rsidRPr="00A20B31">
              <w:t>podniky a skupiny</w:t>
            </w:r>
          </w:p>
        </w:tc>
        <w:tc>
          <w:tcPr>
            <w:tcW w:w="2085" w:type="dxa"/>
          </w:tcPr>
          <w:p w:rsidR="00850C76" w:rsidRDefault="00A20B31" w:rsidP="008F77A9">
            <w:pPr>
              <w:ind w:firstLine="0"/>
              <w:cnfStyle w:val="000000100000" w:firstRow="0" w:lastRow="0" w:firstColumn="0" w:lastColumn="0" w:oddVBand="0" w:evenVBand="0" w:oddHBand="1" w:evenHBand="0" w:firstRowFirstColumn="0" w:firstRowLastColumn="0" w:lastRowFirstColumn="0" w:lastRowLastColumn="0"/>
            </w:pPr>
            <w:r>
              <w:t>Fluxys SA</w:t>
            </w:r>
          </w:p>
        </w:tc>
        <w:tc>
          <w:tcPr>
            <w:tcW w:w="1991" w:type="dxa"/>
          </w:tcPr>
          <w:p w:rsidR="00850C76" w:rsidRDefault="003B6E34" w:rsidP="003B6E34">
            <w:pPr>
              <w:spacing w:line="240" w:lineRule="auto"/>
              <w:ind w:firstLine="0"/>
              <w:cnfStyle w:val="000000100000" w:firstRow="0" w:lastRow="0" w:firstColumn="0" w:lastColumn="0" w:oddVBand="0" w:evenVBand="0" w:oddHBand="1" w:evenHBand="0" w:firstRowFirstColumn="0" w:firstRowLastColumn="0" w:lastRowFirstColumn="0" w:lastRowLastColumn="0"/>
            </w:pPr>
            <w:r>
              <w:t>Akciová společnost</w:t>
            </w:r>
          </w:p>
        </w:tc>
      </w:tr>
      <w:tr w:rsidR="00850C76" w:rsidTr="00850C76">
        <w:trPr>
          <w:trHeight w:val="451"/>
        </w:trPr>
        <w:tc>
          <w:tcPr>
            <w:cnfStyle w:val="001000000000" w:firstRow="0" w:lastRow="0" w:firstColumn="1" w:lastColumn="0" w:oddVBand="0" w:evenVBand="0" w:oddHBand="0" w:evenHBand="0" w:firstRowFirstColumn="0" w:firstRowLastColumn="0" w:lastRowFirstColumn="0" w:lastRowLastColumn="0"/>
            <w:tcW w:w="3090" w:type="dxa"/>
          </w:tcPr>
          <w:p w:rsidR="00850C76" w:rsidRPr="00850C76" w:rsidRDefault="00850C76" w:rsidP="00850C76">
            <w:pPr>
              <w:spacing w:line="240" w:lineRule="auto"/>
              <w:ind w:firstLine="0"/>
              <w:rPr>
                <w:b w:val="0"/>
              </w:rPr>
            </w:pPr>
            <w:r w:rsidRPr="00850C76">
              <w:rPr>
                <w:b w:val="0"/>
              </w:rPr>
              <w:t>VI</w:t>
            </w:r>
            <w:r>
              <w:rPr>
                <w:b w:val="0"/>
              </w:rPr>
              <w:t xml:space="preserve">. </w:t>
            </w:r>
            <w:r w:rsidRPr="00850C76">
              <w:rPr>
                <w:b w:val="0"/>
              </w:rPr>
              <w:t>Organizace zastupující místní, regionální a obecní orgány, jiné veřejné či smíšené subjekty atd.</w:t>
            </w:r>
          </w:p>
        </w:tc>
        <w:tc>
          <w:tcPr>
            <w:tcW w:w="2043" w:type="dxa"/>
          </w:tcPr>
          <w:p w:rsidR="00ED2DE2" w:rsidRDefault="00A20B31" w:rsidP="00A20B31">
            <w:pPr>
              <w:spacing w:line="240" w:lineRule="auto"/>
              <w:ind w:firstLine="0"/>
              <w:jc w:val="left"/>
              <w:cnfStyle w:val="000000000000" w:firstRow="0" w:lastRow="0" w:firstColumn="0" w:lastColumn="0" w:oddVBand="0" w:evenVBand="0" w:oddHBand="0" w:evenHBand="0" w:firstRowFirstColumn="0" w:firstRowLastColumn="0" w:lastRowFirstColumn="0" w:lastRowLastColumn="0"/>
            </w:pPr>
            <w:r w:rsidRPr="00A20B31">
              <w:t>jiné veřejné orgány na</w:t>
            </w:r>
            <w:r>
              <w:t xml:space="preserve"> </w:t>
            </w:r>
            <w:r w:rsidRPr="00A20B31">
              <w:t>nižší n</w:t>
            </w:r>
          </w:p>
          <w:p w:rsidR="00850C76" w:rsidRDefault="00A20B31" w:rsidP="00A20B31">
            <w:pPr>
              <w:spacing w:line="240" w:lineRule="auto"/>
              <w:ind w:firstLine="0"/>
              <w:jc w:val="left"/>
              <w:cnfStyle w:val="000000000000" w:firstRow="0" w:lastRow="0" w:firstColumn="0" w:lastColumn="0" w:oddVBand="0" w:evenVBand="0" w:oddHBand="0" w:evenHBand="0" w:firstRowFirstColumn="0" w:firstRowLastColumn="0" w:lastRowFirstColumn="0" w:lastRowLastColumn="0"/>
            </w:pPr>
            <w:r w:rsidRPr="00A20B31">
              <w:t>ež celostátní úrovni</w:t>
            </w:r>
          </w:p>
        </w:tc>
        <w:tc>
          <w:tcPr>
            <w:tcW w:w="2085" w:type="dxa"/>
          </w:tcPr>
          <w:p w:rsidR="00850C76" w:rsidRDefault="00A20B31" w:rsidP="00A20B31">
            <w:pPr>
              <w:spacing w:line="240" w:lineRule="auto"/>
              <w:ind w:firstLine="0"/>
              <w:cnfStyle w:val="000000000000" w:firstRow="0" w:lastRow="0" w:firstColumn="0" w:lastColumn="0" w:oddVBand="0" w:evenVBand="0" w:oddHBand="0" w:evenHBand="0" w:firstRowFirstColumn="0" w:firstRowLastColumn="0" w:lastRowFirstColumn="0" w:lastRowLastColumn="0"/>
            </w:pPr>
            <w:r w:rsidRPr="00A20B31">
              <w:t>Swedish Association of Local Authorities and Regions (SALAR)</w:t>
            </w:r>
          </w:p>
        </w:tc>
        <w:tc>
          <w:tcPr>
            <w:tcW w:w="1991" w:type="dxa"/>
          </w:tcPr>
          <w:p w:rsidR="00850C76" w:rsidRDefault="00A20B31" w:rsidP="00A20B31">
            <w:pPr>
              <w:spacing w:line="240" w:lineRule="auto"/>
              <w:ind w:firstLine="0"/>
              <w:cnfStyle w:val="000000000000" w:firstRow="0" w:lastRow="0" w:firstColumn="0" w:lastColumn="0" w:oddVBand="0" w:evenVBand="0" w:oddHBand="0" w:evenHBand="0" w:firstRowFirstColumn="0" w:firstRowLastColumn="0" w:lastRowFirstColumn="0" w:lastRowLastColumn="0"/>
            </w:pPr>
            <w:r>
              <w:t>Soukromá organizace</w:t>
            </w:r>
          </w:p>
        </w:tc>
      </w:tr>
    </w:tbl>
    <w:p w:rsidR="00E21986" w:rsidRDefault="00E21986" w:rsidP="0029611A"/>
    <w:p w:rsidR="00ED2DE2" w:rsidRDefault="00ED2DE2" w:rsidP="0029611A"/>
    <w:p w:rsidR="00ED2DE2" w:rsidRDefault="00ED2DE2" w:rsidP="0029611A"/>
    <w:p w:rsidR="008F77A9" w:rsidRDefault="0029611A" w:rsidP="0029611A">
      <w:r>
        <w:t>Tabulka č.2</w:t>
      </w:r>
    </w:p>
    <w:tbl>
      <w:tblPr>
        <w:tblStyle w:val="GridTable6Colorful-Accent2"/>
        <w:tblW w:w="9493" w:type="dxa"/>
        <w:tblLook w:val="04A0" w:firstRow="1" w:lastRow="0" w:firstColumn="1" w:lastColumn="0" w:noHBand="0" w:noVBand="1"/>
      </w:tblPr>
      <w:tblGrid>
        <w:gridCol w:w="3043"/>
        <w:gridCol w:w="2007"/>
        <w:gridCol w:w="2056"/>
        <w:gridCol w:w="2387"/>
      </w:tblGrid>
      <w:tr w:rsidR="00487910" w:rsidTr="00701D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Pr>
          <w:p w:rsidR="00487910" w:rsidRDefault="00487910" w:rsidP="0029611A">
            <w:pPr>
              <w:ind w:firstLine="0"/>
            </w:pPr>
            <w:r>
              <w:t>Oddíl</w:t>
            </w:r>
          </w:p>
        </w:tc>
        <w:tc>
          <w:tcPr>
            <w:tcW w:w="2007" w:type="dxa"/>
          </w:tcPr>
          <w:p w:rsidR="00487910" w:rsidRDefault="00487910" w:rsidP="0029611A">
            <w:pPr>
              <w:ind w:firstLine="0"/>
              <w:cnfStyle w:val="100000000000" w:firstRow="1" w:lastRow="0" w:firstColumn="0" w:lastColumn="0" w:oddVBand="0" w:evenVBand="0" w:oddHBand="0" w:evenHBand="0" w:firstRowFirstColumn="0" w:firstRowLastColumn="0" w:lastRowFirstColumn="0" w:lastRowLastColumn="0"/>
            </w:pPr>
            <w:r>
              <w:t>Pododdíl</w:t>
            </w:r>
          </w:p>
        </w:tc>
        <w:tc>
          <w:tcPr>
            <w:tcW w:w="2056" w:type="dxa"/>
          </w:tcPr>
          <w:p w:rsidR="00487910" w:rsidRDefault="00487910" w:rsidP="0029611A">
            <w:pPr>
              <w:ind w:firstLine="0"/>
              <w:cnfStyle w:val="100000000000" w:firstRow="1" w:lastRow="0" w:firstColumn="0" w:lastColumn="0" w:oddVBand="0" w:evenVBand="0" w:oddHBand="0" w:evenHBand="0" w:firstRowFirstColumn="0" w:firstRowLastColumn="0" w:lastRowFirstColumn="0" w:lastRowLastColumn="0"/>
            </w:pPr>
            <w:r>
              <w:t>Název organizace</w:t>
            </w:r>
          </w:p>
        </w:tc>
        <w:tc>
          <w:tcPr>
            <w:tcW w:w="2387" w:type="dxa"/>
          </w:tcPr>
          <w:p w:rsidR="00487910" w:rsidRDefault="00487910" w:rsidP="0029611A">
            <w:pPr>
              <w:ind w:firstLine="0"/>
              <w:cnfStyle w:val="100000000000" w:firstRow="1" w:lastRow="0" w:firstColumn="0" w:lastColumn="0" w:oddVBand="0" w:evenVBand="0" w:oddHBand="0" w:evenHBand="0" w:firstRowFirstColumn="0" w:firstRowLastColumn="0" w:lastRowFirstColumn="0" w:lastRowLastColumn="0"/>
            </w:pPr>
            <w:r>
              <w:t>Právní forma</w:t>
            </w:r>
          </w:p>
        </w:tc>
      </w:tr>
      <w:tr w:rsidR="00487910" w:rsidTr="00701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Pr>
          <w:p w:rsidR="00487910" w:rsidRPr="00487910" w:rsidRDefault="00487910" w:rsidP="00487910">
            <w:pPr>
              <w:spacing w:line="240" w:lineRule="auto"/>
              <w:ind w:firstLine="0"/>
              <w:rPr>
                <w:color w:val="auto"/>
              </w:rPr>
            </w:pPr>
            <w:r w:rsidRPr="00487910">
              <w:rPr>
                <w:b w:val="0"/>
                <w:color w:val="auto"/>
              </w:rPr>
              <w:t>II. interní lobbisté a obchodní/podniková/profesní sdružení</w:t>
            </w:r>
          </w:p>
        </w:tc>
        <w:tc>
          <w:tcPr>
            <w:tcW w:w="2007" w:type="dxa"/>
          </w:tcPr>
          <w:p w:rsidR="00487910" w:rsidRDefault="00DF7333" w:rsidP="00C100A4">
            <w:pPr>
              <w:spacing w:line="240" w:lineRule="auto"/>
              <w:ind w:firstLine="0"/>
              <w:jc w:val="center"/>
              <w:cnfStyle w:val="000000100000" w:firstRow="0" w:lastRow="0" w:firstColumn="0" w:lastColumn="0" w:oddVBand="0" w:evenVBand="0" w:oddHBand="1" w:evenHBand="0" w:firstRowFirstColumn="0" w:firstRowLastColumn="0" w:lastRowFirstColumn="0" w:lastRowLastColumn="0"/>
            </w:pPr>
            <w:r w:rsidRPr="00DF7333">
              <w:rPr>
                <w:color w:val="auto"/>
              </w:rPr>
              <w:t>obchodní</w:t>
            </w:r>
            <w:r>
              <w:rPr>
                <w:color w:val="auto"/>
              </w:rPr>
              <w:t xml:space="preserve"> </w:t>
            </w:r>
            <w:r w:rsidRPr="00DF7333">
              <w:rPr>
                <w:color w:val="auto"/>
              </w:rPr>
              <w:t>a podniková sdružení</w:t>
            </w:r>
          </w:p>
        </w:tc>
        <w:tc>
          <w:tcPr>
            <w:tcW w:w="2056" w:type="dxa"/>
          </w:tcPr>
          <w:p w:rsidR="00487910" w:rsidRPr="00250A44" w:rsidRDefault="00250A44" w:rsidP="00B01EAE">
            <w:pPr>
              <w:spacing w:line="240" w:lineRule="auto"/>
              <w:ind w:firstLine="0"/>
              <w:cnfStyle w:val="000000100000" w:firstRow="0" w:lastRow="0" w:firstColumn="0" w:lastColumn="0" w:oddVBand="0" w:evenVBand="0" w:oddHBand="1" w:evenHBand="0" w:firstRowFirstColumn="0" w:firstRowLastColumn="0" w:lastRowFirstColumn="0" w:lastRowLastColumn="0"/>
              <w:rPr>
                <w:color w:val="auto"/>
              </w:rPr>
            </w:pPr>
            <w:r w:rsidRPr="00250A44">
              <w:rPr>
                <w:color w:val="auto"/>
              </w:rPr>
              <w:t>Union</w:t>
            </w:r>
            <w:r>
              <w:rPr>
                <w:color w:val="auto"/>
              </w:rPr>
              <w:t xml:space="preserve"> </w:t>
            </w:r>
            <w:r w:rsidRPr="00250A44">
              <w:rPr>
                <w:color w:val="auto"/>
              </w:rPr>
              <w:t>Internationale des Chemins de Fer (UIC)</w:t>
            </w:r>
          </w:p>
        </w:tc>
        <w:tc>
          <w:tcPr>
            <w:tcW w:w="2387" w:type="dxa"/>
          </w:tcPr>
          <w:p w:rsidR="00487910" w:rsidRPr="00701D2F" w:rsidRDefault="00442928" w:rsidP="00701D2F">
            <w:pPr>
              <w:spacing w:line="240" w:lineRule="auto"/>
              <w:ind w:firstLine="0"/>
              <w:cnfStyle w:val="000000100000" w:firstRow="0" w:lastRow="0" w:firstColumn="0" w:lastColumn="0" w:oddVBand="0" w:evenVBand="0" w:oddHBand="1" w:evenHBand="0" w:firstRowFirstColumn="0" w:firstRowLastColumn="0" w:lastRowFirstColumn="0" w:lastRowLastColumn="0"/>
              <w:rPr>
                <w:color w:val="auto"/>
              </w:rPr>
            </w:pPr>
            <w:r>
              <w:rPr>
                <w:color w:val="auto"/>
              </w:rPr>
              <w:t>Asociace</w:t>
            </w:r>
          </w:p>
        </w:tc>
      </w:tr>
      <w:tr w:rsidR="00487910" w:rsidTr="00701D2F">
        <w:tc>
          <w:tcPr>
            <w:cnfStyle w:val="001000000000" w:firstRow="0" w:lastRow="0" w:firstColumn="1" w:lastColumn="0" w:oddVBand="0" w:evenVBand="0" w:oddHBand="0" w:evenHBand="0" w:firstRowFirstColumn="0" w:firstRowLastColumn="0" w:lastRowFirstColumn="0" w:lastRowLastColumn="0"/>
            <w:tcW w:w="3043" w:type="dxa"/>
          </w:tcPr>
          <w:p w:rsidR="00487910" w:rsidRPr="00487910" w:rsidRDefault="00487910" w:rsidP="00487910">
            <w:pPr>
              <w:spacing w:line="240" w:lineRule="auto"/>
              <w:ind w:firstLine="0"/>
              <w:rPr>
                <w:color w:val="auto"/>
              </w:rPr>
            </w:pPr>
            <w:r w:rsidRPr="00487910">
              <w:rPr>
                <w:b w:val="0"/>
                <w:color w:val="auto"/>
              </w:rPr>
              <w:t>II. interní lobbisté a obchodní/podniková/profesní sdružení</w:t>
            </w:r>
          </w:p>
        </w:tc>
        <w:tc>
          <w:tcPr>
            <w:tcW w:w="2007" w:type="dxa"/>
          </w:tcPr>
          <w:p w:rsidR="00487910" w:rsidRDefault="00DF7333" w:rsidP="00C100A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F7333">
              <w:rPr>
                <w:color w:val="auto"/>
              </w:rPr>
              <w:t>obchodní a podniková sdružení</w:t>
            </w:r>
          </w:p>
        </w:tc>
        <w:tc>
          <w:tcPr>
            <w:tcW w:w="2056" w:type="dxa"/>
          </w:tcPr>
          <w:p w:rsidR="00487910" w:rsidRPr="00B01EAE" w:rsidRDefault="00B01EAE" w:rsidP="00B01EAE">
            <w:pPr>
              <w:spacing w:line="240" w:lineRule="auto"/>
              <w:ind w:firstLine="0"/>
              <w:cnfStyle w:val="000000000000" w:firstRow="0" w:lastRow="0" w:firstColumn="0" w:lastColumn="0" w:oddVBand="0" w:evenVBand="0" w:oddHBand="0" w:evenHBand="0" w:firstRowFirstColumn="0" w:firstRowLastColumn="0" w:lastRowFirstColumn="0" w:lastRowLastColumn="0"/>
              <w:rPr>
                <w:color w:val="auto"/>
              </w:rPr>
            </w:pPr>
            <w:r w:rsidRPr="00B01EAE">
              <w:rPr>
                <w:color w:val="auto"/>
              </w:rPr>
              <w:t>Low Impact Fishers of Europe (LIFE)</w:t>
            </w:r>
          </w:p>
        </w:tc>
        <w:tc>
          <w:tcPr>
            <w:tcW w:w="2387" w:type="dxa"/>
          </w:tcPr>
          <w:p w:rsidR="00487910" w:rsidRPr="00701D2F" w:rsidRDefault="00701D2F" w:rsidP="00701D2F">
            <w:pPr>
              <w:spacing w:line="240" w:lineRule="auto"/>
              <w:ind w:firstLine="0"/>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ASBL </w:t>
            </w:r>
          </w:p>
        </w:tc>
      </w:tr>
      <w:tr w:rsidR="00487910" w:rsidTr="00701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Pr>
          <w:p w:rsidR="00487910" w:rsidRPr="00487910" w:rsidRDefault="00487910" w:rsidP="00487910">
            <w:pPr>
              <w:spacing w:line="240" w:lineRule="auto"/>
              <w:ind w:firstLine="0"/>
              <w:rPr>
                <w:color w:val="auto"/>
              </w:rPr>
            </w:pPr>
            <w:r w:rsidRPr="00487910">
              <w:rPr>
                <w:b w:val="0"/>
                <w:color w:val="auto"/>
              </w:rPr>
              <w:t>II. interní lobbisté a obchodní/podniková/profesní sdružení</w:t>
            </w:r>
          </w:p>
        </w:tc>
        <w:tc>
          <w:tcPr>
            <w:tcW w:w="2007" w:type="dxa"/>
          </w:tcPr>
          <w:p w:rsidR="00487910" w:rsidRDefault="00DF7333" w:rsidP="00C100A4">
            <w:pPr>
              <w:spacing w:line="240" w:lineRule="auto"/>
              <w:ind w:firstLine="0"/>
              <w:jc w:val="center"/>
              <w:cnfStyle w:val="000000100000" w:firstRow="0" w:lastRow="0" w:firstColumn="0" w:lastColumn="0" w:oddVBand="0" w:evenVBand="0" w:oddHBand="1" w:evenHBand="0" w:firstRowFirstColumn="0" w:firstRowLastColumn="0" w:lastRowFirstColumn="0" w:lastRowLastColumn="0"/>
            </w:pPr>
            <w:r w:rsidRPr="00DF7333">
              <w:rPr>
                <w:color w:val="auto"/>
              </w:rPr>
              <w:t>obchodní a podniková sdružení</w:t>
            </w:r>
          </w:p>
        </w:tc>
        <w:tc>
          <w:tcPr>
            <w:tcW w:w="2056" w:type="dxa"/>
          </w:tcPr>
          <w:p w:rsidR="00487910" w:rsidRDefault="00B01EAE" w:rsidP="00B01EAE">
            <w:pPr>
              <w:spacing w:line="240" w:lineRule="auto"/>
              <w:ind w:firstLine="0"/>
              <w:cnfStyle w:val="000000100000" w:firstRow="0" w:lastRow="0" w:firstColumn="0" w:lastColumn="0" w:oddVBand="0" w:evenVBand="0" w:oddHBand="1" w:evenHBand="0" w:firstRowFirstColumn="0" w:firstRowLastColumn="0" w:lastRowFirstColumn="0" w:lastRowLastColumn="0"/>
            </w:pPr>
            <w:r w:rsidRPr="00B01EAE">
              <w:rPr>
                <w:color w:val="auto"/>
              </w:rPr>
              <w:t xml:space="preserve">Confédération Européenne des Associations de Petites et </w:t>
            </w:r>
            <w:r w:rsidRPr="00B01EAE">
              <w:rPr>
                <w:color w:val="auto"/>
              </w:rPr>
              <w:lastRenderedPageBreak/>
              <w:t>Moyennes Entreprises (CEA-PME)</w:t>
            </w:r>
          </w:p>
        </w:tc>
        <w:tc>
          <w:tcPr>
            <w:tcW w:w="2387" w:type="dxa"/>
          </w:tcPr>
          <w:p w:rsidR="00487910" w:rsidRPr="00701D2F" w:rsidRDefault="00701D2F" w:rsidP="00701D2F">
            <w:pPr>
              <w:spacing w:line="240" w:lineRule="auto"/>
              <w:ind w:firstLine="0"/>
              <w:cnfStyle w:val="000000100000" w:firstRow="0" w:lastRow="0" w:firstColumn="0" w:lastColumn="0" w:oddVBand="0" w:evenVBand="0" w:oddHBand="1" w:evenHBand="0" w:firstRowFirstColumn="0" w:firstRowLastColumn="0" w:lastRowFirstColumn="0" w:lastRowLastColumn="0"/>
              <w:rPr>
                <w:color w:val="auto"/>
              </w:rPr>
            </w:pPr>
            <w:r>
              <w:rPr>
                <w:color w:val="auto"/>
              </w:rPr>
              <w:lastRenderedPageBreak/>
              <w:t>AISBL</w:t>
            </w:r>
          </w:p>
        </w:tc>
      </w:tr>
      <w:tr w:rsidR="00487910" w:rsidTr="00701D2F">
        <w:tc>
          <w:tcPr>
            <w:cnfStyle w:val="001000000000" w:firstRow="0" w:lastRow="0" w:firstColumn="1" w:lastColumn="0" w:oddVBand="0" w:evenVBand="0" w:oddHBand="0" w:evenHBand="0" w:firstRowFirstColumn="0" w:firstRowLastColumn="0" w:lastRowFirstColumn="0" w:lastRowLastColumn="0"/>
            <w:tcW w:w="3043" w:type="dxa"/>
          </w:tcPr>
          <w:p w:rsidR="00487910" w:rsidRPr="00487910" w:rsidRDefault="00487910" w:rsidP="00487910">
            <w:pPr>
              <w:spacing w:line="240" w:lineRule="auto"/>
              <w:ind w:firstLine="0"/>
              <w:rPr>
                <w:color w:val="auto"/>
              </w:rPr>
            </w:pPr>
            <w:r w:rsidRPr="00487910">
              <w:rPr>
                <w:b w:val="0"/>
                <w:color w:val="auto"/>
              </w:rPr>
              <w:t>II. interní lobbisté a obchodní/podniková/profesní sdružení</w:t>
            </w:r>
          </w:p>
        </w:tc>
        <w:tc>
          <w:tcPr>
            <w:tcW w:w="2007" w:type="dxa"/>
          </w:tcPr>
          <w:p w:rsidR="00487910" w:rsidRDefault="00DF7333" w:rsidP="00C100A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F7333">
              <w:rPr>
                <w:color w:val="auto"/>
              </w:rPr>
              <w:t>obchodní a podniková sdružení</w:t>
            </w:r>
          </w:p>
        </w:tc>
        <w:tc>
          <w:tcPr>
            <w:tcW w:w="2056" w:type="dxa"/>
          </w:tcPr>
          <w:p w:rsidR="00B01EAE" w:rsidRDefault="00B01EAE" w:rsidP="00B01EAE">
            <w:pPr>
              <w:spacing w:line="240" w:lineRule="auto"/>
              <w:ind w:firstLine="0"/>
              <w:cnfStyle w:val="000000000000" w:firstRow="0" w:lastRow="0" w:firstColumn="0" w:lastColumn="0" w:oddVBand="0" w:evenVBand="0" w:oddHBand="0" w:evenHBand="0" w:firstRowFirstColumn="0" w:firstRowLastColumn="0" w:lastRowFirstColumn="0" w:lastRowLastColumn="0"/>
              <w:rPr>
                <w:color w:val="auto"/>
              </w:rPr>
            </w:pPr>
            <w:r w:rsidRPr="00B01EAE">
              <w:rPr>
                <w:color w:val="auto"/>
              </w:rPr>
              <w:t xml:space="preserve">Airlines </w:t>
            </w:r>
          </w:p>
          <w:p w:rsidR="00487910" w:rsidRDefault="00B01EAE" w:rsidP="00B01EAE">
            <w:pPr>
              <w:spacing w:line="240" w:lineRule="auto"/>
              <w:ind w:firstLine="0"/>
              <w:cnfStyle w:val="000000000000" w:firstRow="0" w:lastRow="0" w:firstColumn="0" w:lastColumn="0" w:oddVBand="0" w:evenVBand="0" w:oddHBand="0" w:evenHBand="0" w:firstRowFirstColumn="0" w:firstRowLastColumn="0" w:lastRowFirstColumn="0" w:lastRowLastColumn="0"/>
            </w:pPr>
            <w:r w:rsidRPr="00B01EAE">
              <w:rPr>
                <w:color w:val="auto"/>
              </w:rPr>
              <w:t>for Europe (A4E)</w:t>
            </w:r>
          </w:p>
        </w:tc>
        <w:tc>
          <w:tcPr>
            <w:tcW w:w="2387" w:type="dxa"/>
          </w:tcPr>
          <w:p w:rsidR="00487910" w:rsidRPr="00701D2F" w:rsidRDefault="00701D2F" w:rsidP="00701D2F">
            <w:pPr>
              <w:spacing w:line="240" w:lineRule="auto"/>
              <w:ind w:firstLine="0"/>
              <w:cnfStyle w:val="000000000000" w:firstRow="0" w:lastRow="0" w:firstColumn="0" w:lastColumn="0" w:oddVBand="0" w:evenVBand="0" w:oddHBand="0" w:evenHBand="0" w:firstRowFirstColumn="0" w:firstRowLastColumn="0" w:lastRowFirstColumn="0" w:lastRowLastColumn="0"/>
              <w:rPr>
                <w:color w:val="auto"/>
              </w:rPr>
            </w:pPr>
            <w:r>
              <w:rPr>
                <w:color w:val="auto"/>
              </w:rPr>
              <w:t>AISBL</w:t>
            </w:r>
          </w:p>
        </w:tc>
      </w:tr>
      <w:tr w:rsidR="00487910" w:rsidTr="00701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Pr>
          <w:p w:rsidR="00487910" w:rsidRPr="00487910" w:rsidRDefault="00487910" w:rsidP="00487910">
            <w:pPr>
              <w:spacing w:line="240" w:lineRule="auto"/>
              <w:ind w:firstLine="0"/>
              <w:rPr>
                <w:color w:val="auto"/>
              </w:rPr>
            </w:pPr>
            <w:r w:rsidRPr="00487910">
              <w:rPr>
                <w:b w:val="0"/>
                <w:color w:val="auto"/>
              </w:rPr>
              <w:t>II. interní lobbisté a obchodní/podniková/profesní sdružení</w:t>
            </w:r>
          </w:p>
        </w:tc>
        <w:tc>
          <w:tcPr>
            <w:tcW w:w="2007" w:type="dxa"/>
          </w:tcPr>
          <w:p w:rsidR="00487910" w:rsidRDefault="00DF7333" w:rsidP="00C100A4">
            <w:pPr>
              <w:spacing w:line="240" w:lineRule="auto"/>
              <w:ind w:firstLine="0"/>
              <w:jc w:val="center"/>
              <w:cnfStyle w:val="000000100000" w:firstRow="0" w:lastRow="0" w:firstColumn="0" w:lastColumn="0" w:oddVBand="0" w:evenVBand="0" w:oddHBand="1" w:evenHBand="0" w:firstRowFirstColumn="0" w:firstRowLastColumn="0" w:lastRowFirstColumn="0" w:lastRowLastColumn="0"/>
            </w:pPr>
            <w:r w:rsidRPr="00DF7333">
              <w:rPr>
                <w:color w:val="auto"/>
              </w:rPr>
              <w:t>obchodní a podniková sdružení</w:t>
            </w:r>
          </w:p>
        </w:tc>
        <w:tc>
          <w:tcPr>
            <w:tcW w:w="2056" w:type="dxa"/>
          </w:tcPr>
          <w:p w:rsidR="00487910" w:rsidRPr="00B01EAE" w:rsidRDefault="00B01EAE" w:rsidP="00B01EAE">
            <w:pPr>
              <w:spacing w:line="240" w:lineRule="auto"/>
              <w:ind w:firstLine="0"/>
              <w:cnfStyle w:val="000000100000" w:firstRow="0" w:lastRow="0" w:firstColumn="0" w:lastColumn="0" w:oddVBand="0" w:evenVBand="0" w:oddHBand="1" w:evenHBand="0" w:firstRowFirstColumn="0" w:firstRowLastColumn="0" w:lastRowFirstColumn="0" w:lastRowLastColumn="0"/>
              <w:rPr>
                <w:color w:val="auto"/>
              </w:rPr>
            </w:pPr>
            <w:r w:rsidRPr="00B01EAE">
              <w:rPr>
                <w:color w:val="auto"/>
              </w:rPr>
              <w:t>European Confederation of Woodworking Industries</w:t>
            </w:r>
            <w:r w:rsidR="00FC05DF">
              <w:rPr>
                <w:color w:val="auto"/>
              </w:rPr>
              <w:t xml:space="preserve"> </w:t>
            </w:r>
            <w:r w:rsidRPr="00B01EAE">
              <w:rPr>
                <w:color w:val="auto"/>
              </w:rPr>
              <w:t>(CEI</w:t>
            </w:r>
            <w:r w:rsidR="00FC05DF">
              <w:rPr>
                <w:color w:val="auto"/>
              </w:rPr>
              <w:t>-</w:t>
            </w:r>
            <w:r w:rsidRPr="00B01EAE">
              <w:rPr>
                <w:color w:val="auto"/>
              </w:rPr>
              <w:t>Bois)</w:t>
            </w:r>
          </w:p>
        </w:tc>
        <w:tc>
          <w:tcPr>
            <w:tcW w:w="2387" w:type="dxa"/>
          </w:tcPr>
          <w:p w:rsidR="00487910" w:rsidRPr="00701D2F" w:rsidRDefault="00FC05DF" w:rsidP="00701D2F">
            <w:pPr>
              <w:spacing w:line="240" w:lineRule="auto"/>
              <w:ind w:firstLine="0"/>
              <w:cnfStyle w:val="000000100000" w:firstRow="0" w:lastRow="0" w:firstColumn="0" w:lastColumn="0" w:oddVBand="0" w:evenVBand="0" w:oddHBand="1" w:evenHBand="0" w:firstRowFirstColumn="0" w:firstRowLastColumn="0" w:lastRowFirstColumn="0" w:lastRowLastColumn="0"/>
              <w:rPr>
                <w:color w:val="auto"/>
              </w:rPr>
            </w:pPr>
            <w:r>
              <w:rPr>
                <w:color w:val="auto"/>
              </w:rPr>
              <w:t>AISBL</w:t>
            </w:r>
          </w:p>
        </w:tc>
      </w:tr>
      <w:tr w:rsidR="00487910" w:rsidTr="00701D2F">
        <w:tc>
          <w:tcPr>
            <w:cnfStyle w:val="001000000000" w:firstRow="0" w:lastRow="0" w:firstColumn="1" w:lastColumn="0" w:oddVBand="0" w:evenVBand="0" w:oddHBand="0" w:evenHBand="0" w:firstRowFirstColumn="0" w:firstRowLastColumn="0" w:lastRowFirstColumn="0" w:lastRowLastColumn="0"/>
            <w:tcW w:w="3043" w:type="dxa"/>
          </w:tcPr>
          <w:p w:rsidR="00487910" w:rsidRPr="00487910" w:rsidRDefault="00487910" w:rsidP="00487910">
            <w:pPr>
              <w:spacing w:line="240" w:lineRule="auto"/>
              <w:ind w:firstLine="0"/>
              <w:rPr>
                <w:color w:val="auto"/>
              </w:rPr>
            </w:pPr>
            <w:r w:rsidRPr="00487910">
              <w:rPr>
                <w:b w:val="0"/>
                <w:color w:val="auto"/>
              </w:rPr>
              <w:t>II. interní lobbisté a obchodní/podniková/profesní sdružení</w:t>
            </w:r>
          </w:p>
        </w:tc>
        <w:tc>
          <w:tcPr>
            <w:tcW w:w="2007" w:type="dxa"/>
          </w:tcPr>
          <w:p w:rsidR="00487910" w:rsidRDefault="00DF7333" w:rsidP="00C100A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F7333">
              <w:rPr>
                <w:color w:val="auto"/>
              </w:rPr>
              <w:t>obchodní a podniková sdružení</w:t>
            </w:r>
          </w:p>
        </w:tc>
        <w:tc>
          <w:tcPr>
            <w:tcW w:w="2056" w:type="dxa"/>
          </w:tcPr>
          <w:p w:rsidR="00487910" w:rsidRPr="00B01EAE" w:rsidRDefault="00B01EAE" w:rsidP="00B01EAE">
            <w:pPr>
              <w:spacing w:line="240" w:lineRule="auto"/>
              <w:ind w:firstLine="0"/>
              <w:cnfStyle w:val="000000000000" w:firstRow="0" w:lastRow="0" w:firstColumn="0" w:lastColumn="0" w:oddVBand="0" w:evenVBand="0" w:oddHBand="0" w:evenHBand="0" w:firstRowFirstColumn="0" w:firstRowLastColumn="0" w:lastRowFirstColumn="0" w:lastRowLastColumn="0"/>
              <w:rPr>
                <w:color w:val="auto"/>
              </w:rPr>
            </w:pPr>
            <w:r w:rsidRPr="00B01EAE">
              <w:rPr>
                <w:color w:val="auto"/>
              </w:rPr>
              <w:t>Bund für Lebensmittelrecht und Lebensmittelkunde e.V. de e.V. (BLL)</w:t>
            </w:r>
          </w:p>
        </w:tc>
        <w:tc>
          <w:tcPr>
            <w:tcW w:w="2387" w:type="dxa"/>
          </w:tcPr>
          <w:p w:rsidR="00487910" w:rsidRPr="00701D2F" w:rsidRDefault="00442928" w:rsidP="00701D2F">
            <w:pPr>
              <w:spacing w:line="240" w:lineRule="auto"/>
              <w:ind w:firstLine="0"/>
              <w:cnfStyle w:val="000000000000" w:firstRow="0" w:lastRow="0" w:firstColumn="0" w:lastColumn="0" w:oddVBand="0" w:evenVBand="0" w:oddHBand="0" w:evenHBand="0" w:firstRowFirstColumn="0" w:firstRowLastColumn="0" w:lastRowFirstColumn="0" w:lastRowLastColumn="0"/>
              <w:rPr>
                <w:color w:val="auto"/>
              </w:rPr>
            </w:pPr>
            <w:r>
              <w:rPr>
                <w:color w:val="auto"/>
              </w:rPr>
              <w:t>Sdružení</w:t>
            </w:r>
          </w:p>
        </w:tc>
      </w:tr>
      <w:tr w:rsidR="00487910" w:rsidTr="00701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Pr>
          <w:p w:rsidR="00487910" w:rsidRPr="00487910" w:rsidRDefault="00487910" w:rsidP="00487910">
            <w:pPr>
              <w:spacing w:line="240" w:lineRule="auto"/>
              <w:ind w:firstLine="0"/>
              <w:rPr>
                <w:color w:val="auto"/>
              </w:rPr>
            </w:pPr>
            <w:r w:rsidRPr="00487910">
              <w:rPr>
                <w:b w:val="0"/>
                <w:color w:val="auto"/>
              </w:rPr>
              <w:t>II. interní lobbisté a obchodní/podniková/profesní sdružení</w:t>
            </w:r>
          </w:p>
        </w:tc>
        <w:tc>
          <w:tcPr>
            <w:tcW w:w="2007" w:type="dxa"/>
          </w:tcPr>
          <w:p w:rsidR="00487910" w:rsidRDefault="00DF7333" w:rsidP="00C100A4">
            <w:pPr>
              <w:spacing w:line="240" w:lineRule="auto"/>
              <w:ind w:firstLine="0"/>
              <w:jc w:val="center"/>
              <w:cnfStyle w:val="000000100000" w:firstRow="0" w:lastRow="0" w:firstColumn="0" w:lastColumn="0" w:oddVBand="0" w:evenVBand="0" w:oddHBand="1" w:evenHBand="0" w:firstRowFirstColumn="0" w:firstRowLastColumn="0" w:lastRowFirstColumn="0" w:lastRowLastColumn="0"/>
            </w:pPr>
            <w:r w:rsidRPr="00DF7333">
              <w:rPr>
                <w:color w:val="auto"/>
              </w:rPr>
              <w:t>obchodní a podniková sdružení</w:t>
            </w:r>
          </w:p>
        </w:tc>
        <w:tc>
          <w:tcPr>
            <w:tcW w:w="2056" w:type="dxa"/>
          </w:tcPr>
          <w:p w:rsidR="00487910" w:rsidRPr="00B01EAE" w:rsidRDefault="00B01EAE" w:rsidP="00B01EAE">
            <w:pPr>
              <w:spacing w:line="240" w:lineRule="auto"/>
              <w:ind w:firstLine="0"/>
              <w:cnfStyle w:val="000000100000" w:firstRow="0" w:lastRow="0" w:firstColumn="0" w:lastColumn="0" w:oddVBand="0" w:evenVBand="0" w:oddHBand="1" w:evenHBand="0" w:firstRowFirstColumn="0" w:firstRowLastColumn="0" w:lastRowFirstColumn="0" w:lastRowLastColumn="0"/>
              <w:rPr>
                <w:color w:val="auto"/>
              </w:rPr>
            </w:pPr>
            <w:r w:rsidRPr="00B01EAE">
              <w:rPr>
                <w:color w:val="auto"/>
              </w:rPr>
              <w:t>Young</w:t>
            </w:r>
            <w:r w:rsidR="00442928">
              <w:rPr>
                <w:color w:val="auto"/>
              </w:rPr>
              <w:t xml:space="preserve"> </w:t>
            </w:r>
            <w:r w:rsidRPr="00B01EAE">
              <w:rPr>
                <w:color w:val="auto"/>
              </w:rPr>
              <w:t>Entrepreneurs for Europe (YES For Europe)</w:t>
            </w:r>
          </w:p>
        </w:tc>
        <w:tc>
          <w:tcPr>
            <w:tcW w:w="2387" w:type="dxa"/>
          </w:tcPr>
          <w:p w:rsidR="00487910" w:rsidRPr="00701D2F" w:rsidRDefault="00442928" w:rsidP="00701D2F">
            <w:pPr>
              <w:spacing w:line="240" w:lineRule="auto"/>
              <w:ind w:firstLine="0"/>
              <w:cnfStyle w:val="000000100000" w:firstRow="0" w:lastRow="0" w:firstColumn="0" w:lastColumn="0" w:oddVBand="0" w:evenVBand="0" w:oddHBand="1" w:evenHBand="0" w:firstRowFirstColumn="0" w:firstRowLastColumn="0" w:lastRowFirstColumn="0" w:lastRowLastColumn="0"/>
              <w:rPr>
                <w:color w:val="auto"/>
              </w:rPr>
            </w:pPr>
            <w:r>
              <w:rPr>
                <w:color w:val="auto"/>
              </w:rPr>
              <w:t>AISBL</w:t>
            </w:r>
          </w:p>
        </w:tc>
      </w:tr>
      <w:tr w:rsidR="00487910" w:rsidTr="00701D2F">
        <w:tc>
          <w:tcPr>
            <w:cnfStyle w:val="001000000000" w:firstRow="0" w:lastRow="0" w:firstColumn="1" w:lastColumn="0" w:oddVBand="0" w:evenVBand="0" w:oddHBand="0" w:evenHBand="0" w:firstRowFirstColumn="0" w:firstRowLastColumn="0" w:lastRowFirstColumn="0" w:lastRowLastColumn="0"/>
            <w:tcW w:w="3043" w:type="dxa"/>
          </w:tcPr>
          <w:p w:rsidR="00487910" w:rsidRPr="00487910" w:rsidRDefault="00487910" w:rsidP="00487910">
            <w:pPr>
              <w:spacing w:line="240" w:lineRule="auto"/>
              <w:ind w:firstLine="0"/>
              <w:rPr>
                <w:b w:val="0"/>
                <w:color w:val="auto"/>
              </w:rPr>
            </w:pPr>
            <w:r w:rsidRPr="00487910">
              <w:rPr>
                <w:b w:val="0"/>
                <w:color w:val="auto"/>
              </w:rPr>
              <w:t>II. interní lobbisté a obchodní/podniková/profesní sdružení</w:t>
            </w:r>
          </w:p>
        </w:tc>
        <w:tc>
          <w:tcPr>
            <w:tcW w:w="2007" w:type="dxa"/>
          </w:tcPr>
          <w:p w:rsidR="00487910" w:rsidRDefault="00DF7333" w:rsidP="00C100A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F7333">
              <w:rPr>
                <w:color w:val="auto"/>
              </w:rPr>
              <w:t>obchodní a podniková sdružení</w:t>
            </w:r>
          </w:p>
        </w:tc>
        <w:tc>
          <w:tcPr>
            <w:tcW w:w="2056" w:type="dxa"/>
          </w:tcPr>
          <w:p w:rsidR="00487910" w:rsidRPr="00250A44" w:rsidRDefault="00250A44" w:rsidP="00B01EAE">
            <w:pPr>
              <w:spacing w:line="240" w:lineRule="auto"/>
              <w:ind w:firstLine="0"/>
              <w:cnfStyle w:val="000000000000" w:firstRow="0" w:lastRow="0" w:firstColumn="0" w:lastColumn="0" w:oddVBand="0" w:evenVBand="0" w:oddHBand="0" w:evenHBand="0" w:firstRowFirstColumn="0" w:firstRowLastColumn="0" w:lastRowFirstColumn="0" w:lastRowLastColumn="0"/>
              <w:rPr>
                <w:color w:val="auto"/>
              </w:rPr>
            </w:pPr>
            <w:r w:rsidRPr="00250A44">
              <w:rPr>
                <w:color w:val="auto"/>
              </w:rPr>
              <w:t>ECTU - European Shippers' Council (ESC)</w:t>
            </w:r>
          </w:p>
        </w:tc>
        <w:tc>
          <w:tcPr>
            <w:tcW w:w="2387" w:type="dxa"/>
          </w:tcPr>
          <w:p w:rsidR="00487910" w:rsidRPr="00701D2F" w:rsidRDefault="00442928" w:rsidP="00701D2F">
            <w:pPr>
              <w:spacing w:line="240" w:lineRule="auto"/>
              <w:ind w:firstLine="0"/>
              <w:cnfStyle w:val="000000000000" w:firstRow="0" w:lastRow="0" w:firstColumn="0" w:lastColumn="0" w:oddVBand="0" w:evenVBand="0" w:oddHBand="0" w:evenHBand="0" w:firstRowFirstColumn="0" w:firstRowLastColumn="0" w:lastRowFirstColumn="0" w:lastRowLastColumn="0"/>
              <w:rPr>
                <w:color w:val="auto"/>
              </w:rPr>
            </w:pPr>
            <w:r>
              <w:rPr>
                <w:color w:val="auto"/>
              </w:rPr>
              <w:t>ASBL</w:t>
            </w:r>
          </w:p>
        </w:tc>
      </w:tr>
      <w:tr w:rsidR="00487910" w:rsidTr="00701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Pr>
          <w:p w:rsidR="00487910" w:rsidRPr="00487910" w:rsidRDefault="00487910" w:rsidP="00487910">
            <w:pPr>
              <w:spacing w:line="240" w:lineRule="auto"/>
              <w:ind w:firstLine="0"/>
              <w:rPr>
                <w:b w:val="0"/>
                <w:color w:val="auto"/>
              </w:rPr>
            </w:pPr>
            <w:r w:rsidRPr="00487910">
              <w:rPr>
                <w:b w:val="0"/>
                <w:color w:val="auto"/>
              </w:rPr>
              <w:t>II. interní lobbisté a obchodní/podniková/profesní sdružení</w:t>
            </w:r>
          </w:p>
        </w:tc>
        <w:tc>
          <w:tcPr>
            <w:tcW w:w="2007" w:type="dxa"/>
          </w:tcPr>
          <w:p w:rsidR="00487910" w:rsidRDefault="00DF7333" w:rsidP="00C100A4">
            <w:pPr>
              <w:spacing w:line="240" w:lineRule="auto"/>
              <w:ind w:firstLine="0"/>
              <w:jc w:val="center"/>
              <w:cnfStyle w:val="000000100000" w:firstRow="0" w:lastRow="0" w:firstColumn="0" w:lastColumn="0" w:oddVBand="0" w:evenVBand="0" w:oddHBand="1" w:evenHBand="0" w:firstRowFirstColumn="0" w:firstRowLastColumn="0" w:lastRowFirstColumn="0" w:lastRowLastColumn="0"/>
            </w:pPr>
            <w:r w:rsidRPr="00DF7333">
              <w:rPr>
                <w:color w:val="auto"/>
              </w:rPr>
              <w:t>obchodní a podniková sdružení</w:t>
            </w:r>
          </w:p>
        </w:tc>
        <w:tc>
          <w:tcPr>
            <w:tcW w:w="2056" w:type="dxa"/>
          </w:tcPr>
          <w:p w:rsidR="00487910" w:rsidRPr="00250A44" w:rsidRDefault="00250A44" w:rsidP="00B01EAE">
            <w:pPr>
              <w:spacing w:line="240" w:lineRule="auto"/>
              <w:ind w:firstLine="0"/>
              <w:cnfStyle w:val="000000100000" w:firstRow="0" w:lastRow="0" w:firstColumn="0" w:lastColumn="0" w:oddVBand="0" w:evenVBand="0" w:oddHBand="1" w:evenHBand="0" w:firstRowFirstColumn="0" w:firstRowLastColumn="0" w:lastRowFirstColumn="0" w:lastRowLastColumn="0"/>
              <w:rPr>
                <w:color w:val="auto"/>
              </w:rPr>
            </w:pPr>
            <w:r w:rsidRPr="00250A44">
              <w:rPr>
                <w:color w:val="auto"/>
              </w:rPr>
              <w:t>European Boatmen's Association (EBA</w:t>
            </w:r>
            <w:r>
              <w:rPr>
                <w:color w:val="auto"/>
              </w:rPr>
              <w:t>)</w:t>
            </w:r>
          </w:p>
        </w:tc>
        <w:tc>
          <w:tcPr>
            <w:tcW w:w="2387" w:type="dxa"/>
          </w:tcPr>
          <w:p w:rsidR="00487910" w:rsidRPr="00701D2F" w:rsidRDefault="00442928" w:rsidP="00701D2F">
            <w:pPr>
              <w:spacing w:line="240" w:lineRule="auto"/>
              <w:ind w:firstLine="0"/>
              <w:cnfStyle w:val="000000100000" w:firstRow="0" w:lastRow="0" w:firstColumn="0" w:lastColumn="0" w:oddVBand="0" w:evenVBand="0" w:oddHBand="1" w:evenHBand="0" w:firstRowFirstColumn="0" w:firstRowLastColumn="0" w:lastRowFirstColumn="0" w:lastRowLastColumn="0"/>
              <w:rPr>
                <w:color w:val="auto"/>
              </w:rPr>
            </w:pPr>
            <w:r>
              <w:rPr>
                <w:color w:val="auto"/>
              </w:rPr>
              <w:t>Nezisková organizace</w:t>
            </w:r>
          </w:p>
        </w:tc>
      </w:tr>
      <w:tr w:rsidR="00487910" w:rsidTr="00701D2F">
        <w:tc>
          <w:tcPr>
            <w:cnfStyle w:val="001000000000" w:firstRow="0" w:lastRow="0" w:firstColumn="1" w:lastColumn="0" w:oddVBand="0" w:evenVBand="0" w:oddHBand="0" w:evenHBand="0" w:firstRowFirstColumn="0" w:firstRowLastColumn="0" w:lastRowFirstColumn="0" w:lastRowLastColumn="0"/>
            <w:tcW w:w="3043" w:type="dxa"/>
          </w:tcPr>
          <w:p w:rsidR="00487910" w:rsidRPr="00487910" w:rsidRDefault="00487910" w:rsidP="00487910">
            <w:pPr>
              <w:spacing w:line="240" w:lineRule="auto"/>
              <w:ind w:firstLine="0"/>
              <w:rPr>
                <w:b w:val="0"/>
                <w:color w:val="auto"/>
              </w:rPr>
            </w:pPr>
            <w:r w:rsidRPr="00487910">
              <w:rPr>
                <w:b w:val="0"/>
                <w:color w:val="auto"/>
              </w:rPr>
              <w:t>II. interní lobbisté a obchodní/podniková/profesní sdružení</w:t>
            </w:r>
          </w:p>
        </w:tc>
        <w:tc>
          <w:tcPr>
            <w:tcW w:w="2007" w:type="dxa"/>
          </w:tcPr>
          <w:p w:rsidR="00487910" w:rsidRDefault="00DF7333" w:rsidP="00C100A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F7333">
              <w:rPr>
                <w:color w:val="auto"/>
              </w:rPr>
              <w:t>obchodní a podniková sdružení</w:t>
            </w:r>
          </w:p>
        </w:tc>
        <w:tc>
          <w:tcPr>
            <w:tcW w:w="2056" w:type="dxa"/>
          </w:tcPr>
          <w:p w:rsidR="00487910" w:rsidRPr="00250A44" w:rsidRDefault="00250A44" w:rsidP="00B01EAE">
            <w:pPr>
              <w:spacing w:line="240" w:lineRule="auto"/>
              <w:ind w:firstLine="0"/>
              <w:cnfStyle w:val="000000000000" w:firstRow="0" w:lastRow="0" w:firstColumn="0" w:lastColumn="0" w:oddVBand="0" w:evenVBand="0" w:oddHBand="0" w:evenHBand="0" w:firstRowFirstColumn="0" w:firstRowLastColumn="0" w:lastRowFirstColumn="0" w:lastRowLastColumn="0"/>
              <w:rPr>
                <w:color w:val="auto"/>
              </w:rPr>
            </w:pPr>
            <w:r w:rsidRPr="00250A44">
              <w:rPr>
                <w:color w:val="auto"/>
              </w:rPr>
              <w:t>European Small Business Alliance (ESBA)</w:t>
            </w:r>
          </w:p>
        </w:tc>
        <w:tc>
          <w:tcPr>
            <w:tcW w:w="2387" w:type="dxa"/>
          </w:tcPr>
          <w:p w:rsidR="00487910" w:rsidRPr="00701D2F" w:rsidRDefault="00442928" w:rsidP="00701D2F">
            <w:pPr>
              <w:spacing w:line="240" w:lineRule="auto"/>
              <w:ind w:firstLine="0"/>
              <w:cnfStyle w:val="000000000000" w:firstRow="0" w:lastRow="0" w:firstColumn="0" w:lastColumn="0" w:oddVBand="0" w:evenVBand="0" w:oddHBand="0" w:evenHBand="0" w:firstRowFirstColumn="0" w:firstRowLastColumn="0" w:lastRowFirstColumn="0" w:lastRowLastColumn="0"/>
              <w:rPr>
                <w:color w:val="auto"/>
              </w:rPr>
            </w:pPr>
            <w:r>
              <w:rPr>
                <w:color w:val="auto"/>
              </w:rPr>
              <w:t>AISBL</w:t>
            </w:r>
          </w:p>
        </w:tc>
      </w:tr>
      <w:tr w:rsidR="00487910" w:rsidTr="00701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Pr>
          <w:p w:rsidR="00487910" w:rsidRPr="00487910" w:rsidRDefault="00487910" w:rsidP="00487910">
            <w:pPr>
              <w:spacing w:line="240" w:lineRule="auto"/>
              <w:ind w:firstLine="0"/>
              <w:rPr>
                <w:b w:val="0"/>
                <w:color w:val="auto"/>
              </w:rPr>
            </w:pPr>
            <w:r w:rsidRPr="00487910">
              <w:rPr>
                <w:b w:val="0"/>
                <w:color w:val="auto"/>
              </w:rPr>
              <w:t>II. interní lobbisté a obchodní/podniková/profesní sdružení</w:t>
            </w:r>
          </w:p>
        </w:tc>
        <w:tc>
          <w:tcPr>
            <w:tcW w:w="2007" w:type="dxa"/>
          </w:tcPr>
          <w:p w:rsidR="00487910" w:rsidRDefault="00DF7333" w:rsidP="00C100A4">
            <w:pPr>
              <w:spacing w:line="240" w:lineRule="auto"/>
              <w:ind w:firstLine="0"/>
              <w:jc w:val="center"/>
              <w:cnfStyle w:val="000000100000" w:firstRow="0" w:lastRow="0" w:firstColumn="0" w:lastColumn="0" w:oddVBand="0" w:evenVBand="0" w:oddHBand="1" w:evenHBand="0" w:firstRowFirstColumn="0" w:firstRowLastColumn="0" w:lastRowFirstColumn="0" w:lastRowLastColumn="0"/>
            </w:pPr>
            <w:r w:rsidRPr="00DF7333">
              <w:rPr>
                <w:color w:val="auto"/>
              </w:rPr>
              <w:t>obchodní a podniková sdružení</w:t>
            </w:r>
          </w:p>
        </w:tc>
        <w:tc>
          <w:tcPr>
            <w:tcW w:w="2056" w:type="dxa"/>
          </w:tcPr>
          <w:p w:rsidR="00487910" w:rsidRPr="00250A44" w:rsidRDefault="00250A44" w:rsidP="00B01EAE">
            <w:pPr>
              <w:spacing w:line="240" w:lineRule="auto"/>
              <w:ind w:firstLine="0"/>
              <w:cnfStyle w:val="000000100000" w:firstRow="0" w:lastRow="0" w:firstColumn="0" w:lastColumn="0" w:oddVBand="0" w:evenVBand="0" w:oddHBand="1" w:evenHBand="0" w:firstRowFirstColumn="0" w:firstRowLastColumn="0" w:lastRowFirstColumn="0" w:lastRowLastColumn="0"/>
              <w:rPr>
                <w:color w:val="auto"/>
              </w:rPr>
            </w:pPr>
            <w:r w:rsidRPr="00250A44">
              <w:rPr>
                <w:color w:val="auto"/>
              </w:rPr>
              <w:t>European Cargo Alliance (ECA)</w:t>
            </w:r>
          </w:p>
        </w:tc>
        <w:tc>
          <w:tcPr>
            <w:tcW w:w="2387" w:type="dxa"/>
          </w:tcPr>
          <w:p w:rsidR="00487910" w:rsidRPr="00701D2F" w:rsidRDefault="00442928" w:rsidP="00701D2F">
            <w:pPr>
              <w:spacing w:line="240" w:lineRule="auto"/>
              <w:ind w:firstLine="0"/>
              <w:cnfStyle w:val="000000100000" w:firstRow="0" w:lastRow="0" w:firstColumn="0" w:lastColumn="0" w:oddVBand="0" w:evenVBand="0" w:oddHBand="1" w:evenHBand="0" w:firstRowFirstColumn="0" w:firstRowLastColumn="0" w:lastRowFirstColumn="0" w:lastRowLastColumn="0"/>
              <w:rPr>
                <w:color w:val="auto"/>
              </w:rPr>
            </w:pPr>
            <w:r>
              <w:rPr>
                <w:color w:val="auto"/>
              </w:rPr>
              <w:t>Asociace</w:t>
            </w:r>
          </w:p>
        </w:tc>
      </w:tr>
      <w:tr w:rsidR="00487910" w:rsidTr="00701D2F">
        <w:tc>
          <w:tcPr>
            <w:cnfStyle w:val="001000000000" w:firstRow="0" w:lastRow="0" w:firstColumn="1" w:lastColumn="0" w:oddVBand="0" w:evenVBand="0" w:oddHBand="0" w:evenHBand="0" w:firstRowFirstColumn="0" w:firstRowLastColumn="0" w:lastRowFirstColumn="0" w:lastRowLastColumn="0"/>
            <w:tcW w:w="3043" w:type="dxa"/>
          </w:tcPr>
          <w:p w:rsidR="00487910" w:rsidRPr="00487910" w:rsidRDefault="00487910" w:rsidP="00487910">
            <w:pPr>
              <w:spacing w:line="240" w:lineRule="auto"/>
              <w:ind w:firstLine="0"/>
              <w:rPr>
                <w:b w:val="0"/>
                <w:color w:val="auto"/>
              </w:rPr>
            </w:pPr>
            <w:r w:rsidRPr="00487910">
              <w:rPr>
                <w:b w:val="0"/>
                <w:color w:val="auto"/>
              </w:rPr>
              <w:t>II. interní lobbisté a obchodní/podniková/profesní sdružení</w:t>
            </w:r>
          </w:p>
        </w:tc>
        <w:tc>
          <w:tcPr>
            <w:tcW w:w="2007" w:type="dxa"/>
          </w:tcPr>
          <w:p w:rsidR="00487910" w:rsidRDefault="00DF7333" w:rsidP="00C100A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F7333">
              <w:rPr>
                <w:color w:val="auto"/>
              </w:rPr>
              <w:t>obchodní a podniková sdružení</w:t>
            </w:r>
          </w:p>
        </w:tc>
        <w:tc>
          <w:tcPr>
            <w:tcW w:w="2056" w:type="dxa"/>
          </w:tcPr>
          <w:p w:rsidR="00487910" w:rsidRPr="00250A44" w:rsidRDefault="00250A44" w:rsidP="00B01EAE">
            <w:pPr>
              <w:spacing w:line="240" w:lineRule="auto"/>
              <w:ind w:firstLine="0"/>
              <w:cnfStyle w:val="000000000000" w:firstRow="0" w:lastRow="0" w:firstColumn="0" w:lastColumn="0" w:oddVBand="0" w:evenVBand="0" w:oddHBand="0" w:evenHBand="0" w:firstRowFirstColumn="0" w:firstRowLastColumn="0" w:lastRowFirstColumn="0" w:lastRowLastColumn="0"/>
              <w:rPr>
                <w:color w:val="auto"/>
              </w:rPr>
            </w:pPr>
            <w:r w:rsidRPr="00250A44">
              <w:rPr>
                <w:color w:val="auto"/>
              </w:rPr>
              <w:t>Federation of European Explosives Manufacturers (FEEM)</w:t>
            </w:r>
          </w:p>
        </w:tc>
        <w:tc>
          <w:tcPr>
            <w:tcW w:w="2387" w:type="dxa"/>
          </w:tcPr>
          <w:p w:rsidR="00487910" w:rsidRPr="00701D2F" w:rsidRDefault="00442928" w:rsidP="00701D2F">
            <w:pPr>
              <w:spacing w:line="240" w:lineRule="auto"/>
              <w:ind w:firstLine="0"/>
              <w:cnfStyle w:val="000000000000" w:firstRow="0" w:lastRow="0" w:firstColumn="0" w:lastColumn="0" w:oddVBand="0" w:evenVBand="0" w:oddHBand="0" w:evenHBand="0" w:firstRowFirstColumn="0" w:firstRowLastColumn="0" w:lastRowFirstColumn="0" w:lastRowLastColumn="0"/>
              <w:rPr>
                <w:color w:val="auto"/>
              </w:rPr>
            </w:pPr>
            <w:r>
              <w:rPr>
                <w:color w:val="auto"/>
              </w:rPr>
              <w:t>Federace</w:t>
            </w:r>
          </w:p>
        </w:tc>
      </w:tr>
      <w:tr w:rsidR="00487910" w:rsidTr="00701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Pr>
          <w:p w:rsidR="00487910" w:rsidRPr="00487910" w:rsidRDefault="00487910" w:rsidP="00487910">
            <w:pPr>
              <w:spacing w:line="240" w:lineRule="auto"/>
              <w:ind w:firstLine="0"/>
              <w:rPr>
                <w:b w:val="0"/>
                <w:color w:val="auto"/>
              </w:rPr>
            </w:pPr>
            <w:r w:rsidRPr="00487910">
              <w:rPr>
                <w:b w:val="0"/>
                <w:color w:val="auto"/>
              </w:rPr>
              <w:t>II. interní lobbisté a obchodní/podniková/profesní sdružení</w:t>
            </w:r>
          </w:p>
        </w:tc>
        <w:tc>
          <w:tcPr>
            <w:tcW w:w="2007" w:type="dxa"/>
          </w:tcPr>
          <w:p w:rsidR="00487910" w:rsidRDefault="00DF7333" w:rsidP="00C100A4">
            <w:pPr>
              <w:spacing w:line="240" w:lineRule="auto"/>
              <w:ind w:firstLine="0"/>
              <w:jc w:val="center"/>
              <w:cnfStyle w:val="000000100000" w:firstRow="0" w:lastRow="0" w:firstColumn="0" w:lastColumn="0" w:oddVBand="0" w:evenVBand="0" w:oddHBand="1" w:evenHBand="0" w:firstRowFirstColumn="0" w:firstRowLastColumn="0" w:lastRowFirstColumn="0" w:lastRowLastColumn="0"/>
            </w:pPr>
            <w:r w:rsidRPr="00DF7333">
              <w:rPr>
                <w:color w:val="auto"/>
              </w:rPr>
              <w:t>obchodní a podniková sdružení</w:t>
            </w:r>
          </w:p>
        </w:tc>
        <w:tc>
          <w:tcPr>
            <w:tcW w:w="2056" w:type="dxa"/>
          </w:tcPr>
          <w:p w:rsidR="00487910" w:rsidRPr="00250A44" w:rsidRDefault="00250A44" w:rsidP="00B01EAE">
            <w:pPr>
              <w:spacing w:line="240" w:lineRule="auto"/>
              <w:ind w:firstLine="0"/>
              <w:cnfStyle w:val="000000100000" w:firstRow="0" w:lastRow="0" w:firstColumn="0" w:lastColumn="0" w:oddVBand="0" w:evenVBand="0" w:oddHBand="1" w:evenHBand="0" w:firstRowFirstColumn="0" w:firstRowLastColumn="0" w:lastRowFirstColumn="0" w:lastRowLastColumn="0"/>
              <w:rPr>
                <w:color w:val="auto"/>
              </w:rPr>
            </w:pPr>
            <w:r w:rsidRPr="00250A44">
              <w:rPr>
                <w:color w:val="auto"/>
              </w:rPr>
              <w:t>CIRFS: European Man-made Fibres Association (CIRFS)</w:t>
            </w:r>
          </w:p>
        </w:tc>
        <w:tc>
          <w:tcPr>
            <w:tcW w:w="2387" w:type="dxa"/>
          </w:tcPr>
          <w:p w:rsidR="00487910" w:rsidRPr="00701D2F" w:rsidRDefault="00442928" w:rsidP="00701D2F">
            <w:pPr>
              <w:spacing w:line="240" w:lineRule="auto"/>
              <w:ind w:firstLine="0"/>
              <w:cnfStyle w:val="000000100000" w:firstRow="0" w:lastRow="0" w:firstColumn="0" w:lastColumn="0" w:oddVBand="0" w:evenVBand="0" w:oddHBand="1" w:evenHBand="0" w:firstRowFirstColumn="0" w:firstRowLastColumn="0" w:lastRowFirstColumn="0" w:lastRowLastColumn="0"/>
              <w:rPr>
                <w:color w:val="auto"/>
              </w:rPr>
            </w:pPr>
            <w:r>
              <w:rPr>
                <w:color w:val="auto"/>
              </w:rPr>
              <w:t>AISBL</w:t>
            </w:r>
          </w:p>
        </w:tc>
      </w:tr>
      <w:tr w:rsidR="00487910" w:rsidTr="00701D2F">
        <w:tc>
          <w:tcPr>
            <w:cnfStyle w:val="001000000000" w:firstRow="0" w:lastRow="0" w:firstColumn="1" w:lastColumn="0" w:oddVBand="0" w:evenVBand="0" w:oddHBand="0" w:evenHBand="0" w:firstRowFirstColumn="0" w:firstRowLastColumn="0" w:lastRowFirstColumn="0" w:lastRowLastColumn="0"/>
            <w:tcW w:w="3043" w:type="dxa"/>
          </w:tcPr>
          <w:p w:rsidR="00487910" w:rsidRPr="00487910" w:rsidRDefault="00487910" w:rsidP="00487910">
            <w:pPr>
              <w:spacing w:line="240" w:lineRule="auto"/>
              <w:ind w:firstLine="0"/>
              <w:rPr>
                <w:b w:val="0"/>
                <w:color w:val="auto"/>
              </w:rPr>
            </w:pPr>
            <w:r w:rsidRPr="00487910">
              <w:rPr>
                <w:b w:val="0"/>
                <w:color w:val="auto"/>
              </w:rPr>
              <w:t>II</w:t>
            </w:r>
            <w:r w:rsidR="006D3B93">
              <w:rPr>
                <w:b w:val="0"/>
                <w:color w:val="auto"/>
              </w:rPr>
              <w:t xml:space="preserve">. </w:t>
            </w:r>
            <w:r w:rsidRPr="00487910">
              <w:rPr>
                <w:b w:val="0"/>
                <w:color w:val="auto"/>
              </w:rPr>
              <w:t>interní lobbisté a obchodní/podniková/profesní sdružení</w:t>
            </w:r>
          </w:p>
        </w:tc>
        <w:tc>
          <w:tcPr>
            <w:tcW w:w="2007" w:type="dxa"/>
          </w:tcPr>
          <w:p w:rsidR="00487910" w:rsidRDefault="00DF7333" w:rsidP="00C100A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F7333">
              <w:rPr>
                <w:color w:val="auto"/>
              </w:rPr>
              <w:t>obchodní a podniková sdružení</w:t>
            </w:r>
          </w:p>
        </w:tc>
        <w:tc>
          <w:tcPr>
            <w:tcW w:w="2056" w:type="dxa"/>
          </w:tcPr>
          <w:p w:rsidR="00487910" w:rsidRPr="00250A44" w:rsidRDefault="00250A44" w:rsidP="00B01EAE">
            <w:pPr>
              <w:spacing w:line="240" w:lineRule="auto"/>
              <w:ind w:firstLine="0"/>
              <w:cnfStyle w:val="000000000000" w:firstRow="0" w:lastRow="0" w:firstColumn="0" w:lastColumn="0" w:oddVBand="0" w:evenVBand="0" w:oddHBand="0" w:evenHBand="0" w:firstRowFirstColumn="0" w:firstRowLastColumn="0" w:lastRowFirstColumn="0" w:lastRowLastColumn="0"/>
              <w:rPr>
                <w:color w:val="auto"/>
              </w:rPr>
            </w:pPr>
            <w:r w:rsidRPr="00250A44">
              <w:rPr>
                <w:color w:val="auto"/>
              </w:rPr>
              <w:t>European Network of Transmission System Operators forGas (ENTSOG)</w:t>
            </w:r>
          </w:p>
        </w:tc>
        <w:tc>
          <w:tcPr>
            <w:tcW w:w="2387" w:type="dxa"/>
          </w:tcPr>
          <w:p w:rsidR="00487910" w:rsidRPr="00701D2F" w:rsidRDefault="00442928" w:rsidP="00701D2F">
            <w:pPr>
              <w:spacing w:line="240" w:lineRule="auto"/>
              <w:ind w:firstLine="0"/>
              <w:cnfStyle w:val="000000000000" w:firstRow="0" w:lastRow="0" w:firstColumn="0" w:lastColumn="0" w:oddVBand="0" w:evenVBand="0" w:oddHBand="0" w:evenHBand="0" w:firstRowFirstColumn="0" w:firstRowLastColumn="0" w:lastRowFirstColumn="0" w:lastRowLastColumn="0"/>
              <w:rPr>
                <w:color w:val="auto"/>
              </w:rPr>
            </w:pPr>
            <w:r>
              <w:rPr>
                <w:color w:val="auto"/>
              </w:rPr>
              <w:t>AISBL</w:t>
            </w:r>
          </w:p>
        </w:tc>
      </w:tr>
      <w:tr w:rsidR="00487910" w:rsidTr="00701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Pr>
          <w:p w:rsidR="00487910" w:rsidRPr="00487910" w:rsidRDefault="00487910" w:rsidP="00487910">
            <w:pPr>
              <w:spacing w:line="240" w:lineRule="auto"/>
              <w:ind w:firstLine="0"/>
              <w:rPr>
                <w:b w:val="0"/>
                <w:color w:val="auto"/>
              </w:rPr>
            </w:pPr>
            <w:r w:rsidRPr="00487910">
              <w:rPr>
                <w:b w:val="0"/>
                <w:color w:val="auto"/>
              </w:rPr>
              <w:t xml:space="preserve">VI. </w:t>
            </w:r>
            <w:r w:rsidR="00250A44">
              <w:rPr>
                <w:b w:val="0"/>
                <w:color w:val="auto"/>
              </w:rPr>
              <w:t>o</w:t>
            </w:r>
            <w:r w:rsidRPr="00487910">
              <w:rPr>
                <w:b w:val="0"/>
                <w:color w:val="auto"/>
              </w:rPr>
              <w:t>rganizace zastupující místní, regionální a obecní orgány, jiné veřejné či smíšené subjekty atd.</w:t>
            </w:r>
          </w:p>
        </w:tc>
        <w:tc>
          <w:tcPr>
            <w:tcW w:w="2007" w:type="dxa"/>
          </w:tcPr>
          <w:p w:rsidR="00487910" w:rsidRDefault="00DF7333" w:rsidP="00C100A4">
            <w:pPr>
              <w:spacing w:line="240" w:lineRule="auto"/>
              <w:ind w:firstLine="0"/>
              <w:jc w:val="center"/>
              <w:cnfStyle w:val="000000100000" w:firstRow="0" w:lastRow="0" w:firstColumn="0" w:lastColumn="0" w:oddVBand="0" w:evenVBand="0" w:oddHBand="1" w:evenHBand="0" w:firstRowFirstColumn="0" w:firstRowLastColumn="0" w:lastRowFirstColumn="0" w:lastRowLastColumn="0"/>
            </w:pPr>
            <w:r>
              <w:rPr>
                <w:color w:val="auto"/>
              </w:rPr>
              <w:t xml:space="preserve">jiné </w:t>
            </w:r>
            <w:r w:rsidRPr="00DF7333">
              <w:rPr>
                <w:color w:val="auto"/>
              </w:rPr>
              <w:t>veřejné orgány na</w:t>
            </w:r>
            <w:r>
              <w:rPr>
                <w:color w:val="auto"/>
              </w:rPr>
              <w:t xml:space="preserve"> </w:t>
            </w:r>
            <w:r w:rsidRPr="00DF7333">
              <w:rPr>
                <w:color w:val="auto"/>
              </w:rPr>
              <w:t>nižší</w:t>
            </w:r>
            <w:r>
              <w:rPr>
                <w:color w:val="auto"/>
              </w:rPr>
              <w:t xml:space="preserve"> </w:t>
            </w:r>
            <w:r w:rsidRPr="00DF7333">
              <w:rPr>
                <w:color w:val="auto"/>
              </w:rPr>
              <w:t>než celostátní úrovni</w:t>
            </w:r>
          </w:p>
        </w:tc>
        <w:tc>
          <w:tcPr>
            <w:tcW w:w="2056" w:type="dxa"/>
          </w:tcPr>
          <w:p w:rsidR="00487910" w:rsidRPr="00250A44" w:rsidRDefault="00B01EAE" w:rsidP="00B01EAE">
            <w:pPr>
              <w:spacing w:line="240" w:lineRule="auto"/>
              <w:ind w:firstLine="0"/>
              <w:cnfStyle w:val="000000100000" w:firstRow="0" w:lastRow="0" w:firstColumn="0" w:lastColumn="0" w:oddVBand="0" w:evenVBand="0" w:oddHBand="1" w:evenHBand="0" w:firstRowFirstColumn="0" w:firstRowLastColumn="0" w:lastRowFirstColumn="0" w:lastRowLastColumn="0"/>
              <w:rPr>
                <w:color w:val="auto"/>
              </w:rPr>
            </w:pPr>
            <w:r w:rsidRPr="00250A44">
              <w:rPr>
                <w:color w:val="auto"/>
              </w:rPr>
              <w:t>Vereniging van Vlaamse Steden en Gemeenten (VVSG)</w:t>
            </w:r>
          </w:p>
        </w:tc>
        <w:tc>
          <w:tcPr>
            <w:tcW w:w="2387" w:type="dxa"/>
          </w:tcPr>
          <w:p w:rsidR="00487910" w:rsidRPr="00701D2F" w:rsidRDefault="00701D2F" w:rsidP="00701D2F">
            <w:pPr>
              <w:spacing w:line="240" w:lineRule="auto"/>
              <w:ind w:firstLine="0"/>
              <w:cnfStyle w:val="000000100000" w:firstRow="0" w:lastRow="0" w:firstColumn="0" w:lastColumn="0" w:oddVBand="0" w:evenVBand="0" w:oddHBand="1" w:evenHBand="0" w:firstRowFirstColumn="0" w:firstRowLastColumn="0" w:lastRowFirstColumn="0" w:lastRowLastColumn="0"/>
              <w:rPr>
                <w:color w:val="auto"/>
              </w:rPr>
            </w:pPr>
            <w:r w:rsidRPr="00701D2F">
              <w:rPr>
                <w:color w:val="auto"/>
              </w:rPr>
              <w:t>ASBL – nezisková organizace, asociace</w:t>
            </w:r>
          </w:p>
        </w:tc>
      </w:tr>
    </w:tbl>
    <w:p w:rsidR="00E21986" w:rsidRDefault="00E21986" w:rsidP="0021791F">
      <w:pPr>
        <w:ind w:firstLine="0"/>
        <w:jc w:val="center"/>
        <w:rPr>
          <w:rFonts w:cs="Times New Roman"/>
          <w:b/>
        </w:rPr>
      </w:pPr>
    </w:p>
    <w:p w:rsidR="00B53E33" w:rsidRDefault="00B53E33" w:rsidP="0029598C">
      <w:pPr>
        <w:ind w:firstLine="0"/>
        <w:rPr>
          <w:rFonts w:cs="Times New Roman"/>
        </w:rPr>
      </w:pPr>
    </w:p>
    <w:p w:rsidR="00B53E33" w:rsidRDefault="00B53E33" w:rsidP="0029598C">
      <w:pPr>
        <w:ind w:firstLine="0"/>
        <w:rPr>
          <w:rFonts w:cs="Times New Roman"/>
        </w:rPr>
      </w:pPr>
    </w:p>
    <w:p w:rsidR="0029598C" w:rsidRDefault="0029598C" w:rsidP="0029598C">
      <w:pPr>
        <w:ind w:firstLine="0"/>
        <w:rPr>
          <w:rFonts w:cs="Times New Roman"/>
        </w:rPr>
      </w:pPr>
      <w:r>
        <w:rPr>
          <w:rFonts w:cs="Times New Roman"/>
        </w:rPr>
        <w:t>Tabulka č.3</w:t>
      </w:r>
    </w:p>
    <w:tbl>
      <w:tblPr>
        <w:tblStyle w:val="GridTable4-Accent4"/>
        <w:tblW w:w="0" w:type="auto"/>
        <w:tblLook w:val="04A0" w:firstRow="1" w:lastRow="0" w:firstColumn="1" w:lastColumn="0" w:noHBand="0" w:noVBand="1"/>
      </w:tblPr>
      <w:tblGrid>
        <w:gridCol w:w="3218"/>
        <w:gridCol w:w="1697"/>
        <w:gridCol w:w="1792"/>
        <w:gridCol w:w="2070"/>
      </w:tblGrid>
      <w:tr w:rsidR="0029598C" w:rsidTr="00295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29598C" w:rsidRDefault="0029598C" w:rsidP="0029598C">
            <w:pPr>
              <w:ind w:firstLine="0"/>
              <w:rPr>
                <w:rFonts w:cs="Times New Roman"/>
              </w:rPr>
            </w:pPr>
            <w:r>
              <w:rPr>
                <w:rFonts w:cs="Times New Roman"/>
              </w:rPr>
              <w:t>Oddíl</w:t>
            </w:r>
          </w:p>
        </w:tc>
        <w:tc>
          <w:tcPr>
            <w:tcW w:w="2265" w:type="dxa"/>
          </w:tcPr>
          <w:p w:rsidR="0029598C" w:rsidRDefault="0029598C" w:rsidP="0029598C">
            <w:pPr>
              <w:ind w:firstLine="0"/>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Pododdíl</w:t>
            </w:r>
          </w:p>
        </w:tc>
        <w:tc>
          <w:tcPr>
            <w:tcW w:w="2265" w:type="dxa"/>
          </w:tcPr>
          <w:p w:rsidR="0029598C" w:rsidRDefault="0029598C" w:rsidP="0029598C">
            <w:pPr>
              <w:ind w:firstLine="0"/>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Název organizace</w:t>
            </w:r>
          </w:p>
        </w:tc>
        <w:tc>
          <w:tcPr>
            <w:tcW w:w="2265" w:type="dxa"/>
          </w:tcPr>
          <w:p w:rsidR="0029598C" w:rsidRDefault="0029598C" w:rsidP="0029598C">
            <w:pPr>
              <w:ind w:firstLine="0"/>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Právní forma</w:t>
            </w:r>
          </w:p>
        </w:tc>
      </w:tr>
      <w:tr w:rsidR="0029598C" w:rsidTr="00295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29598C" w:rsidRDefault="0029598C" w:rsidP="0029598C">
            <w:pPr>
              <w:ind w:firstLine="0"/>
              <w:rPr>
                <w:rFonts w:cs="Times New Roman"/>
              </w:rPr>
            </w:pPr>
            <w:r w:rsidRPr="0029598C">
              <w:rPr>
                <w:rFonts w:cs="Times New Roman"/>
              </w:rPr>
              <w:t>II - interní lobbisté a obchodní/podniková/profesní sdružení</w:t>
            </w:r>
          </w:p>
        </w:tc>
        <w:tc>
          <w:tcPr>
            <w:tcW w:w="2265" w:type="dxa"/>
          </w:tcPr>
          <w:p w:rsidR="0029598C" w:rsidRDefault="0029598C" w:rsidP="0029598C">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Podniky a skupiny</w:t>
            </w:r>
          </w:p>
        </w:tc>
        <w:tc>
          <w:tcPr>
            <w:tcW w:w="2265" w:type="dxa"/>
          </w:tcPr>
          <w:p w:rsidR="0029598C" w:rsidRDefault="0029598C" w:rsidP="0029598C">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Heineken N. V.</w:t>
            </w:r>
          </w:p>
        </w:tc>
        <w:tc>
          <w:tcPr>
            <w:tcW w:w="2265" w:type="dxa"/>
          </w:tcPr>
          <w:p w:rsidR="0029598C" w:rsidRDefault="0029598C" w:rsidP="0029598C">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Public limited liability </w:t>
            </w:r>
            <w:r w:rsidR="00B53E33">
              <w:rPr>
                <w:rFonts w:cs="Times New Roman"/>
              </w:rPr>
              <w:t>company/akciová společnost</w:t>
            </w:r>
          </w:p>
        </w:tc>
      </w:tr>
      <w:tr w:rsidR="0029598C" w:rsidTr="0029598C">
        <w:tc>
          <w:tcPr>
            <w:cnfStyle w:val="001000000000" w:firstRow="0" w:lastRow="0" w:firstColumn="1" w:lastColumn="0" w:oddVBand="0" w:evenVBand="0" w:oddHBand="0" w:evenHBand="0" w:firstRowFirstColumn="0" w:firstRowLastColumn="0" w:lastRowFirstColumn="0" w:lastRowLastColumn="0"/>
            <w:tcW w:w="2265" w:type="dxa"/>
          </w:tcPr>
          <w:p w:rsidR="0029598C" w:rsidRDefault="0029598C" w:rsidP="0029598C">
            <w:pPr>
              <w:ind w:firstLine="0"/>
              <w:rPr>
                <w:rFonts w:cs="Times New Roman"/>
              </w:rPr>
            </w:pPr>
            <w:r w:rsidRPr="0029598C">
              <w:rPr>
                <w:rFonts w:cs="Times New Roman"/>
              </w:rPr>
              <w:t>II - interní lobbisté a obchodní/podniková/profesní sdružení</w:t>
            </w:r>
          </w:p>
        </w:tc>
        <w:tc>
          <w:tcPr>
            <w:tcW w:w="2265" w:type="dxa"/>
          </w:tcPr>
          <w:p w:rsidR="0029598C" w:rsidRDefault="0029598C" w:rsidP="0029598C">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Podniky a skupiny</w:t>
            </w:r>
          </w:p>
        </w:tc>
        <w:tc>
          <w:tcPr>
            <w:tcW w:w="2265" w:type="dxa"/>
          </w:tcPr>
          <w:p w:rsidR="0029598C" w:rsidRDefault="00B53E33" w:rsidP="0029598C">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DNV GL</w:t>
            </w:r>
          </w:p>
        </w:tc>
        <w:tc>
          <w:tcPr>
            <w:tcW w:w="2265" w:type="dxa"/>
          </w:tcPr>
          <w:p w:rsidR="0029598C" w:rsidRDefault="00B53E33" w:rsidP="0029598C">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Akciová společnost</w:t>
            </w:r>
          </w:p>
        </w:tc>
      </w:tr>
      <w:tr w:rsidR="0029598C" w:rsidTr="00295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29598C" w:rsidRDefault="0029598C" w:rsidP="0029598C">
            <w:pPr>
              <w:ind w:firstLine="0"/>
              <w:rPr>
                <w:rFonts w:cs="Times New Roman"/>
              </w:rPr>
            </w:pPr>
            <w:r w:rsidRPr="0029598C">
              <w:rPr>
                <w:rFonts w:cs="Times New Roman"/>
              </w:rPr>
              <w:t>II - interní lobbisté a obchodní/podniková/profesní sdružení</w:t>
            </w:r>
          </w:p>
        </w:tc>
        <w:tc>
          <w:tcPr>
            <w:tcW w:w="2265" w:type="dxa"/>
          </w:tcPr>
          <w:p w:rsidR="0029598C" w:rsidRDefault="0029598C" w:rsidP="0029598C">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Obchodní a podniková sdružení</w:t>
            </w:r>
          </w:p>
        </w:tc>
        <w:tc>
          <w:tcPr>
            <w:tcW w:w="2265" w:type="dxa"/>
          </w:tcPr>
          <w:p w:rsidR="0029598C" w:rsidRDefault="00B53E33" w:rsidP="0029598C">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European Sponsorship Association</w:t>
            </w:r>
          </w:p>
        </w:tc>
        <w:tc>
          <w:tcPr>
            <w:tcW w:w="2265" w:type="dxa"/>
          </w:tcPr>
          <w:p w:rsidR="0029598C" w:rsidRDefault="00B53E33" w:rsidP="0029598C">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Společnost</w:t>
            </w:r>
          </w:p>
        </w:tc>
      </w:tr>
      <w:tr w:rsidR="0029598C" w:rsidTr="0029598C">
        <w:tc>
          <w:tcPr>
            <w:cnfStyle w:val="001000000000" w:firstRow="0" w:lastRow="0" w:firstColumn="1" w:lastColumn="0" w:oddVBand="0" w:evenVBand="0" w:oddHBand="0" w:evenHBand="0" w:firstRowFirstColumn="0" w:firstRowLastColumn="0" w:lastRowFirstColumn="0" w:lastRowLastColumn="0"/>
            <w:tcW w:w="2265" w:type="dxa"/>
          </w:tcPr>
          <w:p w:rsidR="0029598C" w:rsidRDefault="0029598C" w:rsidP="0029598C">
            <w:pPr>
              <w:ind w:firstLine="0"/>
              <w:rPr>
                <w:rFonts w:cs="Times New Roman"/>
              </w:rPr>
            </w:pPr>
            <w:r w:rsidRPr="0029598C">
              <w:rPr>
                <w:rFonts w:cs="Times New Roman"/>
              </w:rPr>
              <w:t>II - interní lobbisté a obchodní/podniková/profesní sdružení</w:t>
            </w:r>
          </w:p>
        </w:tc>
        <w:tc>
          <w:tcPr>
            <w:tcW w:w="2265" w:type="dxa"/>
          </w:tcPr>
          <w:p w:rsidR="0029598C" w:rsidRDefault="0029598C" w:rsidP="0029598C">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Podniky a skupiny</w:t>
            </w:r>
          </w:p>
        </w:tc>
        <w:tc>
          <w:tcPr>
            <w:tcW w:w="2265" w:type="dxa"/>
          </w:tcPr>
          <w:p w:rsidR="0029598C" w:rsidRDefault="00B53E33" w:rsidP="0029598C">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Bacardi-Martini BV</w:t>
            </w:r>
          </w:p>
        </w:tc>
        <w:tc>
          <w:tcPr>
            <w:tcW w:w="2265" w:type="dxa"/>
          </w:tcPr>
          <w:p w:rsidR="0029598C" w:rsidRDefault="00B53E33" w:rsidP="0029598C">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Akciová společnost</w:t>
            </w:r>
          </w:p>
        </w:tc>
      </w:tr>
      <w:tr w:rsidR="0029598C" w:rsidTr="00295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29598C" w:rsidRDefault="0029598C" w:rsidP="0029598C">
            <w:pPr>
              <w:ind w:firstLine="0"/>
              <w:rPr>
                <w:rFonts w:cs="Times New Roman"/>
              </w:rPr>
            </w:pPr>
            <w:r w:rsidRPr="0029598C">
              <w:rPr>
                <w:rFonts w:cs="Times New Roman"/>
              </w:rPr>
              <w:t>II - interní lobbisté a obchodní/podniková/profesní sdružení</w:t>
            </w:r>
          </w:p>
        </w:tc>
        <w:tc>
          <w:tcPr>
            <w:tcW w:w="2265" w:type="dxa"/>
          </w:tcPr>
          <w:p w:rsidR="0029598C" w:rsidRDefault="0029598C" w:rsidP="0029598C">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Podniky a skupiny</w:t>
            </w:r>
          </w:p>
        </w:tc>
        <w:tc>
          <w:tcPr>
            <w:tcW w:w="2265" w:type="dxa"/>
          </w:tcPr>
          <w:p w:rsidR="0029598C" w:rsidRDefault="00B53E33" w:rsidP="0029598C">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B53E33">
              <w:rPr>
                <w:rFonts w:cs="Times New Roman"/>
              </w:rPr>
              <w:t>DFL Deutsche Fußball Liga GmbH</w:t>
            </w:r>
          </w:p>
        </w:tc>
        <w:tc>
          <w:tcPr>
            <w:tcW w:w="2265" w:type="dxa"/>
          </w:tcPr>
          <w:p w:rsidR="0029598C" w:rsidRDefault="00B53E33" w:rsidP="0029598C">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Společnost s ručením omezeným</w:t>
            </w:r>
          </w:p>
        </w:tc>
      </w:tr>
      <w:tr w:rsidR="0029598C" w:rsidTr="0029598C">
        <w:tc>
          <w:tcPr>
            <w:cnfStyle w:val="001000000000" w:firstRow="0" w:lastRow="0" w:firstColumn="1" w:lastColumn="0" w:oddVBand="0" w:evenVBand="0" w:oddHBand="0" w:evenHBand="0" w:firstRowFirstColumn="0" w:firstRowLastColumn="0" w:lastRowFirstColumn="0" w:lastRowLastColumn="0"/>
            <w:tcW w:w="2265" w:type="dxa"/>
          </w:tcPr>
          <w:p w:rsidR="0029598C" w:rsidRPr="0029598C" w:rsidRDefault="0029598C" w:rsidP="0029598C">
            <w:pPr>
              <w:ind w:firstLine="0"/>
              <w:rPr>
                <w:rFonts w:cs="Times New Roman"/>
              </w:rPr>
            </w:pPr>
            <w:r w:rsidRPr="0029598C">
              <w:rPr>
                <w:rFonts w:cs="Times New Roman"/>
              </w:rPr>
              <w:t xml:space="preserve">VI - </w:t>
            </w:r>
            <w:r>
              <w:rPr>
                <w:rFonts w:cs="Times New Roman"/>
              </w:rPr>
              <w:t>o</w:t>
            </w:r>
            <w:r w:rsidRPr="0029598C">
              <w:rPr>
                <w:rFonts w:cs="Times New Roman"/>
              </w:rPr>
              <w:t>rganizace zastupující místní, regionální a obecní orgány, jiné veřejné či smíšené subjekty atd.</w:t>
            </w:r>
          </w:p>
        </w:tc>
        <w:tc>
          <w:tcPr>
            <w:tcW w:w="2265" w:type="dxa"/>
          </w:tcPr>
          <w:p w:rsidR="0029598C" w:rsidRDefault="0029598C" w:rsidP="0029598C">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29598C">
              <w:rPr>
                <w:rFonts w:cs="Times New Roman"/>
              </w:rPr>
              <w:t>jiné veřejné orgány na nižší než celostátní úrovni</w:t>
            </w:r>
          </w:p>
        </w:tc>
        <w:tc>
          <w:tcPr>
            <w:tcW w:w="2265" w:type="dxa"/>
          </w:tcPr>
          <w:p w:rsidR="0029598C" w:rsidRDefault="00B53E33" w:rsidP="0029598C">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B53E33">
              <w:rPr>
                <w:rFonts w:cs="Times New Roman"/>
              </w:rPr>
              <w:t>Swedish Association of Local Authorities and Regions (SALAR)</w:t>
            </w:r>
          </w:p>
        </w:tc>
        <w:tc>
          <w:tcPr>
            <w:tcW w:w="2265" w:type="dxa"/>
          </w:tcPr>
          <w:p w:rsidR="0029598C" w:rsidRDefault="00B53E33" w:rsidP="0029598C">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Soukromá organizace</w:t>
            </w:r>
          </w:p>
        </w:tc>
      </w:tr>
    </w:tbl>
    <w:p w:rsidR="0029598C" w:rsidRPr="0029598C" w:rsidRDefault="0029598C" w:rsidP="0029598C">
      <w:pPr>
        <w:ind w:firstLine="0"/>
        <w:rPr>
          <w:rFonts w:cs="Times New Roman"/>
        </w:rPr>
      </w:pPr>
    </w:p>
    <w:p w:rsidR="00C932E4" w:rsidRDefault="00C932E4" w:rsidP="00BC594A">
      <w:pPr>
        <w:ind w:firstLine="0"/>
        <w:rPr>
          <w:rFonts w:cs="Times New Roman"/>
        </w:rPr>
      </w:pPr>
    </w:p>
    <w:p w:rsidR="00C932E4" w:rsidRDefault="00C932E4" w:rsidP="00BC594A">
      <w:pPr>
        <w:ind w:firstLine="0"/>
        <w:rPr>
          <w:rFonts w:cs="Times New Roman"/>
        </w:rPr>
      </w:pPr>
    </w:p>
    <w:p w:rsidR="00ED2DE2" w:rsidRDefault="00ED2DE2" w:rsidP="00BC594A">
      <w:pPr>
        <w:ind w:firstLine="0"/>
        <w:rPr>
          <w:rFonts w:cs="Times New Roman"/>
        </w:rPr>
      </w:pPr>
    </w:p>
    <w:p w:rsidR="005942B9" w:rsidRDefault="005942B9" w:rsidP="00BC594A">
      <w:pPr>
        <w:ind w:firstLine="0"/>
        <w:rPr>
          <w:rFonts w:cs="Times New Roman"/>
        </w:rPr>
      </w:pPr>
    </w:p>
    <w:p w:rsidR="009D6980" w:rsidRDefault="009D6980" w:rsidP="00BC594A">
      <w:pPr>
        <w:ind w:firstLine="0"/>
        <w:rPr>
          <w:rFonts w:cs="Times New Roman"/>
        </w:rPr>
      </w:pPr>
    </w:p>
    <w:p w:rsidR="009D6980" w:rsidRDefault="009D6980" w:rsidP="00BC594A">
      <w:pPr>
        <w:ind w:firstLine="0"/>
        <w:rPr>
          <w:rFonts w:cs="Times New Roman"/>
        </w:rPr>
      </w:pPr>
    </w:p>
    <w:p w:rsidR="006F33AD" w:rsidRDefault="00BC594A" w:rsidP="00BC594A">
      <w:pPr>
        <w:ind w:firstLine="0"/>
        <w:rPr>
          <w:rFonts w:cs="Times New Roman"/>
        </w:rPr>
      </w:pPr>
      <w:r>
        <w:rPr>
          <w:rFonts w:cs="Times New Roman"/>
        </w:rPr>
        <w:t>Tabulka č.4</w:t>
      </w:r>
    </w:p>
    <w:tbl>
      <w:tblPr>
        <w:tblStyle w:val="GridTable4-Accent5"/>
        <w:tblW w:w="0" w:type="auto"/>
        <w:tblLook w:val="04A0" w:firstRow="1" w:lastRow="0" w:firstColumn="1" w:lastColumn="0" w:noHBand="0" w:noVBand="1"/>
      </w:tblPr>
      <w:tblGrid>
        <w:gridCol w:w="3219"/>
        <w:gridCol w:w="1847"/>
        <w:gridCol w:w="1921"/>
        <w:gridCol w:w="1790"/>
      </w:tblGrid>
      <w:tr w:rsidR="00BC594A" w:rsidTr="00AD2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8" w:type="dxa"/>
          </w:tcPr>
          <w:p w:rsidR="00BC594A" w:rsidRDefault="004519CC" w:rsidP="00BC594A">
            <w:pPr>
              <w:ind w:firstLine="0"/>
              <w:rPr>
                <w:rFonts w:cs="Times New Roman"/>
              </w:rPr>
            </w:pPr>
            <w:r>
              <w:rPr>
                <w:rFonts w:cs="Times New Roman"/>
              </w:rPr>
              <w:t>Oddíl</w:t>
            </w:r>
          </w:p>
        </w:tc>
        <w:tc>
          <w:tcPr>
            <w:tcW w:w="2007" w:type="dxa"/>
          </w:tcPr>
          <w:p w:rsidR="00BC594A" w:rsidRDefault="004519CC" w:rsidP="00BC594A">
            <w:pPr>
              <w:ind w:firstLine="0"/>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Pododdíl</w:t>
            </w:r>
          </w:p>
        </w:tc>
        <w:tc>
          <w:tcPr>
            <w:tcW w:w="1980" w:type="dxa"/>
          </w:tcPr>
          <w:p w:rsidR="00BC594A" w:rsidRDefault="004519CC" w:rsidP="00BC594A">
            <w:pPr>
              <w:ind w:firstLine="0"/>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Název organizace</w:t>
            </w:r>
          </w:p>
        </w:tc>
        <w:tc>
          <w:tcPr>
            <w:tcW w:w="1855" w:type="dxa"/>
          </w:tcPr>
          <w:p w:rsidR="00BC594A" w:rsidRDefault="004519CC" w:rsidP="00BC594A">
            <w:pPr>
              <w:ind w:firstLine="0"/>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Právní forma</w:t>
            </w:r>
          </w:p>
        </w:tc>
      </w:tr>
      <w:tr w:rsidR="00BC594A" w:rsidTr="00AD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8" w:type="dxa"/>
          </w:tcPr>
          <w:p w:rsidR="00BC594A" w:rsidRDefault="004519CC" w:rsidP="00BC594A">
            <w:pPr>
              <w:ind w:firstLine="0"/>
              <w:rPr>
                <w:rFonts w:cs="Times New Roman"/>
              </w:rPr>
            </w:pPr>
            <w:r w:rsidRPr="004519CC">
              <w:rPr>
                <w:rFonts w:cs="Times New Roman"/>
              </w:rPr>
              <w:t>II - interní lobbisté a obchodní/podniková/profesní sdružení</w:t>
            </w:r>
          </w:p>
        </w:tc>
        <w:tc>
          <w:tcPr>
            <w:tcW w:w="2007" w:type="dxa"/>
          </w:tcPr>
          <w:p w:rsidR="00BC594A" w:rsidRDefault="009662F5" w:rsidP="00BC594A">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9662F5">
              <w:rPr>
                <w:rFonts w:cs="Times New Roman"/>
              </w:rPr>
              <w:t>obchodní a podniková sdružení</w:t>
            </w:r>
          </w:p>
        </w:tc>
        <w:tc>
          <w:tcPr>
            <w:tcW w:w="1980" w:type="dxa"/>
          </w:tcPr>
          <w:p w:rsidR="00BC594A" w:rsidRDefault="00AB2D65" w:rsidP="00BC594A">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AB2D65">
              <w:rPr>
                <w:rFonts w:cs="Times New Roman"/>
              </w:rPr>
              <w:t>FEDIL - The Voice of Luxembourg's Industry</w:t>
            </w:r>
          </w:p>
        </w:tc>
        <w:tc>
          <w:tcPr>
            <w:tcW w:w="1855" w:type="dxa"/>
          </w:tcPr>
          <w:p w:rsidR="00BC594A" w:rsidRDefault="00AB2D65" w:rsidP="00BC594A">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ASBL</w:t>
            </w:r>
          </w:p>
        </w:tc>
      </w:tr>
      <w:tr w:rsidR="00BC594A" w:rsidTr="00AD2AD3">
        <w:tc>
          <w:tcPr>
            <w:cnfStyle w:val="001000000000" w:firstRow="0" w:lastRow="0" w:firstColumn="1" w:lastColumn="0" w:oddVBand="0" w:evenVBand="0" w:oddHBand="0" w:evenHBand="0" w:firstRowFirstColumn="0" w:firstRowLastColumn="0" w:lastRowFirstColumn="0" w:lastRowLastColumn="0"/>
            <w:tcW w:w="3218" w:type="dxa"/>
          </w:tcPr>
          <w:p w:rsidR="00BC594A" w:rsidRDefault="004519CC" w:rsidP="00BC594A">
            <w:pPr>
              <w:ind w:firstLine="0"/>
              <w:rPr>
                <w:rFonts w:cs="Times New Roman"/>
              </w:rPr>
            </w:pPr>
            <w:r w:rsidRPr="004519CC">
              <w:rPr>
                <w:rFonts w:cs="Times New Roman"/>
              </w:rPr>
              <w:t>II - interní lobbisté a obchodní/podniková/profesní sdružení</w:t>
            </w:r>
          </w:p>
        </w:tc>
        <w:tc>
          <w:tcPr>
            <w:tcW w:w="2007" w:type="dxa"/>
          </w:tcPr>
          <w:p w:rsidR="00BC594A" w:rsidRDefault="009662F5" w:rsidP="00BC594A">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9662F5">
              <w:rPr>
                <w:rFonts w:cs="Times New Roman"/>
              </w:rPr>
              <w:t>obchodní a podniková sdružení</w:t>
            </w:r>
          </w:p>
        </w:tc>
        <w:tc>
          <w:tcPr>
            <w:tcW w:w="1980" w:type="dxa"/>
          </w:tcPr>
          <w:p w:rsidR="00BC594A" w:rsidRDefault="00AB2D65" w:rsidP="00BC594A">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AB2D65">
              <w:rPr>
                <w:rFonts w:cs="Times New Roman"/>
              </w:rPr>
              <w:t>Belgian &amp; Luxembourg Federation of Automotive &amp; Two-wheeler Industry</w:t>
            </w:r>
          </w:p>
        </w:tc>
        <w:tc>
          <w:tcPr>
            <w:tcW w:w="1855" w:type="dxa"/>
          </w:tcPr>
          <w:p w:rsidR="00BC594A" w:rsidRDefault="00AB2D65" w:rsidP="00BC594A">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ASBL</w:t>
            </w:r>
          </w:p>
        </w:tc>
      </w:tr>
      <w:tr w:rsidR="00BC594A" w:rsidTr="00AD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8" w:type="dxa"/>
          </w:tcPr>
          <w:p w:rsidR="00BC594A" w:rsidRDefault="004519CC" w:rsidP="00BC594A">
            <w:pPr>
              <w:ind w:firstLine="0"/>
              <w:rPr>
                <w:rFonts w:cs="Times New Roman"/>
              </w:rPr>
            </w:pPr>
            <w:r w:rsidRPr="004519CC">
              <w:rPr>
                <w:rFonts w:cs="Times New Roman"/>
              </w:rPr>
              <w:t>II - interní lobbisté a obchodní/podniková/profesní sdružení</w:t>
            </w:r>
          </w:p>
        </w:tc>
        <w:tc>
          <w:tcPr>
            <w:tcW w:w="2007" w:type="dxa"/>
          </w:tcPr>
          <w:p w:rsidR="00BC594A" w:rsidRDefault="009662F5" w:rsidP="00BC594A">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9662F5">
              <w:rPr>
                <w:rFonts w:cs="Times New Roman"/>
              </w:rPr>
              <w:t>obchodní a podniková sdružení</w:t>
            </w:r>
          </w:p>
        </w:tc>
        <w:tc>
          <w:tcPr>
            <w:tcW w:w="1980" w:type="dxa"/>
          </w:tcPr>
          <w:p w:rsidR="00BC594A" w:rsidRDefault="00AB2D65" w:rsidP="00BC594A">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AB2D65">
              <w:rPr>
                <w:rFonts w:cs="Times New Roman"/>
              </w:rPr>
              <w:t>European Organisation of the Sawmill industry</w:t>
            </w:r>
          </w:p>
        </w:tc>
        <w:tc>
          <w:tcPr>
            <w:tcW w:w="1855" w:type="dxa"/>
          </w:tcPr>
          <w:p w:rsidR="00BC594A" w:rsidRDefault="00AB2D65" w:rsidP="00BC594A">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AISBL</w:t>
            </w:r>
          </w:p>
        </w:tc>
      </w:tr>
      <w:tr w:rsidR="00BC594A" w:rsidTr="00AD2AD3">
        <w:tc>
          <w:tcPr>
            <w:cnfStyle w:val="001000000000" w:firstRow="0" w:lastRow="0" w:firstColumn="1" w:lastColumn="0" w:oddVBand="0" w:evenVBand="0" w:oddHBand="0" w:evenHBand="0" w:firstRowFirstColumn="0" w:firstRowLastColumn="0" w:lastRowFirstColumn="0" w:lastRowLastColumn="0"/>
            <w:tcW w:w="3218" w:type="dxa"/>
          </w:tcPr>
          <w:p w:rsidR="00BC594A" w:rsidRDefault="004519CC" w:rsidP="00BC594A">
            <w:pPr>
              <w:ind w:firstLine="0"/>
              <w:rPr>
                <w:rFonts w:cs="Times New Roman"/>
              </w:rPr>
            </w:pPr>
            <w:r w:rsidRPr="004519CC">
              <w:rPr>
                <w:rFonts w:cs="Times New Roman"/>
              </w:rPr>
              <w:t>II - interní lobbisté a obchodní/podniková/profesní sdružení</w:t>
            </w:r>
          </w:p>
        </w:tc>
        <w:tc>
          <w:tcPr>
            <w:tcW w:w="2007" w:type="dxa"/>
          </w:tcPr>
          <w:p w:rsidR="00BC594A" w:rsidRDefault="009662F5" w:rsidP="00BC594A">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9662F5">
              <w:rPr>
                <w:rFonts w:cs="Times New Roman"/>
              </w:rPr>
              <w:t>obchodní a podniková sdružení</w:t>
            </w:r>
          </w:p>
        </w:tc>
        <w:tc>
          <w:tcPr>
            <w:tcW w:w="1980" w:type="dxa"/>
          </w:tcPr>
          <w:p w:rsidR="00BC594A" w:rsidRDefault="00AB2D65" w:rsidP="00BC594A">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AB2D65">
              <w:rPr>
                <w:rFonts w:cs="Times New Roman"/>
              </w:rPr>
              <w:t>European Federation of Catering Equipment Manufacturers</w:t>
            </w:r>
          </w:p>
        </w:tc>
        <w:tc>
          <w:tcPr>
            <w:tcW w:w="1855" w:type="dxa"/>
          </w:tcPr>
          <w:p w:rsidR="00BC594A" w:rsidRDefault="00AB2D65" w:rsidP="00BC594A">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AISBL</w:t>
            </w:r>
          </w:p>
        </w:tc>
      </w:tr>
      <w:tr w:rsidR="00BC594A" w:rsidTr="00AD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8" w:type="dxa"/>
          </w:tcPr>
          <w:p w:rsidR="00BC594A" w:rsidRDefault="004519CC" w:rsidP="00BC594A">
            <w:pPr>
              <w:ind w:firstLine="0"/>
              <w:rPr>
                <w:rFonts w:cs="Times New Roman"/>
              </w:rPr>
            </w:pPr>
            <w:r w:rsidRPr="004519CC">
              <w:rPr>
                <w:rFonts w:cs="Times New Roman"/>
              </w:rPr>
              <w:t>II - interní lobbisté a obchodní/podniková/profesní sdružení</w:t>
            </w:r>
          </w:p>
        </w:tc>
        <w:tc>
          <w:tcPr>
            <w:tcW w:w="2007" w:type="dxa"/>
          </w:tcPr>
          <w:p w:rsidR="00BC594A" w:rsidRDefault="009662F5" w:rsidP="00BC594A">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9662F5">
              <w:rPr>
                <w:rFonts w:cs="Times New Roman"/>
              </w:rPr>
              <w:t>obchodní a podniková sdružení</w:t>
            </w:r>
          </w:p>
        </w:tc>
        <w:tc>
          <w:tcPr>
            <w:tcW w:w="1980" w:type="dxa"/>
          </w:tcPr>
          <w:p w:rsidR="00BC594A" w:rsidRDefault="00AB2D65" w:rsidP="00BC594A">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AB2D65">
              <w:rPr>
                <w:rFonts w:cs="Times New Roman"/>
              </w:rPr>
              <w:t>Fédération Internationale des Associations de producteurs de Films Headquarters</w:t>
            </w:r>
          </w:p>
        </w:tc>
        <w:tc>
          <w:tcPr>
            <w:tcW w:w="1855" w:type="dxa"/>
          </w:tcPr>
          <w:p w:rsidR="00BC594A" w:rsidRDefault="00AB2D65" w:rsidP="00BC594A">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ASBL</w:t>
            </w:r>
          </w:p>
        </w:tc>
      </w:tr>
      <w:tr w:rsidR="004519CC" w:rsidTr="00AD2AD3">
        <w:tc>
          <w:tcPr>
            <w:cnfStyle w:val="001000000000" w:firstRow="0" w:lastRow="0" w:firstColumn="1" w:lastColumn="0" w:oddVBand="0" w:evenVBand="0" w:oddHBand="0" w:evenHBand="0" w:firstRowFirstColumn="0" w:firstRowLastColumn="0" w:lastRowFirstColumn="0" w:lastRowLastColumn="0"/>
            <w:tcW w:w="3218" w:type="dxa"/>
          </w:tcPr>
          <w:p w:rsidR="004519CC" w:rsidRPr="004519CC" w:rsidRDefault="004519CC" w:rsidP="00BC594A">
            <w:pPr>
              <w:ind w:firstLine="0"/>
              <w:rPr>
                <w:rFonts w:cs="Times New Roman"/>
              </w:rPr>
            </w:pPr>
            <w:r w:rsidRPr="004519CC">
              <w:rPr>
                <w:rFonts w:cs="Times New Roman"/>
              </w:rPr>
              <w:t>II - interní lobbisté a obchodní/podniková/profesní sdružení</w:t>
            </w:r>
          </w:p>
        </w:tc>
        <w:tc>
          <w:tcPr>
            <w:tcW w:w="2007" w:type="dxa"/>
          </w:tcPr>
          <w:p w:rsidR="004519CC" w:rsidRDefault="009662F5" w:rsidP="00BC594A">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9662F5">
              <w:rPr>
                <w:rFonts w:cs="Times New Roman"/>
              </w:rPr>
              <w:t>obchodní a podniková sdružení</w:t>
            </w:r>
          </w:p>
        </w:tc>
        <w:tc>
          <w:tcPr>
            <w:tcW w:w="1980" w:type="dxa"/>
          </w:tcPr>
          <w:p w:rsidR="004519CC" w:rsidRDefault="00385CEB" w:rsidP="00BC594A">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EuropeActive</w:t>
            </w:r>
          </w:p>
        </w:tc>
        <w:tc>
          <w:tcPr>
            <w:tcW w:w="1855" w:type="dxa"/>
          </w:tcPr>
          <w:p w:rsidR="004519CC" w:rsidRDefault="00385CEB" w:rsidP="00BC594A">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ASBL</w:t>
            </w:r>
          </w:p>
        </w:tc>
      </w:tr>
      <w:tr w:rsidR="004519CC" w:rsidTr="00AD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8" w:type="dxa"/>
          </w:tcPr>
          <w:p w:rsidR="004519CC" w:rsidRPr="004519CC" w:rsidRDefault="004519CC" w:rsidP="00BC594A">
            <w:pPr>
              <w:ind w:firstLine="0"/>
              <w:rPr>
                <w:rFonts w:cs="Times New Roman"/>
              </w:rPr>
            </w:pPr>
            <w:r w:rsidRPr="004519CC">
              <w:rPr>
                <w:rFonts w:cs="Times New Roman"/>
              </w:rPr>
              <w:lastRenderedPageBreak/>
              <w:t>II - interní lobbisté a obchodní/podniková/profesní sdružení</w:t>
            </w:r>
          </w:p>
        </w:tc>
        <w:tc>
          <w:tcPr>
            <w:tcW w:w="2007" w:type="dxa"/>
          </w:tcPr>
          <w:p w:rsidR="004519CC" w:rsidRPr="009662F5" w:rsidRDefault="009662F5" w:rsidP="00BC594A">
            <w:pPr>
              <w:ind w:firstLine="0"/>
              <w:cnfStyle w:val="000000100000" w:firstRow="0" w:lastRow="0" w:firstColumn="0" w:lastColumn="0" w:oddVBand="0" w:evenVBand="0" w:oddHBand="1" w:evenHBand="0" w:firstRowFirstColumn="0" w:firstRowLastColumn="0" w:lastRowFirstColumn="0" w:lastRowLastColumn="0"/>
            </w:pPr>
            <w:r w:rsidRPr="009662F5">
              <w:rPr>
                <w:rFonts w:cs="Times New Roman"/>
              </w:rPr>
              <w:t>obchodní a podniková sdružení</w:t>
            </w:r>
          </w:p>
        </w:tc>
        <w:tc>
          <w:tcPr>
            <w:tcW w:w="1980" w:type="dxa"/>
          </w:tcPr>
          <w:p w:rsidR="004519CC" w:rsidRDefault="00385CEB" w:rsidP="00BC594A">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385CEB">
              <w:rPr>
                <w:rFonts w:cs="Times New Roman"/>
              </w:rPr>
              <w:t>Confédération Européenne des Associations de Petites et Moyennes Entreprises</w:t>
            </w:r>
          </w:p>
        </w:tc>
        <w:tc>
          <w:tcPr>
            <w:tcW w:w="1855" w:type="dxa"/>
          </w:tcPr>
          <w:p w:rsidR="004519CC" w:rsidRDefault="00385CEB" w:rsidP="00BC594A">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AISBL</w:t>
            </w:r>
          </w:p>
        </w:tc>
      </w:tr>
      <w:tr w:rsidR="004519CC" w:rsidTr="00AD2AD3">
        <w:tc>
          <w:tcPr>
            <w:cnfStyle w:val="001000000000" w:firstRow="0" w:lastRow="0" w:firstColumn="1" w:lastColumn="0" w:oddVBand="0" w:evenVBand="0" w:oddHBand="0" w:evenHBand="0" w:firstRowFirstColumn="0" w:firstRowLastColumn="0" w:lastRowFirstColumn="0" w:lastRowLastColumn="0"/>
            <w:tcW w:w="3218" w:type="dxa"/>
          </w:tcPr>
          <w:p w:rsidR="004519CC" w:rsidRPr="004519CC" w:rsidRDefault="004519CC" w:rsidP="00BC594A">
            <w:pPr>
              <w:ind w:firstLine="0"/>
              <w:rPr>
                <w:rFonts w:cs="Times New Roman"/>
              </w:rPr>
            </w:pPr>
            <w:r w:rsidRPr="004519CC">
              <w:rPr>
                <w:rFonts w:cs="Times New Roman"/>
              </w:rPr>
              <w:t>II - interní lobbisté a obchodní/podniková/profesní sdružení</w:t>
            </w:r>
          </w:p>
        </w:tc>
        <w:tc>
          <w:tcPr>
            <w:tcW w:w="2007" w:type="dxa"/>
          </w:tcPr>
          <w:p w:rsidR="004519CC" w:rsidRDefault="009662F5" w:rsidP="00BC594A">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9662F5">
              <w:rPr>
                <w:rFonts w:cs="Times New Roman"/>
              </w:rPr>
              <w:t>obchodní a podniková sdružení</w:t>
            </w:r>
          </w:p>
        </w:tc>
        <w:tc>
          <w:tcPr>
            <w:tcW w:w="1980" w:type="dxa"/>
          </w:tcPr>
          <w:p w:rsidR="004519CC" w:rsidRDefault="00385CEB" w:rsidP="00BC594A">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European testing inspection </w:t>
            </w:r>
            <w:r w:rsidRPr="00385CEB">
              <w:rPr>
                <w:rFonts w:cs="Times New Roman"/>
              </w:rPr>
              <w:t>&amp;</w:t>
            </w:r>
            <w:r>
              <w:rPr>
                <w:rFonts w:cs="Times New Roman"/>
              </w:rPr>
              <w:t xml:space="preserve"> certification system</w:t>
            </w:r>
          </w:p>
        </w:tc>
        <w:tc>
          <w:tcPr>
            <w:tcW w:w="1855" w:type="dxa"/>
          </w:tcPr>
          <w:p w:rsidR="004519CC" w:rsidRDefault="00385CEB" w:rsidP="00BC594A">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AISBL</w:t>
            </w:r>
          </w:p>
        </w:tc>
      </w:tr>
      <w:tr w:rsidR="004519CC" w:rsidTr="00AD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8" w:type="dxa"/>
          </w:tcPr>
          <w:p w:rsidR="004519CC" w:rsidRPr="004519CC" w:rsidRDefault="004519CC" w:rsidP="00BC594A">
            <w:pPr>
              <w:ind w:firstLine="0"/>
              <w:rPr>
                <w:rFonts w:cs="Times New Roman"/>
              </w:rPr>
            </w:pPr>
            <w:r w:rsidRPr="004519CC">
              <w:rPr>
                <w:rFonts w:cs="Times New Roman"/>
              </w:rPr>
              <w:t>II - interní lobbisté a obchodní/podniková/profesní sdružení</w:t>
            </w:r>
          </w:p>
        </w:tc>
        <w:tc>
          <w:tcPr>
            <w:tcW w:w="2007" w:type="dxa"/>
          </w:tcPr>
          <w:p w:rsidR="004519CC" w:rsidRDefault="009662F5" w:rsidP="00BC594A">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9662F5">
              <w:rPr>
                <w:rFonts w:cs="Times New Roman"/>
              </w:rPr>
              <w:t>obchodní a podniková sdružení</w:t>
            </w:r>
          </w:p>
        </w:tc>
        <w:tc>
          <w:tcPr>
            <w:tcW w:w="1980" w:type="dxa"/>
          </w:tcPr>
          <w:p w:rsidR="004519CC" w:rsidRDefault="00385CEB" w:rsidP="00BC594A">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News Media Europe</w:t>
            </w:r>
          </w:p>
        </w:tc>
        <w:tc>
          <w:tcPr>
            <w:tcW w:w="1855" w:type="dxa"/>
          </w:tcPr>
          <w:p w:rsidR="004519CC" w:rsidRDefault="00385CEB" w:rsidP="00BC594A">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ASBL</w:t>
            </w:r>
          </w:p>
        </w:tc>
      </w:tr>
      <w:tr w:rsidR="004519CC" w:rsidTr="00AD2AD3">
        <w:tc>
          <w:tcPr>
            <w:cnfStyle w:val="001000000000" w:firstRow="0" w:lastRow="0" w:firstColumn="1" w:lastColumn="0" w:oddVBand="0" w:evenVBand="0" w:oddHBand="0" w:evenHBand="0" w:firstRowFirstColumn="0" w:firstRowLastColumn="0" w:lastRowFirstColumn="0" w:lastRowLastColumn="0"/>
            <w:tcW w:w="3218" w:type="dxa"/>
          </w:tcPr>
          <w:p w:rsidR="004519CC" w:rsidRPr="004519CC" w:rsidRDefault="004519CC" w:rsidP="00BC594A">
            <w:pPr>
              <w:ind w:firstLine="0"/>
              <w:rPr>
                <w:rFonts w:cs="Times New Roman"/>
              </w:rPr>
            </w:pPr>
            <w:r w:rsidRPr="004519CC">
              <w:rPr>
                <w:rFonts w:cs="Times New Roman"/>
              </w:rPr>
              <w:t>II - interní lobbisté a obchodní/podniková/profesní sdružení</w:t>
            </w:r>
          </w:p>
        </w:tc>
        <w:tc>
          <w:tcPr>
            <w:tcW w:w="2007" w:type="dxa"/>
          </w:tcPr>
          <w:p w:rsidR="004519CC" w:rsidRDefault="009662F5" w:rsidP="00BC594A">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9662F5">
              <w:rPr>
                <w:rFonts w:cs="Times New Roman"/>
              </w:rPr>
              <w:t>obchodní a podniková sdružení</w:t>
            </w:r>
          </w:p>
        </w:tc>
        <w:tc>
          <w:tcPr>
            <w:tcW w:w="1980" w:type="dxa"/>
          </w:tcPr>
          <w:p w:rsidR="004519CC" w:rsidRDefault="00385CEB" w:rsidP="00BC594A">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385CEB">
              <w:rPr>
                <w:rFonts w:cs="Times New Roman"/>
              </w:rPr>
              <w:t>Young Entrepreneurs for Europe</w:t>
            </w:r>
          </w:p>
        </w:tc>
        <w:tc>
          <w:tcPr>
            <w:tcW w:w="1855" w:type="dxa"/>
          </w:tcPr>
          <w:p w:rsidR="004519CC" w:rsidRDefault="00385CEB" w:rsidP="00BC594A">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AISBL</w:t>
            </w:r>
          </w:p>
        </w:tc>
      </w:tr>
      <w:tr w:rsidR="004519CC" w:rsidTr="00AD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8" w:type="dxa"/>
          </w:tcPr>
          <w:p w:rsidR="004519CC" w:rsidRPr="004519CC" w:rsidRDefault="004519CC" w:rsidP="00BC594A">
            <w:pPr>
              <w:ind w:firstLine="0"/>
              <w:rPr>
                <w:rFonts w:cs="Times New Roman"/>
              </w:rPr>
            </w:pPr>
            <w:r w:rsidRPr="004519CC">
              <w:rPr>
                <w:rFonts w:cs="Times New Roman"/>
              </w:rPr>
              <w:t>II - interní lobbisté a obchodní/podniková/profesní sdružení</w:t>
            </w:r>
          </w:p>
        </w:tc>
        <w:tc>
          <w:tcPr>
            <w:tcW w:w="2007" w:type="dxa"/>
          </w:tcPr>
          <w:p w:rsidR="004519CC" w:rsidRDefault="009662F5" w:rsidP="00BC594A">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9662F5">
              <w:rPr>
                <w:rFonts w:cs="Times New Roman"/>
              </w:rPr>
              <w:t>obchodní a podniková sdružení</w:t>
            </w:r>
          </w:p>
        </w:tc>
        <w:tc>
          <w:tcPr>
            <w:tcW w:w="1980" w:type="dxa"/>
          </w:tcPr>
          <w:p w:rsidR="004519CC" w:rsidRDefault="00385CEB" w:rsidP="00BC594A">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385CEB">
              <w:rPr>
                <w:rFonts w:cs="Times New Roman"/>
              </w:rPr>
              <w:t>European DIGITAL SME Alliance</w:t>
            </w:r>
          </w:p>
        </w:tc>
        <w:tc>
          <w:tcPr>
            <w:tcW w:w="1855" w:type="dxa"/>
          </w:tcPr>
          <w:p w:rsidR="004519CC" w:rsidRDefault="00385CEB" w:rsidP="00BC594A">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AISBL</w:t>
            </w:r>
          </w:p>
        </w:tc>
      </w:tr>
      <w:tr w:rsidR="004519CC" w:rsidTr="00AD2AD3">
        <w:tc>
          <w:tcPr>
            <w:cnfStyle w:val="001000000000" w:firstRow="0" w:lastRow="0" w:firstColumn="1" w:lastColumn="0" w:oddVBand="0" w:evenVBand="0" w:oddHBand="0" w:evenHBand="0" w:firstRowFirstColumn="0" w:firstRowLastColumn="0" w:lastRowFirstColumn="0" w:lastRowLastColumn="0"/>
            <w:tcW w:w="3218" w:type="dxa"/>
          </w:tcPr>
          <w:p w:rsidR="004519CC" w:rsidRPr="004519CC" w:rsidRDefault="004519CC" w:rsidP="00BC594A">
            <w:pPr>
              <w:ind w:firstLine="0"/>
              <w:rPr>
                <w:rFonts w:cs="Times New Roman"/>
              </w:rPr>
            </w:pPr>
            <w:r w:rsidRPr="004519CC">
              <w:rPr>
                <w:rFonts w:cs="Times New Roman"/>
              </w:rPr>
              <w:t>II - interní lobbisté a obchodní/podniková/profesní sdružení</w:t>
            </w:r>
          </w:p>
        </w:tc>
        <w:tc>
          <w:tcPr>
            <w:tcW w:w="2007" w:type="dxa"/>
          </w:tcPr>
          <w:p w:rsidR="004519CC" w:rsidRDefault="009662F5" w:rsidP="00BC594A">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9662F5">
              <w:rPr>
                <w:rFonts w:cs="Times New Roman"/>
              </w:rPr>
              <w:t>obchodní a podniková sdružení</w:t>
            </w:r>
          </w:p>
        </w:tc>
        <w:tc>
          <w:tcPr>
            <w:tcW w:w="1980" w:type="dxa"/>
          </w:tcPr>
          <w:p w:rsidR="004519CC" w:rsidRDefault="00385CEB" w:rsidP="00BC594A">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385CEB">
              <w:rPr>
                <w:rFonts w:cs="Times New Roman"/>
              </w:rPr>
              <w:t>European E-Invoicing Service Providers Association</w:t>
            </w:r>
          </w:p>
        </w:tc>
        <w:tc>
          <w:tcPr>
            <w:tcW w:w="1855" w:type="dxa"/>
          </w:tcPr>
          <w:p w:rsidR="004519CC" w:rsidRDefault="00385CEB" w:rsidP="00BC594A">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AISBL</w:t>
            </w:r>
          </w:p>
        </w:tc>
      </w:tr>
      <w:tr w:rsidR="004519CC" w:rsidTr="00AD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8" w:type="dxa"/>
          </w:tcPr>
          <w:p w:rsidR="004519CC" w:rsidRPr="004519CC" w:rsidRDefault="004519CC" w:rsidP="00BC594A">
            <w:pPr>
              <w:ind w:firstLine="0"/>
              <w:rPr>
                <w:rFonts w:cs="Times New Roman"/>
              </w:rPr>
            </w:pPr>
            <w:r w:rsidRPr="004519CC">
              <w:rPr>
                <w:rFonts w:cs="Times New Roman"/>
              </w:rPr>
              <w:t>II - interní lobbisté a obchodní/podniková/profesní sdružení</w:t>
            </w:r>
          </w:p>
        </w:tc>
        <w:tc>
          <w:tcPr>
            <w:tcW w:w="2007" w:type="dxa"/>
          </w:tcPr>
          <w:p w:rsidR="004519CC" w:rsidRDefault="00AB2D65" w:rsidP="00BC594A">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AB2D65">
              <w:rPr>
                <w:rFonts w:cs="Times New Roman"/>
              </w:rPr>
              <w:t>obchodní a podniková sdružení</w:t>
            </w:r>
          </w:p>
        </w:tc>
        <w:tc>
          <w:tcPr>
            <w:tcW w:w="1980" w:type="dxa"/>
          </w:tcPr>
          <w:p w:rsidR="004519CC" w:rsidRDefault="0071699A" w:rsidP="00BC594A">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European Federation of financial analysts societies</w:t>
            </w:r>
          </w:p>
        </w:tc>
        <w:tc>
          <w:tcPr>
            <w:tcW w:w="1855" w:type="dxa"/>
          </w:tcPr>
          <w:p w:rsidR="004519CC" w:rsidRDefault="0071699A" w:rsidP="00BC594A">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 V -inkorporovaná asociace</w:t>
            </w:r>
          </w:p>
        </w:tc>
      </w:tr>
      <w:tr w:rsidR="004519CC" w:rsidTr="00AD2AD3">
        <w:tc>
          <w:tcPr>
            <w:cnfStyle w:val="001000000000" w:firstRow="0" w:lastRow="0" w:firstColumn="1" w:lastColumn="0" w:oddVBand="0" w:evenVBand="0" w:oddHBand="0" w:evenHBand="0" w:firstRowFirstColumn="0" w:firstRowLastColumn="0" w:lastRowFirstColumn="0" w:lastRowLastColumn="0"/>
            <w:tcW w:w="3218" w:type="dxa"/>
          </w:tcPr>
          <w:p w:rsidR="004519CC" w:rsidRPr="004519CC" w:rsidRDefault="004519CC" w:rsidP="00BC594A">
            <w:pPr>
              <w:ind w:firstLine="0"/>
              <w:rPr>
                <w:rFonts w:cs="Times New Roman"/>
              </w:rPr>
            </w:pPr>
            <w:r w:rsidRPr="004519CC">
              <w:rPr>
                <w:rFonts w:cs="Times New Roman"/>
              </w:rPr>
              <w:t>II - interní lobbisté a obchodní/podniková/profesní sdružení</w:t>
            </w:r>
          </w:p>
        </w:tc>
        <w:tc>
          <w:tcPr>
            <w:tcW w:w="2007" w:type="dxa"/>
          </w:tcPr>
          <w:p w:rsidR="004519CC" w:rsidRDefault="00AB2D65" w:rsidP="00BC594A">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AB2D65">
              <w:rPr>
                <w:rFonts w:cs="Times New Roman"/>
              </w:rPr>
              <w:t>obchodní a podniková sdružení</w:t>
            </w:r>
          </w:p>
        </w:tc>
        <w:tc>
          <w:tcPr>
            <w:tcW w:w="1980" w:type="dxa"/>
          </w:tcPr>
          <w:p w:rsidR="004519CC" w:rsidRDefault="0071699A" w:rsidP="00BC594A">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71699A">
              <w:rPr>
                <w:rFonts w:cs="Times New Roman"/>
              </w:rPr>
              <w:t>European Boatmen's Association</w:t>
            </w:r>
          </w:p>
        </w:tc>
        <w:tc>
          <w:tcPr>
            <w:tcW w:w="1855" w:type="dxa"/>
          </w:tcPr>
          <w:p w:rsidR="004519CC" w:rsidRDefault="00AD2AD3" w:rsidP="00BC594A">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Nezisková organizace</w:t>
            </w:r>
          </w:p>
        </w:tc>
      </w:tr>
      <w:tr w:rsidR="004519CC" w:rsidTr="00AD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8" w:type="dxa"/>
          </w:tcPr>
          <w:p w:rsidR="004519CC" w:rsidRPr="004519CC" w:rsidRDefault="004519CC" w:rsidP="00BC594A">
            <w:pPr>
              <w:ind w:firstLine="0"/>
              <w:rPr>
                <w:rFonts w:cs="Times New Roman"/>
              </w:rPr>
            </w:pPr>
            <w:r w:rsidRPr="004519CC">
              <w:rPr>
                <w:rFonts w:cs="Times New Roman"/>
              </w:rPr>
              <w:t>II - interní lobbisté a obchodní/podniková/profesní sdružení</w:t>
            </w:r>
          </w:p>
        </w:tc>
        <w:tc>
          <w:tcPr>
            <w:tcW w:w="2007" w:type="dxa"/>
          </w:tcPr>
          <w:p w:rsidR="004519CC" w:rsidRDefault="00AB2D65" w:rsidP="00BC594A">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AB2D65">
              <w:rPr>
                <w:rFonts w:cs="Times New Roman"/>
              </w:rPr>
              <w:t>obchodní a podniková sdružení</w:t>
            </w:r>
          </w:p>
        </w:tc>
        <w:tc>
          <w:tcPr>
            <w:tcW w:w="1980" w:type="dxa"/>
          </w:tcPr>
          <w:p w:rsidR="004519CC" w:rsidRDefault="0071699A" w:rsidP="00BC594A">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71699A">
              <w:rPr>
                <w:rFonts w:cs="Times New Roman"/>
              </w:rPr>
              <w:t>European Small Business Alliance</w:t>
            </w:r>
          </w:p>
        </w:tc>
        <w:tc>
          <w:tcPr>
            <w:tcW w:w="1855" w:type="dxa"/>
          </w:tcPr>
          <w:p w:rsidR="004519CC" w:rsidRDefault="00AD2AD3" w:rsidP="00BC594A">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AISBL</w:t>
            </w:r>
          </w:p>
        </w:tc>
      </w:tr>
      <w:tr w:rsidR="00AD2AD3" w:rsidTr="00AD2AD3">
        <w:tc>
          <w:tcPr>
            <w:cnfStyle w:val="001000000000" w:firstRow="0" w:lastRow="0" w:firstColumn="1" w:lastColumn="0" w:oddVBand="0" w:evenVBand="0" w:oddHBand="0" w:evenHBand="0" w:firstRowFirstColumn="0" w:firstRowLastColumn="0" w:lastRowFirstColumn="0" w:lastRowLastColumn="0"/>
            <w:tcW w:w="3218" w:type="dxa"/>
          </w:tcPr>
          <w:p w:rsidR="00AD2AD3" w:rsidRPr="004519CC" w:rsidRDefault="00AD2AD3" w:rsidP="00BC594A">
            <w:pPr>
              <w:ind w:firstLine="0"/>
              <w:rPr>
                <w:rFonts w:cs="Times New Roman"/>
              </w:rPr>
            </w:pPr>
            <w:r w:rsidRPr="004519CC">
              <w:rPr>
                <w:rFonts w:cs="Times New Roman"/>
              </w:rPr>
              <w:lastRenderedPageBreak/>
              <w:t>II - interní lobbisté a obchodní/podniková/profesní sdružení</w:t>
            </w:r>
          </w:p>
        </w:tc>
        <w:tc>
          <w:tcPr>
            <w:tcW w:w="2007" w:type="dxa"/>
          </w:tcPr>
          <w:p w:rsidR="00AD2AD3" w:rsidRPr="00AB2D65" w:rsidRDefault="00AD2AD3" w:rsidP="00BC594A">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AB2D65">
              <w:rPr>
                <w:rFonts w:cs="Times New Roman"/>
              </w:rPr>
              <w:t>obchodní a podniková sdružení</w:t>
            </w:r>
          </w:p>
        </w:tc>
        <w:tc>
          <w:tcPr>
            <w:tcW w:w="1980" w:type="dxa"/>
          </w:tcPr>
          <w:p w:rsidR="00AD2AD3" w:rsidRPr="0071699A" w:rsidRDefault="00AD2AD3" w:rsidP="00BC594A">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AD2AD3">
              <w:rPr>
                <w:rFonts w:cs="Times New Roman"/>
              </w:rPr>
              <w:t>CIRFS: European Man-made Fibres Association</w:t>
            </w:r>
          </w:p>
        </w:tc>
        <w:tc>
          <w:tcPr>
            <w:tcW w:w="1855" w:type="dxa"/>
          </w:tcPr>
          <w:p w:rsidR="00AD2AD3" w:rsidRDefault="00AD2AD3" w:rsidP="00BC594A">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AISBL</w:t>
            </w:r>
          </w:p>
        </w:tc>
      </w:tr>
      <w:tr w:rsidR="00AD2AD3" w:rsidTr="00AD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8" w:type="dxa"/>
          </w:tcPr>
          <w:p w:rsidR="00AD2AD3" w:rsidRDefault="00AD2AD3" w:rsidP="00BC594A">
            <w:pPr>
              <w:ind w:firstLine="0"/>
              <w:rPr>
                <w:rFonts w:cs="Times New Roman"/>
                <w:b w:val="0"/>
                <w:bCs w:val="0"/>
              </w:rPr>
            </w:pPr>
            <w:r w:rsidRPr="004519CC">
              <w:rPr>
                <w:rFonts w:cs="Times New Roman"/>
              </w:rPr>
              <w:t>II - interní lobbisté a obchodní/podniková/profesní sdružení</w:t>
            </w:r>
          </w:p>
          <w:p w:rsidR="00AD2AD3" w:rsidRPr="004519CC" w:rsidRDefault="00AD2AD3" w:rsidP="00BC594A">
            <w:pPr>
              <w:ind w:firstLine="0"/>
              <w:rPr>
                <w:rFonts w:cs="Times New Roman"/>
              </w:rPr>
            </w:pPr>
          </w:p>
        </w:tc>
        <w:tc>
          <w:tcPr>
            <w:tcW w:w="2007" w:type="dxa"/>
          </w:tcPr>
          <w:p w:rsidR="00AD2AD3" w:rsidRPr="00AB2D65" w:rsidRDefault="00AD2AD3" w:rsidP="00BC594A">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AB2D65">
              <w:rPr>
                <w:rFonts w:cs="Times New Roman"/>
              </w:rPr>
              <w:t>obchodní a podniková sdružení</w:t>
            </w:r>
          </w:p>
        </w:tc>
        <w:tc>
          <w:tcPr>
            <w:tcW w:w="1980" w:type="dxa"/>
          </w:tcPr>
          <w:p w:rsidR="00AD2AD3" w:rsidRPr="0071699A" w:rsidRDefault="00AD2AD3" w:rsidP="00BC594A">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AD2AD3">
              <w:rPr>
                <w:rFonts w:cs="Times New Roman"/>
              </w:rPr>
              <w:t>euRobotics</w:t>
            </w:r>
          </w:p>
        </w:tc>
        <w:tc>
          <w:tcPr>
            <w:tcW w:w="1855" w:type="dxa"/>
          </w:tcPr>
          <w:p w:rsidR="00AD2AD3" w:rsidRDefault="00AD2AD3" w:rsidP="00BC594A">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AISBL</w:t>
            </w:r>
          </w:p>
        </w:tc>
      </w:tr>
      <w:tr w:rsidR="004519CC" w:rsidTr="00AD2AD3">
        <w:tc>
          <w:tcPr>
            <w:cnfStyle w:val="001000000000" w:firstRow="0" w:lastRow="0" w:firstColumn="1" w:lastColumn="0" w:oddVBand="0" w:evenVBand="0" w:oddHBand="0" w:evenHBand="0" w:firstRowFirstColumn="0" w:firstRowLastColumn="0" w:lastRowFirstColumn="0" w:lastRowLastColumn="0"/>
            <w:tcW w:w="3218" w:type="dxa"/>
          </w:tcPr>
          <w:p w:rsidR="004519CC" w:rsidRPr="004519CC" w:rsidRDefault="004519CC" w:rsidP="00BC594A">
            <w:pPr>
              <w:ind w:firstLine="0"/>
              <w:rPr>
                <w:rFonts w:cs="Times New Roman"/>
              </w:rPr>
            </w:pPr>
            <w:r w:rsidRPr="004519CC">
              <w:rPr>
                <w:rFonts w:cs="Times New Roman"/>
              </w:rPr>
              <w:t xml:space="preserve">VI - </w:t>
            </w:r>
            <w:r>
              <w:rPr>
                <w:rFonts w:cs="Times New Roman"/>
              </w:rPr>
              <w:t>o</w:t>
            </w:r>
            <w:r w:rsidRPr="004519CC">
              <w:rPr>
                <w:rFonts w:cs="Times New Roman"/>
              </w:rPr>
              <w:t>rganizace zastupující místní, regionální a obecní orgány, jiné veřejné či smíšené subjekty atd.</w:t>
            </w:r>
          </w:p>
        </w:tc>
        <w:tc>
          <w:tcPr>
            <w:tcW w:w="2007" w:type="dxa"/>
          </w:tcPr>
          <w:p w:rsidR="004519CC" w:rsidRDefault="00AD2AD3" w:rsidP="00BC594A">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AD2AD3">
              <w:rPr>
                <w:rFonts w:cs="Times New Roman"/>
              </w:rPr>
              <w:t>jiné veřejné orgány na nižší než</w:t>
            </w:r>
            <w:r>
              <w:rPr>
                <w:rFonts w:cs="Times New Roman"/>
              </w:rPr>
              <w:t xml:space="preserve"> </w:t>
            </w:r>
            <w:r w:rsidRPr="00AD2AD3">
              <w:rPr>
                <w:rFonts w:cs="Times New Roman"/>
              </w:rPr>
              <w:t>celostátní úrovni</w:t>
            </w:r>
          </w:p>
        </w:tc>
        <w:tc>
          <w:tcPr>
            <w:tcW w:w="1980" w:type="dxa"/>
          </w:tcPr>
          <w:p w:rsidR="004519CC" w:rsidRDefault="00AD2AD3" w:rsidP="00BC594A">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AD2AD3">
              <w:rPr>
                <w:rFonts w:cs="Times New Roman"/>
              </w:rPr>
              <w:t>Vereniging van Vlaamse Steden en Gemeenten</w:t>
            </w:r>
            <w:r w:rsidR="000832FB">
              <w:rPr>
                <w:rFonts w:cs="Times New Roman"/>
              </w:rPr>
              <w:t xml:space="preserve"> (VVSG)</w:t>
            </w:r>
          </w:p>
        </w:tc>
        <w:tc>
          <w:tcPr>
            <w:tcW w:w="1855" w:type="dxa"/>
          </w:tcPr>
          <w:p w:rsidR="004519CC" w:rsidRDefault="00AD2AD3" w:rsidP="00BC594A">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ASBL</w:t>
            </w:r>
          </w:p>
        </w:tc>
      </w:tr>
      <w:tr w:rsidR="004519CC" w:rsidTr="00AD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8" w:type="dxa"/>
          </w:tcPr>
          <w:p w:rsidR="004519CC" w:rsidRPr="004519CC" w:rsidRDefault="004519CC" w:rsidP="00BC594A">
            <w:pPr>
              <w:ind w:firstLine="0"/>
              <w:rPr>
                <w:rFonts w:cs="Times New Roman"/>
              </w:rPr>
            </w:pPr>
            <w:r w:rsidRPr="004519CC">
              <w:rPr>
                <w:rFonts w:cs="Times New Roman"/>
              </w:rPr>
              <w:t xml:space="preserve">VI - </w:t>
            </w:r>
            <w:r>
              <w:rPr>
                <w:rFonts w:cs="Times New Roman"/>
              </w:rPr>
              <w:t>o</w:t>
            </w:r>
            <w:r w:rsidRPr="004519CC">
              <w:rPr>
                <w:rFonts w:cs="Times New Roman"/>
              </w:rPr>
              <w:t>rganizace zastupující místní, regionální a obecní orgány, jiné veřejné či smíšené subjekty atd.</w:t>
            </w:r>
          </w:p>
        </w:tc>
        <w:tc>
          <w:tcPr>
            <w:tcW w:w="2007" w:type="dxa"/>
          </w:tcPr>
          <w:p w:rsidR="004519CC" w:rsidRDefault="00AD2AD3" w:rsidP="00BC594A">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AD2AD3">
              <w:rPr>
                <w:rFonts w:cs="Times New Roman"/>
              </w:rPr>
              <w:t>nadnárodní sdružení a sítě veřejných regionálních orgánů a jiných orgánů na nižší než celostátní úrovni</w:t>
            </w:r>
          </w:p>
        </w:tc>
        <w:tc>
          <w:tcPr>
            <w:tcW w:w="1980" w:type="dxa"/>
          </w:tcPr>
          <w:p w:rsidR="004519CC" w:rsidRDefault="00AD2AD3" w:rsidP="00BC594A">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AD2AD3">
              <w:rPr>
                <w:rFonts w:cs="Times New Roman"/>
              </w:rPr>
              <w:t>Mission Opérationnelle Transfrontalière</w:t>
            </w:r>
          </w:p>
        </w:tc>
        <w:tc>
          <w:tcPr>
            <w:tcW w:w="1855" w:type="dxa"/>
          </w:tcPr>
          <w:p w:rsidR="004519CC" w:rsidRDefault="00AD2AD3" w:rsidP="00BC594A">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Asociace</w:t>
            </w:r>
          </w:p>
        </w:tc>
      </w:tr>
      <w:tr w:rsidR="00486D74" w:rsidTr="00AD2AD3">
        <w:tc>
          <w:tcPr>
            <w:cnfStyle w:val="001000000000" w:firstRow="0" w:lastRow="0" w:firstColumn="1" w:lastColumn="0" w:oddVBand="0" w:evenVBand="0" w:oddHBand="0" w:evenHBand="0" w:firstRowFirstColumn="0" w:firstRowLastColumn="0" w:lastRowFirstColumn="0" w:lastRowLastColumn="0"/>
            <w:tcW w:w="3218" w:type="dxa"/>
          </w:tcPr>
          <w:p w:rsidR="00486D74" w:rsidRPr="004519CC" w:rsidRDefault="00486D74" w:rsidP="00BC594A">
            <w:pPr>
              <w:ind w:firstLine="0"/>
              <w:rPr>
                <w:rFonts w:cs="Times New Roman"/>
              </w:rPr>
            </w:pPr>
            <w:r w:rsidRPr="00486D74">
              <w:rPr>
                <w:rFonts w:cs="Times New Roman"/>
              </w:rPr>
              <w:t>I -</w:t>
            </w:r>
            <w:r>
              <w:rPr>
                <w:rFonts w:cs="Times New Roman"/>
              </w:rPr>
              <w:t xml:space="preserve"> o</w:t>
            </w:r>
            <w:r w:rsidRPr="00486D74">
              <w:rPr>
                <w:rFonts w:cs="Times New Roman"/>
              </w:rPr>
              <w:t>dborné poradenské společnosti/</w:t>
            </w:r>
            <w:r w:rsidR="00822F3C">
              <w:rPr>
                <w:rFonts w:cs="Times New Roman"/>
              </w:rPr>
              <w:t xml:space="preserve"> </w:t>
            </w:r>
            <w:r w:rsidRPr="00486D74">
              <w:rPr>
                <w:rFonts w:cs="Times New Roman"/>
              </w:rPr>
              <w:t>právnické</w:t>
            </w:r>
            <w:r w:rsidR="00822F3C">
              <w:rPr>
                <w:rFonts w:cs="Times New Roman"/>
              </w:rPr>
              <w:t xml:space="preserve"> </w:t>
            </w:r>
            <w:r w:rsidRPr="00486D74">
              <w:rPr>
                <w:rFonts w:cs="Times New Roman"/>
              </w:rPr>
              <w:t>firmy/</w:t>
            </w:r>
            <w:r w:rsidR="00822F3C">
              <w:rPr>
                <w:rFonts w:cs="Times New Roman"/>
              </w:rPr>
              <w:t xml:space="preserve"> </w:t>
            </w:r>
            <w:r w:rsidRPr="00486D74">
              <w:rPr>
                <w:rFonts w:cs="Times New Roman"/>
              </w:rPr>
              <w:t>samostatně</w:t>
            </w:r>
            <w:r w:rsidR="00822F3C">
              <w:rPr>
                <w:rFonts w:cs="Times New Roman"/>
              </w:rPr>
              <w:t xml:space="preserve"> </w:t>
            </w:r>
            <w:r w:rsidRPr="00486D74">
              <w:rPr>
                <w:rFonts w:cs="Times New Roman"/>
              </w:rPr>
              <w:t>výdělečně činní poradci</w:t>
            </w:r>
          </w:p>
        </w:tc>
        <w:tc>
          <w:tcPr>
            <w:tcW w:w="2007" w:type="dxa"/>
          </w:tcPr>
          <w:p w:rsidR="00486D74" w:rsidRDefault="00265CB3" w:rsidP="00BC594A">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Odborné poradenské společnosti</w:t>
            </w:r>
          </w:p>
        </w:tc>
        <w:tc>
          <w:tcPr>
            <w:tcW w:w="1980" w:type="dxa"/>
          </w:tcPr>
          <w:p w:rsidR="00486D74" w:rsidRDefault="00AD2AD3" w:rsidP="00BC594A">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AD2AD3">
              <w:rPr>
                <w:rFonts w:cs="Times New Roman"/>
              </w:rPr>
              <w:t>European Cosmetics Responsible Person Association</w:t>
            </w:r>
          </w:p>
        </w:tc>
        <w:tc>
          <w:tcPr>
            <w:tcW w:w="1855" w:type="dxa"/>
          </w:tcPr>
          <w:p w:rsidR="00486D74" w:rsidRDefault="00AD2AD3" w:rsidP="00BC594A">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EEIG</w:t>
            </w:r>
          </w:p>
        </w:tc>
      </w:tr>
      <w:tr w:rsidR="00486D74" w:rsidTr="00AD2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8" w:type="dxa"/>
          </w:tcPr>
          <w:p w:rsidR="00486D74" w:rsidRPr="004519CC" w:rsidRDefault="00486D74" w:rsidP="00BC594A">
            <w:pPr>
              <w:ind w:firstLine="0"/>
              <w:rPr>
                <w:rFonts w:cs="Times New Roman"/>
              </w:rPr>
            </w:pPr>
            <w:r w:rsidRPr="00486D74">
              <w:rPr>
                <w:rFonts w:cs="Times New Roman"/>
              </w:rPr>
              <w:t xml:space="preserve">I - </w:t>
            </w:r>
            <w:r>
              <w:rPr>
                <w:rFonts w:cs="Times New Roman"/>
              </w:rPr>
              <w:t>o</w:t>
            </w:r>
            <w:r w:rsidRPr="00486D74">
              <w:rPr>
                <w:rFonts w:cs="Times New Roman"/>
              </w:rPr>
              <w:t>dborné poradenské společnosti / právnické firmy / samostatně výdělečně činní poradci</w:t>
            </w:r>
          </w:p>
        </w:tc>
        <w:tc>
          <w:tcPr>
            <w:tcW w:w="2007" w:type="dxa"/>
          </w:tcPr>
          <w:p w:rsidR="00486D74" w:rsidRDefault="00265CB3" w:rsidP="00BC594A">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Odborné poradenské společnosti</w:t>
            </w:r>
          </w:p>
        </w:tc>
        <w:tc>
          <w:tcPr>
            <w:tcW w:w="1980" w:type="dxa"/>
          </w:tcPr>
          <w:p w:rsidR="00486D74" w:rsidRDefault="00AD2AD3" w:rsidP="00BC594A">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Oksigen lab</w:t>
            </w:r>
          </w:p>
        </w:tc>
        <w:tc>
          <w:tcPr>
            <w:tcW w:w="1855" w:type="dxa"/>
          </w:tcPr>
          <w:p w:rsidR="00486D74" w:rsidRDefault="00AD2AD3" w:rsidP="00BC594A">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ASBL</w:t>
            </w:r>
          </w:p>
        </w:tc>
      </w:tr>
    </w:tbl>
    <w:p w:rsidR="00BC594A" w:rsidRPr="00BC594A" w:rsidRDefault="00BC594A" w:rsidP="00BC594A">
      <w:pPr>
        <w:ind w:firstLine="0"/>
        <w:rPr>
          <w:rFonts w:cs="Times New Roman"/>
        </w:rPr>
      </w:pPr>
    </w:p>
    <w:p w:rsidR="00FC3688" w:rsidRDefault="00FC3688" w:rsidP="00FC3688">
      <w:pPr>
        <w:ind w:firstLine="0"/>
        <w:rPr>
          <w:rFonts w:cs="Times New Roman"/>
        </w:rPr>
      </w:pPr>
    </w:p>
    <w:p w:rsidR="00FC3688" w:rsidRDefault="00FC3688" w:rsidP="00FC3688">
      <w:pPr>
        <w:ind w:firstLine="0"/>
        <w:rPr>
          <w:rFonts w:cs="Times New Roman"/>
        </w:rPr>
      </w:pPr>
    </w:p>
    <w:p w:rsidR="00FC3688" w:rsidRDefault="00FC3688" w:rsidP="00FC3688">
      <w:pPr>
        <w:ind w:firstLine="0"/>
        <w:rPr>
          <w:rFonts w:cs="Times New Roman"/>
        </w:rPr>
      </w:pPr>
    </w:p>
    <w:p w:rsidR="00C932E4" w:rsidRDefault="00C932E4" w:rsidP="00FC3688">
      <w:pPr>
        <w:ind w:firstLine="0"/>
        <w:rPr>
          <w:rFonts w:cs="Times New Roman"/>
        </w:rPr>
      </w:pPr>
    </w:p>
    <w:p w:rsidR="005942B9" w:rsidRDefault="005942B9" w:rsidP="00FC3688">
      <w:pPr>
        <w:ind w:firstLine="0"/>
        <w:rPr>
          <w:rFonts w:cs="Times New Roman"/>
        </w:rPr>
      </w:pPr>
    </w:p>
    <w:p w:rsidR="005942B9" w:rsidRDefault="005942B9" w:rsidP="00FC3688">
      <w:pPr>
        <w:ind w:firstLine="0"/>
        <w:rPr>
          <w:rFonts w:cs="Times New Roman"/>
        </w:rPr>
      </w:pPr>
    </w:p>
    <w:p w:rsidR="005942B9" w:rsidRDefault="005942B9" w:rsidP="00FC3688">
      <w:pPr>
        <w:ind w:firstLine="0"/>
        <w:rPr>
          <w:rFonts w:cs="Times New Roman"/>
        </w:rPr>
      </w:pPr>
    </w:p>
    <w:p w:rsidR="005942B9" w:rsidRDefault="005942B9" w:rsidP="00FC3688">
      <w:pPr>
        <w:ind w:firstLine="0"/>
        <w:rPr>
          <w:rFonts w:cs="Times New Roman"/>
        </w:rPr>
      </w:pPr>
    </w:p>
    <w:p w:rsidR="00396D76" w:rsidRDefault="00FC3688" w:rsidP="00FC3688">
      <w:pPr>
        <w:ind w:firstLine="0"/>
        <w:rPr>
          <w:rFonts w:cs="Times New Roman"/>
        </w:rPr>
      </w:pPr>
      <w:r>
        <w:rPr>
          <w:rFonts w:cs="Times New Roman"/>
        </w:rPr>
        <w:t>Tabulka č.5</w:t>
      </w:r>
    </w:p>
    <w:tbl>
      <w:tblPr>
        <w:tblStyle w:val="GridTable4-Accent6"/>
        <w:tblW w:w="0" w:type="auto"/>
        <w:tblLook w:val="04A0" w:firstRow="1" w:lastRow="0" w:firstColumn="1" w:lastColumn="0" w:noHBand="0" w:noVBand="1"/>
      </w:tblPr>
      <w:tblGrid>
        <w:gridCol w:w="3218"/>
        <w:gridCol w:w="1683"/>
        <w:gridCol w:w="1794"/>
        <w:gridCol w:w="2082"/>
      </w:tblGrid>
      <w:tr w:rsidR="00FC3688" w:rsidTr="00FC36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FC3688" w:rsidRDefault="00FC3688" w:rsidP="00FC3688">
            <w:pPr>
              <w:ind w:firstLine="0"/>
              <w:rPr>
                <w:rFonts w:cs="Times New Roman"/>
              </w:rPr>
            </w:pPr>
            <w:r>
              <w:rPr>
                <w:rFonts w:cs="Times New Roman"/>
              </w:rPr>
              <w:t xml:space="preserve">Oddíl </w:t>
            </w:r>
          </w:p>
        </w:tc>
        <w:tc>
          <w:tcPr>
            <w:tcW w:w="2265" w:type="dxa"/>
          </w:tcPr>
          <w:p w:rsidR="00FC3688" w:rsidRDefault="00FC3688" w:rsidP="00FC3688">
            <w:pPr>
              <w:ind w:firstLine="0"/>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Pododdíl</w:t>
            </w:r>
          </w:p>
        </w:tc>
        <w:tc>
          <w:tcPr>
            <w:tcW w:w="2265" w:type="dxa"/>
          </w:tcPr>
          <w:p w:rsidR="00FC3688" w:rsidRDefault="00FC3688" w:rsidP="00FC3688">
            <w:pPr>
              <w:ind w:firstLine="0"/>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Název organizace</w:t>
            </w:r>
          </w:p>
        </w:tc>
        <w:tc>
          <w:tcPr>
            <w:tcW w:w="2265" w:type="dxa"/>
          </w:tcPr>
          <w:p w:rsidR="00FC3688" w:rsidRDefault="00FC3688" w:rsidP="00FC3688">
            <w:pPr>
              <w:ind w:firstLine="0"/>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Právní forma</w:t>
            </w:r>
          </w:p>
        </w:tc>
      </w:tr>
      <w:tr w:rsidR="00FC3688" w:rsidTr="00FC3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FC3688" w:rsidRDefault="00FC3688" w:rsidP="00FC3688">
            <w:pPr>
              <w:ind w:firstLine="0"/>
              <w:rPr>
                <w:rFonts w:cs="Times New Roman"/>
              </w:rPr>
            </w:pPr>
            <w:r w:rsidRPr="00FC3688">
              <w:rPr>
                <w:rFonts w:cs="Times New Roman"/>
              </w:rPr>
              <w:t xml:space="preserve">VI - </w:t>
            </w:r>
            <w:r>
              <w:rPr>
                <w:rFonts w:cs="Times New Roman"/>
              </w:rPr>
              <w:t>o</w:t>
            </w:r>
            <w:r w:rsidRPr="00FC3688">
              <w:rPr>
                <w:rFonts w:cs="Times New Roman"/>
              </w:rPr>
              <w:t>rganizace zastupující místní, regionální a obecní orgány, jiné veřejné či smíšené subjekty atd.</w:t>
            </w:r>
          </w:p>
        </w:tc>
        <w:tc>
          <w:tcPr>
            <w:tcW w:w="2265" w:type="dxa"/>
          </w:tcPr>
          <w:p w:rsidR="00FC3688" w:rsidRDefault="00FC3688" w:rsidP="00FC3688">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FC3688">
              <w:rPr>
                <w:rFonts w:cs="Times New Roman"/>
              </w:rPr>
              <w:t>jiné veřejné orgány na nižší než celostátní úrovni</w:t>
            </w:r>
          </w:p>
        </w:tc>
        <w:tc>
          <w:tcPr>
            <w:tcW w:w="2265" w:type="dxa"/>
          </w:tcPr>
          <w:p w:rsidR="00FC3688" w:rsidRDefault="00FC3688" w:rsidP="00FC3688">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FC3688">
              <w:rPr>
                <w:rFonts w:cs="Times New Roman"/>
              </w:rPr>
              <w:t>Swedish Association of Local Authorities and Regions</w:t>
            </w:r>
          </w:p>
        </w:tc>
        <w:tc>
          <w:tcPr>
            <w:tcW w:w="2265" w:type="dxa"/>
          </w:tcPr>
          <w:p w:rsidR="00FC3688" w:rsidRDefault="00C932E4" w:rsidP="00FC3688">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Soukromá organizace</w:t>
            </w:r>
          </w:p>
        </w:tc>
      </w:tr>
      <w:tr w:rsidR="00FC3688" w:rsidTr="00FC3688">
        <w:tc>
          <w:tcPr>
            <w:cnfStyle w:val="001000000000" w:firstRow="0" w:lastRow="0" w:firstColumn="1" w:lastColumn="0" w:oddVBand="0" w:evenVBand="0" w:oddHBand="0" w:evenHBand="0" w:firstRowFirstColumn="0" w:firstRowLastColumn="0" w:lastRowFirstColumn="0" w:lastRowLastColumn="0"/>
            <w:tcW w:w="2265" w:type="dxa"/>
          </w:tcPr>
          <w:p w:rsidR="00FC3688" w:rsidRDefault="00FC3688" w:rsidP="00FC3688">
            <w:pPr>
              <w:ind w:firstLine="0"/>
              <w:rPr>
                <w:rFonts w:cs="Times New Roman"/>
              </w:rPr>
            </w:pPr>
            <w:r w:rsidRPr="00FC3688">
              <w:rPr>
                <w:rFonts w:cs="Times New Roman"/>
              </w:rPr>
              <w:t>II - interní lobbisté a obchodní/podniková/profesní sdružení</w:t>
            </w:r>
          </w:p>
        </w:tc>
        <w:tc>
          <w:tcPr>
            <w:tcW w:w="2265" w:type="dxa"/>
          </w:tcPr>
          <w:p w:rsidR="00FC3688" w:rsidRDefault="00FC3688" w:rsidP="00FC3688">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FC3688">
              <w:rPr>
                <w:rFonts w:cs="Times New Roman"/>
              </w:rPr>
              <w:t>podniky a skupiny</w:t>
            </w:r>
          </w:p>
        </w:tc>
        <w:tc>
          <w:tcPr>
            <w:tcW w:w="2265" w:type="dxa"/>
          </w:tcPr>
          <w:p w:rsidR="00FC3688" w:rsidRDefault="00FC3688" w:rsidP="00FC3688">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DNV GL</w:t>
            </w:r>
          </w:p>
        </w:tc>
        <w:tc>
          <w:tcPr>
            <w:tcW w:w="2265" w:type="dxa"/>
          </w:tcPr>
          <w:p w:rsidR="00FC3688" w:rsidRDefault="00C932E4" w:rsidP="00FC3688">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Akciová společnost</w:t>
            </w:r>
          </w:p>
        </w:tc>
      </w:tr>
      <w:tr w:rsidR="00FC3688" w:rsidTr="00FC3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FC3688" w:rsidRPr="00FC3688" w:rsidRDefault="00FC3688" w:rsidP="00FC3688">
            <w:pPr>
              <w:ind w:firstLine="0"/>
              <w:rPr>
                <w:rFonts w:cs="Times New Roman"/>
              </w:rPr>
            </w:pPr>
            <w:r w:rsidRPr="00FC3688">
              <w:rPr>
                <w:rFonts w:cs="Times New Roman"/>
              </w:rPr>
              <w:t>II - interní lobbisté a obchodní/podniková/profesní sdružení</w:t>
            </w:r>
          </w:p>
        </w:tc>
        <w:tc>
          <w:tcPr>
            <w:tcW w:w="2265" w:type="dxa"/>
          </w:tcPr>
          <w:p w:rsidR="00FC3688" w:rsidRDefault="00FC3688" w:rsidP="00FC3688">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FC3688">
              <w:rPr>
                <w:rFonts w:cs="Times New Roman"/>
              </w:rPr>
              <w:t>podniky a skupiny</w:t>
            </w:r>
          </w:p>
        </w:tc>
        <w:tc>
          <w:tcPr>
            <w:tcW w:w="2265" w:type="dxa"/>
          </w:tcPr>
          <w:p w:rsidR="00FC3688" w:rsidRDefault="00C932E4" w:rsidP="00FC3688">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C932E4">
              <w:rPr>
                <w:rFonts w:cs="Times New Roman"/>
              </w:rPr>
              <w:t>Bacardi-Martini BV</w:t>
            </w:r>
          </w:p>
        </w:tc>
        <w:tc>
          <w:tcPr>
            <w:tcW w:w="2265" w:type="dxa"/>
          </w:tcPr>
          <w:p w:rsidR="00FC3688" w:rsidRDefault="00C932E4" w:rsidP="00FC3688">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Akciová společnost</w:t>
            </w:r>
          </w:p>
        </w:tc>
      </w:tr>
      <w:tr w:rsidR="00FC3688" w:rsidTr="00FC3688">
        <w:tc>
          <w:tcPr>
            <w:cnfStyle w:val="001000000000" w:firstRow="0" w:lastRow="0" w:firstColumn="1" w:lastColumn="0" w:oddVBand="0" w:evenVBand="0" w:oddHBand="0" w:evenHBand="0" w:firstRowFirstColumn="0" w:firstRowLastColumn="0" w:lastRowFirstColumn="0" w:lastRowLastColumn="0"/>
            <w:tcW w:w="2265" w:type="dxa"/>
          </w:tcPr>
          <w:p w:rsidR="00FC3688" w:rsidRDefault="00FC3688" w:rsidP="00FC3688">
            <w:pPr>
              <w:ind w:firstLine="0"/>
              <w:rPr>
                <w:rFonts w:cs="Times New Roman"/>
              </w:rPr>
            </w:pPr>
            <w:r w:rsidRPr="00FC3688">
              <w:rPr>
                <w:rFonts w:cs="Times New Roman"/>
              </w:rPr>
              <w:t>II - interní lobbisté a obchodní/podniková/profesní sdružení</w:t>
            </w:r>
          </w:p>
        </w:tc>
        <w:tc>
          <w:tcPr>
            <w:tcW w:w="2265" w:type="dxa"/>
          </w:tcPr>
          <w:p w:rsidR="00FC3688" w:rsidRDefault="00FC3688" w:rsidP="00FC3688">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FC3688">
              <w:rPr>
                <w:rFonts w:cs="Times New Roman"/>
              </w:rPr>
              <w:t>podniky a skupiny</w:t>
            </w:r>
          </w:p>
        </w:tc>
        <w:tc>
          <w:tcPr>
            <w:tcW w:w="2265" w:type="dxa"/>
          </w:tcPr>
          <w:p w:rsidR="00FC3688" w:rsidRDefault="00C932E4" w:rsidP="00FC3688">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C932E4">
              <w:rPr>
                <w:rFonts w:cs="Times New Roman"/>
              </w:rPr>
              <w:t>Lloyd's Register</w:t>
            </w:r>
          </w:p>
        </w:tc>
        <w:tc>
          <w:tcPr>
            <w:tcW w:w="2265" w:type="dxa"/>
          </w:tcPr>
          <w:p w:rsidR="00FC3688" w:rsidRDefault="00C932E4" w:rsidP="00FC3688">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Soukromá společnost</w:t>
            </w:r>
          </w:p>
        </w:tc>
      </w:tr>
      <w:tr w:rsidR="00FC3688" w:rsidTr="00FC3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FC3688" w:rsidRDefault="00FC3688" w:rsidP="00FC3688">
            <w:pPr>
              <w:ind w:firstLine="0"/>
              <w:rPr>
                <w:rFonts w:cs="Times New Roman"/>
              </w:rPr>
            </w:pPr>
            <w:r w:rsidRPr="00FC3688">
              <w:rPr>
                <w:rFonts w:cs="Times New Roman"/>
              </w:rPr>
              <w:t>II - interní lobbisté a obchodní/podniková/profesní sdružení</w:t>
            </w:r>
          </w:p>
        </w:tc>
        <w:tc>
          <w:tcPr>
            <w:tcW w:w="2265" w:type="dxa"/>
          </w:tcPr>
          <w:p w:rsidR="00FC3688" w:rsidRDefault="00FC3688" w:rsidP="00FC3688">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FC3688">
              <w:rPr>
                <w:rFonts w:cs="Times New Roman"/>
              </w:rPr>
              <w:t>podniky a skupiny</w:t>
            </w:r>
          </w:p>
        </w:tc>
        <w:tc>
          <w:tcPr>
            <w:tcW w:w="2265" w:type="dxa"/>
          </w:tcPr>
          <w:p w:rsidR="00FC3688" w:rsidRDefault="00C932E4" w:rsidP="00FC3688">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C932E4">
              <w:rPr>
                <w:rFonts w:cs="Times New Roman"/>
              </w:rPr>
              <w:t>Heineken N.V.</w:t>
            </w:r>
          </w:p>
        </w:tc>
        <w:tc>
          <w:tcPr>
            <w:tcW w:w="2265" w:type="dxa"/>
          </w:tcPr>
          <w:p w:rsidR="00FC3688" w:rsidRDefault="00C932E4" w:rsidP="00FC3688">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Public limited liability company/akciová společnost</w:t>
            </w:r>
          </w:p>
        </w:tc>
      </w:tr>
      <w:tr w:rsidR="00446588" w:rsidTr="00FC3688">
        <w:tc>
          <w:tcPr>
            <w:cnfStyle w:val="001000000000" w:firstRow="0" w:lastRow="0" w:firstColumn="1" w:lastColumn="0" w:oddVBand="0" w:evenVBand="0" w:oddHBand="0" w:evenHBand="0" w:firstRowFirstColumn="0" w:firstRowLastColumn="0" w:lastRowFirstColumn="0" w:lastRowLastColumn="0"/>
            <w:tcW w:w="2265" w:type="dxa"/>
          </w:tcPr>
          <w:p w:rsidR="00446588" w:rsidRPr="00FC3688" w:rsidRDefault="00446588" w:rsidP="00FC3688">
            <w:pPr>
              <w:ind w:firstLine="0"/>
              <w:rPr>
                <w:rFonts w:cs="Times New Roman"/>
              </w:rPr>
            </w:pPr>
            <w:r w:rsidRPr="00FC3688">
              <w:rPr>
                <w:rFonts w:cs="Times New Roman"/>
              </w:rPr>
              <w:t>II - interní lobbisté a obchodní/podniková/profesní sdružení</w:t>
            </w:r>
          </w:p>
        </w:tc>
        <w:tc>
          <w:tcPr>
            <w:tcW w:w="2265" w:type="dxa"/>
          </w:tcPr>
          <w:p w:rsidR="00446588" w:rsidRPr="00FC3688" w:rsidRDefault="00446588" w:rsidP="00FC3688">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FC3688">
              <w:rPr>
                <w:rFonts w:cs="Times New Roman"/>
              </w:rPr>
              <w:t>podniky a skupiny</w:t>
            </w:r>
          </w:p>
        </w:tc>
        <w:tc>
          <w:tcPr>
            <w:tcW w:w="2265" w:type="dxa"/>
          </w:tcPr>
          <w:p w:rsidR="00446588" w:rsidRPr="00C932E4" w:rsidRDefault="00446588" w:rsidP="00FC3688">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446588">
              <w:rPr>
                <w:rFonts w:cs="Times New Roman"/>
              </w:rPr>
              <w:t>European Fat Processors &amp; Renderers Association</w:t>
            </w:r>
          </w:p>
        </w:tc>
        <w:tc>
          <w:tcPr>
            <w:tcW w:w="2265" w:type="dxa"/>
          </w:tcPr>
          <w:p w:rsidR="00446588" w:rsidRDefault="00446588" w:rsidP="00FC3688">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Organizace</w:t>
            </w:r>
          </w:p>
        </w:tc>
      </w:tr>
    </w:tbl>
    <w:p w:rsidR="00FC3688" w:rsidRPr="00FC3688" w:rsidRDefault="00FC3688" w:rsidP="00FC3688">
      <w:pPr>
        <w:ind w:firstLine="0"/>
        <w:rPr>
          <w:rFonts w:cs="Times New Roman"/>
        </w:rPr>
      </w:pPr>
    </w:p>
    <w:p w:rsidR="00382526" w:rsidRDefault="00382526" w:rsidP="00C932E4">
      <w:pPr>
        <w:ind w:firstLine="0"/>
        <w:rPr>
          <w:rFonts w:cs="Times New Roman"/>
        </w:rPr>
      </w:pPr>
    </w:p>
    <w:p w:rsidR="00382526" w:rsidRDefault="00382526" w:rsidP="00C932E4">
      <w:pPr>
        <w:ind w:firstLine="0"/>
        <w:rPr>
          <w:rFonts w:cs="Times New Roman"/>
        </w:rPr>
      </w:pPr>
    </w:p>
    <w:p w:rsidR="00382526" w:rsidRDefault="00382526" w:rsidP="00C932E4">
      <w:pPr>
        <w:ind w:firstLine="0"/>
        <w:rPr>
          <w:rFonts w:cs="Times New Roman"/>
        </w:rPr>
      </w:pPr>
    </w:p>
    <w:p w:rsidR="005942B9" w:rsidRDefault="005942B9" w:rsidP="00C932E4">
      <w:pPr>
        <w:ind w:firstLine="0"/>
        <w:rPr>
          <w:rFonts w:cs="Times New Roman"/>
        </w:rPr>
      </w:pPr>
    </w:p>
    <w:p w:rsidR="00396D76" w:rsidRDefault="00C932E4" w:rsidP="00C932E4">
      <w:pPr>
        <w:ind w:firstLine="0"/>
        <w:rPr>
          <w:rFonts w:cs="Times New Roman"/>
        </w:rPr>
      </w:pPr>
      <w:r>
        <w:rPr>
          <w:rFonts w:cs="Times New Roman"/>
        </w:rPr>
        <w:t>Tabulka č.6</w:t>
      </w:r>
    </w:p>
    <w:tbl>
      <w:tblPr>
        <w:tblStyle w:val="GridTable4-Accent2"/>
        <w:tblW w:w="9096" w:type="dxa"/>
        <w:tblLook w:val="04A0" w:firstRow="1" w:lastRow="0" w:firstColumn="1" w:lastColumn="0" w:noHBand="0" w:noVBand="1"/>
      </w:tblPr>
      <w:tblGrid>
        <w:gridCol w:w="3218"/>
        <w:gridCol w:w="1669"/>
        <w:gridCol w:w="2074"/>
        <w:gridCol w:w="2135"/>
      </w:tblGrid>
      <w:tr w:rsidR="00C932E4" w:rsidTr="00BE7C8B">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3218" w:type="dxa"/>
          </w:tcPr>
          <w:p w:rsidR="00C932E4" w:rsidRDefault="00C932E4" w:rsidP="00C932E4">
            <w:pPr>
              <w:ind w:firstLine="0"/>
              <w:rPr>
                <w:rFonts w:cs="Times New Roman"/>
              </w:rPr>
            </w:pPr>
            <w:r>
              <w:rPr>
                <w:rFonts w:cs="Times New Roman"/>
              </w:rPr>
              <w:t>Oddíl</w:t>
            </w:r>
          </w:p>
        </w:tc>
        <w:tc>
          <w:tcPr>
            <w:tcW w:w="1978" w:type="dxa"/>
          </w:tcPr>
          <w:p w:rsidR="00C932E4" w:rsidRDefault="00C932E4" w:rsidP="00C932E4">
            <w:pPr>
              <w:ind w:firstLine="0"/>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Pododdíl</w:t>
            </w:r>
          </w:p>
        </w:tc>
        <w:tc>
          <w:tcPr>
            <w:tcW w:w="2097" w:type="dxa"/>
          </w:tcPr>
          <w:p w:rsidR="00C932E4" w:rsidRDefault="00C932E4" w:rsidP="00C932E4">
            <w:pPr>
              <w:ind w:firstLine="0"/>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Název organizace</w:t>
            </w:r>
          </w:p>
        </w:tc>
        <w:tc>
          <w:tcPr>
            <w:tcW w:w="1803" w:type="dxa"/>
          </w:tcPr>
          <w:p w:rsidR="00C932E4" w:rsidRDefault="00C932E4" w:rsidP="00C932E4">
            <w:pPr>
              <w:ind w:firstLine="0"/>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Právní forma</w:t>
            </w:r>
          </w:p>
        </w:tc>
      </w:tr>
      <w:tr w:rsidR="00C932E4" w:rsidTr="00BE7C8B">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218" w:type="dxa"/>
          </w:tcPr>
          <w:p w:rsidR="00C932E4" w:rsidRDefault="00382526" w:rsidP="00C932E4">
            <w:pPr>
              <w:ind w:firstLine="0"/>
              <w:rPr>
                <w:rFonts w:cs="Times New Roman"/>
              </w:rPr>
            </w:pPr>
            <w:r w:rsidRPr="00382526">
              <w:rPr>
                <w:rFonts w:cs="Times New Roman"/>
              </w:rPr>
              <w:t xml:space="preserve">VI - </w:t>
            </w:r>
            <w:r>
              <w:rPr>
                <w:rFonts w:cs="Times New Roman"/>
              </w:rPr>
              <w:t>o</w:t>
            </w:r>
            <w:r w:rsidRPr="00382526">
              <w:rPr>
                <w:rFonts w:cs="Times New Roman"/>
              </w:rPr>
              <w:t>rganizace zastupující místní, regionální a obecní orgány, jiné veřejné či smíšené subjekty atd.</w:t>
            </w:r>
          </w:p>
        </w:tc>
        <w:tc>
          <w:tcPr>
            <w:tcW w:w="1978" w:type="dxa"/>
          </w:tcPr>
          <w:p w:rsidR="00C932E4" w:rsidRDefault="00BE7C8B" w:rsidP="00C932E4">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BE7C8B">
              <w:rPr>
                <w:rFonts w:cs="Times New Roman"/>
              </w:rPr>
              <w:t>jiné veřejné orgány na nižší než celostátní úrovni</w:t>
            </w:r>
          </w:p>
        </w:tc>
        <w:tc>
          <w:tcPr>
            <w:tcW w:w="2097" w:type="dxa"/>
          </w:tcPr>
          <w:p w:rsidR="00C932E4" w:rsidRDefault="00BE7C8B" w:rsidP="00C932E4">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BE7C8B">
              <w:rPr>
                <w:rFonts w:cs="Times New Roman"/>
              </w:rPr>
              <w:t>Vereniging van Vlaamse Steden en Gemeenten</w:t>
            </w:r>
            <w:r w:rsidR="00723E7D">
              <w:rPr>
                <w:rFonts w:cs="Times New Roman"/>
              </w:rPr>
              <w:t xml:space="preserve"> (VVSG)</w:t>
            </w:r>
          </w:p>
        </w:tc>
        <w:tc>
          <w:tcPr>
            <w:tcW w:w="1803" w:type="dxa"/>
          </w:tcPr>
          <w:p w:rsidR="00C932E4" w:rsidRDefault="0004353D" w:rsidP="00C932E4">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ASBL</w:t>
            </w:r>
          </w:p>
        </w:tc>
      </w:tr>
      <w:tr w:rsidR="00C932E4" w:rsidTr="00BE7C8B">
        <w:trPr>
          <w:trHeight w:val="418"/>
        </w:trPr>
        <w:tc>
          <w:tcPr>
            <w:cnfStyle w:val="001000000000" w:firstRow="0" w:lastRow="0" w:firstColumn="1" w:lastColumn="0" w:oddVBand="0" w:evenVBand="0" w:oddHBand="0" w:evenHBand="0" w:firstRowFirstColumn="0" w:firstRowLastColumn="0" w:lastRowFirstColumn="0" w:lastRowLastColumn="0"/>
            <w:tcW w:w="3218" w:type="dxa"/>
          </w:tcPr>
          <w:p w:rsidR="00C932E4" w:rsidRDefault="00382526" w:rsidP="00C932E4">
            <w:pPr>
              <w:ind w:firstLine="0"/>
              <w:rPr>
                <w:rFonts w:cs="Times New Roman"/>
              </w:rPr>
            </w:pPr>
            <w:r w:rsidRPr="00382526">
              <w:rPr>
                <w:rFonts w:cs="Times New Roman"/>
              </w:rPr>
              <w:t xml:space="preserve">VI - </w:t>
            </w:r>
            <w:r>
              <w:rPr>
                <w:rFonts w:cs="Times New Roman"/>
              </w:rPr>
              <w:t>o</w:t>
            </w:r>
            <w:r w:rsidRPr="00382526">
              <w:rPr>
                <w:rFonts w:cs="Times New Roman"/>
              </w:rPr>
              <w:t>rganizace zastupující místní, regionální a obecní orgány, jiné veřejné či smíšené subjekty atd.</w:t>
            </w:r>
          </w:p>
        </w:tc>
        <w:tc>
          <w:tcPr>
            <w:tcW w:w="1978" w:type="dxa"/>
          </w:tcPr>
          <w:p w:rsidR="00C932E4" w:rsidRDefault="00BE7C8B" w:rsidP="00C932E4">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BE7C8B">
              <w:rPr>
                <w:rFonts w:cs="Times New Roman"/>
              </w:rPr>
              <w:t>nadnárodní sdružení a sítě veřejných regionálních orgánů a jiných orgánů na nižší než celostátní úrovni</w:t>
            </w:r>
          </w:p>
        </w:tc>
        <w:tc>
          <w:tcPr>
            <w:tcW w:w="2097" w:type="dxa"/>
          </w:tcPr>
          <w:p w:rsidR="00C932E4" w:rsidRDefault="00BE7C8B" w:rsidP="00C932E4">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BE7C8B">
              <w:rPr>
                <w:rFonts w:cs="Times New Roman"/>
              </w:rPr>
              <w:t>Mission Opérationnelle Transfrontalière</w:t>
            </w:r>
          </w:p>
        </w:tc>
        <w:tc>
          <w:tcPr>
            <w:tcW w:w="1803" w:type="dxa"/>
          </w:tcPr>
          <w:p w:rsidR="00C932E4" w:rsidRDefault="0004353D" w:rsidP="00C932E4">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Asociace</w:t>
            </w:r>
          </w:p>
        </w:tc>
      </w:tr>
      <w:tr w:rsidR="00C932E4" w:rsidTr="00BE7C8B">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218" w:type="dxa"/>
          </w:tcPr>
          <w:p w:rsidR="00C932E4" w:rsidRDefault="00382526" w:rsidP="00C932E4">
            <w:pPr>
              <w:ind w:firstLine="0"/>
              <w:rPr>
                <w:rFonts w:cs="Times New Roman"/>
              </w:rPr>
            </w:pPr>
            <w:r w:rsidRPr="00382526">
              <w:rPr>
                <w:rFonts w:cs="Times New Roman"/>
              </w:rPr>
              <w:t>I -</w:t>
            </w:r>
            <w:r>
              <w:rPr>
                <w:rFonts w:cs="Times New Roman"/>
              </w:rPr>
              <w:t xml:space="preserve"> o</w:t>
            </w:r>
            <w:r w:rsidRPr="00382526">
              <w:rPr>
                <w:rFonts w:cs="Times New Roman"/>
              </w:rPr>
              <w:t>dborné poradenské</w:t>
            </w:r>
            <w:r>
              <w:rPr>
                <w:rFonts w:cs="Times New Roman"/>
              </w:rPr>
              <w:t xml:space="preserve"> </w:t>
            </w:r>
            <w:r w:rsidRPr="00382526">
              <w:rPr>
                <w:rFonts w:cs="Times New Roman"/>
              </w:rPr>
              <w:t>společnosti/právnické firmy/samostatně výdělečně</w:t>
            </w:r>
            <w:r>
              <w:rPr>
                <w:rFonts w:cs="Times New Roman"/>
              </w:rPr>
              <w:t xml:space="preserve"> </w:t>
            </w:r>
            <w:r w:rsidRPr="00382526">
              <w:rPr>
                <w:rFonts w:cs="Times New Roman"/>
              </w:rPr>
              <w:t>činní poradci</w:t>
            </w:r>
          </w:p>
        </w:tc>
        <w:tc>
          <w:tcPr>
            <w:tcW w:w="1978" w:type="dxa"/>
          </w:tcPr>
          <w:p w:rsidR="00C932E4" w:rsidRDefault="00BE7C8B" w:rsidP="00C932E4">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BE7C8B">
              <w:rPr>
                <w:rFonts w:cs="Times New Roman"/>
              </w:rPr>
              <w:t>odborné poradenské společnosti</w:t>
            </w:r>
          </w:p>
        </w:tc>
        <w:tc>
          <w:tcPr>
            <w:tcW w:w="2097" w:type="dxa"/>
          </w:tcPr>
          <w:p w:rsidR="00C932E4" w:rsidRDefault="00BE7C8B" w:rsidP="00C932E4">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BE7C8B">
              <w:rPr>
                <w:rFonts w:cs="Times New Roman"/>
              </w:rPr>
              <w:t>European Cosmetics Responsible Person Association</w:t>
            </w:r>
            <w:r w:rsidR="00723E7D">
              <w:rPr>
                <w:rFonts w:cs="Times New Roman"/>
              </w:rPr>
              <w:t xml:space="preserve"> (ERPA)</w:t>
            </w:r>
          </w:p>
        </w:tc>
        <w:tc>
          <w:tcPr>
            <w:tcW w:w="1803" w:type="dxa"/>
          </w:tcPr>
          <w:p w:rsidR="00C932E4" w:rsidRDefault="0004353D" w:rsidP="00C932E4">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EEIG</w:t>
            </w:r>
          </w:p>
        </w:tc>
      </w:tr>
      <w:tr w:rsidR="00382526" w:rsidTr="00BE7C8B">
        <w:trPr>
          <w:trHeight w:val="428"/>
        </w:trPr>
        <w:tc>
          <w:tcPr>
            <w:cnfStyle w:val="001000000000" w:firstRow="0" w:lastRow="0" w:firstColumn="1" w:lastColumn="0" w:oddVBand="0" w:evenVBand="0" w:oddHBand="0" w:evenHBand="0" w:firstRowFirstColumn="0" w:firstRowLastColumn="0" w:lastRowFirstColumn="0" w:lastRowLastColumn="0"/>
            <w:tcW w:w="3218" w:type="dxa"/>
          </w:tcPr>
          <w:p w:rsidR="00382526" w:rsidRDefault="00382526" w:rsidP="00C932E4">
            <w:pPr>
              <w:ind w:firstLine="0"/>
              <w:rPr>
                <w:rFonts w:cs="Times New Roman"/>
              </w:rPr>
            </w:pPr>
            <w:r w:rsidRPr="00382526">
              <w:rPr>
                <w:rFonts w:cs="Times New Roman"/>
              </w:rPr>
              <w:t>II - interní lobbisté a obchodní/podniková/profesní sdružení</w:t>
            </w:r>
          </w:p>
        </w:tc>
        <w:tc>
          <w:tcPr>
            <w:tcW w:w="1978" w:type="dxa"/>
          </w:tcPr>
          <w:p w:rsidR="00382526" w:rsidRDefault="00BE7C8B" w:rsidP="00C932E4">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BE7C8B">
              <w:rPr>
                <w:rFonts w:cs="Times New Roman"/>
              </w:rPr>
              <w:t>obchodní a podniková sdružení</w:t>
            </w:r>
          </w:p>
        </w:tc>
        <w:tc>
          <w:tcPr>
            <w:tcW w:w="2097" w:type="dxa"/>
          </w:tcPr>
          <w:p w:rsidR="00382526" w:rsidRDefault="0004353D" w:rsidP="00C932E4">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04353D">
              <w:rPr>
                <w:rFonts w:cs="Times New Roman"/>
              </w:rPr>
              <w:t>European Special Glass Association</w:t>
            </w:r>
            <w:r w:rsidR="00671FFC">
              <w:rPr>
                <w:rFonts w:cs="Times New Roman"/>
              </w:rPr>
              <w:t xml:space="preserve"> (ESGA)</w:t>
            </w:r>
          </w:p>
        </w:tc>
        <w:tc>
          <w:tcPr>
            <w:tcW w:w="1803" w:type="dxa"/>
          </w:tcPr>
          <w:p w:rsidR="00382526" w:rsidRDefault="0004353D" w:rsidP="00C932E4">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AISBL</w:t>
            </w:r>
          </w:p>
        </w:tc>
      </w:tr>
      <w:tr w:rsidR="00C932E4" w:rsidTr="00BE7C8B">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3218" w:type="dxa"/>
          </w:tcPr>
          <w:p w:rsidR="00C932E4" w:rsidRDefault="00382526" w:rsidP="00C932E4">
            <w:pPr>
              <w:ind w:firstLine="0"/>
              <w:rPr>
                <w:rFonts w:cs="Times New Roman"/>
              </w:rPr>
            </w:pPr>
            <w:r w:rsidRPr="00382526">
              <w:rPr>
                <w:rFonts w:cs="Times New Roman"/>
              </w:rPr>
              <w:t>II - interní lobbisté a obchodní/podniková/profesní sdružení</w:t>
            </w:r>
          </w:p>
        </w:tc>
        <w:tc>
          <w:tcPr>
            <w:tcW w:w="1978" w:type="dxa"/>
          </w:tcPr>
          <w:p w:rsidR="00C932E4" w:rsidRDefault="00BE7C8B" w:rsidP="00C932E4">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BE7C8B">
              <w:rPr>
                <w:rFonts w:cs="Times New Roman"/>
              </w:rPr>
              <w:t>obchodní a podniková sdružení</w:t>
            </w:r>
          </w:p>
        </w:tc>
        <w:tc>
          <w:tcPr>
            <w:tcW w:w="2097" w:type="dxa"/>
          </w:tcPr>
          <w:p w:rsidR="00C932E4" w:rsidRDefault="0004353D" w:rsidP="00C932E4">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04353D">
              <w:rPr>
                <w:rFonts w:cs="Times New Roman"/>
              </w:rPr>
              <w:t>FEDIL - The Voice of Luxembourg's Industry</w:t>
            </w:r>
          </w:p>
        </w:tc>
        <w:tc>
          <w:tcPr>
            <w:tcW w:w="1803" w:type="dxa"/>
          </w:tcPr>
          <w:p w:rsidR="00C932E4" w:rsidRDefault="0004353D" w:rsidP="00C932E4">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ASBL</w:t>
            </w:r>
          </w:p>
        </w:tc>
      </w:tr>
      <w:tr w:rsidR="00C932E4" w:rsidTr="00BE7C8B">
        <w:trPr>
          <w:trHeight w:val="418"/>
        </w:trPr>
        <w:tc>
          <w:tcPr>
            <w:cnfStyle w:val="001000000000" w:firstRow="0" w:lastRow="0" w:firstColumn="1" w:lastColumn="0" w:oddVBand="0" w:evenVBand="0" w:oddHBand="0" w:evenHBand="0" w:firstRowFirstColumn="0" w:firstRowLastColumn="0" w:lastRowFirstColumn="0" w:lastRowLastColumn="0"/>
            <w:tcW w:w="3218" w:type="dxa"/>
          </w:tcPr>
          <w:p w:rsidR="00C932E4" w:rsidRDefault="00382526" w:rsidP="00C932E4">
            <w:pPr>
              <w:ind w:firstLine="0"/>
              <w:rPr>
                <w:rFonts w:cs="Times New Roman"/>
              </w:rPr>
            </w:pPr>
            <w:r w:rsidRPr="00382526">
              <w:rPr>
                <w:rFonts w:cs="Times New Roman"/>
              </w:rPr>
              <w:t>II - interní lobbisté a obchodní/podniková/profesní sdružení</w:t>
            </w:r>
          </w:p>
        </w:tc>
        <w:tc>
          <w:tcPr>
            <w:tcW w:w="1978" w:type="dxa"/>
          </w:tcPr>
          <w:p w:rsidR="00C932E4" w:rsidRDefault="00BE7C8B" w:rsidP="00C932E4">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BE7C8B">
              <w:rPr>
                <w:rFonts w:cs="Times New Roman"/>
              </w:rPr>
              <w:t>obchodní a podniková sdružení</w:t>
            </w:r>
          </w:p>
        </w:tc>
        <w:tc>
          <w:tcPr>
            <w:tcW w:w="2097" w:type="dxa"/>
          </w:tcPr>
          <w:p w:rsidR="00C932E4" w:rsidRDefault="003974FA" w:rsidP="00C932E4">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3974FA">
              <w:rPr>
                <w:rFonts w:cs="Times New Roman"/>
              </w:rPr>
              <w:t>GlassFibreEurope</w:t>
            </w:r>
          </w:p>
        </w:tc>
        <w:tc>
          <w:tcPr>
            <w:tcW w:w="1803" w:type="dxa"/>
          </w:tcPr>
          <w:p w:rsidR="00C932E4" w:rsidRDefault="0004353D" w:rsidP="00C932E4">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AISBL</w:t>
            </w:r>
          </w:p>
        </w:tc>
      </w:tr>
      <w:tr w:rsidR="00C932E4" w:rsidTr="00BE7C8B">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218" w:type="dxa"/>
          </w:tcPr>
          <w:p w:rsidR="00C932E4" w:rsidRDefault="00382526" w:rsidP="00C932E4">
            <w:pPr>
              <w:ind w:firstLine="0"/>
              <w:rPr>
                <w:rFonts w:cs="Times New Roman"/>
              </w:rPr>
            </w:pPr>
            <w:r w:rsidRPr="00382526">
              <w:rPr>
                <w:rFonts w:cs="Times New Roman"/>
              </w:rPr>
              <w:t>II - interní lobbisté a obchodní/podniková/profesní sdružení</w:t>
            </w:r>
          </w:p>
        </w:tc>
        <w:tc>
          <w:tcPr>
            <w:tcW w:w="1978" w:type="dxa"/>
          </w:tcPr>
          <w:p w:rsidR="00C932E4" w:rsidRDefault="00BE7C8B" w:rsidP="00C932E4">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BE7C8B">
              <w:rPr>
                <w:rFonts w:cs="Times New Roman"/>
              </w:rPr>
              <w:t>obchodní a podniková sdružení</w:t>
            </w:r>
          </w:p>
        </w:tc>
        <w:tc>
          <w:tcPr>
            <w:tcW w:w="2097" w:type="dxa"/>
          </w:tcPr>
          <w:p w:rsidR="00C932E4" w:rsidRDefault="0004353D" w:rsidP="00C932E4">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04353D">
              <w:rPr>
                <w:rFonts w:cs="Times New Roman"/>
              </w:rPr>
              <w:t>European Organisation of the Sawmill industry</w:t>
            </w:r>
          </w:p>
        </w:tc>
        <w:tc>
          <w:tcPr>
            <w:tcW w:w="1803" w:type="dxa"/>
          </w:tcPr>
          <w:p w:rsidR="00C932E4" w:rsidRDefault="0004353D" w:rsidP="00C932E4">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AISBL</w:t>
            </w:r>
          </w:p>
        </w:tc>
      </w:tr>
      <w:tr w:rsidR="00C932E4" w:rsidTr="00BE7C8B">
        <w:trPr>
          <w:trHeight w:val="418"/>
        </w:trPr>
        <w:tc>
          <w:tcPr>
            <w:cnfStyle w:val="001000000000" w:firstRow="0" w:lastRow="0" w:firstColumn="1" w:lastColumn="0" w:oddVBand="0" w:evenVBand="0" w:oddHBand="0" w:evenHBand="0" w:firstRowFirstColumn="0" w:firstRowLastColumn="0" w:lastRowFirstColumn="0" w:lastRowLastColumn="0"/>
            <w:tcW w:w="3218" w:type="dxa"/>
          </w:tcPr>
          <w:p w:rsidR="00C932E4" w:rsidRDefault="00382526" w:rsidP="00C932E4">
            <w:pPr>
              <w:ind w:firstLine="0"/>
              <w:rPr>
                <w:rFonts w:cs="Times New Roman"/>
              </w:rPr>
            </w:pPr>
            <w:r w:rsidRPr="00382526">
              <w:rPr>
                <w:rFonts w:cs="Times New Roman"/>
              </w:rPr>
              <w:lastRenderedPageBreak/>
              <w:t>II - interní lobbisté a obchodní/podniková/profesní sdružení</w:t>
            </w:r>
          </w:p>
        </w:tc>
        <w:tc>
          <w:tcPr>
            <w:tcW w:w="1978" w:type="dxa"/>
          </w:tcPr>
          <w:p w:rsidR="00C932E4" w:rsidRDefault="00BE7C8B" w:rsidP="00C932E4">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BE7C8B">
              <w:rPr>
                <w:rFonts w:cs="Times New Roman"/>
              </w:rPr>
              <w:t>obchodní a podniková sdružení</w:t>
            </w:r>
          </w:p>
        </w:tc>
        <w:tc>
          <w:tcPr>
            <w:tcW w:w="2097" w:type="dxa"/>
          </w:tcPr>
          <w:p w:rsidR="00C932E4" w:rsidRDefault="003974FA" w:rsidP="00C932E4">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04353D">
              <w:rPr>
                <w:rFonts w:cs="Times New Roman"/>
              </w:rPr>
              <w:t>European Domestic Glass</w:t>
            </w:r>
          </w:p>
        </w:tc>
        <w:tc>
          <w:tcPr>
            <w:tcW w:w="1803" w:type="dxa"/>
          </w:tcPr>
          <w:p w:rsidR="00C932E4" w:rsidRDefault="003974FA" w:rsidP="00C932E4">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AISBL</w:t>
            </w:r>
          </w:p>
        </w:tc>
      </w:tr>
      <w:tr w:rsidR="00C932E4" w:rsidTr="00BE7C8B">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3218" w:type="dxa"/>
          </w:tcPr>
          <w:p w:rsidR="00C932E4" w:rsidRDefault="00382526" w:rsidP="00C932E4">
            <w:pPr>
              <w:ind w:firstLine="0"/>
              <w:rPr>
                <w:rFonts w:cs="Times New Roman"/>
              </w:rPr>
            </w:pPr>
            <w:r w:rsidRPr="00382526">
              <w:rPr>
                <w:rFonts w:cs="Times New Roman"/>
              </w:rPr>
              <w:t>II - interní lobbisté a obchodní/podniková/profesní sdružení</w:t>
            </w:r>
          </w:p>
        </w:tc>
        <w:tc>
          <w:tcPr>
            <w:tcW w:w="1978" w:type="dxa"/>
          </w:tcPr>
          <w:p w:rsidR="00C932E4" w:rsidRDefault="00BE7C8B" w:rsidP="00C932E4">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BE7C8B">
              <w:rPr>
                <w:rFonts w:cs="Times New Roman"/>
              </w:rPr>
              <w:t>obchodní a podniková sdružení</w:t>
            </w:r>
          </w:p>
        </w:tc>
        <w:tc>
          <w:tcPr>
            <w:tcW w:w="2097" w:type="dxa"/>
          </w:tcPr>
          <w:p w:rsidR="00C932E4" w:rsidRDefault="003974FA" w:rsidP="00C932E4">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3974FA">
              <w:rPr>
                <w:rFonts w:cs="Times New Roman"/>
              </w:rPr>
              <w:t>European Federation of Catering Equipment Manufacturers</w:t>
            </w:r>
            <w:r w:rsidR="00723E7D">
              <w:rPr>
                <w:rFonts w:cs="Times New Roman"/>
              </w:rPr>
              <w:t xml:space="preserve"> (EFCEM)</w:t>
            </w:r>
          </w:p>
        </w:tc>
        <w:tc>
          <w:tcPr>
            <w:tcW w:w="1803" w:type="dxa"/>
          </w:tcPr>
          <w:p w:rsidR="00C932E4" w:rsidRDefault="003974FA" w:rsidP="00C932E4">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AISBL</w:t>
            </w:r>
          </w:p>
        </w:tc>
      </w:tr>
      <w:tr w:rsidR="00C932E4" w:rsidTr="00BE7C8B">
        <w:trPr>
          <w:trHeight w:val="418"/>
        </w:trPr>
        <w:tc>
          <w:tcPr>
            <w:cnfStyle w:val="001000000000" w:firstRow="0" w:lastRow="0" w:firstColumn="1" w:lastColumn="0" w:oddVBand="0" w:evenVBand="0" w:oddHBand="0" w:evenHBand="0" w:firstRowFirstColumn="0" w:firstRowLastColumn="0" w:lastRowFirstColumn="0" w:lastRowLastColumn="0"/>
            <w:tcW w:w="3218" w:type="dxa"/>
          </w:tcPr>
          <w:p w:rsidR="00C932E4" w:rsidRDefault="00382526" w:rsidP="00C932E4">
            <w:pPr>
              <w:ind w:firstLine="0"/>
              <w:rPr>
                <w:rFonts w:cs="Times New Roman"/>
              </w:rPr>
            </w:pPr>
            <w:r w:rsidRPr="00382526">
              <w:rPr>
                <w:rFonts w:cs="Times New Roman"/>
              </w:rPr>
              <w:t>II - interní lobbisté a obchodní/podniková/profesní sdružení</w:t>
            </w:r>
          </w:p>
        </w:tc>
        <w:tc>
          <w:tcPr>
            <w:tcW w:w="1978" w:type="dxa"/>
          </w:tcPr>
          <w:p w:rsidR="00C932E4" w:rsidRDefault="00BE7C8B" w:rsidP="00C932E4">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BE7C8B">
              <w:rPr>
                <w:rFonts w:cs="Times New Roman"/>
              </w:rPr>
              <w:t>obchodní a podniková sdružení</w:t>
            </w:r>
          </w:p>
        </w:tc>
        <w:tc>
          <w:tcPr>
            <w:tcW w:w="2097" w:type="dxa"/>
          </w:tcPr>
          <w:p w:rsidR="00C932E4" w:rsidRDefault="003974FA" w:rsidP="00C932E4">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3974FA">
              <w:rPr>
                <w:rFonts w:cs="Times New Roman"/>
              </w:rPr>
              <w:t>European Liaison Committee for Agriculture and agri-food trade</w:t>
            </w:r>
            <w:r w:rsidR="00723E7D">
              <w:rPr>
                <w:rFonts w:cs="Times New Roman"/>
              </w:rPr>
              <w:t xml:space="preserve"> (celcaa)</w:t>
            </w:r>
          </w:p>
        </w:tc>
        <w:tc>
          <w:tcPr>
            <w:tcW w:w="1803" w:type="dxa"/>
          </w:tcPr>
          <w:p w:rsidR="00C932E4" w:rsidRDefault="003974FA" w:rsidP="00C932E4">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AISBL</w:t>
            </w:r>
          </w:p>
        </w:tc>
      </w:tr>
      <w:tr w:rsidR="00C932E4" w:rsidTr="00BE7C8B">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3218" w:type="dxa"/>
          </w:tcPr>
          <w:p w:rsidR="00C932E4" w:rsidRDefault="00382526" w:rsidP="00C932E4">
            <w:pPr>
              <w:ind w:firstLine="0"/>
              <w:rPr>
                <w:rFonts w:cs="Times New Roman"/>
              </w:rPr>
            </w:pPr>
            <w:r w:rsidRPr="00382526">
              <w:rPr>
                <w:rFonts w:cs="Times New Roman"/>
              </w:rPr>
              <w:t>II - interní lobbisté a obchodní/podniková/profesní sdružení</w:t>
            </w:r>
          </w:p>
        </w:tc>
        <w:tc>
          <w:tcPr>
            <w:tcW w:w="1978" w:type="dxa"/>
          </w:tcPr>
          <w:p w:rsidR="00C932E4" w:rsidRDefault="00BE7C8B" w:rsidP="00C932E4">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BE7C8B">
              <w:rPr>
                <w:rFonts w:cs="Times New Roman"/>
              </w:rPr>
              <w:t>obchodní a podniková sdružení</w:t>
            </w:r>
          </w:p>
        </w:tc>
        <w:tc>
          <w:tcPr>
            <w:tcW w:w="2097" w:type="dxa"/>
          </w:tcPr>
          <w:p w:rsidR="00C932E4" w:rsidRDefault="003974FA" w:rsidP="00C932E4">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3974FA">
              <w:rPr>
                <w:rFonts w:cs="Times New Roman"/>
              </w:rPr>
              <w:t>The Federation of European manufacturers of Cookware and cutlery</w:t>
            </w:r>
            <w:r w:rsidR="00723E7D">
              <w:rPr>
                <w:rFonts w:cs="Times New Roman"/>
              </w:rPr>
              <w:t xml:space="preserve"> (FEC)</w:t>
            </w:r>
          </w:p>
        </w:tc>
        <w:tc>
          <w:tcPr>
            <w:tcW w:w="1803" w:type="dxa"/>
          </w:tcPr>
          <w:p w:rsidR="00C932E4" w:rsidRDefault="003974FA" w:rsidP="00C932E4">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Asociace vytvořená pod francouzskou legislativou</w:t>
            </w:r>
          </w:p>
        </w:tc>
      </w:tr>
      <w:tr w:rsidR="00C932E4" w:rsidTr="00BE7C8B">
        <w:trPr>
          <w:trHeight w:val="418"/>
        </w:trPr>
        <w:tc>
          <w:tcPr>
            <w:cnfStyle w:val="001000000000" w:firstRow="0" w:lastRow="0" w:firstColumn="1" w:lastColumn="0" w:oddVBand="0" w:evenVBand="0" w:oddHBand="0" w:evenHBand="0" w:firstRowFirstColumn="0" w:firstRowLastColumn="0" w:lastRowFirstColumn="0" w:lastRowLastColumn="0"/>
            <w:tcW w:w="3218" w:type="dxa"/>
          </w:tcPr>
          <w:p w:rsidR="00C932E4" w:rsidRDefault="00382526" w:rsidP="00C932E4">
            <w:pPr>
              <w:ind w:firstLine="0"/>
              <w:rPr>
                <w:rFonts w:cs="Times New Roman"/>
              </w:rPr>
            </w:pPr>
            <w:r w:rsidRPr="00382526">
              <w:rPr>
                <w:rFonts w:cs="Times New Roman"/>
              </w:rPr>
              <w:t>II - interní lobbisté a obchodní/podniková/profesní sdružení</w:t>
            </w:r>
          </w:p>
        </w:tc>
        <w:tc>
          <w:tcPr>
            <w:tcW w:w="1978" w:type="dxa"/>
          </w:tcPr>
          <w:p w:rsidR="00C932E4" w:rsidRDefault="00BE7C8B" w:rsidP="00C932E4">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BE7C8B">
              <w:rPr>
                <w:rFonts w:cs="Times New Roman"/>
              </w:rPr>
              <w:t>obchodní a podniková sdružení</w:t>
            </w:r>
          </w:p>
        </w:tc>
        <w:tc>
          <w:tcPr>
            <w:tcW w:w="2097" w:type="dxa"/>
          </w:tcPr>
          <w:p w:rsidR="00C932E4" w:rsidRDefault="003974FA" w:rsidP="00C932E4">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3974FA">
              <w:rPr>
                <w:rFonts w:cs="Times New Roman"/>
              </w:rPr>
              <w:t>Metal Packaging Europe External Affairs</w:t>
            </w:r>
          </w:p>
        </w:tc>
        <w:tc>
          <w:tcPr>
            <w:tcW w:w="1803" w:type="dxa"/>
          </w:tcPr>
          <w:p w:rsidR="00C932E4" w:rsidRDefault="003974FA" w:rsidP="00C932E4">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ASBL</w:t>
            </w:r>
          </w:p>
        </w:tc>
      </w:tr>
      <w:tr w:rsidR="00382526" w:rsidTr="00BE7C8B">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3218" w:type="dxa"/>
          </w:tcPr>
          <w:p w:rsidR="00382526" w:rsidRDefault="00382526" w:rsidP="00C932E4">
            <w:pPr>
              <w:ind w:firstLine="0"/>
              <w:rPr>
                <w:rFonts w:cs="Times New Roman"/>
              </w:rPr>
            </w:pPr>
            <w:r w:rsidRPr="00382526">
              <w:rPr>
                <w:rFonts w:cs="Times New Roman"/>
              </w:rPr>
              <w:t>II - interní lobbisté a obchodní/podniková/profesní sdružení</w:t>
            </w:r>
          </w:p>
        </w:tc>
        <w:tc>
          <w:tcPr>
            <w:tcW w:w="1978" w:type="dxa"/>
          </w:tcPr>
          <w:p w:rsidR="00382526" w:rsidRDefault="00BE7C8B" w:rsidP="00C932E4">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BE7C8B">
              <w:rPr>
                <w:rFonts w:cs="Times New Roman"/>
              </w:rPr>
              <w:t>obchodní a podniková sdružení</w:t>
            </w:r>
          </w:p>
        </w:tc>
        <w:tc>
          <w:tcPr>
            <w:tcW w:w="2097" w:type="dxa"/>
          </w:tcPr>
          <w:p w:rsidR="00382526" w:rsidRDefault="003974FA" w:rsidP="00C932E4">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3974FA">
              <w:rPr>
                <w:rFonts w:cs="Times New Roman"/>
              </w:rPr>
              <w:t>Confédération Européenne des Associations de Petites et Moyennes Entreprises</w:t>
            </w:r>
            <w:r w:rsidR="00723E7D">
              <w:rPr>
                <w:rFonts w:cs="Times New Roman"/>
              </w:rPr>
              <w:t xml:space="preserve"> (CEA-PME)</w:t>
            </w:r>
          </w:p>
        </w:tc>
        <w:tc>
          <w:tcPr>
            <w:tcW w:w="1803" w:type="dxa"/>
          </w:tcPr>
          <w:p w:rsidR="00382526" w:rsidRDefault="003974FA" w:rsidP="00C932E4">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AISBL</w:t>
            </w:r>
          </w:p>
        </w:tc>
      </w:tr>
      <w:tr w:rsidR="00382526" w:rsidTr="00BE7C8B">
        <w:trPr>
          <w:trHeight w:val="418"/>
        </w:trPr>
        <w:tc>
          <w:tcPr>
            <w:cnfStyle w:val="001000000000" w:firstRow="0" w:lastRow="0" w:firstColumn="1" w:lastColumn="0" w:oddVBand="0" w:evenVBand="0" w:oddHBand="0" w:evenHBand="0" w:firstRowFirstColumn="0" w:firstRowLastColumn="0" w:lastRowFirstColumn="0" w:lastRowLastColumn="0"/>
            <w:tcW w:w="3218" w:type="dxa"/>
          </w:tcPr>
          <w:p w:rsidR="00382526" w:rsidRDefault="00382526" w:rsidP="00C932E4">
            <w:pPr>
              <w:ind w:firstLine="0"/>
              <w:rPr>
                <w:rFonts w:cs="Times New Roman"/>
              </w:rPr>
            </w:pPr>
            <w:r w:rsidRPr="00382526">
              <w:rPr>
                <w:rFonts w:cs="Times New Roman"/>
              </w:rPr>
              <w:t>II - interní lobbisté a obchodní/podniková/profesní sdružení</w:t>
            </w:r>
          </w:p>
        </w:tc>
        <w:tc>
          <w:tcPr>
            <w:tcW w:w="1978" w:type="dxa"/>
          </w:tcPr>
          <w:p w:rsidR="00382526" w:rsidRDefault="00BE7C8B" w:rsidP="00C932E4">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BE7C8B">
              <w:rPr>
                <w:rFonts w:cs="Times New Roman"/>
              </w:rPr>
              <w:t>obchodní a podniková sdružení</w:t>
            </w:r>
          </w:p>
        </w:tc>
        <w:tc>
          <w:tcPr>
            <w:tcW w:w="2097" w:type="dxa"/>
          </w:tcPr>
          <w:p w:rsidR="00382526" w:rsidRDefault="003974FA" w:rsidP="00C932E4">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3974FA">
              <w:rPr>
                <w:rFonts w:cs="Times New Roman"/>
              </w:rPr>
              <w:t>European Confederation of Woodworking Industries</w:t>
            </w:r>
          </w:p>
        </w:tc>
        <w:tc>
          <w:tcPr>
            <w:tcW w:w="1803" w:type="dxa"/>
          </w:tcPr>
          <w:p w:rsidR="00382526" w:rsidRDefault="003974FA" w:rsidP="00C932E4">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AISBL</w:t>
            </w:r>
          </w:p>
        </w:tc>
      </w:tr>
      <w:tr w:rsidR="00382526" w:rsidTr="00BE7C8B">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3218" w:type="dxa"/>
          </w:tcPr>
          <w:p w:rsidR="00382526" w:rsidRDefault="00382526" w:rsidP="00C932E4">
            <w:pPr>
              <w:ind w:firstLine="0"/>
              <w:rPr>
                <w:rFonts w:cs="Times New Roman"/>
              </w:rPr>
            </w:pPr>
            <w:r w:rsidRPr="00382526">
              <w:rPr>
                <w:rFonts w:cs="Times New Roman"/>
              </w:rPr>
              <w:lastRenderedPageBreak/>
              <w:t>II - interní lobbisté a obchodní/podniková/profesní sdružení</w:t>
            </w:r>
          </w:p>
        </w:tc>
        <w:tc>
          <w:tcPr>
            <w:tcW w:w="1978" w:type="dxa"/>
          </w:tcPr>
          <w:p w:rsidR="00382526" w:rsidRDefault="00BE7C8B" w:rsidP="00C932E4">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BE7C8B">
              <w:rPr>
                <w:rFonts w:cs="Times New Roman"/>
              </w:rPr>
              <w:t>obchodní a podniková sdružení</w:t>
            </w:r>
          </w:p>
        </w:tc>
        <w:tc>
          <w:tcPr>
            <w:tcW w:w="2097" w:type="dxa"/>
          </w:tcPr>
          <w:p w:rsidR="00382526" w:rsidRDefault="003974FA" w:rsidP="00C932E4">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3974FA">
              <w:rPr>
                <w:rFonts w:cs="Times New Roman"/>
              </w:rPr>
              <w:t>Bund für Lebensmittelrecht und Lebensmittelkunde e.V. de e.V.</w:t>
            </w:r>
            <w:r w:rsidR="00723E7D">
              <w:rPr>
                <w:rFonts w:cs="Times New Roman"/>
              </w:rPr>
              <w:t xml:space="preserve"> (BLL)</w:t>
            </w:r>
          </w:p>
        </w:tc>
        <w:tc>
          <w:tcPr>
            <w:tcW w:w="1803" w:type="dxa"/>
          </w:tcPr>
          <w:p w:rsidR="00382526" w:rsidRDefault="003974FA" w:rsidP="00C932E4">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Sdružení</w:t>
            </w:r>
          </w:p>
        </w:tc>
      </w:tr>
      <w:tr w:rsidR="00382526" w:rsidTr="00BE7C8B">
        <w:trPr>
          <w:trHeight w:val="418"/>
        </w:trPr>
        <w:tc>
          <w:tcPr>
            <w:cnfStyle w:val="001000000000" w:firstRow="0" w:lastRow="0" w:firstColumn="1" w:lastColumn="0" w:oddVBand="0" w:evenVBand="0" w:oddHBand="0" w:evenHBand="0" w:firstRowFirstColumn="0" w:firstRowLastColumn="0" w:lastRowFirstColumn="0" w:lastRowLastColumn="0"/>
            <w:tcW w:w="3218" w:type="dxa"/>
          </w:tcPr>
          <w:p w:rsidR="00382526" w:rsidRDefault="00382526" w:rsidP="00C932E4">
            <w:pPr>
              <w:ind w:firstLine="0"/>
              <w:rPr>
                <w:rFonts w:cs="Times New Roman"/>
              </w:rPr>
            </w:pPr>
            <w:r w:rsidRPr="00382526">
              <w:rPr>
                <w:rFonts w:cs="Times New Roman"/>
              </w:rPr>
              <w:t>II - interní lobbisté a obchodní/podniková/profesní sdružení</w:t>
            </w:r>
          </w:p>
        </w:tc>
        <w:tc>
          <w:tcPr>
            <w:tcW w:w="1978" w:type="dxa"/>
          </w:tcPr>
          <w:p w:rsidR="00382526" w:rsidRDefault="00BE7C8B" w:rsidP="00C932E4">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BE7C8B">
              <w:rPr>
                <w:rFonts w:cs="Times New Roman"/>
              </w:rPr>
              <w:t>obchodní a podniková sdružení</w:t>
            </w:r>
          </w:p>
        </w:tc>
        <w:tc>
          <w:tcPr>
            <w:tcW w:w="2097" w:type="dxa"/>
          </w:tcPr>
          <w:p w:rsidR="00382526" w:rsidRDefault="003974FA" w:rsidP="00C932E4">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3974FA">
              <w:rPr>
                <w:rFonts w:cs="Times New Roman"/>
              </w:rPr>
              <w:t>Federazione Nazionale Costruttori Macchine per l'Agricoltura</w:t>
            </w:r>
          </w:p>
        </w:tc>
        <w:tc>
          <w:tcPr>
            <w:tcW w:w="1803" w:type="dxa"/>
          </w:tcPr>
          <w:p w:rsidR="00382526" w:rsidRDefault="003974FA" w:rsidP="00C932E4">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Federace</w:t>
            </w:r>
          </w:p>
        </w:tc>
      </w:tr>
      <w:tr w:rsidR="00382526" w:rsidTr="00BE7C8B">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3218" w:type="dxa"/>
          </w:tcPr>
          <w:p w:rsidR="00382526" w:rsidRDefault="00382526" w:rsidP="00C932E4">
            <w:pPr>
              <w:ind w:firstLine="0"/>
              <w:rPr>
                <w:rFonts w:cs="Times New Roman"/>
              </w:rPr>
            </w:pPr>
            <w:r w:rsidRPr="00382526">
              <w:rPr>
                <w:rFonts w:cs="Times New Roman"/>
              </w:rPr>
              <w:t>II - interní lobbisté a obchodní/podniková/profesní sdružení</w:t>
            </w:r>
          </w:p>
        </w:tc>
        <w:tc>
          <w:tcPr>
            <w:tcW w:w="1978" w:type="dxa"/>
          </w:tcPr>
          <w:p w:rsidR="00382526" w:rsidRDefault="00BE7C8B" w:rsidP="00C932E4">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BE7C8B">
              <w:rPr>
                <w:rFonts w:cs="Times New Roman"/>
              </w:rPr>
              <w:t>obchodní a podniková sdružení</w:t>
            </w:r>
          </w:p>
        </w:tc>
        <w:tc>
          <w:tcPr>
            <w:tcW w:w="2097" w:type="dxa"/>
          </w:tcPr>
          <w:p w:rsidR="00382526" w:rsidRDefault="003974FA" w:rsidP="00C932E4">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3974FA">
              <w:rPr>
                <w:rFonts w:cs="Times New Roman"/>
              </w:rPr>
              <w:t>Leaseurope</w:t>
            </w:r>
          </w:p>
        </w:tc>
        <w:tc>
          <w:tcPr>
            <w:tcW w:w="1803" w:type="dxa"/>
          </w:tcPr>
          <w:p w:rsidR="00382526" w:rsidRDefault="003974FA" w:rsidP="00C932E4">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ASBL</w:t>
            </w:r>
          </w:p>
        </w:tc>
      </w:tr>
      <w:tr w:rsidR="00BE7C8B" w:rsidTr="00BE7C8B">
        <w:trPr>
          <w:trHeight w:val="418"/>
        </w:trPr>
        <w:tc>
          <w:tcPr>
            <w:cnfStyle w:val="001000000000" w:firstRow="0" w:lastRow="0" w:firstColumn="1" w:lastColumn="0" w:oddVBand="0" w:evenVBand="0" w:oddHBand="0" w:evenHBand="0" w:firstRowFirstColumn="0" w:firstRowLastColumn="0" w:lastRowFirstColumn="0" w:lastRowLastColumn="0"/>
            <w:tcW w:w="3218" w:type="dxa"/>
          </w:tcPr>
          <w:p w:rsidR="00382526" w:rsidRDefault="00382526" w:rsidP="00C932E4">
            <w:pPr>
              <w:ind w:firstLine="0"/>
              <w:rPr>
                <w:rFonts w:cs="Times New Roman"/>
              </w:rPr>
            </w:pPr>
            <w:r w:rsidRPr="00382526">
              <w:rPr>
                <w:rFonts w:cs="Times New Roman"/>
              </w:rPr>
              <w:t>II - interní lobbisté a obchodní/podniková/profesní sdružení</w:t>
            </w:r>
          </w:p>
        </w:tc>
        <w:tc>
          <w:tcPr>
            <w:tcW w:w="1978" w:type="dxa"/>
          </w:tcPr>
          <w:p w:rsidR="00382526" w:rsidRDefault="00BE7C8B" w:rsidP="00C932E4">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BE7C8B">
              <w:rPr>
                <w:rFonts w:cs="Times New Roman"/>
              </w:rPr>
              <w:t>obchodní a podniková sdružení</w:t>
            </w:r>
          </w:p>
        </w:tc>
        <w:tc>
          <w:tcPr>
            <w:tcW w:w="2097" w:type="dxa"/>
          </w:tcPr>
          <w:p w:rsidR="00382526" w:rsidRDefault="003974FA" w:rsidP="00C932E4">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3974FA">
              <w:rPr>
                <w:rFonts w:cs="Times New Roman"/>
              </w:rPr>
              <w:t>European</w:t>
            </w:r>
            <w:r w:rsidR="00D15FA6">
              <w:rPr>
                <w:rFonts w:cs="Times New Roman"/>
              </w:rPr>
              <w:t xml:space="preserve"> </w:t>
            </w:r>
            <w:r w:rsidRPr="003974FA">
              <w:rPr>
                <w:rFonts w:cs="Times New Roman"/>
              </w:rPr>
              <w:t>Crop Care Association</w:t>
            </w:r>
          </w:p>
        </w:tc>
        <w:tc>
          <w:tcPr>
            <w:tcW w:w="1803" w:type="dxa"/>
          </w:tcPr>
          <w:p w:rsidR="00382526" w:rsidRDefault="003974FA" w:rsidP="00C932E4">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AISBL</w:t>
            </w:r>
          </w:p>
        </w:tc>
      </w:tr>
      <w:tr w:rsidR="00BE7C8B" w:rsidTr="00BE7C8B">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3218" w:type="dxa"/>
          </w:tcPr>
          <w:p w:rsidR="00382526" w:rsidRDefault="00382526" w:rsidP="00C932E4">
            <w:pPr>
              <w:ind w:firstLine="0"/>
              <w:rPr>
                <w:rFonts w:cs="Times New Roman"/>
              </w:rPr>
            </w:pPr>
            <w:r w:rsidRPr="00382526">
              <w:rPr>
                <w:rFonts w:cs="Times New Roman"/>
              </w:rPr>
              <w:t>II - interní lobbisté a obchodní/podniková/profesní sdružení</w:t>
            </w:r>
          </w:p>
        </w:tc>
        <w:tc>
          <w:tcPr>
            <w:tcW w:w="1978" w:type="dxa"/>
          </w:tcPr>
          <w:p w:rsidR="00382526" w:rsidRDefault="00BE7C8B" w:rsidP="00C932E4">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BE7C8B">
              <w:rPr>
                <w:rFonts w:cs="Times New Roman"/>
              </w:rPr>
              <w:t>obchodní a podniková sdružení</w:t>
            </w:r>
          </w:p>
        </w:tc>
        <w:tc>
          <w:tcPr>
            <w:tcW w:w="2097" w:type="dxa"/>
          </w:tcPr>
          <w:p w:rsidR="00382526" w:rsidRDefault="003974FA" w:rsidP="00C932E4">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3974FA">
              <w:rPr>
                <w:rFonts w:cs="Times New Roman"/>
              </w:rPr>
              <w:t>European Federation of Bottled Waters</w:t>
            </w:r>
            <w:r w:rsidR="00D15FA6">
              <w:rPr>
                <w:rFonts w:cs="Times New Roman"/>
              </w:rPr>
              <w:t xml:space="preserve"> (EFBW)</w:t>
            </w:r>
          </w:p>
        </w:tc>
        <w:tc>
          <w:tcPr>
            <w:tcW w:w="1803" w:type="dxa"/>
          </w:tcPr>
          <w:p w:rsidR="00382526" w:rsidRDefault="003974FA" w:rsidP="00C932E4">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AISBL</w:t>
            </w:r>
          </w:p>
        </w:tc>
      </w:tr>
      <w:tr w:rsidR="00382526" w:rsidTr="00BE7C8B">
        <w:trPr>
          <w:trHeight w:val="418"/>
        </w:trPr>
        <w:tc>
          <w:tcPr>
            <w:cnfStyle w:val="001000000000" w:firstRow="0" w:lastRow="0" w:firstColumn="1" w:lastColumn="0" w:oddVBand="0" w:evenVBand="0" w:oddHBand="0" w:evenHBand="0" w:firstRowFirstColumn="0" w:firstRowLastColumn="0" w:lastRowFirstColumn="0" w:lastRowLastColumn="0"/>
            <w:tcW w:w="3218" w:type="dxa"/>
          </w:tcPr>
          <w:p w:rsidR="00C932E4" w:rsidRDefault="00382526" w:rsidP="00C932E4">
            <w:pPr>
              <w:ind w:firstLine="0"/>
              <w:rPr>
                <w:rFonts w:cs="Times New Roman"/>
              </w:rPr>
            </w:pPr>
            <w:r w:rsidRPr="00382526">
              <w:rPr>
                <w:rFonts w:cs="Times New Roman"/>
              </w:rPr>
              <w:t>II - interní lobbisté a obchodní/podniková/profesní sdružení</w:t>
            </w:r>
          </w:p>
        </w:tc>
        <w:tc>
          <w:tcPr>
            <w:tcW w:w="1978" w:type="dxa"/>
          </w:tcPr>
          <w:p w:rsidR="00C932E4" w:rsidRDefault="00BE7C8B" w:rsidP="00C932E4">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BE7C8B">
              <w:rPr>
                <w:rFonts w:cs="Times New Roman"/>
              </w:rPr>
              <w:t>obchodní a podniková sdružení</w:t>
            </w:r>
          </w:p>
        </w:tc>
        <w:tc>
          <w:tcPr>
            <w:tcW w:w="2097" w:type="dxa"/>
          </w:tcPr>
          <w:p w:rsidR="00C932E4" w:rsidRDefault="00446588" w:rsidP="00C932E4">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446588">
              <w:rPr>
                <w:rFonts w:cs="Times New Roman"/>
              </w:rPr>
              <w:t>European Small Business Alliance</w:t>
            </w:r>
            <w:r w:rsidR="00723E7D">
              <w:rPr>
                <w:rFonts w:cs="Times New Roman"/>
              </w:rPr>
              <w:t xml:space="preserve"> (ESBA)</w:t>
            </w:r>
          </w:p>
        </w:tc>
        <w:tc>
          <w:tcPr>
            <w:tcW w:w="1803" w:type="dxa"/>
          </w:tcPr>
          <w:p w:rsidR="00C932E4" w:rsidRDefault="00446588" w:rsidP="00C932E4">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AISBL</w:t>
            </w:r>
          </w:p>
        </w:tc>
      </w:tr>
      <w:tr w:rsidR="00382526" w:rsidTr="00BE7C8B">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3218" w:type="dxa"/>
          </w:tcPr>
          <w:p w:rsidR="00382526" w:rsidRDefault="00C35523" w:rsidP="00C932E4">
            <w:pPr>
              <w:ind w:firstLine="0"/>
              <w:rPr>
                <w:rFonts w:cs="Times New Roman"/>
              </w:rPr>
            </w:pPr>
            <w:r w:rsidRPr="00382526">
              <w:rPr>
                <w:rFonts w:cs="Times New Roman"/>
              </w:rPr>
              <w:t>II - interní lobbisté a obchodní/podniková/profesní sdružení</w:t>
            </w:r>
          </w:p>
        </w:tc>
        <w:tc>
          <w:tcPr>
            <w:tcW w:w="1978" w:type="dxa"/>
          </w:tcPr>
          <w:p w:rsidR="00382526" w:rsidRDefault="00BE7C8B" w:rsidP="00C932E4">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BE7C8B">
              <w:rPr>
                <w:rFonts w:cs="Times New Roman"/>
              </w:rPr>
              <w:t>obchodní a podniková sdružení</w:t>
            </w:r>
          </w:p>
        </w:tc>
        <w:tc>
          <w:tcPr>
            <w:tcW w:w="2097" w:type="dxa"/>
          </w:tcPr>
          <w:p w:rsidR="00382526" w:rsidRDefault="00446588" w:rsidP="00C932E4">
            <w:pPr>
              <w:ind w:firstLine="0"/>
              <w:cnfStyle w:val="000000100000" w:firstRow="0" w:lastRow="0" w:firstColumn="0" w:lastColumn="0" w:oddVBand="0" w:evenVBand="0" w:oddHBand="1" w:evenHBand="0" w:firstRowFirstColumn="0" w:firstRowLastColumn="0" w:lastRowFirstColumn="0" w:lastRowLastColumn="0"/>
              <w:rPr>
                <w:rFonts w:cs="Times New Roman"/>
              </w:rPr>
            </w:pPr>
            <w:r w:rsidRPr="00446588">
              <w:rPr>
                <w:rFonts w:cs="Times New Roman"/>
              </w:rPr>
              <w:t>International Platform of Insects for Food &amp; Feed Association</w:t>
            </w:r>
            <w:r w:rsidR="00723E7D">
              <w:rPr>
                <w:rFonts w:cs="Times New Roman"/>
              </w:rPr>
              <w:t xml:space="preserve"> (IPIFF)</w:t>
            </w:r>
          </w:p>
        </w:tc>
        <w:tc>
          <w:tcPr>
            <w:tcW w:w="1803" w:type="dxa"/>
          </w:tcPr>
          <w:p w:rsidR="00382526" w:rsidRDefault="00446588" w:rsidP="00C932E4">
            <w:pPr>
              <w:ind w:firstLine="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Nezisková organizace</w:t>
            </w:r>
            <w:r w:rsidR="001672C0">
              <w:rPr>
                <w:rFonts w:cs="Times New Roman"/>
              </w:rPr>
              <w:t>/asociace</w:t>
            </w:r>
          </w:p>
        </w:tc>
      </w:tr>
      <w:tr w:rsidR="00C35523" w:rsidTr="00BE7C8B">
        <w:trPr>
          <w:trHeight w:val="418"/>
        </w:trPr>
        <w:tc>
          <w:tcPr>
            <w:cnfStyle w:val="001000000000" w:firstRow="0" w:lastRow="0" w:firstColumn="1" w:lastColumn="0" w:oddVBand="0" w:evenVBand="0" w:oddHBand="0" w:evenHBand="0" w:firstRowFirstColumn="0" w:firstRowLastColumn="0" w:lastRowFirstColumn="0" w:lastRowLastColumn="0"/>
            <w:tcW w:w="3218" w:type="dxa"/>
          </w:tcPr>
          <w:p w:rsidR="00C35523" w:rsidRPr="00382526" w:rsidRDefault="00C35523" w:rsidP="00C932E4">
            <w:pPr>
              <w:ind w:firstLine="0"/>
              <w:rPr>
                <w:rFonts w:cs="Times New Roman"/>
              </w:rPr>
            </w:pPr>
            <w:r w:rsidRPr="00382526">
              <w:rPr>
                <w:rFonts w:cs="Times New Roman"/>
              </w:rPr>
              <w:t>II - interní lobbisté a obchodní/podniková/profesní sdružení</w:t>
            </w:r>
          </w:p>
        </w:tc>
        <w:tc>
          <w:tcPr>
            <w:tcW w:w="1978" w:type="dxa"/>
          </w:tcPr>
          <w:p w:rsidR="00C35523" w:rsidRPr="00BE7C8B" w:rsidRDefault="00C35523" w:rsidP="00C932E4">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BE7C8B">
              <w:rPr>
                <w:rFonts w:cs="Times New Roman"/>
              </w:rPr>
              <w:t>obchodní a podniková sdružení</w:t>
            </w:r>
          </w:p>
        </w:tc>
        <w:tc>
          <w:tcPr>
            <w:tcW w:w="2097" w:type="dxa"/>
          </w:tcPr>
          <w:p w:rsidR="00C35523" w:rsidRPr="00446588" w:rsidRDefault="00C35523" w:rsidP="00C932E4">
            <w:pPr>
              <w:ind w:firstLine="0"/>
              <w:cnfStyle w:val="000000000000" w:firstRow="0" w:lastRow="0" w:firstColumn="0" w:lastColumn="0" w:oddVBand="0" w:evenVBand="0" w:oddHBand="0" w:evenHBand="0" w:firstRowFirstColumn="0" w:firstRowLastColumn="0" w:lastRowFirstColumn="0" w:lastRowLastColumn="0"/>
              <w:rPr>
                <w:rFonts w:cs="Times New Roman"/>
              </w:rPr>
            </w:pPr>
            <w:r w:rsidRPr="00C35523">
              <w:rPr>
                <w:rFonts w:cs="Times New Roman"/>
              </w:rPr>
              <w:t>European Organic Fertilizers Manufacturers Association</w:t>
            </w:r>
            <w:r w:rsidR="00671FFC">
              <w:rPr>
                <w:rFonts w:cs="Times New Roman"/>
              </w:rPr>
              <w:t xml:space="preserve"> (EUROFEMA)</w:t>
            </w:r>
          </w:p>
        </w:tc>
        <w:tc>
          <w:tcPr>
            <w:tcW w:w="1803" w:type="dxa"/>
          </w:tcPr>
          <w:p w:rsidR="00C35523" w:rsidRDefault="00C35523" w:rsidP="00C932E4">
            <w:pPr>
              <w:ind w:firstLine="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Asociace</w:t>
            </w:r>
          </w:p>
        </w:tc>
      </w:tr>
    </w:tbl>
    <w:p w:rsidR="00176DD4" w:rsidRDefault="00524A0D" w:rsidP="00355121">
      <w:pPr>
        <w:pStyle w:val="Heading1"/>
      </w:pPr>
      <w:bookmarkStart w:id="20" w:name="_Toc7414207"/>
      <w:r>
        <w:lastRenderedPageBreak/>
        <w:t>Prameny</w:t>
      </w:r>
      <w:bookmarkEnd w:id="20"/>
    </w:p>
    <w:p w:rsidR="00A33587" w:rsidRPr="005F5FDD" w:rsidRDefault="00A33587" w:rsidP="00A33587">
      <w:pPr>
        <w:ind w:firstLine="0"/>
        <w:rPr>
          <w:rFonts w:cs="Times New Roman"/>
        </w:rPr>
      </w:pPr>
      <w:r>
        <w:rPr>
          <w:rFonts w:cs="Times New Roman"/>
        </w:rPr>
        <w:t xml:space="preserve">Adams, Paul. 2002. </w:t>
      </w:r>
      <w:r w:rsidRPr="00A33587">
        <w:rPr>
          <w:rFonts w:cs="Times New Roman"/>
        </w:rPr>
        <w:t xml:space="preserve">Can </w:t>
      </w:r>
      <w:r>
        <w:rPr>
          <w:rFonts w:cs="Times New Roman"/>
        </w:rPr>
        <w:t>n</w:t>
      </w:r>
      <w:r w:rsidRPr="00A33587">
        <w:rPr>
          <w:rFonts w:cs="Times New Roman"/>
        </w:rPr>
        <w:t>eo-</w:t>
      </w:r>
      <w:r>
        <w:rPr>
          <w:rFonts w:cs="Times New Roman"/>
        </w:rPr>
        <w:t>c</w:t>
      </w:r>
      <w:r w:rsidRPr="00A33587">
        <w:rPr>
          <w:rFonts w:cs="Times New Roman"/>
        </w:rPr>
        <w:t xml:space="preserve">orporatism </w:t>
      </w:r>
      <w:r>
        <w:rPr>
          <w:rFonts w:cs="Times New Roman"/>
        </w:rPr>
        <w:t>s</w:t>
      </w:r>
      <w:r w:rsidRPr="00A33587">
        <w:rPr>
          <w:rFonts w:cs="Times New Roman"/>
        </w:rPr>
        <w:t>urvive the European Union?</w:t>
      </w:r>
      <w:r>
        <w:rPr>
          <w:rFonts w:cs="Times New Roman"/>
        </w:rPr>
        <w:t xml:space="preserve"> </w:t>
      </w:r>
      <w:r w:rsidRPr="00A33587">
        <w:rPr>
          <w:rFonts w:cs="Times New Roman"/>
        </w:rPr>
        <w:t xml:space="preserve">(And </w:t>
      </w:r>
      <w:r>
        <w:rPr>
          <w:rFonts w:cs="Times New Roman"/>
        </w:rPr>
        <w:t>c</w:t>
      </w:r>
      <w:r w:rsidRPr="00A33587">
        <w:rPr>
          <w:rFonts w:cs="Times New Roman"/>
        </w:rPr>
        <w:t xml:space="preserve">an the EU </w:t>
      </w:r>
      <w:r>
        <w:rPr>
          <w:rFonts w:cs="Times New Roman"/>
        </w:rPr>
        <w:t>s</w:t>
      </w:r>
      <w:r w:rsidRPr="00A33587">
        <w:rPr>
          <w:rFonts w:cs="Times New Roman"/>
        </w:rPr>
        <w:t xml:space="preserve">urvive </w:t>
      </w:r>
      <w:r>
        <w:rPr>
          <w:rFonts w:cs="Times New Roman"/>
        </w:rPr>
        <w:t>n</w:t>
      </w:r>
      <w:r w:rsidRPr="00A33587">
        <w:rPr>
          <w:rFonts w:cs="Times New Roman"/>
        </w:rPr>
        <w:t>eo-</w:t>
      </w:r>
      <w:r>
        <w:rPr>
          <w:rFonts w:cs="Times New Roman"/>
        </w:rPr>
        <w:t>c</w:t>
      </w:r>
      <w:r w:rsidRPr="00A33587">
        <w:rPr>
          <w:rFonts w:cs="Times New Roman"/>
        </w:rPr>
        <w:t>orporatism?)</w:t>
      </w:r>
      <w:r>
        <w:rPr>
          <w:rFonts w:cs="Times New Roman"/>
        </w:rPr>
        <w:t>.</w:t>
      </w:r>
      <w:r w:rsidR="005C2CE6">
        <w:rPr>
          <w:rFonts w:cs="Times New Roman"/>
        </w:rPr>
        <w:t xml:space="preserve"> (online)</w:t>
      </w:r>
      <w:r>
        <w:rPr>
          <w:rFonts w:cs="Times New Roman"/>
        </w:rPr>
        <w:t xml:space="preserve"> </w:t>
      </w:r>
      <w:r w:rsidR="005F5FDD">
        <w:rPr>
          <w:rFonts w:cs="Times New Roman"/>
        </w:rPr>
        <w:t xml:space="preserve">Dostupné z: </w:t>
      </w:r>
      <w:r w:rsidR="005C2CE6">
        <w:rPr>
          <w:rFonts w:cs="Times New Roman"/>
          <w:lang w:val="en-US"/>
        </w:rPr>
        <w:t>&lt;</w:t>
      </w:r>
      <w:r w:rsidR="005F5FDD" w:rsidRPr="005C2CE6">
        <w:t>https://www.academia.edu/1865008/Can_neocorporatism_survive_the_European_Union_And_can_the_EU_survive_neo-corporatism_</w:t>
      </w:r>
      <w:r w:rsidR="005C2CE6">
        <w:t>&gt;</w:t>
      </w:r>
      <w:r w:rsidR="005F5FDD">
        <w:t xml:space="preserve"> (23.3.2019)</w:t>
      </w:r>
    </w:p>
    <w:p w:rsidR="0082525F" w:rsidRPr="0082525F" w:rsidRDefault="0082525F" w:rsidP="00B22E8C">
      <w:pPr>
        <w:ind w:firstLine="0"/>
        <w:rPr>
          <w:rFonts w:cs="Times New Roman"/>
        </w:rPr>
      </w:pPr>
      <w:r>
        <w:rPr>
          <w:rFonts w:cs="Times New Roman"/>
        </w:rPr>
        <w:t>Bacardi Limited. 2019. Marketplace. (online) Dostupné z: &lt;</w:t>
      </w:r>
      <w:r w:rsidRPr="00B77F2F">
        <w:t>https://www.bacardilimited.com/corporate-responsibility/marketplace/</w:t>
      </w:r>
      <w:r>
        <w:rPr>
          <w:rStyle w:val="Hyperlink"/>
          <w:color w:val="auto"/>
          <w:u w:val="none"/>
          <w:lang w:val="en-US"/>
        </w:rPr>
        <w:t>&gt;</w:t>
      </w:r>
      <w:r>
        <w:rPr>
          <w:rStyle w:val="Hyperlink"/>
          <w:color w:val="auto"/>
          <w:u w:val="none"/>
        </w:rPr>
        <w:t xml:space="preserve"> (28.3. 2019)</w:t>
      </w:r>
    </w:p>
    <w:p w:rsidR="005D05A1" w:rsidRDefault="005D05A1" w:rsidP="00B22E8C">
      <w:pPr>
        <w:ind w:firstLine="0"/>
        <w:rPr>
          <w:rFonts w:cs="Times New Roman"/>
        </w:rPr>
      </w:pPr>
      <w:r>
        <w:rPr>
          <w:rFonts w:cs="Times New Roman"/>
        </w:rPr>
        <w:t xml:space="preserve">Beyers, Jan, Bart Kerremans. 2007. </w:t>
      </w:r>
      <w:r w:rsidRPr="005D05A1">
        <w:rPr>
          <w:rFonts w:cs="Times New Roman"/>
        </w:rPr>
        <w:t xml:space="preserve">Critical </w:t>
      </w:r>
      <w:r>
        <w:rPr>
          <w:rFonts w:cs="Times New Roman"/>
        </w:rPr>
        <w:t>r</w:t>
      </w:r>
      <w:r w:rsidRPr="005D05A1">
        <w:rPr>
          <w:rFonts w:cs="Times New Roman"/>
        </w:rPr>
        <w:t xml:space="preserve">esource </w:t>
      </w:r>
      <w:r>
        <w:rPr>
          <w:rFonts w:cs="Times New Roman"/>
        </w:rPr>
        <w:t>d</w:t>
      </w:r>
      <w:r w:rsidRPr="005D05A1">
        <w:rPr>
          <w:rFonts w:cs="Times New Roman"/>
        </w:rPr>
        <w:t xml:space="preserve">ependencies and the </w:t>
      </w:r>
      <w:r>
        <w:rPr>
          <w:rFonts w:cs="Times New Roman"/>
        </w:rPr>
        <w:t>e</w:t>
      </w:r>
      <w:r w:rsidRPr="005D05A1">
        <w:rPr>
          <w:rFonts w:cs="Times New Roman"/>
        </w:rPr>
        <w:t xml:space="preserve">uropeanization of </w:t>
      </w:r>
      <w:r>
        <w:rPr>
          <w:rFonts w:cs="Times New Roman"/>
        </w:rPr>
        <w:t>d</w:t>
      </w:r>
      <w:r w:rsidRPr="005D05A1">
        <w:rPr>
          <w:rFonts w:cs="Times New Roman"/>
        </w:rPr>
        <w:t xml:space="preserve">omestic </w:t>
      </w:r>
      <w:r>
        <w:rPr>
          <w:rFonts w:cs="Times New Roman"/>
        </w:rPr>
        <w:t>i</w:t>
      </w:r>
      <w:r w:rsidRPr="005D05A1">
        <w:rPr>
          <w:rFonts w:cs="Times New Roman"/>
        </w:rPr>
        <w:t xml:space="preserve">nterest </w:t>
      </w:r>
      <w:r>
        <w:rPr>
          <w:rFonts w:cs="Times New Roman"/>
        </w:rPr>
        <w:t>g</w:t>
      </w:r>
      <w:r w:rsidRPr="005D05A1">
        <w:rPr>
          <w:rFonts w:cs="Times New Roman"/>
        </w:rPr>
        <w:t>roups</w:t>
      </w:r>
      <w:r>
        <w:rPr>
          <w:rFonts w:cs="Times New Roman"/>
        </w:rPr>
        <w:t>.</w:t>
      </w:r>
      <w:r w:rsidR="005C2CE6">
        <w:rPr>
          <w:rFonts w:cs="Times New Roman"/>
        </w:rPr>
        <w:t xml:space="preserve"> (online)</w:t>
      </w:r>
      <w:r>
        <w:rPr>
          <w:rFonts w:cs="Times New Roman"/>
        </w:rPr>
        <w:t xml:space="preserve"> Dostupné</w:t>
      </w:r>
      <w:r w:rsidR="005C2CE6">
        <w:rPr>
          <w:rFonts w:cs="Times New Roman"/>
        </w:rPr>
        <w:t xml:space="preserve"> </w:t>
      </w:r>
      <w:r>
        <w:rPr>
          <w:rFonts w:cs="Times New Roman"/>
        </w:rPr>
        <w:t xml:space="preserve">z: </w:t>
      </w:r>
      <w:r w:rsidR="005C2CE6">
        <w:rPr>
          <w:rFonts w:cs="Times New Roman"/>
        </w:rPr>
        <w:t>&lt;</w:t>
      </w:r>
      <w:r w:rsidRPr="005C2CE6">
        <w:rPr>
          <w:rFonts w:cs="Times New Roman"/>
        </w:rPr>
        <w:t>http://aei.pitt.edu/7698/1/beyers-j-12f.pdf</w:t>
      </w:r>
      <w:r w:rsidR="005C2CE6">
        <w:rPr>
          <w:rFonts w:cs="Times New Roman"/>
        </w:rPr>
        <w:t xml:space="preserve">&gt; </w:t>
      </w:r>
      <w:r>
        <w:rPr>
          <w:rFonts w:cs="Times New Roman"/>
        </w:rPr>
        <w:t>(14.2.2019).</w:t>
      </w:r>
    </w:p>
    <w:p w:rsidR="00987F0F" w:rsidRDefault="00987F0F" w:rsidP="00987F0F">
      <w:pPr>
        <w:ind w:firstLine="0"/>
        <w:rPr>
          <w:rFonts w:cs="Times New Roman"/>
        </w:rPr>
      </w:pPr>
      <w:r>
        <w:rPr>
          <w:rFonts w:cs="Times New Roman"/>
        </w:rPr>
        <w:t xml:space="preserve">Bouwen, Pieter. 2009. </w:t>
      </w:r>
      <w:r w:rsidRPr="00987F0F">
        <w:rPr>
          <w:rFonts w:cs="Times New Roman"/>
        </w:rPr>
        <w:t xml:space="preserve">A </w:t>
      </w:r>
      <w:r>
        <w:rPr>
          <w:rFonts w:cs="Times New Roman"/>
        </w:rPr>
        <w:t>c</w:t>
      </w:r>
      <w:r w:rsidRPr="00987F0F">
        <w:rPr>
          <w:rFonts w:cs="Times New Roman"/>
        </w:rPr>
        <w:t xml:space="preserve">omparative </w:t>
      </w:r>
      <w:r>
        <w:rPr>
          <w:rFonts w:cs="Times New Roman"/>
        </w:rPr>
        <w:t>s</w:t>
      </w:r>
      <w:r w:rsidRPr="00987F0F">
        <w:rPr>
          <w:rFonts w:cs="Times New Roman"/>
        </w:rPr>
        <w:t xml:space="preserve">tudy of </w:t>
      </w:r>
      <w:r>
        <w:rPr>
          <w:rFonts w:cs="Times New Roman"/>
        </w:rPr>
        <w:t>b</w:t>
      </w:r>
      <w:r w:rsidRPr="00987F0F">
        <w:rPr>
          <w:rFonts w:cs="Times New Roman"/>
        </w:rPr>
        <w:t xml:space="preserve">usiness </w:t>
      </w:r>
      <w:r>
        <w:rPr>
          <w:rFonts w:cs="Times New Roman"/>
        </w:rPr>
        <w:t>l</w:t>
      </w:r>
      <w:r w:rsidRPr="00987F0F">
        <w:rPr>
          <w:rFonts w:cs="Times New Roman"/>
        </w:rPr>
        <w:t>obbying</w:t>
      </w:r>
      <w:r>
        <w:rPr>
          <w:rFonts w:cs="Times New Roman"/>
        </w:rPr>
        <w:t xml:space="preserve"> </w:t>
      </w:r>
      <w:r w:rsidRPr="00987F0F">
        <w:rPr>
          <w:rFonts w:cs="Times New Roman"/>
        </w:rPr>
        <w:t xml:space="preserve">in the European </w:t>
      </w:r>
      <w:r>
        <w:rPr>
          <w:rFonts w:cs="Times New Roman"/>
        </w:rPr>
        <w:t>p</w:t>
      </w:r>
      <w:r w:rsidRPr="00987F0F">
        <w:rPr>
          <w:rFonts w:cs="Times New Roman"/>
        </w:rPr>
        <w:t>arliament, the European</w:t>
      </w:r>
      <w:r>
        <w:rPr>
          <w:rFonts w:cs="Times New Roman"/>
        </w:rPr>
        <w:t xml:space="preserve"> c</w:t>
      </w:r>
      <w:r w:rsidRPr="00987F0F">
        <w:rPr>
          <w:rFonts w:cs="Times New Roman"/>
        </w:rPr>
        <w:t>ommission and the Council of Ministers</w:t>
      </w:r>
      <w:r>
        <w:rPr>
          <w:rFonts w:cs="Times New Roman"/>
        </w:rPr>
        <w:t>.</w:t>
      </w:r>
      <w:r w:rsidR="005C2CE6">
        <w:rPr>
          <w:rFonts w:cs="Times New Roman"/>
        </w:rPr>
        <w:t xml:space="preserve"> (online)</w:t>
      </w:r>
      <w:r>
        <w:rPr>
          <w:rFonts w:cs="Times New Roman"/>
        </w:rPr>
        <w:t xml:space="preserve"> Dostupné</w:t>
      </w:r>
      <w:r w:rsidR="005C2CE6">
        <w:rPr>
          <w:rFonts w:cs="Times New Roman"/>
        </w:rPr>
        <w:t xml:space="preserve"> </w:t>
      </w:r>
      <w:r>
        <w:rPr>
          <w:rFonts w:cs="Times New Roman"/>
        </w:rPr>
        <w:t xml:space="preserve">z: </w:t>
      </w:r>
      <w:r w:rsidR="005C2CE6">
        <w:rPr>
          <w:rFonts w:cs="Times New Roman"/>
          <w:lang w:val="en-US"/>
        </w:rPr>
        <w:t>&lt;</w:t>
      </w:r>
      <w:r w:rsidRPr="005C2CE6">
        <w:t>http://www.mpi-fg-koeln.mpg.de/pu/mpifg_dp/dp02-7.pdf</w:t>
      </w:r>
      <w:r w:rsidR="005C2CE6">
        <w:t>&gt;</w:t>
      </w:r>
      <w:r>
        <w:t xml:space="preserve"> (26.3.2019)</w:t>
      </w:r>
    </w:p>
    <w:p w:rsidR="007C50E0" w:rsidRPr="005D05A1" w:rsidRDefault="007C50E0" w:rsidP="002D37B3">
      <w:pPr>
        <w:ind w:firstLine="0"/>
        <w:rPr>
          <w:rFonts w:cs="Times New Roman"/>
        </w:rPr>
      </w:pPr>
      <w:r w:rsidRPr="003974FA">
        <w:rPr>
          <w:rFonts w:cs="Times New Roman"/>
        </w:rPr>
        <w:t>Bund für Lebensmittelrecht und Lebensmittelkunde e.V. de e.V.</w:t>
      </w:r>
      <w:r>
        <w:rPr>
          <w:rFonts w:cs="Times New Roman"/>
        </w:rPr>
        <w:t xml:space="preserve"> 2019. „About us“. (online) Dostupné z: &lt;</w:t>
      </w:r>
      <w:r w:rsidRPr="007C50E0">
        <w:t>https://www.bll.de/en/the-bll/about-us</w:t>
      </w:r>
      <w:r>
        <w:t>&gt; (12.4.2019)</w:t>
      </w:r>
    </w:p>
    <w:p w:rsidR="00BA0F43" w:rsidRDefault="00BA0F43" w:rsidP="00BA0F43">
      <w:pPr>
        <w:ind w:firstLine="0"/>
        <w:rPr>
          <w:rFonts w:cs="Times New Roman"/>
        </w:rPr>
      </w:pPr>
      <w:r>
        <w:rPr>
          <w:rFonts w:cs="Times New Roman"/>
        </w:rPr>
        <w:t xml:space="preserve">Bunea, Adriana. 2014. </w:t>
      </w:r>
      <w:r w:rsidRPr="00BA0F43">
        <w:rPr>
          <w:rFonts w:cs="Times New Roman"/>
        </w:rPr>
        <w:t xml:space="preserve">Evaluating Pluralism: </w:t>
      </w:r>
      <w:r>
        <w:rPr>
          <w:rFonts w:cs="Times New Roman"/>
        </w:rPr>
        <w:t>D</w:t>
      </w:r>
      <w:r w:rsidRPr="00BA0F43">
        <w:rPr>
          <w:rFonts w:cs="Times New Roman"/>
        </w:rPr>
        <w:t xml:space="preserve">iversity of </w:t>
      </w:r>
      <w:r>
        <w:rPr>
          <w:rFonts w:cs="Times New Roman"/>
        </w:rPr>
        <w:t>i</w:t>
      </w:r>
      <w:r w:rsidRPr="00BA0F43">
        <w:rPr>
          <w:rFonts w:cs="Times New Roman"/>
        </w:rPr>
        <w:t xml:space="preserve">nterest </w:t>
      </w:r>
      <w:r>
        <w:rPr>
          <w:rFonts w:cs="Times New Roman"/>
        </w:rPr>
        <w:t>g</w:t>
      </w:r>
      <w:r w:rsidRPr="00BA0F43">
        <w:rPr>
          <w:rFonts w:cs="Times New Roman"/>
        </w:rPr>
        <w:t>roups’</w:t>
      </w:r>
      <w:r>
        <w:rPr>
          <w:rFonts w:cs="Times New Roman"/>
        </w:rPr>
        <w:t xml:space="preserve"> p</w:t>
      </w:r>
      <w:r w:rsidRPr="00BA0F43">
        <w:rPr>
          <w:rFonts w:cs="Times New Roman"/>
        </w:rPr>
        <w:t xml:space="preserve">olicy </w:t>
      </w:r>
      <w:r>
        <w:rPr>
          <w:rFonts w:cs="Times New Roman"/>
        </w:rPr>
        <w:t>d</w:t>
      </w:r>
      <w:r w:rsidRPr="00BA0F43">
        <w:rPr>
          <w:rFonts w:cs="Times New Roman"/>
        </w:rPr>
        <w:t xml:space="preserve">emands and </w:t>
      </w:r>
      <w:r>
        <w:rPr>
          <w:rFonts w:cs="Times New Roman"/>
        </w:rPr>
        <w:t>p</w:t>
      </w:r>
      <w:r w:rsidRPr="00BA0F43">
        <w:rPr>
          <w:rFonts w:cs="Times New Roman"/>
        </w:rPr>
        <w:t xml:space="preserve">reference </w:t>
      </w:r>
      <w:r>
        <w:rPr>
          <w:rFonts w:cs="Times New Roman"/>
        </w:rPr>
        <w:t>a</w:t>
      </w:r>
      <w:r w:rsidRPr="00BA0F43">
        <w:rPr>
          <w:rFonts w:cs="Times New Roman"/>
        </w:rPr>
        <w:t>ttainment in the</w:t>
      </w:r>
      <w:r>
        <w:rPr>
          <w:rFonts w:cs="Times New Roman"/>
        </w:rPr>
        <w:t xml:space="preserve"> </w:t>
      </w:r>
      <w:r w:rsidRPr="00BA0F43">
        <w:rPr>
          <w:rFonts w:cs="Times New Roman"/>
        </w:rPr>
        <w:t xml:space="preserve">European Commission’s </w:t>
      </w:r>
      <w:r>
        <w:rPr>
          <w:rFonts w:cs="Times New Roman"/>
        </w:rPr>
        <w:t>o</w:t>
      </w:r>
      <w:r w:rsidRPr="00BA0F43">
        <w:rPr>
          <w:rFonts w:cs="Times New Roman"/>
        </w:rPr>
        <w:t xml:space="preserve">pen </w:t>
      </w:r>
      <w:r>
        <w:rPr>
          <w:rFonts w:cs="Times New Roman"/>
        </w:rPr>
        <w:t>c</w:t>
      </w:r>
      <w:r w:rsidRPr="00BA0F43">
        <w:rPr>
          <w:rFonts w:cs="Times New Roman"/>
        </w:rPr>
        <w:t>onsultations. Evidence</w:t>
      </w:r>
      <w:r>
        <w:rPr>
          <w:rFonts w:cs="Times New Roman"/>
        </w:rPr>
        <w:t xml:space="preserve"> </w:t>
      </w:r>
      <w:r w:rsidRPr="00BA0F43">
        <w:rPr>
          <w:rFonts w:cs="Times New Roman"/>
        </w:rPr>
        <w:t xml:space="preserve">from the EU </w:t>
      </w:r>
      <w:r>
        <w:rPr>
          <w:rFonts w:cs="Times New Roman"/>
        </w:rPr>
        <w:t>e</w:t>
      </w:r>
      <w:r w:rsidRPr="00BA0F43">
        <w:rPr>
          <w:rFonts w:cs="Times New Roman"/>
        </w:rPr>
        <w:t xml:space="preserve">nvironmental </w:t>
      </w:r>
      <w:r>
        <w:rPr>
          <w:rFonts w:cs="Times New Roman"/>
        </w:rPr>
        <w:t>p</w:t>
      </w:r>
      <w:r w:rsidRPr="00BA0F43">
        <w:rPr>
          <w:rFonts w:cs="Times New Roman"/>
        </w:rPr>
        <w:t>olicy</w:t>
      </w:r>
      <w:r>
        <w:rPr>
          <w:rFonts w:cs="Times New Roman"/>
        </w:rPr>
        <w:t>.</w:t>
      </w:r>
      <w:r w:rsidR="005C2CE6">
        <w:rPr>
          <w:rFonts w:cs="Times New Roman"/>
        </w:rPr>
        <w:t xml:space="preserve"> (online)</w:t>
      </w:r>
      <w:r>
        <w:rPr>
          <w:rFonts w:cs="Times New Roman"/>
        </w:rPr>
        <w:t xml:space="preserve"> Dostupné z: </w:t>
      </w:r>
      <w:r w:rsidR="005C2CE6">
        <w:rPr>
          <w:rFonts w:cs="Times New Roman"/>
        </w:rPr>
        <w:t>&lt;</w:t>
      </w:r>
      <w:r w:rsidRPr="005C2CE6">
        <w:rPr>
          <w:rFonts w:cs="Times New Roman"/>
        </w:rPr>
        <w:t>http://cadmus.eui.eu/bitstream/handle/1814/31263/MWP_WP_Bunea_2014_03.pdf</w:t>
      </w:r>
      <w:r w:rsidR="005C2CE6">
        <w:rPr>
          <w:rFonts w:cs="Times New Roman"/>
        </w:rPr>
        <w:t>&gt;</w:t>
      </w:r>
      <w:r>
        <w:rPr>
          <w:rFonts w:cs="Times New Roman"/>
        </w:rPr>
        <w:t xml:space="preserve"> (16.2.2019).</w:t>
      </w:r>
    </w:p>
    <w:p w:rsidR="00B62163" w:rsidRPr="00B62163" w:rsidRDefault="00B62163" w:rsidP="00B22E8C">
      <w:pPr>
        <w:ind w:firstLine="0"/>
        <w:rPr>
          <w:lang w:val="en-US"/>
        </w:rPr>
      </w:pPr>
      <w:r>
        <w:t xml:space="preserve">CEA-PME. 2019. </w:t>
      </w:r>
      <w:r w:rsidRPr="00B62163">
        <w:t>W</w:t>
      </w:r>
      <w:r>
        <w:t>e</w:t>
      </w:r>
      <w:r w:rsidRPr="00B62163">
        <w:t xml:space="preserve"> </w:t>
      </w:r>
      <w:r>
        <w:t>are</w:t>
      </w:r>
      <w:r w:rsidRPr="00B62163">
        <w:t xml:space="preserve"> </w:t>
      </w:r>
      <w:r>
        <w:t>european</w:t>
      </w:r>
      <w:r w:rsidRPr="00B62163">
        <w:t xml:space="preserve"> </w:t>
      </w:r>
      <w:r>
        <w:t>entrepreneurs</w:t>
      </w:r>
      <w:r w:rsidRPr="00B62163">
        <w:t xml:space="preserve"> CEA-PME</w:t>
      </w:r>
      <w:r>
        <w:t>. (online) Dostupné z: &lt;</w:t>
      </w:r>
      <w:r w:rsidRPr="00B62163">
        <w:t>http://www.cea-pme.com/</w:t>
      </w:r>
      <w:r>
        <w:t>&gt; (26.3.2019)</w:t>
      </w:r>
    </w:p>
    <w:p w:rsidR="00775BEF" w:rsidRDefault="004F4D64" w:rsidP="00775BEF">
      <w:pPr>
        <w:ind w:firstLine="0"/>
      </w:pPr>
      <w:r>
        <w:t xml:space="preserve">Cerulus, Laurens. 2014. „EU lobbyist register to become mandatory by 2017“. </w:t>
      </w:r>
      <w:r w:rsidR="005C2CE6">
        <w:t xml:space="preserve"> (online) </w:t>
      </w:r>
      <w:r>
        <w:t>Dostupné z:</w:t>
      </w:r>
      <w:r w:rsidR="005C2CE6">
        <w:t xml:space="preserve"> </w:t>
      </w:r>
      <w:r w:rsidR="005C2CE6">
        <w:rPr>
          <w:lang w:val="en-US"/>
        </w:rPr>
        <w:t>&lt;</w:t>
      </w:r>
      <w:r w:rsidRPr="005C2CE6">
        <w:t>https://www.euractiv.com/section/public-affairs/news/eu-lobbyist-register-to-become-mandatory-by-2017/</w:t>
      </w:r>
      <w:r w:rsidR="005C2CE6">
        <w:t>&gt;</w:t>
      </w:r>
      <w:r>
        <w:t xml:space="preserve"> (26.3.2019)</w:t>
      </w:r>
      <w:r w:rsidR="00775BEF">
        <w:t xml:space="preserve"> </w:t>
      </w:r>
    </w:p>
    <w:p w:rsidR="00775BEF" w:rsidRPr="00775BEF" w:rsidRDefault="00775BEF" w:rsidP="00775BEF">
      <w:pPr>
        <w:ind w:firstLine="0"/>
        <w:rPr>
          <w:rStyle w:val="Hyperlink"/>
          <w:color w:val="auto"/>
          <w:u w:val="none"/>
          <w:lang w:val="en-US"/>
        </w:rPr>
      </w:pPr>
      <w:r>
        <w:t>CIRFS. 2</w:t>
      </w:r>
      <w:r w:rsidR="00EC1C2C">
        <w:t>017</w:t>
      </w:r>
      <w:r>
        <w:t>. Members list. (online) Dostupné z: &lt;</w:t>
      </w:r>
      <w:r w:rsidRPr="00775BEF">
        <w:t>https://www.cirfs.org/membership/members</w:t>
      </w:r>
      <w:r w:rsidRPr="00775BEF">
        <w:rPr>
          <w:rStyle w:val="Hyperlink"/>
          <w:color w:val="auto"/>
          <w:u w:val="none"/>
        </w:rPr>
        <w:t>&gt;</w:t>
      </w:r>
      <w:r>
        <w:rPr>
          <w:rStyle w:val="Hyperlink"/>
          <w:color w:val="auto"/>
          <w:u w:val="none"/>
        </w:rPr>
        <w:t>(25.3.2019)</w:t>
      </w:r>
    </w:p>
    <w:p w:rsidR="00A22DBD" w:rsidRDefault="00A22DBD" w:rsidP="00B22E8C">
      <w:pPr>
        <w:ind w:firstLine="0"/>
      </w:pPr>
      <w:r>
        <w:t>Cobb, J. Adam, Gerald F. Davis. 2009. Resource dependence theory: past and future.</w:t>
      </w:r>
      <w:r w:rsidR="005C2CE6">
        <w:t xml:space="preserve"> (online)</w:t>
      </w:r>
      <w:r>
        <w:t xml:space="preserve"> Dostupné z:</w:t>
      </w:r>
      <w:r w:rsidR="00801AE3">
        <w:t xml:space="preserve"> </w:t>
      </w:r>
      <w:r w:rsidR="005C2CE6">
        <w:t>&lt;</w:t>
      </w:r>
      <w:r w:rsidR="005C2CE6" w:rsidRPr="005C2CE6">
        <w:t>http://webuser.bus.umich.edu/gfdavis/Papers/davis_cobb_09_RSO.pdf</w:t>
      </w:r>
      <w:r w:rsidR="005C2CE6">
        <w:t>&gt;</w:t>
      </w:r>
      <w:r>
        <w:t xml:space="preserve"> (24.3.2019)</w:t>
      </w:r>
    </w:p>
    <w:p w:rsidR="001651BF" w:rsidRPr="005C2CE6" w:rsidRDefault="001651BF" w:rsidP="00B22E8C">
      <w:pPr>
        <w:ind w:firstLine="0"/>
        <w:rPr>
          <w:rFonts w:cs="Times New Roman"/>
          <w:lang w:val="en-US"/>
        </w:rPr>
      </w:pPr>
      <w:r>
        <w:t>Cigler, A. J., B. A. Loomis. 2002. „</w:t>
      </w:r>
      <w:r w:rsidRPr="001651BF">
        <w:t>The Changing Nature of Interest Group Politics</w:t>
      </w:r>
      <w:r>
        <w:t xml:space="preserve">“. Pp. 1-33 in </w:t>
      </w:r>
      <w:r>
        <w:rPr>
          <w:i/>
        </w:rPr>
        <w:t>Interest group politics</w:t>
      </w:r>
      <w:r>
        <w:t>.</w:t>
      </w:r>
      <w:r w:rsidR="005C2CE6">
        <w:t xml:space="preserve"> (online)</w:t>
      </w:r>
      <w:r>
        <w:t xml:space="preserve"> Dostupné</w:t>
      </w:r>
      <w:r w:rsidR="005C2CE6">
        <w:t xml:space="preserve"> </w:t>
      </w:r>
      <w:r>
        <w:t xml:space="preserve">z: </w:t>
      </w:r>
      <w:r w:rsidR="005C2CE6">
        <w:t>&lt;</w:t>
      </w:r>
      <w:r w:rsidRPr="005C2CE6">
        <w:t>http://kropfpolisci.com/democracy.loomis.pdf</w:t>
      </w:r>
      <w:r w:rsidR="005C2CE6">
        <w:t>&gt;</w:t>
      </w:r>
      <w:r>
        <w:t xml:space="preserve"> (26.3.2019)</w:t>
      </w:r>
    </w:p>
    <w:p w:rsidR="00776C61" w:rsidRDefault="00776C61" w:rsidP="00B22E8C">
      <w:pPr>
        <w:ind w:firstLine="0"/>
        <w:rPr>
          <w:rFonts w:cs="Times New Roman"/>
        </w:rPr>
      </w:pPr>
      <w:r>
        <w:rPr>
          <w:rFonts w:cs="Times New Roman"/>
        </w:rPr>
        <w:lastRenderedPageBreak/>
        <w:t xml:space="preserve">Cropanzano, Russell, Marie S. Mitchell. Social exchenge theory: An interdisciplinary review. </w:t>
      </w:r>
      <w:r w:rsidR="005C2CE6">
        <w:rPr>
          <w:rFonts w:cs="Times New Roman"/>
        </w:rPr>
        <w:t xml:space="preserve">(online) </w:t>
      </w:r>
      <w:r>
        <w:rPr>
          <w:rFonts w:cs="Times New Roman"/>
        </w:rPr>
        <w:t xml:space="preserve">Dostupné z: </w:t>
      </w:r>
      <w:r w:rsidR="005C2CE6">
        <w:rPr>
          <w:rFonts w:cs="Times New Roman"/>
        </w:rPr>
        <w:t>&lt;</w:t>
      </w:r>
      <w:r w:rsidRPr="005C2CE6">
        <w:t>https://media.terry.uga.edu/socrates/publications/2013/05/Cropanzano__Mitchell_2005_SET_Review_JOM.pdf</w:t>
      </w:r>
      <w:r w:rsidR="005C2CE6">
        <w:t>&gt;</w:t>
      </w:r>
      <w:r>
        <w:t xml:space="preserve"> (25.3.2019)</w:t>
      </w:r>
    </w:p>
    <w:p w:rsidR="006B2E60" w:rsidRPr="00047805" w:rsidRDefault="006B2E60" w:rsidP="00764410">
      <w:pPr>
        <w:ind w:firstLine="0"/>
        <w:rPr>
          <w:rFonts w:cs="Times New Roman"/>
          <w:lang w:val="en-US"/>
        </w:rPr>
      </w:pPr>
      <w:r>
        <w:rPr>
          <w:rFonts w:cs="Times New Roman"/>
        </w:rPr>
        <w:t xml:space="preserve">DNV GL. 2019. Services. (online) </w:t>
      </w:r>
      <w:r w:rsidR="00047805">
        <w:rPr>
          <w:rFonts w:cs="Times New Roman"/>
        </w:rPr>
        <w:t>Dostupné z: &lt;</w:t>
      </w:r>
      <w:r w:rsidR="00047805" w:rsidRPr="00047805">
        <w:t>https://www.dnvgl.com/services?ServiceTypes=1050&amp;takeCount=2&amp;fl=1</w:t>
      </w:r>
      <w:r w:rsidR="00047805">
        <w:rPr>
          <w:rStyle w:val="Hyperlink"/>
          <w:color w:val="auto"/>
          <w:u w:val="none"/>
        </w:rPr>
        <w:t>&gt; (26.3-2019)</w:t>
      </w:r>
    </w:p>
    <w:p w:rsidR="00764410" w:rsidRPr="003A6D12" w:rsidRDefault="00764410" w:rsidP="00764410">
      <w:pPr>
        <w:ind w:firstLine="0"/>
        <w:rPr>
          <w:rFonts w:cs="Times New Roman"/>
          <w:lang w:val="en-US"/>
        </w:rPr>
      </w:pPr>
      <w:r>
        <w:rPr>
          <w:rStyle w:val="Hyperlink"/>
          <w:rFonts w:cs="Times New Roman"/>
          <w:color w:val="auto"/>
          <w:u w:val="none"/>
        </w:rPr>
        <w:t xml:space="preserve">Entsog. 2018. Mission. (online) Dostupné z: </w:t>
      </w:r>
      <w:r w:rsidR="003A6D12">
        <w:rPr>
          <w:rStyle w:val="Hyperlink"/>
          <w:rFonts w:cs="Times New Roman"/>
          <w:color w:val="auto"/>
          <w:u w:val="none"/>
        </w:rPr>
        <w:t>&lt;</w:t>
      </w:r>
      <w:r w:rsidRPr="003A6D12">
        <w:t>https://www.entsog.eu/mission</w:t>
      </w:r>
      <w:r w:rsidR="003A6D12">
        <w:rPr>
          <w:rStyle w:val="Hyperlink"/>
          <w:color w:val="auto"/>
          <w:u w:val="none"/>
        </w:rPr>
        <w:t>&gt;</w:t>
      </w:r>
      <w:r>
        <w:rPr>
          <w:rStyle w:val="Hyperlink"/>
          <w:color w:val="auto"/>
          <w:u w:val="none"/>
        </w:rPr>
        <w:t>(</w:t>
      </w:r>
      <w:r w:rsidR="003A6D12">
        <w:rPr>
          <w:rStyle w:val="Hyperlink"/>
          <w:color w:val="auto"/>
          <w:u w:val="none"/>
        </w:rPr>
        <w:t>1.4.2019)</w:t>
      </w:r>
    </w:p>
    <w:p w:rsidR="00845DAE" w:rsidRDefault="00B64D5A" w:rsidP="00845DAE">
      <w:pPr>
        <w:ind w:firstLine="0"/>
        <w:rPr>
          <w:rFonts w:cs="Times New Roman"/>
        </w:rPr>
      </w:pPr>
      <w:r>
        <w:rPr>
          <w:rStyle w:val="Hyperlink"/>
          <w:rFonts w:cs="Times New Roman"/>
          <w:color w:val="auto"/>
          <w:u w:val="none"/>
        </w:rPr>
        <w:t>Euractiv. 2010. Transparency Initiative.</w:t>
      </w:r>
      <w:r w:rsidR="005C2CE6">
        <w:rPr>
          <w:rStyle w:val="Hyperlink"/>
          <w:rFonts w:cs="Times New Roman"/>
          <w:color w:val="auto"/>
          <w:u w:val="none"/>
        </w:rPr>
        <w:t xml:space="preserve"> (online)</w:t>
      </w:r>
      <w:r>
        <w:rPr>
          <w:rStyle w:val="Hyperlink"/>
          <w:rFonts w:cs="Times New Roman"/>
          <w:color w:val="auto"/>
          <w:u w:val="none"/>
        </w:rPr>
        <w:t xml:space="preserve"> Dostupné  z: </w:t>
      </w:r>
      <w:r w:rsidR="003A6D12">
        <w:rPr>
          <w:rStyle w:val="Hyperlink"/>
          <w:rFonts w:cs="Times New Roman"/>
          <w:color w:val="auto"/>
          <w:u w:val="none"/>
        </w:rPr>
        <w:t>&lt;</w:t>
      </w:r>
      <w:r w:rsidR="003A6D12" w:rsidRPr="003A6D12">
        <w:t>https://www.euractiv.com/section/public-affairs/linksdossier/transparency-initiative/</w:t>
      </w:r>
      <w:r w:rsidR="003A6D12">
        <w:t xml:space="preserve">&gt; </w:t>
      </w:r>
      <w:r>
        <w:rPr>
          <w:rFonts w:cs="Times New Roman"/>
        </w:rPr>
        <w:t>(25.3.2019)</w:t>
      </w:r>
    </w:p>
    <w:p w:rsidR="00845DAE" w:rsidRPr="00845DAE" w:rsidRDefault="009031CE" w:rsidP="00845DAE">
      <w:pPr>
        <w:ind w:firstLine="0"/>
        <w:rPr>
          <w:rFonts w:cs="Times New Roman"/>
        </w:rPr>
      </w:pPr>
      <w:r>
        <w:rPr>
          <w:rFonts w:cs="Times New Roman"/>
        </w:rPr>
        <w:t xml:space="preserve">Eur-lex. 2016. European economic interest grouping. </w:t>
      </w:r>
      <w:r w:rsidR="00845DAE">
        <w:rPr>
          <w:rFonts w:cs="Times New Roman"/>
        </w:rPr>
        <w:t>(online) Dostupné z: &lt;</w:t>
      </w:r>
      <w:r w:rsidR="00845DAE" w:rsidRPr="00845DAE">
        <w:t>https://eur-lex.europa.eu/legal-content/EN/TXT/?uri=LEGISSUM%3Al26015</w:t>
      </w:r>
      <w:r w:rsidR="00845DAE">
        <w:t>&gt; (27.3.2019)</w:t>
      </w:r>
    </w:p>
    <w:p w:rsidR="0003689A" w:rsidRDefault="0003689A" w:rsidP="0003689A">
      <w:pPr>
        <w:ind w:firstLine="0"/>
        <w:rPr>
          <w:rStyle w:val="Hyperlink"/>
          <w:color w:val="auto"/>
          <w:u w:val="none"/>
        </w:rPr>
      </w:pPr>
      <w:r>
        <w:rPr>
          <w:rFonts w:cs="Times New Roman"/>
        </w:rPr>
        <w:t>Europa.eu.</w:t>
      </w:r>
      <w:r w:rsidR="00B46825">
        <w:rPr>
          <w:rFonts w:cs="Times New Roman"/>
        </w:rPr>
        <w:t xml:space="preserve"> </w:t>
      </w:r>
      <w:r>
        <w:rPr>
          <w:rFonts w:cs="Times New Roman"/>
        </w:rPr>
        <w:t>2019. Klíčová data.</w:t>
      </w:r>
      <w:r w:rsidR="00720EAE">
        <w:rPr>
          <w:rFonts w:cs="Times New Roman"/>
        </w:rPr>
        <w:t xml:space="preserve"> (online)</w:t>
      </w:r>
      <w:r>
        <w:rPr>
          <w:rFonts w:cs="Times New Roman"/>
        </w:rPr>
        <w:t xml:space="preserve"> Dostupné z: </w:t>
      </w:r>
      <w:r w:rsidR="003A6D12">
        <w:rPr>
          <w:rFonts w:cs="Times New Roman"/>
        </w:rPr>
        <w:t>&lt;</w:t>
      </w:r>
      <w:r w:rsidR="003A6D12" w:rsidRPr="003A6D12">
        <w:t>http://ec.europa.eu/transparencyregister/public/staticPage/displayStaticPage.do;TRPUBLICID-prod=EXXDiHMUBX2SAwjb_wt8leThsybc4sweLh1WJic5OngZM3Peegmb!-1297884402?locale=cs&amp;reference=KEY_DATES</w:t>
      </w:r>
      <w:r w:rsidR="003A6D12" w:rsidRPr="003A6D12">
        <w:rPr>
          <w:rStyle w:val="Hyperlink"/>
          <w:color w:val="auto"/>
          <w:u w:val="none"/>
        </w:rPr>
        <w:t xml:space="preserve">&gt; </w:t>
      </w:r>
      <w:r>
        <w:rPr>
          <w:rStyle w:val="Hyperlink"/>
          <w:color w:val="auto"/>
          <w:u w:val="none"/>
        </w:rPr>
        <w:t>(25.3.2019)</w:t>
      </w:r>
    </w:p>
    <w:p w:rsidR="002C0139" w:rsidRPr="002C0139" w:rsidRDefault="002C0139" w:rsidP="003B32E7">
      <w:pPr>
        <w:ind w:firstLine="0"/>
      </w:pPr>
      <w:r>
        <w:rPr>
          <w:rStyle w:val="Hyperlink"/>
          <w:color w:val="auto"/>
          <w:u w:val="none"/>
        </w:rPr>
        <w:t>European confederation of young entrepreneurs. 2019b. Vission – Mission - Goals. (online) Dostupné z: &lt;</w:t>
      </w:r>
      <w:r w:rsidRPr="002C0139">
        <w:t>http://www.yesforeurope.eu/about-us/vision-mission/</w:t>
      </w:r>
      <w:r>
        <w:rPr>
          <w:lang w:val="en-US"/>
        </w:rPr>
        <w:t xml:space="preserve">&gt; </w:t>
      </w:r>
      <w:r>
        <w:t>(23.3.2019)</w:t>
      </w:r>
    </w:p>
    <w:p w:rsidR="003B32E7" w:rsidRPr="003B32E7" w:rsidRDefault="003B32E7" w:rsidP="003B32E7">
      <w:pPr>
        <w:ind w:firstLine="0"/>
        <w:rPr>
          <w:lang w:val="en-US"/>
        </w:rPr>
      </w:pPr>
      <w:r>
        <w:t>Euroskop. 2018. Zahraniční a bezpečnostní politika. (online) Dostupné z: &lt;</w:t>
      </w:r>
      <w:r w:rsidRPr="003B32E7">
        <w:t>https://www.euroskop.cz/8916/sekce/zahranicni-a-bezpecnostni-politika/</w:t>
      </w:r>
      <w:r>
        <w:rPr>
          <w:rStyle w:val="Hyperlink"/>
          <w:color w:val="auto"/>
          <w:u w:val="none"/>
        </w:rPr>
        <w:t>&gt; (5.4.2019)</w:t>
      </w:r>
    </w:p>
    <w:p w:rsidR="00872E5A" w:rsidRPr="0003689A" w:rsidRDefault="00872E5A" w:rsidP="0003689A">
      <w:pPr>
        <w:ind w:firstLine="0"/>
      </w:pPr>
      <w:r>
        <w:rPr>
          <w:rStyle w:val="Hyperlink"/>
          <w:color w:val="auto"/>
          <w:u w:val="none"/>
        </w:rPr>
        <w:t>Evropská Komise. 2011. Zahraniční věci a bezpečnostní politika.</w:t>
      </w:r>
      <w:r w:rsidR="00720EAE">
        <w:rPr>
          <w:rStyle w:val="Hyperlink"/>
          <w:color w:val="auto"/>
          <w:u w:val="none"/>
        </w:rPr>
        <w:t xml:space="preserve"> (online) </w:t>
      </w:r>
      <w:r>
        <w:rPr>
          <w:rStyle w:val="Hyperlink"/>
          <w:color w:val="auto"/>
          <w:u w:val="none"/>
        </w:rPr>
        <w:t>Dostupné</w:t>
      </w:r>
      <w:r w:rsidR="00720EAE">
        <w:rPr>
          <w:rStyle w:val="Hyperlink"/>
          <w:color w:val="auto"/>
          <w:u w:val="none"/>
        </w:rPr>
        <w:t xml:space="preserve"> </w:t>
      </w:r>
      <w:r>
        <w:rPr>
          <w:rStyle w:val="Hyperlink"/>
          <w:color w:val="auto"/>
          <w:u w:val="none"/>
        </w:rPr>
        <w:t xml:space="preserve">z: </w:t>
      </w:r>
      <w:r w:rsidR="00720EAE">
        <w:rPr>
          <w:rStyle w:val="Hyperlink"/>
          <w:color w:val="auto"/>
          <w:u w:val="none"/>
        </w:rPr>
        <w:t>&lt;</w:t>
      </w:r>
      <w:r w:rsidRPr="00720EAE">
        <w:t>https://publications.europa.eu/en/publication-detail/-/publication/4f90782b-686a-11e8-ab9c-01aa75ed71a1</w:t>
      </w:r>
      <w:r w:rsidR="00720EAE">
        <w:t>&gt;</w:t>
      </w:r>
      <w:r>
        <w:t xml:space="preserve"> (30.3.2019)</w:t>
      </w:r>
    </w:p>
    <w:p w:rsidR="00B64D5A" w:rsidRPr="00B64D5A" w:rsidRDefault="00B64D5A" w:rsidP="00B64D5A">
      <w:pPr>
        <w:ind w:firstLine="0"/>
      </w:pPr>
      <w:r>
        <w:rPr>
          <w:rFonts w:cs="Times New Roman"/>
        </w:rPr>
        <w:t>Evropská Komise. 2009. Evropská iniciativa pro transparentnost: Rejstřík zástupc zájmových skupin,</w:t>
      </w:r>
      <w:r w:rsidR="00431608">
        <w:rPr>
          <w:rFonts w:cs="Times New Roman"/>
        </w:rPr>
        <w:t xml:space="preserve"> </w:t>
      </w:r>
      <w:r>
        <w:rPr>
          <w:rFonts w:cs="Times New Roman"/>
        </w:rPr>
        <w:t>rok poté.</w:t>
      </w:r>
      <w:r w:rsidR="00720EAE">
        <w:rPr>
          <w:rFonts w:cs="Times New Roman"/>
        </w:rPr>
        <w:t xml:space="preserve"> (online) </w:t>
      </w:r>
      <w:r>
        <w:rPr>
          <w:rFonts w:cs="Times New Roman"/>
        </w:rPr>
        <w:t xml:space="preserve">Dostupné z: </w:t>
      </w:r>
      <w:r w:rsidR="00720EAE">
        <w:rPr>
          <w:rFonts w:cs="Times New Roman"/>
        </w:rPr>
        <w:t>&lt;</w:t>
      </w:r>
      <w:r w:rsidRPr="00720EAE">
        <w:t>http://ec.europa.eu/transparency/regdoc/rep/1/2009/CS/1-2009-612-CS-F1-1.Pdf</w:t>
      </w:r>
      <w:r w:rsidR="00720EAE">
        <w:t>&gt;</w:t>
      </w:r>
      <w:r>
        <w:rPr>
          <w:rStyle w:val="Hyperlink"/>
        </w:rPr>
        <w:t xml:space="preserve"> </w:t>
      </w:r>
      <w:r>
        <w:rPr>
          <w:rStyle w:val="Hyperlink"/>
          <w:color w:val="auto"/>
          <w:u w:val="none"/>
        </w:rPr>
        <w:t>(29.3.2019)</w:t>
      </w:r>
    </w:p>
    <w:p w:rsidR="00495C8B" w:rsidRPr="000B6F50" w:rsidRDefault="0021791F" w:rsidP="0021791F">
      <w:pPr>
        <w:ind w:firstLine="0"/>
        <w:rPr>
          <w:rFonts w:cs="Times New Roman"/>
        </w:rPr>
      </w:pPr>
      <w:r>
        <w:rPr>
          <w:rStyle w:val="Hyperlink"/>
          <w:rFonts w:cs="Times New Roman"/>
          <w:color w:val="auto"/>
          <w:u w:val="none"/>
        </w:rPr>
        <w:t xml:space="preserve">Evropská Komise. 2006. Zelená kniha o Evropské iniciativě pro transparentnost. </w:t>
      </w:r>
      <w:r w:rsidR="000B6F50">
        <w:rPr>
          <w:rStyle w:val="Hyperlink"/>
          <w:rFonts w:cs="Times New Roman"/>
          <w:color w:val="auto"/>
          <w:u w:val="none"/>
        </w:rPr>
        <w:t>(online) Dostupné z:</w:t>
      </w:r>
      <w:r w:rsidR="00876007">
        <w:rPr>
          <w:rStyle w:val="Hyperlink"/>
          <w:rFonts w:cs="Times New Roman"/>
          <w:color w:val="auto"/>
          <w:u w:val="none"/>
        </w:rPr>
        <w:t xml:space="preserve"> </w:t>
      </w:r>
      <w:r w:rsidR="00720EAE">
        <w:rPr>
          <w:rStyle w:val="Hyperlink"/>
          <w:rFonts w:cs="Times New Roman"/>
          <w:color w:val="auto"/>
          <w:u w:val="none"/>
        </w:rPr>
        <w:t>&lt;</w:t>
      </w:r>
      <w:r w:rsidR="000614CD" w:rsidRPr="00720EAE">
        <w:rPr>
          <w:rFonts w:cs="Times New Roman"/>
        </w:rPr>
        <w:t>https://eur-lex.europa.eu/legal-content/CS/TXT/PDF/?uri=CELEX:52006DC0194&amp;from=EN</w:t>
      </w:r>
      <w:r w:rsidR="00720EAE" w:rsidRPr="00707B21">
        <w:rPr>
          <w:rStyle w:val="Hyperlink"/>
          <w:rFonts w:cs="Times New Roman"/>
          <w:color w:val="auto"/>
          <w:u w:val="none"/>
        </w:rPr>
        <w:t>&gt;</w:t>
      </w:r>
      <w:r w:rsidR="000B6F50">
        <w:rPr>
          <w:rStyle w:val="Hyperlink"/>
          <w:rFonts w:cs="Times New Roman"/>
          <w:color w:val="auto"/>
          <w:u w:val="none"/>
        </w:rPr>
        <w:t>(25.1.201</w:t>
      </w:r>
      <w:r w:rsidR="000614CD">
        <w:rPr>
          <w:rStyle w:val="Hyperlink"/>
          <w:rFonts w:cs="Times New Roman"/>
          <w:color w:val="auto"/>
          <w:u w:val="none"/>
        </w:rPr>
        <w:t>9</w:t>
      </w:r>
      <w:r w:rsidR="000B6F50">
        <w:rPr>
          <w:rStyle w:val="Hyperlink"/>
          <w:rFonts w:cs="Times New Roman"/>
          <w:color w:val="auto"/>
          <w:u w:val="none"/>
        </w:rPr>
        <w:t>)</w:t>
      </w:r>
      <w:r w:rsidR="000614CD">
        <w:rPr>
          <w:rStyle w:val="Hyperlink"/>
          <w:rFonts w:cs="Times New Roman"/>
          <w:color w:val="auto"/>
          <w:u w:val="none"/>
        </w:rPr>
        <w:t>.</w:t>
      </w:r>
    </w:p>
    <w:p w:rsidR="00876007" w:rsidRDefault="000614CD" w:rsidP="0021791F">
      <w:pPr>
        <w:ind w:firstLine="0"/>
        <w:rPr>
          <w:rStyle w:val="Hyperlink"/>
          <w:rFonts w:cs="Times New Roman"/>
          <w:color w:val="auto"/>
          <w:u w:val="none"/>
        </w:rPr>
      </w:pPr>
      <w:r>
        <w:rPr>
          <w:rStyle w:val="Hyperlink"/>
          <w:rFonts w:cs="Times New Roman"/>
          <w:color w:val="auto"/>
          <w:u w:val="none"/>
        </w:rPr>
        <w:t>Evr</w:t>
      </w:r>
      <w:r w:rsidR="00110D53">
        <w:rPr>
          <w:rStyle w:val="Hyperlink"/>
          <w:rFonts w:cs="Times New Roman"/>
          <w:color w:val="auto"/>
          <w:u w:val="none"/>
        </w:rPr>
        <w:t>o</w:t>
      </w:r>
      <w:r>
        <w:rPr>
          <w:rStyle w:val="Hyperlink"/>
          <w:rFonts w:cs="Times New Roman"/>
          <w:color w:val="auto"/>
          <w:u w:val="none"/>
        </w:rPr>
        <w:t xml:space="preserve">pská Komise. 2001. European Governance: A White Paper. (online) Dostupné z: </w:t>
      </w:r>
      <w:r w:rsidR="00720EAE">
        <w:rPr>
          <w:rStyle w:val="Hyperlink"/>
          <w:rFonts w:cs="Times New Roman"/>
          <w:color w:val="auto"/>
          <w:u w:val="none"/>
        </w:rPr>
        <w:t>&lt;</w:t>
      </w:r>
      <w:r w:rsidR="00720EAE" w:rsidRPr="00720EAE">
        <w:rPr>
          <w:rFonts w:cs="Times New Roman"/>
        </w:rPr>
        <w:t>http://europa.eu/rapid/press-release_DOC-01-10_en.htm</w:t>
      </w:r>
      <w:r w:rsidR="00720EAE">
        <w:rPr>
          <w:rFonts w:cs="Times New Roman"/>
        </w:rPr>
        <w:t>&gt;</w:t>
      </w:r>
      <w:r>
        <w:rPr>
          <w:rStyle w:val="Hyperlink"/>
          <w:rFonts w:cs="Times New Roman"/>
          <w:color w:val="auto"/>
          <w:u w:val="none"/>
        </w:rPr>
        <w:t xml:space="preserve"> (1.2. 2019)</w:t>
      </w:r>
    </w:p>
    <w:p w:rsidR="00F61581" w:rsidRDefault="00B46825" w:rsidP="00F61581">
      <w:pPr>
        <w:ind w:firstLine="0"/>
      </w:pPr>
      <w:r>
        <w:rPr>
          <w:rStyle w:val="Hyperlink"/>
          <w:rFonts w:cs="Times New Roman"/>
          <w:color w:val="auto"/>
          <w:u w:val="none"/>
        </w:rPr>
        <w:t>Evropská Unie.</w:t>
      </w:r>
      <w:r w:rsidR="0078700F">
        <w:rPr>
          <w:rStyle w:val="Hyperlink"/>
          <w:rFonts w:cs="Times New Roman"/>
          <w:color w:val="auto"/>
          <w:u w:val="none"/>
        </w:rPr>
        <w:t xml:space="preserve"> </w:t>
      </w:r>
      <w:r>
        <w:rPr>
          <w:rStyle w:val="Hyperlink"/>
          <w:rFonts w:cs="Times New Roman"/>
          <w:color w:val="auto"/>
          <w:u w:val="none"/>
        </w:rPr>
        <w:t xml:space="preserve">2019. </w:t>
      </w:r>
      <w:r w:rsidRPr="00B46825">
        <w:rPr>
          <w:rStyle w:val="Hyperlink"/>
          <w:rFonts w:cs="Times New Roman"/>
          <w:color w:val="auto"/>
          <w:u w:val="none"/>
        </w:rPr>
        <w:t>Vzdělávání, odborná příprava a mládež</w:t>
      </w:r>
      <w:r>
        <w:rPr>
          <w:rStyle w:val="Hyperlink"/>
          <w:rFonts w:cs="Times New Roman"/>
          <w:color w:val="auto"/>
          <w:u w:val="none"/>
        </w:rPr>
        <w:t>. (online) Dostupné z: &lt;</w:t>
      </w:r>
      <w:r w:rsidRPr="00B46825">
        <w:t>https://europa.eu/european-union/topics/education-training-youth_cs</w:t>
      </w:r>
      <w:r>
        <w:t>&gt; (29.3.2019)</w:t>
      </w:r>
    </w:p>
    <w:p w:rsidR="00F61581" w:rsidRDefault="00F61581" w:rsidP="00F61581">
      <w:pPr>
        <w:ind w:firstLine="0"/>
        <w:rPr>
          <w:rStyle w:val="Hyperlink"/>
          <w:color w:val="auto"/>
          <w:u w:val="none"/>
        </w:rPr>
      </w:pPr>
      <w:r>
        <w:lastRenderedPageBreak/>
        <w:t>Evropská Unie. 2019. Zemědělství. (online)</w:t>
      </w:r>
      <w:r w:rsidR="004C664D">
        <w:t xml:space="preserve"> </w:t>
      </w:r>
      <w:r>
        <w:t>Dostupné z: &lt;</w:t>
      </w:r>
      <w:r w:rsidRPr="00D333F8">
        <w:t>https://europa.eu/european-union/topics/agriculture_cs</w:t>
      </w:r>
      <w:r>
        <w:rPr>
          <w:rStyle w:val="Hyperlink"/>
          <w:color w:val="auto"/>
          <w:u w:val="none"/>
          <w:lang w:val="en-US"/>
        </w:rPr>
        <w:t>&gt;</w:t>
      </w:r>
      <w:r>
        <w:rPr>
          <w:rStyle w:val="Hyperlink"/>
          <w:color w:val="auto"/>
          <w:u w:val="none"/>
        </w:rPr>
        <w:t xml:space="preserve"> (4.4. 2019)</w:t>
      </w:r>
    </w:p>
    <w:p w:rsidR="004C664D" w:rsidRDefault="004C664D" w:rsidP="00F61581">
      <w:pPr>
        <w:ind w:firstLine="0"/>
      </w:pPr>
      <w:r>
        <w:rPr>
          <w:rStyle w:val="Hyperlink"/>
          <w:color w:val="auto"/>
          <w:u w:val="none"/>
        </w:rPr>
        <w:t>Evropská Unie. 2019. Bezpečnost potravin. (online) Dostupné z: &lt;</w:t>
      </w:r>
      <w:r w:rsidRPr="00D333F8">
        <w:t>https://europa.eu/european-union/topics/food-safety_cs</w:t>
      </w:r>
      <w:r>
        <w:rPr>
          <w:lang w:val="en-US"/>
        </w:rPr>
        <w:t>&gt;</w:t>
      </w:r>
      <w:r>
        <w:t xml:space="preserve"> (5.4.2019)</w:t>
      </w:r>
    </w:p>
    <w:p w:rsidR="003B32E7" w:rsidRPr="003B32E7" w:rsidRDefault="003B32E7" w:rsidP="00F61581">
      <w:pPr>
        <w:ind w:firstLine="0"/>
        <w:rPr>
          <w:rStyle w:val="Hyperlink"/>
          <w:color w:val="auto"/>
          <w:u w:val="none"/>
        </w:rPr>
      </w:pPr>
      <w:r>
        <w:t>Evropská Unie. 2019. Zahraniční a bezpečnostní politika. (online) Dostupné z: &lt;</w:t>
      </w:r>
      <w:r w:rsidRPr="003B32E7">
        <w:t>https://europa.eu/european-union/topics/foreign-security-policy_cs</w:t>
      </w:r>
      <w:r>
        <w:rPr>
          <w:rStyle w:val="Hyperlink"/>
          <w:color w:val="auto"/>
          <w:u w:val="none"/>
          <w:lang w:val="en-US"/>
        </w:rPr>
        <w:t>&gt;</w:t>
      </w:r>
      <w:r>
        <w:rPr>
          <w:rStyle w:val="Hyperlink"/>
          <w:color w:val="auto"/>
          <w:u w:val="none"/>
        </w:rPr>
        <w:t xml:space="preserve"> (28.3.2019)</w:t>
      </w:r>
    </w:p>
    <w:p w:rsidR="00485AFC" w:rsidRDefault="0025136E" w:rsidP="00485AFC">
      <w:pPr>
        <w:ind w:firstLine="0"/>
        <w:rPr>
          <w:rStyle w:val="Hyperlink"/>
          <w:rFonts w:cs="Times New Roman"/>
          <w:color w:val="auto"/>
          <w:u w:val="none"/>
        </w:rPr>
      </w:pPr>
      <w:r>
        <w:rPr>
          <w:rStyle w:val="Hyperlink"/>
          <w:rFonts w:cs="Times New Roman"/>
          <w:color w:val="auto"/>
          <w:u w:val="none"/>
        </w:rPr>
        <w:t>Falco De Dante, Federico. 2019. „</w:t>
      </w:r>
      <w:r w:rsidRPr="0025136E">
        <w:rPr>
          <w:rStyle w:val="Hyperlink"/>
          <w:rFonts w:cs="Times New Roman"/>
          <w:color w:val="auto"/>
          <w:u w:val="none"/>
        </w:rPr>
        <w:t>Lobbying EU Trade Policy: Which Are The Most Efficient Points</w:t>
      </w:r>
      <w:r w:rsidR="005C35FC">
        <w:rPr>
          <w:rStyle w:val="Hyperlink"/>
          <w:rFonts w:cs="Times New Roman"/>
          <w:color w:val="auto"/>
          <w:u w:val="none"/>
        </w:rPr>
        <w:t xml:space="preserve"> </w:t>
      </w:r>
      <w:r w:rsidRPr="0025136E">
        <w:rPr>
          <w:rStyle w:val="Hyperlink"/>
          <w:rFonts w:cs="Times New Roman"/>
          <w:color w:val="auto"/>
          <w:u w:val="none"/>
        </w:rPr>
        <w:t>Of</w:t>
      </w:r>
      <w:r w:rsidR="005C35FC">
        <w:rPr>
          <w:rStyle w:val="Hyperlink"/>
          <w:rFonts w:cs="Times New Roman"/>
          <w:color w:val="auto"/>
          <w:u w:val="none"/>
        </w:rPr>
        <w:t xml:space="preserve"> </w:t>
      </w:r>
      <w:r w:rsidRPr="0025136E">
        <w:rPr>
          <w:rStyle w:val="Hyperlink"/>
          <w:rFonts w:cs="Times New Roman"/>
          <w:color w:val="auto"/>
          <w:u w:val="none"/>
        </w:rPr>
        <w:t>Access</w:t>
      </w:r>
      <w:r w:rsidR="00AB518C">
        <w:rPr>
          <w:rStyle w:val="Hyperlink"/>
          <w:rFonts w:cs="Times New Roman"/>
          <w:color w:val="auto"/>
          <w:u w:val="none"/>
        </w:rPr>
        <w:t>?“.</w:t>
      </w:r>
      <w:r w:rsidR="00720EAE">
        <w:rPr>
          <w:rStyle w:val="Hyperlink"/>
          <w:rFonts w:cs="Times New Roman"/>
          <w:color w:val="auto"/>
          <w:u w:val="none"/>
        </w:rPr>
        <w:t xml:space="preserve"> (online)</w:t>
      </w:r>
      <w:r w:rsidR="00AB518C">
        <w:rPr>
          <w:rStyle w:val="Hyperlink"/>
          <w:rFonts w:cs="Times New Roman"/>
          <w:color w:val="auto"/>
          <w:u w:val="none"/>
        </w:rPr>
        <w:t xml:space="preserve"> Dostupné</w:t>
      </w:r>
      <w:r w:rsidR="00720EAE">
        <w:rPr>
          <w:rStyle w:val="Hyperlink"/>
          <w:rFonts w:cs="Times New Roman"/>
          <w:color w:val="auto"/>
          <w:u w:val="none"/>
        </w:rPr>
        <w:t xml:space="preserve"> </w:t>
      </w:r>
      <w:r w:rsidR="00AB518C">
        <w:rPr>
          <w:rStyle w:val="Hyperlink"/>
          <w:rFonts w:cs="Times New Roman"/>
          <w:color w:val="auto"/>
          <w:u w:val="none"/>
        </w:rPr>
        <w:t>z:</w:t>
      </w:r>
      <w:r w:rsidR="005C35FC">
        <w:rPr>
          <w:rStyle w:val="Hyperlink"/>
          <w:rFonts w:cs="Times New Roman"/>
          <w:color w:val="auto"/>
          <w:u w:val="none"/>
        </w:rPr>
        <w:t xml:space="preserve"> </w:t>
      </w:r>
      <w:r w:rsidR="00720EAE">
        <w:rPr>
          <w:rStyle w:val="Hyperlink"/>
          <w:rFonts w:cs="Times New Roman"/>
          <w:color w:val="auto"/>
          <w:u w:val="none"/>
        </w:rPr>
        <w:t>&lt;</w:t>
      </w:r>
      <w:r w:rsidR="00720B52" w:rsidRPr="00720EAE">
        <w:rPr>
          <w:rFonts w:cs="Times New Roman"/>
        </w:rPr>
        <w:t>https://www.researchgate.net/publication/331064011_Lobbying_EU_Trade_Policy_Which_Are_The_Most_Efficient_Points_Of_Access</w:t>
      </w:r>
      <w:r w:rsidR="00720EAE">
        <w:rPr>
          <w:rFonts w:cs="Times New Roman"/>
        </w:rPr>
        <w:t>&gt;</w:t>
      </w:r>
      <w:r w:rsidR="00AB518C">
        <w:rPr>
          <w:rStyle w:val="Hyperlink"/>
          <w:rFonts w:cs="Times New Roman"/>
          <w:color w:val="auto"/>
          <w:u w:val="none"/>
        </w:rPr>
        <w:t xml:space="preserve"> (25.2.2019)</w:t>
      </w:r>
    </w:p>
    <w:p w:rsidR="00485AFC" w:rsidRDefault="00485AFC" w:rsidP="00485AFC">
      <w:pPr>
        <w:ind w:firstLine="0"/>
      </w:pPr>
      <w:r>
        <w:rPr>
          <w:rStyle w:val="Hyperlink"/>
          <w:rFonts w:cs="Times New Roman"/>
          <w:color w:val="auto"/>
          <w:u w:val="none"/>
        </w:rPr>
        <w:t>Federunacoma. 2019. Activities. (online) Dostupné z: &lt;</w:t>
      </w:r>
      <w:r w:rsidRPr="00485AFC">
        <w:t>https://www.federunacoma.it/en/chisiamo/attivita.php</w:t>
      </w:r>
      <w:r>
        <w:rPr>
          <w:lang w:val="en-US"/>
        </w:rPr>
        <w:t>&gt;</w:t>
      </w:r>
      <w:r>
        <w:t xml:space="preserve"> (4.4.2019)</w:t>
      </w:r>
    </w:p>
    <w:p w:rsidR="00301E4E" w:rsidRPr="00301E4E" w:rsidRDefault="00301E4E" w:rsidP="00485AFC">
      <w:pPr>
        <w:ind w:firstLine="0"/>
        <w:rPr>
          <w:rStyle w:val="Hyperlink"/>
          <w:rFonts w:cs="Times New Roman"/>
          <w:color w:val="auto"/>
          <w:u w:val="none"/>
          <w:lang w:val="en-US"/>
        </w:rPr>
      </w:pPr>
      <w:r>
        <w:t>FEEM. 2019. Membership. (online) Dostupné z: &lt;</w:t>
      </w:r>
      <w:r w:rsidRPr="00301E4E">
        <w:t>http://www.feem-europe.org/fr/About-FEEM/FEEM-Membership/</w:t>
      </w:r>
      <w:r>
        <w:t>&gt; (29.3.2019)</w:t>
      </w:r>
    </w:p>
    <w:p w:rsidR="00690A51" w:rsidRPr="00690A51" w:rsidRDefault="00690A51" w:rsidP="00690A51">
      <w:pPr>
        <w:ind w:firstLine="0"/>
        <w:rPr>
          <w:rFonts w:cs="Times New Roman"/>
          <w:lang w:val="en-US"/>
        </w:rPr>
      </w:pPr>
      <w:r>
        <w:rPr>
          <w:rStyle w:val="Hyperlink"/>
          <w:rFonts w:cs="Times New Roman"/>
          <w:color w:val="auto"/>
          <w:u w:val="none"/>
        </w:rPr>
        <w:t>FEDIL. 2019. About us. (online) Dostupné z: &lt;</w:t>
      </w:r>
      <w:r w:rsidRPr="00690A51">
        <w:t>https://www.fedil.lu/en/about-us/</w:t>
      </w:r>
      <w:r>
        <w:rPr>
          <w:rStyle w:val="Hyperlink"/>
          <w:color w:val="auto"/>
          <w:u w:val="none"/>
        </w:rPr>
        <w:t>&gt; (26.3.2019)</w:t>
      </w:r>
    </w:p>
    <w:p w:rsidR="00725921" w:rsidRPr="00725921" w:rsidRDefault="00725921" w:rsidP="00725921">
      <w:pPr>
        <w:ind w:firstLine="0"/>
        <w:rPr>
          <w:rFonts w:cs="Times New Roman"/>
          <w:lang w:val="en-US"/>
        </w:rPr>
      </w:pPr>
      <w:r>
        <w:rPr>
          <w:rStyle w:val="Hyperlink"/>
          <w:rFonts w:cs="Times New Roman"/>
          <w:color w:val="auto"/>
          <w:u w:val="none"/>
        </w:rPr>
        <w:t>FIAPF. 2019. International film festivals. (online) Dostupné z: &lt;</w:t>
      </w:r>
      <w:r w:rsidRPr="00725921">
        <w:t>http://www.fiapf.org/intfilmfestivals.asp</w:t>
      </w:r>
      <w:r>
        <w:rPr>
          <w:rStyle w:val="Hyperlink"/>
          <w:color w:val="auto"/>
          <w:u w:val="none"/>
        </w:rPr>
        <w:t>&gt;</w:t>
      </w:r>
      <w:r>
        <w:rPr>
          <w:rStyle w:val="Hyperlink"/>
          <w:color w:val="auto"/>
          <w:u w:val="none"/>
          <w:lang w:val="en-US"/>
        </w:rPr>
        <w:t xml:space="preserve"> </w:t>
      </w:r>
      <w:r>
        <w:rPr>
          <w:rStyle w:val="Hyperlink"/>
          <w:color w:val="auto"/>
          <w:u w:val="none"/>
        </w:rPr>
        <w:t>(30.3.2019)</w:t>
      </w:r>
    </w:p>
    <w:p w:rsidR="00F170DD" w:rsidRDefault="002D7517" w:rsidP="00F170DD">
      <w:pPr>
        <w:ind w:firstLine="0"/>
        <w:rPr>
          <w:rStyle w:val="Hyperlink"/>
          <w:rFonts w:cs="Times New Roman"/>
          <w:color w:val="auto"/>
          <w:u w:val="none"/>
        </w:rPr>
      </w:pPr>
      <w:r>
        <w:rPr>
          <w:rStyle w:val="Hyperlink"/>
          <w:rFonts w:cs="Times New Roman"/>
          <w:color w:val="auto"/>
          <w:u w:val="none"/>
        </w:rPr>
        <w:t xml:space="preserve">Giovannoni, Francesco. 2011. „Lobbying versus Corruption“. </w:t>
      </w:r>
      <w:r w:rsidRPr="002D7517">
        <w:rPr>
          <w:rStyle w:val="Hyperlink"/>
          <w:rFonts w:cs="Times New Roman"/>
          <w:i/>
          <w:color w:val="auto"/>
          <w:u w:val="none"/>
        </w:rPr>
        <w:t>CESifo DICE Report</w:t>
      </w:r>
      <w:r>
        <w:rPr>
          <w:rStyle w:val="Hyperlink"/>
          <w:rFonts w:cs="Times New Roman"/>
          <w:color w:val="auto"/>
          <w:u w:val="none"/>
        </w:rPr>
        <w:t xml:space="preserve"> 9 (1): 12-16.</w:t>
      </w:r>
      <w:r w:rsidR="00720EAE">
        <w:rPr>
          <w:rStyle w:val="Hyperlink"/>
          <w:rFonts w:cs="Times New Roman"/>
          <w:color w:val="auto"/>
          <w:u w:val="none"/>
        </w:rPr>
        <w:t xml:space="preserve"> (online) </w:t>
      </w:r>
      <w:r>
        <w:rPr>
          <w:rStyle w:val="Hyperlink"/>
          <w:rFonts w:cs="Times New Roman"/>
          <w:color w:val="auto"/>
          <w:u w:val="none"/>
        </w:rPr>
        <w:t xml:space="preserve">Dostupné z: </w:t>
      </w:r>
      <w:r w:rsidR="00720EAE">
        <w:rPr>
          <w:rStyle w:val="Hyperlink"/>
          <w:rFonts w:cs="Times New Roman"/>
          <w:color w:val="auto"/>
          <w:u w:val="none"/>
        </w:rPr>
        <w:t>&lt;</w:t>
      </w:r>
      <w:r w:rsidRPr="00720EAE">
        <w:rPr>
          <w:rFonts w:cs="Times New Roman"/>
        </w:rPr>
        <w:t>https://www.econstor.eu/bitstream/10419/167025/1/ifo-dice-report-v09-y2011-i1-p12-16.pdf</w:t>
      </w:r>
      <w:r w:rsidR="00720EAE">
        <w:rPr>
          <w:rFonts w:cs="Times New Roman"/>
        </w:rPr>
        <w:t>&gt;</w:t>
      </w:r>
      <w:r>
        <w:rPr>
          <w:rStyle w:val="Hyperlink"/>
          <w:rFonts w:cs="Times New Roman"/>
          <w:color w:val="auto"/>
          <w:u w:val="none"/>
        </w:rPr>
        <w:t xml:space="preserve"> (26.1.2019).</w:t>
      </w:r>
    </w:p>
    <w:p w:rsidR="00F170DD" w:rsidRPr="00F170DD" w:rsidRDefault="00F170DD" w:rsidP="00F170DD">
      <w:pPr>
        <w:ind w:firstLine="0"/>
        <w:rPr>
          <w:rStyle w:val="Hyperlink"/>
          <w:rFonts w:cs="Times New Roman"/>
          <w:color w:val="auto"/>
          <w:u w:val="none"/>
        </w:rPr>
      </w:pPr>
      <w:r>
        <w:rPr>
          <w:rStyle w:val="Hyperlink"/>
          <w:rFonts w:cs="Times New Roman"/>
          <w:color w:val="auto"/>
          <w:u w:val="none"/>
        </w:rPr>
        <w:t>Hargrave, Marshall. 2019. What is GmbH. (online) Dostupné z: &lt;</w:t>
      </w:r>
      <w:r w:rsidRPr="00F170DD">
        <w:t>https://www.investopedia.com/terms/g/gmbh.asp</w:t>
      </w:r>
      <w:r>
        <w:rPr>
          <w:rStyle w:val="Hyperlink"/>
          <w:color w:val="auto"/>
          <w:u w:val="none"/>
          <w:lang w:val="en-US"/>
        </w:rPr>
        <w:t>&gt;</w:t>
      </w:r>
      <w:r w:rsidRPr="00F170DD">
        <w:rPr>
          <w:rStyle w:val="Hyperlink"/>
          <w:color w:val="auto"/>
          <w:u w:val="none"/>
        </w:rPr>
        <w:t xml:space="preserve"> </w:t>
      </w:r>
      <w:r>
        <w:rPr>
          <w:rStyle w:val="Hyperlink"/>
          <w:color w:val="auto"/>
          <w:u w:val="none"/>
        </w:rPr>
        <w:t>(3.4.2019)</w:t>
      </w:r>
    </w:p>
    <w:p w:rsidR="00F614E2" w:rsidRDefault="00F614E2" w:rsidP="00A33587">
      <w:pPr>
        <w:ind w:firstLine="0"/>
      </w:pPr>
      <w:r>
        <w:rPr>
          <w:rFonts w:cs="Times New Roman"/>
        </w:rPr>
        <w:t>Charrad, Kristina. 2009. Lobbying the European Union.</w:t>
      </w:r>
      <w:r w:rsidR="00720EAE">
        <w:rPr>
          <w:rFonts w:cs="Times New Roman"/>
        </w:rPr>
        <w:t xml:space="preserve"> (online)</w:t>
      </w:r>
      <w:r>
        <w:rPr>
          <w:rFonts w:cs="Times New Roman"/>
        </w:rPr>
        <w:t xml:space="preserve"> Dostupné z: </w:t>
      </w:r>
      <w:r w:rsidR="00720EAE">
        <w:rPr>
          <w:rFonts w:cs="Times New Roman"/>
        </w:rPr>
        <w:t>&lt;</w:t>
      </w:r>
      <w:r w:rsidRPr="00720EAE">
        <w:t>http://www.lobbyists.ru/eu/Charrad_Literaturbericht_Lobbying_mit_Deckblatt.pdf</w:t>
      </w:r>
      <w:r w:rsidR="00720EAE">
        <w:t>&gt;</w:t>
      </w:r>
      <w:r>
        <w:t xml:space="preserve"> (26.3.2019)</w:t>
      </w:r>
    </w:p>
    <w:p w:rsidR="00876007" w:rsidRPr="00876007" w:rsidRDefault="00876007" w:rsidP="0021791F">
      <w:pPr>
        <w:ind w:firstLine="0"/>
        <w:rPr>
          <w:rStyle w:val="Hyperlink"/>
          <w:rFonts w:cs="Times New Roman"/>
          <w:color w:val="auto"/>
          <w:u w:val="none"/>
          <w:lang w:val="en-US"/>
        </w:rPr>
      </w:pPr>
      <w:r>
        <w:rPr>
          <w:rStyle w:val="Hyperlink"/>
          <w:rFonts w:cs="Times New Roman"/>
          <w:color w:val="auto"/>
          <w:u w:val="none"/>
        </w:rPr>
        <w:t>Katarzyna, Iskra Anna. 2018. Sport. (online) Dostupné z: &lt;</w:t>
      </w:r>
      <w:r w:rsidRPr="00876007">
        <w:t>http://www.europarl.europa.eu/factsheets/cs/sheet/143/sport</w:t>
      </w:r>
      <w:r>
        <w:t>&gt; (2.4.2019)</w:t>
      </w:r>
    </w:p>
    <w:p w:rsidR="00332400" w:rsidRPr="00332400" w:rsidRDefault="00332400" w:rsidP="0021791F">
      <w:pPr>
        <w:ind w:firstLine="0"/>
        <w:rPr>
          <w:rFonts w:cs="Times New Roman"/>
          <w:lang w:val="en-US"/>
        </w:rPr>
      </w:pPr>
      <w:r>
        <w:rPr>
          <w:rStyle w:val="Hyperlink"/>
          <w:rFonts w:cs="Times New Roman"/>
          <w:color w:val="auto"/>
          <w:u w:val="none"/>
        </w:rPr>
        <w:t>Lebbink, Aleko. 2012. „</w:t>
      </w:r>
      <w:r w:rsidRPr="00332400">
        <w:rPr>
          <w:rStyle w:val="Hyperlink"/>
          <w:rFonts w:cs="Times New Roman"/>
          <w:color w:val="auto"/>
          <w:u w:val="none"/>
        </w:rPr>
        <w:t>AISBL vs ASBL: a distinction which is not (necessarily) known</w:t>
      </w:r>
      <w:r>
        <w:rPr>
          <w:rStyle w:val="Hyperlink"/>
          <w:rFonts w:cs="Times New Roman"/>
          <w:color w:val="auto"/>
          <w:u w:val="none"/>
        </w:rPr>
        <w:t xml:space="preserve">“. (online) Dostupné z: </w:t>
      </w:r>
      <w:r>
        <w:rPr>
          <w:rStyle w:val="Hyperlink"/>
          <w:rFonts w:cs="Times New Roman"/>
          <w:color w:val="auto"/>
          <w:u w:val="none"/>
          <w:lang w:val="en-US"/>
        </w:rPr>
        <w:t>&lt;</w:t>
      </w:r>
      <w:r w:rsidRPr="00332400">
        <w:t>https://www.lexgo.be/en/papers/commercial-company-law/non-profit-organization-law/aisbl-vs-asbl-a-distinction-which-is-not-necessarily-known,74063.html</w:t>
      </w:r>
      <w:r>
        <w:t xml:space="preserve">&gt; (1.4.2019) </w:t>
      </w:r>
    </w:p>
    <w:p w:rsidR="00D333F8" w:rsidRDefault="00D333F8" w:rsidP="0021791F">
      <w:pPr>
        <w:ind w:firstLine="0"/>
      </w:pPr>
      <w:r>
        <w:t xml:space="preserve">Lloyd’s Register. 2019. </w:t>
      </w:r>
      <w:r w:rsidRPr="00D333F8">
        <w:t>Safe &amp; sustainable agriculture, farming &amp; fishing</w:t>
      </w:r>
      <w:r>
        <w:t>. (online) Dostupné z: &lt;</w:t>
      </w:r>
      <w:r w:rsidRPr="00D333F8">
        <w:t>https://www.lr.org/en/food-beverage-hospitality/primary-production/</w:t>
      </w:r>
      <w:r>
        <w:rPr>
          <w:lang w:val="en-US"/>
        </w:rPr>
        <w:t>&gt;</w:t>
      </w:r>
      <w:r>
        <w:t xml:space="preserve"> (1.4.2019)</w:t>
      </w:r>
    </w:p>
    <w:p w:rsidR="00F61581" w:rsidRPr="00F61581" w:rsidRDefault="00F61581" w:rsidP="00F61581">
      <w:pPr>
        <w:ind w:firstLine="0"/>
        <w:rPr>
          <w:rStyle w:val="Hyperlink"/>
          <w:color w:val="auto"/>
          <w:u w:val="none"/>
        </w:rPr>
      </w:pPr>
      <w:r>
        <w:lastRenderedPageBreak/>
        <w:t>News media Europe. 2019. Our values. (online) Dotsupné z: &lt;</w:t>
      </w:r>
      <w:r w:rsidRPr="00F61581">
        <w:t>http://www.newsmediaeurope.eu/our-values/</w:t>
      </w:r>
      <w:r>
        <w:rPr>
          <w:lang w:val="en-US"/>
        </w:rPr>
        <w:t>&gt;</w:t>
      </w:r>
      <w:r>
        <w:t xml:space="preserve"> (28.3.2019)</w:t>
      </w:r>
    </w:p>
    <w:p w:rsidR="007136F1" w:rsidRDefault="007136F1" w:rsidP="0021791F">
      <w:pPr>
        <w:ind w:firstLine="0"/>
        <w:rPr>
          <w:rFonts w:cs="Times New Roman"/>
        </w:rPr>
      </w:pPr>
      <w:r>
        <w:t xml:space="preserve">Oksigen Lab. 2019. (online) Dostupné z:&lt; </w:t>
      </w:r>
      <w:r w:rsidRPr="007136F1">
        <w:t>https://www.oksigenlab.eu/</w:t>
      </w:r>
      <w:r>
        <w:t>&gt; (3.4.2019)</w:t>
      </w:r>
    </w:p>
    <w:p w:rsidR="001D5CC5" w:rsidRDefault="001D5CC5" w:rsidP="009B6604">
      <w:pPr>
        <w:ind w:firstLine="0"/>
      </w:pPr>
      <w:r>
        <w:t xml:space="preserve">Register of Commision expert groups and other similarities. 2019. (online) Dostupné z: </w:t>
      </w:r>
      <w:r>
        <w:rPr>
          <w:lang w:val="en-US"/>
        </w:rPr>
        <w:t>&lt;</w:t>
      </w:r>
      <w:r w:rsidRPr="001D5CC5">
        <w:t>http://ec.europa.eu/transparency/regexpert/index.cfm?do=groupDetail.groupDetail&amp;groupID=1784</w:t>
      </w:r>
      <w:r>
        <w:t>&gt; (3.4.2019)</w:t>
      </w:r>
    </w:p>
    <w:p w:rsidR="008B2152" w:rsidRPr="008B2152" w:rsidRDefault="008B2152" w:rsidP="009B6604">
      <w:pPr>
        <w:ind w:firstLine="0"/>
        <w:rPr>
          <w:lang w:val="en-US"/>
        </w:rPr>
      </w:pPr>
      <w:r>
        <w:t>Rejstřík zástupců zájmových skupin. 2018, 2019. (online) Dostupné z: &lt;</w:t>
      </w:r>
      <w:r w:rsidRPr="008B2152">
        <w:t>http://ec.europa.eu/transparencyregister/public/consultation/search.do?locale=cs&amp;reset=</w:t>
      </w:r>
      <w:r>
        <w:rPr>
          <w:lang w:val="en-US"/>
        </w:rPr>
        <w:t>&gt;</w:t>
      </w:r>
    </w:p>
    <w:p w:rsidR="00B77F2F" w:rsidRPr="00B77F2F" w:rsidRDefault="00B77F2F" w:rsidP="00B77F2F">
      <w:pPr>
        <w:ind w:firstLine="0"/>
        <w:rPr>
          <w:rStyle w:val="Hyperlink"/>
          <w:color w:val="auto"/>
          <w:u w:val="none"/>
          <w:lang w:val="en-US"/>
        </w:rPr>
      </w:pPr>
      <w:r>
        <w:t>SKL. 2019. School to work. (online) Dostupné z: &lt;</w:t>
      </w:r>
      <w:r w:rsidRPr="00B77F2F">
        <w:t>https://skl.se/tjanster/englishpages/activities/schooltowork.11353.html</w:t>
      </w:r>
      <w:r>
        <w:rPr>
          <w:rStyle w:val="Hyperlink"/>
          <w:color w:val="auto"/>
          <w:u w:val="none"/>
        </w:rPr>
        <w:t>&gt; (29.3.2019)</w:t>
      </w:r>
    </w:p>
    <w:p w:rsidR="001E5CF1" w:rsidRDefault="001E5CF1" w:rsidP="00720B52">
      <w:pPr>
        <w:ind w:firstLine="0"/>
      </w:pPr>
      <w:r>
        <w:t>Streeck, Wolfgang. 1991. From national corporatism to transnational pluralism: European interest politics and the single market.</w:t>
      </w:r>
      <w:r w:rsidR="000C27DE">
        <w:t xml:space="preserve"> (online)</w:t>
      </w:r>
      <w:r w:rsidR="00F614E2">
        <w:t xml:space="preserve"> </w:t>
      </w:r>
      <w:r>
        <w:t>Dostupné</w:t>
      </w:r>
      <w:r w:rsidR="000C27DE">
        <w:t xml:space="preserve"> </w:t>
      </w:r>
      <w:r>
        <w:t xml:space="preserve">z: </w:t>
      </w:r>
      <w:r w:rsidR="000C27DE">
        <w:t>&lt;</w:t>
      </w:r>
      <w:r w:rsidRPr="000C27DE">
        <w:t>https://kellogg.nd.edu/sites/default/files/old_files/documents/164_0.pdf</w:t>
      </w:r>
      <w:r w:rsidR="000C27DE">
        <w:t>&gt;</w:t>
      </w:r>
      <w:r>
        <w:t xml:space="preserve"> (23.3.2019)</w:t>
      </w:r>
    </w:p>
    <w:p w:rsidR="00AF03C7" w:rsidRPr="00AF03C7" w:rsidRDefault="00AF03C7" w:rsidP="00720B52">
      <w:pPr>
        <w:ind w:firstLine="0"/>
        <w:rPr>
          <w:lang w:val="en-US"/>
        </w:rPr>
      </w:pPr>
      <w:r>
        <w:t>The european federation of financial analysts societies. 2019. Summer school. (online) Dostuné z: &lt;</w:t>
      </w:r>
      <w:r w:rsidRPr="00AF03C7">
        <w:t>https://effas.net/summer-school-2019.html</w:t>
      </w:r>
      <w:r>
        <w:t>&gt; (30.3.2019)</w:t>
      </w:r>
    </w:p>
    <w:p w:rsidR="005E233B" w:rsidRPr="005E233B" w:rsidRDefault="005E233B" w:rsidP="00720B52">
      <w:pPr>
        <w:ind w:firstLine="0"/>
        <w:rPr>
          <w:rFonts w:cs="Times New Roman"/>
          <w:lang w:val="en-US"/>
        </w:rPr>
      </w:pPr>
      <w:r>
        <w:t>The transfrontier operational mission. 2019. A resource center. (online) Dostupné z: &lt;</w:t>
      </w:r>
      <w:r w:rsidRPr="00690A51">
        <w:t>http://www.espaces-transfrontaliers.org/fileadmin/user_upload/documents/Documents_MOT/PLAQUETTE_MOT_Ressources_reseau_EN.pdf</w:t>
      </w:r>
      <w:r>
        <w:t>&gt; (27.3.2019)</w:t>
      </w:r>
    </w:p>
    <w:p w:rsidR="00F96162" w:rsidRDefault="00F96162" w:rsidP="0021791F">
      <w:pPr>
        <w:ind w:firstLine="0"/>
        <w:rPr>
          <w:rFonts w:cs="Times New Roman"/>
        </w:rPr>
      </w:pPr>
      <w:r>
        <w:rPr>
          <w:rFonts w:cs="Times New Roman"/>
        </w:rPr>
        <w:t xml:space="preserve">Truman, B. David. 1951. The governmental process. Connecticut: Greenwood Press Publishers. </w:t>
      </w:r>
    </w:p>
    <w:p w:rsidR="00775BEF" w:rsidRDefault="00073457" w:rsidP="00775BEF">
      <w:pPr>
        <w:ind w:firstLine="0"/>
      </w:pPr>
      <w:r>
        <w:rPr>
          <w:rFonts w:cs="Times New Roman"/>
        </w:rPr>
        <w:t xml:space="preserve">Úřední věstník Evropské unie. 2011. </w:t>
      </w:r>
      <w:r w:rsidRPr="00073457">
        <w:rPr>
          <w:rFonts w:cs="Times New Roman"/>
        </w:rPr>
        <w:t>Dohoda mezi Evropským parlamentem a Evropskou komisí o zřízení Rejstříku transparentnosti pro organizace a osoby samostatně výdělečně činné, jež se podílejí na tvorbě a provádění politiky EU</w:t>
      </w:r>
      <w:r>
        <w:rPr>
          <w:rFonts w:cs="Times New Roman"/>
        </w:rPr>
        <w:t>.</w:t>
      </w:r>
      <w:r w:rsidR="000C27DE">
        <w:rPr>
          <w:rFonts w:cs="Times New Roman"/>
        </w:rPr>
        <w:t xml:space="preserve"> (online)</w:t>
      </w:r>
      <w:r>
        <w:rPr>
          <w:rFonts w:cs="Times New Roman"/>
        </w:rPr>
        <w:t xml:space="preserve"> Dostupné z: </w:t>
      </w:r>
      <w:r w:rsidR="000C27DE">
        <w:rPr>
          <w:rFonts w:cs="Times New Roman"/>
        </w:rPr>
        <w:t>&lt;</w:t>
      </w:r>
      <w:r w:rsidRPr="000C27DE">
        <w:t>https://eur-lex.europa.eu/legal-content/CS/TXT/HTML/?uri=CELEX:32011Q0722(01)&amp;from=CS#ntr1-L_2011191CS.01002901-E0001</w:t>
      </w:r>
      <w:r w:rsidR="000C27DE">
        <w:t>&gt;</w:t>
      </w:r>
      <w:r w:rsidRPr="000C27DE">
        <w:t xml:space="preserve"> </w:t>
      </w:r>
      <w:r>
        <w:t>(27.3.2019)</w:t>
      </w:r>
    </w:p>
    <w:p w:rsidR="00F77536" w:rsidRDefault="00775BEF" w:rsidP="00775BEF">
      <w:pPr>
        <w:ind w:firstLine="0"/>
      </w:pPr>
      <w:r>
        <w:t>VVSG. 2019. (online) Dostupné z: &lt;</w:t>
      </w:r>
      <w:r w:rsidRPr="00775BEF">
        <w:t>https://www.vvsg.be/veiligheid</w:t>
      </w:r>
      <w:r>
        <w:rPr>
          <w:lang w:val="en-US"/>
        </w:rPr>
        <w:t>&gt;</w:t>
      </w:r>
      <w:r>
        <w:t xml:space="preserve"> (21.3.2019)</w:t>
      </w:r>
    </w:p>
    <w:p w:rsidR="00F77536" w:rsidRDefault="00F77536">
      <w:pPr>
        <w:spacing w:after="160" w:line="259" w:lineRule="auto"/>
        <w:ind w:firstLine="0"/>
        <w:jc w:val="left"/>
      </w:pPr>
      <w:r>
        <w:br w:type="page"/>
      </w:r>
    </w:p>
    <w:p w:rsidR="009318ED" w:rsidRDefault="00801AE3" w:rsidP="00524A0D">
      <w:pPr>
        <w:pStyle w:val="Heading1"/>
      </w:pPr>
      <w:bookmarkStart w:id="21" w:name="_Toc7414208"/>
      <w:r>
        <w:lastRenderedPageBreak/>
        <w:t>Literatura</w:t>
      </w:r>
      <w:bookmarkEnd w:id="21"/>
    </w:p>
    <w:p w:rsidR="00E22694" w:rsidRDefault="00801AE3" w:rsidP="00801AE3">
      <w:pPr>
        <w:ind w:firstLine="0"/>
        <w:rPr>
          <w:rFonts w:cs="Times New Roman"/>
        </w:rPr>
      </w:pPr>
      <w:r>
        <w:rPr>
          <w:rFonts w:cs="Times New Roman"/>
        </w:rPr>
        <w:t xml:space="preserve">Alemann, von Ulrich. 1987. </w:t>
      </w:r>
      <w:r w:rsidRPr="00946448">
        <w:rPr>
          <w:rFonts w:cs="Times New Roman"/>
          <w:i/>
        </w:rPr>
        <w:t>Organisierte interessen in der Bundesrepublik</w:t>
      </w:r>
      <w:r>
        <w:rPr>
          <w:rFonts w:cs="Times New Roman"/>
        </w:rPr>
        <w:t>. Opladen: Leske+Budrich.</w:t>
      </w:r>
    </w:p>
    <w:p w:rsidR="00801AE3" w:rsidRDefault="00801AE3" w:rsidP="00801AE3">
      <w:pPr>
        <w:ind w:firstLine="0"/>
        <w:rPr>
          <w:rFonts w:cs="Times New Roman"/>
        </w:rPr>
      </w:pPr>
      <w:r w:rsidRPr="00B22E8C">
        <w:rPr>
          <w:rFonts w:cs="Times New Roman"/>
        </w:rPr>
        <w:t xml:space="preserve">Bernhagen, P. and Brauninger, T. </w:t>
      </w:r>
      <w:r>
        <w:rPr>
          <w:rFonts w:cs="Times New Roman"/>
        </w:rPr>
        <w:t>2005.</w:t>
      </w:r>
      <w:r w:rsidRPr="00B22E8C">
        <w:rPr>
          <w:rFonts w:cs="Times New Roman"/>
        </w:rPr>
        <w:t xml:space="preserve"> </w:t>
      </w:r>
      <w:r>
        <w:rPr>
          <w:rFonts w:cs="Times New Roman"/>
        </w:rPr>
        <w:t>„</w:t>
      </w:r>
      <w:r w:rsidRPr="00B22E8C">
        <w:rPr>
          <w:rFonts w:cs="Times New Roman"/>
        </w:rPr>
        <w:t>Structural Power and Public Policy: A Signalling Model of</w:t>
      </w:r>
      <w:r>
        <w:rPr>
          <w:rFonts w:cs="Times New Roman"/>
        </w:rPr>
        <w:t xml:space="preserve"> </w:t>
      </w:r>
      <w:r w:rsidRPr="00B22E8C">
        <w:rPr>
          <w:rFonts w:cs="Times New Roman"/>
        </w:rPr>
        <w:t>Business Lobbying in Democratic Capitalism</w:t>
      </w:r>
      <w:r>
        <w:rPr>
          <w:rFonts w:cs="Times New Roman"/>
        </w:rPr>
        <w:t>“.</w:t>
      </w:r>
      <w:r w:rsidRPr="00B22E8C">
        <w:rPr>
          <w:rFonts w:cs="Times New Roman"/>
        </w:rPr>
        <w:t xml:space="preserve"> Political Studies</w:t>
      </w:r>
      <w:r>
        <w:rPr>
          <w:rFonts w:cs="Times New Roman"/>
        </w:rPr>
        <w:t xml:space="preserve"> 53 (1): 43-64.</w:t>
      </w:r>
    </w:p>
    <w:p w:rsidR="00801AE3" w:rsidRPr="00987F0F" w:rsidRDefault="00801AE3" w:rsidP="00801AE3">
      <w:pPr>
        <w:ind w:firstLine="0"/>
        <w:rPr>
          <w:rFonts w:cs="Times New Roman"/>
        </w:rPr>
      </w:pPr>
      <w:r w:rsidRPr="00987F0F">
        <w:rPr>
          <w:rFonts w:cs="Times New Roman"/>
        </w:rPr>
        <w:t>Beyers, Jan</w:t>
      </w:r>
      <w:r>
        <w:rPr>
          <w:rFonts w:cs="Times New Roman"/>
        </w:rPr>
        <w:t xml:space="preserve">. </w:t>
      </w:r>
      <w:r w:rsidRPr="00987F0F">
        <w:rPr>
          <w:rFonts w:cs="Times New Roman"/>
        </w:rPr>
        <w:t>2000</w:t>
      </w:r>
      <w:r>
        <w:rPr>
          <w:rFonts w:cs="Times New Roman"/>
        </w:rPr>
        <w:t>.</w:t>
      </w:r>
      <w:r w:rsidRPr="00987F0F">
        <w:rPr>
          <w:rFonts w:cs="Times New Roman"/>
        </w:rPr>
        <w:t xml:space="preserve"> Het maatschappelijk draagvlak van het Europees beleid en het einde</w:t>
      </w:r>
    </w:p>
    <w:p w:rsidR="00801AE3" w:rsidRDefault="00801AE3" w:rsidP="00801AE3">
      <w:pPr>
        <w:ind w:firstLine="0"/>
        <w:rPr>
          <w:rFonts w:cs="Times New Roman"/>
        </w:rPr>
      </w:pPr>
      <w:r w:rsidRPr="00987F0F">
        <w:rPr>
          <w:rFonts w:cs="Times New Roman"/>
        </w:rPr>
        <w:t>van de permissieve consensus</w:t>
      </w:r>
      <w:r>
        <w:rPr>
          <w:rFonts w:cs="Times New Roman"/>
        </w:rPr>
        <w:t>.</w:t>
      </w:r>
      <w:r w:rsidRPr="00987F0F">
        <w:rPr>
          <w:rFonts w:cs="Times New Roman"/>
        </w:rPr>
        <w:t xml:space="preserve"> Leuven</w:t>
      </w:r>
      <w:r>
        <w:rPr>
          <w:rFonts w:cs="Times New Roman"/>
        </w:rPr>
        <w:t xml:space="preserve">: </w:t>
      </w:r>
      <w:r w:rsidRPr="00987F0F">
        <w:rPr>
          <w:rFonts w:cs="Times New Roman"/>
        </w:rPr>
        <w:t>Katholieke Universiteit</w:t>
      </w:r>
      <w:r>
        <w:rPr>
          <w:rFonts w:cs="Times New Roman"/>
        </w:rPr>
        <w:t>.</w:t>
      </w:r>
    </w:p>
    <w:p w:rsidR="00801AE3" w:rsidRDefault="00801AE3" w:rsidP="00801AE3">
      <w:pPr>
        <w:ind w:firstLine="0"/>
        <w:rPr>
          <w:rFonts w:cs="Times New Roman"/>
        </w:rPr>
      </w:pPr>
      <w:r>
        <w:rPr>
          <w:rFonts w:cs="Times New Roman"/>
        </w:rPr>
        <w:t>Blau, Peter. 1964. Exchange and power in social life. New Jersey: Transaction Publishers.</w:t>
      </w:r>
    </w:p>
    <w:p w:rsidR="0078700F" w:rsidRPr="00946448" w:rsidRDefault="0078700F" w:rsidP="0078700F">
      <w:pPr>
        <w:ind w:firstLine="0"/>
        <w:rPr>
          <w:rFonts w:cs="Times New Roman"/>
        </w:rPr>
      </w:pPr>
      <w:r>
        <w:rPr>
          <w:rFonts w:cs="Times New Roman"/>
        </w:rPr>
        <w:t xml:space="preserve">Bouwen, Pieter. 2002. „Corporate lobbying in the European Union: the logic of access“. In </w:t>
      </w:r>
      <w:r>
        <w:rPr>
          <w:rFonts w:cs="Times New Roman"/>
          <w:i/>
        </w:rPr>
        <w:t>Journal of European public policy</w:t>
      </w:r>
      <w:r>
        <w:rPr>
          <w:rFonts w:cs="Times New Roman"/>
        </w:rPr>
        <w:t xml:space="preserve"> 9 (3). (online) Dostupné z: &lt;</w:t>
      </w:r>
      <w:r w:rsidRPr="005C2CE6">
        <w:t>https://www.researchgate.net/publication/27264611_Corporate_Lobbying_in_the_European_Union_The_Logic_of_Access</w:t>
      </w:r>
      <w:r>
        <w:t>&gt; (24.1.2019)</w:t>
      </w:r>
    </w:p>
    <w:p w:rsidR="00801AE3" w:rsidRDefault="00801AE3" w:rsidP="00801AE3">
      <w:pPr>
        <w:ind w:firstLine="0"/>
        <w:rPr>
          <w:rFonts w:cs="Times New Roman"/>
        </w:rPr>
      </w:pPr>
      <w:r w:rsidRPr="002056F5">
        <w:rPr>
          <w:rFonts w:cs="Times New Roman"/>
        </w:rPr>
        <w:t xml:space="preserve">Browne, W.P. (2002). </w:t>
      </w:r>
      <w:r>
        <w:rPr>
          <w:rFonts w:cs="Times New Roman"/>
        </w:rPr>
        <w:t>„</w:t>
      </w:r>
      <w:r w:rsidRPr="002056F5">
        <w:rPr>
          <w:rFonts w:cs="Times New Roman"/>
        </w:rPr>
        <w:t xml:space="preserve">Exchange </w:t>
      </w:r>
      <w:r>
        <w:rPr>
          <w:rFonts w:cs="Times New Roman"/>
        </w:rPr>
        <w:t>t</w:t>
      </w:r>
      <w:r w:rsidRPr="002056F5">
        <w:rPr>
          <w:rFonts w:cs="Times New Roman"/>
        </w:rPr>
        <w:t xml:space="preserve">heory and the </w:t>
      </w:r>
      <w:r>
        <w:rPr>
          <w:rFonts w:cs="Times New Roman"/>
        </w:rPr>
        <w:t>i</w:t>
      </w:r>
      <w:r w:rsidRPr="002056F5">
        <w:rPr>
          <w:rFonts w:cs="Times New Roman"/>
        </w:rPr>
        <w:t xml:space="preserve">nstitutional </w:t>
      </w:r>
      <w:r>
        <w:rPr>
          <w:rFonts w:cs="Times New Roman"/>
        </w:rPr>
        <w:t>i</w:t>
      </w:r>
      <w:r w:rsidRPr="002056F5">
        <w:rPr>
          <w:rFonts w:cs="Times New Roman"/>
        </w:rPr>
        <w:t xml:space="preserve">mpetus for </w:t>
      </w:r>
      <w:r>
        <w:rPr>
          <w:rFonts w:cs="Times New Roman"/>
        </w:rPr>
        <w:t>i</w:t>
      </w:r>
      <w:r w:rsidRPr="002056F5">
        <w:rPr>
          <w:rFonts w:cs="Times New Roman"/>
        </w:rPr>
        <w:t xml:space="preserve">nterest </w:t>
      </w:r>
      <w:r>
        <w:rPr>
          <w:rFonts w:cs="Times New Roman"/>
        </w:rPr>
        <w:t>g</w:t>
      </w:r>
      <w:r w:rsidRPr="002056F5">
        <w:rPr>
          <w:rFonts w:cs="Times New Roman"/>
        </w:rPr>
        <w:t xml:space="preserve">roup </w:t>
      </w:r>
      <w:r>
        <w:rPr>
          <w:rFonts w:cs="Times New Roman"/>
        </w:rPr>
        <w:t>f</w:t>
      </w:r>
      <w:r w:rsidRPr="002056F5">
        <w:rPr>
          <w:rFonts w:cs="Times New Roman"/>
        </w:rPr>
        <w:t>ormation</w:t>
      </w:r>
      <w:r>
        <w:rPr>
          <w:rFonts w:cs="Times New Roman"/>
        </w:rPr>
        <w:t>“</w:t>
      </w:r>
      <w:r w:rsidRPr="002056F5">
        <w:rPr>
          <w:rFonts w:cs="Times New Roman"/>
        </w:rPr>
        <w:t xml:space="preserve">. In A.J. Cigler &amp; B.A. Loomis (Eds.). </w:t>
      </w:r>
      <w:r w:rsidRPr="002056F5">
        <w:rPr>
          <w:rFonts w:cs="Times New Roman"/>
          <w:i/>
        </w:rPr>
        <w:t>Interest Group Politics (6th ed.)</w:t>
      </w:r>
      <w:r w:rsidRPr="002056F5">
        <w:rPr>
          <w:rFonts w:cs="Times New Roman"/>
        </w:rPr>
        <w:t>, (pp.1-33). District of Columbia: CQ Press.</w:t>
      </w:r>
    </w:p>
    <w:p w:rsidR="00801AE3" w:rsidRPr="002D37B3" w:rsidRDefault="00801AE3" w:rsidP="00801AE3">
      <w:pPr>
        <w:ind w:firstLine="0"/>
        <w:rPr>
          <w:rFonts w:cs="Times New Roman"/>
        </w:rPr>
      </w:pPr>
      <w:r w:rsidRPr="002D37B3">
        <w:rPr>
          <w:rFonts w:cs="Times New Roman"/>
        </w:rPr>
        <w:t>Bulholzer, Rene</w:t>
      </w:r>
      <w:r>
        <w:rPr>
          <w:rFonts w:cs="Times New Roman"/>
        </w:rPr>
        <w:t>.</w:t>
      </w:r>
      <w:r w:rsidRPr="002D37B3">
        <w:rPr>
          <w:rFonts w:cs="Times New Roman"/>
        </w:rPr>
        <w:t xml:space="preserve"> 1998</w:t>
      </w:r>
      <w:r>
        <w:rPr>
          <w:rFonts w:cs="Times New Roman"/>
        </w:rPr>
        <w:t>.</w:t>
      </w:r>
      <w:r w:rsidRPr="002D37B3">
        <w:rPr>
          <w:rFonts w:cs="Times New Roman"/>
        </w:rPr>
        <w:t xml:space="preserve"> Legislatives Lobbying in der Europaischen Union, Ein Konzept</w:t>
      </w:r>
    </w:p>
    <w:p w:rsidR="00801AE3" w:rsidRDefault="00801AE3" w:rsidP="00801AE3">
      <w:pPr>
        <w:ind w:firstLine="0"/>
        <w:rPr>
          <w:rFonts w:cs="Times New Roman"/>
        </w:rPr>
      </w:pPr>
      <w:r w:rsidRPr="002D37B3">
        <w:rPr>
          <w:rFonts w:cs="Times New Roman"/>
        </w:rPr>
        <w:t>fur Interessengruppen</w:t>
      </w:r>
      <w:r>
        <w:rPr>
          <w:rFonts w:cs="Times New Roman"/>
        </w:rPr>
        <w:t>.</w:t>
      </w:r>
      <w:r w:rsidRPr="002D37B3">
        <w:rPr>
          <w:rFonts w:cs="Times New Roman"/>
        </w:rPr>
        <w:t xml:space="preserve"> Bern-Stuttgart-Wien: Verlag Paul Haupt.</w:t>
      </w:r>
    </w:p>
    <w:p w:rsidR="00801AE3" w:rsidRDefault="00801AE3" w:rsidP="00801AE3">
      <w:pPr>
        <w:ind w:firstLine="0"/>
      </w:pPr>
      <w:r>
        <w:t>Burns, R. Tom, Helena Flam. 1987. The shaping of social organizations. London: Sage.</w:t>
      </w:r>
    </w:p>
    <w:p w:rsidR="0078700F" w:rsidRPr="007608BA" w:rsidRDefault="0078700F" w:rsidP="0078700F">
      <w:pPr>
        <w:ind w:firstLine="0"/>
        <w:rPr>
          <w:rFonts w:cs="Times New Roman"/>
        </w:rPr>
      </w:pPr>
      <w:r>
        <w:rPr>
          <w:rFonts w:cs="Times New Roman"/>
        </w:rPr>
        <w:t>Burns, R. Tom, Marcus Carson. 2002. „</w:t>
      </w:r>
      <w:r w:rsidRPr="007608BA">
        <w:rPr>
          <w:rFonts w:cs="Times New Roman"/>
        </w:rPr>
        <w:t>European Union, neo-corporatist, and pluralist</w:t>
      </w:r>
    </w:p>
    <w:p w:rsidR="0078700F" w:rsidRDefault="0078700F" w:rsidP="0078700F">
      <w:pPr>
        <w:ind w:firstLine="0"/>
      </w:pPr>
      <w:r w:rsidRPr="007608BA">
        <w:rPr>
          <w:rFonts w:cs="Times New Roman"/>
        </w:rPr>
        <w:t>governance arrangements: lobbying and policy-</w:t>
      </w:r>
      <w:r>
        <w:rPr>
          <w:rFonts w:cs="Times New Roman"/>
        </w:rPr>
        <w:t xml:space="preserve"> </w:t>
      </w:r>
      <w:r w:rsidRPr="007608BA">
        <w:rPr>
          <w:rFonts w:cs="Times New Roman"/>
        </w:rPr>
        <w:t>making patterns in a comparative perspective</w:t>
      </w:r>
      <w:r>
        <w:rPr>
          <w:rFonts w:cs="Times New Roman"/>
        </w:rPr>
        <w:t xml:space="preserve">“. Pp. 129-175 in </w:t>
      </w:r>
      <w:r>
        <w:rPr>
          <w:rFonts w:cs="Times New Roman"/>
          <w:i/>
        </w:rPr>
        <w:t>International Journal of regulation and governance</w:t>
      </w:r>
      <w:r>
        <w:rPr>
          <w:rFonts w:cs="Times New Roman"/>
        </w:rPr>
        <w:t xml:space="preserve"> 2 (2). (online) Dostupné z: &lt;</w:t>
      </w:r>
      <w:r w:rsidRPr="005C2CE6">
        <w:t>https://www.researchgate.net/publication/272488194_European_Union_Neo-Corporatist_and_Pluralist_Governance_Arrangements_Lobbying_and_Policy-Making_Patterns_in_a_Comparative_Perspective</w:t>
      </w:r>
      <w:r>
        <w:t>&gt; (27.3.2019).</w:t>
      </w:r>
    </w:p>
    <w:p w:rsidR="0078700F" w:rsidRDefault="0078700F" w:rsidP="0078700F">
      <w:pPr>
        <w:ind w:firstLine="0"/>
        <w:rPr>
          <w:rFonts w:cs="Times New Roman"/>
        </w:rPr>
      </w:pPr>
      <w:r>
        <w:rPr>
          <w:rFonts w:cs="Times New Roman"/>
        </w:rPr>
        <w:t xml:space="preserve">Costa, Hélia, </w:t>
      </w:r>
      <w:r w:rsidRPr="00D27674">
        <w:rPr>
          <w:rFonts w:cs="Times New Roman"/>
        </w:rPr>
        <w:t>Anna B</w:t>
      </w:r>
      <w:r>
        <w:rPr>
          <w:rFonts w:cs="Times New Roman"/>
        </w:rPr>
        <w:t>.</w:t>
      </w:r>
      <w:r w:rsidRPr="00D27674">
        <w:rPr>
          <w:rFonts w:cs="Times New Roman"/>
        </w:rPr>
        <w:t xml:space="preserve"> Gilmore, Silvy Peeters, Martin McKee</w:t>
      </w:r>
      <w:r>
        <w:rPr>
          <w:rFonts w:cs="Times New Roman"/>
        </w:rPr>
        <w:t>,</w:t>
      </w:r>
      <w:r w:rsidRPr="00D27674">
        <w:rPr>
          <w:rFonts w:cs="Times New Roman"/>
        </w:rPr>
        <w:t xml:space="preserve"> David Stuckler</w:t>
      </w:r>
      <w:r>
        <w:rPr>
          <w:rFonts w:cs="Times New Roman"/>
        </w:rPr>
        <w:t>. 2014. „</w:t>
      </w:r>
      <w:r w:rsidRPr="00D27674">
        <w:rPr>
          <w:rFonts w:cs="Times New Roman"/>
        </w:rPr>
        <w:t>Quantifying the influence of the tobacco industry on EU governance: automated content analysis of the EU Tobacco Products Directive</w:t>
      </w:r>
      <w:r>
        <w:rPr>
          <w:rFonts w:cs="Times New Roman"/>
        </w:rPr>
        <w:t xml:space="preserve">“. </w:t>
      </w:r>
      <w:r>
        <w:rPr>
          <w:rFonts w:cs="Times New Roman"/>
          <w:i/>
        </w:rPr>
        <w:t>Tobacco Control</w:t>
      </w:r>
      <w:r>
        <w:rPr>
          <w:rFonts w:cs="Times New Roman"/>
        </w:rPr>
        <w:t xml:space="preserve"> 23 (6) 473-476. </w:t>
      </w:r>
    </w:p>
    <w:p w:rsidR="0078700F" w:rsidRDefault="0078700F" w:rsidP="0078700F">
      <w:pPr>
        <w:ind w:firstLine="0"/>
        <w:rPr>
          <w:rFonts w:cs="Times New Roman"/>
        </w:rPr>
      </w:pPr>
      <w:r>
        <w:rPr>
          <w:rFonts w:cs="Times New Roman"/>
        </w:rPr>
        <w:t xml:space="preserve">Decre, Julien. 2015. „Interest group representation in the European Union“. </w:t>
      </w:r>
      <w:r>
        <w:rPr>
          <w:rFonts w:cs="Times New Roman"/>
          <w:i/>
        </w:rPr>
        <w:t>Kent Political Almanac (</w:t>
      </w:r>
      <w:r>
        <w:rPr>
          <w:rFonts w:cs="Times New Roman"/>
        </w:rPr>
        <w:t>2). (online) Dostupné z: &lt;</w:t>
      </w:r>
      <w:r w:rsidRPr="00764410">
        <w:rPr>
          <w:rFonts w:cs="Times New Roman"/>
        </w:rPr>
        <w:t>https://www.kent.ac.uk/politics/gec/research/documents/kpa-2015.pdf</w:t>
      </w:r>
      <w:r>
        <w:rPr>
          <w:rFonts w:cs="Times New Roman"/>
          <w:lang w:val="en-US"/>
        </w:rPr>
        <w:t xml:space="preserve">&gt; </w:t>
      </w:r>
      <w:r>
        <w:rPr>
          <w:rFonts w:cs="Times New Roman"/>
        </w:rPr>
        <w:t>(21.3.2019)</w:t>
      </w:r>
    </w:p>
    <w:p w:rsidR="0078700F" w:rsidRDefault="0078700F" w:rsidP="0078700F">
      <w:pPr>
        <w:ind w:firstLine="0"/>
        <w:rPr>
          <w:rStyle w:val="Hyperlink"/>
          <w:rFonts w:cs="Times New Roman"/>
          <w:color w:val="auto"/>
          <w:u w:val="none"/>
        </w:rPr>
      </w:pPr>
      <w:r>
        <w:rPr>
          <w:rStyle w:val="Hyperlink"/>
          <w:rFonts w:cs="Times New Roman"/>
          <w:color w:val="auto"/>
          <w:u w:val="none"/>
        </w:rPr>
        <w:t xml:space="preserve">Fiala, Petr. 1999. „Definice zájmových skupin“. </w:t>
      </w:r>
      <w:r>
        <w:rPr>
          <w:rStyle w:val="Hyperlink"/>
          <w:rFonts w:cs="Times New Roman"/>
          <w:i/>
          <w:color w:val="auto"/>
          <w:u w:val="none"/>
        </w:rPr>
        <w:t>Politologický časopis</w:t>
      </w:r>
      <w:r>
        <w:rPr>
          <w:rStyle w:val="Hyperlink"/>
          <w:rFonts w:cs="Times New Roman"/>
          <w:color w:val="auto"/>
          <w:u w:val="none"/>
        </w:rPr>
        <w:t xml:space="preserve"> 6 (1): 52-59.</w:t>
      </w:r>
    </w:p>
    <w:p w:rsidR="009D6980" w:rsidRDefault="009D6980" w:rsidP="0078700F">
      <w:pPr>
        <w:ind w:firstLine="0"/>
        <w:rPr>
          <w:rStyle w:val="Hyperlink"/>
          <w:rFonts w:cs="Times New Roman"/>
          <w:color w:val="auto"/>
          <w:u w:val="none"/>
        </w:rPr>
      </w:pPr>
      <w:r>
        <w:rPr>
          <w:rStyle w:val="Hyperlink"/>
          <w:rFonts w:cs="Times New Roman"/>
          <w:color w:val="auto"/>
          <w:u w:val="none"/>
        </w:rPr>
        <w:t xml:space="preserve">Gerring, John. 2006. Case study research – Principles and practices. </w:t>
      </w:r>
      <w:r w:rsidR="00F47CB7">
        <w:rPr>
          <w:rStyle w:val="Hyperlink"/>
          <w:rFonts w:cs="Times New Roman"/>
          <w:color w:val="auto"/>
          <w:u w:val="none"/>
        </w:rPr>
        <w:t>Cambridge: Cambridge University Press.</w:t>
      </w:r>
    </w:p>
    <w:p w:rsidR="0078700F" w:rsidRDefault="0078700F" w:rsidP="0078700F">
      <w:pPr>
        <w:ind w:firstLine="0"/>
        <w:rPr>
          <w:rStyle w:val="Hyperlink"/>
          <w:rFonts w:cs="Times New Roman"/>
          <w:color w:val="auto"/>
          <w:u w:val="none"/>
        </w:rPr>
      </w:pPr>
      <w:r>
        <w:rPr>
          <w:rStyle w:val="Hyperlink"/>
          <w:rFonts w:cs="Times New Roman"/>
          <w:color w:val="auto"/>
          <w:u w:val="none"/>
        </w:rPr>
        <w:lastRenderedPageBreak/>
        <w:t>Gorges, J. Michael.</w:t>
      </w:r>
      <w:r w:rsidR="009D6980">
        <w:rPr>
          <w:rStyle w:val="Hyperlink"/>
          <w:rFonts w:cs="Times New Roman"/>
          <w:color w:val="auto"/>
          <w:u w:val="none"/>
        </w:rPr>
        <w:t xml:space="preserve"> </w:t>
      </w:r>
      <w:r>
        <w:rPr>
          <w:rStyle w:val="Hyperlink"/>
          <w:rFonts w:cs="Times New Roman"/>
          <w:color w:val="auto"/>
          <w:u w:val="none"/>
        </w:rPr>
        <w:t xml:space="preserve">1996. </w:t>
      </w:r>
      <w:r w:rsidRPr="00875D43">
        <w:rPr>
          <w:rStyle w:val="Hyperlink"/>
          <w:rFonts w:cs="Times New Roman"/>
          <w:color w:val="auto"/>
          <w:u w:val="none"/>
        </w:rPr>
        <w:t>Euro-corporatism?: interest intermediation in the European Community</w:t>
      </w:r>
      <w:r>
        <w:rPr>
          <w:rStyle w:val="Hyperlink"/>
          <w:rFonts w:cs="Times New Roman"/>
          <w:color w:val="auto"/>
          <w:u w:val="none"/>
        </w:rPr>
        <w:t>. New York: University Press of America</w:t>
      </w:r>
    </w:p>
    <w:p w:rsidR="005A7BC6" w:rsidRPr="00B05547" w:rsidRDefault="005A7BC6" w:rsidP="005A7BC6">
      <w:pPr>
        <w:ind w:firstLine="0"/>
        <w:rPr>
          <w:rStyle w:val="Hyperlink"/>
          <w:rFonts w:cs="Times New Roman"/>
          <w:color w:val="auto"/>
          <w:u w:val="none"/>
        </w:rPr>
      </w:pPr>
      <w:r>
        <w:rPr>
          <w:rStyle w:val="Hyperlink"/>
          <w:rFonts w:cs="Times New Roman"/>
          <w:color w:val="auto"/>
          <w:u w:val="none"/>
        </w:rPr>
        <w:t>Hauser, Henry. 2011. „</w:t>
      </w:r>
      <w:r w:rsidRPr="00B05547">
        <w:rPr>
          <w:rStyle w:val="Hyperlink"/>
          <w:rFonts w:cs="Times New Roman"/>
          <w:color w:val="auto"/>
          <w:u w:val="none"/>
        </w:rPr>
        <w:t xml:space="preserve">European Union </w:t>
      </w:r>
      <w:r>
        <w:rPr>
          <w:rStyle w:val="Hyperlink"/>
          <w:rFonts w:cs="Times New Roman"/>
          <w:color w:val="auto"/>
          <w:u w:val="none"/>
        </w:rPr>
        <w:t>l</w:t>
      </w:r>
      <w:r w:rsidRPr="00B05547">
        <w:rPr>
          <w:rStyle w:val="Hyperlink"/>
          <w:rFonts w:cs="Times New Roman"/>
          <w:color w:val="auto"/>
          <w:u w:val="none"/>
        </w:rPr>
        <w:t xml:space="preserve">obbying </w:t>
      </w:r>
      <w:r>
        <w:rPr>
          <w:rStyle w:val="Hyperlink"/>
          <w:rFonts w:cs="Times New Roman"/>
          <w:color w:val="auto"/>
          <w:u w:val="none"/>
        </w:rPr>
        <w:t>p</w:t>
      </w:r>
      <w:r w:rsidRPr="00B05547">
        <w:rPr>
          <w:rStyle w:val="Hyperlink"/>
          <w:rFonts w:cs="Times New Roman"/>
          <w:color w:val="auto"/>
          <w:u w:val="none"/>
        </w:rPr>
        <w:t>ost-Lisbon: An</w:t>
      </w:r>
      <w:r>
        <w:rPr>
          <w:rStyle w:val="Hyperlink"/>
          <w:rFonts w:cs="Times New Roman"/>
          <w:color w:val="auto"/>
          <w:u w:val="none"/>
        </w:rPr>
        <w:t xml:space="preserve"> e</w:t>
      </w:r>
      <w:r w:rsidRPr="00B05547">
        <w:rPr>
          <w:rStyle w:val="Hyperlink"/>
          <w:rFonts w:cs="Times New Roman"/>
          <w:color w:val="auto"/>
          <w:u w:val="none"/>
        </w:rPr>
        <w:t xml:space="preserve">conomic </w:t>
      </w:r>
      <w:r>
        <w:rPr>
          <w:rStyle w:val="Hyperlink"/>
          <w:rFonts w:cs="Times New Roman"/>
          <w:color w:val="auto"/>
          <w:u w:val="none"/>
        </w:rPr>
        <w:t>a</w:t>
      </w:r>
      <w:r w:rsidRPr="00B05547">
        <w:rPr>
          <w:rStyle w:val="Hyperlink"/>
          <w:rFonts w:cs="Times New Roman"/>
          <w:color w:val="auto"/>
          <w:u w:val="none"/>
        </w:rPr>
        <w:t>nalysis</w:t>
      </w:r>
      <w:r>
        <w:rPr>
          <w:rStyle w:val="Hyperlink"/>
          <w:rFonts w:cs="Times New Roman"/>
          <w:color w:val="auto"/>
          <w:u w:val="none"/>
        </w:rPr>
        <w:t xml:space="preserve">“. Pp. 680-709 in </w:t>
      </w:r>
      <w:r>
        <w:rPr>
          <w:rStyle w:val="Hyperlink"/>
          <w:rFonts w:cs="Times New Roman"/>
          <w:i/>
          <w:color w:val="auto"/>
          <w:u w:val="none"/>
        </w:rPr>
        <w:t xml:space="preserve">Berkeley Journal of International Law </w:t>
      </w:r>
      <w:r>
        <w:rPr>
          <w:rStyle w:val="Hyperlink"/>
          <w:rFonts w:cs="Times New Roman"/>
          <w:color w:val="auto"/>
          <w:u w:val="none"/>
        </w:rPr>
        <w:t>29 (2). (online) Dostupné z: &lt;</w:t>
      </w:r>
      <w:r w:rsidRPr="00720EAE">
        <w:t>https://scholarship.law.berkeley.edu/cgi/viewcontent.cgi?article=1411&amp;context=bjil</w:t>
      </w:r>
      <w:r>
        <w:t>&gt; (26.3.2019)</w:t>
      </w:r>
    </w:p>
    <w:p w:rsidR="005A7BC6" w:rsidRDefault="005A7BC6" w:rsidP="005A7BC6">
      <w:pPr>
        <w:ind w:firstLine="0"/>
        <w:rPr>
          <w:rFonts w:cs="Times New Roman"/>
        </w:rPr>
      </w:pPr>
      <w:r w:rsidRPr="00B22E8C">
        <w:rPr>
          <w:rFonts w:cs="Times New Roman"/>
        </w:rPr>
        <w:t>Henning, C.H.C.A.</w:t>
      </w:r>
      <w:r>
        <w:rPr>
          <w:rFonts w:cs="Times New Roman"/>
        </w:rPr>
        <w:t xml:space="preserve"> 2004.</w:t>
      </w:r>
      <w:r w:rsidRPr="00B22E8C">
        <w:rPr>
          <w:rFonts w:cs="Times New Roman"/>
        </w:rPr>
        <w:t xml:space="preserve"> </w:t>
      </w:r>
      <w:r>
        <w:rPr>
          <w:rFonts w:cs="Times New Roman"/>
        </w:rPr>
        <w:t>„</w:t>
      </w:r>
      <w:r w:rsidRPr="00B22E8C">
        <w:rPr>
          <w:rFonts w:cs="Times New Roman"/>
        </w:rPr>
        <w:t>Modelling the Political Influence of Interest Groups: Theory and Empirical</w:t>
      </w:r>
      <w:r>
        <w:rPr>
          <w:rFonts w:cs="Times New Roman"/>
        </w:rPr>
        <w:t xml:space="preserve"> </w:t>
      </w:r>
      <w:r w:rsidRPr="00B22E8C">
        <w:rPr>
          <w:rFonts w:cs="Times New Roman"/>
        </w:rPr>
        <w:t>Evidence from European Agricultural Policy</w:t>
      </w:r>
      <w:r>
        <w:rPr>
          <w:rFonts w:cs="Times New Roman"/>
        </w:rPr>
        <w:t>“</w:t>
      </w:r>
      <w:r w:rsidRPr="00B22E8C">
        <w:rPr>
          <w:rFonts w:cs="Times New Roman"/>
        </w:rPr>
        <w:t xml:space="preserve">, in A. Warntjen and A. Wonka (eds.) </w:t>
      </w:r>
      <w:r w:rsidRPr="00B22E8C">
        <w:rPr>
          <w:rFonts w:cs="Times New Roman"/>
          <w:i/>
        </w:rPr>
        <w:t>Governance in Europe: The Role of Interest Groups</w:t>
      </w:r>
      <w:r>
        <w:rPr>
          <w:rFonts w:cs="Times New Roman"/>
          <w:i/>
        </w:rPr>
        <w:t>.</w:t>
      </w:r>
      <w:r w:rsidRPr="00B22E8C">
        <w:rPr>
          <w:rFonts w:cs="Times New Roman"/>
        </w:rPr>
        <w:t xml:space="preserve"> Baden-Baden: Nomos</w:t>
      </w:r>
      <w:r>
        <w:rPr>
          <w:rFonts w:cs="Times New Roman"/>
        </w:rPr>
        <w:t>.</w:t>
      </w:r>
    </w:p>
    <w:p w:rsidR="005A7BC6" w:rsidRPr="007A6635" w:rsidRDefault="005A7BC6" w:rsidP="005A7BC6">
      <w:pPr>
        <w:ind w:firstLine="0"/>
        <w:rPr>
          <w:rFonts w:cs="Times New Roman"/>
        </w:rPr>
      </w:pPr>
      <w:r>
        <w:t>Jacobs, David. 1974. „</w:t>
      </w:r>
      <w:r w:rsidRPr="00AD7DB3">
        <w:t xml:space="preserve">Dependency and </w:t>
      </w:r>
      <w:r>
        <w:t>v</w:t>
      </w:r>
      <w:r w:rsidRPr="00AD7DB3">
        <w:t xml:space="preserve">ulnerability: An </w:t>
      </w:r>
      <w:r>
        <w:t>e</w:t>
      </w:r>
      <w:r w:rsidRPr="00AD7DB3">
        <w:t xml:space="preserve">xchange </w:t>
      </w:r>
      <w:r>
        <w:t>a</w:t>
      </w:r>
      <w:r w:rsidRPr="00AD7DB3">
        <w:t xml:space="preserve">pproach to the </w:t>
      </w:r>
      <w:r>
        <w:t>c</w:t>
      </w:r>
      <w:r w:rsidRPr="00AD7DB3">
        <w:t xml:space="preserve">ontrol of </w:t>
      </w:r>
      <w:r>
        <w:t>o</w:t>
      </w:r>
      <w:r w:rsidRPr="00AD7DB3">
        <w:t>rganizations</w:t>
      </w:r>
      <w:r>
        <w:t xml:space="preserve">“. Pp. 45-59 in </w:t>
      </w:r>
      <w:r>
        <w:rPr>
          <w:i/>
        </w:rPr>
        <w:t>Administrative Science Quaterly</w:t>
      </w:r>
      <w:r>
        <w:t xml:space="preserve"> 19 (1). (online) Dostupné z: &lt;</w:t>
      </w:r>
      <w:r w:rsidRPr="00720EAE">
        <w:t>https://www.jstor.org/stable/pdf/2391787.pdf?seq=1#page_scan_tab_contents</w:t>
      </w:r>
      <w:r>
        <w:t>&gt; (28.3.2019)</w:t>
      </w:r>
    </w:p>
    <w:p w:rsidR="005A7BC6" w:rsidRDefault="005A7BC6" w:rsidP="005A7BC6">
      <w:pPr>
        <w:ind w:firstLine="0"/>
        <w:rPr>
          <w:rStyle w:val="Hyperlink"/>
          <w:rFonts w:cs="Times New Roman"/>
          <w:color w:val="auto"/>
          <w:u w:val="none"/>
        </w:rPr>
      </w:pPr>
      <w:r>
        <w:rPr>
          <w:rStyle w:val="Hyperlink"/>
          <w:rFonts w:cs="Times New Roman"/>
          <w:color w:val="auto"/>
          <w:u w:val="none"/>
        </w:rPr>
        <w:t xml:space="preserve">Kaneworthy, Lane and Streeck W. „Theories and practices of neocorporatism“. Pp.441 - 460 in Thomas Janoski (ed.). </w:t>
      </w:r>
      <w:r>
        <w:rPr>
          <w:rStyle w:val="Hyperlink"/>
          <w:rFonts w:cs="Times New Roman"/>
          <w:i/>
          <w:color w:val="auto"/>
          <w:u w:val="none"/>
        </w:rPr>
        <w:t>The handbook of political sociology.</w:t>
      </w:r>
      <w:r>
        <w:rPr>
          <w:rStyle w:val="Hyperlink"/>
          <w:rFonts w:cs="Times New Roman"/>
          <w:color w:val="auto"/>
          <w:u w:val="none"/>
        </w:rPr>
        <w:t xml:space="preserve"> Cambridge: Cambridge University Press.</w:t>
      </w:r>
    </w:p>
    <w:p w:rsidR="005A7BC6" w:rsidRDefault="005A7BC6" w:rsidP="005A7BC6">
      <w:pPr>
        <w:ind w:firstLine="0"/>
        <w:rPr>
          <w:rFonts w:cs="Times New Roman"/>
        </w:rPr>
      </w:pPr>
      <w:r w:rsidRPr="00067327">
        <w:rPr>
          <w:rFonts w:cs="Times New Roman"/>
        </w:rPr>
        <w:t>Lehmbruch,</w:t>
      </w:r>
      <w:r>
        <w:rPr>
          <w:rFonts w:cs="Times New Roman"/>
        </w:rPr>
        <w:t xml:space="preserve"> Gerhard. 1979.</w:t>
      </w:r>
      <w:r w:rsidRPr="00067327">
        <w:rPr>
          <w:rFonts w:cs="Times New Roman"/>
        </w:rPr>
        <w:t xml:space="preserve"> </w:t>
      </w:r>
      <w:r w:rsidRPr="0021791F">
        <w:rPr>
          <w:rFonts w:cs="Times New Roman"/>
        </w:rPr>
        <w:t>"Liberal Corporatism and Party Government,"</w:t>
      </w:r>
      <w:r w:rsidRPr="00067327">
        <w:rPr>
          <w:rFonts w:cs="Times New Roman"/>
        </w:rPr>
        <w:t xml:space="preserve"> in Philippe C. Schmitter and Gerhard Lehmbruch, </w:t>
      </w:r>
      <w:r>
        <w:rPr>
          <w:rFonts w:cs="Times New Roman"/>
        </w:rPr>
        <w:t>(</w:t>
      </w:r>
      <w:r w:rsidRPr="00067327">
        <w:rPr>
          <w:rFonts w:cs="Times New Roman"/>
        </w:rPr>
        <w:t>eds</w:t>
      </w:r>
      <w:r>
        <w:rPr>
          <w:rFonts w:cs="Times New Roman"/>
        </w:rPr>
        <w:t>.)</w:t>
      </w:r>
      <w:r w:rsidRPr="00067327">
        <w:rPr>
          <w:rFonts w:cs="Times New Roman"/>
        </w:rPr>
        <w:t xml:space="preserve">. </w:t>
      </w:r>
      <w:r w:rsidRPr="0021791F">
        <w:rPr>
          <w:rFonts w:cs="Times New Roman"/>
          <w:i/>
        </w:rPr>
        <w:t>Trends Toward Corporatist Intermediation</w:t>
      </w:r>
      <w:r>
        <w:rPr>
          <w:rFonts w:cs="Times New Roman"/>
        </w:rPr>
        <w:t>.</w:t>
      </w:r>
      <w:r w:rsidRPr="00067327">
        <w:rPr>
          <w:rFonts w:cs="Times New Roman"/>
        </w:rPr>
        <w:t xml:space="preserve"> London: Sage</w:t>
      </w:r>
      <w:r>
        <w:rPr>
          <w:rFonts w:cs="Times New Roman"/>
        </w:rPr>
        <w:t>.</w:t>
      </w:r>
    </w:p>
    <w:p w:rsidR="005A7BC6" w:rsidRDefault="005A7BC6" w:rsidP="005A7BC6">
      <w:pPr>
        <w:ind w:firstLine="0"/>
      </w:pPr>
      <w:r>
        <w:rPr>
          <w:rFonts w:cs="Times New Roman"/>
        </w:rPr>
        <w:t>Levine, Sol, Paul E. White. 1961. „</w:t>
      </w:r>
      <w:r w:rsidRPr="008462CE">
        <w:rPr>
          <w:rFonts w:cs="Times New Roman"/>
        </w:rPr>
        <w:t xml:space="preserve">Exchange as a </w:t>
      </w:r>
      <w:r>
        <w:rPr>
          <w:rFonts w:cs="Times New Roman"/>
        </w:rPr>
        <w:t>c</w:t>
      </w:r>
      <w:r w:rsidRPr="008462CE">
        <w:rPr>
          <w:rFonts w:cs="Times New Roman"/>
        </w:rPr>
        <w:t xml:space="preserve">onceptual </w:t>
      </w:r>
      <w:r>
        <w:rPr>
          <w:rFonts w:cs="Times New Roman"/>
        </w:rPr>
        <w:t>f</w:t>
      </w:r>
      <w:r w:rsidRPr="008462CE">
        <w:rPr>
          <w:rFonts w:cs="Times New Roman"/>
        </w:rPr>
        <w:t xml:space="preserve">ramework for the </w:t>
      </w:r>
      <w:r>
        <w:rPr>
          <w:rFonts w:cs="Times New Roman"/>
        </w:rPr>
        <w:t>s</w:t>
      </w:r>
      <w:r w:rsidRPr="008462CE">
        <w:rPr>
          <w:rFonts w:cs="Times New Roman"/>
        </w:rPr>
        <w:t>tudy of Interorganizational Relationships</w:t>
      </w:r>
      <w:r>
        <w:rPr>
          <w:rFonts w:cs="Times New Roman"/>
        </w:rPr>
        <w:t xml:space="preserve">“. Pp. 583-601 in </w:t>
      </w:r>
      <w:r w:rsidRPr="008462CE">
        <w:rPr>
          <w:rFonts w:cs="Times New Roman"/>
          <w:i/>
        </w:rPr>
        <w:t>Administrative Science Quarterly</w:t>
      </w:r>
      <w:r>
        <w:rPr>
          <w:rFonts w:cs="Times New Roman"/>
        </w:rPr>
        <w:t xml:space="preserve"> 5 (4).  (online) Dostupné z: &lt;</w:t>
      </w:r>
      <w:r w:rsidRPr="00720EAE">
        <w:t>https://www.jstor.org/stable/2390622?seq=1#page_scan_tab_contents</w:t>
      </w:r>
      <w:r>
        <w:t>&gt; (27.3.2019).</w:t>
      </w:r>
    </w:p>
    <w:p w:rsidR="005A7BC6" w:rsidRPr="00A22DBD" w:rsidRDefault="005A7BC6" w:rsidP="005A7BC6">
      <w:pPr>
        <w:ind w:firstLine="0"/>
        <w:rPr>
          <w:rFonts w:cs="Times New Roman"/>
        </w:rPr>
      </w:pPr>
      <w:r>
        <w:t xml:space="preserve">Lowery, David. 2007. „Why do organized interests lobby? A multi-goal, multi-context theory of lobbying“. Pp. 29-54 in </w:t>
      </w:r>
      <w:r>
        <w:rPr>
          <w:i/>
        </w:rPr>
        <w:t>Polity</w:t>
      </w:r>
      <w:r>
        <w:t xml:space="preserve"> 39 (1). (online) Dostupné z: &lt;</w:t>
      </w:r>
      <w:r w:rsidRPr="00720EAE">
        <w:t>https://www.jstor.org/stable/4500263?seq=1#page_scan_tab_contents</w:t>
      </w:r>
      <w:r>
        <w:t>&gt; (25.3.2019)</w:t>
      </w:r>
    </w:p>
    <w:p w:rsidR="005A7BC6" w:rsidRPr="00FA5028" w:rsidRDefault="005A7BC6" w:rsidP="005A7BC6">
      <w:pPr>
        <w:ind w:firstLine="0"/>
        <w:rPr>
          <w:rFonts w:cs="Times New Roman"/>
          <w:lang w:val="en-US"/>
        </w:rPr>
      </w:pPr>
      <w:r>
        <w:rPr>
          <w:rFonts w:cs="Times New Roman"/>
        </w:rPr>
        <w:t>Mahoney, Christine. 2007. „</w:t>
      </w:r>
      <w:r w:rsidRPr="00B22E8C">
        <w:rPr>
          <w:rFonts w:cs="Times New Roman"/>
        </w:rPr>
        <w:t>Lobbying Success in the United States and the European Union</w:t>
      </w:r>
      <w:r>
        <w:rPr>
          <w:rFonts w:cs="Times New Roman"/>
        </w:rPr>
        <w:t xml:space="preserve">“. </w:t>
      </w:r>
      <w:r>
        <w:rPr>
          <w:rFonts w:cs="Times New Roman"/>
          <w:i/>
        </w:rPr>
        <w:t>Journal of Public Policy</w:t>
      </w:r>
      <w:r>
        <w:rPr>
          <w:rFonts w:cs="Times New Roman"/>
        </w:rPr>
        <w:t xml:space="preserve"> 27 (1): 35-56. (online) Dostupné z: &lt;</w:t>
      </w:r>
      <w:r w:rsidRPr="00FA5028">
        <w:t>https://www.jstor.org/stable/4007826</w:t>
      </w:r>
      <w:r>
        <w:t>&gt;</w:t>
      </w:r>
    </w:p>
    <w:p w:rsidR="005A7BC6" w:rsidRDefault="005A7BC6" w:rsidP="005A7BC6">
      <w:pPr>
        <w:ind w:firstLine="0"/>
        <w:rPr>
          <w:rFonts w:cs="Times New Roman"/>
        </w:rPr>
      </w:pPr>
      <w:r>
        <w:t>Michalowitz, Irina. 2002. „Beyond corporatism and pluralism: Towards a new theoretical framework“. in: Warleigh, A. and Fairbrass, J., (Eds</w:t>
      </w:r>
      <w:r w:rsidRPr="00223138">
        <w:t>.)</w:t>
      </w:r>
      <w:r w:rsidRPr="00223138">
        <w:rPr>
          <w:i/>
        </w:rPr>
        <w:t>. Influence and Interests in the European Union: The New Politics of Persuasion and Advocacy.</w:t>
      </w:r>
      <w:r>
        <w:rPr>
          <w:i/>
        </w:rPr>
        <w:t xml:space="preserve"> </w:t>
      </w:r>
      <w:r>
        <w:t>Pp 35-53.</w:t>
      </w:r>
    </w:p>
    <w:p w:rsidR="005A7BC6" w:rsidRPr="00FA5028" w:rsidRDefault="005A7BC6" w:rsidP="005A7BC6">
      <w:pPr>
        <w:ind w:firstLine="0"/>
        <w:rPr>
          <w:rFonts w:cs="Times New Roman"/>
          <w:lang w:val="en-US"/>
        </w:rPr>
      </w:pPr>
      <w:r>
        <w:rPr>
          <w:rFonts w:cs="Times New Roman"/>
        </w:rPr>
        <w:lastRenderedPageBreak/>
        <w:t xml:space="preserve">Milbrath, W. L. 1960. „Lobbying as communication process“. in </w:t>
      </w:r>
      <w:r>
        <w:rPr>
          <w:rFonts w:cs="Times New Roman"/>
          <w:i/>
        </w:rPr>
        <w:t>The public opinion quaterly</w:t>
      </w:r>
      <w:r>
        <w:rPr>
          <w:rFonts w:cs="Times New Roman"/>
        </w:rPr>
        <w:t xml:space="preserve"> 24 (1): 32-53. (online) Dostupné z: &lt;</w:t>
      </w:r>
      <w:r w:rsidRPr="00FA5028">
        <w:t>https://www.jstor.org/stable/2746664?seq=1#metadata_info_tab_contents</w:t>
      </w:r>
      <w:r>
        <w:t>&gt;</w:t>
      </w:r>
    </w:p>
    <w:p w:rsidR="005A7BC6" w:rsidRDefault="005A7BC6" w:rsidP="005A7BC6">
      <w:pPr>
        <w:ind w:firstLine="0"/>
        <w:rPr>
          <w:rFonts w:cs="Times New Roman"/>
        </w:rPr>
      </w:pPr>
      <w:r>
        <w:rPr>
          <w:rFonts w:cs="Times New Roman"/>
        </w:rPr>
        <w:t>Miller, Karel, Šárka Laboutková, Petr Vymětal. 2010. Lobbing v moderních demokraciích. Praha: Grada.</w:t>
      </w:r>
    </w:p>
    <w:p w:rsidR="005A7BC6" w:rsidRDefault="005A7BC6" w:rsidP="005A7BC6">
      <w:pPr>
        <w:ind w:firstLine="0"/>
      </w:pPr>
      <w:r>
        <w:rPr>
          <w:rFonts w:cs="Times New Roman"/>
        </w:rPr>
        <w:t>Molina, Oscar, Rhodes M. 2002. „</w:t>
      </w:r>
      <w:r w:rsidRPr="00A33587">
        <w:rPr>
          <w:rFonts w:cs="Times New Roman"/>
        </w:rPr>
        <w:t xml:space="preserve">Corporatism: The </w:t>
      </w:r>
      <w:r>
        <w:rPr>
          <w:rFonts w:cs="Times New Roman"/>
        </w:rPr>
        <w:t>p</w:t>
      </w:r>
      <w:r w:rsidRPr="00A33587">
        <w:rPr>
          <w:rFonts w:cs="Times New Roman"/>
        </w:rPr>
        <w:t xml:space="preserve">ast, </w:t>
      </w:r>
      <w:r>
        <w:rPr>
          <w:rFonts w:cs="Times New Roman"/>
        </w:rPr>
        <w:t>p</w:t>
      </w:r>
      <w:r w:rsidRPr="00A33587">
        <w:rPr>
          <w:rFonts w:cs="Times New Roman"/>
        </w:rPr>
        <w:t xml:space="preserve">resent, and </w:t>
      </w:r>
      <w:r>
        <w:rPr>
          <w:rFonts w:cs="Times New Roman"/>
        </w:rPr>
        <w:t>f</w:t>
      </w:r>
      <w:r w:rsidRPr="00A33587">
        <w:rPr>
          <w:rFonts w:cs="Times New Roman"/>
        </w:rPr>
        <w:t>uture of</w:t>
      </w:r>
      <w:r>
        <w:rPr>
          <w:rFonts w:cs="Times New Roman"/>
        </w:rPr>
        <w:t xml:space="preserve"> </w:t>
      </w:r>
      <w:r w:rsidRPr="00A33587">
        <w:rPr>
          <w:rFonts w:cs="Times New Roman"/>
        </w:rPr>
        <w:t xml:space="preserve">a </w:t>
      </w:r>
      <w:r>
        <w:rPr>
          <w:rFonts w:cs="Times New Roman"/>
        </w:rPr>
        <w:t>c</w:t>
      </w:r>
      <w:r w:rsidRPr="00A33587">
        <w:rPr>
          <w:rFonts w:cs="Times New Roman"/>
        </w:rPr>
        <w:t>oncept</w:t>
      </w:r>
      <w:r>
        <w:rPr>
          <w:rFonts w:cs="Times New Roman"/>
        </w:rPr>
        <w:t xml:space="preserve">“. in </w:t>
      </w:r>
      <w:r>
        <w:rPr>
          <w:rFonts w:cs="Times New Roman"/>
          <w:i/>
        </w:rPr>
        <w:t>Annual review of Politica Science</w:t>
      </w:r>
      <w:r>
        <w:rPr>
          <w:rFonts w:cs="Times New Roman"/>
        </w:rPr>
        <w:t xml:space="preserve"> 5 (1). (online) Dostupné z: &lt;</w:t>
      </w:r>
      <w:r w:rsidRPr="00FA5028">
        <w:t>https://www.researchgate.net/publication/249557107_Corporatism_The_Past_Present_and_Future_of_a_Concept</w:t>
      </w:r>
      <w:r>
        <w:t>&gt; (26.3.2019)</w:t>
      </w:r>
    </w:p>
    <w:p w:rsidR="005A7BC6" w:rsidRDefault="005A7BC6" w:rsidP="005A7BC6">
      <w:pPr>
        <w:ind w:firstLine="0"/>
      </w:pPr>
      <w:r>
        <w:rPr>
          <w:rFonts w:cs="Times New Roman"/>
        </w:rPr>
        <w:t xml:space="preserve">Nye, S. J. 1967. „Corruption and political development: A cost-benefit analysis“. </w:t>
      </w:r>
      <w:r>
        <w:rPr>
          <w:rFonts w:cs="Times New Roman"/>
          <w:i/>
        </w:rPr>
        <w:t>American Political Science Review</w:t>
      </w:r>
      <w:r>
        <w:rPr>
          <w:rFonts w:cs="Times New Roman"/>
        </w:rPr>
        <w:t xml:space="preserve"> 61 (2): 417-427. (online) Dostupné z: &lt;</w:t>
      </w:r>
      <w:r w:rsidRPr="007136F1">
        <w:t>https://www.jstor.org/stable/1953254?seq=1#metadata_info_tab_contents</w:t>
      </w:r>
      <w:r>
        <w:t>&gt; (27.3.2019)</w:t>
      </w:r>
    </w:p>
    <w:p w:rsidR="005A7BC6" w:rsidRDefault="005A7BC6" w:rsidP="005A7BC6">
      <w:pPr>
        <w:ind w:firstLine="0"/>
      </w:pPr>
      <w:r w:rsidRPr="00720B52">
        <w:rPr>
          <w:rFonts w:cs="Times New Roman"/>
        </w:rPr>
        <w:t>Ottaway</w:t>
      </w:r>
      <w:r>
        <w:rPr>
          <w:rFonts w:cs="Times New Roman"/>
        </w:rPr>
        <w:t>,</w:t>
      </w:r>
      <w:r w:rsidRPr="00720B52">
        <w:rPr>
          <w:rFonts w:cs="Times New Roman"/>
        </w:rPr>
        <w:t xml:space="preserve"> M</w:t>
      </w:r>
      <w:r>
        <w:rPr>
          <w:rFonts w:cs="Times New Roman"/>
        </w:rPr>
        <w:t>arina</w:t>
      </w:r>
      <w:r w:rsidRPr="00720B52">
        <w:rPr>
          <w:rFonts w:cs="Times New Roman"/>
        </w:rPr>
        <w:t>. 2001</w:t>
      </w:r>
      <w:r>
        <w:rPr>
          <w:rFonts w:cs="Times New Roman"/>
        </w:rPr>
        <w:t>. „</w:t>
      </w:r>
      <w:r w:rsidRPr="00720B52">
        <w:rPr>
          <w:rFonts w:cs="Times New Roman"/>
        </w:rPr>
        <w:t>Corporatism goes global:</w:t>
      </w:r>
      <w:r>
        <w:rPr>
          <w:rFonts w:cs="Times New Roman"/>
        </w:rPr>
        <w:t xml:space="preserve"> </w:t>
      </w:r>
      <w:r w:rsidRPr="00720B52">
        <w:rPr>
          <w:rFonts w:cs="Times New Roman"/>
        </w:rPr>
        <w:t>International organizations, nongovernmental</w:t>
      </w:r>
      <w:r>
        <w:rPr>
          <w:rFonts w:cs="Times New Roman"/>
        </w:rPr>
        <w:t xml:space="preserve"> </w:t>
      </w:r>
      <w:r w:rsidRPr="00720B52">
        <w:rPr>
          <w:rFonts w:cs="Times New Roman"/>
        </w:rPr>
        <w:t>organizations networks, and transnational business</w:t>
      </w:r>
      <w:r>
        <w:rPr>
          <w:rFonts w:cs="Times New Roman"/>
        </w:rPr>
        <w:t>.</w:t>
      </w:r>
      <w:r w:rsidRPr="00720B52">
        <w:rPr>
          <w:rFonts w:cs="Times New Roman"/>
        </w:rPr>
        <w:t xml:space="preserve"> </w:t>
      </w:r>
      <w:r w:rsidRPr="00A33587">
        <w:rPr>
          <w:rFonts w:cs="Times New Roman"/>
          <w:i/>
        </w:rPr>
        <w:t>Global Governance</w:t>
      </w:r>
      <w:r>
        <w:rPr>
          <w:rFonts w:cs="Times New Roman"/>
        </w:rPr>
        <w:t xml:space="preserve"> 7 (3). (online) Dostupné z: &lt;</w:t>
      </w:r>
      <w:r w:rsidRPr="00FA5028">
        <w:t>https://www.jstor.org/stable/pdf/27800304.pdf?seq=1#page_scan_tab_contents</w:t>
      </w:r>
      <w:r>
        <w:t>&gt; (21.2.2019)</w:t>
      </w:r>
    </w:p>
    <w:p w:rsidR="005A7BC6" w:rsidRDefault="005A7BC6" w:rsidP="005A7BC6">
      <w:pPr>
        <w:ind w:firstLine="0"/>
      </w:pPr>
      <w:r>
        <w:t xml:space="preserve">Pfeffer, Jeffrey, Gerald R. Salancik. 1978. </w:t>
      </w:r>
      <w:r w:rsidRPr="008975D0">
        <w:t>The external control of organizations: A resource dependence perspective.</w:t>
      </w:r>
      <w:r>
        <w:t xml:space="preserve"> New York: Harper </w:t>
      </w:r>
      <w:r w:rsidRPr="008975D0">
        <w:t>&amp;</w:t>
      </w:r>
      <w:r>
        <w:t xml:space="preserve"> Row.</w:t>
      </w:r>
    </w:p>
    <w:p w:rsidR="005A7BC6" w:rsidRDefault="005A7BC6" w:rsidP="005A7BC6">
      <w:pPr>
        <w:ind w:firstLine="0"/>
      </w:pPr>
      <w:r w:rsidRPr="00085B29">
        <w:t>Pfeffer, Jeffrey</w:t>
      </w:r>
      <w:r>
        <w:t>.</w:t>
      </w:r>
      <w:r w:rsidRPr="00085B29">
        <w:t xml:space="preserve"> 1982</w:t>
      </w:r>
      <w:r>
        <w:t>.</w:t>
      </w:r>
      <w:r w:rsidRPr="00085B29">
        <w:t xml:space="preserve"> Organizations and Organization Theory</w:t>
      </w:r>
      <w:r>
        <w:t>.</w:t>
      </w:r>
      <w:r w:rsidRPr="00085B29">
        <w:t xml:space="preserve"> London: Pitman.</w:t>
      </w:r>
    </w:p>
    <w:p w:rsidR="005A7BC6" w:rsidRDefault="005A7BC6" w:rsidP="005A7BC6">
      <w:pPr>
        <w:ind w:firstLine="0"/>
      </w:pPr>
      <w:r>
        <w:t xml:space="preserve">Pfeffer, Jeffrey. 1997. „The development and scope of organization studies“. Pp. 1-80 in </w:t>
      </w:r>
      <w:r w:rsidRPr="00987F0F">
        <w:rPr>
          <w:i/>
        </w:rPr>
        <w:t>New Directions for Organization Theory</w:t>
      </w:r>
      <w:r>
        <w:t>:</w:t>
      </w:r>
      <w:r w:rsidRPr="00987F0F">
        <w:rPr>
          <w:i/>
        </w:rPr>
        <w:t xml:space="preserve"> Problems and Prospects.</w:t>
      </w:r>
      <w:r>
        <w:rPr>
          <w:i/>
        </w:rPr>
        <w:t xml:space="preserve"> </w:t>
      </w:r>
      <w:r>
        <w:t>(online) Dostupné z: &lt;</w:t>
      </w:r>
      <w:r w:rsidRPr="000C27DE">
        <w:t>https://www.researchgate.net/publication/246935427_New_Directions_for_Organization_Theory_Problems_and_Prospects</w:t>
      </w:r>
      <w:r>
        <w:t>&gt; (28.3.2019)</w:t>
      </w:r>
    </w:p>
    <w:p w:rsidR="005A7BC6" w:rsidRPr="00987F0F" w:rsidRDefault="005A7BC6" w:rsidP="005A7BC6">
      <w:pPr>
        <w:ind w:firstLine="0"/>
      </w:pPr>
      <w:r>
        <w:t xml:space="preserve">Rometsch, Dietrich, Wolfgang Wessels. 1997. „The Commission and the Council of the Union“. in Geoffrey Edwards and David Spence (eds.). </w:t>
      </w:r>
      <w:r w:rsidRPr="00085B29">
        <w:rPr>
          <w:i/>
        </w:rPr>
        <w:t>The European Commission</w:t>
      </w:r>
      <w:r>
        <w:t>. London: Catermill Publishing.</w:t>
      </w:r>
    </w:p>
    <w:p w:rsidR="005A7BC6" w:rsidRDefault="005A7BC6" w:rsidP="005A7BC6">
      <w:pPr>
        <w:ind w:firstLine="0"/>
      </w:pPr>
      <w:r>
        <w:t>Říchová, Blanka. 2000. Přehled moderních politologických teorií. Praha: Portál.</w:t>
      </w:r>
    </w:p>
    <w:p w:rsidR="005A7BC6" w:rsidRDefault="005A7BC6" w:rsidP="005A7BC6">
      <w:pPr>
        <w:ind w:firstLine="0"/>
      </w:pPr>
      <w:r>
        <w:t>Salisbury, H. Robert. 1984. „</w:t>
      </w:r>
      <w:r w:rsidRPr="00417108">
        <w:t xml:space="preserve">Interest </w:t>
      </w:r>
      <w:r>
        <w:t>r</w:t>
      </w:r>
      <w:r w:rsidRPr="00417108">
        <w:t xml:space="preserve">epresentation: The </w:t>
      </w:r>
      <w:r>
        <w:t>d</w:t>
      </w:r>
      <w:r w:rsidRPr="00417108">
        <w:t xml:space="preserve">ominance of </w:t>
      </w:r>
      <w:r>
        <w:t>i</w:t>
      </w:r>
      <w:r w:rsidRPr="00417108">
        <w:t>nstitutions</w:t>
      </w:r>
      <w:r>
        <w:t xml:space="preserve">“. Pp. 64-76 in </w:t>
      </w:r>
      <w:r>
        <w:rPr>
          <w:i/>
        </w:rPr>
        <w:t xml:space="preserve">The American political science review </w:t>
      </w:r>
      <w:r>
        <w:t>78 (1). (online) Dostupné z: &lt;</w:t>
      </w:r>
      <w:r w:rsidRPr="000C27DE">
        <w:t>https://www.jstor.org/stable/1961249?seq=1#page_scan_tab_contents</w:t>
      </w:r>
      <w:r>
        <w:t>&gt; (27.3.2019)</w:t>
      </w:r>
    </w:p>
    <w:p w:rsidR="005A7BC6" w:rsidRDefault="005A7BC6" w:rsidP="005A7BC6">
      <w:pPr>
        <w:ind w:firstLine="0"/>
      </w:pPr>
      <w:r>
        <w:t xml:space="preserve">Scharpf, Fritz. 1999. „Legitimacy in the multi-actor European polity“. in Morten Egeberg and Per Laegreid (eds), </w:t>
      </w:r>
      <w:r w:rsidRPr="00987F0F">
        <w:rPr>
          <w:i/>
        </w:rPr>
        <w:t>Organizing Political Institutions. Essays for Johan P.</w:t>
      </w:r>
      <w:r>
        <w:t xml:space="preserve"> </w:t>
      </w:r>
      <w:r w:rsidRPr="00987F0F">
        <w:rPr>
          <w:i/>
        </w:rPr>
        <w:t>Olsen</w:t>
      </w:r>
      <w:r>
        <w:t>. Oslo: Scandinavian University Press.</w:t>
      </w:r>
    </w:p>
    <w:p w:rsidR="005A7BC6" w:rsidRDefault="005A7BC6" w:rsidP="005A7BC6">
      <w:pPr>
        <w:ind w:firstLine="0"/>
      </w:pPr>
      <w:r>
        <w:lastRenderedPageBreak/>
        <w:t xml:space="preserve">Schmitter, C. Philippe. 1979. „Still the century of corporatism?“. Pp. 7 – 52 in Philippe C. Schmitter, Gerhard Lehmbruch. </w:t>
      </w:r>
      <w:r>
        <w:rPr>
          <w:i/>
        </w:rPr>
        <w:t>Trends toward corporatist intermediation.</w:t>
      </w:r>
      <w:r>
        <w:t xml:space="preserve"> (online) Dostupné z: &lt;</w:t>
      </w:r>
      <w:r w:rsidRPr="000C27DE">
        <w:t>https://www.jstor.org/stable/1406080?seq=1#page_scan_tab_contents</w:t>
      </w:r>
      <w:r>
        <w:t>&gt;</w:t>
      </w:r>
    </w:p>
    <w:p w:rsidR="005A7BC6" w:rsidRDefault="005A7BC6" w:rsidP="005A7BC6">
      <w:pPr>
        <w:ind w:firstLine="0"/>
      </w:pPr>
      <w:r>
        <w:t xml:space="preserve">Spence, David. 1997. „Staff and personnel policy in the Commission“. in Geoffrey Edwards and David Spence (eds.). </w:t>
      </w:r>
      <w:r w:rsidRPr="00AC6182">
        <w:rPr>
          <w:i/>
        </w:rPr>
        <w:t>The European Commission</w:t>
      </w:r>
      <w:r>
        <w:t>. London: Catermill International.</w:t>
      </w:r>
    </w:p>
    <w:p w:rsidR="005A7BC6" w:rsidRDefault="005A7BC6" w:rsidP="005A7BC6">
      <w:pPr>
        <w:ind w:firstLine="0"/>
        <w:rPr>
          <w:rFonts w:cs="Times New Roman"/>
        </w:rPr>
      </w:pPr>
      <w:r>
        <w:rPr>
          <w:rFonts w:cs="Times New Roman"/>
        </w:rPr>
        <w:t>Vymětal, Petr. 2010. „Co je lobbing? Vymezení, tradice, diskurz a praktiky lobbingu“. in Karel B. M</w:t>
      </w:r>
      <w:r w:rsidRPr="0021791F">
        <w:rPr>
          <w:rFonts w:cs="Times New Roman"/>
        </w:rPr>
        <w:t>ü</w:t>
      </w:r>
      <w:r>
        <w:rPr>
          <w:rFonts w:cs="Times New Roman"/>
        </w:rPr>
        <w:t xml:space="preserve">ller (ed.). </w:t>
      </w:r>
      <w:r>
        <w:rPr>
          <w:rFonts w:cs="Times New Roman"/>
          <w:i/>
        </w:rPr>
        <w:t>Lobbing v moderních demokraciích.</w:t>
      </w:r>
      <w:r>
        <w:rPr>
          <w:rFonts w:cs="Times New Roman"/>
        </w:rPr>
        <w:t xml:space="preserve"> Grada Publishing: Praha.</w:t>
      </w:r>
    </w:p>
    <w:p w:rsidR="005A7BC6" w:rsidRPr="00062CA2" w:rsidRDefault="005A7BC6" w:rsidP="005A7BC6">
      <w:pPr>
        <w:ind w:firstLine="0"/>
        <w:rPr>
          <w:rFonts w:cs="Times New Roman"/>
        </w:rPr>
      </w:pPr>
      <w:r>
        <w:rPr>
          <w:rFonts w:cs="Times New Roman"/>
        </w:rPr>
        <w:t xml:space="preserve">Wilson, Frank. 1983. „Interest groups and politics in western Europe the neocorporativist approach“. in </w:t>
      </w:r>
      <w:r>
        <w:rPr>
          <w:rFonts w:cs="Times New Roman"/>
          <w:i/>
        </w:rPr>
        <w:t>Comparative Politics</w:t>
      </w:r>
      <w:r>
        <w:rPr>
          <w:rFonts w:cs="Times New Roman"/>
        </w:rPr>
        <w:t xml:space="preserve"> 16 (1) Pp. 105-123. Dostupné online z: &lt;</w:t>
      </w:r>
      <w:r w:rsidRPr="000C27DE">
        <w:t>https://www.jstor.org/stable/421599?seq=1#page_scan_tab_contents</w:t>
      </w:r>
      <w:r>
        <w:t>&gt; (24.3.2019)</w:t>
      </w:r>
    </w:p>
    <w:p w:rsidR="005A7BC6" w:rsidRDefault="005A7BC6" w:rsidP="005A7BC6">
      <w:pPr>
        <w:ind w:firstLine="0"/>
        <w:rPr>
          <w:rFonts w:cs="Times New Roman"/>
        </w:rPr>
      </w:pPr>
      <w:r>
        <w:rPr>
          <w:rFonts w:cs="Times New Roman"/>
        </w:rPr>
        <w:t>Zabkowicz, Anna. 2014. „</w:t>
      </w:r>
      <w:r w:rsidRPr="004116DB">
        <w:rPr>
          <w:rFonts w:cs="Times New Roman"/>
        </w:rPr>
        <w:t xml:space="preserve">Organized </w:t>
      </w:r>
      <w:r>
        <w:rPr>
          <w:rFonts w:cs="Times New Roman"/>
        </w:rPr>
        <w:t>e</w:t>
      </w:r>
      <w:r w:rsidRPr="004116DB">
        <w:rPr>
          <w:rFonts w:cs="Times New Roman"/>
        </w:rPr>
        <w:t xml:space="preserve">conomic </w:t>
      </w:r>
      <w:r>
        <w:rPr>
          <w:rFonts w:cs="Times New Roman"/>
        </w:rPr>
        <w:t>i</w:t>
      </w:r>
      <w:r w:rsidRPr="004116DB">
        <w:rPr>
          <w:rFonts w:cs="Times New Roman"/>
        </w:rPr>
        <w:t xml:space="preserve">nterests and </w:t>
      </w:r>
      <w:r>
        <w:rPr>
          <w:rFonts w:cs="Times New Roman"/>
        </w:rPr>
        <w:t>e</w:t>
      </w:r>
      <w:r w:rsidRPr="004116DB">
        <w:rPr>
          <w:rFonts w:cs="Times New Roman"/>
        </w:rPr>
        <w:t>uropean</w:t>
      </w:r>
      <w:r>
        <w:rPr>
          <w:rFonts w:cs="Times New Roman"/>
        </w:rPr>
        <w:t xml:space="preserve"> i</w:t>
      </w:r>
      <w:r w:rsidRPr="004116DB">
        <w:rPr>
          <w:rFonts w:cs="Times New Roman"/>
        </w:rPr>
        <w:t xml:space="preserve">ntegration: the </w:t>
      </w:r>
      <w:r>
        <w:rPr>
          <w:rFonts w:cs="Times New Roman"/>
        </w:rPr>
        <w:t>q</w:t>
      </w:r>
      <w:r w:rsidRPr="004116DB">
        <w:rPr>
          <w:rFonts w:cs="Times New Roman"/>
        </w:rPr>
        <w:t>uestion of (neo)corporatism</w:t>
      </w:r>
      <w:r>
        <w:rPr>
          <w:rFonts w:cs="Times New Roman"/>
        </w:rPr>
        <w:t xml:space="preserve">“. in </w:t>
      </w:r>
      <w:r w:rsidRPr="00A44F81">
        <w:rPr>
          <w:rFonts w:cs="Times New Roman"/>
          <w:i/>
        </w:rPr>
        <w:t>Quarterly Journal of Economics and Economic Policy</w:t>
      </w:r>
      <w:r>
        <w:rPr>
          <w:rFonts w:cs="Times New Roman"/>
          <w:i/>
        </w:rPr>
        <w:t xml:space="preserve"> 9 (1)</w:t>
      </w:r>
      <w:r>
        <w:rPr>
          <w:rFonts w:cs="Times New Roman"/>
        </w:rPr>
        <w:t>. (online) Dostupné z: &lt;</w:t>
      </w:r>
      <w:r w:rsidRPr="003B7C21">
        <w:rPr>
          <w:rFonts w:cs="Times New Roman"/>
        </w:rPr>
        <w:t>http://economic-research.pl/Journals/index.php/eq/article/view/321/289</w:t>
      </w:r>
      <w:r>
        <w:rPr>
          <w:rFonts w:cs="Times New Roman"/>
        </w:rPr>
        <w:t>&gt; (25.3. 2019)</w:t>
      </w:r>
    </w:p>
    <w:p w:rsidR="005A7BC6" w:rsidRDefault="005A7BC6" w:rsidP="005A7BC6">
      <w:pPr>
        <w:ind w:firstLine="0"/>
      </w:pPr>
    </w:p>
    <w:p w:rsidR="005A7BC6" w:rsidRDefault="005A7BC6" w:rsidP="005A7BC6">
      <w:pPr>
        <w:ind w:firstLine="0"/>
      </w:pPr>
    </w:p>
    <w:p w:rsidR="005A7BC6" w:rsidRDefault="005A7BC6" w:rsidP="005A7BC6">
      <w:pPr>
        <w:ind w:firstLine="0"/>
      </w:pPr>
    </w:p>
    <w:p w:rsidR="005A7BC6" w:rsidRPr="007136F1" w:rsidRDefault="005A7BC6" w:rsidP="005A7BC6">
      <w:pPr>
        <w:ind w:firstLine="0"/>
        <w:rPr>
          <w:lang w:val="en-US"/>
        </w:rPr>
      </w:pPr>
    </w:p>
    <w:p w:rsidR="005A7BC6" w:rsidRDefault="005A7BC6" w:rsidP="005A7BC6">
      <w:pPr>
        <w:ind w:firstLine="0"/>
      </w:pPr>
    </w:p>
    <w:p w:rsidR="005A7BC6" w:rsidRDefault="005A7BC6" w:rsidP="005A7BC6">
      <w:pPr>
        <w:ind w:firstLine="0"/>
      </w:pPr>
    </w:p>
    <w:p w:rsidR="005A7BC6" w:rsidRDefault="005A7BC6" w:rsidP="005A7BC6">
      <w:pPr>
        <w:ind w:firstLine="0"/>
        <w:rPr>
          <w:rFonts w:cs="Times New Roman"/>
        </w:rPr>
      </w:pPr>
    </w:p>
    <w:p w:rsidR="005A7BC6" w:rsidRDefault="005A7BC6" w:rsidP="005A7BC6">
      <w:pPr>
        <w:ind w:firstLine="0"/>
        <w:rPr>
          <w:rStyle w:val="Hyperlink"/>
          <w:rFonts w:cs="Times New Roman"/>
          <w:color w:val="auto"/>
          <w:u w:val="none"/>
        </w:rPr>
      </w:pPr>
    </w:p>
    <w:p w:rsidR="005A7BC6" w:rsidRDefault="005A7BC6" w:rsidP="005A7BC6">
      <w:pPr>
        <w:ind w:firstLine="0"/>
        <w:rPr>
          <w:rStyle w:val="Hyperlink"/>
          <w:rFonts w:cs="Times New Roman"/>
          <w:color w:val="auto"/>
          <w:u w:val="none"/>
        </w:rPr>
      </w:pPr>
    </w:p>
    <w:p w:rsidR="005A7BC6" w:rsidRDefault="005A7BC6" w:rsidP="0078700F">
      <w:pPr>
        <w:ind w:firstLine="0"/>
        <w:rPr>
          <w:rStyle w:val="Hyperlink"/>
          <w:rFonts w:cs="Times New Roman"/>
          <w:color w:val="auto"/>
          <w:u w:val="none"/>
        </w:rPr>
      </w:pPr>
    </w:p>
    <w:p w:rsidR="0078700F" w:rsidRDefault="0078700F" w:rsidP="0078700F">
      <w:pPr>
        <w:ind w:firstLine="0"/>
        <w:rPr>
          <w:rFonts w:cs="Times New Roman"/>
        </w:rPr>
      </w:pPr>
    </w:p>
    <w:p w:rsidR="0078700F" w:rsidRDefault="0078700F" w:rsidP="0078700F">
      <w:pPr>
        <w:ind w:firstLine="0"/>
        <w:rPr>
          <w:rFonts w:cs="Times New Roman"/>
        </w:rPr>
      </w:pPr>
    </w:p>
    <w:p w:rsidR="0078700F" w:rsidRDefault="0078700F" w:rsidP="0078700F">
      <w:pPr>
        <w:ind w:firstLine="0"/>
      </w:pPr>
    </w:p>
    <w:p w:rsidR="0078700F" w:rsidRDefault="0078700F" w:rsidP="00801AE3">
      <w:pPr>
        <w:ind w:firstLine="0"/>
      </w:pPr>
    </w:p>
    <w:p w:rsidR="00801AE3" w:rsidRDefault="00801AE3" w:rsidP="00801AE3">
      <w:pPr>
        <w:ind w:firstLine="0"/>
        <w:rPr>
          <w:rFonts w:cs="Times New Roman"/>
        </w:rPr>
      </w:pPr>
    </w:p>
    <w:p w:rsidR="00801AE3" w:rsidRDefault="00801AE3" w:rsidP="00801AE3">
      <w:pPr>
        <w:ind w:firstLine="0"/>
        <w:rPr>
          <w:rFonts w:cs="Times New Roman"/>
        </w:rPr>
      </w:pPr>
    </w:p>
    <w:p w:rsidR="00801AE3" w:rsidRDefault="00801AE3" w:rsidP="00801AE3">
      <w:pPr>
        <w:ind w:firstLine="0"/>
        <w:rPr>
          <w:rFonts w:cs="Times New Roman"/>
        </w:rPr>
      </w:pPr>
    </w:p>
    <w:p w:rsidR="00801AE3" w:rsidRDefault="00801AE3" w:rsidP="00801AE3">
      <w:pPr>
        <w:ind w:firstLine="0"/>
        <w:rPr>
          <w:rFonts w:cs="Times New Roman"/>
        </w:rPr>
      </w:pPr>
    </w:p>
    <w:p w:rsidR="00801AE3" w:rsidRPr="00801AE3" w:rsidRDefault="00801AE3" w:rsidP="00801AE3">
      <w:pPr>
        <w:ind w:firstLine="0"/>
        <w:rPr>
          <w:rFonts w:cs="Times New Roman"/>
        </w:rPr>
      </w:pPr>
    </w:p>
    <w:p w:rsidR="000C7A24" w:rsidRPr="00CA29CD" w:rsidRDefault="000C7A24" w:rsidP="00176DD4"/>
    <w:sectPr w:rsidR="000C7A24" w:rsidRPr="00CA29CD" w:rsidSect="008E17E4">
      <w:footerReference w:type="default" r:id="rId11"/>
      <w:pgSz w:w="11906" w:h="16838"/>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BF0" w:rsidRDefault="001C7BF0" w:rsidP="00DD7CAA">
      <w:pPr>
        <w:spacing w:line="240" w:lineRule="auto"/>
      </w:pPr>
      <w:r>
        <w:separator/>
      </w:r>
    </w:p>
  </w:endnote>
  <w:endnote w:type="continuationSeparator" w:id="0">
    <w:p w:rsidR="001C7BF0" w:rsidRDefault="001C7BF0" w:rsidP="00DD7C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E4" w:rsidRDefault="008E17E4">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E4" w:rsidRDefault="008E17E4">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E4" w:rsidRDefault="008E17E4" w:rsidP="003702A2">
    <w:pPr>
      <w:pStyle w:val="Footer"/>
      <w:tabs>
        <w:tab w:val="left" w:pos="4330"/>
      </w:tabs>
    </w:pPr>
    <w:r>
      <w:tab/>
    </w:r>
    <w:r>
      <w:tab/>
    </w:r>
    <w:r>
      <w:tab/>
    </w:r>
    <w:r>
      <w:tab/>
    </w:r>
    <w:r>
      <w:fldChar w:fldCharType="begin"/>
    </w:r>
    <w:r>
      <w:instrText xml:space="preserve"> PAGE   \* MERGEFORMAT </w:instrText>
    </w:r>
    <w:r>
      <w:fldChar w:fldCharType="separate"/>
    </w:r>
    <w:r>
      <w:rPr>
        <w:noProof/>
      </w:rPr>
      <w:t>1</w:t>
    </w:r>
    <w:r>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BF0" w:rsidRDefault="001C7BF0" w:rsidP="00DD7CAA">
      <w:pPr>
        <w:spacing w:line="240" w:lineRule="auto"/>
      </w:pPr>
      <w:r>
        <w:separator/>
      </w:r>
    </w:p>
  </w:footnote>
  <w:footnote w:type="continuationSeparator" w:id="0">
    <w:p w:rsidR="001C7BF0" w:rsidRDefault="001C7BF0" w:rsidP="00DD7CAA">
      <w:pPr>
        <w:spacing w:line="240" w:lineRule="auto"/>
      </w:pPr>
      <w:r>
        <w:continuationSeparator/>
      </w:r>
    </w:p>
  </w:footnote>
  <w:footnote w:id="1">
    <w:p w:rsidR="008E17E4" w:rsidRDefault="008E17E4">
      <w:pPr>
        <w:pStyle w:val="FootnoteText"/>
      </w:pPr>
      <w:r>
        <w:rPr>
          <w:rStyle w:val="FootnoteReference"/>
        </w:rPr>
        <w:footnoteRef/>
      </w:r>
      <w:r>
        <w:t xml:space="preserve">Následný popis v textu vychází z rozložení této stránky: </w:t>
      </w:r>
      <w:r>
        <w:tab/>
      </w:r>
      <w:hyperlink r:id="rId1" w:history="1">
        <w:r w:rsidRPr="00996876">
          <w:rPr>
            <w:rStyle w:val="Hyperlink"/>
          </w:rPr>
          <w:t>http://ec.europa.eu/transparencyregister/public/consultation/search.do?locale=cs&amp;reset=</w:t>
        </w:r>
      </w:hyperlink>
    </w:p>
  </w:footnote>
  <w:footnote w:id="2">
    <w:p w:rsidR="008E17E4" w:rsidRDefault="008E17E4">
      <w:pPr>
        <w:pStyle w:val="FootnoteText"/>
      </w:pPr>
      <w:r>
        <w:rPr>
          <w:rStyle w:val="FootnoteReference"/>
        </w:rPr>
        <w:footnoteRef/>
      </w:r>
      <w:r>
        <w:t xml:space="preserve"> Tabulka, Bouwen 2002: 378</w:t>
      </w:r>
    </w:p>
  </w:footnote>
  <w:footnote w:id="3">
    <w:p w:rsidR="008E17E4" w:rsidRDefault="008E17E4">
      <w:pPr>
        <w:pStyle w:val="FootnoteText"/>
      </w:pPr>
      <w:r>
        <w:rPr>
          <w:rStyle w:val="FootnoteReference"/>
        </w:rPr>
        <w:footnoteRef/>
      </w:r>
      <w:r>
        <w:t xml:space="preserve"> viz Přílohy, Tabulka č.1, zdroj Rejstřík, autorova úprava</w:t>
      </w:r>
    </w:p>
  </w:footnote>
  <w:footnote w:id="4">
    <w:p w:rsidR="008E17E4" w:rsidRDefault="008E17E4">
      <w:pPr>
        <w:pStyle w:val="FootnoteText"/>
      </w:pPr>
      <w:r>
        <w:rPr>
          <w:rStyle w:val="FootnoteReference"/>
        </w:rPr>
        <w:footnoteRef/>
      </w:r>
      <w:r>
        <w:t xml:space="preserve"> viz. Přílohy, Tabulka č.2, zdroj Rejstřík, autorova úprava</w:t>
      </w:r>
    </w:p>
  </w:footnote>
  <w:footnote w:id="5">
    <w:p w:rsidR="008E17E4" w:rsidRDefault="008E17E4">
      <w:pPr>
        <w:pStyle w:val="FootnoteText"/>
      </w:pPr>
      <w:r>
        <w:rPr>
          <w:rStyle w:val="FootnoteReference"/>
        </w:rPr>
        <w:footnoteRef/>
      </w:r>
      <w:r>
        <w:t xml:space="preserve"> </w:t>
      </w:r>
      <w:r w:rsidRPr="002A6284">
        <w:t>Cellule d’Animation du Réseau wallon de Développement rural</w:t>
      </w:r>
    </w:p>
  </w:footnote>
  <w:footnote w:id="6">
    <w:p w:rsidR="008E17E4" w:rsidRDefault="008E17E4">
      <w:pPr>
        <w:pStyle w:val="FootnoteText"/>
      </w:pPr>
      <w:r>
        <w:rPr>
          <w:rStyle w:val="FootnoteReference"/>
        </w:rPr>
        <w:footnoteRef/>
      </w:r>
      <w:r>
        <w:t xml:space="preserve"> viz. Přílohy, Tabulka č.3, zdroj Rejstřík, autorova úprava</w:t>
      </w:r>
    </w:p>
  </w:footnote>
  <w:footnote w:id="7">
    <w:p w:rsidR="008E17E4" w:rsidRDefault="008E17E4">
      <w:pPr>
        <w:pStyle w:val="FootnoteText"/>
      </w:pPr>
      <w:r>
        <w:rPr>
          <w:rStyle w:val="FootnoteReference"/>
        </w:rPr>
        <w:footnoteRef/>
      </w:r>
      <w:r>
        <w:t xml:space="preserve"> viz. Přílohy, Tabulka č.4, zdroj Rejstřík, autorova úprava</w:t>
      </w:r>
    </w:p>
  </w:footnote>
  <w:footnote w:id="8">
    <w:p w:rsidR="008E17E4" w:rsidRDefault="008E17E4">
      <w:pPr>
        <w:pStyle w:val="FootnoteText"/>
      </w:pPr>
      <w:r>
        <w:rPr>
          <w:rStyle w:val="FootnoteReference"/>
        </w:rPr>
        <w:footnoteRef/>
      </w:r>
      <w:r>
        <w:t xml:space="preserve"> viz. Přílohy, Tabulka č.5, zdroj Rejstřík, autorova úprava</w:t>
      </w:r>
    </w:p>
  </w:footnote>
  <w:footnote w:id="9">
    <w:p w:rsidR="008E17E4" w:rsidRDefault="008E17E4">
      <w:pPr>
        <w:pStyle w:val="FootnoteText"/>
      </w:pPr>
      <w:r>
        <w:rPr>
          <w:rStyle w:val="FootnoteReference"/>
        </w:rPr>
        <w:footnoteRef/>
      </w:r>
      <w:r>
        <w:t xml:space="preserve"> </w:t>
      </w:r>
      <w:r w:rsidRPr="00431608">
        <w:t>Bund für Lebensmittelrecht und Lebensmittelkunde e.V. de e.V.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5613F"/>
    <w:multiLevelType w:val="hybridMultilevel"/>
    <w:tmpl w:val="C4B0368C"/>
    <w:lvl w:ilvl="0" w:tplc="A968723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73444562"/>
    <w:multiLevelType w:val="hybridMultilevel"/>
    <w:tmpl w:val="FAE48072"/>
    <w:lvl w:ilvl="0" w:tplc="7188DA1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4C2"/>
    <w:rsid w:val="000010C3"/>
    <w:rsid w:val="0000149D"/>
    <w:rsid w:val="00004D30"/>
    <w:rsid w:val="000068C3"/>
    <w:rsid w:val="000157EA"/>
    <w:rsid w:val="0001618A"/>
    <w:rsid w:val="000168CE"/>
    <w:rsid w:val="00020841"/>
    <w:rsid w:val="00020851"/>
    <w:rsid w:val="00025E3B"/>
    <w:rsid w:val="00026A1D"/>
    <w:rsid w:val="00027D20"/>
    <w:rsid w:val="000336FF"/>
    <w:rsid w:val="0003685C"/>
    <w:rsid w:val="0003689A"/>
    <w:rsid w:val="00041E99"/>
    <w:rsid w:val="0004353D"/>
    <w:rsid w:val="00047805"/>
    <w:rsid w:val="00051DA7"/>
    <w:rsid w:val="00053E6E"/>
    <w:rsid w:val="00054044"/>
    <w:rsid w:val="00055C5B"/>
    <w:rsid w:val="000564F1"/>
    <w:rsid w:val="0005685C"/>
    <w:rsid w:val="000614CD"/>
    <w:rsid w:val="000627B8"/>
    <w:rsid w:val="00062CA2"/>
    <w:rsid w:val="00063392"/>
    <w:rsid w:val="00064803"/>
    <w:rsid w:val="00065068"/>
    <w:rsid w:val="00067327"/>
    <w:rsid w:val="00073457"/>
    <w:rsid w:val="0007736E"/>
    <w:rsid w:val="000832FB"/>
    <w:rsid w:val="0008543F"/>
    <w:rsid w:val="00085482"/>
    <w:rsid w:val="00085B29"/>
    <w:rsid w:val="00086ED5"/>
    <w:rsid w:val="000900A4"/>
    <w:rsid w:val="00090FF8"/>
    <w:rsid w:val="000A25E8"/>
    <w:rsid w:val="000A2745"/>
    <w:rsid w:val="000A4B03"/>
    <w:rsid w:val="000A6D7E"/>
    <w:rsid w:val="000B5A59"/>
    <w:rsid w:val="000B6F50"/>
    <w:rsid w:val="000B76CD"/>
    <w:rsid w:val="000C27DE"/>
    <w:rsid w:val="000C4670"/>
    <w:rsid w:val="000C64DA"/>
    <w:rsid w:val="000C66C1"/>
    <w:rsid w:val="000C7074"/>
    <w:rsid w:val="000C78D4"/>
    <w:rsid w:val="000C7A24"/>
    <w:rsid w:val="000D1C1C"/>
    <w:rsid w:val="000D2832"/>
    <w:rsid w:val="000D2E33"/>
    <w:rsid w:val="000D38B8"/>
    <w:rsid w:val="000D469D"/>
    <w:rsid w:val="000D6512"/>
    <w:rsid w:val="000D6916"/>
    <w:rsid w:val="000E422B"/>
    <w:rsid w:val="000E5BBF"/>
    <w:rsid w:val="000F02EC"/>
    <w:rsid w:val="000F2E35"/>
    <w:rsid w:val="000F4175"/>
    <w:rsid w:val="000F6B55"/>
    <w:rsid w:val="00103C7C"/>
    <w:rsid w:val="00104B23"/>
    <w:rsid w:val="001050AB"/>
    <w:rsid w:val="0010571E"/>
    <w:rsid w:val="00106D5F"/>
    <w:rsid w:val="00110234"/>
    <w:rsid w:val="00110AEE"/>
    <w:rsid w:val="00110D53"/>
    <w:rsid w:val="001125C4"/>
    <w:rsid w:val="001176AE"/>
    <w:rsid w:val="00124195"/>
    <w:rsid w:val="0013596D"/>
    <w:rsid w:val="001374EA"/>
    <w:rsid w:val="00137999"/>
    <w:rsid w:val="001407D7"/>
    <w:rsid w:val="001409A7"/>
    <w:rsid w:val="00145183"/>
    <w:rsid w:val="001459A9"/>
    <w:rsid w:val="00145DCD"/>
    <w:rsid w:val="00145E88"/>
    <w:rsid w:val="00150EAF"/>
    <w:rsid w:val="00153108"/>
    <w:rsid w:val="00155052"/>
    <w:rsid w:val="00157AD3"/>
    <w:rsid w:val="0016246D"/>
    <w:rsid w:val="0016306F"/>
    <w:rsid w:val="001651BF"/>
    <w:rsid w:val="001651EA"/>
    <w:rsid w:val="001672C0"/>
    <w:rsid w:val="00176DD4"/>
    <w:rsid w:val="001812B2"/>
    <w:rsid w:val="00182633"/>
    <w:rsid w:val="001903A8"/>
    <w:rsid w:val="001908F2"/>
    <w:rsid w:val="001932C3"/>
    <w:rsid w:val="001951AE"/>
    <w:rsid w:val="00197685"/>
    <w:rsid w:val="001A031E"/>
    <w:rsid w:val="001A041F"/>
    <w:rsid w:val="001A5F8C"/>
    <w:rsid w:val="001A6967"/>
    <w:rsid w:val="001B0251"/>
    <w:rsid w:val="001B03E3"/>
    <w:rsid w:val="001B749F"/>
    <w:rsid w:val="001C03A0"/>
    <w:rsid w:val="001C0C18"/>
    <w:rsid w:val="001C37BB"/>
    <w:rsid w:val="001C7989"/>
    <w:rsid w:val="001C7BF0"/>
    <w:rsid w:val="001D1F11"/>
    <w:rsid w:val="001D1F49"/>
    <w:rsid w:val="001D34F7"/>
    <w:rsid w:val="001D5CC5"/>
    <w:rsid w:val="001D6A2D"/>
    <w:rsid w:val="001E2B6D"/>
    <w:rsid w:val="001E5CF1"/>
    <w:rsid w:val="001E6F63"/>
    <w:rsid w:val="001F0CB2"/>
    <w:rsid w:val="001F4A82"/>
    <w:rsid w:val="001F50F4"/>
    <w:rsid w:val="001F51A2"/>
    <w:rsid w:val="001F7784"/>
    <w:rsid w:val="002001FC"/>
    <w:rsid w:val="0020400C"/>
    <w:rsid w:val="002056F5"/>
    <w:rsid w:val="0021791F"/>
    <w:rsid w:val="002217AB"/>
    <w:rsid w:val="0022301F"/>
    <w:rsid w:val="00223138"/>
    <w:rsid w:val="00227BBC"/>
    <w:rsid w:val="0023263D"/>
    <w:rsid w:val="00235CBA"/>
    <w:rsid w:val="002401E2"/>
    <w:rsid w:val="002411FF"/>
    <w:rsid w:val="00244129"/>
    <w:rsid w:val="00250A44"/>
    <w:rsid w:val="0025136E"/>
    <w:rsid w:val="00260C37"/>
    <w:rsid w:val="002651CB"/>
    <w:rsid w:val="00265CB3"/>
    <w:rsid w:val="00266ABC"/>
    <w:rsid w:val="00267229"/>
    <w:rsid w:val="002758EB"/>
    <w:rsid w:val="00275BEA"/>
    <w:rsid w:val="00276A23"/>
    <w:rsid w:val="002802BC"/>
    <w:rsid w:val="002839D2"/>
    <w:rsid w:val="002841D8"/>
    <w:rsid w:val="00286474"/>
    <w:rsid w:val="0029598C"/>
    <w:rsid w:val="00295A63"/>
    <w:rsid w:val="0029611A"/>
    <w:rsid w:val="00296C6B"/>
    <w:rsid w:val="002A3010"/>
    <w:rsid w:val="002A6284"/>
    <w:rsid w:val="002B3349"/>
    <w:rsid w:val="002B6C5E"/>
    <w:rsid w:val="002C0139"/>
    <w:rsid w:val="002C219D"/>
    <w:rsid w:val="002C2DA4"/>
    <w:rsid w:val="002C496A"/>
    <w:rsid w:val="002C5A7A"/>
    <w:rsid w:val="002C64E2"/>
    <w:rsid w:val="002D37B3"/>
    <w:rsid w:val="002D493F"/>
    <w:rsid w:val="002D4FFE"/>
    <w:rsid w:val="002D7517"/>
    <w:rsid w:val="002D7E5E"/>
    <w:rsid w:val="002E3115"/>
    <w:rsid w:val="002E3CC7"/>
    <w:rsid w:val="002E43C9"/>
    <w:rsid w:val="002E7DE1"/>
    <w:rsid w:val="002F05E3"/>
    <w:rsid w:val="002F1511"/>
    <w:rsid w:val="002F38CB"/>
    <w:rsid w:val="002F4E01"/>
    <w:rsid w:val="003014BB"/>
    <w:rsid w:val="00301E4E"/>
    <w:rsid w:val="00302947"/>
    <w:rsid w:val="00302E24"/>
    <w:rsid w:val="0030424F"/>
    <w:rsid w:val="00304D6E"/>
    <w:rsid w:val="00306C65"/>
    <w:rsid w:val="00311352"/>
    <w:rsid w:val="003122B4"/>
    <w:rsid w:val="00323349"/>
    <w:rsid w:val="00331EDB"/>
    <w:rsid w:val="00332400"/>
    <w:rsid w:val="003324D7"/>
    <w:rsid w:val="003330F5"/>
    <w:rsid w:val="0033383C"/>
    <w:rsid w:val="00335FFB"/>
    <w:rsid w:val="003370BD"/>
    <w:rsid w:val="00341088"/>
    <w:rsid w:val="00342ECE"/>
    <w:rsid w:val="00352721"/>
    <w:rsid w:val="00352952"/>
    <w:rsid w:val="00352AEF"/>
    <w:rsid w:val="00355121"/>
    <w:rsid w:val="003570EE"/>
    <w:rsid w:val="0036248F"/>
    <w:rsid w:val="00365765"/>
    <w:rsid w:val="00365AA3"/>
    <w:rsid w:val="003702A2"/>
    <w:rsid w:val="00373158"/>
    <w:rsid w:val="00382526"/>
    <w:rsid w:val="00385CEB"/>
    <w:rsid w:val="00390C08"/>
    <w:rsid w:val="0039238D"/>
    <w:rsid w:val="00392D5E"/>
    <w:rsid w:val="00393D39"/>
    <w:rsid w:val="00396965"/>
    <w:rsid w:val="00396D76"/>
    <w:rsid w:val="003974FA"/>
    <w:rsid w:val="003A0BC2"/>
    <w:rsid w:val="003A0C3D"/>
    <w:rsid w:val="003A1473"/>
    <w:rsid w:val="003A4EDA"/>
    <w:rsid w:val="003A59B8"/>
    <w:rsid w:val="003A6D12"/>
    <w:rsid w:val="003B32E7"/>
    <w:rsid w:val="003B475A"/>
    <w:rsid w:val="003B4C29"/>
    <w:rsid w:val="003B6E34"/>
    <w:rsid w:val="003B71EA"/>
    <w:rsid w:val="003B7C21"/>
    <w:rsid w:val="003D6ED4"/>
    <w:rsid w:val="003D7414"/>
    <w:rsid w:val="003D7CF8"/>
    <w:rsid w:val="003E0577"/>
    <w:rsid w:val="003E4A4A"/>
    <w:rsid w:val="003F1BF2"/>
    <w:rsid w:val="003F4295"/>
    <w:rsid w:val="003F4352"/>
    <w:rsid w:val="00402C6D"/>
    <w:rsid w:val="004041D1"/>
    <w:rsid w:val="00404627"/>
    <w:rsid w:val="00404799"/>
    <w:rsid w:val="004053D2"/>
    <w:rsid w:val="004061C2"/>
    <w:rsid w:val="004116DB"/>
    <w:rsid w:val="004120D8"/>
    <w:rsid w:val="00417108"/>
    <w:rsid w:val="004172C1"/>
    <w:rsid w:val="004231E9"/>
    <w:rsid w:val="00431608"/>
    <w:rsid w:val="00434D2B"/>
    <w:rsid w:val="00442928"/>
    <w:rsid w:val="00446588"/>
    <w:rsid w:val="00447A91"/>
    <w:rsid w:val="00451166"/>
    <w:rsid w:val="004514B3"/>
    <w:rsid w:val="004519CC"/>
    <w:rsid w:val="004528A1"/>
    <w:rsid w:val="004607FB"/>
    <w:rsid w:val="00460E5A"/>
    <w:rsid w:val="004658D7"/>
    <w:rsid w:val="00467EA7"/>
    <w:rsid w:val="00476C9E"/>
    <w:rsid w:val="00482B10"/>
    <w:rsid w:val="004832BA"/>
    <w:rsid w:val="0048330D"/>
    <w:rsid w:val="004834F3"/>
    <w:rsid w:val="00485AFC"/>
    <w:rsid w:val="00486D74"/>
    <w:rsid w:val="00487910"/>
    <w:rsid w:val="00490F4E"/>
    <w:rsid w:val="00495C8B"/>
    <w:rsid w:val="0049713E"/>
    <w:rsid w:val="004A062F"/>
    <w:rsid w:val="004A06AB"/>
    <w:rsid w:val="004A13BB"/>
    <w:rsid w:val="004A53B7"/>
    <w:rsid w:val="004C605A"/>
    <w:rsid w:val="004C664D"/>
    <w:rsid w:val="004D3B96"/>
    <w:rsid w:val="004E3007"/>
    <w:rsid w:val="004E48E3"/>
    <w:rsid w:val="004E6105"/>
    <w:rsid w:val="004E691B"/>
    <w:rsid w:val="004E7A9B"/>
    <w:rsid w:val="004F2F81"/>
    <w:rsid w:val="004F4D64"/>
    <w:rsid w:val="004F4FB5"/>
    <w:rsid w:val="004F5939"/>
    <w:rsid w:val="004F5ADE"/>
    <w:rsid w:val="004F6A56"/>
    <w:rsid w:val="004F6D9B"/>
    <w:rsid w:val="0050161F"/>
    <w:rsid w:val="00504DE5"/>
    <w:rsid w:val="00506260"/>
    <w:rsid w:val="00507F40"/>
    <w:rsid w:val="0051496A"/>
    <w:rsid w:val="00521C3A"/>
    <w:rsid w:val="00524A0D"/>
    <w:rsid w:val="00525400"/>
    <w:rsid w:val="005269A7"/>
    <w:rsid w:val="00527333"/>
    <w:rsid w:val="00531C90"/>
    <w:rsid w:val="00532BDF"/>
    <w:rsid w:val="00540EE9"/>
    <w:rsid w:val="00542617"/>
    <w:rsid w:val="00544741"/>
    <w:rsid w:val="00545501"/>
    <w:rsid w:val="00547DC8"/>
    <w:rsid w:val="005548EC"/>
    <w:rsid w:val="00554E5F"/>
    <w:rsid w:val="00554F5E"/>
    <w:rsid w:val="00555A4D"/>
    <w:rsid w:val="00560017"/>
    <w:rsid w:val="00561105"/>
    <w:rsid w:val="00562D7D"/>
    <w:rsid w:val="0056469F"/>
    <w:rsid w:val="00566FC0"/>
    <w:rsid w:val="00567854"/>
    <w:rsid w:val="005712CF"/>
    <w:rsid w:val="00572560"/>
    <w:rsid w:val="0058228D"/>
    <w:rsid w:val="005827DD"/>
    <w:rsid w:val="00586A90"/>
    <w:rsid w:val="0058721E"/>
    <w:rsid w:val="005878B7"/>
    <w:rsid w:val="00590984"/>
    <w:rsid w:val="005921E6"/>
    <w:rsid w:val="005932DC"/>
    <w:rsid w:val="005942B9"/>
    <w:rsid w:val="005953D9"/>
    <w:rsid w:val="00596E51"/>
    <w:rsid w:val="00597F72"/>
    <w:rsid w:val="00597FA5"/>
    <w:rsid w:val="005A4EEA"/>
    <w:rsid w:val="005A7BC6"/>
    <w:rsid w:val="005B3AA5"/>
    <w:rsid w:val="005B5FB0"/>
    <w:rsid w:val="005C1F90"/>
    <w:rsid w:val="005C1FEE"/>
    <w:rsid w:val="005C2CE6"/>
    <w:rsid w:val="005C34E9"/>
    <w:rsid w:val="005C35FC"/>
    <w:rsid w:val="005C79CC"/>
    <w:rsid w:val="005D05A1"/>
    <w:rsid w:val="005D7A00"/>
    <w:rsid w:val="005E08C0"/>
    <w:rsid w:val="005E233B"/>
    <w:rsid w:val="005E4329"/>
    <w:rsid w:val="005E4B0C"/>
    <w:rsid w:val="005F0896"/>
    <w:rsid w:val="005F32DE"/>
    <w:rsid w:val="005F4224"/>
    <w:rsid w:val="005F4406"/>
    <w:rsid w:val="005F49D9"/>
    <w:rsid w:val="005F5FDD"/>
    <w:rsid w:val="005F77DA"/>
    <w:rsid w:val="00600CE1"/>
    <w:rsid w:val="0060640C"/>
    <w:rsid w:val="00607FCB"/>
    <w:rsid w:val="00611E47"/>
    <w:rsid w:val="0061253D"/>
    <w:rsid w:val="00613BFF"/>
    <w:rsid w:val="006167BA"/>
    <w:rsid w:val="006200BC"/>
    <w:rsid w:val="00621455"/>
    <w:rsid w:val="0062189F"/>
    <w:rsid w:val="0063173A"/>
    <w:rsid w:val="00637038"/>
    <w:rsid w:val="00647C69"/>
    <w:rsid w:val="006515C2"/>
    <w:rsid w:val="006521C3"/>
    <w:rsid w:val="00657536"/>
    <w:rsid w:val="006675DB"/>
    <w:rsid w:val="00671FFC"/>
    <w:rsid w:val="00674B5C"/>
    <w:rsid w:val="0068020C"/>
    <w:rsid w:val="0068667D"/>
    <w:rsid w:val="00686C23"/>
    <w:rsid w:val="00690A51"/>
    <w:rsid w:val="00691CE4"/>
    <w:rsid w:val="006937BD"/>
    <w:rsid w:val="006A32C3"/>
    <w:rsid w:val="006A432F"/>
    <w:rsid w:val="006A5484"/>
    <w:rsid w:val="006A5D6C"/>
    <w:rsid w:val="006A6231"/>
    <w:rsid w:val="006A6740"/>
    <w:rsid w:val="006B2106"/>
    <w:rsid w:val="006B2E60"/>
    <w:rsid w:val="006B44C8"/>
    <w:rsid w:val="006B77A3"/>
    <w:rsid w:val="006C33A3"/>
    <w:rsid w:val="006C5F0C"/>
    <w:rsid w:val="006D2DCF"/>
    <w:rsid w:val="006D3B93"/>
    <w:rsid w:val="006D75FF"/>
    <w:rsid w:val="006D79E6"/>
    <w:rsid w:val="006F33AD"/>
    <w:rsid w:val="00700ABB"/>
    <w:rsid w:val="00701D2F"/>
    <w:rsid w:val="00702A21"/>
    <w:rsid w:val="00706A85"/>
    <w:rsid w:val="00707B21"/>
    <w:rsid w:val="007136F1"/>
    <w:rsid w:val="007153A8"/>
    <w:rsid w:val="0071699A"/>
    <w:rsid w:val="00720B52"/>
    <w:rsid w:val="00720EAE"/>
    <w:rsid w:val="00723E7D"/>
    <w:rsid w:val="00725921"/>
    <w:rsid w:val="00735542"/>
    <w:rsid w:val="00736549"/>
    <w:rsid w:val="007447B2"/>
    <w:rsid w:val="00746150"/>
    <w:rsid w:val="007461E1"/>
    <w:rsid w:val="00757A17"/>
    <w:rsid w:val="00757D19"/>
    <w:rsid w:val="007608BA"/>
    <w:rsid w:val="00764301"/>
    <w:rsid w:val="00764410"/>
    <w:rsid w:val="00766877"/>
    <w:rsid w:val="00766B56"/>
    <w:rsid w:val="00771433"/>
    <w:rsid w:val="007725CD"/>
    <w:rsid w:val="00773542"/>
    <w:rsid w:val="00775BEF"/>
    <w:rsid w:val="00776C61"/>
    <w:rsid w:val="007805AB"/>
    <w:rsid w:val="00783BBC"/>
    <w:rsid w:val="0078700F"/>
    <w:rsid w:val="00787313"/>
    <w:rsid w:val="00794BED"/>
    <w:rsid w:val="00795B07"/>
    <w:rsid w:val="0079607F"/>
    <w:rsid w:val="00796A52"/>
    <w:rsid w:val="00797DBB"/>
    <w:rsid w:val="007A06F8"/>
    <w:rsid w:val="007A2A81"/>
    <w:rsid w:val="007A2B76"/>
    <w:rsid w:val="007A6635"/>
    <w:rsid w:val="007B5D03"/>
    <w:rsid w:val="007C2988"/>
    <w:rsid w:val="007C4F51"/>
    <w:rsid w:val="007C50E0"/>
    <w:rsid w:val="007C6656"/>
    <w:rsid w:val="007D04FE"/>
    <w:rsid w:val="007D100D"/>
    <w:rsid w:val="007D12A9"/>
    <w:rsid w:val="007D35D9"/>
    <w:rsid w:val="007D3B27"/>
    <w:rsid w:val="007D5034"/>
    <w:rsid w:val="007D547B"/>
    <w:rsid w:val="007E46B2"/>
    <w:rsid w:val="007E6044"/>
    <w:rsid w:val="007E6C7B"/>
    <w:rsid w:val="007F1D34"/>
    <w:rsid w:val="007F44C2"/>
    <w:rsid w:val="00801AE3"/>
    <w:rsid w:val="008033E2"/>
    <w:rsid w:val="008036A2"/>
    <w:rsid w:val="00804158"/>
    <w:rsid w:val="00807331"/>
    <w:rsid w:val="00810E14"/>
    <w:rsid w:val="00813767"/>
    <w:rsid w:val="00822F3C"/>
    <w:rsid w:val="008234FD"/>
    <w:rsid w:val="008242C6"/>
    <w:rsid w:val="0082525F"/>
    <w:rsid w:val="00825320"/>
    <w:rsid w:val="00826D72"/>
    <w:rsid w:val="008309A9"/>
    <w:rsid w:val="008321CD"/>
    <w:rsid w:val="00833210"/>
    <w:rsid w:val="00834ECC"/>
    <w:rsid w:val="008370AE"/>
    <w:rsid w:val="008377C4"/>
    <w:rsid w:val="00840D04"/>
    <w:rsid w:val="008418F6"/>
    <w:rsid w:val="00844609"/>
    <w:rsid w:val="00845DAE"/>
    <w:rsid w:val="008462CE"/>
    <w:rsid w:val="0084765C"/>
    <w:rsid w:val="00850C76"/>
    <w:rsid w:val="00854AE4"/>
    <w:rsid w:val="0085657C"/>
    <w:rsid w:val="00861E26"/>
    <w:rsid w:val="008637FE"/>
    <w:rsid w:val="00867F82"/>
    <w:rsid w:val="00870B66"/>
    <w:rsid w:val="00871346"/>
    <w:rsid w:val="00871918"/>
    <w:rsid w:val="00872E5A"/>
    <w:rsid w:val="00873548"/>
    <w:rsid w:val="00873E87"/>
    <w:rsid w:val="00875D43"/>
    <w:rsid w:val="00876007"/>
    <w:rsid w:val="00880EEC"/>
    <w:rsid w:val="008835C5"/>
    <w:rsid w:val="00884210"/>
    <w:rsid w:val="00884386"/>
    <w:rsid w:val="00886CF4"/>
    <w:rsid w:val="0089088C"/>
    <w:rsid w:val="00890FEC"/>
    <w:rsid w:val="008949A2"/>
    <w:rsid w:val="00895AEA"/>
    <w:rsid w:val="008975D0"/>
    <w:rsid w:val="008979E6"/>
    <w:rsid w:val="008A444B"/>
    <w:rsid w:val="008A5AEA"/>
    <w:rsid w:val="008B1FD6"/>
    <w:rsid w:val="008B2152"/>
    <w:rsid w:val="008B27BD"/>
    <w:rsid w:val="008B2C6B"/>
    <w:rsid w:val="008B56C2"/>
    <w:rsid w:val="008C0751"/>
    <w:rsid w:val="008C1E48"/>
    <w:rsid w:val="008C2DF7"/>
    <w:rsid w:val="008C2E87"/>
    <w:rsid w:val="008C2F25"/>
    <w:rsid w:val="008C72CF"/>
    <w:rsid w:val="008D1595"/>
    <w:rsid w:val="008D31E2"/>
    <w:rsid w:val="008E17E4"/>
    <w:rsid w:val="008E3945"/>
    <w:rsid w:val="008E3CE3"/>
    <w:rsid w:val="008E53FA"/>
    <w:rsid w:val="008F23BE"/>
    <w:rsid w:val="008F7456"/>
    <w:rsid w:val="008F77A9"/>
    <w:rsid w:val="00902454"/>
    <w:rsid w:val="009031CE"/>
    <w:rsid w:val="0090778A"/>
    <w:rsid w:val="00907B08"/>
    <w:rsid w:val="00911FCD"/>
    <w:rsid w:val="00912924"/>
    <w:rsid w:val="009148AA"/>
    <w:rsid w:val="00921F9B"/>
    <w:rsid w:val="00930BE9"/>
    <w:rsid w:val="009318ED"/>
    <w:rsid w:val="00933D7A"/>
    <w:rsid w:val="00937EC4"/>
    <w:rsid w:val="009415C4"/>
    <w:rsid w:val="00945F3B"/>
    <w:rsid w:val="00946448"/>
    <w:rsid w:val="00954B1F"/>
    <w:rsid w:val="009616E6"/>
    <w:rsid w:val="009662F5"/>
    <w:rsid w:val="00971546"/>
    <w:rsid w:val="009765F1"/>
    <w:rsid w:val="00977C0F"/>
    <w:rsid w:val="00980013"/>
    <w:rsid w:val="00983DE3"/>
    <w:rsid w:val="00984E00"/>
    <w:rsid w:val="00984FCD"/>
    <w:rsid w:val="0098609D"/>
    <w:rsid w:val="00987F0F"/>
    <w:rsid w:val="00996A7D"/>
    <w:rsid w:val="009A0C22"/>
    <w:rsid w:val="009A1217"/>
    <w:rsid w:val="009A4D9B"/>
    <w:rsid w:val="009A75C0"/>
    <w:rsid w:val="009B6604"/>
    <w:rsid w:val="009C32D6"/>
    <w:rsid w:val="009C6745"/>
    <w:rsid w:val="009C6F9B"/>
    <w:rsid w:val="009C7243"/>
    <w:rsid w:val="009D6980"/>
    <w:rsid w:val="009D6E1A"/>
    <w:rsid w:val="009D78AB"/>
    <w:rsid w:val="009F0CBE"/>
    <w:rsid w:val="00A16CBE"/>
    <w:rsid w:val="00A16CDC"/>
    <w:rsid w:val="00A17F07"/>
    <w:rsid w:val="00A20B31"/>
    <w:rsid w:val="00A22207"/>
    <w:rsid w:val="00A223C7"/>
    <w:rsid w:val="00A22DBD"/>
    <w:rsid w:val="00A262CB"/>
    <w:rsid w:val="00A26392"/>
    <w:rsid w:val="00A267A3"/>
    <w:rsid w:val="00A31377"/>
    <w:rsid w:val="00A3309F"/>
    <w:rsid w:val="00A33587"/>
    <w:rsid w:val="00A339A4"/>
    <w:rsid w:val="00A412AD"/>
    <w:rsid w:val="00A427AE"/>
    <w:rsid w:val="00A43456"/>
    <w:rsid w:val="00A44F81"/>
    <w:rsid w:val="00A46ABE"/>
    <w:rsid w:val="00A51F55"/>
    <w:rsid w:val="00A5346B"/>
    <w:rsid w:val="00A5431A"/>
    <w:rsid w:val="00A54842"/>
    <w:rsid w:val="00A56498"/>
    <w:rsid w:val="00A56926"/>
    <w:rsid w:val="00A603B7"/>
    <w:rsid w:val="00A61368"/>
    <w:rsid w:val="00A64D3D"/>
    <w:rsid w:val="00A654E0"/>
    <w:rsid w:val="00A66B1E"/>
    <w:rsid w:val="00A736C8"/>
    <w:rsid w:val="00A752B9"/>
    <w:rsid w:val="00A756F6"/>
    <w:rsid w:val="00A761FF"/>
    <w:rsid w:val="00A77106"/>
    <w:rsid w:val="00A9557D"/>
    <w:rsid w:val="00A97B79"/>
    <w:rsid w:val="00AA1DA0"/>
    <w:rsid w:val="00AB17DC"/>
    <w:rsid w:val="00AB1FEF"/>
    <w:rsid w:val="00AB2D65"/>
    <w:rsid w:val="00AB36AC"/>
    <w:rsid w:val="00AB3D65"/>
    <w:rsid w:val="00AB518C"/>
    <w:rsid w:val="00AC603F"/>
    <w:rsid w:val="00AC6182"/>
    <w:rsid w:val="00AC6850"/>
    <w:rsid w:val="00AD1856"/>
    <w:rsid w:val="00AD2AD3"/>
    <w:rsid w:val="00AD2F2D"/>
    <w:rsid w:val="00AD348E"/>
    <w:rsid w:val="00AD566B"/>
    <w:rsid w:val="00AD7DB3"/>
    <w:rsid w:val="00AE47F6"/>
    <w:rsid w:val="00AF03C7"/>
    <w:rsid w:val="00AF61DC"/>
    <w:rsid w:val="00AF6213"/>
    <w:rsid w:val="00AF678B"/>
    <w:rsid w:val="00B01EAE"/>
    <w:rsid w:val="00B049FA"/>
    <w:rsid w:val="00B05547"/>
    <w:rsid w:val="00B101E8"/>
    <w:rsid w:val="00B119A6"/>
    <w:rsid w:val="00B1491B"/>
    <w:rsid w:val="00B16239"/>
    <w:rsid w:val="00B178F6"/>
    <w:rsid w:val="00B17ADD"/>
    <w:rsid w:val="00B20E06"/>
    <w:rsid w:val="00B22E8C"/>
    <w:rsid w:val="00B25351"/>
    <w:rsid w:val="00B36802"/>
    <w:rsid w:val="00B37510"/>
    <w:rsid w:val="00B40B65"/>
    <w:rsid w:val="00B4160A"/>
    <w:rsid w:val="00B4193C"/>
    <w:rsid w:val="00B41968"/>
    <w:rsid w:val="00B425BA"/>
    <w:rsid w:val="00B4360F"/>
    <w:rsid w:val="00B44FDB"/>
    <w:rsid w:val="00B46825"/>
    <w:rsid w:val="00B46F88"/>
    <w:rsid w:val="00B520D8"/>
    <w:rsid w:val="00B53E33"/>
    <w:rsid w:val="00B55BEC"/>
    <w:rsid w:val="00B57585"/>
    <w:rsid w:val="00B6062F"/>
    <w:rsid w:val="00B6175B"/>
    <w:rsid w:val="00B62163"/>
    <w:rsid w:val="00B627AB"/>
    <w:rsid w:val="00B63CF8"/>
    <w:rsid w:val="00B64507"/>
    <w:rsid w:val="00B64D5A"/>
    <w:rsid w:val="00B65971"/>
    <w:rsid w:val="00B70C49"/>
    <w:rsid w:val="00B70F64"/>
    <w:rsid w:val="00B737FC"/>
    <w:rsid w:val="00B77F2F"/>
    <w:rsid w:val="00B86B37"/>
    <w:rsid w:val="00B8751C"/>
    <w:rsid w:val="00B92553"/>
    <w:rsid w:val="00B9581E"/>
    <w:rsid w:val="00BA00A7"/>
    <w:rsid w:val="00BA0F43"/>
    <w:rsid w:val="00BA43C7"/>
    <w:rsid w:val="00BA6B47"/>
    <w:rsid w:val="00BB2C3E"/>
    <w:rsid w:val="00BB4E03"/>
    <w:rsid w:val="00BC33DB"/>
    <w:rsid w:val="00BC594A"/>
    <w:rsid w:val="00BD1255"/>
    <w:rsid w:val="00BD142D"/>
    <w:rsid w:val="00BD1BE5"/>
    <w:rsid w:val="00BD2A00"/>
    <w:rsid w:val="00BD6333"/>
    <w:rsid w:val="00BD639F"/>
    <w:rsid w:val="00BD6BC7"/>
    <w:rsid w:val="00BD6EE2"/>
    <w:rsid w:val="00BE7C8B"/>
    <w:rsid w:val="00BF7742"/>
    <w:rsid w:val="00C007C3"/>
    <w:rsid w:val="00C00F34"/>
    <w:rsid w:val="00C016D3"/>
    <w:rsid w:val="00C05592"/>
    <w:rsid w:val="00C0633D"/>
    <w:rsid w:val="00C06A3E"/>
    <w:rsid w:val="00C100A4"/>
    <w:rsid w:val="00C107E5"/>
    <w:rsid w:val="00C12E66"/>
    <w:rsid w:val="00C216E8"/>
    <w:rsid w:val="00C2242E"/>
    <w:rsid w:val="00C323A8"/>
    <w:rsid w:val="00C35523"/>
    <w:rsid w:val="00C36109"/>
    <w:rsid w:val="00C36E50"/>
    <w:rsid w:val="00C4137D"/>
    <w:rsid w:val="00C41F66"/>
    <w:rsid w:val="00C450F3"/>
    <w:rsid w:val="00C456C5"/>
    <w:rsid w:val="00C459D2"/>
    <w:rsid w:val="00C476CA"/>
    <w:rsid w:val="00C53438"/>
    <w:rsid w:val="00C568EE"/>
    <w:rsid w:val="00C63126"/>
    <w:rsid w:val="00C655FB"/>
    <w:rsid w:val="00C674EB"/>
    <w:rsid w:val="00C71878"/>
    <w:rsid w:val="00C71D00"/>
    <w:rsid w:val="00C72164"/>
    <w:rsid w:val="00C82629"/>
    <w:rsid w:val="00C87758"/>
    <w:rsid w:val="00C932E4"/>
    <w:rsid w:val="00CA1020"/>
    <w:rsid w:val="00CA149B"/>
    <w:rsid w:val="00CA29CD"/>
    <w:rsid w:val="00CB03DE"/>
    <w:rsid w:val="00CB26DB"/>
    <w:rsid w:val="00CB77CC"/>
    <w:rsid w:val="00CC1D7D"/>
    <w:rsid w:val="00CC5285"/>
    <w:rsid w:val="00CD17A6"/>
    <w:rsid w:val="00CD2CF3"/>
    <w:rsid w:val="00CE229D"/>
    <w:rsid w:val="00CE3E83"/>
    <w:rsid w:val="00CE7038"/>
    <w:rsid w:val="00CE7066"/>
    <w:rsid w:val="00CF7C6A"/>
    <w:rsid w:val="00D008BF"/>
    <w:rsid w:val="00D105DB"/>
    <w:rsid w:val="00D14059"/>
    <w:rsid w:val="00D15FA6"/>
    <w:rsid w:val="00D1656D"/>
    <w:rsid w:val="00D17E73"/>
    <w:rsid w:val="00D20531"/>
    <w:rsid w:val="00D208CB"/>
    <w:rsid w:val="00D21652"/>
    <w:rsid w:val="00D251A6"/>
    <w:rsid w:val="00D27674"/>
    <w:rsid w:val="00D32FE9"/>
    <w:rsid w:val="00D333F8"/>
    <w:rsid w:val="00D34186"/>
    <w:rsid w:val="00D360E2"/>
    <w:rsid w:val="00D37AB7"/>
    <w:rsid w:val="00D42698"/>
    <w:rsid w:val="00D43E83"/>
    <w:rsid w:val="00D46CF3"/>
    <w:rsid w:val="00D46DCE"/>
    <w:rsid w:val="00D51197"/>
    <w:rsid w:val="00D5180E"/>
    <w:rsid w:val="00D54AC5"/>
    <w:rsid w:val="00D56916"/>
    <w:rsid w:val="00D56CD1"/>
    <w:rsid w:val="00D56D44"/>
    <w:rsid w:val="00D5777F"/>
    <w:rsid w:val="00D60475"/>
    <w:rsid w:val="00D65D92"/>
    <w:rsid w:val="00D65EE4"/>
    <w:rsid w:val="00D664A4"/>
    <w:rsid w:val="00D67F49"/>
    <w:rsid w:val="00D70523"/>
    <w:rsid w:val="00D7264C"/>
    <w:rsid w:val="00D81BB7"/>
    <w:rsid w:val="00D83647"/>
    <w:rsid w:val="00D836DB"/>
    <w:rsid w:val="00D84A8C"/>
    <w:rsid w:val="00D86BD1"/>
    <w:rsid w:val="00D87C03"/>
    <w:rsid w:val="00D91DD3"/>
    <w:rsid w:val="00DA30AB"/>
    <w:rsid w:val="00DB0FD1"/>
    <w:rsid w:val="00DB7A8A"/>
    <w:rsid w:val="00DC0FEF"/>
    <w:rsid w:val="00DC4B74"/>
    <w:rsid w:val="00DC591C"/>
    <w:rsid w:val="00DC5A3B"/>
    <w:rsid w:val="00DD031B"/>
    <w:rsid w:val="00DD7CAA"/>
    <w:rsid w:val="00DE0519"/>
    <w:rsid w:val="00DE2DC8"/>
    <w:rsid w:val="00DE5D19"/>
    <w:rsid w:val="00DE5FAB"/>
    <w:rsid w:val="00DE7BD3"/>
    <w:rsid w:val="00DF0C0D"/>
    <w:rsid w:val="00DF1AEA"/>
    <w:rsid w:val="00DF1F7B"/>
    <w:rsid w:val="00DF1F8D"/>
    <w:rsid w:val="00DF277A"/>
    <w:rsid w:val="00DF4B6F"/>
    <w:rsid w:val="00DF6655"/>
    <w:rsid w:val="00DF7333"/>
    <w:rsid w:val="00E131FD"/>
    <w:rsid w:val="00E159F9"/>
    <w:rsid w:val="00E162E6"/>
    <w:rsid w:val="00E21986"/>
    <w:rsid w:val="00E22173"/>
    <w:rsid w:val="00E22694"/>
    <w:rsid w:val="00E232E7"/>
    <w:rsid w:val="00E26884"/>
    <w:rsid w:val="00E33CAC"/>
    <w:rsid w:val="00E34C75"/>
    <w:rsid w:val="00E353A8"/>
    <w:rsid w:val="00E37E9A"/>
    <w:rsid w:val="00E443A7"/>
    <w:rsid w:val="00E477B0"/>
    <w:rsid w:val="00E506C3"/>
    <w:rsid w:val="00E5447D"/>
    <w:rsid w:val="00E55551"/>
    <w:rsid w:val="00E56363"/>
    <w:rsid w:val="00E5652B"/>
    <w:rsid w:val="00E6181B"/>
    <w:rsid w:val="00E6248D"/>
    <w:rsid w:val="00E64247"/>
    <w:rsid w:val="00E65173"/>
    <w:rsid w:val="00E73506"/>
    <w:rsid w:val="00E73E06"/>
    <w:rsid w:val="00E749AF"/>
    <w:rsid w:val="00E83D84"/>
    <w:rsid w:val="00E863B1"/>
    <w:rsid w:val="00E864D6"/>
    <w:rsid w:val="00E87A96"/>
    <w:rsid w:val="00E87BC9"/>
    <w:rsid w:val="00E9078C"/>
    <w:rsid w:val="00E90845"/>
    <w:rsid w:val="00E92651"/>
    <w:rsid w:val="00E94D58"/>
    <w:rsid w:val="00E9529C"/>
    <w:rsid w:val="00E962CC"/>
    <w:rsid w:val="00E97D37"/>
    <w:rsid w:val="00EA0FD1"/>
    <w:rsid w:val="00EA1C0A"/>
    <w:rsid w:val="00EA3CD9"/>
    <w:rsid w:val="00EA5DDE"/>
    <w:rsid w:val="00EB294A"/>
    <w:rsid w:val="00EB524A"/>
    <w:rsid w:val="00EB5916"/>
    <w:rsid w:val="00EC0F58"/>
    <w:rsid w:val="00EC1C2C"/>
    <w:rsid w:val="00EC3E1E"/>
    <w:rsid w:val="00ED2DE2"/>
    <w:rsid w:val="00ED3453"/>
    <w:rsid w:val="00ED5212"/>
    <w:rsid w:val="00EE3D33"/>
    <w:rsid w:val="00EE45E0"/>
    <w:rsid w:val="00EE4BAB"/>
    <w:rsid w:val="00EE66C5"/>
    <w:rsid w:val="00EE798B"/>
    <w:rsid w:val="00EF33F4"/>
    <w:rsid w:val="00F00DA9"/>
    <w:rsid w:val="00F0115A"/>
    <w:rsid w:val="00F02127"/>
    <w:rsid w:val="00F03A7F"/>
    <w:rsid w:val="00F04A97"/>
    <w:rsid w:val="00F05E43"/>
    <w:rsid w:val="00F05F3C"/>
    <w:rsid w:val="00F10473"/>
    <w:rsid w:val="00F13FA6"/>
    <w:rsid w:val="00F1535D"/>
    <w:rsid w:val="00F170DD"/>
    <w:rsid w:val="00F17F3D"/>
    <w:rsid w:val="00F24B38"/>
    <w:rsid w:val="00F266DA"/>
    <w:rsid w:val="00F33EE5"/>
    <w:rsid w:val="00F34DC4"/>
    <w:rsid w:val="00F35869"/>
    <w:rsid w:val="00F36605"/>
    <w:rsid w:val="00F41129"/>
    <w:rsid w:val="00F412A8"/>
    <w:rsid w:val="00F41E05"/>
    <w:rsid w:val="00F41FC1"/>
    <w:rsid w:val="00F44C6F"/>
    <w:rsid w:val="00F44D77"/>
    <w:rsid w:val="00F45080"/>
    <w:rsid w:val="00F47CB7"/>
    <w:rsid w:val="00F5321A"/>
    <w:rsid w:val="00F54CC7"/>
    <w:rsid w:val="00F55EF8"/>
    <w:rsid w:val="00F5784B"/>
    <w:rsid w:val="00F60DBF"/>
    <w:rsid w:val="00F614E2"/>
    <w:rsid w:val="00F61581"/>
    <w:rsid w:val="00F63FB9"/>
    <w:rsid w:val="00F6409B"/>
    <w:rsid w:val="00F65F66"/>
    <w:rsid w:val="00F70050"/>
    <w:rsid w:val="00F72152"/>
    <w:rsid w:val="00F73A90"/>
    <w:rsid w:val="00F76E3C"/>
    <w:rsid w:val="00F77536"/>
    <w:rsid w:val="00F81707"/>
    <w:rsid w:val="00F834AC"/>
    <w:rsid w:val="00F86C3E"/>
    <w:rsid w:val="00F873A6"/>
    <w:rsid w:val="00F933E1"/>
    <w:rsid w:val="00F9456B"/>
    <w:rsid w:val="00F94D7B"/>
    <w:rsid w:val="00F96162"/>
    <w:rsid w:val="00F96A8E"/>
    <w:rsid w:val="00F96C28"/>
    <w:rsid w:val="00FA1299"/>
    <w:rsid w:val="00FA5028"/>
    <w:rsid w:val="00FA5370"/>
    <w:rsid w:val="00FA5D0B"/>
    <w:rsid w:val="00FA6D79"/>
    <w:rsid w:val="00FB01E4"/>
    <w:rsid w:val="00FB1115"/>
    <w:rsid w:val="00FB57A1"/>
    <w:rsid w:val="00FB7BBD"/>
    <w:rsid w:val="00FC05DF"/>
    <w:rsid w:val="00FC3688"/>
    <w:rsid w:val="00FC48AA"/>
    <w:rsid w:val="00FC4F0B"/>
    <w:rsid w:val="00FC56FE"/>
    <w:rsid w:val="00FC7919"/>
    <w:rsid w:val="00FD0710"/>
    <w:rsid w:val="00FD3CE4"/>
    <w:rsid w:val="00FE1157"/>
    <w:rsid w:val="00FE2E1F"/>
    <w:rsid w:val="00FE7043"/>
    <w:rsid w:val="00FF1669"/>
    <w:rsid w:val="00FF6FCD"/>
    <w:rsid w:val="00FF76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31AD"/>
  <w15:chartTrackingRefBased/>
  <w15:docId w15:val="{18ECA8FE-5FDC-4F9E-8702-51EC43684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7DA"/>
    <w:pPr>
      <w:spacing w:after="0" w:line="360" w:lineRule="auto"/>
      <w:ind w:firstLine="567"/>
      <w:jc w:val="both"/>
    </w:pPr>
    <w:rPr>
      <w:rFonts w:ascii="Times New Roman" w:hAnsi="Times New Roman"/>
      <w:sz w:val="24"/>
    </w:rPr>
  </w:style>
  <w:style w:type="paragraph" w:styleId="Heading1">
    <w:name w:val="heading 1"/>
    <w:basedOn w:val="Normal"/>
    <w:next w:val="Normal"/>
    <w:link w:val="Heading1Char"/>
    <w:uiPriority w:val="9"/>
    <w:qFormat/>
    <w:rsid w:val="003330F5"/>
    <w:pPr>
      <w:keepNext/>
      <w:keepLines/>
      <w:spacing w:before="120" w:line="240" w:lineRule="auto"/>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3330F5"/>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80EEC"/>
    <w:pPr>
      <w:keepNext/>
      <w:keepLines/>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B4196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CAA"/>
    <w:pPr>
      <w:tabs>
        <w:tab w:val="center" w:pos="4536"/>
        <w:tab w:val="right" w:pos="9072"/>
      </w:tabs>
      <w:spacing w:line="240" w:lineRule="auto"/>
    </w:pPr>
  </w:style>
  <w:style w:type="character" w:customStyle="1" w:styleId="HeaderChar">
    <w:name w:val="Header Char"/>
    <w:basedOn w:val="DefaultParagraphFont"/>
    <w:link w:val="Header"/>
    <w:uiPriority w:val="99"/>
    <w:rsid w:val="00DD7CAA"/>
  </w:style>
  <w:style w:type="paragraph" w:styleId="Footer">
    <w:name w:val="footer"/>
    <w:basedOn w:val="Normal"/>
    <w:link w:val="FooterChar"/>
    <w:uiPriority w:val="99"/>
    <w:unhideWhenUsed/>
    <w:rsid w:val="00DD7CAA"/>
    <w:pPr>
      <w:tabs>
        <w:tab w:val="center" w:pos="4536"/>
        <w:tab w:val="right" w:pos="9072"/>
      </w:tabs>
      <w:spacing w:line="240" w:lineRule="auto"/>
    </w:pPr>
  </w:style>
  <w:style w:type="character" w:customStyle="1" w:styleId="FooterChar">
    <w:name w:val="Footer Char"/>
    <w:basedOn w:val="DefaultParagraphFont"/>
    <w:link w:val="Footer"/>
    <w:uiPriority w:val="99"/>
    <w:rsid w:val="00DD7CAA"/>
  </w:style>
  <w:style w:type="paragraph" w:styleId="ListParagraph">
    <w:name w:val="List Paragraph"/>
    <w:basedOn w:val="Normal"/>
    <w:uiPriority w:val="34"/>
    <w:qFormat/>
    <w:rsid w:val="00306C65"/>
    <w:pPr>
      <w:ind w:left="720"/>
      <w:contextualSpacing/>
    </w:pPr>
  </w:style>
  <w:style w:type="character" w:styleId="Hyperlink">
    <w:name w:val="Hyperlink"/>
    <w:basedOn w:val="DefaultParagraphFont"/>
    <w:uiPriority w:val="99"/>
    <w:unhideWhenUsed/>
    <w:rsid w:val="00495C8B"/>
    <w:rPr>
      <w:color w:val="0563C1" w:themeColor="hyperlink"/>
      <w:u w:val="single"/>
    </w:rPr>
  </w:style>
  <w:style w:type="character" w:styleId="UnresolvedMention">
    <w:name w:val="Unresolved Mention"/>
    <w:basedOn w:val="DefaultParagraphFont"/>
    <w:uiPriority w:val="99"/>
    <w:semiHidden/>
    <w:unhideWhenUsed/>
    <w:rsid w:val="00495C8B"/>
    <w:rPr>
      <w:color w:val="605E5C"/>
      <w:shd w:val="clear" w:color="auto" w:fill="E1DFDD"/>
    </w:rPr>
  </w:style>
  <w:style w:type="paragraph" w:styleId="FootnoteText">
    <w:name w:val="footnote text"/>
    <w:basedOn w:val="Normal"/>
    <w:link w:val="FootnoteTextChar"/>
    <w:uiPriority w:val="99"/>
    <w:semiHidden/>
    <w:unhideWhenUsed/>
    <w:rsid w:val="00EB5916"/>
    <w:pPr>
      <w:spacing w:line="240" w:lineRule="auto"/>
    </w:pPr>
    <w:rPr>
      <w:sz w:val="20"/>
      <w:szCs w:val="20"/>
    </w:rPr>
  </w:style>
  <w:style w:type="character" w:customStyle="1" w:styleId="FootnoteTextChar">
    <w:name w:val="Footnote Text Char"/>
    <w:basedOn w:val="DefaultParagraphFont"/>
    <w:link w:val="FootnoteText"/>
    <w:uiPriority w:val="99"/>
    <w:semiHidden/>
    <w:rsid w:val="00EB5916"/>
    <w:rPr>
      <w:sz w:val="20"/>
      <w:szCs w:val="20"/>
    </w:rPr>
  </w:style>
  <w:style w:type="character" w:styleId="FootnoteReference">
    <w:name w:val="footnote reference"/>
    <w:basedOn w:val="DefaultParagraphFont"/>
    <w:uiPriority w:val="99"/>
    <w:semiHidden/>
    <w:unhideWhenUsed/>
    <w:rsid w:val="00EB5916"/>
    <w:rPr>
      <w:vertAlign w:val="superscript"/>
    </w:rPr>
  </w:style>
  <w:style w:type="character" w:customStyle="1" w:styleId="Heading1Char">
    <w:name w:val="Heading 1 Char"/>
    <w:basedOn w:val="DefaultParagraphFont"/>
    <w:link w:val="Heading1"/>
    <w:uiPriority w:val="9"/>
    <w:rsid w:val="003330F5"/>
    <w:rPr>
      <w:rFonts w:ascii="Times New Roman" w:eastAsiaTheme="majorEastAsia" w:hAnsi="Times New Roman" w:cstheme="majorBidi"/>
      <w:b/>
      <w:sz w:val="32"/>
      <w:szCs w:val="32"/>
    </w:rPr>
  </w:style>
  <w:style w:type="paragraph" w:styleId="NoSpacing">
    <w:name w:val="No Spacing"/>
    <w:uiPriority w:val="1"/>
    <w:qFormat/>
    <w:rsid w:val="003330F5"/>
    <w:pPr>
      <w:spacing w:after="0" w:line="240" w:lineRule="auto"/>
    </w:pPr>
  </w:style>
  <w:style w:type="character" w:customStyle="1" w:styleId="Heading2Char">
    <w:name w:val="Heading 2 Char"/>
    <w:basedOn w:val="DefaultParagraphFont"/>
    <w:link w:val="Heading2"/>
    <w:uiPriority w:val="9"/>
    <w:rsid w:val="003330F5"/>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880EEC"/>
    <w:rPr>
      <w:rFonts w:ascii="Times New Roman" w:eastAsiaTheme="majorEastAsia" w:hAnsi="Times New Roman" w:cstheme="majorBidi"/>
      <w:b/>
      <w:sz w:val="26"/>
      <w:szCs w:val="24"/>
    </w:rPr>
  </w:style>
  <w:style w:type="paragraph" w:styleId="BalloonText">
    <w:name w:val="Balloon Text"/>
    <w:basedOn w:val="Normal"/>
    <w:link w:val="BalloonTextChar"/>
    <w:uiPriority w:val="99"/>
    <w:semiHidden/>
    <w:unhideWhenUsed/>
    <w:rsid w:val="006218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89F"/>
    <w:rPr>
      <w:rFonts w:ascii="Segoe UI" w:hAnsi="Segoe UI" w:cs="Segoe UI"/>
      <w:sz w:val="18"/>
      <w:szCs w:val="18"/>
    </w:rPr>
  </w:style>
  <w:style w:type="table" w:styleId="TableGrid">
    <w:name w:val="Table Grid"/>
    <w:basedOn w:val="TableNormal"/>
    <w:uiPriority w:val="39"/>
    <w:rsid w:val="00850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850C76"/>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4879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6Colorful-Accent1">
    <w:name w:val="Grid Table 6 Colorful Accent 1"/>
    <w:basedOn w:val="TableNormal"/>
    <w:uiPriority w:val="51"/>
    <w:rsid w:val="00487910"/>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48791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FollowedHyperlink">
    <w:name w:val="FollowedHyperlink"/>
    <w:basedOn w:val="DefaultParagraphFont"/>
    <w:uiPriority w:val="99"/>
    <w:semiHidden/>
    <w:unhideWhenUsed/>
    <w:rsid w:val="0007736E"/>
    <w:rPr>
      <w:color w:val="954F72" w:themeColor="followedHyperlink"/>
      <w:u w:val="single"/>
    </w:rPr>
  </w:style>
  <w:style w:type="table" w:styleId="GridTable4-Accent4">
    <w:name w:val="Grid Table 4 Accent 4"/>
    <w:basedOn w:val="TableNormal"/>
    <w:uiPriority w:val="49"/>
    <w:rsid w:val="0029598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4Char">
    <w:name w:val="Heading 4 Char"/>
    <w:basedOn w:val="DefaultParagraphFont"/>
    <w:link w:val="Heading4"/>
    <w:uiPriority w:val="9"/>
    <w:semiHidden/>
    <w:rsid w:val="00B41968"/>
    <w:rPr>
      <w:rFonts w:asciiTheme="majorHAnsi" w:eastAsiaTheme="majorEastAsia" w:hAnsiTheme="majorHAnsi" w:cstheme="majorBidi"/>
      <w:i/>
      <w:iCs/>
      <w:color w:val="2F5496" w:themeColor="accent1" w:themeShade="BF"/>
      <w:sz w:val="24"/>
    </w:rPr>
  </w:style>
  <w:style w:type="table" w:styleId="GridTable4-Accent5">
    <w:name w:val="Grid Table 4 Accent 5"/>
    <w:basedOn w:val="TableNormal"/>
    <w:uiPriority w:val="49"/>
    <w:rsid w:val="00BC594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FC368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2">
    <w:name w:val="Grid Table 4 Accent 2"/>
    <w:basedOn w:val="TableNormal"/>
    <w:uiPriority w:val="49"/>
    <w:rsid w:val="00C932E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Heading">
    <w:name w:val="TOC Heading"/>
    <w:basedOn w:val="Heading1"/>
    <w:next w:val="Normal"/>
    <w:uiPriority w:val="39"/>
    <w:unhideWhenUsed/>
    <w:qFormat/>
    <w:rsid w:val="00355121"/>
    <w:pPr>
      <w:spacing w:before="240" w:line="259" w:lineRule="auto"/>
      <w:ind w:firstLine="0"/>
      <w:jc w:val="left"/>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355121"/>
    <w:pPr>
      <w:spacing w:before="360"/>
      <w:jc w:val="left"/>
    </w:pPr>
    <w:rPr>
      <w:rFonts w:asciiTheme="majorHAnsi" w:hAnsiTheme="majorHAnsi" w:cstheme="majorHAnsi"/>
      <w:b/>
      <w:bCs/>
      <w:caps/>
      <w:szCs w:val="24"/>
    </w:rPr>
  </w:style>
  <w:style w:type="paragraph" w:styleId="TOC2">
    <w:name w:val="toc 2"/>
    <w:basedOn w:val="Normal"/>
    <w:next w:val="Normal"/>
    <w:autoRedefine/>
    <w:uiPriority w:val="39"/>
    <w:unhideWhenUsed/>
    <w:rsid w:val="00355121"/>
    <w:pPr>
      <w:spacing w:before="240"/>
      <w:jc w:val="left"/>
    </w:pPr>
    <w:rPr>
      <w:rFonts w:asciiTheme="minorHAnsi" w:hAnsiTheme="minorHAnsi" w:cstheme="minorHAnsi"/>
      <w:b/>
      <w:bCs/>
      <w:sz w:val="20"/>
      <w:szCs w:val="20"/>
    </w:rPr>
  </w:style>
  <w:style w:type="paragraph" w:styleId="TOC3">
    <w:name w:val="toc 3"/>
    <w:basedOn w:val="Normal"/>
    <w:next w:val="Normal"/>
    <w:autoRedefine/>
    <w:uiPriority w:val="39"/>
    <w:unhideWhenUsed/>
    <w:rsid w:val="00355121"/>
    <w:pPr>
      <w:ind w:left="24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355121"/>
    <w:pPr>
      <w:ind w:left="48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355121"/>
    <w:pPr>
      <w:ind w:left="72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355121"/>
    <w:pPr>
      <w:ind w:left="96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355121"/>
    <w:pPr>
      <w:ind w:left="120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355121"/>
    <w:pPr>
      <w:ind w:left="144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355121"/>
    <w:pPr>
      <w:ind w:left="1680"/>
      <w:jc w:val="left"/>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91413">
      <w:bodyDiv w:val="1"/>
      <w:marLeft w:val="0"/>
      <w:marRight w:val="0"/>
      <w:marTop w:val="0"/>
      <w:marBottom w:val="0"/>
      <w:divBdr>
        <w:top w:val="none" w:sz="0" w:space="0" w:color="auto"/>
        <w:left w:val="none" w:sz="0" w:space="0" w:color="auto"/>
        <w:bottom w:val="none" w:sz="0" w:space="0" w:color="auto"/>
        <w:right w:val="none" w:sz="0" w:space="0" w:color="auto"/>
      </w:divBdr>
    </w:div>
    <w:div w:id="253512192">
      <w:bodyDiv w:val="1"/>
      <w:marLeft w:val="0"/>
      <w:marRight w:val="0"/>
      <w:marTop w:val="0"/>
      <w:marBottom w:val="0"/>
      <w:divBdr>
        <w:top w:val="none" w:sz="0" w:space="0" w:color="auto"/>
        <w:left w:val="none" w:sz="0" w:space="0" w:color="auto"/>
        <w:bottom w:val="none" w:sz="0" w:space="0" w:color="auto"/>
        <w:right w:val="none" w:sz="0" w:space="0" w:color="auto"/>
      </w:divBdr>
    </w:div>
    <w:div w:id="261574177">
      <w:bodyDiv w:val="1"/>
      <w:marLeft w:val="0"/>
      <w:marRight w:val="0"/>
      <w:marTop w:val="0"/>
      <w:marBottom w:val="0"/>
      <w:divBdr>
        <w:top w:val="none" w:sz="0" w:space="0" w:color="auto"/>
        <w:left w:val="none" w:sz="0" w:space="0" w:color="auto"/>
        <w:bottom w:val="none" w:sz="0" w:space="0" w:color="auto"/>
        <w:right w:val="none" w:sz="0" w:space="0" w:color="auto"/>
      </w:divBdr>
    </w:div>
    <w:div w:id="434903656">
      <w:bodyDiv w:val="1"/>
      <w:marLeft w:val="0"/>
      <w:marRight w:val="0"/>
      <w:marTop w:val="0"/>
      <w:marBottom w:val="0"/>
      <w:divBdr>
        <w:top w:val="none" w:sz="0" w:space="0" w:color="auto"/>
        <w:left w:val="none" w:sz="0" w:space="0" w:color="auto"/>
        <w:bottom w:val="none" w:sz="0" w:space="0" w:color="auto"/>
        <w:right w:val="none" w:sz="0" w:space="0" w:color="auto"/>
      </w:divBdr>
    </w:div>
    <w:div w:id="562258442">
      <w:bodyDiv w:val="1"/>
      <w:marLeft w:val="0"/>
      <w:marRight w:val="0"/>
      <w:marTop w:val="0"/>
      <w:marBottom w:val="0"/>
      <w:divBdr>
        <w:top w:val="none" w:sz="0" w:space="0" w:color="auto"/>
        <w:left w:val="none" w:sz="0" w:space="0" w:color="auto"/>
        <w:bottom w:val="none" w:sz="0" w:space="0" w:color="auto"/>
        <w:right w:val="none" w:sz="0" w:space="0" w:color="auto"/>
      </w:divBdr>
    </w:div>
    <w:div w:id="665287825">
      <w:bodyDiv w:val="1"/>
      <w:marLeft w:val="0"/>
      <w:marRight w:val="0"/>
      <w:marTop w:val="0"/>
      <w:marBottom w:val="0"/>
      <w:divBdr>
        <w:top w:val="none" w:sz="0" w:space="0" w:color="auto"/>
        <w:left w:val="none" w:sz="0" w:space="0" w:color="auto"/>
        <w:bottom w:val="none" w:sz="0" w:space="0" w:color="auto"/>
        <w:right w:val="none" w:sz="0" w:space="0" w:color="auto"/>
      </w:divBdr>
    </w:div>
    <w:div w:id="709381691">
      <w:bodyDiv w:val="1"/>
      <w:marLeft w:val="0"/>
      <w:marRight w:val="0"/>
      <w:marTop w:val="0"/>
      <w:marBottom w:val="0"/>
      <w:divBdr>
        <w:top w:val="none" w:sz="0" w:space="0" w:color="auto"/>
        <w:left w:val="none" w:sz="0" w:space="0" w:color="auto"/>
        <w:bottom w:val="none" w:sz="0" w:space="0" w:color="auto"/>
        <w:right w:val="none" w:sz="0" w:space="0" w:color="auto"/>
      </w:divBdr>
    </w:div>
    <w:div w:id="787311565">
      <w:bodyDiv w:val="1"/>
      <w:marLeft w:val="0"/>
      <w:marRight w:val="0"/>
      <w:marTop w:val="0"/>
      <w:marBottom w:val="0"/>
      <w:divBdr>
        <w:top w:val="none" w:sz="0" w:space="0" w:color="auto"/>
        <w:left w:val="none" w:sz="0" w:space="0" w:color="auto"/>
        <w:bottom w:val="none" w:sz="0" w:space="0" w:color="auto"/>
        <w:right w:val="none" w:sz="0" w:space="0" w:color="auto"/>
      </w:divBdr>
    </w:div>
    <w:div w:id="843981253">
      <w:bodyDiv w:val="1"/>
      <w:marLeft w:val="0"/>
      <w:marRight w:val="0"/>
      <w:marTop w:val="0"/>
      <w:marBottom w:val="0"/>
      <w:divBdr>
        <w:top w:val="none" w:sz="0" w:space="0" w:color="auto"/>
        <w:left w:val="none" w:sz="0" w:space="0" w:color="auto"/>
        <w:bottom w:val="none" w:sz="0" w:space="0" w:color="auto"/>
        <w:right w:val="none" w:sz="0" w:space="0" w:color="auto"/>
      </w:divBdr>
    </w:div>
    <w:div w:id="1210607597">
      <w:bodyDiv w:val="1"/>
      <w:marLeft w:val="0"/>
      <w:marRight w:val="0"/>
      <w:marTop w:val="0"/>
      <w:marBottom w:val="0"/>
      <w:divBdr>
        <w:top w:val="none" w:sz="0" w:space="0" w:color="auto"/>
        <w:left w:val="none" w:sz="0" w:space="0" w:color="auto"/>
        <w:bottom w:val="none" w:sz="0" w:space="0" w:color="auto"/>
        <w:right w:val="none" w:sz="0" w:space="0" w:color="auto"/>
      </w:divBdr>
    </w:div>
    <w:div w:id="1484154290">
      <w:bodyDiv w:val="1"/>
      <w:marLeft w:val="0"/>
      <w:marRight w:val="0"/>
      <w:marTop w:val="0"/>
      <w:marBottom w:val="0"/>
      <w:divBdr>
        <w:top w:val="none" w:sz="0" w:space="0" w:color="auto"/>
        <w:left w:val="none" w:sz="0" w:space="0" w:color="auto"/>
        <w:bottom w:val="none" w:sz="0" w:space="0" w:color="auto"/>
        <w:right w:val="none" w:sz="0" w:space="0" w:color="auto"/>
      </w:divBdr>
    </w:div>
    <w:div w:id="1532767523">
      <w:bodyDiv w:val="1"/>
      <w:marLeft w:val="0"/>
      <w:marRight w:val="0"/>
      <w:marTop w:val="0"/>
      <w:marBottom w:val="0"/>
      <w:divBdr>
        <w:top w:val="none" w:sz="0" w:space="0" w:color="auto"/>
        <w:left w:val="none" w:sz="0" w:space="0" w:color="auto"/>
        <w:bottom w:val="none" w:sz="0" w:space="0" w:color="auto"/>
        <w:right w:val="none" w:sz="0" w:space="0" w:color="auto"/>
      </w:divBdr>
    </w:div>
    <w:div w:id="1556816647">
      <w:bodyDiv w:val="1"/>
      <w:marLeft w:val="0"/>
      <w:marRight w:val="0"/>
      <w:marTop w:val="0"/>
      <w:marBottom w:val="0"/>
      <w:divBdr>
        <w:top w:val="none" w:sz="0" w:space="0" w:color="auto"/>
        <w:left w:val="none" w:sz="0" w:space="0" w:color="auto"/>
        <w:bottom w:val="none" w:sz="0" w:space="0" w:color="auto"/>
        <w:right w:val="none" w:sz="0" w:space="0" w:color="auto"/>
      </w:divBdr>
    </w:div>
    <w:div w:id="1560822831">
      <w:bodyDiv w:val="1"/>
      <w:marLeft w:val="0"/>
      <w:marRight w:val="0"/>
      <w:marTop w:val="0"/>
      <w:marBottom w:val="0"/>
      <w:divBdr>
        <w:top w:val="none" w:sz="0" w:space="0" w:color="auto"/>
        <w:left w:val="none" w:sz="0" w:space="0" w:color="auto"/>
        <w:bottom w:val="none" w:sz="0" w:space="0" w:color="auto"/>
        <w:right w:val="none" w:sz="0" w:space="0" w:color="auto"/>
      </w:divBdr>
    </w:div>
    <w:div w:id="1641686809">
      <w:bodyDiv w:val="1"/>
      <w:marLeft w:val="0"/>
      <w:marRight w:val="0"/>
      <w:marTop w:val="0"/>
      <w:marBottom w:val="0"/>
      <w:divBdr>
        <w:top w:val="none" w:sz="0" w:space="0" w:color="auto"/>
        <w:left w:val="none" w:sz="0" w:space="0" w:color="auto"/>
        <w:bottom w:val="none" w:sz="0" w:space="0" w:color="auto"/>
        <w:right w:val="none" w:sz="0" w:space="0" w:color="auto"/>
      </w:divBdr>
    </w:div>
    <w:div w:id="1668752810">
      <w:bodyDiv w:val="1"/>
      <w:marLeft w:val="0"/>
      <w:marRight w:val="0"/>
      <w:marTop w:val="0"/>
      <w:marBottom w:val="0"/>
      <w:divBdr>
        <w:top w:val="none" w:sz="0" w:space="0" w:color="auto"/>
        <w:left w:val="none" w:sz="0" w:space="0" w:color="auto"/>
        <w:bottom w:val="none" w:sz="0" w:space="0" w:color="auto"/>
        <w:right w:val="none" w:sz="0" w:space="0" w:color="auto"/>
      </w:divBdr>
    </w:div>
    <w:div w:id="1729038120">
      <w:bodyDiv w:val="1"/>
      <w:marLeft w:val="0"/>
      <w:marRight w:val="0"/>
      <w:marTop w:val="0"/>
      <w:marBottom w:val="0"/>
      <w:divBdr>
        <w:top w:val="none" w:sz="0" w:space="0" w:color="auto"/>
        <w:left w:val="none" w:sz="0" w:space="0" w:color="auto"/>
        <w:bottom w:val="none" w:sz="0" w:space="0" w:color="auto"/>
        <w:right w:val="none" w:sz="0" w:space="0" w:color="auto"/>
      </w:divBdr>
    </w:div>
    <w:div w:id="199636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ransparencyregister/public/consultation/search.do?locale=cs&amp;re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85663-5F96-4C91-B993-9DA5F163F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8016</TotalTime>
  <Pages>58</Pages>
  <Words>17495</Words>
  <Characters>103224</Characters>
  <Application>Microsoft Office Word</Application>
  <DocSecurity>0</DocSecurity>
  <Lines>860</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Slachta</dc:creator>
  <cp:keywords/>
  <dc:description/>
  <cp:lastModifiedBy>Slachta David</cp:lastModifiedBy>
  <cp:revision>342</cp:revision>
  <dcterms:created xsi:type="dcterms:W3CDTF">2018-07-06T06:49:00Z</dcterms:created>
  <dcterms:modified xsi:type="dcterms:W3CDTF">2019-06-13T04:03:00Z</dcterms:modified>
</cp:coreProperties>
</file>