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465116"/>
        <w:docPartObj>
          <w:docPartGallery w:val="Cover Pages"/>
          <w:docPartUnique/>
        </w:docPartObj>
      </w:sdtPr>
      <w:sdtEndPr>
        <w:rPr>
          <w:b/>
          <w:bCs/>
        </w:rPr>
      </w:sdtEndPr>
      <w:sdtContent>
        <w:p w:rsidR="009D68AC" w:rsidRDefault="009D68AC" w:rsidP="009906A5">
          <w:pPr>
            <w:jc w:val="center"/>
            <w:rPr>
              <w:b/>
              <w:sz w:val="24"/>
            </w:rPr>
          </w:pPr>
          <w:r>
            <w:rPr>
              <w:b/>
              <w:sz w:val="24"/>
            </w:rPr>
            <w:t>Univerzita Palackého v Olomouci</w:t>
          </w:r>
        </w:p>
        <w:p w:rsidR="009D68AC" w:rsidRDefault="009D68AC" w:rsidP="009906A5">
          <w:pPr>
            <w:jc w:val="center"/>
            <w:rPr>
              <w:b/>
              <w:sz w:val="24"/>
            </w:rPr>
          </w:pPr>
          <w:r>
            <w:rPr>
              <w:b/>
              <w:sz w:val="24"/>
            </w:rPr>
            <w:t>Právnická fakulta</w:t>
          </w: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9906A5">
          <w:pPr>
            <w:jc w:val="center"/>
            <w:rPr>
              <w:b/>
              <w:sz w:val="28"/>
            </w:rPr>
          </w:pPr>
          <w:r>
            <w:rPr>
              <w:b/>
              <w:sz w:val="28"/>
            </w:rPr>
            <w:t xml:space="preserve">Martina </w:t>
          </w:r>
          <w:proofErr w:type="spellStart"/>
          <w:r>
            <w:rPr>
              <w:b/>
              <w:sz w:val="28"/>
            </w:rPr>
            <w:t>Daduová</w:t>
          </w:r>
          <w:proofErr w:type="spellEnd"/>
        </w:p>
        <w:p w:rsidR="003B09A0" w:rsidRDefault="003B09A0" w:rsidP="009906A5">
          <w:pPr>
            <w:jc w:val="center"/>
            <w:rPr>
              <w:b/>
              <w:sz w:val="28"/>
            </w:rPr>
          </w:pPr>
          <w:r>
            <w:rPr>
              <w:b/>
              <w:sz w:val="28"/>
            </w:rPr>
            <w:t xml:space="preserve">Meziválečná </w:t>
          </w:r>
          <w:proofErr w:type="spellStart"/>
          <w:r>
            <w:rPr>
              <w:b/>
              <w:sz w:val="28"/>
            </w:rPr>
            <w:t>rekodifikace</w:t>
          </w:r>
          <w:proofErr w:type="spellEnd"/>
          <w:r>
            <w:rPr>
              <w:b/>
              <w:sz w:val="28"/>
            </w:rPr>
            <w:t xml:space="preserve"> jako inspirační zdroj nového dědického práva</w:t>
          </w:r>
        </w:p>
        <w:p w:rsidR="003B09A0" w:rsidRDefault="003B09A0" w:rsidP="009906A5">
          <w:pPr>
            <w:jc w:val="center"/>
            <w:rPr>
              <w:b/>
              <w:sz w:val="24"/>
            </w:rPr>
          </w:pPr>
          <w:r>
            <w:rPr>
              <w:b/>
              <w:sz w:val="24"/>
            </w:rPr>
            <w:t>Diplomová práce</w:t>
          </w: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3B09A0" w:rsidRDefault="003B09A0" w:rsidP="00AE5C96">
          <w:pPr>
            <w:jc w:val="both"/>
            <w:rPr>
              <w:b/>
              <w:sz w:val="24"/>
            </w:rPr>
          </w:pPr>
        </w:p>
        <w:p w:rsidR="002E5FA6" w:rsidRDefault="003B09A0" w:rsidP="009906A5">
          <w:pPr>
            <w:jc w:val="center"/>
            <w:rPr>
              <w:b/>
              <w:sz w:val="28"/>
            </w:rPr>
          </w:pPr>
          <w:r>
            <w:rPr>
              <w:b/>
              <w:sz w:val="28"/>
            </w:rPr>
            <w:t>Olomouc 2015</w:t>
          </w:r>
        </w:p>
        <w:p w:rsidR="002E5FA6" w:rsidRDefault="002E5FA6" w:rsidP="00AE5C96">
          <w:pPr>
            <w:jc w:val="both"/>
            <w:rPr>
              <w:b/>
              <w:sz w:val="28"/>
            </w:rPr>
          </w:pPr>
          <w:r>
            <w:rPr>
              <w:b/>
              <w:sz w:val="28"/>
            </w:rPr>
            <w:br w:type="page"/>
          </w:r>
        </w:p>
        <w:p w:rsidR="003B09A0" w:rsidRDefault="002E5FA6" w:rsidP="00AE5C96">
          <w:pPr>
            <w:jc w:val="both"/>
            <w:rPr>
              <w:sz w:val="24"/>
            </w:rPr>
          </w:pPr>
          <w:r>
            <w:rPr>
              <w:sz w:val="24"/>
            </w:rPr>
            <w:lastRenderedPageBreak/>
            <w:t xml:space="preserve">Prohlašuji, že </w:t>
          </w:r>
          <w:r w:rsidR="00494740">
            <w:rPr>
              <w:sz w:val="24"/>
            </w:rPr>
            <w:t xml:space="preserve">jsem </w:t>
          </w:r>
          <w:r>
            <w:rPr>
              <w:sz w:val="24"/>
            </w:rPr>
            <w:t xml:space="preserve">diplomovou práci na téma „Meziválečná </w:t>
          </w:r>
          <w:proofErr w:type="spellStart"/>
          <w:r>
            <w:rPr>
              <w:sz w:val="24"/>
            </w:rPr>
            <w:t>rekodifikace</w:t>
          </w:r>
          <w:proofErr w:type="spellEnd"/>
          <w:r>
            <w:rPr>
              <w:sz w:val="24"/>
            </w:rPr>
            <w:t xml:space="preserve"> jako inspirační zdroj nového dědického práva“ vypracovala samostatně a citovala všechny použité zdroje.</w:t>
          </w:r>
        </w:p>
        <w:p w:rsidR="003B3B57" w:rsidRDefault="002E5FA6" w:rsidP="00AE5C96">
          <w:pPr>
            <w:jc w:val="both"/>
            <w:rPr>
              <w:sz w:val="24"/>
            </w:rPr>
          </w:pPr>
          <w:r>
            <w:rPr>
              <w:sz w:val="24"/>
            </w:rPr>
            <w:t xml:space="preserve">Ve Šternberku dne </w:t>
          </w:r>
          <w:r w:rsidR="00B73E07">
            <w:rPr>
              <w:sz w:val="24"/>
            </w:rPr>
            <w:t>19</w:t>
          </w:r>
          <w:r>
            <w:rPr>
              <w:sz w:val="24"/>
            </w:rPr>
            <w:t>.</w:t>
          </w:r>
          <w:r w:rsidR="00D15DED">
            <w:rPr>
              <w:sz w:val="24"/>
            </w:rPr>
            <w:t xml:space="preserve"> </w:t>
          </w:r>
          <w:r>
            <w:rPr>
              <w:sz w:val="24"/>
            </w:rPr>
            <w:t>1.</w:t>
          </w:r>
          <w:r w:rsidR="00D15DED">
            <w:rPr>
              <w:sz w:val="24"/>
            </w:rPr>
            <w:t xml:space="preserve"> </w:t>
          </w:r>
          <w:r>
            <w:rPr>
              <w:sz w:val="24"/>
            </w:rPr>
            <w:t>2015</w:t>
          </w:r>
          <w:r>
            <w:rPr>
              <w:sz w:val="24"/>
            </w:rPr>
            <w:tab/>
          </w:r>
          <w:r>
            <w:rPr>
              <w:sz w:val="24"/>
            </w:rPr>
            <w:tab/>
          </w:r>
          <w:r>
            <w:rPr>
              <w:sz w:val="24"/>
            </w:rPr>
            <w:tab/>
          </w:r>
          <w:r>
            <w:rPr>
              <w:sz w:val="24"/>
            </w:rPr>
            <w:tab/>
          </w:r>
          <w:r>
            <w:rPr>
              <w:sz w:val="24"/>
            </w:rPr>
            <w:tab/>
            <w:t xml:space="preserve">Martina </w:t>
          </w:r>
          <w:proofErr w:type="spellStart"/>
          <w:r>
            <w:rPr>
              <w:sz w:val="24"/>
            </w:rPr>
            <w:t>Daduová</w:t>
          </w:r>
          <w:proofErr w:type="spellEnd"/>
        </w:p>
        <w:p w:rsidR="003B3B57" w:rsidRDefault="003B3B57" w:rsidP="00AE5C96">
          <w:pPr>
            <w:jc w:val="both"/>
            <w:rPr>
              <w:sz w:val="24"/>
            </w:rPr>
          </w:pPr>
          <w:r>
            <w:rPr>
              <w:sz w:val="24"/>
            </w:rPr>
            <w:br w:type="page"/>
          </w:r>
        </w:p>
        <w:p w:rsidR="002E5FA6" w:rsidRDefault="002E5FA6"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Default="003B3B57" w:rsidP="00AE5C96">
          <w:pPr>
            <w:jc w:val="both"/>
            <w:rPr>
              <w:sz w:val="24"/>
            </w:rPr>
          </w:pPr>
        </w:p>
        <w:p w:rsidR="003B3B57" w:rsidRPr="002E5FA6" w:rsidRDefault="003B3B57" w:rsidP="00AE5C96">
          <w:pPr>
            <w:jc w:val="both"/>
            <w:rPr>
              <w:sz w:val="24"/>
            </w:rPr>
          </w:pPr>
        </w:p>
        <w:p w:rsidR="00C40DD5" w:rsidRDefault="00C40DD5" w:rsidP="00AE5C96">
          <w:pPr>
            <w:jc w:val="both"/>
            <w:rPr>
              <w:b/>
              <w:bCs/>
            </w:rPr>
          </w:pPr>
        </w:p>
        <w:p w:rsidR="00C40DD5" w:rsidRDefault="00C40DD5" w:rsidP="00AE5C96">
          <w:pPr>
            <w:jc w:val="both"/>
            <w:rPr>
              <w:b/>
              <w:bCs/>
            </w:rPr>
          </w:pPr>
        </w:p>
        <w:p w:rsidR="003B3B57" w:rsidRDefault="003B3B57" w:rsidP="00AE5C96">
          <w:pPr>
            <w:jc w:val="both"/>
            <w:rPr>
              <w:b/>
              <w:bCs/>
            </w:rPr>
          </w:pPr>
        </w:p>
        <w:p w:rsidR="003B3B57" w:rsidRDefault="003B3B57" w:rsidP="00AE5C96">
          <w:pPr>
            <w:jc w:val="both"/>
            <w:rPr>
              <w:b/>
              <w:bCs/>
            </w:rPr>
          </w:pPr>
        </w:p>
        <w:p w:rsidR="003B3B57" w:rsidRDefault="003B3B57" w:rsidP="00AE5C96">
          <w:pPr>
            <w:jc w:val="both"/>
            <w:rPr>
              <w:bCs/>
              <w:sz w:val="24"/>
            </w:rPr>
          </w:pPr>
          <w:r w:rsidRPr="003B3B57">
            <w:rPr>
              <w:bCs/>
              <w:sz w:val="24"/>
            </w:rPr>
            <w:t>Poděkování</w:t>
          </w:r>
        </w:p>
        <w:p w:rsidR="003B3B57" w:rsidRPr="003B3B57" w:rsidRDefault="003B3B57" w:rsidP="00AE5C96">
          <w:pPr>
            <w:jc w:val="both"/>
            <w:rPr>
              <w:bCs/>
              <w:sz w:val="24"/>
            </w:rPr>
          </w:pPr>
          <w:r>
            <w:rPr>
              <w:bCs/>
              <w:sz w:val="24"/>
            </w:rPr>
            <w:t>Děkuji za po</w:t>
          </w:r>
          <w:r w:rsidR="0003001E">
            <w:rPr>
              <w:bCs/>
              <w:sz w:val="24"/>
            </w:rPr>
            <w:t xml:space="preserve">moc při psaní diplomové práce, </w:t>
          </w:r>
          <w:r>
            <w:rPr>
              <w:bCs/>
              <w:sz w:val="24"/>
            </w:rPr>
            <w:t xml:space="preserve">za cenné rady </w:t>
          </w:r>
          <w:r w:rsidR="0003001E">
            <w:rPr>
              <w:bCs/>
              <w:sz w:val="24"/>
            </w:rPr>
            <w:t xml:space="preserve">a trpělivost </w:t>
          </w:r>
          <w:r>
            <w:rPr>
              <w:bCs/>
              <w:sz w:val="24"/>
            </w:rPr>
            <w:t xml:space="preserve">svému vedoucímu práce, JUDr. Mgr. Ondřeji Horákovi, </w:t>
          </w:r>
          <w:proofErr w:type="spellStart"/>
          <w:r>
            <w:rPr>
              <w:bCs/>
              <w:sz w:val="24"/>
            </w:rPr>
            <w:t>Ph.D</w:t>
          </w:r>
          <w:proofErr w:type="spellEnd"/>
          <w:r>
            <w:rPr>
              <w:bCs/>
              <w:sz w:val="24"/>
            </w:rPr>
            <w:t>.</w:t>
          </w:r>
        </w:p>
        <w:p w:rsidR="009D68AC" w:rsidRPr="009D68AC" w:rsidRDefault="009D68AC" w:rsidP="00AE5C96">
          <w:pPr>
            <w:jc w:val="both"/>
            <w:rPr>
              <w:b/>
              <w:bCs/>
            </w:rPr>
          </w:pPr>
          <w:r>
            <w:rPr>
              <w:b/>
              <w:bCs/>
            </w:rPr>
            <w:br w:type="page"/>
          </w:r>
        </w:p>
      </w:sdtContent>
    </w:sdt>
    <w:sdt>
      <w:sdtPr>
        <w:rPr>
          <w:rFonts w:asciiTheme="minorHAnsi" w:eastAsiaTheme="minorHAnsi" w:hAnsiTheme="minorHAnsi" w:cstheme="minorBidi"/>
          <w:b w:val="0"/>
          <w:bCs w:val="0"/>
          <w:color w:val="auto"/>
          <w:sz w:val="24"/>
          <w:szCs w:val="24"/>
        </w:rPr>
        <w:id w:val="2550851"/>
        <w:docPartObj>
          <w:docPartGallery w:val="Table of Contents"/>
          <w:docPartUnique/>
        </w:docPartObj>
      </w:sdtPr>
      <w:sdtEndPr>
        <w:rPr>
          <w:rFonts w:ascii="Times New Roman" w:hAnsi="Times New Roman" w:cs="Times New Roman"/>
        </w:rPr>
      </w:sdtEndPr>
      <w:sdtContent>
        <w:p w:rsidR="009C32D8" w:rsidRPr="005B1B4B" w:rsidRDefault="009C32D8" w:rsidP="00AE5C96">
          <w:pPr>
            <w:pStyle w:val="Nadpisobsahu"/>
            <w:jc w:val="both"/>
            <w:rPr>
              <w:sz w:val="24"/>
              <w:szCs w:val="24"/>
            </w:rPr>
          </w:pPr>
          <w:r w:rsidRPr="005B1B4B">
            <w:rPr>
              <w:rFonts w:ascii="Times New Roman" w:hAnsi="Times New Roman" w:cs="Times New Roman"/>
              <w:color w:val="auto"/>
              <w:sz w:val="24"/>
              <w:szCs w:val="24"/>
            </w:rPr>
            <w:t>O</w:t>
          </w:r>
          <w:r w:rsidR="002F1E5E" w:rsidRPr="005B1B4B">
            <w:rPr>
              <w:rFonts w:ascii="Times New Roman" w:hAnsi="Times New Roman" w:cs="Times New Roman"/>
              <w:color w:val="auto"/>
              <w:sz w:val="24"/>
              <w:szCs w:val="24"/>
            </w:rPr>
            <w:t>BSAH</w:t>
          </w:r>
        </w:p>
        <w:p w:rsidR="001C20D7" w:rsidRPr="001C20D7" w:rsidRDefault="0080610C">
          <w:pPr>
            <w:pStyle w:val="Obsah1"/>
            <w:tabs>
              <w:tab w:val="right" w:leader="dot" w:pos="9061"/>
            </w:tabs>
            <w:rPr>
              <w:rFonts w:asciiTheme="minorHAnsi" w:eastAsiaTheme="minorEastAsia" w:hAnsiTheme="minorHAnsi" w:cstheme="minorBidi"/>
              <w:noProof/>
              <w:sz w:val="24"/>
              <w:szCs w:val="24"/>
              <w:lang w:eastAsia="cs-CZ"/>
            </w:rPr>
          </w:pPr>
          <w:r w:rsidRPr="001C20D7">
            <w:rPr>
              <w:sz w:val="24"/>
              <w:szCs w:val="24"/>
            </w:rPr>
            <w:fldChar w:fldCharType="begin"/>
          </w:r>
          <w:r w:rsidR="009C32D8" w:rsidRPr="001C20D7">
            <w:rPr>
              <w:sz w:val="24"/>
              <w:szCs w:val="24"/>
            </w:rPr>
            <w:instrText xml:space="preserve"> TOC \o "1-3" \h \z \u </w:instrText>
          </w:r>
          <w:r w:rsidRPr="001C20D7">
            <w:rPr>
              <w:sz w:val="24"/>
              <w:szCs w:val="24"/>
            </w:rPr>
            <w:fldChar w:fldCharType="separate"/>
          </w:r>
          <w:hyperlink w:anchor="_Toc409631277" w:history="1">
            <w:r w:rsidR="001C20D7" w:rsidRPr="001C20D7">
              <w:rPr>
                <w:rStyle w:val="Hypertextovodkaz"/>
                <w:noProof/>
                <w:sz w:val="24"/>
                <w:szCs w:val="24"/>
              </w:rPr>
              <w:t>Seznam použitých zkratek</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_Toc409631277 \h </w:instrText>
            </w:r>
            <w:r w:rsidRPr="001C20D7">
              <w:rPr>
                <w:noProof/>
                <w:webHidden/>
                <w:sz w:val="24"/>
                <w:szCs w:val="24"/>
              </w:rPr>
            </w:r>
            <w:r w:rsidRPr="001C20D7">
              <w:rPr>
                <w:noProof/>
                <w:webHidden/>
                <w:sz w:val="24"/>
                <w:szCs w:val="24"/>
              </w:rPr>
              <w:fldChar w:fldCharType="separate"/>
            </w:r>
            <w:r w:rsidR="00022068">
              <w:rPr>
                <w:noProof/>
                <w:webHidden/>
                <w:sz w:val="24"/>
                <w:szCs w:val="24"/>
              </w:rPr>
              <w:t>6</w:t>
            </w:r>
            <w:r w:rsidRPr="001C20D7">
              <w:rPr>
                <w:noProof/>
                <w:webHidden/>
                <w:sz w:val="24"/>
                <w:szCs w:val="24"/>
              </w:rPr>
              <w:fldChar w:fldCharType="end"/>
            </w:r>
          </w:hyperlink>
        </w:p>
        <w:p w:rsidR="001C20D7" w:rsidRPr="001C20D7" w:rsidRDefault="0080610C">
          <w:pPr>
            <w:pStyle w:val="Obsah1"/>
            <w:tabs>
              <w:tab w:val="right" w:leader="dot" w:pos="9061"/>
            </w:tabs>
            <w:rPr>
              <w:rFonts w:asciiTheme="minorHAnsi" w:eastAsiaTheme="minorEastAsia" w:hAnsiTheme="minorHAnsi" w:cstheme="minorBidi"/>
              <w:noProof/>
              <w:sz w:val="24"/>
              <w:szCs w:val="24"/>
              <w:lang w:eastAsia="cs-CZ"/>
            </w:rPr>
          </w:pPr>
          <w:hyperlink w:anchor="_Toc409631278" w:history="1">
            <w:r w:rsidR="001C20D7" w:rsidRPr="001C20D7">
              <w:rPr>
                <w:rStyle w:val="Hypertextovodkaz"/>
                <w:noProof/>
                <w:sz w:val="24"/>
                <w:szCs w:val="24"/>
              </w:rPr>
              <w:t>Úvod</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_Toc409631278 \h </w:instrText>
            </w:r>
            <w:r w:rsidRPr="001C20D7">
              <w:rPr>
                <w:noProof/>
                <w:webHidden/>
                <w:sz w:val="24"/>
                <w:szCs w:val="24"/>
              </w:rPr>
            </w:r>
            <w:r w:rsidRPr="001C20D7">
              <w:rPr>
                <w:noProof/>
                <w:webHidden/>
                <w:sz w:val="24"/>
                <w:szCs w:val="24"/>
              </w:rPr>
              <w:fldChar w:fldCharType="separate"/>
            </w:r>
            <w:r w:rsidR="00022068">
              <w:rPr>
                <w:noProof/>
                <w:webHidden/>
                <w:sz w:val="24"/>
                <w:szCs w:val="24"/>
              </w:rPr>
              <w:t>7</w:t>
            </w:r>
            <w:r w:rsidRPr="001C20D7">
              <w:rPr>
                <w:noProof/>
                <w:webHidden/>
                <w:sz w:val="24"/>
                <w:szCs w:val="24"/>
              </w:rPr>
              <w:fldChar w:fldCharType="end"/>
            </w:r>
          </w:hyperlink>
        </w:p>
        <w:p w:rsidR="001C20D7" w:rsidRPr="001C20D7" w:rsidRDefault="0080610C">
          <w:pPr>
            <w:pStyle w:val="Obsah1"/>
            <w:tabs>
              <w:tab w:val="left" w:pos="440"/>
              <w:tab w:val="right" w:leader="dot" w:pos="9061"/>
            </w:tabs>
            <w:rPr>
              <w:rFonts w:asciiTheme="minorHAnsi" w:eastAsiaTheme="minorEastAsia" w:hAnsiTheme="minorHAnsi" w:cstheme="minorBidi"/>
              <w:noProof/>
              <w:sz w:val="24"/>
              <w:szCs w:val="24"/>
              <w:lang w:eastAsia="cs-CZ"/>
            </w:rPr>
          </w:pPr>
          <w:hyperlink w:anchor="_Toc409631279" w:history="1">
            <w:r w:rsidR="001C20D7" w:rsidRPr="001C20D7">
              <w:rPr>
                <w:rStyle w:val="Hypertextovodkaz"/>
                <w:noProof/>
                <w:sz w:val="24"/>
                <w:szCs w:val="24"/>
              </w:rPr>
              <w:t>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Inspirační zdroje nového občanského zákoníku</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_Toc409631279 \h </w:instrText>
            </w:r>
            <w:r w:rsidRPr="001C20D7">
              <w:rPr>
                <w:noProof/>
                <w:webHidden/>
                <w:sz w:val="24"/>
                <w:szCs w:val="24"/>
              </w:rPr>
            </w:r>
            <w:r w:rsidRPr="001C20D7">
              <w:rPr>
                <w:noProof/>
                <w:webHidden/>
                <w:sz w:val="24"/>
                <w:szCs w:val="24"/>
              </w:rPr>
              <w:fldChar w:fldCharType="separate"/>
            </w:r>
            <w:r w:rsidR="00022068">
              <w:rPr>
                <w:noProof/>
                <w:webHidden/>
                <w:sz w:val="24"/>
                <w:szCs w:val="24"/>
              </w:rPr>
              <w:t>8</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80" w:history="1">
            <w:r w:rsidR="001C20D7" w:rsidRPr="001C20D7">
              <w:rPr>
                <w:rStyle w:val="Hypertextovodkaz"/>
                <w:noProof/>
                <w:sz w:val="24"/>
                <w:szCs w:val="24"/>
              </w:rPr>
              <w:t>1.1.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Inspirační zdroje úpravy dědického práva</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_Toc409631280 \h </w:instrText>
            </w:r>
            <w:r w:rsidRPr="001C20D7">
              <w:rPr>
                <w:noProof/>
                <w:webHidden/>
                <w:sz w:val="24"/>
                <w:szCs w:val="24"/>
              </w:rPr>
            </w:r>
            <w:r w:rsidRPr="001C20D7">
              <w:rPr>
                <w:noProof/>
                <w:webHidden/>
                <w:sz w:val="24"/>
                <w:szCs w:val="24"/>
              </w:rPr>
              <w:fldChar w:fldCharType="separate"/>
            </w:r>
            <w:r w:rsidR="00022068">
              <w:rPr>
                <w:noProof/>
                <w:webHidden/>
                <w:sz w:val="24"/>
                <w:szCs w:val="24"/>
              </w:rPr>
              <w:t>10</w:t>
            </w:r>
            <w:r w:rsidRPr="001C20D7">
              <w:rPr>
                <w:noProof/>
                <w:webHidden/>
                <w:sz w:val="24"/>
                <w:szCs w:val="24"/>
              </w:rPr>
              <w:fldChar w:fldCharType="end"/>
            </w:r>
          </w:hyperlink>
        </w:p>
        <w:p w:rsidR="001C20D7" w:rsidRPr="001C20D7" w:rsidRDefault="0080610C">
          <w:pPr>
            <w:pStyle w:val="Obsah1"/>
            <w:tabs>
              <w:tab w:val="left" w:pos="440"/>
              <w:tab w:val="right" w:leader="dot" w:pos="9061"/>
            </w:tabs>
            <w:rPr>
              <w:rFonts w:asciiTheme="minorHAnsi" w:eastAsiaTheme="minorEastAsia" w:hAnsiTheme="minorHAnsi" w:cstheme="minorBidi"/>
              <w:noProof/>
              <w:sz w:val="24"/>
              <w:szCs w:val="24"/>
              <w:lang w:eastAsia="cs-CZ"/>
            </w:rPr>
          </w:pPr>
          <w:hyperlink w:anchor="_Toc409631281" w:history="1">
            <w:r w:rsidR="001C20D7" w:rsidRPr="001C20D7">
              <w:rPr>
                <w:rStyle w:val="Hypertextovodkaz"/>
                <w:noProof/>
                <w:sz w:val="24"/>
                <w:szCs w:val="24"/>
              </w:rPr>
              <w:t>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Meziválečná rekodifikace</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_Toc409631281 \h </w:instrText>
            </w:r>
            <w:r w:rsidRPr="001C20D7">
              <w:rPr>
                <w:noProof/>
                <w:webHidden/>
                <w:sz w:val="24"/>
                <w:szCs w:val="24"/>
              </w:rPr>
            </w:r>
            <w:r w:rsidRPr="001C20D7">
              <w:rPr>
                <w:noProof/>
                <w:webHidden/>
                <w:sz w:val="24"/>
                <w:szCs w:val="24"/>
              </w:rPr>
              <w:fldChar w:fldCharType="separate"/>
            </w:r>
            <w:r w:rsidR="00022068">
              <w:rPr>
                <w:noProof/>
                <w:webHidden/>
                <w:sz w:val="24"/>
                <w:szCs w:val="24"/>
              </w:rPr>
              <w:t>13</w:t>
            </w:r>
            <w:r w:rsidRPr="001C20D7">
              <w:rPr>
                <w:noProof/>
                <w:webHidden/>
                <w:sz w:val="24"/>
                <w:szCs w:val="24"/>
              </w:rPr>
              <w:fldChar w:fldCharType="end"/>
            </w:r>
          </w:hyperlink>
        </w:p>
        <w:p w:rsidR="001C20D7" w:rsidRPr="001C20D7" w:rsidRDefault="0080610C">
          <w:pPr>
            <w:pStyle w:val="Obsah1"/>
            <w:tabs>
              <w:tab w:val="left" w:pos="440"/>
              <w:tab w:val="right" w:leader="dot" w:pos="9061"/>
            </w:tabs>
            <w:rPr>
              <w:rFonts w:asciiTheme="minorHAnsi" w:eastAsiaTheme="minorEastAsia" w:hAnsiTheme="minorHAnsi" w:cstheme="minorBidi"/>
              <w:noProof/>
              <w:sz w:val="24"/>
              <w:szCs w:val="24"/>
              <w:lang w:eastAsia="cs-CZ"/>
            </w:rPr>
          </w:pPr>
          <w:hyperlink w:anchor="_Toc409631282" w:history="1">
            <w:r w:rsidR="001C20D7" w:rsidRPr="001C20D7">
              <w:rPr>
                <w:rStyle w:val="Hypertextovodkaz"/>
                <w:noProof/>
                <w:sz w:val="24"/>
                <w:szCs w:val="24"/>
              </w:rPr>
              <w:t>3.</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Srovnání jednotlivých institutů</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_Toc409631282 \h </w:instrText>
            </w:r>
            <w:r w:rsidRPr="001C20D7">
              <w:rPr>
                <w:noProof/>
                <w:webHidden/>
                <w:sz w:val="24"/>
                <w:szCs w:val="24"/>
              </w:rPr>
            </w:r>
            <w:r w:rsidRPr="001C20D7">
              <w:rPr>
                <w:noProof/>
                <w:webHidden/>
                <w:sz w:val="24"/>
                <w:szCs w:val="24"/>
              </w:rPr>
              <w:fldChar w:fldCharType="separate"/>
            </w:r>
            <w:r w:rsidR="00022068">
              <w:rPr>
                <w:noProof/>
                <w:webHidden/>
                <w:sz w:val="24"/>
                <w:szCs w:val="24"/>
              </w:rPr>
              <w:t>15</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83" w:history="1">
            <w:r w:rsidR="001C20D7" w:rsidRPr="001C20D7">
              <w:rPr>
                <w:rStyle w:val="Hypertextovodkaz"/>
                <w:noProof/>
                <w:sz w:val="24"/>
                <w:szCs w:val="24"/>
              </w:rPr>
              <w:t>3.1.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Právo na pozůstalost</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_Toc409631283 \h </w:instrText>
            </w:r>
            <w:r w:rsidRPr="001C20D7">
              <w:rPr>
                <w:noProof/>
                <w:webHidden/>
                <w:sz w:val="24"/>
                <w:szCs w:val="24"/>
              </w:rPr>
            </w:r>
            <w:r w:rsidRPr="001C20D7">
              <w:rPr>
                <w:noProof/>
                <w:webHidden/>
                <w:sz w:val="24"/>
                <w:szCs w:val="24"/>
              </w:rPr>
              <w:fldChar w:fldCharType="separate"/>
            </w:r>
            <w:r w:rsidR="00022068">
              <w:rPr>
                <w:noProof/>
                <w:webHidden/>
                <w:sz w:val="24"/>
                <w:szCs w:val="24"/>
              </w:rPr>
              <w:t>15</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84" w:history="1">
            <w:r w:rsidR="001C20D7" w:rsidRPr="001C20D7">
              <w:rPr>
                <w:rStyle w:val="Hypertextovodkaz"/>
                <w:noProof/>
                <w:sz w:val="24"/>
                <w:szCs w:val="24"/>
              </w:rPr>
              <w:t>3.1.1.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Dědická nezpůsobilost</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_Toc409631284 \h </w:instrText>
            </w:r>
            <w:r w:rsidRPr="001C20D7">
              <w:rPr>
                <w:noProof/>
                <w:webHidden/>
                <w:sz w:val="24"/>
                <w:szCs w:val="24"/>
              </w:rPr>
            </w:r>
            <w:r w:rsidRPr="001C20D7">
              <w:rPr>
                <w:noProof/>
                <w:webHidden/>
                <w:sz w:val="24"/>
                <w:szCs w:val="24"/>
              </w:rPr>
              <w:fldChar w:fldCharType="separate"/>
            </w:r>
            <w:r w:rsidR="00022068">
              <w:rPr>
                <w:noProof/>
                <w:webHidden/>
                <w:sz w:val="24"/>
                <w:szCs w:val="24"/>
              </w:rPr>
              <w:t>16</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85" w:history="1">
            <w:r w:rsidR="001C20D7" w:rsidRPr="001C20D7">
              <w:rPr>
                <w:rStyle w:val="Hypertextovodkaz"/>
                <w:noProof/>
                <w:sz w:val="24"/>
                <w:szCs w:val="24"/>
              </w:rPr>
              <w:t>3.1.2.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Zřeknutí se dědictví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_Toc409631285 \h </w:instrText>
            </w:r>
            <w:r w:rsidRPr="001C20D7">
              <w:rPr>
                <w:noProof/>
                <w:webHidden/>
                <w:sz w:val="24"/>
                <w:szCs w:val="24"/>
              </w:rPr>
            </w:r>
            <w:r w:rsidRPr="001C20D7">
              <w:rPr>
                <w:noProof/>
                <w:webHidden/>
                <w:sz w:val="24"/>
                <w:szCs w:val="24"/>
              </w:rPr>
              <w:fldChar w:fldCharType="separate"/>
            </w:r>
            <w:r w:rsidR="00022068">
              <w:rPr>
                <w:noProof/>
                <w:webHidden/>
                <w:sz w:val="24"/>
                <w:szCs w:val="24"/>
              </w:rPr>
              <w:t>17</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86" w:history="1">
            <w:r w:rsidR="001C20D7" w:rsidRPr="001C20D7">
              <w:rPr>
                <w:rStyle w:val="Hypertextovodkaz"/>
                <w:noProof/>
                <w:sz w:val="24"/>
                <w:szCs w:val="24"/>
              </w:rPr>
              <w:t>3.2.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Posloupnost na základě posledního pořízení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_Toc409631286 \h </w:instrText>
            </w:r>
            <w:r w:rsidRPr="001C20D7">
              <w:rPr>
                <w:noProof/>
                <w:webHidden/>
                <w:sz w:val="24"/>
                <w:szCs w:val="24"/>
              </w:rPr>
            </w:r>
            <w:r w:rsidRPr="001C20D7">
              <w:rPr>
                <w:noProof/>
                <w:webHidden/>
                <w:sz w:val="24"/>
                <w:szCs w:val="24"/>
              </w:rPr>
              <w:fldChar w:fldCharType="separate"/>
            </w:r>
            <w:r w:rsidR="00022068">
              <w:rPr>
                <w:noProof/>
                <w:webHidden/>
                <w:sz w:val="24"/>
                <w:szCs w:val="24"/>
              </w:rPr>
              <w:t>18</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87" w:history="1">
            <w:r w:rsidR="001C20D7" w:rsidRPr="001C20D7">
              <w:rPr>
                <w:rStyle w:val="Hypertextovodkaz"/>
                <w:noProof/>
                <w:sz w:val="24"/>
                <w:szCs w:val="24"/>
              </w:rPr>
              <w:t>3.2.1.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Poslední pořízení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_Toc409631287 \h </w:instrText>
            </w:r>
            <w:r w:rsidRPr="001C20D7">
              <w:rPr>
                <w:noProof/>
                <w:webHidden/>
                <w:sz w:val="24"/>
                <w:szCs w:val="24"/>
              </w:rPr>
            </w:r>
            <w:r w:rsidRPr="001C20D7">
              <w:rPr>
                <w:noProof/>
                <w:webHidden/>
                <w:sz w:val="24"/>
                <w:szCs w:val="24"/>
              </w:rPr>
              <w:fldChar w:fldCharType="separate"/>
            </w:r>
            <w:r w:rsidR="00022068">
              <w:rPr>
                <w:noProof/>
                <w:webHidden/>
                <w:sz w:val="24"/>
                <w:szCs w:val="24"/>
              </w:rPr>
              <w:t>18</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88" w:history="1">
            <w:r w:rsidR="001C20D7" w:rsidRPr="001C20D7">
              <w:rPr>
                <w:rStyle w:val="Hypertextovodkaz"/>
                <w:noProof/>
                <w:sz w:val="24"/>
                <w:szCs w:val="24"/>
              </w:rPr>
              <w:t>3.2.2.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Dědická smlouva</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_Toc409631288 \h </w:instrText>
            </w:r>
            <w:r w:rsidRPr="001C20D7">
              <w:rPr>
                <w:noProof/>
                <w:webHidden/>
                <w:sz w:val="24"/>
                <w:szCs w:val="24"/>
              </w:rPr>
            </w:r>
            <w:r w:rsidRPr="001C20D7">
              <w:rPr>
                <w:noProof/>
                <w:webHidden/>
                <w:sz w:val="24"/>
                <w:szCs w:val="24"/>
              </w:rPr>
              <w:fldChar w:fldCharType="separate"/>
            </w:r>
            <w:r w:rsidR="00022068">
              <w:rPr>
                <w:noProof/>
                <w:webHidden/>
                <w:sz w:val="24"/>
                <w:szCs w:val="24"/>
              </w:rPr>
              <w:t>21</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89" w:history="1">
            <w:r w:rsidR="001C20D7" w:rsidRPr="001C20D7">
              <w:rPr>
                <w:rStyle w:val="Hypertextovodkaz"/>
                <w:noProof/>
                <w:sz w:val="24"/>
                <w:szCs w:val="24"/>
              </w:rPr>
              <w:t>3.3.</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Náhradnictví a svěřenské nástupnictví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_Toc409631289 \h </w:instrText>
            </w:r>
            <w:r w:rsidRPr="001C20D7">
              <w:rPr>
                <w:noProof/>
                <w:webHidden/>
                <w:sz w:val="24"/>
                <w:szCs w:val="24"/>
              </w:rPr>
            </w:r>
            <w:r w:rsidRPr="001C20D7">
              <w:rPr>
                <w:noProof/>
                <w:webHidden/>
                <w:sz w:val="24"/>
                <w:szCs w:val="24"/>
              </w:rPr>
              <w:fldChar w:fldCharType="separate"/>
            </w:r>
            <w:r w:rsidR="00022068">
              <w:rPr>
                <w:noProof/>
                <w:webHidden/>
                <w:sz w:val="24"/>
                <w:szCs w:val="24"/>
              </w:rPr>
              <w:t>22</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90" w:history="1">
            <w:r w:rsidR="001C20D7" w:rsidRPr="001C20D7">
              <w:rPr>
                <w:rStyle w:val="Hypertextovodkaz"/>
                <w:noProof/>
                <w:sz w:val="24"/>
                <w:szCs w:val="24"/>
              </w:rPr>
              <w:t>3.4.</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Odkazy</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_Toc409631290 \h </w:instrText>
            </w:r>
            <w:r w:rsidRPr="001C20D7">
              <w:rPr>
                <w:noProof/>
                <w:webHidden/>
                <w:sz w:val="24"/>
                <w:szCs w:val="24"/>
              </w:rPr>
            </w:r>
            <w:r w:rsidRPr="001C20D7">
              <w:rPr>
                <w:noProof/>
                <w:webHidden/>
                <w:sz w:val="24"/>
                <w:szCs w:val="24"/>
              </w:rPr>
              <w:fldChar w:fldCharType="separate"/>
            </w:r>
            <w:r w:rsidR="00022068">
              <w:rPr>
                <w:noProof/>
                <w:webHidden/>
                <w:sz w:val="24"/>
                <w:szCs w:val="24"/>
              </w:rPr>
              <w:t>23</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91" w:history="1">
            <w:r w:rsidR="001C20D7" w:rsidRPr="001C20D7">
              <w:rPr>
                <w:rStyle w:val="Hypertextovodkaz"/>
                <w:noProof/>
                <w:sz w:val="24"/>
                <w:szCs w:val="24"/>
              </w:rPr>
              <w:t>3.4.1.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Druhy odkazů</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_Toc409631291 \h </w:instrText>
            </w:r>
            <w:r w:rsidRPr="001C20D7">
              <w:rPr>
                <w:noProof/>
                <w:webHidden/>
                <w:sz w:val="24"/>
                <w:szCs w:val="24"/>
              </w:rPr>
            </w:r>
            <w:r w:rsidRPr="001C20D7">
              <w:rPr>
                <w:noProof/>
                <w:webHidden/>
                <w:sz w:val="24"/>
                <w:szCs w:val="24"/>
              </w:rPr>
              <w:fldChar w:fldCharType="separate"/>
            </w:r>
            <w:r w:rsidR="00022068">
              <w:rPr>
                <w:noProof/>
                <w:webHidden/>
                <w:sz w:val="24"/>
                <w:szCs w:val="24"/>
              </w:rPr>
              <w:t>24</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92" w:history="1">
            <w:r w:rsidR="001C20D7" w:rsidRPr="001C20D7">
              <w:rPr>
                <w:rStyle w:val="Hypertextovodkaz"/>
                <w:noProof/>
                <w:sz w:val="24"/>
                <w:szCs w:val="24"/>
              </w:rPr>
              <w:t>3.4.2.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Nabytí odkazu</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_Toc409631292 \h </w:instrText>
            </w:r>
            <w:r w:rsidRPr="001C20D7">
              <w:rPr>
                <w:noProof/>
                <w:webHidden/>
                <w:sz w:val="24"/>
                <w:szCs w:val="24"/>
              </w:rPr>
            </w:r>
            <w:r w:rsidRPr="001C20D7">
              <w:rPr>
                <w:noProof/>
                <w:webHidden/>
                <w:sz w:val="24"/>
                <w:szCs w:val="24"/>
              </w:rPr>
              <w:fldChar w:fldCharType="separate"/>
            </w:r>
            <w:r w:rsidR="00022068">
              <w:rPr>
                <w:noProof/>
                <w:webHidden/>
                <w:sz w:val="24"/>
                <w:szCs w:val="24"/>
              </w:rPr>
              <w:t>25</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93" w:history="1">
            <w:r w:rsidR="001C20D7" w:rsidRPr="001C20D7">
              <w:rPr>
                <w:rStyle w:val="Hypertextovodkaz"/>
                <w:noProof/>
                <w:sz w:val="24"/>
                <w:szCs w:val="24"/>
              </w:rPr>
              <w:t>3.5.</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Vedlejší ustanovení, změna a zrušení posledního pořízení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_Toc409631293 \h </w:instrText>
            </w:r>
            <w:r w:rsidRPr="001C20D7">
              <w:rPr>
                <w:noProof/>
                <w:webHidden/>
                <w:sz w:val="24"/>
                <w:szCs w:val="24"/>
              </w:rPr>
            </w:r>
            <w:r w:rsidRPr="001C20D7">
              <w:rPr>
                <w:noProof/>
                <w:webHidden/>
                <w:sz w:val="24"/>
                <w:szCs w:val="24"/>
              </w:rPr>
              <w:fldChar w:fldCharType="separate"/>
            </w:r>
            <w:r w:rsidR="00022068">
              <w:rPr>
                <w:noProof/>
                <w:webHidden/>
                <w:sz w:val="24"/>
                <w:szCs w:val="24"/>
              </w:rPr>
              <w:t>26</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94" w:history="1">
            <w:r w:rsidR="001C20D7" w:rsidRPr="001C20D7">
              <w:rPr>
                <w:rStyle w:val="Hypertextovodkaz"/>
                <w:noProof/>
                <w:sz w:val="24"/>
                <w:szCs w:val="24"/>
              </w:rPr>
              <w:t>3.5.1.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Vedlejší ustanovení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_Toc409631294 \h </w:instrText>
            </w:r>
            <w:r w:rsidRPr="001C20D7">
              <w:rPr>
                <w:noProof/>
                <w:webHidden/>
                <w:sz w:val="24"/>
                <w:szCs w:val="24"/>
              </w:rPr>
            </w:r>
            <w:r w:rsidRPr="001C20D7">
              <w:rPr>
                <w:noProof/>
                <w:webHidden/>
                <w:sz w:val="24"/>
                <w:szCs w:val="24"/>
              </w:rPr>
              <w:fldChar w:fldCharType="separate"/>
            </w:r>
            <w:r w:rsidR="00022068">
              <w:rPr>
                <w:noProof/>
                <w:webHidden/>
                <w:sz w:val="24"/>
                <w:szCs w:val="24"/>
              </w:rPr>
              <w:t>26</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95" w:history="1">
            <w:r w:rsidR="001C20D7" w:rsidRPr="001C20D7">
              <w:rPr>
                <w:rStyle w:val="Hypertextovodkaz"/>
                <w:noProof/>
                <w:sz w:val="24"/>
                <w:szCs w:val="24"/>
              </w:rPr>
              <w:t>3.5.2.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Změna a zrušení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_Toc409631295 \h </w:instrText>
            </w:r>
            <w:r w:rsidRPr="001C20D7">
              <w:rPr>
                <w:noProof/>
                <w:webHidden/>
                <w:sz w:val="24"/>
                <w:szCs w:val="24"/>
              </w:rPr>
            </w:r>
            <w:r w:rsidRPr="001C20D7">
              <w:rPr>
                <w:noProof/>
                <w:webHidden/>
                <w:sz w:val="24"/>
                <w:szCs w:val="24"/>
              </w:rPr>
              <w:fldChar w:fldCharType="separate"/>
            </w:r>
            <w:r w:rsidR="00022068">
              <w:rPr>
                <w:noProof/>
                <w:webHidden/>
                <w:sz w:val="24"/>
                <w:szCs w:val="24"/>
              </w:rPr>
              <w:t>27</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96" w:history="1">
            <w:r w:rsidR="001C20D7" w:rsidRPr="001C20D7">
              <w:rPr>
                <w:rStyle w:val="Hypertextovodkaz"/>
                <w:noProof/>
                <w:sz w:val="24"/>
                <w:szCs w:val="24"/>
              </w:rPr>
              <w:t>3.6.</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Posloupnost na základě zákona</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_Toc409631296 \h </w:instrText>
            </w:r>
            <w:r w:rsidRPr="001C20D7">
              <w:rPr>
                <w:noProof/>
                <w:webHidden/>
                <w:sz w:val="24"/>
                <w:szCs w:val="24"/>
              </w:rPr>
            </w:r>
            <w:r w:rsidRPr="001C20D7">
              <w:rPr>
                <w:noProof/>
                <w:webHidden/>
                <w:sz w:val="24"/>
                <w:szCs w:val="24"/>
              </w:rPr>
              <w:fldChar w:fldCharType="separate"/>
            </w:r>
            <w:r w:rsidR="00022068">
              <w:rPr>
                <w:noProof/>
                <w:webHidden/>
                <w:sz w:val="24"/>
                <w:szCs w:val="24"/>
              </w:rPr>
              <w:t>28</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297" w:history="1">
            <w:r w:rsidR="001C20D7" w:rsidRPr="001C20D7">
              <w:rPr>
                <w:rStyle w:val="Hypertextovodkaz"/>
                <w:noProof/>
                <w:sz w:val="24"/>
                <w:szCs w:val="24"/>
              </w:rPr>
              <w:t>3.7.</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Povinný díl</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_Toc409631297 \h </w:instrText>
            </w:r>
            <w:r w:rsidRPr="001C20D7">
              <w:rPr>
                <w:noProof/>
                <w:webHidden/>
                <w:sz w:val="24"/>
                <w:szCs w:val="24"/>
              </w:rPr>
            </w:r>
            <w:r w:rsidRPr="001C20D7">
              <w:rPr>
                <w:noProof/>
                <w:webHidden/>
                <w:sz w:val="24"/>
                <w:szCs w:val="24"/>
              </w:rPr>
              <w:fldChar w:fldCharType="separate"/>
            </w:r>
            <w:r w:rsidR="00022068">
              <w:rPr>
                <w:noProof/>
                <w:webHidden/>
                <w:sz w:val="24"/>
                <w:szCs w:val="24"/>
              </w:rPr>
              <w:t>31</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98" w:history="1">
            <w:r w:rsidR="001C20D7" w:rsidRPr="001C20D7">
              <w:rPr>
                <w:rStyle w:val="Hypertextovodkaz"/>
                <w:noProof/>
                <w:sz w:val="24"/>
                <w:szCs w:val="24"/>
              </w:rPr>
              <w:t>3.7.1.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Nepominutelný dědic</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_Toc409631298 \h </w:instrText>
            </w:r>
            <w:r w:rsidRPr="001C20D7">
              <w:rPr>
                <w:noProof/>
                <w:webHidden/>
                <w:sz w:val="24"/>
                <w:szCs w:val="24"/>
              </w:rPr>
            </w:r>
            <w:r w:rsidRPr="001C20D7">
              <w:rPr>
                <w:noProof/>
                <w:webHidden/>
                <w:sz w:val="24"/>
                <w:szCs w:val="24"/>
              </w:rPr>
              <w:fldChar w:fldCharType="separate"/>
            </w:r>
            <w:r w:rsidR="00022068">
              <w:rPr>
                <w:noProof/>
                <w:webHidden/>
                <w:sz w:val="24"/>
                <w:szCs w:val="24"/>
              </w:rPr>
              <w:t>31</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299" w:history="1">
            <w:r w:rsidR="001C20D7" w:rsidRPr="001C20D7">
              <w:rPr>
                <w:rStyle w:val="Hypertextovodkaz"/>
                <w:noProof/>
                <w:sz w:val="24"/>
                <w:szCs w:val="24"/>
              </w:rPr>
              <w:t>3.7.2.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Povinný díl a jeho výpočet</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_Toc409631299 \h </w:instrText>
            </w:r>
            <w:r w:rsidRPr="001C20D7">
              <w:rPr>
                <w:noProof/>
                <w:webHidden/>
                <w:sz w:val="24"/>
                <w:szCs w:val="24"/>
              </w:rPr>
            </w:r>
            <w:r w:rsidRPr="001C20D7">
              <w:rPr>
                <w:noProof/>
                <w:webHidden/>
                <w:sz w:val="24"/>
                <w:szCs w:val="24"/>
              </w:rPr>
              <w:fldChar w:fldCharType="separate"/>
            </w:r>
            <w:r w:rsidR="00022068">
              <w:rPr>
                <w:noProof/>
                <w:webHidden/>
                <w:sz w:val="24"/>
                <w:szCs w:val="24"/>
              </w:rPr>
              <w:t>32</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0" w:history="1">
            <w:r w:rsidR="001C20D7" w:rsidRPr="001C20D7">
              <w:rPr>
                <w:rStyle w:val="Hypertextovodkaz"/>
                <w:noProof/>
                <w:sz w:val="24"/>
                <w:szCs w:val="24"/>
              </w:rPr>
              <w:t>3.7.3.</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Započtení na povinný díl</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_Toc409631300 \h </w:instrText>
            </w:r>
            <w:r w:rsidRPr="001C20D7">
              <w:rPr>
                <w:noProof/>
                <w:webHidden/>
                <w:sz w:val="24"/>
                <w:szCs w:val="24"/>
              </w:rPr>
            </w:r>
            <w:r w:rsidRPr="001C20D7">
              <w:rPr>
                <w:noProof/>
                <w:webHidden/>
                <w:sz w:val="24"/>
                <w:szCs w:val="24"/>
              </w:rPr>
              <w:fldChar w:fldCharType="separate"/>
            </w:r>
            <w:r w:rsidR="00022068">
              <w:rPr>
                <w:noProof/>
                <w:webHidden/>
                <w:sz w:val="24"/>
                <w:szCs w:val="24"/>
              </w:rPr>
              <w:t>32</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1" w:history="1">
            <w:r w:rsidR="001C20D7" w:rsidRPr="001C20D7">
              <w:rPr>
                <w:rStyle w:val="Hypertextovodkaz"/>
                <w:noProof/>
                <w:sz w:val="24"/>
                <w:szCs w:val="24"/>
              </w:rPr>
              <w:t>3.7.4.</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Vydědění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_Toc409631301 \h </w:instrText>
            </w:r>
            <w:r w:rsidRPr="001C20D7">
              <w:rPr>
                <w:noProof/>
                <w:webHidden/>
                <w:sz w:val="24"/>
                <w:szCs w:val="24"/>
              </w:rPr>
            </w:r>
            <w:r w:rsidRPr="001C20D7">
              <w:rPr>
                <w:noProof/>
                <w:webHidden/>
                <w:sz w:val="24"/>
                <w:szCs w:val="24"/>
              </w:rPr>
              <w:fldChar w:fldCharType="separate"/>
            </w:r>
            <w:r w:rsidR="00022068">
              <w:rPr>
                <w:noProof/>
                <w:webHidden/>
                <w:sz w:val="24"/>
                <w:szCs w:val="24"/>
              </w:rPr>
              <w:t>33</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02" w:history="1">
            <w:r w:rsidR="001C20D7" w:rsidRPr="001C20D7">
              <w:rPr>
                <w:rStyle w:val="Hypertextovodkaz"/>
                <w:noProof/>
                <w:sz w:val="24"/>
                <w:szCs w:val="24"/>
              </w:rPr>
              <w:t>3.8.</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Započtení na dědický podíl</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_Toc409631302 \h </w:instrText>
            </w:r>
            <w:r w:rsidRPr="001C20D7">
              <w:rPr>
                <w:noProof/>
                <w:webHidden/>
                <w:sz w:val="24"/>
                <w:szCs w:val="24"/>
              </w:rPr>
            </w:r>
            <w:r w:rsidRPr="001C20D7">
              <w:rPr>
                <w:noProof/>
                <w:webHidden/>
                <w:sz w:val="24"/>
                <w:szCs w:val="24"/>
              </w:rPr>
              <w:fldChar w:fldCharType="separate"/>
            </w:r>
            <w:r w:rsidR="00022068">
              <w:rPr>
                <w:noProof/>
                <w:webHidden/>
                <w:sz w:val="24"/>
                <w:szCs w:val="24"/>
              </w:rPr>
              <w:t>34</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03" w:history="1">
            <w:r w:rsidR="001C20D7" w:rsidRPr="001C20D7">
              <w:rPr>
                <w:rStyle w:val="Hypertextovodkaz"/>
                <w:noProof/>
                <w:sz w:val="24"/>
                <w:szCs w:val="24"/>
              </w:rPr>
              <w:t>3.9.</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Právo na zaopatření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_Toc409631303 \h </w:instrText>
            </w:r>
            <w:r w:rsidRPr="001C20D7">
              <w:rPr>
                <w:noProof/>
                <w:webHidden/>
                <w:sz w:val="24"/>
                <w:szCs w:val="24"/>
              </w:rPr>
            </w:r>
            <w:r w:rsidRPr="001C20D7">
              <w:rPr>
                <w:noProof/>
                <w:webHidden/>
                <w:sz w:val="24"/>
                <w:szCs w:val="24"/>
              </w:rPr>
              <w:fldChar w:fldCharType="separate"/>
            </w:r>
            <w:r w:rsidR="00022068">
              <w:rPr>
                <w:noProof/>
                <w:webHidden/>
                <w:sz w:val="24"/>
                <w:szCs w:val="24"/>
              </w:rPr>
              <w:t>34</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4" w:history="1">
            <w:r w:rsidR="001C20D7" w:rsidRPr="001C20D7">
              <w:rPr>
                <w:rStyle w:val="Hypertextovodkaz"/>
                <w:noProof/>
                <w:sz w:val="24"/>
                <w:szCs w:val="24"/>
              </w:rPr>
              <w:t>3.9.1.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Právo pozůstalého manžela na zaopatření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_Toc409631304 \h </w:instrText>
            </w:r>
            <w:r w:rsidRPr="001C20D7">
              <w:rPr>
                <w:noProof/>
                <w:webHidden/>
                <w:sz w:val="24"/>
                <w:szCs w:val="24"/>
              </w:rPr>
            </w:r>
            <w:r w:rsidRPr="001C20D7">
              <w:rPr>
                <w:noProof/>
                <w:webHidden/>
                <w:sz w:val="24"/>
                <w:szCs w:val="24"/>
              </w:rPr>
              <w:fldChar w:fldCharType="separate"/>
            </w:r>
            <w:r w:rsidR="00022068">
              <w:rPr>
                <w:noProof/>
                <w:webHidden/>
                <w:sz w:val="24"/>
                <w:szCs w:val="24"/>
              </w:rPr>
              <w:t>35</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05" w:history="1">
            <w:r w:rsidR="001C20D7" w:rsidRPr="001C20D7">
              <w:rPr>
                <w:rStyle w:val="Hypertextovodkaz"/>
                <w:noProof/>
                <w:sz w:val="24"/>
                <w:szCs w:val="24"/>
              </w:rPr>
              <w:t>3.10.</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Přechod pozůstalosti na dědice</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_Toc409631305 \h </w:instrText>
            </w:r>
            <w:r w:rsidRPr="001C20D7">
              <w:rPr>
                <w:noProof/>
                <w:webHidden/>
                <w:sz w:val="24"/>
                <w:szCs w:val="24"/>
              </w:rPr>
            </w:r>
            <w:r w:rsidRPr="001C20D7">
              <w:rPr>
                <w:noProof/>
                <w:webHidden/>
                <w:sz w:val="24"/>
                <w:szCs w:val="24"/>
              </w:rPr>
              <w:fldChar w:fldCharType="separate"/>
            </w:r>
            <w:r w:rsidR="00022068">
              <w:rPr>
                <w:noProof/>
                <w:webHidden/>
                <w:sz w:val="24"/>
                <w:szCs w:val="24"/>
              </w:rPr>
              <w:t>36</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6" w:history="1">
            <w:r w:rsidR="001C20D7" w:rsidRPr="001C20D7">
              <w:rPr>
                <w:rStyle w:val="Hypertextovodkaz"/>
                <w:noProof/>
                <w:sz w:val="24"/>
                <w:szCs w:val="24"/>
              </w:rPr>
              <w:t>3.10.1.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Soupis pozůstalosti</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_Toc409631306 \h </w:instrText>
            </w:r>
            <w:r w:rsidRPr="001C20D7">
              <w:rPr>
                <w:noProof/>
                <w:webHidden/>
                <w:sz w:val="24"/>
                <w:szCs w:val="24"/>
              </w:rPr>
            </w:r>
            <w:r w:rsidRPr="001C20D7">
              <w:rPr>
                <w:noProof/>
                <w:webHidden/>
                <w:sz w:val="24"/>
                <w:szCs w:val="24"/>
              </w:rPr>
              <w:fldChar w:fldCharType="separate"/>
            </w:r>
            <w:r w:rsidR="00022068">
              <w:rPr>
                <w:noProof/>
                <w:webHidden/>
                <w:sz w:val="24"/>
                <w:szCs w:val="24"/>
              </w:rPr>
              <w:t>36</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7" w:history="1">
            <w:r w:rsidR="001C20D7" w:rsidRPr="001C20D7">
              <w:rPr>
                <w:rStyle w:val="Hypertextovodkaz"/>
                <w:noProof/>
                <w:sz w:val="24"/>
                <w:szCs w:val="24"/>
              </w:rPr>
              <w:t>3.10.2.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Správa pozůstalosti</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_Toc409631307 \h </w:instrText>
            </w:r>
            <w:r w:rsidRPr="001C20D7">
              <w:rPr>
                <w:noProof/>
                <w:webHidden/>
                <w:sz w:val="24"/>
                <w:szCs w:val="24"/>
              </w:rPr>
            </w:r>
            <w:r w:rsidRPr="001C20D7">
              <w:rPr>
                <w:noProof/>
                <w:webHidden/>
                <w:sz w:val="24"/>
                <w:szCs w:val="24"/>
              </w:rPr>
              <w:fldChar w:fldCharType="separate"/>
            </w:r>
            <w:r w:rsidR="00022068">
              <w:rPr>
                <w:noProof/>
                <w:webHidden/>
                <w:sz w:val="24"/>
                <w:szCs w:val="24"/>
              </w:rPr>
              <w:t>37</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8" w:history="1">
            <w:r w:rsidR="001C20D7" w:rsidRPr="001C20D7">
              <w:rPr>
                <w:rStyle w:val="Hypertextovodkaz"/>
                <w:noProof/>
                <w:sz w:val="24"/>
                <w:szCs w:val="24"/>
              </w:rPr>
              <w:t>3.10.3.</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Úschova pozůstalosti</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_Toc409631308 \h </w:instrText>
            </w:r>
            <w:r w:rsidRPr="001C20D7">
              <w:rPr>
                <w:noProof/>
                <w:webHidden/>
                <w:sz w:val="24"/>
                <w:szCs w:val="24"/>
              </w:rPr>
            </w:r>
            <w:r w:rsidRPr="001C20D7">
              <w:rPr>
                <w:noProof/>
                <w:webHidden/>
                <w:sz w:val="24"/>
                <w:szCs w:val="24"/>
              </w:rPr>
              <w:fldChar w:fldCharType="separate"/>
            </w:r>
            <w:r w:rsidR="00022068">
              <w:rPr>
                <w:noProof/>
                <w:webHidden/>
                <w:sz w:val="24"/>
                <w:szCs w:val="24"/>
              </w:rPr>
              <w:t>37</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09" w:history="1">
            <w:r w:rsidR="001C20D7" w:rsidRPr="001C20D7">
              <w:rPr>
                <w:rStyle w:val="Hypertextovodkaz"/>
                <w:noProof/>
                <w:sz w:val="24"/>
                <w:szCs w:val="24"/>
              </w:rPr>
              <w:t>3.10.4.</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Potvrzení dědictví a rozdělení pozůstalosti</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_Toc409631309 \h </w:instrText>
            </w:r>
            <w:r w:rsidRPr="001C20D7">
              <w:rPr>
                <w:noProof/>
                <w:webHidden/>
                <w:sz w:val="24"/>
                <w:szCs w:val="24"/>
              </w:rPr>
            </w:r>
            <w:r w:rsidRPr="001C20D7">
              <w:rPr>
                <w:noProof/>
                <w:webHidden/>
                <w:sz w:val="24"/>
                <w:szCs w:val="24"/>
              </w:rPr>
              <w:fldChar w:fldCharType="separate"/>
            </w:r>
            <w:r w:rsidR="00022068">
              <w:rPr>
                <w:noProof/>
                <w:webHidden/>
                <w:sz w:val="24"/>
                <w:szCs w:val="24"/>
              </w:rPr>
              <w:t>38</w:t>
            </w:r>
            <w:r w:rsidRPr="001C20D7">
              <w:rPr>
                <w:noProof/>
                <w:webHidden/>
                <w:sz w:val="24"/>
                <w:szCs w:val="24"/>
              </w:rPr>
              <w:fldChar w:fldCharType="end"/>
            </w:r>
          </w:hyperlink>
        </w:p>
        <w:p w:rsidR="001C20D7" w:rsidRPr="001C20D7" w:rsidRDefault="0080610C">
          <w:pPr>
            <w:pStyle w:val="Obsah3"/>
            <w:tabs>
              <w:tab w:val="left" w:pos="1320"/>
              <w:tab w:val="right" w:leader="dot" w:pos="9061"/>
            </w:tabs>
            <w:rPr>
              <w:rFonts w:asciiTheme="minorHAnsi" w:eastAsiaTheme="minorEastAsia" w:hAnsiTheme="minorHAnsi" w:cstheme="minorBidi"/>
              <w:noProof/>
              <w:sz w:val="24"/>
              <w:szCs w:val="24"/>
              <w:lang w:eastAsia="cs-CZ"/>
            </w:rPr>
          </w:pPr>
          <w:hyperlink w:anchor="_Toc409631310" w:history="1">
            <w:r w:rsidR="001C20D7" w:rsidRPr="001C20D7">
              <w:rPr>
                <w:rStyle w:val="Hypertextovodkaz"/>
                <w:noProof/>
                <w:sz w:val="24"/>
                <w:szCs w:val="24"/>
              </w:rPr>
              <w:t>3.10.5.</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Dluhy postihující dědice</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_Toc409631310 \h </w:instrText>
            </w:r>
            <w:r w:rsidRPr="001C20D7">
              <w:rPr>
                <w:noProof/>
                <w:webHidden/>
                <w:sz w:val="24"/>
                <w:szCs w:val="24"/>
              </w:rPr>
            </w:r>
            <w:r w:rsidRPr="001C20D7">
              <w:rPr>
                <w:noProof/>
                <w:webHidden/>
                <w:sz w:val="24"/>
                <w:szCs w:val="24"/>
              </w:rPr>
              <w:fldChar w:fldCharType="separate"/>
            </w:r>
            <w:r w:rsidR="00022068">
              <w:rPr>
                <w:noProof/>
                <w:webHidden/>
                <w:sz w:val="24"/>
                <w:szCs w:val="24"/>
              </w:rPr>
              <w:t>38</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1" w:history="1">
            <w:r w:rsidR="001C20D7" w:rsidRPr="001C20D7">
              <w:rPr>
                <w:rStyle w:val="Hypertextovodkaz"/>
                <w:noProof/>
                <w:sz w:val="24"/>
                <w:szCs w:val="24"/>
              </w:rPr>
              <w:t>3.11.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Zcizení dědictví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_Toc409631311 \h </w:instrText>
            </w:r>
            <w:r w:rsidRPr="001C20D7">
              <w:rPr>
                <w:noProof/>
                <w:webHidden/>
                <w:sz w:val="24"/>
                <w:szCs w:val="24"/>
              </w:rPr>
            </w:r>
            <w:r w:rsidRPr="001C20D7">
              <w:rPr>
                <w:noProof/>
                <w:webHidden/>
                <w:sz w:val="24"/>
                <w:szCs w:val="24"/>
              </w:rPr>
              <w:fldChar w:fldCharType="separate"/>
            </w:r>
            <w:r w:rsidR="00022068">
              <w:rPr>
                <w:noProof/>
                <w:webHidden/>
                <w:sz w:val="24"/>
                <w:szCs w:val="24"/>
              </w:rPr>
              <w:t>39</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2" w:history="1">
            <w:r w:rsidR="001C20D7" w:rsidRPr="001C20D7">
              <w:rPr>
                <w:rStyle w:val="Hypertextovodkaz"/>
                <w:noProof/>
                <w:sz w:val="24"/>
                <w:szCs w:val="24"/>
              </w:rPr>
              <w:t>3.12.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Praktické příklady srovnávání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_Toc409631312 \h </w:instrText>
            </w:r>
            <w:r w:rsidRPr="001C20D7">
              <w:rPr>
                <w:noProof/>
                <w:webHidden/>
                <w:sz w:val="24"/>
                <w:szCs w:val="24"/>
              </w:rPr>
            </w:r>
            <w:r w:rsidRPr="001C20D7">
              <w:rPr>
                <w:noProof/>
                <w:webHidden/>
                <w:sz w:val="24"/>
                <w:szCs w:val="24"/>
              </w:rPr>
              <w:fldChar w:fldCharType="separate"/>
            </w:r>
            <w:r w:rsidR="00022068">
              <w:rPr>
                <w:noProof/>
                <w:webHidden/>
                <w:sz w:val="24"/>
                <w:szCs w:val="24"/>
              </w:rPr>
              <w:t>40</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3" w:history="1">
            <w:r w:rsidR="001C20D7" w:rsidRPr="001C20D7">
              <w:rPr>
                <w:rStyle w:val="Hypertextovodkaz"/>
                <w:noProof/>
                <w:sz w:val="24"/>
                <w:szCs w:val="24"/>
              </w:rPr>
              <w:t>3.13.</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Shrnutí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_Toc409631313 \h </w:instrText>
            </w:r>
            <w:r w:rsidRPr="001C20D7">
              <w:rPr>
                <w:noProof/>
                <w:webHidden/>
                <w:sz w:val="24"/>
                <w:szCs w:val="24"/>
              </w:rPr>
            </w:r>
            <w:r w:rsidRPr="001C20D7">
              <w:rPr>
                <w:noProof/>
                <w:webHidden/>
                <w:sz w:val="24"/>
                <w:szCs w:val="24"/>
              </w:rPr>
              <w:fldChar w:fldCharType="separate"/>
            </w:r>
            <w:r w:rsidR="00022068">
              <w:rPr>
                <w:noProof/>
                <w:webHidden/>
                <w:sz w:val="24"/>
                <w:szCs w:val="24"/>
              </w:rPr>
              <w:t>43</w:t>
            </w:r>
            <w:r w:rsidRPr="001C20D7">
              <w:rPr>
                <w:noProof/>
                <w:webHidden/>
                <w:sz w:val="24"/>
                <w:szCs w:val="24"/>
              </w:rPr>
              <w:fldChar w:fldCharType="end"/>
            </w:r>
          </w:hyperlink>
        </w:p>
        <w:p w:rsidR="001C20D7" w:rsidRPr="001C20D7" w:rsidRDefault="0080610C">
          <w:pPr>
            <w:pStyle w:val="Obsah1"/>
            <w:tabs>
              <w:tab w:val="left" w:pos="440"/>
              <w:tab w:val="right" w:leader="dot" w:pos="9061"/>
            </w:tabs>
            <w:rPr>
              <w:rFonts w:asciiTheme="minorHAnsi" w:eastAsiaTheme="minorEastAsia" w:hAnsiTheme="minorHAnsi" w:cstheme="minorBidi"/>
              <w:noProof/>
              <w:sz w:val="24"/>
              <w:szCs w:val="24"/>
              <w:lang w:eastAsia="cs-CZ"/>
            </w:rPr>
          </w:pPr>
          <w:hyperlink w:anchor="_Toc409631314" w:history="1">
            <w:r w:rsidR="001C20D7" w:rsidRPr="001C20D7">
              <w:rPr>
                <w:rStyle w:val="Hypertextovodkaz"/>
                <w:noProof/>
                <w:sz w:val="24"/>
                <w:szCs w:val="24"/>
              </w:rPr>
              <w:t>4.</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Exkurz do právní úpravy povinného dílu</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_Toc409631314 \h </w:instrText>
            </w:r>
            <w:r w:rsidRPr="001C20D7">
              <w:rPr>
                <w:noProof/>
                <w:webHidden/>
                <w:sz w:val="24"/>
                <w:szCs w:val="24"/>
              </w:rPr>
            </w:r>
            <w:r w:rsidRPr="001C20D7">
              <w:rPr>
                <w:noProof/>
                <w:webHidden/>
                <w:sz w:val="24"/>
                <w:szCs w:val="24"/>
              </w:rPr>
              <w:fldChar w:fldCharType="separate"/>
            </w:r>
            <w:r w:rsidR="00022068">
              <w:rPr>
                <w:noProof/>
                <w:webHidden/>
                <w:sz w:val="24"/>
                <w:szCs w:val="24"/>
              </w:rPr>
              <w:t>45</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5" w:history="1">
            <w:r w:rsidR="001C20D7" w:rsidRPr="001C20D7">
              <w:rPr>
                <w:rStyle w:val="Hypertextovodkaz"/>
                <w:noProof/>
                <w:sz w:val="24"/>
                <w:szCs w:val="24"/>
              </w:rPr>
              <w:t>4.1.</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Jak má být povinný díl zůstaven</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_Toc409631315 \h </w:instrText>
            </w:r>
            <w:r w:rsidRPr="001C20D7">
              <w:rPr>
                <w:noProof/>
                <w:webHidden/>
                <w:sz w:val="24"/>
                <w:szCs w:val="24"/>
              </w:rPr>
            </w:r>
            <w:r w:rsidRPr="001C20D7">
              <w:rPr>
                <w:noProof/>
                <w:webHidden/>
                <w:sz w:val="24"/>
                <w:szCs w:val="24"/>
              </w:rPr>
              <w:fldChar w:fldCharType="separate"/>
            </w:r>
            <w:r w:rsidR="00022068">
              <w:rPr>
                <w:noProof/>
                <w:webHidden/>
                <w:sz w:val="24"/>
                <w:szCs w:val="24"/>
              </w:rPr>
              <w:t>45</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6" w:history="1">
            <w:r w:rsidR="001C20D7" w:rsidRPr="001C20D7">
              <w:rPr>
                <w:rStyle w:val="Hypertextovodkaz"/>
                <w:noProof/>
                <w:sz w:val="24"/>
                <w:szCs w:val="24"/>
              </w:rPr>
              <w:t>4.2.</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Výpočet povinného dílu</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_Toc409631316 \h </w:instrText>
            </w:r>
            <w:r w:rsidRPr="001C20D7">
              <w:rPr>
                <w:noProof/>
                <w:webHidden/>
                <w:sz w:val="24"/>
                <w:szCs w:val="24"/>
              </w:rPr>
            </w:r>
            <w:r w:rsidRPr="001C20D7">
              <w:rPr>
                <w:noProof/>
                <w:webHidden/>
                <w:sz w:val="24"/>
                <w:szCs w:val="24"/>
              </w:rPr>
              <w:fldChar w:fldCharType="separate"/>
            </w:r>
            <w:r w:rsidR="00022068">
              <w:rPr>
                <w:noProof/>
                <w:webHidden/>
                <w:sz w:val="24"/>
                <w:szCs w:val="24"/>
              </w:rPr>
              <w:t>45</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7" w:history="1">
            <w:r w:rsidR="001C20D7" w:rsidRPr="001C20D7">
              <w:rPr>
                <w:rStyle w:val="Hypertextovodkaz"/>
                <w:noProof/>
                <w:sz w:val="24"/>
                <w:szCs w:val="24"/>
              </w:rPr>
              <w:t>4.3.</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Vydědění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_Toc409631317 \h </w:instrText>
            </w:r>
            <w:r w:rsidRPr="001C20D7">
              <w:rPr>
                <w:noProof/>
                <w:webHidden/>
                <w:sz w:val="24"/>
                <w:szCs w:val="24"/>
              </w:rPr>
            </w:r>
            <w:r w:rsidRPr="001C20D7">
              <w:rPr>
                <w:noProof/>
                <w:webHidden/>
                <w:sz w:val="24"/>
                <w:szCs w:val="24"/>
              </w:rPr>
              <w:fldChar w:fldCharType="separate"/>
            </w:r>
            <w:r w:rsidR="00022068">
              <w:rPr>
                <w:noProof/>
                <w:webHidden/>
                <w:sz w:val="24"/>
                <w:szCs w:val="24"/>
              </w:rPr>
              <w:t>46</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8" w:history="1">
            <w:r w:rsidR="001C20D7" w:rsidRPr="001C20D7">
              <w:rPr>
                <w:rStyle w:val="Hypertextovodkaz"/>
                <w:noProof/>
                <w:sz w:val="24"/>
                <w:szCs w:val="24"/>
              </w:rPr>
              <w:t>4.4.</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Ochrana nepominutelného dědice</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_Toc409631318 \h </w:instrText>
            </w:r>
            <w:r w:rsidRPr="001C20D7">
              <w:rPr>
                <w:noProof/>
                <w:webHidden/>
                <w:sz w:val="24"/>
                <w:szCs w:val="24"/>
              </w:rPr>
            </w:r>
            <w:r w:rsidRPr="001C20D7">
              <w:rPr>
                <w:noProof/>
                <w:webHidden/>
                <w:sz w:val="24"/>
                <w:szCs w:val="24"/>
              </w:rPr>
              <w:fldChar w:fldCharType="separate"/>
            </w:r>
            <w:r w:rsidR="00022068">
              <w:rPr>
                <w:noProof/>
                <w:webHidden/>
                <w:sz w:val="24"/>
                <w:szCs w:val="24"/>
              </w:rPr>
              <w:t>48</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19" w:history="1">
            <w:r w:rsidR="001C20D7" w:rsidRPr="001C20D7">
              <w:rPr>
                <w:rStyle w:val="Hypertextovodkaz"/>
                <w:noProof/>
                <w:sz w:val="24"/>
                <w:szCs w:val="24"/>
              </w:rPr>
              <w:t>4.5.</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Započtení na povinný díl a dědický podíl</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_Toc409631319 \h </w:instrText>
            </w:r>
            <w:r w:rsidRPr="001C20D7">
              <w:rPr>
                <w:noProof/>
                <w:webHidden/>
                <w:sz w:val="24"/>
                <w:szCs w:val="24"/>
              </w:rPr>
            </w:r>
            <w:r w:rsidRPr="001C20D7">
              <w:rPr>
                <w:noProof/>
                <w:webHidden/>
                <w:sz w:val="24"/>
                <w:szCs w:val="24"/>
              </w:rPr>
              <w:fldChar w:fldCharType="separate"/>
            </w:r>
            <w:r w:rsidR="00022068">
              <w:rPr>
                <w:noProof/>
                <w:webHidden/>
                <w:sz w:val="24"/>
                <w:szCs w:val="24"/>
              </w:rPr>
              <w:t>48</w:t>
            </w:r>
            <w:r w:rsidRPr="001C20D7">
              <w:rPr>
                <w:noProof/>
                <w:webHidden/>
                <w:sz w:val="24"/>
                <w:szCs w:val="24"/>
              </w:rPr>
              <w:fldChar w:fldCharType="end"/>
            </w:r>
          </w:hyperlink>
        </w:p>
        <w:p w:rsidR="001C20D7" w:rsidRPr="001C20D7" w:rsidRDefault="0080610C">
          <w:pPr>
            <w:pStyle w:val="Obsah2"/>
            <w:tabs>
              <w:tab w:val="left" w:pos="880"/>
              <w:tab w:val="right" w:leader="dot" w:pos="9061"/>
            </w:tabs>
            <w:rPr>
              <w:rFonts w:asciiTheme="minorHAnsi" w:eastAsiaTheme="minorEastAsia" w:hAnsiTheme="minorHAnsi" w:cstheme="minorBidi"/>
              <w:noProof/>
              <w:sz w:val="24"/>
              <w:szCs w:val="24"/>
              <w:lang w:eastAsia="cs-CZ"/>
            </w:rPr>
          </w:pPr>
          <w:hyperlink w:anchor="_Toc409631320" w:history="1">
            <w:r w:rsidR="001C20D7" w:rsidRPr="001C20D7">
              <w:rPr>
                <w:rStyle w:val="Hypertextovodkaz"/>
                <w:noProof/>
                <w:sz w:val="24"/>
                <w:szCs w:val="24"/>
              </w:rPr>
              <w:t>4.6.</w:t>
            </w:r>
            <w:r w:rsidR="001C20D7" w:rsidRPr="001C20D7">
              <w:rPr>
                <w:rFonts w:asciiTheme="minorHAnsi" w:eastAsiaTheme="minorEastAsia" w:hAnsiTheme="minorHAnsi" w:cstheme="minorBidi"/>
                <w:noProof/>
                <w:sz w:val="24"/>
                <w:szCs w:val="24"/>
                <w:lang w:eastAsia="cs-CZ"/>
              </w:rPr>
              <w:tab/>
            </w:r>
            <w:r w:rsidR="001C20D7" w:rsidRPr="001C20D7">
              <w:rPr>
                <w:rStyle w:val="Hypertextovodkaz"/>
                <w:noProof/>
                <w:sz w:val="24"/>
                <w:szCs w:val="24"/>
              </w:rPr>
              <w:t>Shrnutí</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_Toc409631320 \h </w:instrText>
            </w:r>
            <w:r w:rsidRPr="001C20D7">
              <w:rPr>
                <w:noProof/>
                <w:webHidden/>
                <w:sz w:val="24"/>
                <w:szCs w:val="24"/>
              </w:rPr>
            </w:r>
            <w:r w:rsidRPr="001C20D7">
              <w:rPr>
                <w:noProof/>
                <w:webHidden/>
                <w:sz w:val="24"/>
                <w:szCs w:val="24"/>
              </w:rPr>
              <w:fldChar w:fldCharType="separate"/>
            </w:r>
            <w:r w:rsidR="00022068">
              <w:rPr>
                <w:noProof/>
                <w:webHidden/>
                <w:sz w:val="24"/>
                <w:szCs w:val="24"/>
              </w:rPr>
              <w:t>51</w:t>
            </w:r>
            <w:r w:rsidRPr="001C20D7">
              <w:rPr>
                <w:noProof/>
                <w:webHidden/>
                <w:sz w:val="24"/>
                <w:szCs w:val="24"/>
              </w:rPr>
              <w:fldChar w:fldCharType="end"/>
            </w:r>
          </w:hyperlink>
        </w:p>
        <w:p w:rsidR="001C20D7" w:rsidRPr="001C20D7" w:rsidRDefault="0080610C">
          <w:pPr>
            <w:pStyle w:val="Obsah1"/>
            <w:tabs>
              <w:tab w:val="right" w:leader="dot" w:pos="9061"/>
            </w:tabs>
            <w:rPr>
              <w:rFonts w:asciiTheme="minorHAnsi" w:eastAsiaTheme="minorEastAsia" w:hAnsiTheme="minorHAnsi" w:cstheme="minorBidi"/>
              <w:noProof/>
              <w:sz w:val="24"/>
              <w:szCs w:val="24"/>
              <w:lang w:eastAsia="cs-CZ"/>
            </w:rPr>
          </w:pPr>
          <w:hyperlink w:anchor="_Toc409631321" w:history="1">
            <w:r w:rsidR="001C20D7" w:rsidRPr="001C20D7">
              <w:rPr>
                <w:rStyle w:val="Hypertextovodkaz"/>
                <w:noProof/>
                <w:sz w:val="24"/>
                <w:szCs w:val="24"/>
              </w:rPr>
              <w:t>Závěr</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_Toc409631321 \h </w:instrText>
            </w:r>
            <w:r w:rsidRPr="001C20D7">
              <w:rPr>
                <w:noProof/>
                <w:webHidden/>
                <w:sz w:val="24"/>
                <w:szCs w:val="24"/>
              </w:rPr>
            </w:r>
            <w:r w:rsidRPr="001C20D7">
              <w:rPr>
                <w:noProof/>
                <w:webHidden/>
                <w:sz w:val="24"/>
                <w:szCs w:val="24"/>
              </w:rPr>
              <w:fldChar w:fldCharType="separate"/>
            </w:r>
            <w:r w:rsidR="00022068">
              <w:rPr>
                <w:noProof/>
                <w:webHidden/>
                <w:sz w:val="24"/>
                <w:szCs w:val="24"/>
              </w:rPr>
              <w:t>53</w:t>
            </w:r>
            <w:r w:rsidRPr="001C20D7">
              <w:rPr>
                <w:noProof/>
                <w:webHidden/>
                <w:sz w:val="24"/>
                <w:szCs w:val="24"/>
              </w:rPr>
              <w:fldChar w:fldCharType="end"/>
            </w:r>
          </w:hyperlink>
        </w:p>
        <w:p w:rsidR="001C20D7" w:rsidRPr="001C20D7" w:rsidRDefault="0080610C">
          <w:pPr>
            <w:pStyle w:val="Obsah1"/>
            <w:tabs>
              <w:tab w:val="right" w:leader="dot" w:pos="9061"/>
            </w:tabs>
            <w:rPr>
              <w:rFonts w:asciiTheme="minorHAnsi" w:eastAsiaTheme="minorEastAsia" w:hAnsiTheme="minorHAnsi" w:cstheme="minorBidi"/>
              <w:noProof/>
              <w:sz w:val="24"/>
              <w:szCs w:val="24"/>
              <w:lang w:eastAsia="cs-CZ"/>
            </w:rPr>
          </w:pPr>
          <w:hyperlink w:anchor="_Toc409631322" w:history="1">
            <w:r w:rsidR="001C20D7" w:rsidRPr="001C20D7">
              <w:rPr>
                <w:rStyle w:val="Hypertextovodkaz"/>
                <w:noProof/>
                <w:sz w:val="24"/>
                <w:szCs w:val="24"/>
              </w:rPr>
              <w:t>Bibliografie</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_Toc409631322 \h </w:instrText>
            </w:r>
            <w:r w:rsidRPr="001C20D7">
              <w:rPr>
                <w:noProof/>
                <w:webHidden/>
                <w:sz w:val="24"/>
                <w:szCs w:val="24"/>
              </w:rPr>
            </w:r>
            <w:r w:rsidRPr="001C20D7">
              <w:rPr>
                <w:noProof/>
                <w:webHidden/>
                <w:sz w:val="24"/>
                <w:szCs w:val="24"/>
              </w:rPr>
              <w:fldChar w:fldCharType="separate"/>
            </w:r>
            <w:r w:rsidR="00022068">
              <w:rPr>
                <w:noProof/>
                <w:webHidden/>
                <w:sz w:val="24"/>
                <w:szCs w:val="24"/>
              </w:rPr>
              <w:t>55</w:t>
            </w:r>
            <w:r w:rsidRPr="001C20D7">
              <w:rPr>
                <w:noProof/>
                <w:webHidden/>
                <w:sz w:val="24"/>
                <w:szCs w:val="24"/>
              </w:rPr>
              <w:fldChar w:fldCharType="end"/>
            </w:r>
          </w:hyperlink>
        </w:p>
        <w:p w:rsidR="001C20D7" w:rsidRPr="001C20D7" w:rsidRDefault="0080610C">
          <w:pPr>
            <w:pStyle w:val="Obsah1"/>
            <w:tabs>
              <w:tab w:val="right" w:leader="dot" w:pos="9061"/>
            </w:tabs>
            <w:rPr>
              <w:rFonts w:asciiTheme="minorHAnsi" w:eastAsiaTheme="minorEastAsia" w:hAnsiTheme="minorHAnsi" w:cstheme="minorBidi"/>
              <w:noProof/>
              <w:sz w:val="24"/>
              <w:szCs w:val="24"/>
              <w:lang w:eastAsia="cs-CZ"/>
            </w:rPr>
          </w:pPr>
          <w:hyperlink w:anchor="_Toc409631323" w:history="1">
            <w:r w:rsidR="001C20D7" w:rsidRPr="001C20D7">
              <w:rPr>
                <w:rStyle w:val="Hypertextovodkaz"/>
                <w:noProof/>
                <w:sz w:val="24"/>
                <w:szCs w:val="24"/>
              </w:rPr>
              <w:t>Abstrakt a klíčová slova / Abstract and key words</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_Toc409631323 \h </w:instrText>
            </w:r>
            <w:r w:rsidRPr="001C20D7">
              <w:rPr>
                <w:noProof/>
                <w:webHidden/>
                <w:sz w:val="24"/>
                <w:szCs w:val="24"/>
              </w:rPr>
            </w:r>
            <w:r w:rsidRPr="001C20D7">
              <w:rPr>
                <w:noProof/>
                <w:webHidden/>
                <w:sz w:val="24"/>
                <w:szCs w:val="24"/>
              </w:rPr>
              <w:fldChar w:fldCharType="separate"/>
            </w:r>
            <w:r w:rsidR="00022068">
              <w:rPr>
                <w:noProof/>
                <w:webHidden/>
                <w:sz w:val="24"/>
                <w:szCs w:val="24"/>
              </w:rPr>
              <w:t>58</w:t>
            </w:r>
            <w:r w:rsidRPr="001C20D7">
              <w:rPr>
                <w:noProof/>
                <w:webHidden/>
                <w:sz w:val="24"/>
                <w:szCs w:val="24"/>
              </w:rPr>
              <w:fldChar w:fldCharType="end"/>
            </w:r>
          </w:hyperlink>
        </w:p>
        <w:p w:rsidR="001C20D7" w:rsidRPr="001C20D7" w:rsidRDefault="0080610C">
          <w:pPr>
            <w:pStyle w:val="Obsah1"/>
            <w:tabs>
              <w:tab w:val="right" w:leader="dot" w:pos="9061"/>
            </w:tabs>
            <w:rPr>
              <w:rFonts w:asciiTheme="minorHAnsi" w:eastAsiaTheme="minorEastAsia" w:hAnsiTheme="minorHAnsi" w:cstheme="minorBidi"/>
              <w:noProof/>
              <w:sz w:val="24"/>
              <w:szCs w:val="24"/>
              <w:lang w:eastAsia="cs-CZ"/>
            </w:rPr>
          </w:pPr>
          <w:hyperlink w:anchor="_Toc409631324" w:history="1">
            <w:r w:rsidR="001C20D7" w:rsidRPr="001C20D7">
              <w:rPr>
                <w:rStyle w:val="Hypertextovodkaz"/>
                <w:noProof/>
                <w:sz w:val="24"/>
                <w:szCs w:val="24"/>
              </w:rPr>
              <w:t>Příloha</w:t>
            </w:r>
            <w:r w:rsidR="001C20D7" w:rsidRPr="001C20D7">
              <w:rPr>
                <w:noProof/>
                <w:webHidden/>
                <w:sz w:val="24"/>
                <w:szCs w:val="24"/>
              </w:rPr>
              <w:tab/>
            </w:r>
            <w:r w:rsidRPr="001C20D7">
              <w:rPr>
                <w:noProof/>
                <w:webHidden/>
                <w:sz w:val="24"/>
                <w:szCs w:val="24"/>
              </w:rPr>
              <w:fldChar w:fldCharType="begin"/>
            </w:r>
            <w:r w:rsidR="001C20D7" w:rsidRPr="001C20D7">
              <w:rPr>
                <w:noProof/>
                <w:webHidden/>
                <w:sz w:val="24"/>
                <w:szCs w:val="24"/>
              </w:rPr>
              <w:instrText xml:space="preserve"> PAGEREF _Toc409631324 \h </w:instrText>
            </w:r>
            <w:r w:rsidRPr="001C20D7">
              <w:rPr>
                <w:noProof/>
                <w:webHidden/>
                <w:sz w:val="24"/>
                <w:szCs w:val="24"/>
              </w:rPr>
            </w:r>
            <w:r w:rsidRPr="001C20D7">
              <w:rPr>
                <w:noProof/>
                <w:webHidden/>
                <w:sz w:val="24"/>
                <w:szCs w:val="24"/>
              </w:rPr>
              <w:fldChar w:fldCharType="separate"/>
            </w:r>
            <w:r w:rsidR="00022068">
              <w:rPr>
                <w:noProof/>
                <w:webHidden/>
                <w:sz w:val="24"/>
                <w:szCs w:val="24"/>
              </w:rPr>
              <w:t>59</w:t>
            </w:r>
            <w:r w:rsidRPr="001C20D7">
              <w:rPr>
                <w:noProof/>
                <w:webHidden/>
                <w:sz w:val="24"/>
                <w:szCs w:val="24"/>
              </w:rPr>
              <w:fldChar w:fldCharType="end"/>
            </w:r>
          </w:hyperlink>
        </w:p>
        <w:p w:rsidR="009C32D8" w:rsidRPr="001C20D7" w:rsidRDefault="0080610C" w:rsidP="00AE5C96">
          <w:pPr>
            <w:jc w:val="both"/>
            <w:rPr>
              <w:sz w:val="24"/>
              <w:szCs w:val="24"/>
            </w:rPr>
          </w:pPr>
          <w:r w:rsidRPr="001C20D7">
            <w:rPr>
              <w:sz w:val="24"/>
              <w:szCs w:val="24"/>
            </w:rPr>
            <w:fldChar w:fldCharType="end"/>
          </w:r>
        </w:p>
      </w:sdtContent>
    </w:sdt>
    <w:p w:rsidR="009C32D8" w:rsidRPr="005B1B4B" w:rsidRDefault="009C32D8" w:rsidP="00AE5C96">
      <w:pPr>
        <w:pStyle w:val="Nadpis1"/>
        <w:jc w:val="both"/>
        <w:rPr>
          <w:rFonts w:ascii="Times New Roman" w:hAnsi="Times New Roman" w:cs="Times New Roman"/>
          <w:color w:val="auto"/>
          <w:sz w:val="24"/>
          <w:szCs w:val="24"/>
        </w:rPr>
      </w:pPr>
    </w:p>
    <w:p w:rsidR="008650A1" w:rsidRDefault="008650A1" w:rsidP="00AE5C96">
      <w:pPr>
        <w:jc w:val="both"/>
      </w:pPr>
    </w:p>
    <w:p w:rsidR="008650A1" w:rsidRDefault="008650A1" w:rsidP="00AE5C96">
      <w:pPr>
        <w:jc w:val="both"/>
      </w:pPr>
      <w:r>
        <w:br w:type="page"/>
      </w:r>
    </w:p>
    <w:p w:rsidR="008650A1" w:rsidRDefault="008650A1" w:rsidP="00AE5C96">
      <w:pPr>
        <w:pStyle w:val="Nadpis1"/>
        <w:jc w:val="both"/>
        <w:rPr>
          <w:color w:val="auto"/>
        </w:rPr>
      </w:pPr>
      <w:bookmarkStart w:id="0" w:name="_Toc409631277"/>
      <w:r>
        <w:rPr>
          <w:color w:val="auto"/>
        </w:rPr>
        <w:lastRenderedPageBreak/>
        <w:t>Seznam použitých zkratek</w:t>
      </w:r>
      <w:bookmarkEnd w:id="0"/>
    </w:p>
    <w:p w:rsidR="008650A1" w:rsidRDefault="008650A1" w:rsidP="00AE5C96">
      <w:pPr>
        <w:jc w:val="both"/>
      </w:pPr>
    </w:p>
    <w:p w:rsidR="008650A1" w:rsidRDefault="008650A1" w:rsidP="00AE5C96">
      <w:pPr>
        <w:jc w:val="both"/>
        <w:rPr>
          <w:sz w:val="24"/>
        </w:rPr>
      </w:pPr>
      <w:r>
        <w:rPr>
          <w:b/>
          <w:sz w:val="24"/>
        </w:rPr>
        <w:t>ABGB</w:t>
      </w:r>
      <w:r>
        <w:rPr>
          <w:b/>
          <w:sz w:val="24"/>
        </w:rPr>
        <w:tab/>
      </w:r>
      <w:r>
        <w:rPr>
          <w:b/>
          <w:sz w:val="24"/>
        </w:rPr>
        <w:tab/>
      </w:r>
      <w:r w:rsidR="001043EE">
        <w:rPr>
          <w:sz w:val="24"/>
        </w:rPr>
        <w:t xml:space="preserve">Císařský patent č. 946/ 1811 Sb. z. </w:t>
      </w:r>
      <w:proofErr w:type="gramStart"/>
      <w:r w:rsidR="001043EE">
        <w:rPr>
          <w:sz w:val="24"/>
        </w:rPr>
        <w:t>s.</w:t>
      </w:r>
      <w:proofErr w:type="gramEnd"/>
      <w:r w:rsidR="001043EE">
        <w:rPr>
          <w:sz w:val="24"/>
        </w:rPr>
        <w:t>, obecný občanský zákoník</w:t>
      </w:r>
      <w:r w:rsidR="007E45C0">
        <w:rPr>
          <w:sz w:val="24"/>
        </w:rPr>
        <w:t>.</w:t>
      </w:r>
      <w:r w:rsidR="001043EE">
        <w:rPr>
          <w:sz w:val="24"/>
        </w:rPr>
        <w:t xml:space="preserve"> </w:t>
      </w:r>
    </w:p>
    <w:p w:rsidR="00DF796C" w:rsidRPr="00DF796C" w:rsidRDefault="00DF796C" w:rsidP="00AE5C96">
      <w:pPr>
        <w:jc w:val="both"/>
        <w:rPr>
          <w:sz w:val="24"/>
        </w:rPr>
      </w:pPr>
      <w:r>
        <w:rPr>
          <w:b/>
          <w:sz w:val="24"/>
        </w:rPr>
        <w:t>BGB</w:t>
      </w:r>
      <w:r>
        <w:rPr>
          <w:b/>
          <w:sz w:val="24"/>
        </w:rPr>
        <w:tab/>
      </w:r>
      <w:r>
        <w:rPr>
          <w:b/>
          <w:sz w:val="24"/>
        </w:rPr>
        <w:tab/>
      </w:r>
      <w:r w:rsidR="00FF0C3F">
        <w:rPr>
          <w:sz w:val="24"/>
        </w:rPr>
        <w:t>Zákon č. 195/ 1896, RGB1, n</w:t>
      </w:r>
      <w:r>
        <w:rPr>
          <w:sz w:val="24"/>
        </w:rPr>
        <w:t>ěmecký občanský zákoník.</w:t>
      </w:r>
    </w:p>
    <w:p w:rsidR="008650A1" w:rsidRPr="001043EE" w:rsidRDefault="008650A1" w:rsidP="00AE5C96">
      <w:pPr>
        <w:jc w:val="both"/>
        <w:rPr>
          <w:sz w:val="24"/>
        </w:rPr>
      </w:pPr>
      <w:r>
        <w:rPr>
          <w:b/>
          <w:sz w:val="24"/>
        </w:rPr>
        <w:t>OZ 1950</w:t>
      </w:r>
      <w:r w:rsidR="001043EE">
        <w:rPr>
          <w:b/>
          <w:sz w:val="24"/>
        </w:rPr>
        <w:tab/>
      </w:r>
      <w:r w:rsidR="001043EE">
        <w:rPr>
          <w:sz w:val="24"/>
        </w:rPr>
        <w:t>Zákon č. 141/ 1950 Sb., občanský zákoník ve znění pozdějších předpisů</w:t>
      </w:r>
      <w:r w:rsidR="007E45C0">
        <w:rPr>
          <w:sz w:val="24"/>
        </w:rPr>
        <w:t>.</w:t>
      </w:r>
    </w:p>
    <w:p w:rsidR="008650A1" w:rsidRPr="001043EE" w:rsidRDefault="008650A1" w:rsidP="00AE5C96">
      <w:pPr>
        <w:jc w:val="both"/>
        <w:rPr>
          <w:sz w:val="24"/>
        </w:rPr>
      </w:pPr>
      <w:r>
        <w:rPr>
          <w:b/>
          <w:sz w:val="24"/>
        </w:rPr>
        <w:t>OZ 1964</w:t>
      </w:r>
      <w:r w:rsidR="001043EE">
        <w:rPr>
          <w:b/>
          <w:sz w:val="24"/>
        </w:rPr>
        <w:tab/>
      </w:r>
      <w:r w:rsidR="001043EE">
        <w:rPr>
          <w:sz w:val="24"/>
        </w:rPr>
        <w:t xml:space="preserve">Zákon č. 40/ 1964 Sb., </w:t>
      </w:r>
      <w:r w:rsidR="007E45C0">
        <w:rPr>
          <w:sz w:val="24"/>
        </w:rPr>
        <w:t>občanský zákoník ve znění pozdějších přepisů.</w:t>
      </w:r>
    </w:p>
    <w:p w:rsidR="008650A1" w:rsidRPr="007E45C0" w:rsidRDefault="008650A1" w:rsidP="00AE5C96">
      <w:pPr>
        <w:jc w:val="both"/>
        <w:rPr>
          <w:sz w:val="24"/>
        </w:rPr>
      </w:pPr>
      <w:r>
        <w:rPr>
          <w:b/>
          <w:sz w:val="24"/>
        </w:rPr>
        <w:t>NOZ</w:t>
      </w:r>
      <w:r w:rsidR="007E45C0">
        <w:rPr>
          <w:b/>
          <w:sz w:val="24"/>
        </w:rPr>
        <w:tab/>
      </w:r>
      <w:r w:rsidR="007E45C0">
        <w:rPr>
          <w:b/>
          <w:sz w:val="24"/>
        </w:rPr>
        <w:tab/>
      </w:r>
      <w:r w:rsidR="007E45C0">
        <w:rPr>
          <w:sz w:val="24"/>
        </w:rPr>
        <w:t>Zákon č. 89/ 2012 Sb., občanský zákoník.</w:t>
      </w:r>
    </w:p>
    <w:p w:rsidR="008650A1" w:rsidRDefault="008650A1" w:rsidP="00AE5C96">
      <w:pPr>
        <w:jc w:val="both"/>
        <w:rPr>
          <w:sz w:val="24"/>
        </w:rPr>
      </w:pPr>
      <w:r>
        <w:rPr>
          <w:b/>
          <w:sz w:val="24"/>
        </w:rPr>
        <w:t>VN</w:t>
      </w:r>
      <w:r w:rsidR="007E45C0">
        <w:rPr>
          <w:b/>
          <w:sz w:val="24"/>
        </w:rPr>
        <w:tab/>
      </w:r>
      <w:r w:rsidR="007E45C0">
        <w:rPr>
          <w:b/>
          <w:sz w:val="24"/>
        </w:rPr>
        <w:tab/>
      </w:r>
      <w:r w:rsidR="007E45C0">
        <w:rPr>
          <w:sz w:val="24"/>
        </w:rPr>
        <w:t>Tisk 425. Vládní návrh zákona, kterým se vydává občanský zákoník.</w:t>
      </w:r>
    </w:p>
    <w:p w:rsidR="00DF796C" w:rsidRPr="00DF796C" w:rsidRDefault="00DF796C" w:rsidP="00AE5C96">
      <w:pPr>
        <w:jc w:val="both"/>
        <w:rPr>
          <w:sz w:val="24"/>
        </w:rPr>
      </w:pPr>
      <w:r>
        <w:rPr>
          <w:b/>
          <w:sz w:val="24"/>
        </w:rPr>
        <w:t>ZGB</w:t>
      </w:r>
      <w:r>
        <w:rPr>
          <w:b/>
          <w:sz w:val="24"/>
        </w:rPr>
        <w:tab/>
      </w:r>
      <w:r>
        <w:rPr>
          <w:b/>
          <w:sz w:val="24"/>
        </w:rPr>
        <w:tab/>
      </w:r>
      <w:r w:rsidR="00FF0C3F">
        <w:rPr>
          <w:sz w:val="24"/>
        </w:rPr>
        <w:t>Zákon č. 191/ 1907, š</w:t>
      </w:r>
      <w:r>
        <w:rPr>
          <w:sz w:val="24"/>
        </w:rPr>
        <w:t>výcarský občanský zákoník.</w:t>
      </w:r>
    </w:p>
    <w:p w:rsidR="009C32D8" w:rsidRDefault="009C32D8" w:rsidP="00AE5C96">
      <w:pPr>
        <w:pStyle w:val="Nadpis1"/>
        <w:spacing w:before="0" w:line="360" w:lineRule="auto"/>
        <w:jc w:val="both"/>
      </w:pPr>
      <w:r>
        <w:br w:type="page"/>
      </w:r>
    </w:p>
    <w:p w:rsidR="00524051" w:rsidRPr="008D11B8" w:rsidRDefault="00524051" w:rsidP="00AE5C96">
      <w:pPr>
        <w:pStyle w:val="Nadpis1"/>
        <w:jc w:val="both"/>
        <w:rPr>
          <w:rFonts w:ascii="Times New Roman" w:hAnsi="Times New Roman" w:cs="Times New Roman"/>
          <w:color w:val="auto"/>
        </w:rPr>
      </w:pPr>
      <w:bookmarkStart w:id="1" w:name="_Toc409631278"/>
      <w:r w:rsidRPr="008D11B8">
        <w:rPr>
          <w:rFonts w:ascii="Times New Roman" w:hAnsi="Times New Roman" w:cs="Times New Roman"/>
          <w:color w:val="auto"/>
        </w:rPr>
        <w:lastRenderedPageBreak/>
        <w:t>Ú</w:t>
      </w:r>
      <w:r w:rsidR="00F86D32">
        <w:rPr>
          <w:rFonts w:ascii="Times New Roman" w:hAnsi="Times New Roman" w:cs="Times New Roman"/>
          <w:color w:val="auto"/>
        </w:rPr>
        <w:t>vod</w:t>
      </w:r>
      <w:bookmarkEnd w:id="1"/>
    </w:p>
    <w:p w:rsidR="00524051" w:rsidRDefault="00F74FCF" w:rsidP="00AE5C96">
      <w:pPr>
        <w:tabs>
          <w:tab w:val="left" w:pos="426"/>
        </w:tabs>
        <w:spacing w:after="0" w:line="360" w:lineRule="auto"/>
        <w:ind w:firstLine="567"/>
        <w:jc w:val="both"/>
        <w:rPr>
          <w:sz w:val="24"/>
        </w:rPr>
      </w:pPr>
      <w:r>
        <w:rPr>
          <w:sz w:val="24"/>
        </w:rPr>
        <w:t xml:space="preserve">Diplomová práce se věnuje </w:t>
      </w:r>
      <w:r w:rsidR="00A016AA">
        <w:rPr>
          <w:sz w:val="24"/>
        </w:rPr>
        <w:t>vztahu</w:t>
      </w:r>
      <w:r>
        <w:rPr>
          <w:sz w:val="24"/>
        </w:rPr>
        <w:t xml:space="preserve"> meziválečné </w:t>
      </w:r>
      <w:r w:rsidR="00A016AA">
        <w:rPr>
          <w:sz w:val="24"/>
        </w:rPr>
        <w:t xml:space="preserve">a nové </w:t>
      </w:r>
      <w:proofErr w:type="spellStart"/>
      <w:r>
        <w:rPr>
          <w:sz w:val="24"/>
        </w:rPr>
        <w:t>rekodifikace</w:t>
      </w:r>
      <w:proofErr w:type="spellEnd"/>
      <w:r>
        <w:rPr>
          <w:sz w:val="24"/>
        </w:rPr>
        <w:t xml:space="preserve"> </w:t>
      </w:r>
      <w:r w:rsidR="00A016AA">
        <w:rPr>
          <w:sz w:val="24"/>
        </w:rPr>
        <w:t>občanského práva.</w:t>
      </w:r>
      <w:r w:rsidR="00055EEE">
        <w:rPr>
          <w:sz w:val="24"/>
        </w:rPr>
        <w:t xml:space="preserve"> Cílem je srovnat právní úpravu dědického práva v osnově vládního návrhu občanského zákoníku z roku 1937 s právní úpravou dědického práva </w:t>
      </w:r>
      <w:r w:rsidR="00A016AA">
        <w:rPr>
          <w:sz w:val="24"/>
        </w:rPr>
        <w:t>v</w:t>
      </w:r>
      <w:r w:rsidR="00886DE9">
        <w:rPr>
          <w:sz w:val="24"/>
        </w:rPr>
        <w:t xml:space="preserve"> občanském zákoníku </w:t>
      </w:r>
      <w:r w:rsidR="00A016AA">
        <w:rPr>
          <w:sz w:val="24"/>
        </w:rPr>
        <w:t xml:space="preserve">z roku 2012 </w:t>
      </w:r>
      <w:r w:rsidR="00886DE9">
        <w:rPr>
          <w:sz w:val="24"/>
        </w:rPr>
        <w:t>a vyhodnotit</w:t>
      </w:r>
      <w:r w:rsidR="00573B9C">
        <w:rPr>
          <w:sz w:val="24"/>
        </w:rPr>
        <w:t>,</w:t>
      </w:r>
      <w:r w:rsidR="00886DE9">
        <w:rPr>
          <w:sz w:val="24"/>
        </w:rPr>
        <w:t xml:space="preserve"> do jaké míry </w:t>
      </w:r>
      <w:r w:rsidR="00A016AA">
        <w:rPr>
          <w:sz w:val="24"/>
        </w:rPr>
        <w:t xml:space="preserve">se jeho autoři nechali </w:t>
      </w:r>
      <w:r w:rsidR="00886DE9">
        <w:rPr>
          <w:sz w:val="24"/>
        </w:rPr>
        <w:t xml:space="preserve">meziválečnou </w:t>
      </w:r>
      <w:proofErr w:type="spellStart"/>
      <w:r w:rsidR="00886DE9">
        <w:rPr>
          <w:sz w:val="24"/>
        </w:rPr>
        <w:t>rekodifikací</w:t>
      </w:r>
      <w:proofErr w:type="spellEnd"/>
      <w:r w:rsidR="0014531A">
        <w:rPr>
          <w:sz w:val="24"/>
        </w:rPr>
        <w:t xml:space="preserve"> inspirovat</w:t>
      </w:r>
      <w:r w:rsidR="00886DE9">
        <w:rPr>
          <w:sz w:val="24"/>
        </w:rPr>
        <w:t>.</w:t>
      </w:r>
    </w:p>
    <w:p w:rsidR="006A457E" w:rsidRDefault="00F43CA5" w:rsidP="00AE5C96">
      <w:pPr>
        <w:tabs>
          <w:tab w:val="left" w:pos="426"/>
        </w:tabs>
        <w:spacing w:after="0" w:line="360" w:lineRule="auto"/>
        <w:ind w:firstLine="567"/>
        <w:jc w:val="both"/>
        <w:rPr>
          <w:sz w:val="24"/>
        </w:rPr>
      </w:pPr>
      <w:r>
        <w:rPr>
          <w:sz w:val="24"/>
        </w:rPr>
        <w:t>První kapitola se</w:t>
      </w:r>
      <w:r w:rsidR="006A457E">
        <w:rPr>
          <w:sz w:val="24"/>
        </w:rPr>
        <w:t xml:space="preserve"> zabývá </w:t>
      </w:r>
      <w:r w:rsidR="00971A91">
        <w:rPr>
          <w:sz w:val="24"/>
        </w:rPr>
        <w:t>pojmem inspiračního zdroje a podává základní přehled inspiračních zdrojů nového občanského zákoníku, zejména pak úpravy dědického práva.</w:t>
      </w:r>
    </w:p>
    <w:p w:rsidR="00055EEE" w:rsidRDefault="009E02CF" w:rsidP="00AE5C96">
      <w:pPr>
        <w:tabs>
          <w:tab w:val="left" w:pos="426"/>
        </w:tabs>
        <w:spacing w:after="0" w:line="360" w:lineRule="auto"/>
        <w:ind w:firstLine="567"/>
        <w:jc w:val="both"/>
        <w:rPr>
          <w:sz w:val="24"/>
        </w:rPr>
      </w:pPr>
      <w:r>
        <w:rPr>
          <w:sz w:val="24"/>
        </w:rPr>
        <w:t>V</w:t>
      </w:r>
      <w:r w:rsidR="009B5E5D">
        <w:rPr>
          <w:sz w:val="24"/>
        </w:rPr>
        <w:t xml:space="preserve"> druhé</w:t>
      </w:r>
      <w:r>
        <w:rPr>
          <w:sz w:val="24"/>
        </w:rPr>
        <w:t xml:space="preserve"> kapitole </w:t>
      </w:r>
      <w:r w:rsidR="00971A91">
        <w:rPr>
          <w:sz w:val="24"/>
        </w:rPr>
        <w:t xml:space="preserve">je představena meziválečná </w:t>
      </w:r>
      <w:proofErr w:type="spellStart"/>
      <w:r w:rsidR="00971A91">
        <w:rPr>
          <w:sz w:val="24"/>
        </w:rPr>
        <w:t>rekodifikace</w:t>
      </w:r>
      <w:proofErr w:type="spellEnd"/>
      <w:r w:rsidR="00971A91">
        <w:rPr>
          <w:sz w:val="24"/>
        </w:rPr>
        <w:t xml:space="preserve"> občanského práva. Byly využity</w:t>
      </w:r>
      <w:r>
        <w:rPr>
          <w:sz w:val="24"/>
        </w:rPr>
        <w:t xml:space="preserve"> zejména publikac</w:t>
      </w:r>
      <w:r w:rsidR="00871A3E">
        <w:rPr>
          <w:sz w:val="24"/>
        </w:rPr>
        <w:t>e</w:t>
      </w:r>
      <w:r>
        <w:rPr>
          <w:sz w:val="24"/>
        </w:rPr>
        <w:t xml:space="preserve"> Jana Kuklíka a Ladi</w:t>
      </w:r>
      <w:r w:rsidR="00AA6E6B">
        <w:rPr>
          <w:sz w:val="24"/>
        </w:rPr>
        <w:t>slava Vojáčka. Vedle nich také rozsáhlý</w:t>
      </w:r>
      <w:r>
        <w:rPr>
          <w:sz w:val="24"/>
        </w:rPr>
        <w:t xml:space="preserve"> </w:t>
      </w:r>
      <w:r w:rsidR="00B05304">
        <w:rPr>
          <w:sz w:val="24"/>
        </w:rPr>
        <w:t>k</w:t>
      </w:r>
      <w:r w:rsidR="00AA6E6B">
        <w:rPr>
          <w:sz w:val="24"/>
        </w:rPr>
        <w:t>omentář</w:t>
      </w:r>
      <w:r>
        <w:rPr>
          <w:sz w:val="24"/>
        </w:rPr>
        <w:t xml:space="preserve"> </w:t>
      </w:r>
      <w:r w:rsidR="00E76857">
        <w:rPr>
          <w:sz w:val="24"/>
        </w:rPr>
        <w:t xml:space="preserve">k obecnému občanskému zákoníku </w:t>
      </w:r>
      <w:r w:rsidR="00F63677">
        <w:rPr>
          <w:sz w:val="24"/>
        </w:rPr>
        <w:t xml:space="preserve">od </w:t>
      </w:r>
      <w:r w:rsidR="009B5E5D">
        <w:rPr>
          <w:sz w:val="24"/>
        </w:rPr>
        <w:t xml:space="preserve">Františka </w:t>
      </w:r>
      <w:r>
        <w:rPr>
          <w:sz w:val="24"/>
        </w:rPr>
        <w:t xml:space="preserve">Roučka a </w:t>
      </w:r>
      <w:r w:rsidR="009B5E5D">
        <w:rPr>
          <w:sz w:val="24"/>
        </w:rPr>
        <w:t xml:space="preserve">Jaromíra </w:t>
      </w:r>
      <w:r>
        <w:rPr>
          <w:sz w:val="24"/>
        </w:rPr>
        <w:t>Sedláčka.</w:t>
      </w:r>
    </w:p>
    <w:p w:rsidR="003A001F" w:rsidRDefault="00E778D8" w:rsidP="00AE5C96">
      <w:pPr>
        <w:tabs>
          <w:tab w:val="left" w:pos="426"/>
        </w:tabs>
        <w:spacing w:after="0" w:line="360" w:lineRule="auto"/>
        <w:ind w:firstLine="567"/>
        <w:jc w:val="both"/>
        <w:rPr>
          <w:sz w:val="24"/>
        </w:rPr>
      </w:pPr>
      <w:r>
        <w:rPr>
          <w:sz w:val="24"/>
        </w:rPr>
        <w:t>Hlavní ka</w:t>
      </w:r>
      <w:r w:rsidR="00CE7A31">
        <w:rPr>
          <w:sz w:val="24"/>
        </w:rPr>
        <w:t xml:space="preserve">pitolou diplomové práce je </w:t>
      </w:r>
      <w:r>
        <w:rPr>
          <w:sz w:val="24"/>
        </w:rPr>
        <w:t>třetí k</w:t>
      </w:r>
      <w:r w:rsidR="00971A91">
        <w:rPr>
          <w:sz w:val="24"/>
        </w:rPr>
        <w:t>apitola, která se věnuje srovná</w:t>
      </w:r>
      <w:r>
        <w:rPr>
          <w:sz w:val="24"/>
        </w:rPr>
        <w:t xml:space="preserve">ní ustanovení </w:t>
      </w:r>
      <w:r w:rsidR="00971A91">
        <w:rPr>
          <w:sz w:val="24"/>
        </w:rPr>
        <w:t xml:space="preserve">meziválečného </w:t>
      </w:r>
      <w:r>
        <w:rPr>
          <w:sz w:val="24"/>
        </w:rPr>
        <w:t xml:space="preserve">vládního návrhu a nového občanského zákoníku. </w:t>
      </w:r>
      <w:r w:rsidR="00DF28A5">
        <w:rPr>
          <w:sz w:val="24"/>
        </w:rPr>
        <w:t>Kromě vlastní právní úpravy se vychází</w:t>
      </w:r>
      <w:r w:rsidR="00E76857">
        <w:rPr>
          <w:sz w:val="24"/>
        </w:rPr>
        <w:t xml:space="preserve"> </w:t>
      </w:r>
      <w:r w:rsidR="004001AD">
        <w:rPr>
          <w:sz w:val="24"/>
        </w:rPr>
        <w:t>z důvodových zpráv k </w:t>
      </w:r>
      <w:r w:rsidR="00CE7A31">
        <w:rPr>
          <w:sz w:val="24"/>
        </w:rPr>
        <w:t>nim</w:t>
      </w:r>
      <w:r w:rsidR="00E76857">
        <w:rPr>
          <w:sz w:val="24"/>
        </w:rPr>
        <w:t xml:space="preserve"> a komentáře k novému občanskému zákoníku </w:t>
      </w:r>
      <w:r w:rsidR="00DF28A5">
        <w:rPr>
          <w:sz w:val="24"/>
        </w:rPr>
        <w:t xml:space="preserve">nakladatelství </w:t>
      </w:r>
      <w:proofErr w:type="spellStart"/>
      <w:r w:rsidR="00DF28A5">
        <w:rPr>
          <w:sz w:val="24"/>
        </w:rPr>
        <w:t>Wolters</w:t>
      </w:r>
      <w:proofErr w:type="spellEnd"/>
      <w:r w:rsidR="00DF28A5">
        <w:rPr>
          <w:sz w:val="24"/>
        </w:rPr>
        <w:t xml:space="preserve"> </w:t>
      </w:r>
      <w:proofErr w:type="spellStart"/>
      <w:r w:rsidR="00DF28A5">
        <w:rPr>
          <w:sz w:val="24"/>
        </w:rPr>
        <w:t>Kluwer</w:t>
      </w:r>
      <w:proofErr w:type="spellEnd"/>
      <w:r w:rsidR="00E76857">
        <w:rPr>
          <w:sz w:val="24"/>
        </w:rPr>
        <w:t>.</w:t>
      </w:r>
      <w:r w:rsidR="004001AD">
        <w:rPr>
          <w:sz w:val="24"/>
        </w:rPr>
        <w:t xml:space="preserve"> </w:t>
      </w:r>
      <w:r w:rsidR="00CE7A31">
        <w:rPr>
          <w:sz w:val="24"/>
        </w:rPr>
        <w:t>K</w:t>
      </w:r>
      <w:r w:rsidR="004001AD">
        <w:rPr>
          <w:sz w:val="24"/>
        </w:rPr>
        <w:t xml:space="preserve">apitola </w:t>
      </w:r>
      <w:r>
        <w:rPr>
          <w:sz w:val="24"/>
        </w:rPr>
        <w:t>je rozdělena do podkapitol podle jednotl</w:t>
      </w:r>
      <w:r w:rsidR="00DF28A5">
        <w:rPr>
          <w:sz w:val="24"/>
        </w:rPr>
        <w:t>ivých institutů dědického práva, jejichž s</w:t>
      </w:r>
      <w:r w:rsidR="000B0E37">
        <w:rPr>
          <w:sz w:val="24"/>
        </w:rPr>
        <w:t xml:space="preserve">eřazení odpovídá systematice vládního návrhu z roku 1937. </w:t>
      </w:r>
      <w:r w:rsidR="00DF28A5">
        <w:rPr>
          <w:sz w:val="24"/>
        </w:rPr>
        <w:t>Každou</w:t>
      </w:r>
      <w:r w:rsidR="000B0E37">
        <w:rPr>
          <w:sz w:val="24"/>
        </w:rPr>
        <w:t xml:space="preserve"> podkapitol</w:t>
      </w:r>
      <w:r w:rsidR="003C75C3">
        <w:rPr>
          <w:sz w:val="24"/>
        </w:rPr>
        <w:t>u</w:t>
      </w:r>
      <w:r w:rsidR="000B0E37">
        <w:rPr>
          <w:sz w:val="24"/>
        </w:rPr>
        <w:t xml:space="preserve"> práce u</w:t>
      </w:r>
      <w:r w:rsidR="00DF28A5">
        <w:rPr>
          <w:sz w:val="24"/>
        </w:rPr>
        <w:t>zavírá</w:t>
      </w:r>
      <w:r w:rsidR="000B0E37">
        <w:rPr>
          <w:sz w:val="24"/>
        </w:rPr>
        <w:t xml:space="preserve"> přehledov</w:t>
      </w:r>
      <w:r w:rsidR="00DF28A5">
        <w:rPr>
          <w:sz w:val="24"/>
        </w:rPr>
        <w:t>á</w:t>
      </w:r>
      <w:r w:rsidR="000B0E37">
        <w:rPr>
          <w:sz w:val="24"/>
        </w:rPr>
        <w:t xml:space="preserve"> tabulk</w:t>
      </w:r>
      <w:r w:rsidR="00DF28A5">
        <w:rPr>
          <w:sz w:val="24"/>
        </w:rPr>
        <w:t>a</w:t>
      </w:r>
      <w:r w:rsidR="00CE7A31">
        <w:rPr>
          <w:sz w:val="24"/>
        </w:rPr>
        <w:t xml:space="preserve"> </w:t>
      </w:r>
      <w:r w:rsidR="00DF28A5">
        <w:rPr>
          <w:sz w:val="24"/>
        </w:rPr>
        <w:t>s počty</w:t>
      </w:r>
      <w:r w:rsidR="000B0E37">
        <w:rPr>
          <w:sz w:val="24"/>
        </w:rPr>
        <w:t xml:space="preserve"> ustanovení nového občanského zákoníku</w:t>
      </w:r>
      <w:r w:rsidR="00DF28A5">
        <w:rPr>
          <w:sz w:val="24"/>
        </w:rPr>
        <w:t>, která</w:t>
      </w:r>
      <w:r w:rsidR="000B0E37">
        <w:rPr>
          <w:sz w:val="24"/>
        </w:rPr>
        <w:t xml:space="preserve"> j</w:t>
      </w:r>
      <w:r w:rsidR="00DF28A5">
        <w:rPr>
          <w:sz w:val="24"/>
        </w:rPr>
        <w:t>sou</w:t>
      </w:r>
      <w:r w:rsidR="000B0E37">
        <w:rPr>
          <w:sz w:val="24"/>
        </w:rPr>
        <w:t xml:space="preserve"> zcela či částečně </w:t>
      </w:r>
      <w:r w:rsidR="00DF28A5">
        <w:rPr>
          <w:sz w:val="24"/>
        </w:rPr>
        <w:t>shodná</w:t>
      </w:r>
      <w:r w:rsidR="000B0E37">
        <w:rPr>
          <w:sz w:val="24"/>
        </w:rPr>
        <w:t xml:space="preserve"> s ustanoveními vládního návrhu. </w:t>
      </w:r>
      <w:r w:rsidR="00DF28A5">
        <w:rPr>
          <w:sz w:val="24"/>
        </w:rPr>
        <w:t>Na závěr této kapitoly</w:t>
      </w:r>
      <w:r w:rsidR="00BB1F3B">
        <w:rPr>
          <w:sz w:val="24"/>
        </w:rPr>
        <w:t xml:space="preserve"> </w:t>
      </w:r>
      <w:r w:rsidR="00DF28A5">
        <w:rPr>
          <w:sz w:val="24"/>
        </w:rPr>
        <w:t>je uvedeno</w:t>
      </w:r>
      <w:r w:rsidR="00BB1F3B">
        <w:rPr>
          <w:sz w:val="24"/>
        </w:rPr>
        <w:t xml:space="preserve"> několik </w:t>
      </w:r>
      <w:r w:rsidR="00D03CA7">
        <w:rPr>
          <w:sz w:val="24"/>
        </w:rPr>
        <w:t xml:space="preserve">příkladů, </w:t>
      </w:r>
      <w:r w:rsidR="00BB1F3B">
        <w:rPr>
          <w:sz w:val="24"/>
        </w:rPr>
        <w:t>jakým způsobem byla jednotlivá ustanovení o instit</w:t>
      </w:r>
      <w:r w:rsidR="00D03CA7">
        <w:rPr>
          <w:sz w:val="24"/>
        </w:rPr>
        <w:t>utech dědického práva srovnávána</w:t>
      </w:r>
      <w:r w:rsidR="00DF28A5">
        <w:rPr>
          <w:sz w:val="24"/>
        </w:rPr>
        <w:t>, a dále</w:t>
      </w:r>
      <w:r w:rsidR="00E76857">
        <w:rPr>
          <w:sz w:val="24"/>
        </w:rPr>
        <w:t xml:space="preserve"> závěrečn</w:t>
      </w:r>
      <w:r w:rsidR="00DF28A5">
        <w:rPr>
          <w:sz w:val="24"/>
        </w:rPr>
        <w:t>á</w:t>
      </w:r>
      <w:r w:rsidR="00E76857">
        <w:rPr>
          <w:sz w:val="24"/>
        </w:rPr>
        <w:t xml:space="preserve"> přehledov</w:t>
      </w:r>
      <w:r w:rsidR="00DF28A5">
        <w:rPr>
          <w:sz w:val="24"/>
        </w:rPr>
        <w:t>á</w:t>
      </w:r>
      <w:r w:rsidR="00E76857">
        <w:rPr>
          <w:sz w:val="24"/>
        </w:rPr>
        <w:t xml:space="preserve"> tabulk</w:t>
      </w:r>
      <w:r w:rsidR="00DF28A5">
        <w:rPr>
          <w:sz w:val="24"/>
        </w:rPr>
        <w:t>a</w:t>
      </w:r>
      <w:r w:rsidR="00E76857">
        <w:rPr>
          <w:sz w:val="24"/>
        </w:rPr>
        <w:t xml:space="preserve"> o všech </w:t>
      </w:r>
      <w:r w:rsidR="00DF28A5">
        <w:rPr>
          <w:sz w:val="24"/>
        </w:rPr>
        <w:t xml:space="preserve">obsahově shodných </w:t>
      </w:r>
      <w:r w:rsidR="00E76857">
        <w:rPr>
          <w:sz w:val="24"/>
        </w:rPr>
        <w:t>ustanovení nového občanského zákoníku</w:t>
      </w:r>
      <w:r w:rsidR="00DF28A5">
        <w:rPr>
          <w:sz w:val="24"/>
        </w:rPr>
        <w:t xml:space="preserve"> s vládním návrhem (včetně grafického znázornění).</w:t>
      </w:r>
    </w:p>
    <w:p w:rsidR="00DF28A5" w:rsidRDefault="00DF28A5" w:rsidP="00AE5C96">
      <w:pPr>
        <w:tabs>
          <w:tab w:val="left" w:pos="426"/>
        </w:tabs>
        <w:spacing w:after="0" w:line="360" w:lineRule="auto"/>
        <w:ind w:firstLine="567"/>
        <w:jc w:val="both"/>
        <w:rPr>
          <w:sz w:val="24"/>
        </w:rPr>
      </w:pPr>
      <w:r>
        <w:rPr>
          <w:sz w:val="24"/>
        </w:rPr>
        <w:t>Čtvrt</w:t>
      </w:r>
      <w:r w:rsidR="004001AD">
        <w:rPr>
          <w:sz w:val="24"/>
        </w:rPr>
        <w:t xml:space="preserve">á kapitola se věnuje vybranému institutu dědického práva, a to institutu povinného dílu. </w:t>
      </w:r>
      <w:r w:rsidR="004A26F4">
        <w:rPr>
          <w:sz w:val="24"/>
        </w:rPr>
        <w:t xml:space="preserve">Práce v této kapitole </w:t>
      </w:r>
      <w:r w:rsidR="005D72D6">
        <w:rPr>
          <w:sz w:val="24"/>
        </w:rPr>
        <w:t>podrobněji</w:t>
      </w:r>
      <w:r w:rsidR="004A26F4">
        <w:rPr>
          <w:sz w:val="24"/>
        </w:rPr>
        <w:t xml:space="preserve"> zpracovává problematiku povinného dílu s ohledem na to, v čem se inspirovala právní úprava v novém občanském zákoníku vládním návrhem z roku 1937. Práce se snaží také zhodnotit</w:t>
      </w:r>
      <w:r w:rsidR="00A50F20">
        <w:rPr>
          <w:sz w:val="24"/>
        </w:rPr>
        <w:t>,</w:t>
      </w:r>
      <w:r w:rsidR="004A26F4">
        <w:rPr>
          <w:sz w:val="24"/>
        </w:rPr>
        <w:t xml:space="preserve"> v případě, kdy se od sebe právní předpisy liší, kterou z úprav lze považovat za vhodnější.</w:t>
      </w:r>
      <w:r>
        <w:rPr>
          <w:sz w:val="24"/>
        </w:rPr>
        <w:t xml:space="preserve"> Kromě důvodových zpráv byla využita soudobá i dobová odborná literatura, zejména</w:t>
      </w:r>
      <w:r w:rsidR="00C0762D">
        <w:rPr>
          <w:sz w:val="24"/>
        </w:rPr>
        <w:t xml:space="preserve"> publikace </w:t>
      </w:r>
      <w:r>
        <w:rPr>
          <w:sz w:val="24"/>
        </w:rPr>
        <w:t xml:space="preserve">Emila Svobody a Jana Krčmáře, kteří se podíleli na meziválečné </w:t>
      </w:r>
      <w:proofErr w:type="spellStart"/>
      <w:r>
        <w:rPr>
          <w:sz w:val="24"/>
        </w:rPr>
        <w:t>rekodifikaci</w:t>
      </w:r>
      <w:proofErr w:type="spellEnd"/>
      <w:r>
        <w:rPr>
          <w:sz w:val="24"/>
        </w:rPr>
        <w:t>.</w:t>
      </w:r>
    </w:p>
    <w:p w:rsidR="004E0CF9" w:rsidRDefault="00DF28A5" w:rsidP="00AE5C96">
      <w:pPr>
        <w:tabs>
          <w:tab w:val="left" w:pos="426"/>
        </w:tabs>
        <w:spacing w:after="0" w:line="360" w:lineRule="auto"/>
        <w:ind w:firstLine="567"/>
        <w:jc w:val="both"/>
        <w:rPr>
          <w:sz w:val="24"/>
        </w:rPr>
      </w:pPr>
      <w:r>
        <w:rPr>
          <w:sz w:val="24"/>
        </w:rPr>
        <w:t xml:space="preserve"> </w:t>
      </w:r>
      <w:r w:rsidR="005D72D6">
        <w:rPr>
          <w:sz w:val="24"/>
        </w:rPr>
        <w:t xml:space="preserve">K práci je připojena </w:t>
      </w:r>
      <w:r>
        <w:rPr>
          <w:sz w:val="24"/>
        </w:rPr>
        <w:t xml:space="preserve">srovnávací </w:t>
      </w:r>
      <w:r w:rsidR="004E0CF9">
        <w:rPr>
          <w:sz w:val="24"/>
        </w:rPr>
        <w:t>tabulk</w:t>
      </w:r>
      <w:r>
        <w:rPr>
          <w:sz w:val="24"/>
        </w:rPr>
        <w:t>a</w:t>
      </w:r>
      <w:r w:rsidR="004E0CF9">
        <w:rPr>
          <w:sz w:val="24"/>
        </w:rPr>
        <w:t xml:space="preserve"> </w:t>
      </w:r>
      <w:r>
        <w:rPr>
          <w:sz w:val="24"/>
        </w:rPr>
        <w:t>paragrafů</w:t>
      </w:r>
      <w:r w:rsidR="004E0CF9">
        <w:rPr>
          <w:sz w:val="24"/>
        </w:rPr>
        <w:t xml:space="preserve"> </w:t>
      </w:r>
      <w:r w:rsidR="00825AA1">
        <w:rPr>
          <w:sz w:val="24"/>
        </w:rPr>
        <w:t>vládního návrhu z roku 1937 a ji</w:t>
      </w:r>
      <w:r w:rsidR="004E0CF9">
        <w:rPr>
          <w:sz w:val="24"/>
        </w:rPr>
        <w:t>m odpovídajících ustanovení nového občanského zákoníku.</w:t>
      </w:r>
    </w:p>
    <w:p w:rsidR="00524051" w:rsidRDefault="00D03CA7" w:rsidP="00AE5C96">
      <w:pPr>
        <w:tabs>
          <w:tab w:val="left" w:pos="426"/>
        </w:tabs>
        <w:spacing w:after="0" w:line="360" w:lineRule="auto"/>
        <w:jc w:val="both"/>
        <w:rPr>
          <w:b/>
          <w:sz w:val="28"/>
        </w:rPr>
      </w:pPr>
      <w:r>
        <w:rPr>
          <w:sz w:val="24"/>
        </w:rPr>
        <w:tab/>
      </w:r>
    </w:p>
    <w:p w:rsidR="00BF59B2" w:rsidRDefault="00F86D32" w:rsidP="00AE5C96">
      <w:pPr>
        <w:pStyle w:val="Nadpis1"/>
        <w:numPr>
          <w:ilvl w:val="0"/>
          <w:numId w:val="2"/>
        </w:numPr>
        <w:spacing w:line="360" w:lineRule="auto"/>
        <w:jc w:val="both"/>
        <w:rPr>
          <w:rFonts w:ascii="Times New Roman" w:hAnsi="Times New Roman" w:cs="Times New Roman"/>
          <w:color w:val="auto"/>
        </w:rPr>
      </w:pPr>
      <w:bookmarkStart w:id="2" w:name="_Toc409631279"/>
      <w:r>
        <w:rPr>
          <w:rFonts w:ascii="Times New Roman" w:hAnsi="Times New Roman" w:cs="Times New Roman"/>
          <w:color w:val="auto"/>
        </w:rPr>
        <w:lastRenderedPageBreak/>
        <w:t xml:space="preserve">Inspirační zdroje nového občanského </w:t>
      </w:r>
      <w:r w:rsidR="00B10691">
        <w:rPr>
          <w:rFonts w:ascii="Times New Roman" w:hAnsi="Times New Roman" w:cs="Times New Roman"/>
          <w:color w:val="auto"/>
        </w:rPr>
        <w:t>zákoníku</w:t>
      </w:r>
      <w:bookmarkEnd w:id="2"/>
    </w:p>
    <w:p w:rsidR="00F86D32" w:rsidRDefault="00F86D32" w:rsidP="00AE5C96">
      <w:pPr>
        <w:tabs>
          <w:tab w:val="left" w:pos="426"/>
        </w:tabs>
        <w:spacing w:after="0" w:line="360" w:lineRule="auto"/>
        <w:ind w:firstLine="567"/>
        <w:jc w:val="both"/>
        <w:rPr>
          <w:sz w:val="24"/>
          <w:szCs w:val="24"/>
        </w:rPr>
      </w:pPr>
      <w:r>
        <w:rPr>
          <w:sz w:val="24"/>
          <w:szCs w:val="24"/>
        </w:rPr>
        <w:t xml:space="preserve">Při tvorbě nového občanského zákoníku bylo užito hned několik inspiračních zdrojů. Otázkou zůstává, co se dá považovat za tzv. inspirační zdroj. Pod tímto pojmem lze rozumět určitý vzor, ideový zdroj, ze kterého </w:t>
      </w:r>
      <w:r w:rsidR="003E6F96">
        <w:rPr>
          <w:sz w:val="24"/>
          <w:szCs w:val="24"/>
        </w:rPr>
        <w:t>autoři</w:t>
      </w:r>
      <w:r>
        <w:rPr>
          <w:sz w:val="24"/>
          <w:szCs w:val="24"/>
        </w:rPr>
        <w:t xml:space="preserve"> nového občanského zákoníku vycházeli, a ve kterém hledali inspiraci při řešení problematických situací. Jsou to určité zdroje, u kterých se inspirovali jak při stanovování obsahu jednotlivých ustanovení občanského zákoníku, tak například i při řešení systematického uspořádání kodexu. Každá </w:t>
      </w:r>
      <w:proofErr w:type="spellStart"/>
      <w:r>
        <w:rPr>
          <w:sz w:val="24"/>
          <w:szCs w:val="24"/>
        </w:rPr>
        <w:t>rekodifikace</w:t>
      </w:r>
      <w:proofErr w:type="spellEnd"/>
      <w:r>
        <w:rPr>
          <w:sz w:val="24"/>
          <w:szCs w:val="24"/>
        </w:rPr>
        <w:t xml:space="preserve"> práva potřebuje určitý vzor, resp. zdroj, kterým se může inspirovat. Zvláště </w:t>
      </w:r>
      <w:r w:rsidR="003E6F96">
        <w:rPr>
          <w:sz w:val="24"/>
          <w:szCs w:val="24"/>
        </w:rPr>
        <w:t xml:space="preserve">pak </w:t>
      </w:r>
      <w:r>
        <w:rPr>
          <w:sz w:val="24"/>
          <w:szCs w:val="24"/>
        </w:rPr>
        <w:t xml:space="preserve">tak velká </w:t>
      </w:r>
      <w:proofErr w:type="spellStart"/>
      <w:r>
        <w:rPr>
          <w:sz w:val="24"/>
          <w:szCs w:val="24"/>
        </w:rPr>
        <w:t>rekodifikace</w:t>
      </w:r>
      <w:proofErr w:type="spellEnd"/>
      <w:r>
        <w:rPr>
          <w:sz w:val="24"/>
          <w:szCs w:val="24"/>
        </w:rPr>
        <w:t xml:space="preserve"> jakou je </w:t>
      </w:r>
      <w:proofErr w:type="spellStart"/>
      <w:r>
        <w:rPr>
          <w:sz w:val="24"/>
          <w:szCs w:val="24"/>
        </w:rPr>
        <w:t>rekodifikace</w:t>
      </w:r>
      <w:proofErr w:type="spellEnd"/>
      <w:r>
        <w:rPr>
          <w:sz w:val="24"/>
          <w:szCs w:val="24"/>
        </w:rPr>
        <w:t xml:space="preserve"> občanského práva, potřebuje nikoli jen jeden, ale mnoho inspiračních zdrojů, ze kterých může vycházet a inspirovat se tak, aby se podařilo vytvořit občanský zákoník vyspělý a moderní, přehledný a také srozumitelný pro každého</w:t>
      </w:r>
      <w:r w:rsidR="003E6F96">
        <w:rPr>
          <w:sz w:val="24"/>
          <w:szCs w:val="24"/>
        </w:rPr>
        <w:t>.</w:t>
      </w:r>
    </w:p>
    <w:p w:rsidR="00F86D32" w:rsidRDefault="00F86D32" w:rsidP="00AE5C96">
      <w:pPr>
        <w:tabs>
          <w:tab w:val="left" w:pos="426"/>
        </w:tabs>
        <w:spacing w:after="0" w:line="360" w:lineRule="auto"/>
        <w:ind w:firstLine="567"/>
        <w:jc w:val="both"/>
        <w:rPr>
          <w:sz w:val="24"/>
          <w:szCs w:val="24"/>
        </w:rPr>
      </w:pPr>
      <w:r>
        <w:rPr>
          <w:sz w:val="24"/>
          <w:szCs w:val="24"/>
        </w:rPr>
        <w:t xml:space="preserve">Je známo, že hlavním inspiračním zdrojem </w:t>
      </w:r>
      <w:proofErr w:type="spellStart"/>
      <w:r>
        <w:rPr>
          <w:sz w:val="24"/>
          <w:szCs w:val="24"/>
        </w:rPr>
        <w:t>rekodifikace</w:t>
      </w:r>
      <w:proofErr w:type="spellEnd"/>
      <w:r>
        <w:rPr>
          <w:sz w:val="24"/>
          <w:szCs w:val="24"/>
        </w:rPr>
        <w:t xml:space="preserve"> je </w:t>
      </w:r>
      <w:r w:rsidR="002B06AB">
        <w:rPr>
          <w:sz w:val="24"/>
          <w:szCs w:val="24"/>
        </w:rPr>
        <w:t xml:space="preserve">osnova </w:t>
      </w:r>
      <w:r>
        <w:rPr>
          <w:sz w:val="24"/>
          <w:szCs w:val="24"/>
        </w:rPr>
        <w:t>vládní</w:t>
      </w:r>
      <w:r w:rsidR="002B06AB">
        <w:rPr>
          <w:sz w:val="24"/>
          <w:szCs w:val="24"/>
        </w:rPr>
        <w:t>ho</w:t>
      </w:r>
      <w:r>
        <w:rPr>
          <w:sz w:val="24"/>
          <w:szCs w:val="24"/>
        </w:rPr>
        <w:t xml:space="preserve"> návrh</w:t>
      </w:r>
      <w:r w:rsidR="002B06AB">
        <w:rPr>
          <w:sz w:val="24"/>
          <w:szCs w:val="24"/>
        </w:rPr>
        <w:t>u</w:t>
      </w:r>
      <w:r>
        <w:rPr>
          <w:sz w:val="24"/>
          <w:szCs w:val="24"/>
        </w:rPr>
        <w:t xml:space="preserve"> občanského zákoníku z roku 1937. Vládní návrh sleduje modernizační revizi rakouského občanského práva (ABGB) spolu s novějšími evropskými zákoníky, například německým nebo švýcarským. Jedná se tak o návrh myšlenkově soudržný, koncepčně navazující na tradice středoevropského právního myšlení.</w:t>
      </w:r>
      <w:r>
        <w:rPr>
          <w:rStyle w:val="Znakapoznpodarou"/>
          <w:sz w:val="24"/>
          <w:szCs w:val="24"/>
        </w:rPr>
        <w:footnoteReference w:id="1"/>
      </w:r>
      <w:r>
        <w:rPr>
          <w:sz w:val="24"/>
          <w:szCs w:val="24"/>
        </w:rPr>
        <w:t xml:space="preserve"> Samozřejmě vyvstalo mnoho kritik poukazujících na to, že inspirovat se takovým „starým“ právem není nejlepším řešením. Není však sporu o tom, že mnoho velkých a moderních kodifikací se inspirovalo právě starším právem. Takovým příkladem je italská kodifikace inspirující se v </w:t>
      </w:r>
      <w:proofErr w:type="spellStart"/>
      <w:proofErr w:type="gramStart"/>
      <w:r>
        <w:rPr>
          <w:sz w:val="24"/>
          <w:szCs w:val="24"/>
        </w:rPr>
        <w:t>Code</w:t>
      </w:r>
      <w:proofErr w:type="spellEnd"/>
      <w:proofErr w:type="gramEnd"/>
      <w:r>
        <w:rPr>
          <w:sz w:val="24"/>
          <w:szCs w:val="24"/>
        </w:rPr>
        <w:t xml:space="preserve"> civil, portugalský zákoník inspirovaný německým BGB nebo litevský zákoník, který se navrací ke svému předválečnému vzoru, jenž se inspiroval švýcarským ZGB.</w:t>
      </w:r>
      <w:r>
        <w:rPr>
          <w:rStyle w:val="Znakapoznpodarou"/>
          <w:sz w:val="24"/>
          <w:szCs w:val="24"/>
        </w:rPr>
        <w:footnoteReference w:id="2"/>
      </w:r>
      <w:r>
        <w:rPr>
          <w:sz w:val="24"/>
          <w:szCs w:val="24"/>
        </w:rPr>
        <w:t xml:space="preserve"> Z těchto uvedený</w:t>
      </w:r>
      <w:r w:rsidR="0059130D">
        <w:rPr>
          <w:sz w:val="24"/>
          <w:szCs w:val="24"/>
        </w:rPr>
        <w:t>ch příkladů</w:t>
      </w:r>
      <w:r>
        <w:rPr>
          <w:sz w:val="24"/>
          <w:szCs w:val="24"/>
        </w:rPr>
        <w:t xml:space="preserve"> vyplývá, že inspirace starším právem není vždy špatným řešením, ba naopak může být často přínosem. Starší kodifikace jako bylo rakouské ABGB, německé BGB či švýcarské ZGB jsou tak vyspělými a nadčasovými, že </w:t>
      </w:r>
      <w:r w:rsidR="0059130D">
        <w:rPr>
          <w:sz w:val="24"/>
          <w:szCs w:val="24"/>
        </w:rPr>
        <w:t>mohou být vhodným</w:t>
      </w:r>
      <w:r>
        <w:rPr>
          <w:sz w:val="24"/>
          <w:szCs w:val="24"/>
        </w:rPr>
        <w:t xml:space="preserve"> zdrojem inspirace při tvorbě nových kodifikací. Samozřejmě je vždy potřebné přihlédnout i k novějším kodifikacím a potřebám moderní společnosti.</w:t>
      </w:r>
    </w:p>
    <w:p w:rsidR="0074279F" w:rsidRDefault="00F86D32" w:rsidP="00AE5C96">
      <w:pPr>
        <w:tabs>
          <w:tab w:val="left" w:pos="426"/>
        </w:tabs>
        <w:spacing w:after="0" w:line="360" w:lineRule="auto"/>
        <w:ind w:firstLine="567"/>
        <w:jc w:val="both"/>
        <w:rPr>
          <w:sz w:val="24"/>
          <w:szCs w:val="24"/>
        </w:rPr>
      </w:pPr>
      <w:r>
        <w:rPr>
          <w:sz w:val="24"/>
          <w:szCs w:val="24"/>
        </w:rPr>
        <w:t xml:space="preserve">Důvodů, proč byl hlavním inspiračním zdrojem nového občanského práva zrovna vládní návrh </w:t>
      </w:r>
      <w:r w:rsidR="00FD486D">
        <w:rPr>
          <w:sz w:val="24"/>
          <w:szCs w:val="24"/>
        </w:rPr>
        <w:t>občanského zákoníku z roku 1937</w:t>
      </w:r>
      <w:r w:rsidR="00184F45">
        <w:rPr>
          <w:sz w:val="24"/>
          <w:szCs w:val="24"/>
        </w:rPr>
        <w:t>,</w:t>
      </w:r>
      <w:r>
        <w:rPr>
          <w:sz w:val="24"/>
          <w:szCs w:val="24"/>
        </w:rPr>
        <w:t xml:space="preserve"> je několik. Nový občanský zákoník měl být zejména pojat diskontinuitně vůči myšlenkovému světu socialistických kodifikací z let 1950 a 1964.</w:t>
      </w:r>
      <w:r>
        <w:rPr>
          <w:rStyle w:val="Znakapoznpodarou"/>
          <w:sz w:val="24"/>
          <w:szCs w:val="24"/>
        </w:rPr>
        <w:footnoteReference w:id="3"/>
      </w:r>
      <w:r>
        <w:rPr>
          <w:sz w:val="24"/>
          <w:szCs w:val="24"/>
        </w:rPr>
        <w:t xml:space="preserve"> Proto bylo nutné navrátit se před socialistické období, tj. do doby meziválečného </w:t>
      </w:r>
      <w:r>
        <w:rPr>
          <w:sz w:val="24"/>
          <w:szCs w:val="24"/>
        </w:rPr>
        <w:lastRenderedPageBreak/>
        <w:t>Československa</w:t>
      </w:r>
      <w:r w:rsidR="0059130D">
        <w:rPr>
          <w:sz w:val="24"/>
          <w:szCs w:val="24"/>
        </w:rPr>
        <w:t>.</w:t>
      </w:r>
      <w:r>
        <w:rPr>
          <w:sz w:val="24"/>
          <w:szCs w:val="24"/>
        </w:rPr>
        <w:t xml:space="preserve"> Dalším důvodem je i vyspělost tohoto vládního návrhu, který v mnoha případech přejímal ustanovení nadčasového ABGB, jak je uvedeno výše. </w:t>
      </w:r>
    </w:p>
    <w:p w:rsidR="00FD486D" w:rsidRPr="00C40AEF" w:rsidRDefault="00FD486D" w:rsidP="00AE5C96">
      <w:pPr>
        <w:tabs>
          <w:tab w:val="left" w:pos="426"/>
        </w:tabs>
        <w:spacing w:after="0" w:line="360" w:lineRule="auto"/>
        <w:ind w:firstLine="567"/>
        <w:jc w:val="both"/>
        <w:rPr>
          <w:sz w:val="24"/>
          <w:szCs w:val="24"/>
        </w:rPr>
      </w:pPr>
      <w:r>
        <w:rPr>
          <w:sz w:val="24"/>
          <w:szCs w:val="24"/>
        </w:rPr>
        <w:t>Vládní návrh z roku 1937 však není jediným starším právem, které bylo inspirací při tvorbě nového občanského zákoníku. V novém kodexu se přihlíží</w:t>
      </w:r>
      <w:r w:rsidR="009E1B18">
        <w:rPr>
          <w:sz w:val="24"/>
          <w:szCs w:val="24"/>
        </w:rPr>
        <w:t xml:space="preserve"> i</w:t>
      </w:r>
      <w:r>
        <w:rPr>
          <w:sz w:val="24"/>
          <w:szCs w:val="24"/>
        </w:rPr>
        <w:t xml:space="preserve"> k důležitým zásadám římského práva, které </w:t>
      </w:r>
      <w:r w:rsidR="00566E51">
        <w:rPr>
          <w:sz w:val="24"/>
          <w:szCs w:val="24"/>
        </w:rPr>
        <w:t xml:space="preserve">je považováno za základ evropské právní kultury. </w:t>
      </w:r>
      <w:r w:rsidR="00AB5553">
        <w:rPr>
          <w:sz w:val="24"/>
          <w:szCs w:val="24"/>
        </w:rPr>
        <w:t>Inspirace římským právem může být viděna např</w:t>
      </w:r>
      <w:r w:rsidR="00015E62">
        <w:rPr>
          <w:sz w:val="24"/>
          <w:szCs w:val="24"/>
        </w:rPr>
        <w:t>íklad</w:t>
      </w:r>
      <w:r w:rsidR="00AB5553">
        <w:rPr>
          <w:sz w:val="24"/>
          <w:szCs w:val="24"/>
        </w:rPr>
        <w:t xml:space="preserve"> u institutu </w:t>
      </w:r>
      <w:r w:rsidR="00ED7B1C">
        <w:rPr>
          <w:sz w:val="24"/>
          <w:szCs w:val="24"/>
        </w:rPr>
        <w:t>darování pro případ smrti (</w:t>
      </w:r>
      <w:proofErr w:type="spellStart"/>
      <w:r w:rsidR="00ED7B1C">
        <w:rPr>
          <w:i/>
          <w:sz w:val="24"/>
          <w:szCs w:val="24"/>
        </w:rPr>
        <w:t>mortis</w:t>
      </w:r>
      <w:proofErr w:type="spellEnd"/>
      <w:r w:rsidR="00ED7B1C">
        <w:rPr>
          <w:i/>
          <w:sz w:val="24"/>
          <w:szCs w:val="24"/>
        </w:rPr>
        <w:t xml:space="preserve"> causa </w:t>
      </w:r>
      <w:proofErr w:type="spellStart"/>
      <w:r w:rsidR="00ED7B1C" w:rsidRPr="00ED7B1C">
        <w:rPr>
          <w:sz w:val="24"/>
          <w:szCs w:val="24"/>
        </w:rPr>
        <w:t>donatio</w:t>
      </w:r>
      <w:proofErr w:type="spellEnd"/>
      <w:r w:rsidR="00ED7B1C">
        <w:rPr>
          <w:sz w:val="24"/>
          <w:szCs w:val="24"/>
        </w:rPr>
        <w:t xml:space="preserve">), </w:t>
      </w:r>
      <w:r w:rsidR="00AB5553" w:rsidRPr="00ED7B1C">
        <w:rPr>
          <w:sz w:val="24"/>
          <w:szCs w:val="24"/>
        </w:rPr>
        <w:t>odkazu</w:t>
      </w:r>
      <w:r w:rsidR="00AB5553">
        <w:rPr>
          <w:sz w:val="24"/>
          <w:szCs w:val="24"/>
        </w:rPr>
        <w:t xml:space="preserve"> (</w:t>
      </w:r>
      <w:proofErr w:type="spellStart"/>
      <w:r w:rsidR="00AB5553">
        <w:rPr>
          <w:i/>
          <w:sz w:val="24"/>
          <w:szCs w:val="24"/>
        </w:rPr>
        <w:t>legatum</w:t>
      </w:r>
      <w:proofErr w:type="spellEnd"/>
      <w:r w:rsidR="00AB5553">
        <w:rPr>
          <w:sz w:val="24"/>
          <w:szCs w:val="24"/>
        </w:rPr>
        <w:t>)</w:t>
      </w:r>
      <w:r w:rsidR="00ED7B1C">
        <w:rPr>
          <w:sz w:val="24"/>
          <w:szCs w:val="24"/>
        </w:rPr>
        <w:t xml:space="preserve"> či výprosy (</w:t>
      </w:r>
      <w:proofErr w:type="spellStart"/>
      <w:r w:rsidR="00ED7B1C">
        <w:rPr>
          <w:i/>
          <w:sz w:val="24"/>
          <w:szCs w:val="24"/>
        </w:rPr>
        <w:t>precarium</w:t>
      </w:r>
      <w:proofErr w:type="spellEnd"/>
      <w:r w:rsidR="00ED7B1C">
        <w:rPr>
          <w:sz w:val="24"/>
          <w:szCs w:val="24"/>
        </w:rPr>
        <w:t>)</w:t>
      </w:r>
      <w:r w:rsidR="00AB5553">
        <w:rPr>
          <w:sz w:val="24"/>
          <w:szCs w:val="24"/>
        </w:rPr>
        <w:t>.</w:t>
      </w:r>
      <w:r w:rsidR="00AB5553">
        <w:rPr>
          <w:rStyle w:val="Znakapoznpodarou"/>
          <w:sz w:val="24"/>
          <w:szCs w:val="24"/>
        </w:rPr>
        <w:footnoteReference w:id="4"/>
      </w:r>
      <w:r w:rsidR="00C40AEF">
        <w:rPr>
          <w:sz w:val="24"/>
          <w:szCs w:val="24"/>
        </w:rPr>
        <w:t xml:space="preserve"> Vliv římského práva je však</w:t>
      </w:r>
      <w:r w:rsidR="00362837">
        <w:rPr>
          <w:sz w:val="24"/>
          <w:szCs w:val="24"/>
        </w:rPr>
        <w:t xml:space="preserve"> až na výjimky zprostředkovaný</w:t>
      </w:r>
      <w:r w:rsidR="00C40AEF">
        <w:rPr>
          <w:sz w:val="24"/>
          <w:szCs w:val="24"/>
        </w:rPr>
        <w:t xml:space="preserve"> vládní</w:t>
      </w:r>
      <w:r w:rsidR="00362837">
        <w:rPr>
          <w:sz w:val="24"/>
          <w:szCs w:val="24"/>
        </w:rPr>
        <w:t>m</w:t>
      </w:r>
      <w:r w:rsidR="00C40AEF">
        <w:rPr>
          <w:sz w:val="24"/>
          <w:szCs w:val="24"/>
        </w:rPr>
        <w:t xml:space="preserve"> návrh</w:t>
      </w:r>
      <w:r w:rsidR="00362837">
        <w:rPr>
          <w:sz w:val="24"/>
          <w:szCs w:val="24"/>
        </w:rPr>
        <w:t>em</w:t>
      </w:r>
      <w:r w:rsidR="00C40AEF">
        <w:rPr>
          <w:sz w:val="24"/>
          <w:szCs w:val="24"/>
        </w:rPr>
        <w:t xml:space="preserve"> z roku 1937, který byl tradicí římského práva </w:t>
      </w:r>
      <w:r w:rsidR="00362837">
        <w:rPr>
          <w:sz w:val="24"/>
          <w:szCs w:val="24"/>
        </w:rPr>
        <w:t xml:space="preserve">prostřednictvím ABGB </w:t>
      </w:r>
      <w:r w:rsidR="00C40AEF">
        <w:rPr>
          <w:sz w:val="24"/>
          <w:szCs w:val="24"/>
        </w:rPr>
        <w:t>též ovlivněn. Lze zmínit</w:t>
      </w:r>
      <w:r w:rsidR="003E243F">
        <w:rPr>
          <w:sz w:val="24"/>
          <w:szCs w:val="24"/>
        </w:rPr>
        <w:t xml:space="preserve"> </w:t>
      </w:r>
      <w:r w:rsidR="00C40AEF">
        <w:rPr>
          <w:sz w:val="24"/>
          <w:szCs w:val="24"/>
        </w:rPr>
        <w:t>například pr</w:t>
      </w:r>
      <w:r w:rsidR="00362837">
        <w:rPr>
          <w:sz w:val="24"/>
          <w:szCs w:val="24"/>
        </w:rPr>
        <w:t>of.</w:t>
      </w:r>
      <w:r w:rsidR="00C40AEF">
        <w:rPr>
          <w:sz w:val="24"/>
          <w:szCs w:val="24"/>
        </w:rPr>
        <w:t xml:space="preserve"> Jan</w:t>
      </w:r>
      <w:r w:rsidR="003E243F">
        <w:rPr>
          <w:sz w:val="24"/>
          <w:szCs w:val="24"/>
        </w:rPr>
        <w:t>a</w:t>
      </w:r>
      <w:r w:rsidR="00C40AEF">
        <w:rPr>
          <w:sz w:val="24"/>
          <w:szCs w:val="24"/>
        </w:rPr>
        <w:t xml:space="preserve"> Vážn</w:t>
      </w:r>
      <w:r w:rsidR="003E243F">
        <w:rPr>
          <w:sz w:val="24"/>
          <w:szCs w:val="24"/>
        </w:rPr>
        <w:t>ého, který</w:t>
      </w:r>
      <w:r w:rsidR="00C40AEF">
        <w:rPr>
          <w:sz w:val="24"/>
          <w:szCs w:val="24"/>
        </w:rPr>
        <w:t xml:space="preserve"> prohlašuje, že vládní návrh z roku 1937 tvoří součást vývoje římského práva, které skrze dílo kompilátorů </w:t>
      </w:r>
      <w:r w:rsidR="00C40AEF">
        <w:rPr>
          <w:i/>
          <w:sz w:val="24"/>
          <w:szCs w:val="24"/>
        </w:rPr>
        <w:t xml:space="preserve">Corpus </w:t>
      </w:r>
      <w:proofErr w:type="spellStart"/>
      <w:r w:rsidR="00C40AEF">
        <w:rPr>
          <w:i/>
          <w:sz w:val="24"/>
          <w:szCs w:val="24"/>
        </w:rPr>
        <w:t>Iuris</w:t>
      </w:r>
      <w:proofErr w:type="spellEnd"/>
      <w:r w:rsidR="00C40AEF">
        <w:rPr>
          <w:i/>
          <w:sz w:val="24"/>
          <w:szCs w:val="24"/>
        </w:rPr>
        <w:t xml:space="preserve"> </w:t>
      </w:r>
      <w:proofErr w:type="spellStart"/>
      <w:r w:rsidR="00C40AEF">
        <w:rPr>
          <w:i/>
          <w:sz w:val="24"/>
          <w:szCs w:val="24"/>
        </w:rPr>
        <w:t>Civilis</w:t>
      </w:r>
      <w:proofErr w:type="spellEnd"/>
      <w:r w:rsidR="00C40AEF">
        <w:rPr>
          <w:i/>
          <w:sz w:val="24"/>
          <w:szCs w:val="24"/>
        </w:rPr>
        <w:t xml:space="preserve"> </w:t>
      </w:r>
      <w:r w:rsidR="00C40AEF">
        <w:rPr>
          <w:sz w:val="24"/>
          <w:szCs w:val="24"/>
        </w:rPr>
        <w:t>a tvůrců ABGB dovršuje právě v tomto vládním návrhu.</w:t>
      </w:r>
      <w:r w:rsidR="00C40AEF">
        <w:rPr>
          <w:rStyle w:val="Znakapoznpodarou"/>
          <w:sz w:val="24"/>
          <w:szCs w:val="24"/>
        </w:rPr>
        <w:footnoteReference w:id="5"/>
      </w:r>
    </w:p>
    <w:p w:rsidR="006023F3" w:rsidRDefault="0074279F" w:rsidP="00AE5C96">
      <w:pPr>
        <w:tabs>
          <w:tab w:val="left" w:pos="426"/>
        </w:tabs>
        <w:spacing w:after="0" w:line="360" w:lineRule="auto"/>
        <w:ind w:firstLine="567"/>
        <w:jc w:val="both"/>
        <w:rPr>
          <w:sz w:val="24"/>
          <w:szCs w:val="24"/>
        </w:rPr>
      </w:pPr>
      <w:r>
        <w:rPr>
          <w:sz w:val="24"/>
          <w:szCs w:val="24"/>
        </w:rPr>
        <w:t xml:space="preserve">Pokud jde o další, </w:t>
      </w:r>
      <w:r w:rsidR="00566E51">
        <w:rPr>
          <w:sz w:val="24"/>
          <w:szCs w:val="24"/>
        </w:rPr>
        <w:t>neméně významné</w:t>
      </w:r>
      <w:r w:rsidR="00D55212">
        <w:rPr>
          <w:sz w:val="24"/>
          <w:szCs w:val="24"/>
        </w:rPr>
        <w:t>,</w:t>
      </w:r>
      <w:r>
        <w:rPr>
          <w:sz w:val="24"/>
          <w:szCs w:val="24"/>
        </w:rPr>
        <w:t xml:space="preserve"> inspirační zdroje, určitě mezi ně lze zařadit mnohé zahraniční kodexy, zejména pak ten rakouský, italský, nizozemský, québecký či ruský</w:t>
      </w:r>
      <w:r w:rsidR="00D55212">
        <w:rPr>
          <w:sz w:val="24"/>
          <w:szCs w:val="24"/>
        </w:rPr>
        <w:t>,</w:t>
      </w:r>
      <w:r>
        <w:rPr>
          <w:sz w:val="24"/>
          <w:szCs w:val="24"/>
        </w:rPr>
        <w:t xml:space="preserve"> které patří mezi </w:t>
      </w:r>
      <w:r w:rsidR="00D55212">
        <w:rPr>
          <w:sz w:val="24"/>
          <w:szCs w:val="24"/>
        </w:rPr>
        <w:t xml:space="preserve">ty nejmodernější. </w:t>
      </w:r>
    </w:p>
    <w:p w:rsidR="00D55212" w:rsidRDefault="00566E51" w:rsidP="00AE5C96">
      <w:pPr>
        <w:tabs>
          <w:tab w:val="left" w:pos="426"/>
        </w:tabs>
        <w:spacing w:after="0" w:line="360" w:lineRule="auto"/>
        <w:ind w:firstLine="567"/>
        <w:jc w:val="both"/>
        <w:rPr>
          <w:sz w:val="24"/>
          <w:szCs w:val="24"/>
        </w:rPr>
      </w:pPr>
      <w:r>
        <w:rPr>
          <w:sz w:val="24"/>
          <w:szCs w:val="24"/>
        </w:rPr>
        <w:t xml:space="preserve">Nový občanský zákoník však </w:t>
      </w:r>
      <w:r w:rsidR="00060DB6">
        <w:rPr>
          <w:sz w:val="24"/>
          <w:szCs w:val="24"/>
        </w:rPr>
        <w:t>podle jeho autorů nepřistupuje</w:t>
      </w:r>
      <w:r>
        <w:rPr>
          <w:sz w:val="24"/>
          <w:szCs w:val="24"/>
        </w:rPr>
        <w:t xml:space="preserve"> k</w:t>
      </w:r>
      <w:r w:rsidR="00060DB6">
        <w:rPr>
          <w:sz w:val="24"/>
          <w:szCs w:val="24"/>
        </w:rPr>
        <w:t xml:space="preserve"> současným</w:t>
      </w:r>
      <w:r>
        <w:rPr>
          <w:sz w:val="24"/>
          <w:szCs w:val="24"/>
        </w:rPr>
        <w:t xml:space="preserve"> zahraničním </w:t>
      </w:r>
      <w:r w:rsidR="00060DB6">
        <w:rPr>
          <w:sz w:val="24"/>
          <w:szCs w:val="24"/>
        </w:rPr>
        <w:t xml:space="preserve">či tradičním </w:t>
      </w:r>
      <w:r>
        <w:rPr>
          <w:sz w:val="24"/>
          <w:szCs w:val="24"/>
        </w:rPr>
        <w:t xml:space="preserve">úpravám jako k dogmatům a nerecipuje je bezmyšlenkovitě, </w:t>
      </w:r>
      <w:r w:rsidR="00901A42">
        <w:rPr>
          <w:sz w:val="24"/>
          <w:szCs w:val="24"/>
        </w:rPr>
        <w:t>nicméně</w:t>
      </w:r>
      <w:r>
        <w:rPr>
          <w:sz w:val="24"/>
          <w:szCs w:val="24"/>
        </w:rPr>
        <w:t xml:space="preserve"> až po předchozím kritickém vyhodnocení a obsáhlejší komparativní analýze.</w:t>
      </w:r>
      <w:r>
        <w:rPr>
          <w:rStyle w:val="Znakapoznpodarou"/>
          <w:sz w:val="24"/>
          <w:szCs w:val="24"/>
        </w:rPr>
        <w:footnoteReference w:id="6"/>
      </w:r>
    </w:p>
    <w:p w:rsidR="006023F3" w:rsidRDefault="006023F3" w:rsidP="00AE5C96">
      <w:pPr>
        <w:tabs>
          <w:tab w:val="left" w:pos="426"/>
        </w:tabs>
        <w:spacing w:after="0" w:line="360" w:lineRule="auto"/>
        <w:ind w:firstLine="567"/>
        <w:jc w:val="both"/>
        <w:rPr>
          <w:sz w:val="24"/>
          <w:szCs w:val="24"/>
        </w:rPr>
      </w:pPr>
      <w:r>
        <w:rPr>
          <w:sz w:val="24"/>
          <w:szCs w:val="24"/>
        </w:rPr>
        <w:t>Pominuty nebyly při vypracovávání nového občanského zákoníku ani mezinárodní smlouvy či nařízení a směrnice Evropské unie. Byly brány v úvahu i nadnárodní projekty jakými jsou například zásady UNIDROIT</w:t>
      </w:r>
      <w:r>
        <w:rPr>
          <w:rStyle w:val="Znakapoznpodarou"/>
          <w:sz w:val="24"/>
          <w:szCs w:val="24"/>
        </w:rPr>
        <w:footnoteReference w:id="7"/>
      </w:r>
      <w:r>
        <w:rPr>
          <w:sz w:val="24"/>
          <w:szCs w:val="24"/>
        </w:rPr>
        <w:t>, Návrh společného referenčního rámce DCFR, či projekty vypracované akademickými kruhy (PECL</w:t>
      </w:r>
      <w:r>
        <w:rPr>
          <w:rStyle w:val="Znakapoznpodarou"/>
          <w:sz w:val="24"/>
          <w:szCs w:val="24"/>
        </w:rPr>
        <w:footnoteReference w:id="8"/>
      </w:r>
      <w:r>
        <w:rPr>
          <w:sz w:val="24"/>
          <w:szCs w:val="24"/>
        </w:rPr>
        <w:t>, PETL</w:t>
      </w:r>
      <w:r>
        <w:rPr>
          <w:rStyle w:val="Znakapoznpodarou"/>
          <w:sz w:val="24"/>
          <w:szCs w:val="24"/>
        </w:rPr>
        <w:footnoteReference w:id="9"/>
      </w:r>
      <w:r>
        <w:rPr>
          <w:sz w:val="24"/>
          <w:szCs w:val="24"/>
        </w:rPr>
        <w:t>, PEFL</w:t>
      </w:r>
      <w:r>
        <w:rPr>
          <w:rStyle w:val="Znakapoznpodarou"/>
          <w:sz w:val="24"/>
          <w:szCs w:val="24"/>
        </w:rPr>
        <w:footnoteReference w:id="10"/>
      </w:r>
      <w:r>
        <w:rPr>
          <w:sz w:val="24"/>
          <w:szCs w:val="24"/>
        </w:rPr>
        <w:t xml:space="preserve"> apod.).</w:t>
      </w:r>
      <w:r>
        <w:rPr>
          <w:rStyle w:val="Znakapoznpodarou"/>
          <w:sz w:val="24"/>
          <w:szCs w:val="24"/>
        </w:rPr>
        <w:footnoteReference w:id="11"/>
      </w:r>
      <w:r>
        <w:rPr>
          <w:sz w:val="24"/>
          <w:szCs w:val="24"/>
        </w:rPr>
        <w:t xml:space="preserve"> </w:t>
      </w:r>
    </w:p>
    <w:p w:rsidR="00B8098D" w:rsidRDefault="00B8098D" w:rsidP="00AE5C96">
      <w:pPr>
        <w:tabs>
          <w:tab w:val="left" w:pos="426"/>
        </w:tabs>
        <w:spacing w:after="0" w:line="360" w:lineRule="auto"/>
        <w:ind w:firstLine="567"/>
        <w:jc w:val="both"/>
        <w:rPr>
          <w:sz w:val="24"/>
          <w:szCs w:val="24"/>
        </w:rPr>
      </w:pPr>
      <w:r>
        <w:rPr>
          <w:sz w:val="24"/>
          <w:szCs w:val="24"/>
        </w:rPr>
        <w:t xml:space="preserve">Naposled je nutno dodat, že v několika </w:t>
      </w:r>
      <w:r w:rsidR="00E31EBF">
        <w:rPr>
          <w:sz w:val="24"/>
          <w:szCs w:val="24"/>
        </w:rPr>
        <w:t>ohlede</w:t>
      </w:r>
      <w:r>
        <w:rPr>
          <w:sz w:val="24"/>
          <w:szCs w:val="24"/>
        </w:rPr>
        <w:t>ch hledá nový občanský zákoník inspiraci i v předchozím občanském zákoníku z roku 1964.</w:t>
      </w:r>
      <w:r>
        <w:rPr>
          <w:rStyle w:val="Znakapoznpodarou"/>
          <w:sz w:val="24"/>
          <w:szCs w:val="24"/>
        </w:rPr>
        <w:footnoteReference w:id="12"/>
      </w:r>
    </w:p>
    <w:p w:rsidR="0074279F" w:rsidRDefault="0074279F" w:rsidP="00AE5C96">
      <w:pPr>
        <w:tabs>
          <w:tab w:val="left" w:pos="426"/>
        </w:tabs>
        <w:spacing w:after="0" w:line="360" w:lineRule="auto"/>
        <w:ind w:firstLine="567"/>
        <w:jc w:val="both"/>
        <w:rPr>
          <w:sz w:val="24"/>
          <w:szCs w:val="24"/>
        </w:rPr>
      </w:pPr>
      <w:r>
        <w:rPr>
          <w:sz w:val="24"/>
          <w:szCs w:val="24"/>
        </w:rPr>
        <w:t xml:space="preserve">Zda bylo </w:t>
      </w:r>
      <w:r w:rsidR="006B6710">
        <w:rPr>
          <w:sz w:val="24"/>
          <w:szCs w:val="24"/>
        </w:rPr>
        <w:t>při tvorbě nového občanského práva užití výše uvedených inspiračních zdrojů správné</w:t>
      </w:r>
      <w:r w:rsidR="00B8098D">
        <w:rPr>
          <w:sz w:val="24"/>
          <w:szCs w:val="24"/>
        </w:rPr>
        <w:t>,</w:t>
      </w:r>
      <w:r>
        <w:rPr>
          <w:sz w:val="24"/>
          <w:szCs w:val="24"/>
        </w:rPr>
        <w:t xml:space="preserve"> se ukáže až </w:t>
      </w:r>
      <w:r w:rsidR="00060DB6">
        <w:rPr>
          <w:sz w:val="24"/>
          <w:szCs w:val="24"/>
        </w:rPr>
        <w:t>odstupem času</w:t>
      </w:r>
      <w:r>
        <w:rPr>
          <w:sz w:val="24"/>
          <w:szCs w:val="24"/>
        </w:rPr>
        <w:t xml:space="preserve">. </w:t>
      </w:r>
      <w:r w:rsidR="00060DB6">
        <w:rPr>
          <w:sz w:val="24"/>
          <w:szCs w:val="24"/>
        </w:rPr>
        <w:t xml:space="preserve">Česko-rakouskou tradici obsaženou ve vládním návrhu </w:t>
      </w:r>
      <w:r w:rsidR="00060DB6">
        <w:rPr>
          <w:sz w:val="24"/>
          <w:szCs w:val="24"/>
        </w:rPr>
        <w:lastRenderedPageBreak/>
        <w:t>z roku 1937 však lze, ve spojení s dalšími inspiračními zdroji, považovat za dobrý základ pro moderní, výstižný a srozumitelný občanský zákoník.</w:t>
      </w:r>
      <w:r w:rsidRPr="0074279F">
        <w:rPr>
          <w:sz w:val="24"/>
          <w:szCs w:val="24"/>
        </w:rPr>
        <w:t xml:space="preserve"> </w:t>
      </w:r>
    </w:p>
    <w:p w:rsidR="00F86D32" w:rsidRPr="008D11B8" w:rsidRDefault="00F86D32" w:rsidP="00AE5C96">
      <w:pPr>
        <w:pStyle w:val="Nadpis2"/>
        <w:numPr>
          <w:ilvl w:val="1"/>
          <w:numId w:val="2"/>
        </w:numPr>
        <w:spacing w:line="360" w:lineRule="auto"/>
        <w:jc w:val="both"/>
        <w:rPr>
          <w:rFonts w:ascii="Times New Roman" w:hAnsi="Times New Roman" w:cs="Times New Roman"/>
          <w:color w:val="auto"/>
        </w:rPr>
      </w:pPr>
      <w:bookmarkStart w:id="3" w:name="_Toc409631280"/>
      <w:r w:rsidRPr="008D11B8">
        <w:rPr>
          <w:rFonts w:ascii="Times New Roman" w:hAnsi="Times New Roman" w:cs="Times New Roman"/>
          <w:color w:val="auto"/>
        </w:rPr>
        <w:t xml:space="preserve">Inspirační zdroje </w:t>
      </w:r>
      <w:r w:rsidR="00B10691">
        <w:rPr>
          <w:rFonts w:ascii="Times New Roman" w:hAnsi="Times New Roman" w:cs="Times New Roman"/>
          <w:color w:val="auto"/>
        </w:rPr>
        <w:t>úpravy</w:t>
      </w:r>
      <w:r w:rsidRPr="008D11B8">
        <w:rPr>
          <w:rFonts w:ascii="Times New Roman" w:hAnsi="Times New Roman" w:cs="Times New Roman"/>
          <w:color w:val="auto"/>
        </w:rPr>
        <w:t xml:space="preserve"> dědického práva</w:t>
      </w:r>
      <w:bookmarkEnd w:id="3"/>
    </w:p>
    <w:p w:rsidR="00ED7B1C" w:rsidRDefault="00BA279C" w:rsidP="00AE5C96">
      <w:pPr>
        <w:tabs>
          <w:tab w:val="left" w:pos="426"/>
        </w:tabs>
        <w:spacing w:after="0" w:line="360" w:lineRule="auto"/>
        <w:ind w:firstLine="567"/>
        <w:jc w:val="both"/>
        <w:rPr>
          <w:sz w:val="24"/>
          <w:szCs w:val="24"/>
        </w:rPr>
      </w:pPr>
      <w:r>
        <w:rPr>
          <w:sz w:val="24"/>
          <w:szCs w:val="24"/>
        </w:rPr>
        <w:t xml:space="preserve">Relevantní v této práci je však </w:t>
      </w:r>
      <w:r w:rsidR="005C47C5">
        <w:rPr>
          <w:sz w:val="24"/>
          <w:szCs w:val="24"/>
        </w:rPr>
        <w:t>právní úprava</w:t>
      </w:r>
      <w:r>
        <w:rPr>
          <w:sz w:val="24"/>
          <w:szCs w:val="24"/>
        </w:rPr>
        <w:t xml:space="preserve"> dědického práva.</w:t>
      </w:r>
      <w:r w:rsidR="00F86D32">
        <w:rPr>
          <w:sz w:val="24"/>
          <w:szCs w:val="24"/>
        </w:rPr>
        <w:t xml:space="preserve"> </w:t>
      </w:r>
      <w:r>
        <w:rPr>
          <w:sz w:val="24"/>
          <w:szCs w:val="24"/>
        </w:rPr>
        <w:t>O</w:t>
      </w:r>
      <w:r w:rsidR="00F86D32">
        <w:rPr>
          <w:sz w:val="24"/>
          <w:szCs w:val="24"/>
        </w:rPr>
        <w:t>bčanský zákoník z roku 1964 přezíravě opovrhoval vůli mrtvého a nastolil neodůvodněnou nerovnováhu mezi zůstavitelem, dědici a zůstavitelovými věřiteli. Vykazoval také neuvěřitelné zploštění v porovnání s jinými zeměmi střední Evropy.</w:t>
      </w:r>
      <w:r w:rsidR="00F86D32">
        <w:rPr>
          <w:rStyle w:val="Znakapoznpodarou"/>
          <w:sz w:val="24"/>
          <w:szCs w:val="24"/>
        </w:rPr>
        <w:footnoteReference w:id="13"/>
      </w:r>
      <w:r w:rsidR="00F86D32">
        <w:rPr>
          <w:sz w:val="24"/>
          <w:szCs w:val="24"/>
        </w:rPr>
        <w:t xml:space="preserve"> </w:t>
      </w:r>
      <w:r>
        <w:rPr>
          <w:sz w:val="24"/>
          <w:szCs w:val="24"/>
        </w:rPr>
        <w:t>V</w:t>
      </w:r>
      <w:r w:rsidR="00F86D32">
        <w:rPr>
          <w:sz w:val="24"/>
          <w:szCs w:val="24"/>
        </w:rPr>
        <w:t xml:space="preserve"> novém občanském zákoníku </w:t>
      </w:r>
      <w:r>
        <w:rPr>
          <w:sz w:val="24"/>
          <w:szCs w:val="24"/>
        </w:rPr>
        <w:t xml:space="preserve">tak byl vzat za vzor </w:t>
      </w:r>
      <w:r w:rsidR="00F86D32">
        <w:rPr>
          <w:sz w:val="24"/>
          <w:szCs w:val="24"/>
        </w:rPr>
        <w:t xml:space="preserve">vládní návrh z roku 1937, potažmo rakouské ABGB, ze kterého vládní návrh vychází. Ty totiž obsahují přehlednou a podrobnou právní úpravu dědického práva a jeho jednotlivých institutů. Nicméně nový občanský zákoník nepřebírá právní úpravu dědického práva z vládního návrhu doslova, což je mj. zřejmé z další části diplomové práce, která se věnuje srovnávání ustanovení vládního návrhu a nového občanského zákoníku. Některá ustanovení (například o dědické přihlášce) nebyla převzata vůbec, některá (například o druzích odkazu) byla převzata z části. Oproti tomu </w:t>
      </w:r>
      <w:r w:rsidR="001B7D2A">
        <w:rPr>
          <w:sz w:val="24"/>
          <w:szCs w:val="24"/>
        </w:rPr>
        <w:t xml:space="preserve">například </w:t>
      </w:r>
      <w:r w:rsidR="00F86D32">
        <w:rPr>
          <w:sz w:val="24"/>
          <w:szCs w:val="24"/>
        </w:rPr>
        <w:t xml:space="preserve">právní úprava náhradnictví a </w:t>
      </w:r>
      <w:proofErr w:type="spellStart"/>
      <w:r w:rsidR="00F86D32">
        <w:rPr>
          <w:sz w:val="24"/>
          <w:szCs w:val="24"/>
        </w:rPr>
        <w:t>svěřenského</w:t>
      </w:r>
      <w:proofErr w:type="spellEnd"/>
      <w:r w:rsidR="00F86D32">
        <w:rPr>
          <w:sz w:val="24"/>
          <w:szCs w:val="24"/>
        </w:rPr>
        <w:t xml:space="preserve"> nástupnictví, či vedlejších doložek v závěti byla zcela inspirována ustanoveními meziválečné </w:t>
      </w:r>
      <w:proofErr w:type="spellStart"/>
      <w:r w:rsidR="00F86D32">
        <w:rPr>
          <w:sz w:val="24"/>
          <w:szCs w:val="24"/>
        </w:rPr>
        <w:t>rekodifikace</w:t>
      </w:r>
      <w:proofErr w:type="spellEnd"/>
      <w:r w:rsidR="00F86D32">
        <w:rPr>
          <w:sz w:val="24"/>
          <w:szCs w:val="24"/>
        </w:rPr>
        <w:t>.</w:t>
      </w:r>
      <w:r w:rsidR="00B8098D">
        <w:rPr>
          <w:sz w:val="24"/>
          <w:szCs w:val="24"/>
        </w:rPr>
        <w:t xml:space="preserve"> </w:t>
      </w:r>
    </w:p>
    <w:p w:rsidR="00F86D32" w:rsidRDefault="00AD25F9" w:rsidP="00AE5C96">
      <w:pPr>
        <w:tabs>
          <w:tab w:val="left" w:pos="426"/>
        </w:tabs>
        <w:spacing w:after="0" w:line="360" w:lineRule="auto"/>
        <w:ind w:firstLine="567"/>
        <w:jc w:val="both"/>
        <w:rPr>
          <w:sz w:val="24"/>
          <w:szCs w:val="24"/>
        </w:rPr>
      </w:pPr>
      <w:r>
        <w:rPr>
          <w:sz w:val="24"/>
          <w:szCs w:val="24"/>
        </w:rPr>
        <w:t>I</w:t>
      </w:r>
      <w:r w:rsidR="00F86D32">
        <w:rPr>
          <w:sz w:val="24"/>
          <w:szCs w:val="24"/>
        </w:rPr>
        <w:t xml:space="preserve"> z metodologického hlediska byl vzat za vzor nového občanského zákoníku právě vládní návrh z roku 1937. Ten byl vhodným příkladem </w:t>
      </w:r>
      <w:r w:rsidR="003577FB">
        <w:rPr>
          <w:sz w:val="24"/>
          <w:szCs w:val="24"/>
        </w:rPr>
        <w:t xml:space="preserve">co </w:t>
      </w:r>
      <w:r w:rsidR="00F86D32">
        <w:rPr>
          <w:sz w:val="24"/>
          <w:szCs w:val="24"/>
        </w:rPr>
        <w:t>do své celkové koncepce a systematického uspořádání větších tematických celků, tzn. i dědického práva.</w:t>
      </w:r>
      <w:r w:rsidR="00F86D32">
        <w:rPr>
          <w:rStyle w:val="Znakapoznpodarou"/>
          <w:sz w:val="24"/>
          <w:szCs w:val="24"/>
        </w:rPr>
        <w:footnoteReference w:id="14"/>
      </w:r>
      <w:r w:rsidR="00F86D32">
        <w:rPr>
          <w:sz w:val="24"/>
          <w:szCs w:val="24"/>
        </w:rPr>
        <w:t xml:space="preserve"> Pro lepší znázornění uvádí diplomová práce přehledovou tabulku o systematice právní úpravy dědického práva ve vládním návrhu (v tabulce jako VN) a v novém občanském zákoníku </w:t>
      </w:r>
      <w:r w:rsidR="00AE5C96">
        <w:rPr>
          <w:sz w:val="24"/>
          <w:szCs w:val="24"/>
        </w:rPr>
        <w:br/>
      </w:r>
      <w:r w:rsidR="00F86D32">
        <w:rPr>
          <w:sz w:val="24"/>
          <w:szCs w:val="24"/>
        </w:rPr>
        <w:t>(v tabulce jako NOZ).</w:t>
      </w:r>
    </w:p>
    <w:p w:rsidR="00F86D32" w:rsidRDefault="00F86D32" w:rsidP="00AE5C96">
      <w:pPr>
        <w:tabs>
          <w:tab w:val="left" w:pos="426"/>
        </w:tabs>
        <w:spacing w:after="0" w:line="360" w:lineRule="auto"/>
        <w:jc w:val="both"/>
        <w:rPr>
          <w:sz w:val="24"/>
          <w:szCs w:val="24"/>
        </w:rPr>
      </w:pPr>
    </w:p>
    <w:tbl>
      <w:tblPr>
        <w:tblStyle w:val="Mkatabulky"/>
        <w:tblW w:w="9212" w:type="dxa"/>
        <w:tblInd w:w="108" w:type="dxa"/>
        <w:tblLook w:val="04A0"/>
      </w:tblPr>
      <w:tblGrid>
        <w:gridCol w:w="4606"/>
        <w:gridCol w:w="4606"/>
      </w:tblGrid>
      <w:tr w:rsidR="00F86D32" w:rsidTr="001B7D2A">
        <w:tc>
          <w:tcPr>
            <w:tcW w:w="4606" w:type="dxa"/>
          </w:tcPr>
          <w:p w:rsidR="00F86D32" w:rsidRPr="00B86927" w:rsidRDefault="00F86D32" w:rsidP="00AE5C96">
            <w:pPr>
              <w:jc w:val="both"/>
              <w:rPr>
                <w:b/>
                <w:sz w:val="24"/>
                <w:highlight w:val="lightGray"/>
              </w:rPr>
            </w:pPr>
            <w:r w:rsidRPr="00B86927">
              <w:rPr>
                <w:b/>
                <w:sz w:val="24"/>
                <w:highlight w:val="lightGray"/>
              </w:rPr>
              <w:t>VN – HLAVA 15-24</w:t>
            </w:r>
          </w:p>
        </w:tc>
        <w:tc>
          <w:tcPr>
            <w:tcW w:w="4606" w:type="dxa"/>
          </w:tcPr>
          <w:p w:rsidR="00F86D32" w:rsidRPr="00B86927" w:rsidRDefault="00F86D32" w:rsidP="00AE5C96">
            <w:pPr>
              <w:jc w:val="both"/>
              <w:rPr>
                <w:b/>
                <w:sz w:val="24"/>
                <w:highlight w:val="lightGray"/>
              </w:rPr>
            </w:pPr>
            <w:r w:rsidRPr="00B86927">
              <w:rPr>
                <w:b/>
                <w:sz w:val="24"/>
                <w:highlight w:val="lightGray"/>
              </w:rPr>
              <w:t>NOZ – HLAVA III, DÍL 1-8</w:t>
            </w:r>
          </w:p>
        </w:tc>
      </w:tr>
      <w:tr w:rsidR="00F86D32" w:rsidTr="001B7D2A">
        <w:tc>
          <w:tcPr>
            <w:tcW w:w="4606" w:type="dxa"/>
          </w:tcPr>
          <w:p w:rsidR="00F86D32" w:rsidRPr="00B86927" w:rsidRDefault="00F86D32" w:rsidP="00AE5C96">
            <w:pPr>
              <w:jc w:val="both"/>
              <w:rPr>
                <w:sz w:val="24"/>
              </w:rPr>
            </w:pPr>
            <w:proofErr w:type="gramStart"/>
            <w:r w:rsidRPr="00B86927">
              <w:rPr>
                <w:sz w:val="24"/>
              </w:rPr>
              <w:t>HL.15</w:t>
            </w:r>
            <w:proofErr w:type="gramEnd"/>
            <w:r w:rsidRPr="00B86927">
              <w:rPr>
                <w:sz w:val="24"/>
              </w:rPr>
              <w:t xml:space="preserve"> </w:t>
            </w:r>
            <w:r w:rsidRPr="00B86927">
              <w:rPr>
                <w:b/>
                <w:sz w:val="24"/>
              </w:rPr>
              <w:t>PRÁVO NA POZŮSTALOST</w:t>
            </w:r>
          </w:p>
        </w:tc>
        <w:tc>
          <w:tcPr>
            <w:tcW w:w="4606" w:type="dxa"/>
          </w:tcPr>
          <w:p w:rsidR="00F86D32" w:rsidRPr="00B86927" w:rsidRDefault="00F86D32" w:rsidP="00AE5C96">
            <w:pPr>
              <w:jc w:val="both"/>
              <w:rPr>
                <w:sz w:val="24"/>
              </w:rPr>
            </w:pPr>
            <w:r w:rsidRPr="00B86927">
              <w:rPr>
                <w:sz w:val="24"/>
              </w:rPr>
              <w:t xml:space="preserve">DÍL 1 </w:t>
            </w:r>
            <w:r w:rsidRPr="00B86927">
              <w:rPr>
                <w:b/>
                <w:sz w:val="24"/>
              </w:rPr>
              <w:t>PRÁVO NA POZŮSTALOST</w:t>
            </w:r>
          </w:p>
        </w:tc>
      </w:tr>
      <w:tr w:rsidR="00F86D32" w:rsidTr="001B7D2A">
        <w:tc>
          <w:tcPr>
            <w:tcW w:w="4606" w:type="dxa"/>
          </w:tcPr>
          <w:p w:rsidR="00F86D32" w:rsidRPr="00B86927" w:rsidRDefault="00F86D32" w:rsidP="00AE5C96">
            <w:pPr>
              <w:jc w:val="both"/>
              <w:rPr>
                <w:sz w:val="24"/>
              </w:rPr>
            </w:pPr>
            <w:proofErr w:type="gramStart"/>
            <w:r w:rsidRPr="00B86927">
              <w:rPr>
                <w:sz w:val="24"/>
              </w:rPr>
              <w:t>HL.16</w:t>
            </w:r>
            <w:proofErr w:type="gramEnd"/>
            <w:r w:rsidRPr="00B86927">
              <w:rPr>
                <w:sz w:val="24"/>
              </w:rPr>
              <w:t xml:space="preserve"> </w:t>
            </w:r>
            <w:r w:rsidRPr="00B86927">
              <w:rPr>
                <w:b/>
                <w:sz w:val="24"/>
              </w:rPr>
              <w:t>POŘÍZENÍ PRO PŘÍPAD SMRTI</w:t>
            </w:r>
          </w:p>
        </w:tc>
        <w:tc>
          <w:tcPr>
            <w:tcW w:w="4606" w:type="dxa"/>
          </w:tcPr>
          <w:p w:rsidR="00F86D32" w:rsidRPr="00B86927" w:rsidRDefault="00F86D32" w:rsidP="00AE5C96">
            <w:pPr>
              <w:jc w:val="both"/>
              <w:rPr>
                <w:sz w:val="24"/>
              </w:rPr>
            </w:pPr>
            <w:r w:rsidRPr="00B86927">
              <w:rPr>
                <w:sz w:val="24"/>
              </w:rPr>
              <w:t xml:space="preserve">DÍL 2 </w:t>
            </w:r>
            <w:r w:rsidRPr="00B86927">
              <w:rPr>
                <w:b/>
                <w:sz w:val="24"/>
              </w:rPr>
              <w:t>POŘÍZENÍ PRO PŘÍPAD SMRTI</w:t>
            </w:r>
          </w:p>
        </w:tc>
      </w:tr>
      <w:tr w:rsidR="00F86D32" w:rsidTr="001B7D2A">
        <w:tc>
          <w:tcPr>
            <w:tcW w:w="4606" w:type="dxa"/>
          </w:tcPr>
          <w:p w:rsidR="00F86D32" w:rsidRPr="00B86927" w:rsidRDefault="00F86D32" w:rsidP="00AE5C96">
            <w:pPr>
              <w:jc w:val="both"/>
              <w:rPr>
                <w:sz w:val="24"/>
              </w:rPr>
            </w:pPr>
            <w:proofErr w:type="gramStart"/>
            <w:r w:rsidRPr="00B86927">
              <w:rPr>
                <w:sz w:val="24"/>
              </w:rPr>
              <w:t>HL.17</w:t>
            </w:r>
            <w:proofErr w:type="gramEnd"/>
            <w:r w:rsidRPr="00B86927">
              <w:rPr>
                <w:sz w:val="24"/>
              </w:rPr>
              <w:t xml:space="preserve"> </w:t>
            </w:r>
            <w:r w:rsidRPr="00B86927">
              <w:rPr>
                <w:b/>
                <w:sz w:val="24"/>
              </w:rPr>
              <w:t>NÁHRADNICTVÍ, SVĚŘ.NÁST.</w:t>
            </w:r>
          </w:p>
        </w:tc>
        <w:tc>
          <w:tcPr>
            <w:tcW w:w="4606" w:type="dxa"/>
          </w:tcPr>
          <w:p w:rsidR="00F86D32" w:rsidRPr="00B86927" w:rsidRDefault="00F86D32" w:rsidP="00AE5C96">
            <w:pPr>
              <w:jc w:val="both"/>
              <w:rPr>
                <w:sz w:val="24"/>
              </w:rPr>
            </w:pPr>
            <w:r w:rsidRPr="00B86927">
              <w:rPr>
                <w:sz w:val="24"/>
              </w:rPr>
              <w:t xml:space="preserve">DÍL 3 </w:t>
            </w:r>
            <w:r w:rsidRPr="00B86927">
              <w:rPr>
                <w:b/>
                <w:sz w:val="24"/>
              </w:rPr>
              <w:t>ODKAZY</w:t>
            </w:r>
          </w:p>
        </w:tc>
      </w:tr>
      <w:tr w:rsidR="00F86D32" w:rsidTr="001B7D2A">
        <w:tc>
          <w:tcPr>
            <w:tcW w:w="4606" w:type="dxa"/>
          </w:tcPr>
          <w:p w:rsidR="00F86D32" w:rsidRPr="00B86927" w:rsidRDefault="00F86D32" w:rsidP="00AE5C96">
            <w:pPr>
              <w:jc w:val="both"/>
              <w:rPr>
                <w:sz w:val="24"/>
              </w:rPr>
            </w:pPr>
            <w:proofErr w:type="gramStart"/>
            <w:r w:rsidRPr="00B86927">
              <w:rPr>
                <w:sz w:val="24"/>
              </w:rPr>
              <w:t>HL.18</w:t>
            </w:r>
            <w:proofErr w:type="gramEnd"/>
            <w:r w:rsidRPr="00B86927">
              <w:rPr>
                <w:sz w:val="24"/>
              </w:rPr>
              <w:t xml:space="preserve"> </w:t>
            </w:r>
            <w:r w:rsidRPr="00B86927">
              <w:rPr>
                <w:b/>
                <w:sz w:val="24"/>
              </w:rPr>
              <w:t>ODKAZY</w:t>
            </w:r>
          </w:p>
        </w:tc>
        <w:tc>
          <w:tcPr>
            <w:tcW w:w="4606" w:type="dxa"/>
          </w:tcPr>
          <w:p w:rsidR="00F86D32" w:rsidRPr="00B86927" w:rsidRDefault="00F86D32" w:rsidP="00AE5C96">
            <w:pPr>
              <w:jc w:val="both"/>
              <w:rPr>
                <w:sz w:val="24"/>
              </w:rPr>
            </w:pPr>
            <w:proofErr w:type="gramStart"/>
            <w:r w:rsidRPr="00B86927">
              <w:rPr>
                <w:sz w:val="24"/>
              </w:rPr>
              <w:t xml:space="preserve">DÍL 4  </w:t>
            </w:r>
            <w:r w:rsidRPr="00B86927">
              <w:rPr>
                <w:b/>
                <w:sz w:val="24"/>
              </w:rPr>
              <w:t>ZÁKONNÁ</w:t>
            </w:r>
            <w:proofErr w:type="gramEnd"/>
            <w:r w:rsidRPr="00B86927">
              <w:rPr>
                <w:b/>
                <w:sz w:val="24"/>
              </w:rPr>
              <w:t xml:space="preserve"> POSLOUPNOST</w:t>
            </w:r>
          </w:p>
        </w:tc>
      </w:tr>
      <w:tr w:rsidR="00F86D32" w:rsidTr="001B7D2A">
        <w:tc>
          <w:tcPr>
            <w:tcW w:w="4606" w:type="dxa"/>
          </w:tcPr>
          <w:p w:rsidR="00F86D32" w:rsidRPr="00B86927" w:rsidRDefault="00F86D32" w:rsidP="00AE5C96">
            <w:pPr>
              <w:jc w:val="both"/>
              <w:rPr>
                <w:sz w:val="24"/>
              </w:rPr>
            </w:pPr>
            <w:proofErr w:type="gramStart"/>
            <w:r w:rsidRPr="00B86927">
              <w:rPr>
                <w:sz w:val="24"/>
              </w:rPr>
              <w:t>HL.19</w:t>
            </w:r>
            <w:proofErr w:type="gramEnd"/>
            <w:r w:rsidRPr="00B86927">
              <w:rPr>
                <w:sz w:val="24"/>
              </w:rPr>
              <w:t xml:space="preserve"> </w:t>
            </w:r>
            <w:r w:rsidRPr="00B86927">
              <w:rPr>
                <w:b/>
                <w:sz w:val="24"/>
              </w:rPr>
              <w:t>VEDL.UST. V POSL.POŘÍZENÍ; ZMĚNA A ZRUŠENÍ POSL.POŘÍZENÍ</w:t>
            </w:r>
          </w:p>
        </w:tc>
        <w:tc>
          <w:tcPr>
            <w:tcW w:w="4606" w:type="dxa"/>
          </w:tcPr>
          <w:p w:rsidR="00F86D32" w:rsidRPr="00B86927" w:rsidRDefault="00F86D32" w:rsidP="00AE5C96">
            <w:pPr>
              <w:jc w:val="both"/>
              <w:rPr>
                <w:sz w:val="24"/>
              </w:rPr>
            </w:pPr>
            <w:r w:rsidRPr="00B86927">
              <w:rPr>
                <w:sz w:val="24"/>
              </w:rPr>
              <w:t xml:space="preserve">DÍL 5 </w:t>
            </w:r>
            <w:r w:rsidRPr="00B86927">
              <w:rPr>
                <w:b/>
                <w:sz w:val="24"/>
              </w:rPr>
              <w:t xml:space="preserve">POVINNÝ </w:t>
            </w:r>
            <w:proofErr w:type="gramStart"/>
            <w:r w:rsidRPr="00B86927">
              <w:rPr>
                <w:b/>
                <w:sz w:val="24"/>
              </w:rPr>
              <w:t>DÍL.ZAPOČTENÍ</w:t>
            </w:r>
            <w:proofErr w:type="gramEnd"/>
            <w:r w:rsidRPr="00B86927">
              <w:rPr>
                <w:b/>
                <w:sz w:val="24"/>
              </w:rPr>
              <w:t xml:space="preserve"> NA POVINNÝ DÍL A NA DĚDICKÝ PODÍL</w:t>
            </w:r>
          </w:p>
        </w:tc>
      </w:tr>
      <w:tr w:rsidR="00F86D32" w:rsidTr="001B7D2A">
        <w:tc>
          <w:tcPr>
            <w:tcW w:w="4606" w:type="dxa"/>
          </w:tcPr>
          <w:p w:rsidR="00F86D32" w:rsidRPr="00B86927" w:rsidRDefault="00F86D32" w:rsidP="00AE5C96">
            <w:pPr>
              <w:jc w:val="both"/>
              <w:rPr>
                <w:sz w:val="24"/>
              </w:rPr>
            </w:pPr>
            <w:proofErr w:type="gramStart"/>
            <w:r w:rsidRPr="00B86927">
              <w:rPr>
                <w:sz w:val="24"/>
              </w:rPr>
              <w:t>HL.20</w:t>
            </w:r>
            <w:proofErr w:type="gramEnd"/>
            <w:r w:rsidRPr="00B86927">
              <w:rPr>
                <w:sz w:val="24"/>
              </w:rPr>
              <w:t xml:space="preserve"> </w:t>
            </w:r>
            <w:r w:rsidRPr="00B86927">
              <w:rPr>
                <w:b/>
                <w:sz w:val="24"/>
              </w:rPr>
              <w:t>POSLOUPNOST ZÁKONNÁ</w:t>
            </w:r>
          </w:p>
        </w:tc>
        <w:tc>
          <w:tcPr>
            <w:tcW w:w="4606" w:type="dxa"/>
          </w:tcPr>
          <w:p w:rsidR="00F86D32" w:rsidRPr="00B86927" w:rsidRDefault="00F86D32" w:rsidP="00AE5C96">
            <w:pPr>
              <w:jc w:val="both"/>
              <w:rPr>
                <w:sz w:val="24"/>
              </w:rPr>
            </w:pPr>
            <w:r w:rsidRPr="00B86927">
              <w:rPr>
                <w:sz w:val="24"/>
              </w:rPr>
              <w:t xml:space="preserve">DÍL 6 </w:t>
            </w:r>
            <w:r w:rsidRPr="00B86927">
              <w:rPr>
                <w:b/>
                <w:sz w:val="24"/>
              </w:rPr>
              <w:t>PRÁVO NĚKTERÝCH OSOB NA ZAOPATŘENÍ</w:t>
            </w:r>
          </w:p>
        </w:tc>
      </w:tr>
      <w:tr w:rsidR="00F86D32" w:rsidTr="001B7D2A">
        <w:tc>
          <w:tcPr>
            <w:tcW w:w="4606" w:type="dxa"/>
          </w:tcPr>
          <w:p w:rsidR="00F86D32" w:rsidRPr="00B86927" w:rsidRDefault="00F86D32" w:rsidP="00AE5C96">
            <w:pPr>
              <w:jc w:val="both"/>
              <w:rPr>
                <w:sz w:val="24"/>
              </w:rPr>
            </w:pPr>
            <w:proofErr w:type="gramStart"/>
            <w:r w:rsidRPr="00B86927">
              <w:rPr>
                <w:sz w:val="24"/>
              </w:rPr>
              <w:t>HL.21</w:t>
            </w:r>
            <w:proofErr w:type="gramEnd"/>
            <w:r w:rsidRPr="00B86927">
              <w:rPr>
                <w:sz w:val="24"/>
              </w:rPr>
              <w:t xml:space="preserve"> </w:t>
            </w:r>
            <w:r w:rsidRPr="00B86927">
              <w:rPr>
                <w:b/>
                <w:sz w:val="24"/>
              </w:rPr>
              <w:t>DÍL POVINNÝ</w:t>
            </w:r>
          </w:p>
        </w:tc>
        <w:tc>
          <w:tcPr>
            <w:tcW w:w="4606" w:type="dxa"/>
          </w:tcPr>
          <w:p w:rsidR="00F86D32" w:rsidRPr="00B86927" w:rsidRDefault="00F86D32" w:rsidP="00AE5C96">
            <w:pPr>
              <w:jc w:val="both"/>
              <w:rPr>
                <w:sz w:val="24"/>
              </w:rPr>
            </w:pPr>
            <w:r w:rsidRPr="00B86927">
              <w:rPr>
                <w:sz w:val="24"/>
              </w:rPr>
              <w:t xml:space="preserve">DÍL 7 </w:t>
            </w:r>
            <w:r w:rsidRPr="00B86927">
              <w:rPr>
                <w:b/>
                <w:sz w:val="24"/>
              </w:rPr>
              <w:t>PŘECHOD POZŮSTALOSTI NA DĚDICE</w:t>
            </w:r>
          </w:p>
        </w:tc>
      </w:tr>
      <w:tr w:rsidR="00F86D32" w:rsidTr="001B7D2A">
        <w:tc>
          <w:tcPr>
            <w:tcW w:w="4606" w:type="dxa"/>
          </w:tcPr>
          <w:p w:rsidR="00F86D32" w:rsidRPr="00B86927" w:rsidRDefault="00F86D32" w:rsidP="00AE5C96">
            <w:pPr>
              <w:jc w:val="both"/>
              <w:rPr>
                <w:sz w:val="24"/>
              </w:rPr>
            </w:pPr>
            <w:proofErr w:type="gramStart"/>
            <w:r w:rsidRPr="00B86927">
              <w:rPr>
                <w:sz w:val="24"/>
              </w:rPr>
              <w:lastRenderedPageBreak/>
              <w:t>HL.22</w:t>
            </w:r>
            <w:proofErr w:type="gramEnd"/>
            <w:r w:rsidRPr="00B86927">
              <w:rPr>
                <w:sz w:val="24"/>
              </w:rPr>
              <w:t xml:space="preserve"> </w:t>
            </w:r>
            <w:r w:rsidRPr="00B86927">
              <w:rPr>
                <w:b/>
                <w:sz w:val="24"/>
              </w:rPr>
              <w:t>ZAPOČTENÍ NA PODÍL DĚDICKÝ</w:t>
            </w:r>
          </w:p>
        </w:tc>
        <w:tc>
          <w:tcPr>
            <w:tcW w:w="4606" w:type="dxa"/>
          </w:tcPr>
          <w:p w:rsidR="00F86D32" w:rsidRPr="00B86927" w:rsidRDefault="00F86D32" w:rsidP="00AE5C96">
            <w:pPr>
              <w:jc w:val="both"/>
              <w:rPr>
                <w:sz w:val="24"/>
              </w:rPr>
            </w:pPr>
            <w:proofErr w:type="gramStart"/>
            <w:r w:rsidRPr="00B86927">
              <w:rPr>
                <w:sz w:val="24"/>
              </w:rPr>
              <w:t xml:space="preserve">DÍL 8  </w:t>
            </w:r>
            <w:r w:rsidRPr="00B86927">
              <w:rPr>
                <w:b/>
                <w:sz w:val="24"/>
              </w:rPr>
              <w:t>ZCIZENÍ</w:t>
            </w:r>
            <w:proofErr w:type="gramEnd"/>
            <w:r w:rsidRPr="00B86927">
              <w:rPr>
                <w:b/>
                <w:sz w:val="24"/>
              </w:rPr>
              <w:t xml:space="preserve"> DĚDICTVÍ</w:t>
            </w:r>
          </w:p>
        </w:tc>
      </w:tr>
      <w:tr w:rsidR="00F86D32" w:rsidTr="001B7D2A">
        <w:tc>
          <w:tcPr>
            <w:tcW w:w="4606" w:type="dxa"/>
          </w:tcPr>
          <w:p w:rsidR="00F86D32" w:rsidRPr="00B86927" w:rsidRDefault="00F86D32" w:rsidP="00AE5C96">
            <w:pPr>
              <w:jc w:val="both"/>
              <w:rPr>
                <w:sz w:val="24"/>
              </w:rPr>
            </w:pPr>
            <w:proofErr w:type="gramStart"/>
            <w:r w:rsidRPr="00B86927">
              <w:rPr>
                <w:sz w:val="24"/>
              </w:rPr>
              <w:t>HL.23</w:t>
            </w:r>
            <w:proofErr w:type="gramEnd"/>
            <w:r w:rsidRPr="00B86927">
              <w:rPr>
                <w:sz w:val="24"/>
              </w:rPr>
              <w:t xml:space="preserve"> </w:t>
            </w:r>
            <w:r w:rsidRPr="00B86927">
              <w:rPr>
                <w:b/>
                <w:sz w:val="24"/>
              </w:rPr>
              <w:t>VÝŽIVA A ZAOPATŘENÍ Z</w:t>
            </w:r>
            <w:r w:rsidR="008E5C8A">
              <w:rPr>
                <w:b/>
                <w:sz w:val="24"/>
              </w:rPr>
              <w:t> </w:t>
            </w:r>
            <w:r w:rsidRPr="00B86927">
              <w:rPr>
                <w:b/>
                <w:sz w:val="24"/>
              </w:rPr>
              <w:t>POZŮSTALOSTI</w:t>
            </w:r>
          </w:p>
        </w:tc>
        <w:tc>
          <w:tcPr>
            <w:tcW w:w="4606" w:type="dxa"/>
          </w:tcPr>
          <w:p w:rsidR="00F86D32" w:rsidRPr="00B86927" w:rsidRDefault="00F86D32" w:rsidP="00AE5C96">
            <w:pPr>
              <w:jc w:val="both"/>
              <w:rPr>
                <w:b/>
                <w:sz w:val="24"/>
              </w:rPr>
            </w:pPr>
          </w:p>
        </w:tc>
      </w:tr>
      <w:tr w:rsidR="00F86D32" w:rsidTr="001B7D2A">
        <w:tc>
          <w:tcPr>
            <w:tcW w:w="4606" w:type="dxa"/>
          </w:tcPr>
          <w:p w:rsidR="00F86D32" w:rsidRPr="00B86927" w:rsidRDefault="00F86D32" w:rsidP="00AE5C96">
            <w:pPr>
              <w:jc w:val="both"/>
              <w:rPr>
                <w:sz w:val="24"/>
              </w:rPr>
            </w:pPr>
            <w:proofErr w:type="gramStart"/>
            <w:r w:rsidRPr="00B86927">
              <w:rPr>
                <w:sz w:val="24"/>
              </w:rPr>
              <w:t>HL.24</w:t>
            </w:r>
            <w:proofErr w:type="gramEnd"/>
            <w:r w:rsidRPr="00B86927">
              <w:rPr>
                <w:sz w:val="24"/>
              </w:rPr>
              <w:t xml:space="preserve"> </w:t>
            </w:r>
            <w:r w:rsidRPr="00B86927">
              <w:rPr>
                <w:b/>
                <w:sz w:val="24"/>
              </w:rPr>
              <w:t>PŘECHOD POZŮSTALOSTI NA DĚDICE</w:t>
            </w:r>
          </w:p>
        </w:tc>
        <w:tc>
          <w:tcPr>
            <w:tcW w:w="4606" w:type="dxa"/>
          </w:tcPr>
          <w:p w:rsidR="00F86D32" w:rsidRPr="00B86927" w:rsidRDefault="00F86D32" w:rsidP="00AE5C96">
            <w:pPr>
              <w:jc w:val="both"/>
              <w:rPr>
                <w:b/>
                <w:sz w:val="24"/>
              </w:rPr>
            </w:pPr>
          </w:p>
        </w:tc>
      </w:tr>
    </w:tbl>
    <w:p w:rsidR="00F86D32" w:rsidRDefault="00F86D32" w:rsidP="00AE5C96">
      <w:pPr>
        <w:tabs>
          <w:tab w:val="left" w:pos="426"/>
        </w:tabs>
        <w:spacing w:after="0" w:line="360" w:lineRule="auto"/>
        <w:jc w:val="both"/>
        <w:rPr>
          <w:sz w:val="24"/>
          <w:szCs w:val="24"/>
        </w:rPr>
      </w:pPr>
    </w:p>
    <w:p w:rsidR="00F86D32" w:rsidRDefault="00F86D32" w:rsidP="00AE5C96">
      <w:pPr>
        <w:tabs>
          <w:tab w:val="left" w:pos="426"/>
        </w:tabs>
        <w:spacing w:after="0" w:line="360" w:lineRule="auto"/>
        <w:ind w:firstLine="567"/>
        <w:jc w:val="both"/>
        <w:rPr>
          <w:sz w:val="24"/>
          <w:szCs w:val="24"/>
        </w:rPr>
      </w:pPr>
      <w:r>
        <w:rPr>
          <w:sz w:val="24"/>
          <w:szCs w:val="24"/>
        </w:rPr>
        <w:t>Inspirace vládním návrhem, co se týče systematiky, je dle uvedené tabulky zjevná. Nový občanský zákoník shodně obsahuje nejprve obecná ustanovení o právu na pozůstalost. Ohledně dědických titulů přejímá systematiku z vládního návrhu, kdy</w:t>
      </w:r>
      <w:r w:rsidR="00E93D67">
        <w:rPr>
          <w:sz w:val="24"/>
          <w:szCs w:val="24"/>
        </w:rPr>
        <w:t>ž je</w:t>
      </w:r>
      <w:r>
        <w:rPr>
          <w:sz w:val="24"/>
          <w:szCs w:val="24"/>
        </w:rPr>
        <w:t xml:space="preserve"> nejprve upraveno dědění na základě pořízení pro případ smrti, a až poté dědění dle zákonné posloupnosti. Takové uspořádání je logické a správné, když dědění na základě závěti či dědické smlouvy má přednost před děděním na základě zákonné posloupnosti. Shodně také před úpravu zákonné posloupnosti řadí nový občanský zákoník úpravu odkazů. Takové řešení lze opět považovat za správné, kdy</w:t>
      </w:r>
      <w:r w:rsidR="00EA1458">
        <w:rPr>
          <w:sz w:val="24"/>
          <w:szCs w:val="24"/>
        </w:rPr>
        <w:t>ž</w:t>
      </w:r>
      <w:r>
        <w:rPr>
          <w:sz w:val="24"/>
          <w:szCs w:val="24"/>
        </w:rPr>
        <w:t xml:space="preserve"> zřízení odkazu je projevem zůstavitelovy vůle, stejně tak jako sepsání závěti či dědické smlouvy. Jelikož při zákonné posloupnosti se nijak k vůli zůstavitele nepřihlíží, je dobrou myšlenkou řadit úpravu odkazu před úpravu zákonné posloupnosti. Na ustanovení o zákonné posloupnosti navazují, stejně jako ve vládním návrhu, ustanovení o povinném dílu, dále ustanovení o právu některých osob na zaopatření a jako poslední obsahuje nový občanský zákoník právní úpravu přechodu pozůstalosti a zcizení dědictví. O jednotlivých institutech pojednává diplomová práce ve své další části.</w:t>
      </w:r>
    </w:p>
    <w:p w:rsidR="00F86D32" w:rsidRDefault="00F86D32" w:rsidP="00AE5C96">
      <w:pPr>
        <w:tabs>
          <w:tab w:val="left" w:pos="426"/>
        </w:tabs>
        <w:spacing w:after="0" w:line="360" w:lineRule="auto"/>
        <w:ind w:firstLine="567"/>
        <w:jc w:val="both"/>
        <w:rPr>
          <w:sz w:val="24"/>
          <w:szCs w:val="24"/>
        </w:rPr>
      </w:pPr>
      <w:r>
        <w:rPr>
          <w:sz w:val="24"/>
          <w:szCs w:val="24"/>
        </w:rPr>
        <w:t xml:space="preserve">Jak je uvedeno výše, vládní návrh byl sice hlavním inspiračním zdrojem nového dědického práva, nicméně nebyl inspirací jedinou. Vzorem pro </w:t>
      </w:r>
      <w:r w:rsidR="001B7D2A">
        <w:rPr>
          <w:sz w:val="24"/>
          <w:szCs w:val="24"/>
        </w:rPr>
        <w:t xml:space="preserve">novou právní úpravu </w:t>
      </w:r>
      <w:r w:rsidR="009B723F">
        <w:rPr>
          <w:sz w:val="24"/>
          <w:szCs w:val="24"/>
        </w:rPr>
        <w:t xml:space="preserve">byla řada </w:t>
      </w:r>
      <w:r>
        <w:rPr>
          <w:sz w:val="24"/>
          <w:szCs w:val="24"/>
        </w:rPr>
        <w:t>zahraniční</w:t>
      </w:r>
      <w:r w:rsidR="009B723F">
        <w:rPr>
          <w:sz w:val="24"/>
          <w:szCs w:val="24"/>
        </w:rPr>
        <w:t>ch občanských</w:t>
      </w:r>
      <w:r>
        <w:rPr>
          <w:sz w:val="24"/>
          <w:szCs w:val="24"/>
        </w:rPr>
        <w:t xml:space="preserve"> zákoník</w:t>
      </w:r>
      <w:r w:rsidR="009B723F">
        <w:rPr>
          <w:sz w:val="24"/>
          <w:szCs w:val="24"/>
        </w:rPr>
        <w:t>ů (</w:t>
      </w:r>
      <w:r w:rsidR="0074279F">
        <w:rPr>
          <w:sz w:val="24"/>
          <w:szCs w:val="24"/>
        </w:rPr>
        <w:t>zejména</w:t>
      </w:r>
      <w:r>
        <w:rPr>
          <w:sz w:val="24"/>
          <w:szCs w:val="24"/>
        </w:rPr>
        <w:t xml:space="preserve"> rakouský, němec</w:t>
      </w:r>
      <w:r w:rsidR="008B4983">
        <w:rPr>
          <w:sz w:val="24"/>
          <w:szCs w:val="24"/>
        </w:rPr>
        <w:t>ký či švýcarský</w:t>
      </w:r>
      <w:r w:rsidR="009B723F">
        <w:rPr>
          <w:sz w:val="24"/>
          <w:szCs w:val="24"/>
        </w:rPr>
        <w:t xml:space="preserve">). </w:t>
      </w:r>
      <w:r w:rsidR="0074279F">
        <w:rPr>
          <w:sz w:val="24"/>
          <w:szCs w:val="24"/>
        </w:rPr>
        <w:t>J</w:t>
      </w:r>
      <w:r>
        <w:rPr>
          <w:sz w:val="24"/>
          <w:szCs w:val="24"/>
        </w:rPr>
        <w:t xml:space="preserve">ako dobrý příklad inspirace zahraničními kodexy </w:t>
      </w:r>
      <w:r w:rsidR="003577FB">
        <w:rPr>
          <w:sz w:val="24"/>
          <w:szCs w:val="24"/>
        </w:rPr>
        <w:t xml:space="preserve">v rámci dědického práva </w:t>
      </w:r>
      <w:r w:rsidR="0074279F">
        <w:rPr>
          <w:sz w:val="24"/>
          <w:szCs w:val="24"/>
        </w:rPr>
        <w:t xml:space="preserve">lze uvést </w:t>
      </w:r>
      <w:r>
        <w:rPr>
          <w:sz w:val="24"/>
          <w:szCs w:val="24"/>
        </w:rPr>
        <w:t>ustanovení o tzv. privilegovaných závětích, resp. úlevách při pořizování závěti.</w:t>
      </w:r>
      <w:r>
        <w:rPr>
          <w:rStyle w:val="Znakapoznpodarou"/>
          <w:sz w:val="24"/>
          <w:szCs w:val="24"/>
        </w:rPr>
        <w:footnoteReference w:id="15"/>
      </w:r>
      <w:r>
        <w:rPr>
          <w:sz w:val="24"/>
          <w:szCs w:val="24"/>
        </w:rPr>
        <w:t xml:space="preserve"> Právní úprava se </w:t>
      </w:r>
      <w:r w:rsidR="0074279F">
        <w:rPr>
          <w:sz w:val="24"/>
          <w:szCs w:val="24"/>
        </w:rPr>
        <w:t xml:space="preserve">sice i zde zčásti </w:t>
      </w:r>
      <w:r>
        <w:rPr>
          <w:sz w:val="24"/>
          <w:szCs w:val="24"/>
        </w:rPr>
        <w:t xml:space="preserve">inspiruje vládním návrhem z roku 1937, </w:t>
      </w:r>
      <w:r w:rsidR="0074279F">
        <w:rPr>
          <w:sz w:val="24"/>
          <w:szCs w:val="24"/>
        </w:rPr>
        <w:t xml:space="preserve">ale </w:t>
      </w:r>
      <w:r>
        <w:rPr>
          <w:sz w:val="24"/>
          <w:szCs w:val="24"/>
        </w:rPr>
        <w:t>zvláště pak zahraničními občanskými zákoníky, a to rakouským, polským, německým, švýcarským, francouzským, italským, nizozemským a dalšími.</w:t>
      </w:r>
      <w:r>
        <w:rPr>
          <w:rStyle w:val="Znakapoznpodarou"/>
          <w:sz w:val="24"/>
          <w:szCs w:val="24"/>
        </w:rPr>
        <w:footnoteReference w:id="16"/>
      </w:r>
      <w:r>
        <w:rPr>
          <w:sz w:val="24"/>
          <w:szCs w:val="24"/>
        </w:rPr>
        <w:t xml:space="preserve"> Mezi tzv. privilegované závěti patří závěť pořízená ústně v případech bezprostředního ohrožení života, závěť pořízená před starostou obce či velitelem námořního plavidla nebo letadla a tzv. vojenská závěť pořízená před velitelem vojenské jednotky České republiky, příp. vojenským důstojníkem. U posledně zmíněné vojenské závěti byly pak vzorem zejména občanské zákoníky Švýcarska a Itálie</w:t>
      </w:r>
      <w:r w:rsidR="00070789">
        <w:rPr>
          <w:sz w:val="24"/>
          <w:szCs w:val="24"/>
        </w:rPr>
        <w:t xml:space="preserve"> (ty hledaly inspiraci ohledně vojenského testamentu v</w:t>
      </w:r>
      <w:r w:rsidR="008E5C8A">
        <w:rPr>
          <w:sz w:val="24"/>
          <w:szCs w:val="24"/>
        </w:rPr>
        <w:t xml:space="preserve"> římském </w:t>
      </w:r>
      <w:r w:rsidR="00070789">
        <w:rPr>
          <w:sz w:val="24"/>
          <w:szCs w:val="24"/>
        </w:rPr>
        <w:t>právu)</w:t>
      </w:r>
      <w:r>
        <w:rPr>
          <w:sz w:val="24"/>
          <w:szCs w:val="24"/>
        </w:rPr>
        <w:t xml:space="preserve">. Polský či rakouský zákoník stále rozlišují právo </w:t>
      </w:r>
      <w:r>
        <w:rPr>
          <w:sz w:val="24"/>
          <w:szCs w:val="24"/>
        </w:rPr>
        <w:lastRenderedPageBreak/>
        <w:t>civilní a vojenské. Těmito vzory se však nový občanský zákoník neinspiruje.</w:t>
      </w:r>
      <w:r w:rsidR="008B4983">
        <w:rPr>
          <w:sz w:val="24"/>
          <w:szCs w:val="24"/>
        </w:rPr>
        <w:t xml:space="preserve"> Inspiraci zahraničním kodexem, přesněji švýcarským </w:t>
      </w:r>
      <w:r w:rsidR="00D71938">
        <w:rPr>
          <w:sz w:val="24"/>
          <w:szCs w:val="24"/>
        </w:rPr>
        <w:t>ZGB</w:t>
      </w:r>
      <w:r w:rsidR="008B4983">
        <w:rPr>
          <w:sz w:val="24"/>
          <w:szCs w:val="24"/>
        </w:rPr>
        <w:t>, lze najít pak také u právní úpravy dědické smlouvy, která je opětovně zařazena do úpravy dědického práva poté</w:t>
      </w:r>
      <w:r w:rsidR="00C95C86">
        <w:rPr>
          <w:sz w:val="24"/>
          <w:szCs w:val="24"/>
        </w:rPr>
        <w:t>,</w:t>
      </w:r>
      <w:r w:rsidR="008B4983">
        <w:rPr>
          <w:sz w:val="24"/>
          <w:szCs w:val="24"/>
        </w:rPr>
        <w:t xml:space="preserve"> co </w:t>
      </w:r>
      <w:r w:rsidR="00E93D67">
        <w:rPr>
          <w:sz w:val="24"/>
          <w:szCs w:val="24"/>
        </w:rPr>
        <w:t>ne</w:t>
      </w:r>
      <w:r w:rsidR="008B4983">
        <w:rPr>
          <w:sz w:val="24"/>
          <w:szCs w:val="24"/>
        </w:rPr>
        <w:t>byla př</w:t>
      </w:r>
      <w:r w:rsidR="00E93D67">
        <w:rPr>
          <w:sz w:val="24"/>
          <w:szCs w:val="24"/>
        </w:rPr>
        <w:t xml:space="preserve">edchozími občanskými zákoníky </w:t>
      </w:r>
      <w:r w:rsidR="008B4983">
        <w:rPr>
          <w:sz w:val="24"/>
          <w:szCs w:val="24"/>
        </w:rPr>
        <w:t>upravena.</w:t>
      </w:r>
    </w:p>
    <w:p w:rsidR="00B22246" w:rsidRDefault="00B22246" w:rsidP="00AE5C96">
      <w:pPr>
        <w:tabs>
          <w:tab w:val="left" w:pos="426"/>
        </w:tabs>
        <w:spacing w:after="0" w:line="360" w:lineRule="auto"/>
        <w:ind w:firstLine="567"/>
        <w:jc w:val="both"/>
        <w:rPr>
          <w:sz w:val="24"/>
          <w:szCs w:val="24"/>
        </w:rPr>
      </w:pPr>
      <w:r>
        <w:rPr>
          <w:sz w:val="24"/>
          <w:szCs w:val="24"/>
        </w:rPr>
        <w:t xml:space="preserve">Mimo zahraniční kodexy </w:t>
      </w:r>
      <w:r w:rsidR="009B723F">
        <w:rPr>
          <w:sz w:val="24"/>
          <w:szCs w:val="24"/>
        </w:rPr>
        <w:t xml:space="preserve">lze </w:t>
      </w:r>
      <w:r>
        <w:rPr>
          <w:sz w:val="24"/>
          <w:szCs w:val="24"/>
        </w:rPr>
        <w:t xml:space="preserve">za inspirační vzory </w:t>
      </w:r>
      <w:r w:rsidR="00D10F5A">
        <w:rPr>
          <w:sz w:val="24"/>
          <w:szCs w:val="24"/>
        </w:rPr>
        <w:t xml:space="preserve">dědického práva </w:t>
      </w:r>
      <w:r>
        <w:rPr>
          <w:sz w:val="24"/>
          <w:szCs w:val="24"/>
        </w:rPr>
        <w:t xml:space="preserve">označit výše zmíněné římské </w:t>
      </w:r>
      <w:r w:rsidR="009B723F">
        <w:rPr>
          <w:sz w:val="24"/>
          <w:szCs w:val="24"/>
        </w:rPr>
        <w:t>právo (</w:t>
      </w:r>
      <w:r w:rsidR="008E5C8A">
        <w:rPr>
          <w:sz w:val="24"/>
          <w:szCs w:val="24"/>
        </w:rPr>
        <w:t>zvl</w:t>
      </w:r>
      <w:r w:rsidR="00D10F5A">
        <w:rPr>
          <w:sz w:val="24"/>
          <w:szCs w:val="24"/>
        </w:rPr>
        <w:t>.</w:t>
      </w:r>
      <w:r w:rsidR="009B723F">
        <w:rPr>
          <w:sz w:val="24"/>
          <w:szCs w:val="24"/>
        </w:rPr>
        <w:t xml:space="preserve"> u</w:t>
      </w:r>
      <w:r>
        <w:rPr>
          <w:sz w:val="24"/>
          <w:szCs w:val="24"/>
        </w:rPr>
        <w:t xml:space="preserve"> institutu </w:t>
      </w:r>
      <w:proofErr w:type="spellStart"/>
      <w:r>
        <w:rPr>
          <w:sz w:val="24"/>
          <w:szCs w:val="24"/>
        </w:rPr>
        <w:t>falcidiánské</w:t>
      </w:r>
      <w:proofErr w:type="spellEnd"/>
      <w:r>
        <w:rPr>
          <w:sz w:val="24"/>
          <w:szCs w:val="24"/>
        </w:rPr>
        <w:t xml:space="preserve"> kvarty) a také občanský zákoník z roku 1964 (např. zachování okruhu oprávněných osob označovaných za nepominutelné dědice).</w:t>
      </w:r>
    </w:p>
    <w:p w:rsidR="00ED7B1C" w:rsidRDefault="00ED7B1C" w:rsidP="00AE5C96">
      <w:pPr>
        <w:tabs>
          <w:tab w:val="left" w:pos="426"/>
        </w:tabs>
        <w:spacing w:after="0" w:line="360" w:lineRule="auto"/>
        <w:ind w:firstLine="567"/>
        <w:jc w:val="both"/>
        <w:rPr>
          <w:sz w:val="24"/>
          <w:szCs w:val="24"/>
        </w:rPr>
      </w:pPr>
    </w:p>
    <w:p w:rsidR="00F86D32" w:rsidRDefault="00F86D32" w:rsidP="00AE5C96">
      <w:pPr>
        <w:jc w:val="both"/>
      </w:pPr>
      <w:r>
        <w:br w:type="page"/>
      </w:r>
    </w:p>
    <w:p w:rsidR="00F86D32" w:rsidRDefault="00F86D32" w:rsidP="00AE5C96">
      <w:pPr>
        <w:pStyle w:val="Nadpis1"/>
        <w:numPr>
          <w:ilvl w:val="0"/>
          <w:numId w:val="2"/>
        </w:numPr>
        <w:spacing w:line="360" w:lineRule="auto"/>
        <w:jc w:val="both"/>
        <w:rPr>
          <w:rFonts w:ascii="Times New Roman" w:hAnsi="Times New Roman" w:cs="Times New Roman"/>
          <w:color w:val="auto"/>
        </w:rPr>
      </w:pPr>
      <w:bookmarkStart w:id="4" w:name="_Toc409631281"/>
      <w:r>
        <w:rPr>
          <w:rFonts w:ascii="Times New Roman" w:hAnsi="Times New Roman" w:cs="Times New Roman"/>
          <w:color w:val="auto"/>
        </w:rPr>
        <w:lastRenderedPageBreak/>
        <w:t xml:space="preserve">Meziválečná </w:t>
      </w:r>
      <w:proofErr w:type="spellStart"/>
      <w:r>
        <w:rPr>
          <w:rFonts w:ascii="Times New Roman" w:hAnsi="Times New Roman" w:cs="Times New Roman"/>
          <w:color w:val="auto"/>
        </w:rPr>
        <w:t>rekodifikace</w:t>
      </w:r>
      <w:bookmarkEnd w:id="4"/>
      <w:proofErr w:type="spellEnd"/>
    </w:p>
    <w:p w:rsidR="00275C07" w:rsidRDefault="005F7906" w:rsidP="00AE5C96">
      <w:pPr>
        <w:spacing w:after="0" w:line="360" w:lineRule="auto"/>
        <w:ind w:firstLine="567"/>
        <w:jc w:val="both"/>
        <w:rPr>
          <w:sz w:val="24"/>
        </w:rPr>
      </w:pPr>
      <w:proofErr w:type="spellStart"/>
      <w:r>
        <w:rPr>
          <w:sz w:val="24"/>
        </w:rPr>
        <w:t>Postatným</w:t>
      </w:r>
      <w:proofErr w:type="spellEnd"/>
      <w:r w:rsidR="00275C07">
        <w:rPr>
          <w:sz w:val="24"/>
        </w:rPr>
        <w:t xml:space="preserve"> inspiračním zdrojem nového dědického práva je vládní návrh obča</w:t>
      </w:r>
      <w:r>
        <w:rPr>
          <w:sz w:val="24"/>
        </w:rPr>
        <w:t>nského zákoníku z roku 1937, proto práce stručně tuto</w:t>
      </w:r>
      <w:r w:rsidR="00275C07">
        <w:rPr>
          <w:sz w:val="24"/>
        </w:rPr>
        <w:t xml:space="preserve"> téměř osm</w:t>
      </w:r>
      <w:r>
        <w:rPr>
          <w:sz w:val="24"/>
        </w:rPr>
        <w:t xml:space="preserve">desát let starou </w:t>
      </w:r>
      <w:proofErr w:type="spellStart"/>
      <w:r>
        <w:rPr>
          <w:sz w:val="24"/>
        </w:rPr>
        <w:t>rekodifikaci</w:t>
      </w:r>
      <w:proofErr w:type="spellEnd"/>
      <w:r>
        <w:rPr>
          <w:sz w:val="24"/>
        </w:rPr>
        <w:t xml:space="preserve"> představuje v následující kapitole</w:t>
      </w:r>
      <w:r w:rsidR="00275C07">
        <w:rPr>
          <w:sz w:val="24"/>
        </w:rPr>
        <w:t xml:space="preserve">. </w:t>
      </w:r>
    </w:p>
    <w:p w:rsidR="00BF59B2" w:rsidRPr="00716D6C" w:rsidRDefault="005F7906" w:rsidP="00AE5C96">
      <w:pPr>
        <w:spacing w:after="0" w:line="360" w:lineRule="auto"/>
        <w:ind w:firstLine="567"/>
        <w:jc w:val="both"/>
        <w:rPr>
          <w:sz w:val="24"/>
        </w:rPr>
      </w:pPr>
      <w:r>
        <w:rPr>
          <w:sz w:val="24"/>
        </w:rPr>
        <w:t>Vznik</w:t>
      </w:r>
      <w:r w:rsidR="00BF59B2" w:rsidRPr="00716D6C">
        <w:rPr>
          <w:sz w:val="24"/>
        </w:rPr>
        <w:t xml:space="preserve"> samostatného Českos</w:t>
      </w:r>
      <w:r>
        <w:rPr>
          <w:sz w:val="24"/>
        </w:rPr>
        <w:t xml:space="preserve">lovenska v roce 1918 </w:t>
      </w:r>
      <w:r w:rsidR="00FC6368">
        <w:rPr>
          <w:sz w:val="24"/>
        </w:rPr>
        <w:t xml:space="preserve">s </w:t>
      </w:r>
      <w:r>
        <w:rPr>
          <w:sz w:val="24"/>
        </w:rPr>
        <w:t xml:space="preserve">sebou přinesl nežádoucí právní dualismus, když </w:t>
      </w:r>
      <w:r w:rsidR="007F68D3">
        <w:rPr>
          <w:sz w:val="24"/>
        </w:rPr>
        <w:t xml:space="preserve">se </w:t>
      </w:r>
      <w:r>
        <w:rPr>
          <w:sz w:val="24"/>
        </w:rPr>
        <w:t>na území českých zemí a Slovenska uplatňovalo jiné právo. Postupně se tak probouzely</w:t>
      </w:r>
      <w:r w:rsidR="00BF59B2" w:rsidRPr="00716D6C">
        <w:rPr>
          <w:sz w:val="24"/>
        </w:rPr>
        <w:t xml:space="preserve"> snahy o </w:t>
      </w:r>
      <w:r w:rsidR="00C475A0">
        <w:rPr>
          <w:sz w:val="24"/>
        </w:rPr>
        <w:t xml:space="preserve">unifikaci a </w:t>
      </w:r>
      <w:proofErr w:type="spellStart"/>
      <w:r w:rsidR="001F7AF5">
        <w:rPr>
          <w:sz w:val="24"/>
        </w:rPr>
        <w:t>re</w:t>
      </w:r>
      <w:r w:rsidR="00BF59B2" w:rsidRPr="00716D6C">
        <w:rPr>
          <w:sz w:val="24"/>
        </w:rPr>
        <w:t>kodifikaci</w:t>
      </w:r>
      <w:proofErr w:type="spellEnd"/>
      <w:r w:rsidR="00BF59B2" w:rsidRPr="00716D6C">
        <w:rPr>
          <w:sz w:val="24"/>
        </w:rPr>
        <w:t xml:space="preserve"> práva</w:t>
      </w:r>
      <w:r>
        <w:rPr>
          <w:sz w:val="24"/>
        </w:rPr>
        <w:t>. P</w:t>
      </w:r>
      <w:r w:rsidR="00BF59B2" w:rsidRPr="00716D6C">
        <w:rPr>
          <w:sz w:val="24"/>
        </w:rPr>
        <w:t>rvním krokem</w:t>
      </w:r>
      <w:r>
        <w:rPr>
          <w:sz w:val="24"/>
        </w:rPr>
        <w:t xml:space="preserve"> bylo</w:t>
      </w:r>
      <w:r w:rsidR="00BF59B2" w:rsidRPr="00716D6C">
        <w:rPr>
          <w:sz w:val="24"/>
        </w:rPr>
        <w:t xml:space="preserve"> přijetí tzv. recepčního zákona,</w:t>
      </w:r>
      <w:r w:rsidR="00BF59B2" w:rsidRPr="00716D6C">
        <w:rPr>
          <w:rStyle w:val="Znakapoznpodarou"/>
          <w:sz w:val="24"/>
        </w:rPr>
        <w:footnoteReference w:id="17"/>
      </w:r>
      <w:r w:rsidR="00BF59B2" w:rsidRPr="00716D6C">
        <w:rPr>
          <w:sz w:val="24"/>
        </w:rPr>
        <w:t xml:space="preserve"> kterým </w:t>
      </w:r>
      <w:r w:rsidR="000F20F4">
        <w:rPr>
          <w:sz w:val="24"/>
        </w:rPr>
        <w:t>byl</w:t>
      </w:r>
      <w:r w:rsidR="00BF59B2" w:rsidRPr="00716D6C">
        <w:rPr>
          <w:sz w:val="24"/>
        </w:rPr>
        <w:t xml:space="preserve"> recipován </w:t>
      </w:r>
      <w:proofErr w:type="spellStart"/>
      <w:proofErr w:type="gramStart"/>
      <w:r w:rsidR="00BF59B2" w:rsidRPr="00716D6C">
        <w:rPr>
          <w:sz w:val="24"/>
        </w:rPr>
        <w:t>rakousko</w:t>
      </w:r>
      <w:proofErr w:type="spellEnd"/>
      <w:r w:rsidR="00BF59B2" w:rsidRPr="00716D6C">
        <w:rPr>
          <w:sz w:val="24"/>
        </w:rPr>
        <w:t>–uherský</w:t>
      </w:r>
      <w:proofErr w:type="gramEnd"/>
      <w:r w:rsidR="00BF59B2" w:rsidRPr="00716D6C">
        <w:rPr>
          <w:sz w:val="24"/>
        </w:rPr>
        <w:t xml:space="preserve"> právní řád</w:t>
      </w:r>
      <w:r w:rsidR="00E63582">
        <w:rPr>
          <w:sz w:val="24"/>
        </w:rPr>
        <w:t xml:space="preserve">. Nicméně </w:t>
      </w:r>
      <w:r w:rsidR="005E5AA1">
        <w:rPr>
          <w:sz w:val="24"/>
        </w:rPr>
        <w:t xml:space="preserve">recipovaný </w:t>
      </w:r>
      <w:r>
        <w:rPr>
          <w:sz w:val="24"/>
        </w:rPr>
        <w:t>právní řád</w:t>
      </w:r>
      <w:r w:rsidR="006F14B6">
        <w:rPr>
          <w:sz w:val="24"/>
        </w:rPr>
        <w:t xml:space="preserve"> platil pro české země</w:t>
      </w:r>
      <w:r>
        <w:rPr>
          <w:sz w:val="24"/>
        </w:rPr>
        <w:t xml:space="preserve">, na Slovensku a v Podkarpatské Rusi </w:t>
      </w:r>
      <w:r w:rsidR="00E63582">
        <w:rPr>
          <w:sz w:val="24"/>
        </w:rPr>
        <w:t xml:space="preserve">stále </w:t>
      </w:r>
      <w:r>
        <w:rPr>
          <w:sz w:val="24"/>
        </w:rPr>
        <w:t>hrálo důležitou roli obyčejové právo.</w:t>
      </w:r>
      <w:r>
        <w:rPr>
          <w:rStyle w:val="Znakapoznpodarou"/>
          <w:sz w:val="24"/>
        </w:rPr>
        <w:footnoteReference w:id="18"/>
      </w:r>
      <w:r>
        <w:rPr>
          <w:sz w:val="24"/>
        </w:rPr>
        <w:t xml:space="preserve"> </w:t>
      </w:r>
      <w:r w:rsidR="00BF59B2" w:rsidRPr="00716D6C">
        <w:rPr>
          <w:sz w:val="24"/>
        </w:rPr>
        <w:t xml:space="preserve"> </w:t>
      </w:r>
    </w:p>
    <w:p w:rsidR="00BF59B2" w:rsidRDefault="000560E4" w:rsidP="00AE5C96">
      <w:pPr>
        <w:spacing w:after="0" w:line="360" w:lineRule="auto"/>
        <w:ind w:firstLine="567"/>
        <w:jc w:val="both"/>
        <w:rPr>
          <w:sz w:val="24"/>
        </w:rPr>
      </w:pPr>
      <w:r>
        <w:rPr>
          <w:sz w:val="24"/>
        </w:rPr>
        <w:t>Podstatnou</w:t>
      </w:r>
      <w:r w:rsidR="00BF59B2" w:rsidRPr="00716D6C">
        <w:rPr>
          <w:sz w:val="24"/>
        </w:rPr>
        <w:t xml:space="preserve"> roli </w:t>
      </w:r>
      <w:r w:rsidR="00AB3057">
        <w:rPr>
          <w:sz w:val="24"/>
        </w:rPr>
        <w:t xml:space="preserve">dále </w:t>
      </w:r>
      <w:r w:rsidR="0083088C">
        <w:rPr>
          <w:sz w:val="24"/>
        </w:rPr>
        <w:t>sehrálo</w:t>
      </w:r>
      <w:r w:rsidR="00BF59B2" w:rsidRPr="00716D6C">
        <w:rPr>
          <w:sz w:val="24"/>
        </w:rPr>
        <w:t xml:space="preserve"> ministe</w:t>
      </w:r>
      <w:r w:rsidR="0083088C">
        <w:rPr>
          <w:sz w:val="24"/>
        </w:rPr>
        <w:t>rstvo spravedlnosti. To navrhlo</w:t>
      </w:r>
      <w:r w:rsidR="00BF59B2" w:rsidRPr="00716D6C">
        <w:rPr>
          <w:sz w:val="24"/>
        </w:rPr>
        <w:t xml:space="preserve"> překlad </w:t>
      </w:r>
      <w:r w:rsidR="001604F0">
        <w:rPr>
          <w:sz w:val="24"/>
        </w:rPr>
        <w:t xml:space="preserve">rakouského </w:t>
      </w:r>
      <w:r w:rsidR="00AB3057">
        <w:rPr>
          <w:sz w:val="24"/>
        </w:rPr>
        <w:t>ABGB do českého jazyka, ve znění válečných novel a mezitím přijatých zákonů,</w:t>
      </w:r>
      <w:r w:rsidR="00BF59B2" w:rsidRPr="00716D6C">
        <w:rPr>
          <w:sz w:val="24"/>
        </w:rPr>
        <w:t xml:space="preserve"> a jeho rozšíření na území celého </w:t>
      </w:r>
      <w:r w:rsidR="00AB3057">
        <w:rPr>
          <w:sz w:val="24"/>
        </w:rPr>
        <w:t xml:space="preserve">československého </w:t>
      </w:r>
      <w:r w:rsidR="0083088C">
        <w:rPr>
          <w:sz w:val="24"/>
        </w:rPr>
        <w:t>státu. Návrh byl</w:t>
      </w:r>
      <w:r w:rsidR="00BF59B2" w:rsidRPr="00716D6C">
        <w:rPr>
          <w:sz w:val="24"/>
        </w:rPr>
        <w:t xml:space="preserve"> znám jako tzv. Hartmannova osnova podle přednosty odboru ministerstva spravedlnosti A. Hartmanna, který s návrhem přichází. </w:t>
      </w:r>
      <w:r w:rsidR="007F68D3">
        <w:rPr>
          <w:sz w:val="24"/>
        </w:rPr>
        <w:t>M</w:t>
      </w:r>
      <w:r w:rsidR="00BF59B2" w:rsidRPr="00716D6C">
        <w:rPr>
          <w:sz w:val="24"/>
        </w:rPr>
        <w:t xml:space="preserve">inisterstvo spravedlnosti </w:t>
      </w:r>
      <w:r w:rsidR="007F68D3">
        <w:rPr>
          <w:sz w:val="24"/>
        </w:rPr>
        <w:t xml:space="preserve">se </w:t>
      </w:r>
      <w:r w:rsidR="0083088C">
        <w:rPr>
          <w:sz w:val="24"/>
        </w:rPr>
        <w:t>také obrátilo</w:t>
      </w:r>
      <w:r w:rsidR="00AB3057">
        <w:rPr>
          <w:sz w:val="24"/>
        </w:rPr>
        <w:t xml:space="preserve"> na</w:t>
      </w:r>
      <w:r w:rsidR="00BF59B2" w:rsidRPr="00716D6C">
        <w:rPr>
          <w:sz w:val="24"/>
        </w:rPr>
        <w:t xml:space="preserve"> Jana Krčmáře a Emila Svobodu, profesory pražské právnické fakulty, aby se vyjádřili k připravovanému překladu, nebo případnému vytvoření komise pro </w:t>
      </w:r>
      <w:proofErr w:type="spellStart"/>
      <w:r w:rsidR="00BF59B2" w:rsidRPr="00716D6C">
        <w:rPr>
          <w:sz w:val="24"/>
        </w:rPr>
        <w:t>zásadnější</w:t>
      </w:r>
      <w:proofErr w:type="spellEnd"/>
      <w:r w:rsidR="00BF59B2" w:rsidRPr="00716D6C">
        <w:rPr>
          <w:sz w:val="24"/>
        </w:rPr>
        <w:t xml:space="preserve"> revizi ABGB.</w:t>
      </w:r>
      <w:r w:rsidR="00BF59B2" w:rsidRPr="00716D6C">
        <w:rPr>
          <w:rStyle w:val="Znakapoznpodarou"/>
          <w:sz w:val="24"/>
        </w:rPr>
        <w:footnoteReference w:id="19"/>
      </w:r>
      <w:r w:rsidR="00AB3057">
        <w:rPr>
          <w:sz w:val="24"/>
        </w:rPr>
        <w:t xml:space="preserve"> Rozhodnuto bylo nakonec o revizi rakouského zákoníku a</w:t>
      </w:r>
      <w:r w:rsidR="00BF59B2" w:rsidRPr="00716D6C">
        <w:rPr>
          <w:sz w:val="24"/>
        </w:rPr>
        <w:t xml:space="preserve"> vytvoření komise pro </w:t>
      </w:r>
      <w:proofErr w:type="spellStart"/>
      <w:r w:rsidR="00BF59B2" w:rsidRPr="00716D6C">
        <w:rPr>
          <w:sz w:val="24"/>
        </w:rPr>
        <w:t>rekodifikaci</w:t>
      </w:r>
      <w:proofErr w:type="spellEnd"/>
      <w:r w:rsidR="00BF59B2" w:rsidRPr="00716D6C">
        <w:rPr>
          <w:sz w:val="24"/>
        </w:rPr>
        <w:t xml:space="preserve"> sou</w:t>
      </w:r>
      <w:r w:rsidR="00AB3057">
        <w:rPr>
          <w:sz w:val="24"/>
        </w:rPr>
        <w:t>kromého práva, na čemž se podílelo</w:t>
      </w:r>
      <w:r w:rsidR="00BF59B2" w:rsidRPr="00716D6C">
        <w:rPr>
          <w:sz w:val="24"/>
        </w:rPr>
        <w:t xml:space="preserve"> pět odborníků právnických fakult české a německé univerzity, v rámci pěti subkomitétů. U</w:t>
      </w:r>
      <w:r w:rsidR="0083088C">
        <w:rPr>
          <w:sz w:val="24"/>
        </w:rPr>
        <w:t>vedených pět subkomitétů pracovalo</w:t>
      </w:r>
      <w:r w:rsidR="00BF59B2" w:rsidRPr="00716D6C">
        <w:rPr>
          <w:sz w:val="24"/>
        </w:rPr>
        <w:t xml:space="preserve"> pod vedením Jana Krčmáře, Miroslava </w:t>
      </w:r>
      <w:proofErr w:type="spellStart"/>
      <w:r w:rsidR="00BF59B2" w:rsidRPr="00716D6C">
        <w:rPr>
          <w:sz w:val="24"/>
        </w:rPr>
        <w:t>Stiebera</w:t>
      </w:r>
      <w:proofErr w:type="spellEnd"/>
      <w:r w:rsidR="00BF59B2" w:rsidRPr="00716D6C">
        <w:rPr>
          <w:sz w:val="24"/>
        </w:rPr>
        <w:t>, Emila Svobody, Egona Weisse a Bruna A</w:t>
      </w:r>
      <w:r w:rsidR="00401E1B">
        <w:rPr>
          <w:sz w:val="24"/>
        </w:rPr>
        <w:t>.</w:t>
      </w:r>
      <w:r w:rsidR="00BF59B2" w:rsidRPr="00716D6C">
        <w:rPr>
          <w:sz w:val="24"/>
        </w:rPr>
        <w:t xml:space="preserve"> Kafky.</w:t>
      </w:r>
      <w:r w:rsidR="00BF59B2" w:rsidRPr="00716D6C">
        <w:rPr>
          <w:rStyle w:val="Znakapoznpodarou"/>
          <w:sz w:val="24"/>
        </w:rPr>
        <w:footnoteReference w:id="20"/>
      </w:r>
      <w:r w:rsidR="007F68D3">
        <w:rPr>
          <w:sz w:val="24"/>
        </w:rPr>
        <w:t xml:space="preserve">  Úkolem subkomitétů</w:t>
      </w:r>
      <w:r w:rsidR="0083088C">
        <w:rPr>
          <w:sz w:val="24"/>
        </w:rPr>
        <w:t xml:space="preserve"> byla</w:t>
      </w:r>
      <w:r w:rsidR="00BF59B2" w:rsidRPr="00716D6C">
        <w:rPr>
          <w:sz w:val="24"/>
        </w:rPr>
        <w:t xml:space="preserve"> příprava návrhu osnovy nového občanského zákoníku, a to metodou věcné a zároveň i jazykové revize ABGB.</w:t>
      </w:r>
      <w:r w:rsidR="00BF59B2" w:rsidRPr="00716D6C">
        <w:rPr>
          <w:rStyle w:val="Znakapoznpodarou"/>
          <w:sz w:val="24"/>
        </w:rPr>
        <w:footnoteReference w:id="21"/>
      </w:r>
      <w:r w:rsidR="00BF59B2" w:rsidRPr="00716D6C">
        <w:rPr>
          <w:sz w:val="24"/>
        </w:rPr>
        <w:t xml:space="preserve"> Subkomitéty bě</w:t>
      </w:r>
      <w:r w:rsidR="0083088C">
        <w:rPr>
          <w:sz w:val="24"/>
        </w:rPr>
        <w:t>hem své práce průběžně informovali</w:t>
      </w:r>
      <w:r w:rsidR="00BF59B2" w:rsidRPr="00716D6C">
        <w:rPr>
          <w:sz w:val="24"/>
        </w:rPr>
        <w:t xml:space="preserve"> odbornou veřejnost o svých postupech</w:t>
      </w:r>
      <w:r w:rsidR="00AB3057">
        <w:rPr>
          <w:sz w:val="24"/>
        </w:rPr>
        <w:t xml:space="preserve">. </w:t>
      </w:r>
      <w:r w:rsidR="003B434F">
        <w:rPr>
          <w:sz w:val="24"/>
        </w:rPr>
        <w:t>Práce probíhaly v letech 1926 až 1931, s přestávkou působení Jana Krčmáře ve funkci ministra školství.</w:t>
      </w:r>
      <w:r w:rsidR="003B434F">
        <w:rPr>
          <w:rStyle w:val="Znakapoznpodarou"/>
          <w:sz w:val="24"/>
        </w:rPr>
        <w:footnoteReference w:id="22"/>
      </w:r>
      <w:r w:rsidR="00FC6368">
        <w:rPr>
          <w:sz w:val="24"/>
        </w:rPr>
        <w:t xml:space="preserve"> </w:t>
      </w:r>
      <w:r w:rsidR="00AB3057">
        <w:rPr>
          <w:sz w:val="24"/>
        </w:rPr>
        <w:t>N</w:t>
      </w:r>
      <w:r w:rsidR="00344927">
        <w:rPr>
          <w:sz w:val="24"/>
        </w:rPr>
        <w:t>akonec návrhy podleh</w:t>
      </w:r>
      <w:r w:rsidR="0083088C">
        <w:rPr>
          <w:sz w:val="24"/>
        </w:rPr>
        <w:t>li</w:t>
      </w:r>
      <w:r w:rsidR="00BF59B2" w:rsidRPr="00716D6C">
        <w:rPr>
          <w:sz w:val="24"/>
        </w:rPr>
        <w:t xml:space="preserve"> </w:t>
      </w:r>
      <w:proofErr w:type="spellStart"/>
      <w:r w:rsidR="00BF59B2" w:rsidRPr="00716D6C">
        <w:rPr>
          <w:sz w:val="24"/>
        </w:rPr>
        <w:t>superrevizi</w:t>
      </w:r>
      <w:proofErr w:type="spellEnd"/>
      <w:r w:rsidR="00BF59B2" w:rsidRPr="00716D6C">
        <w:rPr>
          <w:sz w:val="24"/>
        </w:rPr>
        <w:t xml:space="preserve"> komise zřízené v roce 1925 ministerstvem spravedlnosti</w:t>
      </w:r>
      <w:r w:rsidR="00AB3057">
        <w:rPr>
          <w:sz w:val="24"/>
        </w:rPr>
        <w:t>,</w:t>
      </w:r>
      <w:r w:rsidR="00BF59B2" w:rsidRPr="00716D6C">
        <w:rPr>
          <w:rStyle w:val="Znakapoznpodarou"/>
          <w:sz w:val="24"/>
        </w:rPr>
        <w:footnoteReference w:id="23"/>
      </w:r>
      <w:r w:rsidR="00AB3057">
        <w:rPr>
          <w:sz w:val="24"/>
        </w:rPr>
        <w:t xml:space="preserve"> jelikož</w:t>
      </w:r>
      <w:r w:rsidR="003379B2">
        <w:rPr>
          <w:sz w:val="24"/>
        </w:rPr>
        <w:t xml:space="preserve"> </w:t>
      </w:r>
      <w:r w:rsidR="00AB3057">
        <w:rPr>
          <w:sz w:val="24"/>
        </w:rPr>
        <w:t>p</w:t>
      </w:r>
      <w:r w:rsidR="003379B2">
        <w:rPr>
          <w:sz w:val="24"/>
        </w:rPr>
        <w:t>ůvodních pět parti</w:t>
      </w:r>
      <w:r w:rsidR="0083088C">
        <w:rPr>
          <w:sz w:val="24"/>
        </w:rPr>
        <w:t>í od jednotlivých subkomitétů bylo</w:t>
      </w:r>
      <w:r w:rsidR="003379B2">
        <w:rPr>
          <w:sz w:val="24"/>
        </w:rPr>
        <w:t xml:space="preserve"> zpracováno dosti různorodým způsobem, a to jak z hlediska </w:t>
      </w:r>
      <w:r w:rsidR="003379B2">
        <w:rPr>
          <w:sz w:val="24"/>
        </w:rPr>
        <w:lastRenderedPageBreak/>
        <w:t>rozsahu provedených úprav a jejich odůvodnění, tak i z hlediska terminologie.</w:t>
      </w:r>
      <w:r w:rsidR="003379B2">
        <w:rPr>
          <w:rStyle w:val="Znakapoznpodarou"/>
          <w:sz w:val="24"/>
        </w:rPr>
        <w:footnoteReference w:id="24"/>
      </w:r>
      <w:r w:rsidR="00FF16BB">
        <w:rPr>
          <w:sz w:val="24"/>
        </w:rPr>
        <w:t xml:space="preserve"> </w:t>
      </w:r>
      <w:r w:rsidR="00BF59B2" w:rsidRPr="0083088C">
        <w:rPr>
          <w:sz w:val="24"/>
        </w:rPr>
        <w:t>„Výsled</w:t>
      </w:r>
      <w:r w:rsidR="0083088C" w:rsidRPr="0083088C">
        <w:rPr>
          <w:sz w:val="24"/>
        </w:rPr>
        <w:t xml:space="preserve">kem práce </w:t>
      </w:r>
      <w:proofErr w:type="spellStart"/>
      <w:r w:rsidR="0083088C" w:rsidRPr="0083088C">
        <w:rPr>
          <w:sz w:val="24"/>
        </w:rPr>
        <w:t>superrevizní</w:t>
      </w:r>
      <w:proofErr w:type="spellEnd"/>
      <w:r w:rsidR="0083088C" w:rsidRPr="0083088C">
        <w:rPr>
          <w:sz w:val="24"/>
        </w:rPr>
        <w:t xml:space="preserve"> komise byla</w:t>
      </w:r>
      <w:r w:rsidR="00BF59B2" w:rsidRPr="0083088C">
        <w:rPr>
          <w:sz w:val="24"/>
        </w:rPr>
        <w:t xml:space="preserve"> osnova zákona, kterým se vydává všeobecný zákoník občanský, publikovaná v roce 1931 ve dvou dílech obsahujících jednak vlastní text zákona a jednak důvodovou zprávu.“</w:t>
      </w:r>
      <w:r w:rsidR="00BF59B2" w:rsidRPr="0083088C">
        <w:rPr>
          <w:rStyle w:val="Znakapoznpodarou"/>
          <w:sz w:val="24"/>
        </w:rPr>
        <w:footnoteReference w:id="25"/>
      </w:r>
      <w:r w:rsidR="00BF59B2" w:rsidRPr="0083088C">
        <w:rPr>
          <w:sz w:val="24"/>
        </w:rPr>
        <w:t xml:space="preserve"> </w:t>
      </w:r>
      <w:r w:rsidR="008027BB">
        <w:rPr>
          <w:sz w:val="24"/>
        </w:rPr>
        <w:t>Osnova měla</w:t>
      </w:r>
      <w:r w:rsidR="009E7AD1">
        <w:rPr>
          <w:sz w:val="24"/>
        </w:rPr>
        <w:t xml:space="preserve"> 1353 paragrafů </w:t>
      </w:r>
      <w:r w:rsidR="00BF59B2" w:rsidRPr="00716D6C">
        <w:rPr>
          <w:sz w:val="24"/>
        </w:rPr>
        <w:t>rozvržených do 4 díl</w:t>
      </w:r>
      <w:r w:rsidR="008027BB">
        <w:rPr>
          <w:sz w:val="24"/>
        </w:rPr>
        <w:t>ů a 45 kapitol. O rok později byl</w:t>
      </w:r>
      <w:r w:rsidR="00BF59B2" w:rsidRPr="00716D6C">
        <w:rPr>
          <w:sz w:val="24"/>
        </w:rPr>
        <w:t xml:space="preserve"> návrh osnovy rozeslán do mezirezortního připomínkové</w:t>
      </w:r>
      <w:r w:rsidR="008027BB">
        <w:rPr>
          <w:sz w:val="24"/>
        </w:rPr>
        <w:t>ho řízení. Na konci roku 1935 byla</w:t>
      </w:r>
      <w:r w:rsidR="00BF59B2" w:rsidRPr="00716D6C">
        <w:rPr>
          <w:sz w:val="24"/>
        </w:rPr>
        <w:t xml:space="preserve"> </w:t>
      </w:r>
      <w:proofErr w:type="spellStart"/>
      <w:r w:rsidR="00BF59B2" w:rsidRPr="00716D6C">
        <w:rPr>
          <w:sz w:val="24"/>
        </w:rPr>
        <w:t>superrevizní</w:t>
      </w:r>
      <w:proofErr w:type="spellEnd"/>
      <w:r w:rsidR="00BF59B2" w:rsidRPr="00716D6C">
        <w:rPr>
          <w:sz w:val="24"/>
        </w:rPr>
        <w:t xml:space="preserve"> komise pověřena tím, aby vyhotovila definitivní pod</w:t>
      </w:r>
      <w:r w:rsidR="008027BB">
        <w:rPr>
          <w:sz w:val="24"/>
        </w:rPr>
        <w:t>obu osnovy. Práce komise skončila</w:t>
      </w:r>
      <w:r w:rsidR="00BF59B2" w:rsidRPr="00716D6C">
        <w:rPr>
          <w:sz w:val="24"/>
        </w:rPr>
        <w:t xml:space="preserve"> v závěru roku 1936, kdy Se</w:t>
      </w:r>
      <w:r w:rsidR="008027BB">
        <w:rPr>
          <w:sz w:val="24"/>
        </w:rPr>
        <w:t>nát Národního shromáždění vydal</w:t>
      </w:r>
      <w:r w:rsidR="00BF59B2" w:rsidRPr="00716D6C">
        <w:rPr>
          <w:sz w:val="24"/>
        </w:rPr>
        <w:t xml:space="preserve"> osnovu pod názvem Vládní návrh zákona, kterým se vydává občanský zákoník. Tento vládní návrh byl předložen obou komorám Národního shromáždění </w:t>
      </w:r>
      <w:r w:rsidR="00FF16BB">
        <w:rPr>
          <w:sz w:val="24"/>
        </w:rPr>
        <w:t xml:space="preserve">dne </w:t>
      </w:r>
      <w:r w:rsidR="00BF59B2" w:rsidRPr="00716D6C">
        <w:rPr>
          <w:sz w:val="24"/>
        </w:rPr>
        <w:t>15.</w:t>
      </w:r>
      <w:r w:rsidR="009E7AD1">
        <w:rPr>
          <w:sz w:val="24"/>
        </w:rPr>
        <w:t xml:space="preserve"> </w:t>
      </w:r>
      <w:r w:rsidR="00BF59B2" w:rsidRPr="00716D6C">
        <w:rPr>
          <w:sz w:val="24"/>
        </w:rPr>
        <w:t>4.</w:t>
      </w:r>
      <w:r w:rsidR="009E7AD1">
        <w:rPr>
          <w:sz w:val="24"/>
        </w:rPr>
        <w:t xml:space="preserve"> </w:t>
      </w:r>
      <w:r w:rsidR="00BF59B2" w:rsidRPr="00716D6C">
        <w:rPr>
          <w:sz w:val="24"/>
        </w:rPr>
        <w:t xml:space="preserve">1937. Vládní návrh byl však </w:t>
      </w:r>
      <w:r w:rsidR="00FF16BB">
        <w:rPr>
          <w:sz w:val="24"/>
        </w:rPr>
        <w:t xml:space="preserve">naneštěstí </w:t>
      </w:r>
      <w:r w:rsidR="00BF59B2" w:rsidRPr="00716D6C">
        <w:rPr>
          <w:sz w:val="24"/>
        </w:rPr>
        <w:t xml:space="preserve">prezentován v nejméně vhodnou dobu s ohledem na vnitrostátní i mezinárodní politickou situaci. </w:t>
      </w:r>
      <w:r w:rsidR="00BF59B2" w:rsidRPr="00716D6C">
        <w:rPr>
          <w:i/>
          <w:sz w:val="24"/>
        </w:rPr>
        <w:t>„Katastrofa roku 1938 přesunula pozornost všech zúčastněných na jiné priority, než bylo přijetí nového občanského zákoníku. Do mnichovské krize ve dnech 29. a 30. září 1938 nestihl být návrh seriózně projednán. Ani následný vývoj v tzv. druhé republice nemohl ve věci občanského zákoníku přinést něco podstatně nového.“</w:t>
      </w:r>
      <w:r w:rsidR="00BF59B2" w:rsidRPr="00716D6C">
        <w:rPr>
          <w:rStyle w:val="Znakapoznpodarou"/>
          <w:i/>
          <w:sz w:val="24"/>
        </w:rPr>
        <w:footnoteReference w:id="26"/>
      </w:r>
      <w:r w:rsidR="00BF59B2" w:rsidRPr="00716D6C">
        <w:rPr>
          <w:i/>
          <w:sz w:val="24"/>
        </w:rPr>
        <w:t xml:space="preserve"> </w:t>
      </w:r>
      <w:r w:rsidR="00BF59B2" w:rsidRPr="00716D6C">
        <w:rPr>
          <w:sz w:val="24"/>
        </w:rPr>
        <w:t>Následný vznik samostatného slovenského státu a Protektorátu Čechy a Morava měl za následek, že k přijetí kodifikace již nedošlo.</w:t>
      </w:r>
      <w:r w:rsidR="00BF59B2" w:rsidRPr="00716D6C">
        <w:rPr>
          <w:rStyle w:val="Znakapoznpodarou"/>
          <w:sz w:val="24"/>
        </w:rPr>
        <w:footnoteReference w:id="27"/>
      </w:r>
      <w:r w:rsidR="00E61B15">
        <w:rPr>
          <w:sz w:val="24"/>
        </w:rPr>
        <w:t xml:space="preserve"> </w:t>
      </w:r>
    </w:p>
    <w:p w:rsidR="00FD587B" w:rsidRPr="00716D6C" w:rsidRDefault="00FD587B" w:rsidP="00AE5C96">
      <w:pPr>
        <w:spacing w:after="0" w:line="360" w:lineRule="auto"/>
        <w:ind w:firstLine="567"/>
        <w:jc w:val="both"/>
        <w:rPr>
          <w:sz w:val="24"/>
        </w:rPr>
      </w:pPr>
      <w:r>
        <w:rPr>
          <w:sz w:val="24"/>
        </w:rPr>
        <w:t>Práce na návrhu občanského zákoníku byly oživeny až po roce 1945, kdy byl text osnovy znovu vydán tiskem a rozeslán k odborné debatě. Nicméně před přijetím občanského zákoníku dostalo přednost řešení problémů, které v oblasti soukromého práva přinesl pomnichovský a poválečný vývoj. Tudíž ani v bezprostředně poválečném období návrh nepotkal lepší osud a nakonec se ČSR dočkala občanského zákoníku až v roce 1950 za výrazně změněné politické a společenské situace.</w:t>
      </w:r>
      <w:r>
        <w:rPr>
          <w:rStyle w:val="Znakapoznpodarou"/>
          <w:sz w:val="24"/>
        </w:rPr>
        <w:footnoteReference w:id="28"/>
      </w:r>
    </w:p>
    <w:p w:rsidR="00BF59B2" w:rsidRDefault="00BF59B2" w:rsidP="00AE5C96">
      <w:pPr>
        <w:jc w:val="both"/>
        <w:rPr>
          <w:b/>
          <w:sz w:val="24"/>
          <w:szCs w:val="24"/>
        </w:rPr>
      </w:pPr>
      <w:r>
        <w:rPr>
          <w:b/>
          <w:sz w:val="24"/>
          <w:szCs w:val="24"/>
        </w:rPr>
        <w:br w:type="page"/>
      </w:r>
    </w:p>
    <w:p w:rsidR="00F149B0" w:rsidRPr="007A0BB1" w:rsidRDefault="00F149B0" w:rsidP="00AE5C96">
      <w:pPr>
        <w:pStyle w:val="Nadpis1"/>
        <w:numPr>
          <w:ilvl w:val="0"/>
          <w:numId w:val="2"/>
        </w:numPr>
        <w:spacing w:line="360" w:lineRule="auto"/>
        <w:jc w:val="both"/>
        <w:rPr>
          <w:rFonts w:ascii="Times New Roman" w:hAnsi="Times New Roman" w:cs="Times New Roman"/>
          <w:color w:val="auto"/>
        </w:rPr>
      </w:pPr>
      <w:bookmarkStart w:id="5" w:name="_Toc409631282"/>
      <w:r w:rsidRPr="007A0BB1">
        <w:rPr>
          <w:rFonts w:ascii="Times New Roman" w:hAnsi="Times New Roman" w:cs="Times New Roman"/>
          <w:color w:val="auto"/>
        </w:rPr>
        <w:lastRenderedPageBreak/>
        <w:t>S</w:t>
      </w:r>
      <w:r w:rsidR="00F76819">
        <w:rPr>
          <w:rFonts w:ascii="Times New Roman" w:hAnsi="Times New Roman" w:cs="Times New Roman"/>
          <w:color w:val="auto"/>
        </w:rPr>
        <w:t>rovnání jednotlivých institutů</w:t>
      </w:r>
      <w:bookmarkEnd w:id="5"/>
    </w:p>
    <w:p w:rsidR="006809C0" w:rsidRPr="00426478" w:rsidRDefault="006809C0" w:rsidP="00AE5C96">
      <w:pPr>
        <w:spacing w:line="360" w:lineRule="auto"/>
        <w:ind w:firstLine="567"/>
        <w:jc w:val="both"/>
        <w:rPr>
          <w:sz w:val="24"/>
          <w:szCs w:val="24"/>
        </w:rPr>
      </w:pPr>
      <w:r w:rsidRPr="00426478">
        <w:rPr>
          <w:sz w:val="24"/>
          <w:szCs w:val="24"/>
        </w:rPr>
        <w:t xml:space="preserve">Následující část diplomové práce srovnává </w:t>
      </w:r>
      <w:r w:rsidR="00BB258B">
        <w:rPr>
          <w:sz w:val="24"/>
          <w:szCs w:val="24"/>
        </w:rPr>
        <w:t>vládní návrh občanského zákoníku z roku 1937 (dále jen „</w:t>
      </w:r>
      <w:r w:rsidRPr="00426478">
        <w:rPr>
          <w:sz w:val="24"/>
          <w:szCs w:val="24"/>
        </w:rPr>
        <w:t>VN</w:t>
      </w:r>
      <w:r w:rsidR="00BB258B">
        <w:rPr>
          <w:sz w:val="24"/>
          <w:szCs w:val="24"/>
        </w:rPr>
        <w:t>“)</w:t>
      </w:r>
      <w:r w:rsidRPr="00426478">
        <w:rPr>
          <w:rStyle w:val="Znakapoznpodarou"/>
          <w:sz w:val="24"/>
          <w:szCs w:val="24"/>
        </w:rPr>
        <w:footnoteReference w:id="29"/>
      </w:r>
      <w:r w:rsidRPr="00426478">
        <w:rPr>
          <w:sz w:val="24"/>
          <w:szCs w:val="24"/>
        </w:rPr>
        <w:t xml:space="preserve"> s</w:t>
      </w:r>
      <w:r w:rsidR="00BB258B">
        <w:rPr>
          <w:sz w:val="24"/>
          <w:szCs w:val="24"/>
        </w:rPr>
        <w:t>e zákonem č. 89/2012 Sb., občanský zákoník (dále jen „</w:t>
      </w:r>
      <w:r w:rsidRPr="00426478">
        <w:rPr>
          <w:sz w:val="24"/>
          <w:szCs w:val="24"/>
        </w:rPr>
        <w:t>NOZ</w:t>
      </w:r>
      <w:r w:rsidR="00BB258B">
        <w:rPr>
          <w:sz w:val="24"/>
          <w:szCs w:val="24"/>
        </w:rPr>
        <w:t>“)</w:t>
      </w:r>
      <w:r w:rsidRPr="00426478">
        <w:rPr>
          <w:rStyle w:val="Znakapoznpodarou"/>
          <w:sz w:val="24"/>
          <w:szCs w:val="24"/>
        </w:rPr>
        <w:footnoteReference w:id="30"/>
      </w:r>
      <w:r w:rsidRPr="00426478">
        <w:rPr>
          <w:sz w:val="24"/>
          <w:szCs w:val="24"/>
        </w:rPr>
        <w:t>, a to ohledně jednotli</w:t>
      </w:r>
      <w:r w:rsidR="00830796">
        <w:rPr>
          <w:sz w:val="24"/>
          <w:szCs w:val="24"/>
        </w:rPr>
        <w:t>vých institutů dědického práva. Srovnávána jsou jednotlivá ustanovení těchto dvou právních předpisů po stránce obsahové. Důraz tedy není kladen na stránku jazykovou, která není natolik</w:t>
      </w:r>
      <w:r w:rsidR="007C2FBA">
        <w:rPr>
          <w:sz w:val="24"/>
          <w:szCs w:val="24"/>
        </w:rPr>
        <w:t xml:space="preserve"> relevantní. Práce volí pro systematiku jednotlivých podkapitol této kapitoly jako základ systematické uspořádání institutů dědického práva ve VN, který se jako inspirační zdroj promítá do právní úpravy dědického práva v NOZ. </w:t>
      </w:r>
      <w:r w:rsidRPr="00426478">
        <w:rPr>
          <w:sz w:val="24"/>
          <w:szCs w:val="24"/>
        </w:rPr>
        <w:t>Po srovnání každého inst</w:t>
      </w:r>
      <w:r w:rsidR="007C2FBA">
        <w:rPr>
          <w:sz w:val="24"/>
          <w:szCs w:val="24"/>
        </w:rPr>
        <w:t>itutu vymezuje diplomová práce,</w:t>
      </w:r>
      <w:r w:rsidRPr="00426478">
        <w:rPr>
          <w:sz w:val="24"/>
          <w:szCs w:val="24"/>
        </w:rPr>
        <w:t xml:space="preserve"> kolik ustanovení NOZ</w:t>
      </w:r>
      <w:r w:rsidR="002532DD">
        <w:rPr>
          <w:sz w:val="24"/>
          <w:szCs w:val="24"/>
        </w:rPr>
        <w:t>, ohledně institutu srovnávaného v dané podkapitole,</w:t>
      </w:r>
      <w:r w:rsidRPr="00426478">
        <w:rPr>
          <w:sz w:val="24"/>
          <w:szCs w:val="24"/>
        </w:rPr>
        <w:t xml:space="preserve"> je </w:t>
      </w:r>
      <w:r w:rsidR="007C2FBA">
        <w:rPr>
          <w:sz w:val="24"/>
          <w:szCs w:val="24"/>
        </w:rPr>
        <w:t xml:space="preserve">obsahově </w:t>
      </w:r>
      <w:r w:rsidRPr="00426478">
        <w:rPr>
          <w:sz w:val="24"/>
          <w:szCs w:val="24"/>
        </w:rPr>
        <w:t xml:space="preserve">shodných s ustanoveními VN, a to buďto </w:t>
      </w:r>
      <w:r w:rsidR="007C2FBA">
        <w:rPr>
          <w:sz w:val="24"/>
          <w:szCs w:val="24"/>
        </w:rPr>
        <w:t>zcela</w:t>
      </w:r>
      <w:r w:rsidRPr="00426478">
        <w:rPr>
          <w:sz w:val="24"/>
          <w:szCs w:val="24"/>
        </w:rPr>
        <w:t xml:space="preserve"> či částečně. Na konci srovnávací části </w:t>
      </w:r>
      <w:r w:rsidR="007C2FBA">
        <w:rPr>
          <w:sz w:val="24"/>
          <w:szCs w:val="24"/>
        </w:rPr>
        <w:t>je pak uvedena</w:t>
      </w:r>
      <w:r w:rsidRPr="00426478">
        <w:rPr>
          <w:sz w:val="24"/>
          <w:szCs w:val="24"/>
        </w:rPr>
        <w:t xml:space="preserve"> </w:t>
      </w:r>
      <w:r w:rsidR="007C2FBA">
        <w:rPr>
          <w:sz w:val="24"/>
          <w:szCs w:val="24"/>
        </w:rPr>
        <w:t>závěrečná přehledová tabulka</w:t>
      </w:r>
      <w:r w:rsidRPr="00426478">
        <w:rPr>
          <w:sz w:val="24"/>
          <w:szCs w:val="24"/>
        </w:rPr>
        <w:t xml:space="preserve">, </w:t>
      </w:r>
      <w:r w:rsidR="007C2FBA">
        <w:rPr>
          <w:sz w:val="24"/>
          <w:szCs w:val="24"/>
        </w:rPr>
        <w:t>která shrnuje</w:t>
      </w:r>
      <w:r w:rsidRPr="00426478">
        <w:rPr>
          <w:sz w:val="24"/>
          <w:szCs w:val="24"/>
        </w:rPr>
        <w:t xml:space="preserve"> výsledky srovnávání uvedených právních předpisů, a </w:t>
      </w:r>
      <w:r w:rsidR="007C2FBA">
        <w:rPr>
          <w:sz w:val="24"/>
          <w:szCs w:val="24"/>
        </w:rPr>
        <w:t>následně jsou výsledky promítnuty i do grafu pro lepší znázornění</w:t>
      </w:r>
      <w:r w:rsidRPr="00426478">
        <w:rPr>
          <w:sz w:val="24"/>
          <w:szCs w:val="24"/>
        </w:rPr>
        <w:t>.</w:t>
      </w:r>
    </w:p>
    <w:p w:rsidR="00F149B0" w:rsidRPr="008D11B8" w:rsidRDefault="00F149B0" w:rsidP="00AE5C96">
      <w:pPr>
        <w:pStyle w:val="Nadpis2"/>
        <w:numPr>
          <w:ilvl w:val="1"/>
          <w:numId w:val="2"/>
        </w:numPr>
        <w:spacing w:line="360" w:lineRule="auto"/>
        <w:jc w:val="both"/>
        <w:rPr>
          <w:rFonts w:ascii="Times New Roman" w:hAnsi="Times New Roman" w:cs="Times New Roman"/>
          <w:color w:val="auto"/>
        </w:rPr>
      </w:pPr>
      <w:bookmarkStart w:id="6" w:name="_Toc409631283"/>
      <w:r w:rsidRPr="008D11B8">
        <w:rPr>
          <w:rFonts w:ascii="Times New Roman" w:hAnsi="Times New Roman" w:cs="Times New Roman"/>
          <w:color w:val="auto"/>
        </w:rPr>
        <w:t>Právo na pozůstalost</w:t>
      </w:r>
      <w:r w:rsidR="009304DC">
        <w:rPr>
          <w:rStyle w:val="Znakapoznpodarou"/>
          <w:rFonts w:ascii="Times New Roman" w:hAnsi="Times New Roman" w:cs="Times New Roman"/>
          <w:color w:val="auto"/>
        </w:rPr>
        <w:footnoteReference w:id="31"/>
      </w:r>
      <w:bookmarkEnd w:id="6"/>
    </w:p>
    <w:p w:rsidR="004937CE" w:rsidRPr="00426478" w:rsidRDefault="00F149B0" w:rsidP="00AE5C96">
      <w:pPr>
        <w:spacing w:after="0" w:line="360" w:lineRule="auto"/>
        <w:ind w:firstLine="567"/>
        <w:jc w:val="both"/>
        <w:rPr>
          <w:sz w:val="24"/>
          <w:szCs w:val="24"/>
        </w:rPr>
      </w:pPr>
      <w:r w:rsidRPr="00426478">
        <w:rPr>
          <w:sz w:val="24"/>
          <w:szCs w:val="24"/>
        </w:rPr>
        <w:t xml:space="preserve">Všeobecná ustanovení o právu na pozůstalost jsou upravena ve </w:t>
      </w:r>
      <w:r w:rsidR="003545FD" w:rsidRPr="00426478">
        <w:rPr>
          <w:sz w:val="24"/>
          <w:szCs w:val="24"/>
        </w:rPr>
        <w:t>VN</w:t>
      </w:r>
      <w:r w:rsidRPr="00426478">
        <w:rPr>
          <w:sz w:val="24"/>
          <w:szCs w:val="24"/>
        </w:rPr>
        <w:t xml:space="preserve"> v Hlavě 15, která zahrnuje §§</w:t>
      </w:r>
      <w:r w:rsidR="00BD4B4D">
        <w:rPr>
          <w:sz w:val="24"/>
          <w:szCs w:val="24"/>
        </w:rPr>
        <w:t xml:space="preserve"> </w:t>
      </w:r>
      <w:r w:rsidRPr="00426478">
        <w:rPr>
          <w:sz w:val="24"/>
          <w:szCs w:val="24"/>
        </w:rPr>
        <w:t>377 až 390. V NOZ je právo na poz</w:t>
      </w:r>
      <w:r w:rsidR="003545FD" w:rsidRPr="00426478">
        <w:rPr>
          <w:sz w:val="24"/>
          <w:szCs w:val="24"/>
        </w:rPr>
        <w:t>ůstalost upraveno stejně jako ve VN</w:t>
      </w:r>
      <w:r w:rsidRPr="00426478">
        <w:rPr>
          <w:sz w:val="24"/>
          <w:szCs w:val="24"/>
        </w:rPr>
        <w:t xml:space="preserve"> na začátku části upravující dědické právo, a to v Hlavě III, Díl</w:t>
      </w:r>
      <w:r w:rsidR="00D87EEF">
        <w:rPr>
          <w:sz w:val="24"/>
          <w:szCs w:val="24"/>
        </w:rPr>
        <w:t>u</w:t>
      </w:r>
      <w:r w:rsidRPr="00426478">
        <w:rPr>
          <w:sz w:val="24"/>
          <w:szCs w:val="24"/>
        </w:rPr>
        <w:t xml:space="preserve"> 1, a zahrnuje §§</w:t>
      </w:r>
      <w:r w:rsidR="00BD4B4D">
        <w:rPr>
          <w:sz w:val="24"/>
          <w:szCs w:val="24"/>
        </w:rPr>
        <w:t xml:space="preserve"> </w:t>
      </w:r>
      <w:r w:rsidRPr="00426478">
        <w:rPr>
          <w:sz w:val="24"/>
          <w:szCs w:val="24"/>
        </w:rPr>
        <w:t>1475 až 1490.</w:t>
      </w:r>
      <w:r w:rsidR="00480648" w:rsidRPr="00426478">
        <w:rPr>
          <w:sz w:val="24"/>
          <w:szCs w:val="24"/>
        </w:rPr>
        <w:t xml:space="preserve"> Právo na pozůstalost nebo podíl z ní je shodně označováno jako právo dědické.</w:t>
      </w:r>
    </w:p>
    <w:p w:rsidR="00F149B0" w:rsidRPr="00426478" w:rsidRDefault="00E432A0" w:rsidP="00AE5C96">
      <w:pPr>
        <w:spacing w:after="0" w:line="360" w:lineRule="auto"/>
        <w:ind w:firstLine="567"/>
        <w:jc w:val="both"/>
        <w:rPr>
          <w:sz w:val="24"/>
          <w:szCs w:val="24"/>
        </w:rPr>
      </w:pPr>
      <w:r w:rsidRPr="00426478">
        <w:rPr>
          <w:sz w:val="24"/>
          <w:szCs w:val="24"/>
        </w:rPr>
        <w:t xml:space="preserve">VN stejně jako NOZ </w:t>
      </w:r>
      <w:r w:rsidR="00D87EEF">
        <w:rPr>
          <w:sz w:val="24"/>
          <w:szCs w:val="24"/>
        </w:rPr>
        <w:t>zahrnuje do právní úpravy</w:t>
      </w:r>
      <w:r w:rsidRPr="00426478">
        <w:rPr>
          <w:sz w:val="24"/>
          <w:szCs w:val="24"/>
        </w:rPr>
        <w:t xml:space="preserve"> práva na pozůstalost úpravu pojmu dědického práva a dědictví, důvodů dědického práva,</w:t>
      </w:r>
      <w:r w:rsidR="004937CE" w:rsidRPr="00426478">
        <w:rPr>
          <w:sz w:val="24"/>
          <w:szCs w:val="24"/>
        </w:rPr>
        <w:t xml:space="preserve"> rozdílu mezi odkazem a dědictvím,</w:t>
      </w:r>
      <w:r w:rsidRPr="00426478">
        <w:rPr>
          <w:sz w:val="24"/>
          <w:szCs w:val="24"/>
        </w:rPr>
        <w:t xml:space="preserve"> dědického nápadu, dědické nezpůsobilosti a zřeknutí se dědického práva. NOZ navíc zahrnuje v Díle 1 i institut odmítnutí dědictví a vzdání se dědictví.</w:t>
      </w:r>
    </w:p>
    <w:p w:rsidR="004937CE" w:rsidRPr="00426478" w:rsidRDefault="004937CE" w:rsidP="00AE5C96">
      <w:pPr>
        <w:spacing w:after="0" w:line="360" w:lineRule="auto"/>
        <w:ind w:firstLine="567"/>
        <w:jc w:val="both"/>
        <w:rPr>
          <w:sz w:val="24"/>
          <w:szCs w:val="24"/>
        </w:rPr>
      </w:pPr>
      <w:r w:rsidRPr="00426478">
        <w:rPr>
          <w:sz w:val="24"/>
          <w:szCs w:val="24"/>
        </w:rPr>
        <w:t>Ve VN jsou definice dědického práva, pozůstalosti a dědictví vy</w:t>
      </w:r>
      <w:r w:rsidR="00422E3A" w:rsidRPr="00426478">
        <w:rPr>
          <w:sz w:val="24"/>
          <w:szCs w:val="24"/>
        </w:rPr>
        <w:t>mezeny v §§</w:t>
      </w:r>
      <w:r w:rsidR="00BD4B4D">
        <w:rPr>
          <w:sz w:val="24"/>
          <w:szCs w:val="24"/>
        </w:rPr>
        <w:t xml:space="preserve"> </w:t>
      </w:r>
      <w:r w:rsidR="00422E3A" w:rsidRPr="00426478">
        <w:rPr>
          <w:sz w:val="24"/>
          <w:szCs w:val="24"/>
        </w:rPr>
        <w:t>377 až 379</w:t>
      </w:r>
      <w:r w:rsidR="00480648" w:rsidRPr="00426478">
        <w:rPr>
          <w:sz w:val="24"/>
          <w:szCs w:val="24"/>
        </w:rPr>
        <w:t xml:space="preserve">. </w:t>
      </w:r>
      <w:r w:rsidRPr="00426478">
        <w:rPr>
          <w:sz w:val="24"/>
          <w:szCs w:val="24"/>
        </w:rPr>
        <w:t>NOZ zahrnul oproti VN definice pouze do jednoho §</w:t>
      </w:r>
      <w:r w:rsidR="00BD4B4D">
        <w:rPr>
          <w:sz w:val="24"/>
          <w:szCs w:val="24"/>
        </w:rPr>
        <w:t xml:space="preserve"> </w:t>
      </w:r>
      <w:r w:rsidRPr="00426478">
        <w:rPr>
          <w:sz w:val="24"/>
          <w:szCs w:val="24"/>
        </w:rPr>
        <w:t>1475.</w:t>
      </w:r>
      <w:r w:rsidR="00422E3A" w:rsidRPr="00426478">
        <w:rPr>
          <w:sz w:val="24"/>
          <w:szCs w:val="24"/>
        </w:rPr>
        <w:t xml:space="preserve">  Obsah §</w:t>
      </w:r>
      <w:r w:rsidR="00823C93">
        <w:rPr>
          <w:sz w:val="24"/>
          <w:szCs w:val="24"/>
        </w:rPr>
        <w:t xml:space="preserve"> </w:t>
      </w:r>
      <w:r w:rsidR="00422E3A" w:rsidRPr="00426478">
        <w:rPr>
          <w:sz w:val="24"/>
          <w:szCs w:val="24"/>
        </w:rPr>
        <w:t>1475 NOZ je však shodný s §§</w:t>
      </w:r>
      <w:r w:rsidR="00BD4B4D">
        <w:rPr>
          <w:sz w:val="24"/>
          <w:szCs w:val="24"/>
        </w:rPr>
        <w:t xml:space="preserve"> </w:t>
      </w:r>
      <w:r w:rsidR="00422E3A" w:rsidRPr="00426478">
        <w:rPr>
          <w:sz w:val="24"/>
          <w:szCs w:val="24"/>
        </w:rPr>
        <w:t>377 až 379 VN. Odlišná je pouze terminologie §</w:t>
      </w:r>
      <w:r w:rsidR="00BD4B4D">
        <w:rPr>
          <w:sz w:val="24"/>
          <w:szCs w:val="24"/>
        </w:rPr>
        <w:t xml:space="preserve"> </w:t>
      </w:r>
      <w:r w:rsidR="00422E3A" w:rsidRPr="00426478">
        <w:rPr>
          <w:sz w:val="24"/>
          <w:szCs w:val="24"/>
        </w:rPr>
        <w:t>378 VN a §</w:t>
      </w:r>
      <w:r w:rsidR="00BD4B4D">
        <w:rPr>
          <w:sz w:val="24"/>
          <w:szCs w:val="24"/>
        </w:rPr>
        <w:t xml:space="preserve"> </w:t>
      </w:r>
      <w:r w:rsidR="00422E3A" w:rsidRPr="00426478">
        <w:rPr>
          <w:sz w:val="24"/>
          <w:szCs w:val="24"/>
        </w:rPr>
        <w:t>1475 odst. 2 NOZ, kdy ve VN je uvedeno, že pozůstalost tvoří zažalované osobní nároky, a v NOZ se hovoří o právech a povinnostech vázaných výlučně na osobu zůstavitele, které byly uznány jako dluh nebo uplatněny u orgánu veřejné moci.</w:t>
      </w:r>
    </w:p>
    <w:p w:rsidR="00812889" w:rsidRPr="00426478" w:rsidRDefault="00812889" w:rsidP="00AE5C96">
      <w:pPr>
        <w:spacing w:after="0" w:line="360" w:lineRule="auto"/>
        <w:ind w:firstLine="567"/>
        <w:jc w:val="both"/>
        <w:rPr>
          <w:sz w:val="24"/>
          <w:szCs w:val="24"/>
        </w:rPr>
      </w:pPr>
      <w:r w:rsidRPr="00426478">
        <w:rPr>
          <w:sz w:val="24"/>
          <w:szCs w:val="24"/>
        </w:rPr>
        <w:t>Důvody dědického práva jsou vymezeny v obou předpisech shodně.</w:t>
      </w:r>
    </w:p>
    <w:p w:rsidR="00812889" w:rsidRPr="00426478" w:rsidRDefault="00812889" w:rsidP="00AE5C96">
      <w:pPr>
        <w:spacing w:after="0" w:line="360" w:lineRule="auto"/>
        <w:ind w:firstLine="567"/>
        <w:jc w:val="both"/>
        <w:rPr>
          <w:sz w:val="24"/>
          <w:szCs w:val="24"/>
        </w:rPr>
      </w:pPr>
      <w:r w:rsidRPr="00426478">
        <w:rPr>
          <w:sz w:val="24"/>
          <w:szCs w:val="24"/>
        </w:rPr>
        <w:lastRenderedPageBreak/>
        <w:t xml:space="preserve">VN i NOZ </w:t>
      </w:r>
      <w:r w:rsidR="00480648" w:rsidRPr="00426478">
        <w:rPr>
          <w:sz w:val="24"/>
          <w:szCs w:val="24"/>
        </w:rPr>
        <w:t xml:space="preserve">dále </w:t>
      </w:r>
      <w:r w:rsidRPr="00426478">
        <w:rPr>
          <w:sz w:val="24"/>
          <w:szCs w:val="24"/>
        </w:rPr>
        <w:t>vymezují jaký je rozdíl mezi dědictvím a odkazem, resp. odkazovníkem, přičemž VN navíc dodává, že se může jednat o odkaz i v případě, že by dle hodnoty tvořil největší část pozůstalosti. Shodně VN a NOZ uvádí, že odkazovník není dědicem.</w:t>
      </w:r>
    </w:p>
    <w:p w:rsidR="00963CE9" w:rsidRPr="00426478" w:rsidRDefault="00480648" w:rsidP="00AE5C96">
      <w:pPr>
        <w:spacing w:after="0" w:line="360" w:lineRule="auto"/>
        <w:ind w:firstLine="567"/>
        <w:jc w:val="both"/>
        <w:rPr>
          <w:sz w:val="24"/>
          <w:szCs w:val="24"/>
        </w:rPr>
      </w:pPr>
      <w:r w:rsidRPr="00426478">
        <w:rPr>
          <w:sz w:val="24"/>
          <w:szCs w:val="24"/>
        </w:rPr>
        <w:t>Co se týče právní úpravy</w:t>
      </w:r>
      <w:r w:rsidR="00CF3624" w:rsidRPr="00426478">
        <w:rPr>
          <w:sz w:val="24"/>
          <w:szCs w:val="24"/>
        </w:rPr>
        <w:t xml:space="preserve"> dědického nápadu</w:t>
      </w:r>
      <w:r w:rsidRPr="00426478">
        <w:rPr>
          <w:sz w:val="24"/>
          <w:szCs w:val="24"/>
        </w:rPr>
        <w:t>, ta</w:t>
      </w:r>
      <w:r w:rsidR="00CF3624" w:rsidRPr="00426478">
        <w:rPr>
          <w:sz w:val="24"/>
          <w:szCs w:val="24"/>
        </w:rPr>
        <w:t xml:space="preserve"> je ve VN upravena v §</w:t>
      </w:r>
      <w:r w:rsidR="00BD4B4D">
        <w:rPr>
          <w:sz w:val="24"/>
          <w:szCs w:val="24"/>
        </w:rPr>
        <w:t xml:space="preserve">§ </w:t>
      </w:r>
      <w:r w:rsidR="00CF3624" w:rsidRPr="00426478">
        <w:rPr>
          <w:sz w:val="24"/>
          <w:szCs w:val="24"/>
        </w:rPr>
        <w:t>382 až 385, v NOZ v §§</w:t>
      </w:r>
      <w:r w:rsidR="00BD4B4D">
        <w:rPr>
          <w:sz w:val="24"/>
          <w:szCs w:val="24"/>
        </w:rPr>
        <w:t xml:space="preserve"> </w:t>
      </w:r>
      <w:r w:rsidR="00CF3624" w:rsidRPr="00426478">
        <w:rPr>
          <w:sz w:val="24"/>
          <w:szCs w:val="24"/>
        </w:rPr>
        <w:t xml:space="preserve">1479 až 1480. </w:t>
      </w:r>
      <w:r w:rsidR="00D87EEF">
        <w:rPr>
          <w:sz w:val="24"/>
          <w:szCs w:val="24"/>
        </w:rPr>
        <w:t>V případě právní úpravy vzniku dědického práva se VN a NOZ rozchází.</w:t>
      </w:r>
    </w:p>
    <w:p w:rsidR="00CF3624" w:rsidRPr="00426478" w:rsidRDefault="00963CE9" w:rsidP="00AE5C96">
      <w:pPr>
        <w:spacing w:after="0" w:line="360" w:lineRule="auto"/>
        <w:ind w:firstLine="567"/>
        <w:jc w:val="both"/>
        <w:rPr>
          <w:i/>
          <w:sz w:val="24"/>
          <w:szCs w:val="24"/>
        </w:rPr>
      </w:pPr>
      <w:r w:rsidRPr="00426478">
        <w:rPr>
          <w:i/>
          <w:sz w:val="24"/>
          <w:szCs w:val="24"/>
        </w:rPr>
        <w:t>„Celá konstrukce dědického práva u nás stála před r. 1950 na institutu ležící pozůstalosti (</w:t>
      </w:r>
      <w:proofErr w:type="spellStart"/>
      <w:r w:rsidRPr="00426478">
        <w:rPr>
          <w:i/>
          <w:sz w:val="24"/>
          <w:szCs w:val="24"/>
        </w:rPr>
        <w:t>hereditas</w:t>
      </w:r>
      <w:proofErr w:type="spellEnd"/>
      <w:r w:rsidRPr="00426478">
        <w:rPr>
          <w:i/>
          <w:sz w:val="24"/>
          <w:szCs w:val="24"/>
        </w:rPr>
        <w:t xml:space="preserve"> </w:t>
      </w:r>
      <w:proofErr w:type="spellStart"/>
      <w:r w:rsidRPr="00426478">
        <w:rPr>
          <w:i/>
          <w:sz w:val="24"/>
          <w:szCs w:val="24"/>
        </w:rPr>
        <w:t>iacens</w:t>
      </w:r>
      <w:proofErr w:type="spellEnd"/>
      <w:r w:rsidRPr="00426478">
        <w:rPr>
          <w:i/>
          <w:sz w:val="24"/>
          <w:szCs w:val="24"/>
        </w:rPr>
        <w:t>), který byl pro úpravu dědického práva klíčový. Naše starší dědické právo vycházelo z pojetí, že se po zůstavitelově smrti na pozůstalost hledí až do okamžiku soudního rozhodnutí o dědictví jako na majetek náležející stále zemřelému zůstaviteli. Dědic nabyl vlastnické právo k dědictví až soudním odevzdáním, nikoli již smrtí zůstavitele.“</w:t>
      </w:r>
      <w:r w:rsidRPr="00426478">
        <w:rPr>
          <w:rStyle w:val="Znakapoznpodarou"/>
          <w:i/>
          <w:sz w:val="24"/>
          <w:szCs w:val="24"/>
        </w:rPr>
        <w:footnoteReference w:id="32"/>
      </w:r>
    </w:p>
    <w:p w:rsidR="00963CE9" w:rsidRPr="00426478" w:rsidRDefault="00963CE9" w:rsidP="00AE5C96">
      <w:pPr>
        <w:spacing w:after="0" w:line="360" w:lineRule="auto"/>
        <w:ind w:firstLine="567"/>
        <w:jc w:val="both"/>
        <w:rPr>
          <w:sz w:val="24"/>
          <w:szCs w:val="24"/>
        </w:rPr>
      </w:pPr>
      <w:r w:rsidRPr="00426478">
        <w:rPr>
          <w:sz w:val="24"/>
          <w:szCs w:val="24"/>
        </w:rPr>
        <w:t>Jak vyplývá z výše uvedeného, NOZ stejně jako občanský zákoník z roku 1950 a z roku 1964</w:t>
      </w:r>
      <w:r w:rsidR="00596F6A">
        <w:rPr>
          <w:sz w:val="24"/>
          <w:szCs w:val="24"/>
        </w:rPr>
        <w:t xml:space="preserve"> </w:t>
      </w:r>
      <w:r w:rsidR="003F7589">
        <w:rPr>
          <w:sz w:val="24"/>
          <w:szCs w:val="24"/>
        </w:rPr>
        <w:t>u</w:t>
      </w:r>
      <w:r w:rsidR="002E5DC0" w:rsidRPr="00426478">
        <w:rPr>
          <w:sz w:val="24"/>
          <w:szCs w:val="24"/>
        </w:rPr>
        <w:t>pouští od institutu ležící pozůstalosti, a dědické právo se nabývá okamžikem smrti zůstavitele.</w:t>
      </w:r>
      <w:r w:rsidR="00802510">
        <w:rPr>
          <w:sz w:val="24"/>
          <w:szCs w:val="24"/>
        </w:rPr>
        <w:t xml:space="preserve"> Nicméně i tak se vychází z pojetí, že pozůstalost představuje zvláštní majetkový soubor, který vyžaduje speciální úpravu. Pozůstalost tak má být spravována ve zvláštním režimu až do rozhodnutí soudu o potvrzení dědictví – vykonavatelem závěti, samotnými dědici, popřípadě správcem jmenovaným soudem.</w:t>
      </w:r>
      <w:r w:rsidR="00802510">
        <w:rPr>
          <w:rStyle w:val="Znakapoznpodarou"/>
          <w:sz w:val="24"/>
          <w:szCs w:val="24"/>
        </w:rPr>
        <w:footnoteReference w:id="33"/>
      </w:r>
    </w:p>
    <w:p w:rsidR="002E5DC0" w:rsidRPr="008D11B8" w:rsidRDefault="002E5DC0" w:rsidP="00AE5C96">
      <w:pPr>
        <w:pStyle w:val="Nadpis3"/>
        <w:numPr>
          <w:ilvl w:val="2"/>
          <w:numId w:val="2"/>
        </w:numPr>
        <w:spacing w:line="360" w:lineRule="auto"/>
        <w:jc w:val="both"/>
        <w:rPr>
          <w:rFonts w:ascii="Times New Roman" w:hAnsi="Times New Roman" w:cs="Times New Roman"/>
          <w:color w:val="auto"/>
          <w:sz w:val="24"/>
        </w:rPr>
      </w:pPr>
      <w:bookmarkStart w:id="7" w:name="_Toc409631284"/>
      <w:r w:rsidRPr="008D11B8">
        <w:rPr>
          <w:rFonts w:ascii="Times New Roman" w:hAnsi="Times New Roman" w:cs="Times New Roman"/>
          <w:color w:val="auto"/>
          <w:sz w:val="24"/>
        </w:rPr>
        <w:t>Dědická nezpůsobilost</w:t>
      </w:r>
      <w:bookmarkEnd w:id="7"/>
    </w:p>
    <w:p w:rsidR="0008735D" w:rsidRPr="00426478" w:rsidRDefault="002E5DC0" w:rsidP="00AE5C96">
      <w:pPr>
        <w:spacing w:after="0" w:line="360" w:lineRule="auto"/>
        <w:ind w:firstLine="567"/>
        <w:jc w:val="both"/>
        <w:rPr>
          <w:sz w:val="24"/>
          <w:szCs w:val="24"/>
        </w:rPr>
      </w:pPr>
      <w:r w:rsidRPr="00426478">
        <w:rPr>
          <w:sz w:val="24"/>
          <w:szCs w:val="24"/>
        </w:rPr>
        <w:t>V</w:t>
      </w:r>
      <w:r w:rsidR="008C408C" w:rsidRPr="00426478">
        <w:rPr>
          <w:sz w:val="24"/>
          <w:szCs w:val="24"/>
        </w:rPr>
        <w:t xml:space="preserve">N stejně jako NOZ uvádí v rámci obecné úpravy práva na pozůstalost důvody dědické nezpůsobilosti, tj. důvody, které mají za následek, že je osoba vyloučena z dědického práva. </w:t>
      </w:r>
    </w:p>
    <w:p w:rsidR="004937CE" w:rsidRPr="00426478" w:rsidRDefault="008C408C" w:rsidP="00AE5C96">
      <w:pPr>
        <w:spacing w:after="0" w:line="360" w:lineRule="auto"/>
        <w:ind w:firstLine="567"/>
        <w:jc w:val="both"/>
        <w:rPr>
          <w:i/>
          <w:sz w:val="24"/>
          <w:szCs w:val="24"/>
        </w:rPr>
      </w:pPr>
      <w:r w:rsidRPr="00426478">
        <w:rPr>
          <w:sz w:val="24"/>
          <w:szCs w:val="24"/>
        </w:rPr>
        <w:t>Dle VN je z dědického práva vyloučena osoba, která se dopustila proti zůstaviteli, jeho dětem, rodičům nebo manželu zločinu. NOZ uvádí, že je vyloučen z dědického práva ten, který se dopustil činu povahy úmyslného trestného činu proti zůstaviteli, jeho předku, potomku nebo manželu.</w:t>
      </w:r>
      <w:r w:rsidR="002E5DC0" w:rsidRPr="00426478">
        <w:rPr>
          <w:sz w:val="24"/>
          <w:szCs w:val="24"/>
        </w:rPr>
        <w:t xml:space="preserve"> </w:t>
      </w:r>
      <w:r w:rsidRPr="00426478">
        <w:rPr>
          <w:sz w:val="24"/>
          <w:szCs w:val="24"/>
        </w:rPr>
        <w:t>NOZ tedy oproti VN rozšiřuje okruh osob na veškeré předky a potomky zůstavitele, nejen jeho rodiče a děti. Nadále se NOZ odlišuje</w:t>
      </w:r>
      <w:r w:rsidR="00E912F2" w:rsidRPr="00426478">
        <w:rPr>
          <w:sz w:val="24"/>
          <w:szCs w:val="24"/>
        </w:rPr>
        <w:t xml:space="preserve"> v označení činu osoby, která má být z dědického práva vyloučena. VN stanovuje, že je vyloučen, kdo se dopustil zločinu</w:t>
      </w:r>
      <w:r w:rsidR="00441E54">
        <w:rPr>
          <w:rStyle w:val="Znakapoznpodarou"/>
          <w:sz w:val="24"/>
          <w:szCs w:val="24"/>
        </w:rPr>
        <w:footnoteReference w:id="34"/>
      </w:r>
      <w:r w:rsidR="00E912F2" w:rsidRPr="00426478">
        <w:rPr>
          <w:sz w:val="24"/>
          <w:szCs w:val="24"/>
        </w:rPr>
        <w:t xml:space="preserve">, oproti tomu NOZ stanovuje, že je vyloučen, kdo se dopustil činu povahy </w:t>
      </w:r>
      <w:r w:rsidR="00E912F2" w:rsidRPr="00426478">
        <w:rPr>
          <w:sz w:val="24"/>
          <w:szCs w:val="24"/>
        </w:rPr>
        <w:lastRenderedPageBreak/>
        <w:t>úmyslného trestného činu. Důvod dědické nezpůsobilosti v NOZ je vymezen oproti VN přísněji, kdy není podmínkou, aby byl vyloučený odsouzen pravomocným rozsudkem za úmyslný trestný čin, ale postačí okolnost, že se takového činu dopustil.</w:t>
      </w:r>
      <w:r w:rsidR="00997BFF" w:rsidRPr="00426478">
        <w:rPr>
          <w:sz w:val="24"/>
          <w:szCs w:val="24"/>
        </w:rPr>
        <w:t xml:space="preserve"> </w:t>
      </w:r>
    </w:p>
    <w:p w:rsidR="009455F9" w:rsidRPr="00426478" w:rsidRDefault="009455F9" w:rsidP="00AE5C96">
      <w:pPr>
        <w:spacing w:after="0" w:line="360" w:lineRule="auto"/>
        <w:ind w:firstLine="567"/>
        <w:jc w:val="both"/>
        <w:rPr>
          <w:sz w:val="24"/>
          <w:szCs w:val="24"/>
        </w:rPr>
      </w:pPr>
      <w:r w:rsidRPr="00426478">
        <w:rPr>
          <w:sz w:val="24"/>
          <w:szCs w:val="24"/>
        </w:rPr>
        <w:t>Dalším důvodem dědické nezpůsobilosti je jak dle VN, tak i dle NOZ případ, kdy osoba zůstavitele donutí nebo lstivě svede k projevu poslední vůle, nebo zůstavitelův projev poslední vůle překazí nebo jeho pořízení zatají, zfalšuje, podvrhne nebo úmyslně zničí. Přičemž v NOZ je opět přísněji uvedeno, že vyloučen z dědického práva je ten</w:t>
      </w:r>
      <w:r w:rsidR="00441E54">
        <w:rPr>
          <w:sz w:val="24"/>
          <w:szCs w:val="24"/>
        </w:rPr>
        <w:t>,</w:t>
      </w:r>
      <w:r w:rsidRPr="00426478">
        <w:rPr>
          <w:sz w:val="24"/>
          <w:szCs w:val="24"/>
        </w:rPr>
        <w:t xml:space="preserve"> kdo se dopustí zavrženíhodného činu proti zůstavitelově poslední vůli, a nadále jsou demonstrativně uvedeny příklady takového činění. Oproti VN je tedy NOZ i co do tohoto důvodu striktnější, kdy je možné postihnout dědickou nezpůsobilostí i jiné případy, než ty které jsou uvedeny přímo v ustanovení zákona, nicméně za podmínky, že se bude jednat o případ zavrženíhodného činu.</w:t>
      </w:r>
    </w:p>
    <w:p w:rsidR="002176E8" w:rsidRPr="00426478" w:rsidRDefault="002176E8" w:rsidP="00AE5C96">
      <w:pPr>
        <w:spacing w:after="0" w:line="360" w:lineRule="auto"/>
        <w:ind w:firstLine="567"/>
        <w:jc w:val="both"/>
        <w:rPr>
          <w:sz w:val="24"/>
          <w:szCs w:val="24"/>
        </w:rPr>
      </w:pPr>
      <w:r w:rsidRPr="00426478">
        <w:rPr>
          <w:sz w:val="24"/>
          <w:szCs w:val="24"/>
        </w:rPr>
        <w:t>Dále VN i NOZ upravují, že je možné, aby osoba</w:t>
      </w:r>
      <w:r w:rsidR="00441E54">
        <w:rPr>
          <w:sz w:val="24"/>
          <w:szCs w:val="24"/>
        </w:rPr>
        <w:t>,</w:t>
      </w:r>
      <w:r w:rsidRPr="00426478">
        <w:rPr>
          <w:sz w:val="24"/>
          <w:szCs w:val="24"/>
        </w:rPr>
        <w:t xml:space="preserve"> která naplnila podmínky pro vyloučení z dědického práva, byla přes to způsobilá dědit, a to za předpokladu, že jí zůstavitel její čin promine. NOZ je i zde přísnější v tom ohledu, že uvádí, že prominutí ze strany zůstavitele musí být výslovné. VN takovou podmínku nestanovuje.</w:t>
      </w:r>
      <w:r w:rsidR="002E5DC0" w:rsidRPr="00426478">
        <w:rPr>
          <w:sz w:val="24"/>
          <w:szCs w:val="24"/>
        </w:rPr>
        <w:t xml:space="preserve"> </w:t>
      </w:r>
      <w:r w:rsidR="008A23E6" w:rsidRPr="00426478">
        <w:rPr>
          <w:sz w:val="24"/>
          <w:szCs w:val="24"/>
        </w:rPr>
        <w:t>Shodně oba právní předpisy také upravují, že potomci toho, kdo je vyloučen z dědického práva, nastupují při zákonné dědické posloupnosti na jeho místo, i když vyloučený přežije zůstavitele.</w:t>
      </w:r>
    </w:p>
    <w:p w:rsidR="002E5DC0" w:rsidRPr="00426478" w:rsidRDefault="008A23E6" w:rsidP="00AE5C96">
      <w:pPr>
        <w:spacing w:after="0" w:line="360" w:lineRule="auto"/>
        <w:ind w:firstLine="567"/>
        <w:jc w:val="both"/>
        <w:rPr>
          <w:sz w:val="24"/>
          <w:szCs w:val="24"/>
        </w:rPr>
      </w:pPr>
      <w:r w:rsidRPr="00426478">
        <w:rPr>
          <w:sz w:val="24"/>
          <w:szCs w:val="24"/>
        </w:rPr>
        <w:t xml:space="preserve">NOZ v rámci problematiky dědické nezpůsobilosti navíc také upravuje další dva důvody pro vyloučení osoby z dědického práva. </w:t>
      </w:r>
      <w:r w:rsidR="002E5DC0" w:rsidRPr="00426478">
        <w:rPr>
          <w:sz w:val="24"/>
          <w:szCs w:val="24"/>
        </w:rPr>
        <w:t>První důvod se vztahuje na případy rozvodu, druhý na případy, kdy je rodič zbaven rodičovské odpovědnosti.</w:t>
      </w:r>
    </w:p>
    <w:p w:rsidR="00785F5A" w:rsidRPr="00426478" w:rsidRDefault="002E5DC0" w:rsidP="00AE5C96">
      <w:pPr>
        <w:tabs>
          <w:tab w:val="left" w:pos="567"/>
        </w:tabs>
        <w:spacing w:after="0" w:line="360" w:lineRule="auto"/>
        <w:ind w:firstLine="567"/>
        <w:jc w:val="both"/>
        <w:rPr>
          <w:sz w:val="24"/>
          <w:szCs w:val="24"/>
        </w:rPr>
      </w:pPr>
      <w:r w:rsidRPr="00426478">
        <w:rPr>
          <w:sz w:val="24"/>
          <w:szCs w:val="24"/>
        </w:rPr>
        <w:t xml:space="preserve">Institut dědické nezpůsobilosti je obsahově vymezen ve VN a NOZ shodně. NOZ jako modernější právní předpis pouze v některých případech stanovuje přísnější podmínky pro způsobilost dědice </w:t>
      </w:r>
      <w:r w:rsidR="00441E54">
        <w:rPr>
          <w:sz w:val="24"/>
          <w:szCs w:val="24"/>
        </w:rPr>
        <w:t xml:space="preserve">po zůstaviteli </w:t>
      </w:r>
      <w:r w:rsidRPr="00426478">
        <w:rPr>
          <w:sz w:val="24"/>
          <w:szCs w:val="24"/>
        </w:rPr>
        <w:t>dědit.</w:t>
      </w:r>
    </w:p>
    <w:p w:rsidR="00F174AE" w:rsidRPr="008D11B8" w:rsidRDefault="00F174AE" w:rsidP="00AE5C96">
      <w:pPr>
        <w:pStyle w:val="Nadpis3"/>
        <w:numPr>
          <w:ilvl w:val="2"/>
          <w:numId w:val="2"/>
        </w:numPr>
        <w:spacing w:line="360" w:lineRule="auto"/>
        <w:jc w:val="both"/>
        <w:rPr>
          <w:rFonts w:ascii="Times New Roman" w:hAnsi="Times New Roman" w:cs="Times New Roman"/>
          <w:color w:val="auto"/>
          <w:sz w:val="24"/>
        </w:rPr>
      </w:pPr>
      <w:bookmarkStart w:id="8" w:name="_Toc409631285"/>
      <w:r w:rsidRPr="008D11B8">
        <w:rPr>
          <w:rFonts w:ascii="Times New Roman" w:hAnsi="Times New Roman" w:cs="Times New Roman"/>
          <w:color w:val="auto"/>
          <w:sz w:val="24"/>
        </w:rPr>
        <w:t>Zřeknutí se dědictví</w:t>
      </w:r>
      <w:bookmarkEnd w:id="8"/>
    </w:p>
    <w:p w:rsidR="0026276A" w:rsidRPr="00426478" w:rsidRDefault="00176DD9" w:rsidP="00AE5C96">
      <w:pPr>
        <w:tabs>
          <w:tab w:val="left" w:pos="567"/>
          <w:tab w:val="left" w:pos="851"/>
          <w:tab w:val="left" w:pos="1276"/>
        </w:tabs>
        <w:spacing w:after="0" w:line="360" w:lineRule="auto"/>
        <w:ind w:firstLine="567"/>
        <w:jc w:val="both"/>
        <w:rPr>
          <w:sz w:val="24"/>
          <w:szCs w:val="24"/>
        </w:rPr>
      </w:pPr>
      <w:r w:rsidRPr="00426478">
        <w:rPr>
          <w:sz w:val="24"/>
          <w:szCs w:val="24"/>
        </w:rPr>
        <w:t>Úprava práva na pozůstalost ve VN i v NOZ zahrnuje také institut zřeknutí se dědictví, resp. dědického práva dle NOZ.</w:t>
      </w:r>
      <w:r w:rsidR="00080AE6" w:rsidRPr="00426478">
        <w:rPr>
          <w:sz w:val="24"/>
          <w:szCs w:val="24"/>
        </w:rPr>
        <w:t xml:space="preserve"> Podstatou tohoto institutu je možnost zříci se předem dědického práva, a to smlouvou uzavřenou se zůstavitelem. Dle obou právních předpisů je vyžadována forma notářského zápisu. Institut zřeknutí se dědictví byl vypuštěn již v občanském zákoníku z roku 1950. Navrácen byl do právní úpravy dědictví až v NOZ, </w:t>
      </w:r>
      <w:r w:rsidR="00AE5C96">
        <w:rPr>
          <w:sz w:val="24"/>
          <w:szCs w:val="24"/>
        </w:rPr>
        <w:br/>
      </w:r>
      <w:r w:rsidR="00080AE6" w:rsidRPr="00426478">
        <w:rPr>
          <w:sz w:val="24"/>
          <w:szCs w:val="24"/>
        </w:rPr>
        <w:t>v §</w:t>
      </w:r>
      <w:r w:rsidR="00823C93">
        <w:rPr>
          <w:sz w:val="24"/>
          <w:szCs w:val="24"/>
        </w:rPr>
        <w:t xml:space="preserve"> </w:t>
      </w:r>
      <w:r w:rsidR="00080AE6" w:rsidRPr="00426478">
        <w:rPr>
          <w:sz w:val="24"/>
          <w:szCs w:val="24"/>
        </w:rPr>
        <w:t xml:space="preserve">1484. NOZ oproti VN úpravu tohoto institutu rozšiřuje s tím, že uvádí, že ten, kdo se zřekne dědického práva, zříká se tím i práva na povinný díl. Nicméně zároveň umožňuje zříci </w:t>
      </w:r>
      <w:r w:rsidR="00080AE6" w:rsidRPr="00426478">
        <w:rPr>
          <w:sz w:val="24"/>
          <w:szCs w:val="24"/>
        </w:rPr>
        <w:lastRenderedPageBreak/>
        <w:t>se pouze práva na povinný díl, bez toho aniž by se zřekl pr</w:t>
      </w:r>
      <w:r w:rsidR="007030DB">
        <w:rPr>
          <w:sz w:val="24"/>
          <w:szCs w:val="24"/>
        </w:rPr>
        <w:t>áva dědické posloupnosti. Dále p</w:t>
      </w:r>
      <w:r w:rsidR="00080AE6" w:rsidRPr="00426478">
        <w:rPr>
          <w:sz w:val="24"/>
          <w:szCs w:val="24"/>
        </w:rPr>
        <w:t>ak NOZ stanovuje, že zřeknutí se dědického práva ve prospěch jiné osoby je platné, pouze pokud se tato osoba stane dědicem.</w:t>
      </w:r>
    </w:p>
    <w:p w:rsidR="003677AA" w:rsidRPr="00426478" w:rsidRDefault="003677AA" w:rsidP="00AE5C96">
      <w:pPr>
        <w:tabs>
          <w:tab w:val="left" w:pos="567"/>
          <w:tab w:val="left" w:pos="851"/>
          <w:tab w:val="left" w:pos="1276"/>
        </w:tabs>
        <w:spacing w:after="0" w:line="360" w:lineRule="auto"/>
        <w:ind w:firstLine="567"/>
        <w:jc w:val="both"/>
        <w:rPr>
          <w:sz w:val="24"/>
          <w:szCs w:val="24"/>
        </w:rPr>
      </w:pPr>
      <w:r w:rsidRPr="00426478">
        <w:rPr>
          <w:sz w:val="24"/>
          <w:szCs w:val="24"/>
        </w:rPr>
        <w:t>Úprava zřeknutí se dědického práva je tedy z velké části převzata z</w:t>
      </w:r>
      <w:r w:rsidR="007030DB">
        <w:rPr>
          <w:sz w:val="24"/>
          <w:szCs w:val="24"/>
        </w:rPr>
        <w:t> </w:t>
      </w:r>
      <w:r w:rsidRPr="00426478">
        <w:rPr>
          <w:sz w:val="24"/>
          <w:szCs w:val="24"/>
        </w:rPr>
        <w:t>VN</w:t>
      </w:r>
      <w:r w:rsidR="007030DB">
        <w:rPr>
          <w:sz w:val="24"/>
          <w:szCs w:val="24"/>
        </w:rPr>
        <w:t>, zároveň je</w:t>
      </w:r>
      <w:r w:rsidRPr="00426478">
        <w:rPr>
          <w:sz w:val="24"/>
          <w:szCs w:val="24"/>
        </w:rPr>
        <w:t xml:space="preserve"> a</w:t>
      </w:r>
      <w:r w:rsidR="007030DB">
        <w:rPr>
          <w:sz w:val="24"/>
          <w:szCs w:val="24"/>
        </w:rPr>
        <w:t>le</w:t>
      </w:r>
      <w:r w:rsidRPr="00426478">
        <w:rPr>
          <w:sz w:val="24"/>
          <w:szCs w:val="24"/>
        </w:rPr>
        <w:t xml:space="preserve"> doplněna </w:t>
      </w:r>
      <w:r w:rsidR="007030DB">
        <w:rPr>
          <w:sz w:val="24"/>
          <w:szCs w:val="24"/>
        </w:rPr>
        <w:t>zejména o</w:t>
      </w:r>
      <w:r w:rsidRPr="00426478">
        <w:rPr>
          <w:sz w:val="24"/>
          <w:szCs w:val="24"/>
        </w:rPr>
        <w:t xml:space="preserve"> úpravu zřeknutí se dědického práva ve vztahu k povinnému dílu.</w:t>
      </w:r>
    </w:p>
    <w:p w:rsidR="00CC57C1" w:rsidRPr="00426478" w:rsidRDefault="00CC57C1" w:rsidP="00AE5C96">
      <w:pPr>
        <w:tabs>
          <w:tab w:val="left" w:pos="851"/>
          <w:tab w:val="left" w:pos="1276"/>
        </w:tabs>
        <w:spacing w:after="0" w:line="360" w:lineRule="auto"/>
        <w:jc w:val="both"/>
        <w:rPr>
          <w:sz w:val="24"/>
          <w:szCs w:val="24"/>
        </w:rPr>
      </w:pPr>
    </w:p>
    <w:tbl>
      <w:tblPr>
        <w:tblStyle w:val="Mkatabulky"/>
        <w:tblW w:w="9212" w:type="dxa"/>
        <w:tblInd w:w="108" w:type="dxa"/>
        <w:tblLook w:val="04A0"/>
      </w:tblPr>
      <w:tblGrid>
        <w:gridCol w:w="4606"/>
        <w:gridCol w:w="4606"/>
      </w:tblGrid>
      <w:tr w:rsidR="00810337" w:rsidRPr="00426478" w:rsidTr="00930FBC">
        <w:tc>
          <w:tcPr>
            <w:tcW w:w="4606" w:type="dxa"/>
          </w:tcPr>
          <w:p w:rsidR="00810337" w:rsidRPr="00426478" w:rsidRDefault="00810337" w:rsidP="00AE5C96">
            <w:pPr>
              <w:tabs>
                <w:tab w:val="left" w:pos="851"/>
                <w:tab w:val="left" w:pos="1701"/>
              </w:tabs>
              <w:spacing w:line="360" w:lineRule="auto"/>
              <w:jc w:val="both"/>
              <w:rPr>
                <w:sz w:val="24"/>
                <w:szCs w:val="24"/>
              </w:rPr>
            </w:pPr>
            <w:r w:rsidRPr="00426478">
              <w:rPr>
                <w:sz w:val="24"/>
                <w:szCs w:val="24"/>
              </w:rPr>
              <w:t>Počet ustanovení v NOZ</w:t>
            </w:r>
          </w:p>
        </w:tc>
        <w:tc>
          <w:tcPr>
            <w:tcW w:w="4606" w:type="dxa"/>
          </w:tcPr>
          <w:p w:rsidR="00810337" w:rsidRPr="00426478" w:rsidRDefault="00810337" w:rsidP="00AE5C96">
            <w:pPr>
              <w:tabs>
                <w:tab w:val="left" w:pos="851"/>
                <w:tab w:val="left" w:pos="1701"/>
              </w:tabs>
              <w:spacing w:line="360" w:lineRule="auto"/>
              <w:jc w:val="both"/>
              <w:rPr>
                <w:sz w:val="24"/>
                <w:szCs w:val="24"/>
              </w:rPr>
            </w:pPr>
            <w:r w:rsidRPr="00426478">
              <w:rPr>
                <w:sz w:val="24"/>
                <w:szCs w:val="24"/>
              </w:rPr>
              <w:t>1</w:t>
            </w:r>
            <w:r w:rsidR="00BD2617" w:rsidRPr="00426478">
              <w:rPr>
                <w:sz w:val="24"/>
                <w:szCs w:val="24"/>
              </w:rPr>
              <w:t>0</w:t>
            </w:r>
            <w:r w:rsidR="00BD2617" w:rsidRPr="00426478">
              <w:rPr>
                <w:rStyle w:val="Znakapoznpodarou"/>
                <w:sz w:val="24"/>
                <w:szCs w:val="24"/>
              </w:rPr>
              <w:footnoteReference w:id="35"/>
            </w:r>
          </w:p>
        </w:tc>
      </w:tr>
      <w:tr w:rsidR="00810337" w:rsidRPr="00426478" w:rsidTr="00930FBC">
        <w:tc>
          <w:tcPr>
            <w:tcW w:w="4606" w:type="dxa"/>
          </w:tcPr>
          <w:p w:rsidR="00810337" w:rsidRPr="00426478" w:rsidRDefault="00810337" w:rsidP="00AE5C96">
            <w:pPr>
              <w:tabs>
                <w:tab w:val="left" w:pos="851"/>
                <w:tab w:val="left" w:pos="1701"/>
              </w:tabs>
              <w:spacing w:line="360" w:lineRule="auto"/>
              <w:jc w:val="both"/>
              <w:rPr>
                <w:sz w:val="24"/>
                <w:szCs w:val="24"/>
              </w:rPr>
            </w:pPr>
            <w:r w:rsidRPr="00426478">
              <w:rPr>
                <w:sz w:val="24"/>
                <w:szCs w:val="24"/>
              </w:rPr>
              <w:t>Počet ustanovení ve VN</w:t>
            </w:r>
          </w:p>
        </w:tc>
        <w:tc>
          <w:tcPr>
            <w:tcW w:w="4606" w:type="dxa"/>
          </w:tcPr>
          <w:p w:rsidR="00810337" w:rsidRPr="00426478" w:rsidRDefault="00810337" w:rsidP="00AE5C96">
            <w:pPr>
              <w:tabs>
                <w:tab w:val="left" w:pos="851"/>
                <w:tab w:val="left" w:pos="1701"/>
              </w:tabs>
              <w:spacing w:line="360" w:lineRule="auto"/>
              <w:jc w:val="both"/>
              <w:rPr>
                <w:sz w:val="24"/>
                <w:szCs w:val="24"/>
              </w:rPr>
            </w:pPr>
            <w:r w:rsidRPr="00426478">
              <w:rPr>
                <w:sz w:val="24"/>
                <w:szCs w:val="24"/>
              </w:rPr>
              <w:t>14</w:t>
            </w:r>
          </w:p>
        </w:tc>
      </w:tr>
      <w:tr w:rsidR="00F174AE" w:rsidRPr="00426478" w:rsidTr="00930FBC">
        <w:trPr>
          <w:trHeight w:val="512"/>
        </w:trPr>
        <w:tc>
          <w:tcPr>
            <w:tcW w:w="4606" w:type="dxa"/>
            <w:vMerge w:val="restart"/>
          </w:tcPr>
          <w:p w:rsidR="00F174AE" w:rsidRPr="00426478" w:rsidRDefault="00F174AE" w:rsidP="00AE5C96">
            <w:pPr>
              <w:tabs>
                <w:tab w:val="left" w:pos="851"/>
                <w:tab w:val="left" w:pos="1701"/>
              </w:tabs>
              <w:spacing w:line="360" w:lineRule="auto"/>
              <w:jc w:val="both"/>
              <w:rPr>
                <w:sz w:val="24"/>
                <w:szCs w:val="24"/>
              </w:rPr>
            </w:pPr>
            <w:r w:rsidRPr="00426478">
              <w:rPr>
                <w:sz w:val="24"/>
                <w:szCs w:val="24"/>
              </w:rPr>
              <w:t>Počet ustanovení NOZ obsahově shodných s ustanoveními VN</w:t>
            </w:r>
          </w:p>
        </w:tc>
        <w:tc>
          <w:tcPr>
            <w:tcW w:w="4606" w:type="dxa"/>
          </w:tcPr>
          <w:p w:rsidR="00F174AE" w:rsidRPr="00426478" w:rsidRDefault="00084922" w:rsidP="00AE5C96">
            <w:pPr>
              <w:tabs>
                <w:tab w:val="left" w:pos="851"/>
                <w:tab w:val="left" w:pos="1701"/>
              </w:tabs>
              <w:spacing w:line="360" w:lineRule="auto"/>
              <w:jc w:val="both"/>
              <w:rPr>
                <w:sz w:val="24"/>
                <w:szCs w:val="24"/>
              </w:rPr>
            </w:pPr>
            <w:r w:rsidRPr="00426478">
              <w:rPr>
                <w:sz w:val="24"/>
                <w:szCs w:val="24"/>
              </w:rPr>
              <w:t>zcel</w:t>
            </w:r>
            <w:r w:rsidR="00F174AE" w:rsidRPr="00426478">
              <w:rPr>
                <w:sz w:val="24"/>
                <w:szCs w:val="24"/>
              </w:rPr>
              <w:t xml:space="preserve">a: </w:t>
            </w:r>
            <w:r w:rsidR="00BD2617" w:rsidRPr="00426478">
              <w:rPr>
                <w:sz w:val="24"/>
                <w:szCs w:val="24"/>
              </w:rPr>
              <w:t>4</w:t>
            </w:r>
          </w:p>
        </w:tc>
      </w:tr>
      <w:tr w:rsidR="00F174AE" w:rsidRPr="00426478" w:rsidTr="00930FBC">
        <w:trPr>
          <w:trHeight w:val="512"/>
        </w:trPr>
        <w:tc>
          <w:tcPr>
            <w:tcW w:w="4606" w:type="dxa"/>
            <w:vMerge/>
          </w:tcPr>
          <w:p w:rsidR="00F174AE" w:rsidRPr="00426478" w:rsidRDefault="00F174AE" w:rsidP="00AE5C96">
            <w:pPr>
              <w:tabs>
                <w:tab w:val="left" w:pos="851"/>
                <w:tab w:val="left" w:pos="1701"/>
              </w:tabs>
              <w:spacing w:line="360" w:lineRule="auto"/>
              <w:jc w:val="both"/>
              <w:rPr>
                <w:sz w:val="24"/>
                <w:szCs w:val="24"/>
              </w:rPr>
            </w:pPr>
          </w:p>
        </w:tc>
        <w:tc>
          <w:tcPr>
            <w:tcW w:w="4606" w:type="dxa"/>
          </w:tcPr>
          <w:p w:rsidR="00F174AE" w:rsidRPr="00426478" w:rsidRDefault="00F174AE" w:rsidP="00AE5C96">
            <w:pPr>
              <w:tabs>
                <w:tab w:val="left" w:pos="851"/>
                <w:tab w:val="left" w:pos="1701"/>
              </w:tabs>
              <w:spacing w:line="360" w:lineRule="auto"/>
              <w:jc w:val="both"/>
              <w:rPr>
                <w:sz w:val="24"/>
                <w:szCs w:val="24"/>
              </w:rPr>
            </w:pPr>
            <w:r w:rsidRPr="00426478">
              <w:rPr>
                <w:sz w:val="24"/>
                <w:szCs w:val="24"/>
              </w:rPr>
              <w:t xml:space="preserve">částečně: </w:t>
            </w:r>
            <w:r w:rsidR="00BD2617" w:rsidRPr="00426478">
              <w:rPr>
                <w:sz w:val="24"/>
                <w:szCs w:val="24"/>
              </w:rPr>
              <w:t>3</w:t>
            </w:r>
          </w:p>
        </w:tc>
      </w:tr>
    </w:tbl>
    <w:p w:rsidR="00A76A98" w:rsidRDefault="00A76A98" w:rsidP="00AE5C96">
      <w:pPr>
        <w:tabs>
          <w:tab w:val="left" w:pos="851"/>
          <w:tab w:val="left" w:pos="1701"/>
        </w:tabs>
        <w:spacing w:after="0" w:line="360" w:lineRule="auto"/>
        <w:jc w:val="both"/>
        <w:rPr>
          <w:sz w:val="24"/>
          <w:szCs w:val="24"/>
        </w:rPr>
      </w:pPr>
    </w:p>
    <w:p w:rsidR="00A76A98" w:rsidRPr="008D11B8" w:rsidRDefault="00F76819" w:rsidP="00AE5C96">
      <w:pPr>
        <w:pStyle w:val="Nadpis2"/>
        <w:numPr>
          <w:ilvl w:val="1"/>
          <w:numId w:val="2"/>
        </w:numPr>
        <w:spacing w:line="360" w:lineRule="auto"/>
        <w:jc w:val="both"/>
        <w:rPr>
          <w:rFonts w:ascii="Times New Roman" w:hAnsi="Times New Roman" w:cs="Times New Roman"/>
          <w:color w:val="auto"/>
        </w:rPr>
      </w:pPr>
      <w:bookmarkStart w:id="9" w:name="_Toc409631286"/>
      <w:r>
        <w:rPr>
          <w:rFonts w:ascii="Times New Roman" w:hAnsi="Times New Roman" w:cs="Times New Roman"/>
          <w:color w:val="auto"/>
        </w:rPr>
        <w:t>Posloupnost na základě posledního pořízení</w:t>
      </w:r>
      <w:r w:rsidR="004C1591">
        <w:rPr>
          <w:rStyle w:val="Znakapoznpodarou"/>
          <w:rFonts w:ascii="Times New Roman" w:hAnsi="Times New Roman" w:cs="Times New Roman"/>
          <w:color w:val="auto"/>
        </w:rPr>
        <w:footnoteReference w:id="36"/>
      </w:r>
      <w:bookmarkEnd w:id="9"/>
    </w:p>
    <w:p w:rsidR="002940C3" w:rsidRPr="00426478" w:rsidRDefault="00A76A98" w:rsidP="00AE5C96">
      <w:pPr>
        <w:tabs>
          <w:tab w:val="left" w:pos="426"/>
          <w:tab w:val="left" w:pos="1701"/>
        </w:tabs>
        <w:spacing w:after="0" w:line="360" w:lineRule="auto"/>
        <w:ind w:firstLine="567"/>
        <w:jc w:val="both"/>
        <w:rPr>
          <w:sz w:val="24"/>
          <w:szCs w:val="24"/>
        </w:rPr>
      </w:pPr>
      <w:r w:rsidRPr="00426478">
        <w:rPr>
          <w:sz w:val="24"/>
          <w:szCs w:val="24"/>
        </w:rPr>
        <w:t xml:space="preserve">Shodně v obou právních předpisech navazuje na část upravující právo na pozůstalost část obsahující právní úpravu pořízení pro případ smrti. Ta je upravena ve VN v Hlavě 16., </w:t>
      </w:r>
      <w:r w:rsidR="00AE5C96">
        <w:rPr>
          <w:sz w:val="24"/>
          <w:szCs w:val="24"/>
        </w:rPr>
        <w:br/>
      </w:r>
      <w:r w:rsidRPr="00426478">
        <w:rPr>
          <w:sz w:val="24"/>
          <w:szCs w:val="24"/>
        </w:rPr>
        <w:t>v §§ 391 až 451, v NOZ v Díle 2, v §§ 1491 až 1593. Oba právní předpisy rozlišují pořízení pro případ smrti na závěť, resp. poslední pořízení dle VN, a dědickou smlouvu.</w:t>
      </w:r>
      <w:r w:rsidR="00D62C04" w:rsidRPr="00426478">
        <w:rPr>
          <w:sz w:val="24"/>
          <w:szCs w:val="24"/>
        </w:rPr>
        <w:t xml:space="preserve"> NOZ do části upravující pořízení pro případ smrti zahrnuje i právní úpravu náhradnictví a </w:t>
      </w:r>
      <w:proofErr w:type="spellStart"/>
      <w:r w:rsidR="00D62C04" w:rsidRPr="00426478">
        <w:rPr>
          <w:sz w:val="24"/>
          <w:szCs w:val="24"/>
        </w:rPr>
        <w:t>svěřenského</w:t>
      </w:r>
      <w:proofErr w:type="spellEnd"/>
      <w:r w:rsidR="00D62C04" w:rsidRPr="00426478">
        <w:rPr>
          <w:sz w:val="24"/>
          <w:szCs w:val="24"/>
        </w:rPr>
        <w:t xml:space="preserve"> nástupnictví, zatímco VN tyto instituty upravuje v samostatné Hlavě 17. Stejně tak jsou v samostatné Hlavě 19. VN upraveny vedlejší ustanovení v posledním pořízení a změna a zrušení posledního pořízení. NOZ zahrnuje právní úpravu i těchto institutů do Dílu 2.</w:t>
      </w:r>
    </w:p>
    <w:p w:rsidR="00A76A98" w:rsidRPr="008D11B8" w:rsidRDefault="002940C3" w:rsidP="00AE5C96">
      <w:pPr>
        <w:pStyle w:val="Nadpis3"/>
        <w:numPr>
          <w:ilvl w:val="2"/>
          <w:numId w:val="2"/>
        </w:numPr>
        <w:spacing w:line="360" w:lineRule="auto"/>
        <w:jc w:val="both"/>
        <w:rPr>
          <w:rFonts w:ascii="Times New Roman" w:hAnsi="Times New Roman" w:cs="Times New Roman"/>
          <w:color w:val="auto"/>
          <w:sz w:val="24"/>
        </w:rPr>
      </w:pPr>
      <w:bookmarkStart w:id="10" w:name="_Toc409631287"/>
      <w:r w:rsidRPr="008D11B8">
        <w:rPr>
          <w:rFonts w:ascii="Times New Roman" w:hAnsi="Times New Roman" w:cs="Times New Roman"/>
          <w:color w:val="auto"/>
          <w:sz w:val="24"/>
        </w:rPr>
        <w:t>Poslední pořízení</w:t>
      </w:r>
      <w:bookmarkEnd w:id="10"/>
    </w:p>
    <w:p w:rsidR="00126097" w:rsidRPr="00426478" w:rsidRDefault="002940C3" w:rsidP="00AE5C96">
      <w:pPr>
        <w:tabs>
          <w:tab w:val="left" w:pos="426"/>
          <w:tab w:val="left" w:pos="851"/>
          <w:tab w:val="left" w:pos="1701"/>
        </w:tabs>
        <w:spacing w:after="0" w:line="360" w:lineRule="auto"/>
        <w:ind w:firstLine="567"/>
        <w:jc w:val="both"/>
        <w:rPr>
          <w:sz w:val="24"/>
          <w:szCs w:val="24"/>
        </w:rPr>
      </w:pPr>
      <w:r w:rsidRPr="00426478">
        <w:rPr>
          <w:sz w:val="24"/>
          <w:szCs w:val="24"/>
        </w:rPr>
        <w:t>VN a NOZ obdobně definují pojem posledního pořízení.  NOZ stanovuje, že se jedná o odvolatelný projev vůle, kterým zůstavitel pro případ své smrti zůstavuje jedné či více osobám alespoň podíl na pozůstalosti, případně odkaz. VN se liší pojmově pouze v tom, že uvádí, že zůstavitel zůstavuje své jmění nebo jeho část, nikoli tedy pozůstalost</w:t>
      </w:r>
      <w:r w:rsidR="00BD2617" w:rsidRPr="00426478">
        <w:rPr>
          <w:sz w:val="24"/>
          <w:szCs w:val="24"/>
        </w:rPr>
        <w:t>,</w:t>
      </w:r>
      <w:r w:rsidRPr="00426478">
        <w:rPr>
          <w:sz w:val="24"/>
          <w:szCs w:val="24"/>
        </w:rPr>
        <w:t xml:space="preserve"> jak je tomu v NOZ. VN také nestanovuje, že může zůstavitel zřídit odkaz.</w:t>
      </w:r>
      <w:r w:rsidR="00A57315" w:rsidRPr="00426478">
        <w:rPr>
          <w:sz w:val="24"/>
          <w:szCs w:val="24"/>
        </w:rPr>
        <w:t xml:space="preserve"> Shodně v obou právních předpisech je stanoveno, že je poslední pořízení, resp. závěť, třeba vykládat tak, aby bylo co nejvíce vyhověno vůli zůstavitele.</w:t>
      </w:r>
      <w:r w:rsidR="00BD2617" w:rsidRPr="00426478">
        <w:rPr>
          <w:sz w:val="24"/>
          <w:szCs w:val="24"/>
        </w:rPr>
        <w:t xml:space="preserve"> </w:t>
      </w:r>
      <w:r w:rsidR="0070145B" w:rsidRPr="00426478">
        <w:rPr>
          <w:sz w:val="24"/>
          <w:szCs w:val="24"/>
        </w:rPr>
        <w:t>VN i NOZ dále shodně upravují</w:t>
      </w:r>
      <w:r w:rsidR="0095607E" w:rsidRPr="00426478">
        <w:rPr>
          <w:sz w:val="24"/>
          <w:szCs w:val="24"/>
        </w:rPr>
        <w:t>,</w:t>
      </w:r>
      <w:bookmarkStart w:id="11" w:name="_GoBack"/>
      <w:bookmarkEnd w:id="11"/>
      <w:r w:rsidR="0070145B" w:rsidRPr="00426478">
        <w:rPr>
          <w:sz w:val="24"/>
          <w:szCs w:val="24"/>
        </w:rPr>
        <w:t xml:space="preserve"> jak se přiděluje dědictví, </w:t>
      </w:r>
      <w:r w:rsidR="0070145B" w:rsidRPr="00426478">
        <w:rPr>
          <w:sz w:val="24"/>
          <w:szCs w:val="24"/>
        </w:rPr>
        <w:lastRenderedPageBreak/>
        <w:t>institut uvolněného podílu, d</w:t>
      </w:r>
      <w:r w:rsidR="00893916">
        <w:rPr>
          <w:sz w:val="24"/>
          <w:szCs w:val="24"/>
        </w:rPr>
        <w:t>ůvody pořizovací nezpůsobilosti a</w:t>
      </w:r>
      <w:r w:rsidR="0070145B" w:rsidRPr="00426478">
        <w:rPr>
          <w:sz w:val="24"/>
          <w:szCs w:val="24"/>
        </w:rPr>
        <w:t xml:space="preserve"> účinky omylu při posledním pořízení. </w:t>
      </w:r>
    </w:p>
    <w:p w:rsidR="00126097" w:rsidRPr="00426478" w:rsidRDefault="00126097" w:rsidP="00AE5C96">
      <w:pPr>
        <w:tabs>
          <w:tab w:val="left" w:pos="426"/>
          <w:tab w:val="left" w:pos="1418"/>
        </w:tabs>
        <w:spacing w:after="0" w:line="360" w:lineRule="auto"/>
        <w:ind w:firstLine="567"/>
        <w:jc w:val="both"/>
        <w:rPr>
          <w:sz w:val="24"/>
          <w:szCs w:val="24"/>
        </w:rPr>
      </w:pPr>
      <w:r w:rsidRPr="00426478">
        <w:rPr>
          <w:sz w:val="24"/>
          <w:szCs w:val="24"/>
        </w:rPr>
        <w:t>Ve VN i NOZ jsou v rámci právní úpravy</w:t>
      </w:r>
      <w:r w:rsidR="00BD2617" w:rsidRPr="00426478">
        <w:rPr>
          <w:sz w:val="24"/>
          <w:szCs w:val="24"/>
        </w:rPr>
        <w:t xml:space="preserve"> posledního pořízení upraveny </w:t>
      </w:r>
      <w:r w:rsidRPr="00426478">
        <w:rPr>
          <w:sz w:val="24"/>
          <w:szCs w:val="24"/>
        </w:rPr>
        <w:t>důvody pořizovací nezpůsobilosti.</w:t>
      </w:r>
      <w:r w:rsidR="00580842" w:rsidRPr="00426478">
        <w:rPr>
          <w:sz w:val="24"/>
          <w:szCs w:val="24"/>
        </w:rPr>
        <w:t xml:space="preserve"> V základě oba právní předpisy pojednávají o důvodech týkajících se věku a svéprávnosti pořizovatele. Úprava se však ve VN a NOZ mírně liší. VN vymezuje tři důvody pořizovací nezpůsobilosti, a to nedostatek věku, nedostatek příčetnosti, a konečně zbavení svéprávnosti. </w:t>
      </w:r>
      <w:r w:rsidR="00876B65" w:rsidRPr="00426478">
        <w:rPr>
          <w:sz w:val="24"/>
          <w:szCs w:val="24"/>
        </w:rPr>
        <w:t xml:space="preserve"> Ohledně nedostatku věk</w:t>
      </w:r>
      <w:r w:rsidR="00802893" w:rsidRPr="00426478">
        <w:rPr>
          <w:sz w:val="24"/>
          <w:szCs w:val="24"/>
        </w:rPr>
        <w:t>u je stanoveno, že nedospělí</w:t>
      </w:r>
      <w:r w:rsidR="00802893" w:rsidRPr="00426478">
        <w:rPr>
          <w:rStyle w:val="Znakapoznpodarou"/>
          <w:sz w:val="24"/>
          <w:szCs w:val="24"/>
        </w:rPr>
        <w:footnoteReference w:id="37"/>
      </w:r>
      <w:r w:rsidR="00876B65" w:rsidRPr="00426478">
        <w:rPr>
          <w:sz w:val="24"/>
          <w:szCs w:val="24"/>
        </w:rPr>
        <w:t>, nejsou způsobilí pořizovat. Dospělí nezletilci</w:t>
      </w:r>
      <w:r w:rsidR="00876B65" w:rsidRPr="00426478">
        <w:rPr>
          <w:rStyle w:val="Znakapoznpodarou"/>
          <w:sz w:val="24"/>
          <w:szCs w:val="24"/>
        </w:rPr>
        <w:footnoteReference w:id="38"/>
      </w:r>
      <w:r w:rsidR="00876B65" w:rsidRPr="00426478">
        <w:rPr>
          <w:sz w:val="24"/>
          <w:szCs w:val="24"/>
        </w:rPr>
        <w:t xml:space="preserve"> mohou do konce osmnáctého roku věku pořizovat jen veřejným pořízením ústním.</w:t>
      </w:r>
      <w:r w:rsidR="00802893" w:rsidRPr="00426478">
        <w:rPr>
          <w:sz w:val="24"/>
          <w:szCs w:val="24"/>
        </w:rPr>
        <w:t xml:space="preserve"> </w:t>
      </w:r>
      <w:r w:rsidR="00876B65" w:rsidRPr="00426478">
        <w:rPr>
          <w:sz w:val="24"/>
          <w:szCs w:val="24"/>
        </w:rPr>
        <w:t>Neplatné je poté pořízení projevené v nepříčetnosti. Poslední důvod se týká svéprávnosti pořizovatele. Pokud je osoba zcela zbavena svéprávnosti, vylučuje to způsobilost pořizovat, ledaže by se osoba uzdravila.</w:t>
      </w:r>
      <w:r w:rsidR="00AE3970" w:rsidRPr="00426478">
        <w:rPr>
          <w:rStyle w:val="Znakapoznpodarou"/>
          <w:sz w:val="24"/>
          <w:szCs w:val="24"/>
        </w:rPr>
        <w:footnoteReference w:id="39"/>
      </w:r>
      <w:r w:rsidR="00876B65" w:rsidRPr="00426478">
        <w:rPr>
          <w:sz w:val="24"/>
          <w:szCs w:val="24"/>
        </w:rPr>
        <w:t xml:space="preserve"> Osoba, která je zbavena svéprávnosti pouze částečně, může pořizovat jen veřejným pořízením ústním. Speciálně je upraven případ, kdy je osoba částečně zbavena svéprávnosti pro marnotratnost, pijáctví či navyklé nadužívání nervových jedů. V tomto případě může osoba pořídit jen o polovině svého jmění, a druhá polovina připadne dědicům zákonným.</w:t>
      </w:r>
    </w:p>
    <w:p w:rsidR="00876B65" w:rsidRPr="00426478" w:rsidRDefault="0040303A" w:rsidP="00AE5C96">
      <w:pPr>
        <w:tabs>
          <w:tab w:val="left" w:pos="426"/>
          <w:tab w:val="left" w:pos="1418"/>
        </w:tabs>
        <w:spacing w:after="0" w:line="360" w:lineRule="auto"/>
        <w:ind w:firstLine="567"/>
        <w:jc w:val="both"/>
        <w:rPr>
          <w:sz w:val="24"/>
          <w:szCs w:val="24"/>
        </w:rPr>
      </w:pPr>
      <w:r w:rsidRPr="00426478">
        <w:rPr>
          <w:sz w:val="24"/>
          <w:szCs w:val="24"/>
        </w:rPr>
        <w:t>NOZ ohledně věku obdobně stanoví, že osoba, která dovršila patnácti let věku a nenabyla plné svéprávnosti, může pořizovat bez souhlasu zákonného zástupce formou veřejné listiny. Stejn</w:t>
      </w:r>
      <w:r w:rsidR="000E3098">
        <w:rPr>
          <w:sz w:val="24"/>
          <w:szCs w:val="24"/>
        </w:rPr>
        <w:t xml:space="preserve">ě jako VN stanovuje i NOZ, že </w:t>
      </w:r>
      <w:r w:rsidRPr="00426478">
        <w:rPr>
          <w:sz w:val="24"/>
          <w:szCs w:val="24"/>
        </w:rPr>
        <w:t>osoba omezená ve svéprávnosti, může pořizovat platně, pokud se uzdravila do té míry, že je schopna projevit svou vůli.</w:t>
      </w:r>
      <w:r w:rsidRPr="00426478">
        <w:rPr>
          <w:rStyle w:val="Znakapoznpodarou"/>
          <w:sz w:val="24"/>
          <w:szCs w:val="24"/>
        </w:rPr>
        <w:footnoteReference w:id="40"/>
      </w:r>
      <w:r w:rsidRPr="00426478">
        <w:rPr>
          <w:sz w:val="24"/>
          <w:szCs w:val="24"/>
        </w:rPr>
        <w:t xml:space="preserve"> V rámci omezení svéprávnosti, poté může osoba pořizovat formou veřejné listiny. Dále shodně s VN i NOZ upravuje speciální případ, kdy je osoba omezena ve svéprávnosti pro chorobnou závislost na požívání alkoholu, užívání psychotropních látek nebo podobných přípravků či jedů nebo chorobnou závislost na hráčské vášni představující závažnou duševní poruchu. I dle NOZ může v takovém případě osoba pořizovat nejvýše o polovině pozůstalosti, a zbytek připadá zákonným dědicům.</w:t>
      </w:r>
    </w:p>
    <w:p w:rsidR="0040303A" w:rsidRPr="00426478" w:rsidRDefault="0040303A" w:rsidP="00AE5C96">
      <w:pPr>
        <w:tabs>
          <w:tab w:val="left" w:pos="426"/>
          <w:tab w:val="left" w:pos="1418"/>
        </w:tabs>
        <w:spacing w:after="0" w:line="360" w:lineRule="auto"/>
        <w:ind w:firstLine="567"/>
        <w:jc w:val="both"/>
        <w:rPr>
          <w:sz w:val="24"/>
          <w:szCs w:val="24"/>
        </w:rPr>
      </w:pPr>
      <w:r w:rsidRPr="00426478">
        <w:rPr>
          <w:sz w:val="24"/>
          <w:szCs w:val="24"/>
        </w:rPr>
        <w:t xml:space="preserve">Důvody pořizovací nezpůsobilosti jsou tedy ve VN a NOZ vymezeny </w:t>
      </w:r>
      <w:r w:rsidR="005A47D8">
        <w:rPr>
          <w:sz w:val="24"/>
          <w:szCs w:val="24"/>
        </w:rPr>
        <w:t>obdobně, až na menší odchylky tý</w:t>
      </w:r>
      <w:r w:rsidRPr="00426478">
        <w:rPr>
          <w:sz w:val="24"/>
          <w:szCs w:val="24"/>
        </w:rPr>
        <w:t xml:space="preserve">kající se zejména možnosti zbavení svéprávnosti dle VN, nebo jiného pojetí </w:t>
      </w:r>
      <w:r w:rsidR="002D0A0E" w:rsidRPr="00426478">
        <w:rPr>
          <w:sz w:val="24"/>
          <w:szCs w:val="24"/>
        </w:rPr>
        <w:t>o</w:t>
      </w:r>
      <w:r w:rsidR="0038093B" w:rsidRPr="00426478">
        <w:rPr>
          <w:sz w:val="24"/>
          <w:szCs w:val="24"/>
        </w:rPr>
        <w:t>sob nezletilých, resp. nedospělý</w:t>
      </w:r>
      <w:r w:rsidR="002D0A0E" w:rsidRPr="00426478">
        <w:rPr>
          <w:sz w:val="24"/>
          <w:szCs w:val="24"/>
        </w:rPr>
        <w:t>ch.</w:t>
      </w:r>
    </w:p>
    <w:p w:rsidR="00C8736C" w:rsidRDefault="0070145B" w:rsidP="00AE5C96">
      <w:pPr>
        <w:tabs>
          <w:tab w:val="left" w:pos="426"/>
          <w:tab w:val="left" w:pos="1701"/>
        </w:tabs>
        <w:spacing w:after="0" w:line="360" w:lineRule="auto"/>
        <w:ind w:firstLine="567"/>
        <w:jc w:val="both"/>
        <w:rPr>
          <w:sz w:val="24"/>
          <w:szCs w:val="24"/>
        </w:rPr>
      </w:pPr>
      <w:r w:rsidRPr="00426478">
        <w:rPr>
          <w:sz w:val="24"/>
          <w:szCs w:val="24"/>
        </w:rPr>
        <w:lastRenderedPageBreak/>
        <w:t>Dále je v obou předpisech upravena forma posledního pořízení, resp. závěti. VN rozlišuje poslední pořízení soukromé a veřejné, a dále písemné a ústní. Soukromé pořízení písemné poté může zůstavitel dle VN učinit buďto vlastnoručně, nebo nikoli vlastnoručně, přičemž u takového se vyžaduje přítomnost třech způsobilých svědků</w:t>
      </w:r>
      <w:r w:rsidR="001A2856" w:rsidRPr="00426478">
        <w:rPr>
          <w:sz w:val="24"/>
          <w:szCs w:val="24"/>
        </w:rPr>
        <w:t>, z nichž dva musí být přítomni současně</w:t>
      </w:r>
      <w:r w:rsidRPr="00426478">
        <w:rPr>
          <w:sz w:val="24"/>
          <w:szCs w:val="24"/>
        </w:rPr>
        <w:t>.</w:t>
      </w:r>
      <w:r w:rsidR="001A2856" w:rsidRPr="00426478">
        <w:rPr>
          <w:sz w:val="24"/>
          <w:szCs w:val="24"/>
        </w:rPr>
        <w:t xml:space="preserve"> Soukromé pořízení ústní musí být učiněno dle VN před třemi způsobilými svědky, kteří jsou přítomni současně. Pořízení veřejná jsou pak pořízení učiněná před soudem, která mohou být rovněž učiněna ve formě písemné či ústní.</w:t>
      </w:r>
      <w:r w:rsidR="00F76117" w:rsidRPr="00426478">
        <w:rPr>
          <w:sz w:val="24"/>
          <w:szCs w:val="24"/>
        </w:rPr>
        <w:t xml:space="preserve"> Takové pořízení, ať již je učiněno písemně či ústně do protokolu, musí být vždy vlastnoručně podepsáno zůstavitelem. VN dále stanoví, že stejnou platnost jako poslední pořízení soudní má i poslední pořízen</w:t>
      </w:r>
      <w:r w:rsidR="000E3098">
        <w:rPr>
          <w:sz w:val="24"/>
          <w:szCs w:val="24"/>
        </w:rPr>
        <w:t>í zřízené před notářem. NOZ</w:t>
      </w:r>
      <w:r w:rsidR="00F76117" w:rsidRPr="00426478">
        <w:rPr>
          <w:sz w:val="24"/>
          <w:szCs w:val="24"/>
        </w:rPr>
        <w:t xml:space="preserve"> stejně jako VN rozlišuje závěť pořízenou soukromou listinou a veřejnou listinou. Soukromou listinou může být poř</w:t>
      </w:r>
      <w:r w:rsidR="000E3098">
        <w:rPr>
          <w:sz w:val="24"/>
          <w:szCs w:val="24"/>
        </w:rPr>
        <w:t>ízeno buďto vlastnoručně, kdy se jedná o</w:t>
      </w:r>
      <w:r w:rsidR="00F76117" w:rsidRPr="00426478">
        <w:rPr>
          <w:sz w:val="24"/>
          <w:szCs w:val="24"/>
        </w:rPr>
        <w:t xml:space="preserve"> tzv. </w:t>
      </w:r>
      <w:proofErr w:type="spellStart"/>
      <w:r w:rsidR="00F76117" w:rsidRPr="00426478">
        <w:rPr>
          <w:sz w:val="24"/>
          <w:szCs w:val="24"/>
        </w:rPr>
        <w:t>holog</w:t>
      </w:r>
      <w:r w:rsidR="003A6C0A" w:rsidRPr="00426478">
        <w:rPr>
          <w:sz w:val="24"/>
          <w:szCs w:val="24"/>
        </w:rPr>
        <w:t>rafní</w:t>
      </w:r>
      <w:proofErr w:type="spellEnd"/>
      <w:r w:rsidR="00F76117" w:rsidRPr="00426478">
        <w:rPr>
          <w:sz w:val="24"/>
          <w:szCs w:val="24"/>
        </w:rPr>
        <w:t xml:space="preserve"> závěť, anebo nikol</w:t>
      </w:r>
      <w:r w:rsidR="003A6C0A" w:rsidRPr="00426478">
        <w:rPr>
          <w:sz w:val="24"/>
          <w:szCs w:val="24"/>
        </w:rPr>
        <w:t>i vlastnoručně, tzv. alografní</w:t>
      </w:r>
      <w:r w:rsidR="00F76117" w:rsidRPr="00426478">
        <w:rPr>
          <w:sz w:val="24"/>
          <w:szCs w:val="24"/>
        </w:rPr>
        <w:t xml:space="preserve"> závě</w:t>
      </w:r>
      <w:r w:rsidR="000E3098">
        <w:rPr>
          <w:sz w:val="24"/>
          <w:szCs w:val="24"/>
        </w:rPr>
        <w:t>tí, učiněnou</w:t>
      </w:r>
      <w:r w:rsidR="00F76117" w:rsidRPr="00426478">
        <w:rPr>
          <w:sz w:val="24"/>
          <w:szCs w:val="24"/>
        </w:rPr>
        <w:t xml:space="preserve"> přede dvěma současně přítomnými svědky.</w:t>
      </w:r>
      <w:r w:rsidR="00821179" w:rsidRPr="00426478">
        <w:rPr>
          <w:sz w:val="24"/>
          <w:szCs w:val="24"/>
        </w:rPr>
        <w:t xml:space="preserve"> Závět pořízená veřejnou listinou je závěť ve formě notářského zápisu. </w:t>
      </w:r>
    </w:p>
    <w:p w:rsidR="009506A0" w:rsidRPr="00426478" w:rsidRDefault="00821179" w:rsidP="00AE5C96">
      <w:pPr>
        <w:tabs>
          <w:tab w:val="left" w:pos="426"/>
          <w:tab w:val="left" w:pos="1701"/>
        </w:tabs>
        <w:spacing w:after="0" w:line="360" w:lineRule="auto"/>
        <w:ind w:firstLine="567"/>
        <w:jc w:val="both"/>
        <w:rPr>
          <w:sz w:val="24"/>
          <w:szCs w:val="24"/>
        </w:rPr>
      </w:pPr>
      <w:r w:rsidRPr="00426478">
        <w:rPr>
          <w:sz w:val="24"/>
          <w:szCs w:val="24"/>
        </w:rPr>
        <w:t>NOZ obsahuje i právní úpravu úlev při pořizování závěti, kdy lze</w:t>
      </w:r>
      <w:r w:rsidR="00F15F8E" w:rsidRPr="00426478">
        <w:rPr>
          <w:sz w:val="24"/>
          <w:szCs w:val="24"/>
        </w:rPr>
        <w:t>,</w:t>
      </w:r>
      <w:r w:rsidRPr="00426478">
        <w:rPr>
          <w:sz w:val="24"/>
          <w:szCs w:val="24"/>
        </w:rPr>
        <w:t xml:space="preserve"> pouze ve vymezených případech</w:t>
      </w:r>
      <w:r w:rsidR="00F15F8E" w:rsidRPr="00426478">
        <w:rPr>
          <w:sz w:val="24"/>
          <w:szCs w:val="24"/>
        </w:rPr>
        <w:t>,</w:t>
      </w:r>
      <w:r w:rsidRPr="00426478">
        <w:rPr>
          <w:sz w:val="24"/>
          <w:szCs w:val="24"/>
        </w:rPr>
        <w:t xml:space="preserve"> pořizo</w:t>
      </w:r>
      <w:r w:rsidR="009506A0" w:rsidRPr="00426478">
        <w:rPr>
          <w:sz w:val="24"/>
          <w:szCs w:val="24"/>
        </w:rPr>
        <w:t>vat ústně za přítomnosti svědků, anebo je poslední vůle zůstavitele zaznamenána zákonem určenými osobami. Takovými případy vymezenými v NOZ dle §</w:t>
      </w:r>
      <w:r w:rsidR="00823C93">
        <w:rPr>
          <w:sz w:val="24"/>
          <w:szCs w:val="24"/>
        </w:rPr>
        <w:t xml:space="preserve"> </w:t>
      </w:r>
      <w:r w:rsidR="009506A0" w:rsidRPr="00426478">
        <w:rPr>
          <w:sz w:val="24"/>
          <w:szCs w:val="24"/>
        </w:rPr>
        <w:t xml:space="preserve">1542 případ ocitnutí se zůstavitele v patrném a bezprostředním ohrožení života, kdy lze poté pořizovat ústně. Záznam poslední vůle zůstavitele se poté </w:t>
      </w:r>
      <w:r w:rsidR="0065321F" w:rsidRPr="00426478">
        <w:rPr>
          <w:sz w:val="24"/>
          <w:szCs w:val="24"/>
        </w:rPr>
        <w:t xml:space="preserve">činí </w:t>
      </w:r>
      <w:r w:rsidR="009506A0" w:rsidRPr="00426478">
        <w:rPr>
          <w:sz w:val="24"/>
          <w:szCs w:val="24"/>
        </w:rPr>
        <w:t>dle §</w:t>
      </w:r>
      <w:r w:rsidR="00823C93">
        <w:rPr>
          <w:sz w:val="24"/>
          <w:szCs w:val="24"/>
        </w:rPr>
        <w:t xml:space="preserve"> </w:t>
      </w:r>
      <w:r w:rsidR="009506A0" w:rsidRPr="00426478">
        <w:rPr>
          <w:sz w:val="24"/>
          <w:szCs w:val="24"/>
        </w:rPr>
        <w:t xml:space="preserve">1543 </w:t>
      </w:r>
      <w:r w:rsidR="00AE5C96">
        <w:rPr>
          <w:sz w:val="24"/>
          <w:szCs w:val="24"/>
        </w:rPr>
        <w:br/>
      </w:r>
      <w:r w:rsidR="0065321F" w:rsidRPr="00426478">
        <w:rPr>
          <w:sz w:val="24"/>
          <w:szCs w:val="24"/>
        </w:rPr>
        <w:t xml:space="preserve">v </w:t>
      </w:r>
      <w:r w:rsidR="009506A0" w:rsidRPr="00426478">
        <w:rPr>
          <w:sz w:val="24"/>
          <w:szCs w:val="24"/>
        </w:rPr>
        <w:t>případ</w:t>
      </w:r>
      <w:r w:rsidR="0065321F" w:rsidRPr="00426478">
        <w:rPr>
          <w:sz w:val="24"/>
          <w:szCs w:val="24"/>
        </w:rPr>
        <w:t>ě</w:t>
      </w:r>
      <w:r w:rsidR="009506A0" w:rsidRPr="00426478">
        <w:rPr>
          <w:sz w:val="24"/>
          <w:szCs w:val="24"/>
        </w:rPr>
        <w:t xml:space="preserve"> důvodné obavy, že by zůstavitel zemřel dříve, než by mohl pořídit závěť ve formě veřejné listiny, dle §</w:t>
      </w:r>
      <w:r w:rsidR="00823C93">
        <w:rPr>
          <w:sz w:val="24"/>
          <w:szCs w:val="24"/>
        </w:rPr>
        <w:t xml:space="preserve"> </w:t>
      </w:r>
      <w:r w:rsidR="009506A0" w:rsidRPr="00426478">
        <w:rPr>
          <w:sz w:val="24"/>
          <w:szCs w:val="24"/>
        </w:rPr>
        <w:t>1544</w:t>
      </w:r>
      <w:r w:rsidR="0065321F" w:rsidRPr="00426478">
        <w:rPr>
          <w:sz w:val="24"/>
          <w:szCs w:val="24"/>
        </w:rPr>
        <w:t xml:space="preserve"> v </w:t>
      </w:r>
      <w:r w:rsidR="009506A0" w:rsidRPr="00426478">
        <w:rPr>
          <w:sz w:val="24"/>
          <w:szCs w:val="24"/>
        </w:rPr>
        <w:t>případ</w:t>
      </w:r>
      <w:r w:rsidR="0065321F" w:rsidRPr="00426478">
        <w:rPr>
          <w:sz w:val="24"/>
          <w:szCs w:val="24"/>
        </w:rPr>
        <w:t>ě</w:t>
      </w:r>
      <w:r w:rsidR="009506A0" w:rsidRPr="00426478">
        <w:rPr>
          <w:sz w:val="24"/>
          <w:szCs w:val="24"/>
        </w:rPr>
        <w:t xml:space="preserve">, kdy zůstavitel z vážných </w:t>
      </w:r>
      <w:r w:rsidR="0065321F" w:rsidRPr="00426478">
        <w:rPr>
          <w:sz w:val="24"/>
          <w:szCs w:val="24"/>
        </w:rPr>
        <w:t>důvodů pořizuje</w:t>
      </w:r>
      <w:r w:rsidR="009506A0" w:rsidRPr="00426478">
        <w:rPr>
          <w:sz w:val="24"/>
          <w:szCs w:val="24"/>
        </w:rPr>
        <w:t xml:space="preserve"> na palubě námořního plavidla plujícího pod státní vlajkou České republiky nebo letadla zapsaného v leteckém rejstříku v České republice, a naposled dle §</w:t>
      </w:r>
      <w:r w:rsidR="00823C93">
        <w:rPr>
          <w:sz w:val="24"/>
          <w:szCs w:val="24"/>
        </w:rPr>
        <w:t xml:space="preserve"> </w:t>
      </w:r>
      <w:r w:rsidR="009506A0" w:rsidRPr="00426478">
        <w:rPr>
          <w:sz w:val="24"/>
          <w:szCs w:val="24"/>
        </w:rPr>
        <w:t xml:space="preserve">1545 </w:t>
      </w:r>
      <w:r w:rsidR="0065321F" w:rsidRPr="00426478">
        <w:rPr>
          <w:sz w:val="24"/>
          <w:szCs w:val="24"/>
        </w:rPr>
        <w:t xml:space="preserve">v </w:t>
      </w:r>
      <w:r w:rsidR="009506A0" w:rsidRPr="00426478">
        <w:rPr>
          <w:sz w:val="24"/>
          <w:szCs w:val="24"/>
        </w:rPr>
        <w:t>případ</w:t>
      </w:r>
      <w:r w:rsidR="0065321F" w:rsidRPr="00426478">
        <w:rPr>
          <w:sz w:val="24"/>
          <w:szCs w:val="24"/>
        </w:rPr>
        <w:t>ě</w:t>
      </w:r>
      <w:r w:rsidR="009506A0" w:rsidRPr="00426478">
        <w:rPr>
          <w:sz w:val="24"/>
          <w:szCs w:val="24"/>
        </w:rPr>
        <w:t xml:space="preserve">, kdy je zůstavitel účasten ozbrojeného konfliktu či vojenské operace. </w:t>
      </w:r>
      <w:r w:rsidR="00C82B05" w:rsidRPr="00426478">
        <w:rPr>
          <w:sz w:val="24"/>
          <w:szCs w:val="24"/>
        </w:rPr>
        <w:t xml:space="preserve"> Možnost úlev při pořizování upravuje i VN v §§</w:t>
      </w:r>
      <w:r w:rsidR="00823C93">
        <w:rPr>
          <w:sz w:val="24"/>
          <w:szCs w:val="24"/>
        </w:rPr>
        <w:t xml:space="preserve"> </w:t>
      </w:r>
      <w:r w:rsidR="00C82B05" w:rsidRPr="00426478">
        <w:rPr>
          <w:sz w:val="24"/>
          <w:szCs w:val="24"/>
        </w:rPr>
        <w:t>435 až 439. Případy</w:t>
      </w:r>
      <w:r w:rsidR="00C8736C">
        <w:rPr>
          <w:sz w:val="24"/>
          <w:szCs w:val="24"/>
        </w:rPr>
        <w:t>,</w:t>
      </w:r>
      <w:r w:rsidR="00C82B05" w:rsidRPr="00426478">
        <w:rPr>
          <w:sz w:val="24"/>
          <w:szCs w:val="24"/>
        </w:rPr>
        <w:t xml:space="preserve"> kdy jsou možné úlevy dle VN</w:t>
      </w:r>
      <w:r w:rsidR="00C8736C">
        <w:rPr>
          <w:sz w:val="24"/>
          <w:szCs w:val="24"/>
        </w:rPr>
        <w:t>,</w:t>
      </w:r>
      <w:r w:rsidR="00C82B05" w:rsidRPr="00426478">
        <w:rPr>
          <w:sz w:val="24"/>
          <w:szCs w:val="24"/>
        </w:rPr>
        <w:t xml:space="preserve"> jsou </w:t>
      </w:r>
      <w:r w:rsidR="00C8736C">
        <w:rPr>
          <w:sz w:val="24"/>
          <w:szCs w:val="24"/>
        </w:rPr>
        <w:t>takové, kdy se jedná o poslední pořízení pořízená</w:t>
      </w:r>
      <w:r w:rsidR="00C82B05" w:rsidRPr="00426478">
        <w:rPr>
          <w:sz w:val="24"/>
          <w:szCs w:val="24"/>
        </w:rPr>
        <w:t xml:space="preserve"> na místech, kde se šíří nemoc, která, plodíc hrůzu, ochromuje styk mezi l</w:t>
      </w:r>
      <w:r w:rsidR="00341E9B" w:rsidRPr="00426478">
        <w:rPr>
          <w:sz w:val="24"/>
          <w:szCs w:val="24"/>
        </w:rPr>
        <w:t>id</w:t>
      </w:r>
      <w:r w:rsidR="00C8736C">
        <w:rPr>
          <w:sz w:val="24"/>
          <w:szCs w:val="24"/>
        </w:rPr>
        <w:t>mi, dále poslední</w:t>
      </w:r>
      <w:r w:rsidR="00341E9B" w:rsidRPr="00426478">
        <w:rPr>
          <w:sz w:val="24"/>
          <w:szCs w:val="24"/>
        </w:rPr>
        <w:t xml:space="preserve"> pořízení</w:t>
      </w:r>
      <w:r w:rsidR="00C82B05" w:rsidRPr="00426478">
        <w:rPr>
          <w:sz w:val="24"/>
          <w:szCs w:val="24"/>
        </w:rPr>
        <w:t xml:space="preserve"> zřízen</w:t>
      </w:r>
      <w:r w:rsidR="00C8736C">
        <w:rPr>
          <w:sz w:val="24"/>
          <w:szCs w:val="24"/>
        </w:rPr>
        <w:t>á</w:t>
      </w:r>
      <w:r w:rsidR="00C82B05" w:rsidRPr="00426478">
        <w:rPr>
          <w:sz w:val="24"/>
          <w:szCs w:val="24"/>
        </w:rPr>
        <w:t xml:space="preserve"> při živelných nebo podnikových p</w:t>
      </w:r>
      <w:r w:rsidR="00C8736C">
        <w:rPr>
          <w:sz w:val="24"/>
          <w:szCs w:val="24"/>
        </w:rPr>
        <w:t>ohromách a poslední</w:t>
      </w:r>
      <w:r w:rsidR="00341E9B" w:rsidRPr="00426478">
        <w:rPr>
          <w:sz w:val="24"/>
          <w:szCs w:val="24"/>
        </w:rPr>
        <w:t xml:space="preserve"> pořízení</w:t>
      </w:r>
      <w:r w:rsidR="00C82B05" w:rsidRPr="00426478">
        <w:rPr>
          <w:sz w:val="24"/>
          <w:szCs w:val="24"/>
        </w:rPr>
        <w:t xml:space="preserve"> válečn</w:t>
      </w:r>
      <w:r w:rsidR="00C8736C">
        <w:rPr>
          <w:sz w:val="24"/>
          <w:szCs w:val="24"/>
        </w:rPr>
        <w:t>á</w:t>
      </w:r>
      <w:r w:rsidR="00C82B05" w:rsidRPr="00426478">
        <w:rPr>
          <w:sz w:val="24"/>
          <w:szCs w:val="24"/>
        </w:rPr>
        <w:t>.</w:t>
      </w:r>
      <w:r w:rsidR="00667F9A" w:rsidRPr="00426478">
        <w:rPr>
          <w:sz w:val="24"/>
          <w:szCs w:val="24"/>
        </w:rPr>
        <w:t xml:space="preserve"> Právní úprava úlev při posledním pořízením byla z dědického práva na našem území vyloučena v roce 1950 zákonem č.</w:t>
      </w:r>
      <w:r w:rsidR="00823C93">
        <w:rPr>
          <w:sz w:val="24"/>
          <w:szCs w:val="24"/>
        </w:rPr>
        <w:t xml:space="preserve"> </w:t>
      </w:r>
      <w:r w:rsidR="00667F9A" w:rsidRPr="00426478">
        <w:rPr>
          <w:sz w:val="24"/>
          <w:szCs w:val="24"/>
        </w:rPr>
        <w:t>141/</w:t>
      </w:r>
      <w:r w:rsidR="00823C93">
        <w:rPr>
          <w:sz w:val="24"/>
          <w:szCs w:val="24"/>
        </w:rPr>
        <w:t xml:space="preserve"> </w:t>
      </w:r>
      <w:r w:rsidR="00667F9A" w:rsidRPr="00426478">
        <w:rPr>
          <w:sz w:val="24"/>
          <w:szCs w:val="24"/>
        </w:rPr>
        <w:t>1950 Sb., občanský zákoník.</w:t>
      </w:r>
      <w:r w:rsidR="00C8736C">
        <w:rPr>
          <w:sz w:val="24"/>
          <w:szCs w:val="24"/>
        </w:rPr>
        <w:t xml:space="preserve"> NOZ se navrací k právní úpravě této problematiky, což lze považov</w:t>
      </w:r>
      <w:r w:rsidR="00496D9B">
        <w:rPr>
          <w:sz w:val="24"/>
          <w:szCs w:val="24"/>
        </w:rPr>
        <w:t>at určitě za správný krok, zejména v ohledu posílení autonomie vůle zůstavitele i v nenadálých životních situacích.</w:t>
      </w:r>
      <w:r w:rsidR="00D310CC">
        <w:rPr>
          <w:sz w:val="24"/>
          <w:szCs w:val="24"/>
        </w:rPr>
        <w:t xml:space="preserve"> Inspiruje se při tom</w:t>
      </w:r>
      <w:r w:rsidR="00C8736C">
        <w:rPr>
          <w:sz w:val="24"/>
          <w:szCs w:val="24"/>
        </w:rPr>
        <w:t xml:space="preserve"> jak VN, tak i zahraničními kodexy, jak je uvedeno v předchozí kapitole diplomové práce.</w:t>
      </w:r>
    </w:p>
    <w:p w:rsidR="00341E9B" w:rsidRPr="008D11B8" w:rsidRDefault="00341E9B" w:rsidP="00AE5C96">
      <w:pPr>
        <w:pStyle w:val="Nadpis3"/>
        <w:numPr>
          <w:ilvl w:val="2"/>
          <w:numId w:val="2"/>
        </w:numPr>
        <w:spacing w:line="360" w:lineRule="auto"/>
        <w:jc w:val="both"/>
        <w:rPr>
          <w:rFonts w:ascii="Times New Roman" w:hAnsi="Times New Roman" w:cs="Times New Roman"/>
          <w:color w:val="auto"/>
          <w:sz w:val="24"/>
        </w:rPr>
      </w:pPr>
      <w:bookmarkStart w:id="12" w:name="_Toc409631288"/>
      <w:r w:rsidRPr="008D11B8">
        <w:rPr>
          <w:rFonts w:ascii="Times New Roman" w:hAnsi="Times New Roman" w:cs="Times New Roman"/>
          <w:color w:val="auto"/>
          <w:sz w:val="24"/>
        </w:rPr>
        <w:lastRenderedPageBreak/>
        <w:t>Dědická smlouva</w:t>
      </w:r>
      <w:bookmarkEnd w:id="12"/>
    </w:p>
    <w:p w:rsidR="00341E9B" w:rsidRPr="00426478" w:rsidRDefault="00341E9B" w:rsidP="00AE5C96">
      <w:pPr>
        <w:tabs>
          <w:tab w:val="left" w:pos="426"/>
          <w:tab w:val="left" w:pos="709"/>
          <w:tab w:val="left" w:pos="1418"/>
        </w:tabs>
        <w:spacing w:after="0" w:line="360" w:lineRule="auto"/>
        <w:ind w:firstLine="567"/>
        <w:jc w:val="both"/>
        <w:rPr>
          <w:sz w:val="24"/>
          <w:szCs w:val="24"/>
        </w:rPr>
      </w:pPr>
      <w:r w:rsidRPr="00426478">
        <w:rPr>
          <w:sz w:val="24"/>
          <w:szCs w:val="24"/>
        </w:rPr>
        <w:t>Úprava dědické smlouvy je zahrnuta jak ve VN, tak i v NOZ v části upravující poslední pořízení. Institut dědické smlouvy byl zákonem č. 141/</w:t>
      </w:r>
      <w:r w:rsidR="00823C93">
        <w:rPr>
          <w:sz w:val="24"/>
          <w:szCs w:val="24"/>
        </w:rPr>
        <w:t xml:space="preserve"> </w:t>
      </w:r>
      <w:r w:rsidRPr="00426478">
        <w:rPr>
          <w:sz w:val="24"/>
          <w:szCs w:val="24"/>
        </w:rPr>
        <w:t>1950 Sb., občanský zákoník, vyloučen z právní úpravy dědického práva, a to až do účinnosti NOZ, který tento institut opět</w:t>
      </w:r>
      <w:r w:rsidR="00B17637">
        <w:rPr>
          <w:sz w:val="24"/>
          <w:szCs w:val="24"/>
        </w:rPr>
        <w:t>ovně</w:t>
      </w:r>
      <w:r w:rsidRPr="00426478">
        <w:rPr>
          <w:sz w:val="24"/>
          <w:szCs w:val="24"/>
        </w:rPr>
        <w:t xml:space="preserve"> upravuje.</w:t>
      </w:r>
      <w:r w:rsidR="003F7589">
        <w:rPr>
          <w:sz w:val="24"/>
          <w:szCs w:val="24"/>
        </w:rPr>
        <w:t xml:space="preserve"> NOZ se přitom inspiruje zčásti VN, a poté hlavně švýcarským občanským zákoníkem.</w:t>
      </w:r>
      <w:r w:rsidR="00A95D64">
        <w:rPr>
          <w:sz w:val="24"/>
          <w:szCs w:val="24"/>
        </w:rPr>
        <w:t xml:space="preserve"> Znovuzavedení institutu dědické smlouvy je určitě přínos, je však nutno si současně uvědomit, že se tak zůstavitel může jediným úkonem vzdát velké části své testovací svobody.</w:t>
      </w:r>
      <w:r w:rsidR="00A95D64">
        <w:rPr>
          <w:rStyle w:val="Znakapoznpodarou"/>
          <w:sz w:val="24"/>
          <w:szCs w:val="24"/>
        </w:rPr>
        <w:footnoteReference w:id="41"/>
      </w:r>
    </w:p>
    <w:p w:rsidR="00341E9B" w:rsidRPr="00426478" w:rsidRDefault="00341E9B" w:rsidP="00AE5C96">
      <w:pPr>
        <w:tabs>
          <w:tab w:val="left" w:pos="426"/>
          <w:tab w:val="left" w:pos="1418"/>
        </w:tabs>
        <w:spacing w:after="0" w:line="360" w:lineRule="auto"/>
        <w:ind w:firstLine="567"/>
        <w:jc w:val="both"/>
        <w:rPr>
          <w:sz w:val="24"/>
          <w:szCs w:val="24"/>
        </w:rPr>
      </w:pPr>
      <w:r w:rsidRPr="00426478">
        <w:rPr>
          <w:sz w:val="24"/>
          <w:szCs w:val="24"/>
        </w:rPr>
        <w:t xml:space="preserve">Podstatným rozdílem mezi právní úpravou dědické smlouvy ve VN a NOZ je, že VN upravuje možnost uzavřít dědickou smlouvu pouze mezi manželi, příp. snoubenci. Naproti tomu, NOZ dává zůstaviteli možnost uzavřít dědickou smlouvu i s jinými osobami, a povolat je tak za dědice či odkazovníky. NOZ </w:t>
      </w:r>
      <w:r w:rsidR="00605C67">
        <w:rPr>
          <w:sz w:val="24"/>
          <w:szCs w:val="24"/>
        </w:rPr>
        <w:t xml:space="preserve">však </w:t>
      </w:r>
      <w:r w:rsidRPr="00426478">
        <w:rPr>
          <w:sz w:val="24"/>
          <w:szCs w:val="24"/>
        </w:rPr>
        <w:t xml:space="preserve">obsahuje i speciální ustanovení o dědické smlouvě uzavřené mezi manželi. Oba právní předpisy vyžadují pro platnost dědické smlouvy formu notářského zápisu. VN i NOZ se také shodují v tom požadavku, že dědickou smlouvu může uzavřít pouze osoba, která je způsobilá se smluvně vázat a pořizovat. Dále je v obou právních předpisech shodně stanoveno omezení pořízení dědickou smlouvou. Nelze jí totiž pořídit o celé pozůstalosti, </w:t>
      </w:r>
      <w:r w:rsidR="00605C67">
        <w:rPr>
          <w:sz w:val="24"/>
          <w:szCs w:val="24"/>
        </w:rPr>
        <w:t>nýbrž</w:t>
      </w:r>
      <w:r w:rsidRPr="00426478">
        <w:rPr>
          <w:sz w:val="24"/>
          <w:szCs w:val="24"/>
        </w:rPr>
        <w:t xml:space="preserve"> čtvrtina pozůstalosti musí zůstat vždy volná, aby o ní mohl zůstavitel pořídit dle své zvlášť projevené vůle. NOZ navíc ještě stanovuje, že osoby, jejichž svéprávnost byla omezena pro chorobnou závislost na požívání alkoholu, užívání psychotropních látek nebo hráčské vášni představující závažnou duševní poruchu, mohou pořizovat dědickou smlouvou jen o majetku, o němž je způsobilý pořídit závětí, tj. o polovině své pozůstalosti. VN a NOZ se shodují také v právních následcích toho, když nejsou dodrženy náležitosti uzavření dědické smlouvy. V tomto případě bude dědická smlouva neplatná, nicméně může být platná jako závěť, splňuje-li její náležitosti.</w:t>
      </w:r>
    </w:p>
    <w:p w:rsidR="00341E9B" w:rsidRPr="00426478" w:rsidRDefault="00341E9B" w:rsidP="00AE5C96">
      <w:pPr>
        <w:tabs>
          <w:tab w:val="left" w:pos="426"/>
          <w:tab w:val="left" w:pos="709"/>
          <w:tab w:val="left" w:pos="1418"/>
        </w:tabs>
        <w:spacing w:after="0" w:line="360" w:lineRule="auto"/>
        <w:ind w:firstLine="567"/>
        <w:jc w:val="both"/>
        <w:rPr>
          <w:sz w:val="24"/>
          <w:szCs w:val="24"/>
        </w:rPr>
      </w:pPr>
      <w:r w:rsidRPr="00426478">
        <w:rPr>
          <w:sz w:val="24"/>
          <w:szCs w:val="24"/>
        </w:rPr>
        <w:t>Uzavření dědické smlouvy dle VN i NOZ nebrání tomu, aby se svým majetkem zůstavitel nakládal za svého života.</w:t>
      </w:r>
    </w:p>
    <w:p w:rsidR="00341E9B" w:rsidRDefault="00341E9B" w:rsidP="00AE5C96">
      <w:pPr>
        <w:tabs>
          <w:tab w:val="left" w:pos="426"/>
          <w:tab w:val="left" w:pos="1418"/>
        </w:tabs>
        <w:spacing w:after="0" w:line="360" w:lineRule="auto"/>
        <w:ind w:firstLine="567"/>
        <w:jc w:val="both"/>
        <w:rPr>
          <w:sz w:val="24"/>
          <w:szCs w:val="24"/>
        </w:rPr>
      </w:pPr>
      <w:r w:rsidRPr="00426478">
        <w:rPr>
          <w:sz w:val="24"/>
          <w:szCs w:val="24"/>
        </w:rPr>
        <w:t>Oba právní předpisy poté upravují i možnost zrušení dědické smlouvy. Závazek z dědické smlouvy lze zrušit stejně jako závazek z každé jiné smlouvy, což vyplývá s §</w:t>
      </w:r>
      <w:r w:rsidR="00823C93">
        <w:rPr>
          <w:sz w:val="24"/>
          <w:szCs w:val="24"/>
        </w:rPr>
        <w:t xml:space="preserve"> </w:t>
      </w:r>
      <w:r w:rsidRPr="00426478">
        <w:rPr>
          <w:sz w:val="24"/>
          <w:szCs w:val="24"/>
        </w:rPr>
        <w:t>449 VN a §</w:t>
      </w:r>
      <w:r w:rsidR="00823C93">
        <w:rPr>
          <w:sz w:val="24"/>
          <w:szCs w:val="24"/>
        </w:rPr>
        <w:t xml:space="preserve"> </w:t>
      </w:r>
      <w:r w:rsidRPr="00426478">
        <w:rPr>
          <w:sz w:val="24"/>
          <w:szCs w:val="24"/>
        </w:rPr>
        <w:t>1723 odst.</w:t>
      </w:r>
      <w:r w:rsidR="00C74213" w:rsidRPr="00426478">
        <w:rPr>
          <w:sz w:val="24"/>
          <w:szCs w:val="24"/>
        </w:rPr>
        <w:t xml:space="preserve"> </w:t>
      </w:r>
      <w:r w:rsidRPr="00426478">
        <w:rPr>
          <w:sz w:val="24"/>
          <w:szCs w:val="24"/>
        </w:rPr>
        <w:t>2 NOZ.  Dědická smlouva může být zrušena i posledním pořízením. VN umožňuje zrušení dědické smlouvy závětí, pokud se dědic dopustil něčeho, co je důvodem rozluky manželství z jeho viny. NOZ umožňuje zrušení dědické smlouvy závětí jen, projeví-li s tím souhlas smluvní dědic ve formě veřejné listiny.</w:t>
      </w:r>
      <w:r w:rsidR="00282B8A">
        <w:rPr>
          <w:sz w:val="24"/>
          <w:szCs w:val="24"/>
        </w:rPr>
        <w:t xml:space="preserve"> </w:t>
      </w:r>
      <w:r w:rsidRPr="00426478">
        <w:rPr>
          <w:sz w:val="24"/>
          <w:szCs w:val="24"/>
        </w:rPr>
        <w:t xml:space="preserve">Možnost zrušení dědické smlouvy je </w:t>
      </w:r>
      <w:r w:rsidRPr="00426478">
        <w:rPr>
          <w:sz w:val="24"/>
          <w:szCs w:val="24"/>
        </w:rPr>
        <w:lastRenderedPageBreak/>
        <w:t>poté upravena i pro případ rozvodu, příp. rozluky</w:t>
      </w:r>
      <w:r w:rsidRPr="00426478">
        <w:rPr>
          <w:rStyle w:val="Znakapoznpodarou"/>
          <w:sz w:val="24"/>
          <w:szCs w:val="24"/>
        </w:rPr>
        <w:footnoteReference w:id="42"/>
      </w:r>
      <w:r w:rsidRPr="00426478">
        <w:rPr>
          <w:sz w:val="24"/>
          <w:szCs w:val="24"/>
        </w:rPr>
        <w:t xml:space="preserve">. VN přímo stanovuje pravidla dle toho, zda se jedná o rozvod dobrovolný či nedobrovolný, anebo rozluku. NOZ oproti tomu stanovuje pouze jedno pravidlo, a to, že se rozvodem práva a povinnosti z dědické smlouvy neruší, ledaže dědická smlouva určí něco jiného. Po rozvodu však může každá strana žádat u soudu, aby dědickou smlouvu zrušil. </w:t>
      </w:r>
      <w:r w:rsidR="00605C67">
        <w:rPr>
          <w:sz w:val="24"/>
          <w:szCs w:val="24"/>
        </w:rPr>
        <w:t>V případě</w:t>
      </w:r>
      <w:r w:rsidRPr="00426478">
        <w:rPr>
          <w:sz w:val="24"/>
          <w:szCs w:val="24"/>
        </w:rPr>
        <w:t xml:space="preserve"> prohlášení manželství za neplatné se závazek z dědické smlouvy ruší vždy.</w:t>
      </w:r>
    </w:p>
    <w:p w:rsidR="00B67267" w:rsidRDefault="00B67267" w:rsidP="00AE5C96">
      <w:pPr>
        <w:tabs>
          <w:tab w:val="left" w:pos="426"/>
          <w:tab w:val="left" w:pos="1418"/>
        </w:tabs>
        <w:spacing w:after="0" w:line="360" w:lineRule="auto"/>
        <w:ind w:firstLine="567"/>
        <w:jc w:val="both"/>
        <w:rPr>
          <w:sz w:val="24"/>
          <w:szCs w:val="24"/>
        </w:rPr>
      </w:pPr>
    </w:p>
    <w:tbl>
      <w:tblPr>
        <w:tblStyle w:val="Mkatabulky"/>
        <w:tblW w:w="9212" w:type="dxa"/>
        <w:tblInd w:w="108" w:type="dxa"/>
        <w:tblLook w:val="04A0"/>
      </w:tblPr>
      <w:tblGrid>
        <w:gridCol w:w="4606"/>
        <w:gridCol w:w="4606"/>
      </w:tblGrid>
      <w:tr w:rsidR="00C74213" w:rsidRPr="00426478" w:rsidTr="00930FBC">
        <w:tc>
          <w:tcPr>
            <w:tcW w:w="4606" w:type="dxa"/>
          </w:tcPr>
          <w:p w:rsidR="00C74213" w:rsidRPr="00426478" w:rsidRDefault="00C74213" w:rsidP="00AE5C96">
            <w:pPr>
              <w:tabs>
                <w:tab w:val="left" w:pos="426"/>
                <w:tab w:val="left" w:pos="1418"/>
              </w:tabs>
              <w:spacing w:line="360" w:lineRule="auto"/>
              <w:jc w:val="both"/>
              <w:rPr>
                <w:sz w:val="24"/>
                <w:szCs w:val="24"/>
              </w:rPr>
            </w:pPr>
            <w:r w:rsidRPr="00426478">
              <w:rPr>
                <w:sz w:val="24"/>
                <w:szCs w:val="24"/>
              </w:rPr>
              <w:t>Počet ustanovení v NOZ</w:t>
            </w:r>
          </w:p>
        </w:tc>
        <w:tc>
          <w:tcPr>
            <w:tcW w:w="4606" w:type="dxa"/>
          </w:tcPr>
          <w:p w:rsidR="00C74213" w:rsidRPr="00426478" w:rsidRDefault="00EE4B80" w:rsidP="00AE5C96">
            <w:pPr>
              <w:tabs>
                <w:tab w:val="left" w:pos="426"/>
                <w:tab w:val="left" w:pos="1418"/>
              </w:tabs>
              <w:spacing w:line="360" w:lineRule="auto"/>
              <w:jc w:val="both"/>
              <w:rPr>
                <w:sz w:val="24"/>
                <w:szCs w:val="24"/>
              </w:rPr>
            </w:pPr>
            <w:r w:rsidRPr="00426478">
              <w:rPr>
                <w:sz w:val="24"/>
                <w:szCs w:val="24"/>
              </w:rPr>
              <w:t>54</w:t>
            </w:r>
            <w:r w:rsidR="003056C0" w:rsidRPr="00426478">
              <w:rPr>
                <w:rStyle w:val="Znakapoznpodarou"/>
                <w:sz w:val="24"/>
                <w:szCs w:val="24"/>
              </w:rPr>
              <w:footnoteReference w:id="43"/>
            </w:r>
          </w:p>
        </w:tc>
      </w:tr>
      <w:tr w:rsidR="00C74213" w:rsidRPr="00426478" w:rsidTr="00930FBC">
        <w:tc>
          <w:tcPr>
            <w:tcW w:w="4606" w:type="dxa"/>
          </w:tcPr>
          <w:p w:rsidR="00C74213" w:rsidRPr="00426478" w:rsidRDefault="00C74213"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C74213" w:rsidRPr="00426478" w:rsidRDefault="00EE4B80" w:rsidP="00AE5C96">
            <w:pPr>
              <w:tabs>
                <w:tab w:val="left" w:pos="426"/>
                <w:tab w:val="left" w:pos="1418"/>
              </w:tabs>
              <w:spacing w:line="360" w:lineRule="auto"/>
              <w:jc w:val="both"/>
              <w:rPr>
                <w:sz w:val="24"/>
                <w:szCs w:val="24"/>
              </w:rPr>
            </w:pPr>
            <w:r w:rsidRPr="00426478">
              <w:rPr>
                <w:sz w:val="24"/>
                <w:szCs w:val="24"/>
              </w:rPr>
              <w:t>61</w:t>
            </w:r>
          </w:p>
        </w:tc>
      </w:tr>
      <w:tr w:rsidR="00C74213" w:rsidRPr="00426478" w:rsidTr="00930FBC">
        <w:trPr>
          <w:trHeight w:val="252"/>
        </w:trPr>
        <w:tc>
          <w:tcPr>
            <w:tcW w:w="4606" w:type="dxa"/>
            <w:vMerge w:val="restart"/>
          </w:tcPr>
          <w:p w:rsidR="00C74213" w:rsidRPr="00426478" w:rsidRDefault="00C74213"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C74213" w:rsidRPr="00426478" w:rsidRDefault="00084922" w:rsidP="00AE5C96">
            <w:pPr>
              <w:tabs>
                <w:tab w:val="left" w:pos="426"/>
                <w:tab w:val="left" w:pos="1418"/>
              </w:tabs>
              <w:spacing w:line="360" w:lineRule="auto"/>
              <w:jc w:val="both"/>
              <w:rPr>
                <w:sz w:val="24"/>
                <w:szCs w:val="24"/>
              </w:rPr>
            </w:pPr>
            <w:r w:rsidRPr="00426478">
              <w:rPr>
                <w:sz w:val="24"/>
                <w:szCs w:val="24"/>
              </w:rPr>
              <w:t>zcel</w:t>
            </w:r>
            <w:r w:rsidR="00C74213" w:rsidRPr="00426478">
              <w:rPr>
                <w:sz w:val="24"/>
                <w:szCs w:val="24"/>
              </w:rPr>
              <w:t>a:</w:t>
            </w:r>
            <w:r w:rsidR="00EE4B80" w:rsidRPr="00426478">
              <w:rPr>
                <w:sz w:val="24"/>
                <w:szCs w:val="24"/>
              </w:rPr>
              <w:t xml:space="preserve"> </w:t>
            </w:r>
            <w:r w:rsidR="000D06AC" w:rsidRPr="00426478">
              <w:rPr>
                <w:sz w:val="24"/>
                <w:szCs w:val="24"/>
              </w:rPr>
              <w:t>2</w:t>
            </w:r>
            <w:r w:rsidR="003450EF">
              <w:rPr>
                <w:sz w:val="24"/>
                <w:szCs w:val="24"/>
              </w:rPr>
              <w:t>5</w:t>
            </w:r>
          </w:p>
        </w:tc>
      </w:tr>
      <w:tr w:rsidR="00C74213" w:rsidRPr="00426478" w:rsidTr="00930FBC">
        <w:trPr>
          <w:trHeight w:val="251"/>
        </w:trPr>
        <w:tc>
          <w:tcPr>
            <w:tcW w:w="4606" w:type="dxa"/>
            <w:vMerge/>
          </w:tcPr>
          <w:p w:rsidR="00C74213" w:rsidRPr="00426478" w:rsidRDefault="00C74213" w:rsidP="00AE5C96">
            <w:pPr>
              <w:tabs>
                <w:tab w:val="left" w:pos="426"/>
                <w:tab w:val="left" w:pos="1418"/>
              </w:tabs>
              <w:spacing w:line="360" w:lineRule="auto"/>
              <w:jc w:val="both"/>
              <w:rPr>
                <w:sz w:val="24"/>
                <w:szCs w:val="24"/>
              </w:rPr>
            </w:pPr>
          </w:p>
        </w:tc>
        <w:tc>
          <w:tcPr>
            <w:tcW w:w="4606" w:type="dxa"/>
          </w:tcPr>
          <w:p w:rsidR="00C74213" w:rsidRPr="00426478" w:rsidRDefault="00FD6F3F" w:rsidP="00AE5C96">
            <w:pPr>
              <w:tabs>
                <w:tab w:val="left" w:pos="426"/>
                <w:tab w:val="left" w:pos="1418"/>
              </w:tabs>
              <w:spacing w:line="360" w:lineRule="auto"/>
              <w:jc w:val="both"/>
              <w:rPr>
                <w:sz w:val="24"/>
                <w:szCs w:val="24"/>
              </w:rPr>
            </w:pPr>
            <w:r w:rsidRPr="00426478">
              <w:rPr>
                <w:sz w:val="24"/>
                <w:szCs w:val="24"/>
              </w:rPr>
              <w:t>částečně:</w:t>
            </w:r>
            <w:r w:rsidR="000D06AC" w:rsidRPr="00426478">
              <w:rPr>
                <w:sz w:val="24"/>
                <w:szCs w:val="24"/>
              </w:rPr>
              <w:t xml:space="preserve"> 15</w:t>
            </w:r>
          </w:p>
        </w:tc>
      </w:tr>
    </w:tbl>
    <w:p w:rsidR="00D61E35" w:rsidRPr="00426478" w:rsidRDefault="00D61E35" w:rsidP="00AE5C96">
      <w:pPr>
        <w:tabs>
          <w:tab w:val="left" w:pos="426"/>
          <w:tab w:val="left" w:pos="1418"/>
        </w:tabs>
        <w:spacing w:after="0" w:line="360" w:lineRule="auto"/>
        <w:jc w:val="both"/>
        <w:rPr>
          <w:sz w:val="24"/>
          <w:szCs w:val="24"/>
        </w:rPr>
      </w:pPr>
    </w:p>
    <w:p w:rsidR="00C74213" w:rsidRPr="008D11B8" w:rsidRDefault="00C74213" w:rsidP="00AE5C96">
      <w:pPr>
        <w:pStyle w:val="Nadpis2"/>
        <w:numPr>
          <w:ilvl w:val="1"/>
          <w:numId w:val="2"/>
        </w:numPr>
        <w:spacing w:line="360" w:lineRule="auto"/>
        <w:jc w:val="both"/>
        <w:rPr>
          <w:rFonts w:ascii="Times New Roman" w:hAnsi="Times New Roman" w:cs="Times New Roman"/>
          <w:color w:val="auto"/>
        </w:rPr>
      </w:pPr>
      <w:bookmarkStart w:id="13" w:name="_Toc409631289"/>
      <w:r w:rsidRPr="008D11B8">
        <w:rPr>
          <w:rFonts w:ascii="Times New Roman" w:hAnsi="Times New Roman" w:cs="Times New Roman"/>
          <w:color w:val="auto"/>
        </w:rPr>
        <w:t xml:space="preserve">Náhradnictví a </w:t>
      </w:r>
      <w:proofErr w:type="spellStart"/>
      <w:r w:rsidRPr="008D11B8">
        <w:rPr>
          <w:rFonts w:ascii="Times New Roman" w:hAnsi="Times New Roman" w:cs="Times New Roman"/>
          <w:color w:val="auto"/>
        </w:rPr>
        <w:t>svěřenské</w:t>
      </w:r>
      <w:proofErr w:type="spellEnd"/>
      <w:r w:rsidRPr="008D11B8">
        <w:rPr>
          <w:rFonts w:ascii="Times New Roman" w:hAnsi="Times New Roman" w:cs="Times New Roman"/>
          <w:color w:val="auto"/>
        </w:rPr>
        <w:t xml:space="preserve"> nástupnictví</w:t>
      </w:r>
      <w:r w:rsidR="00580ADE">
        <w:rPr>
          <w:rStyle w:val="Znakapoznpodarou"/>
          <w:rFonts w:ascii="Times New Roman" w:hAnsi="Times New Roman" w:cs="Times New Roman"/>
          <w:color w:val="auto"/>
        </w:rPr>
        <w:footnoteReference w:id="44"/>
      </w:r>
      <w:bookmarkEnd w:id="13"/>
    </w:p>
    <w:p w:rsidR="00C74213" w:rsidRPr="00426478" w:rsidRDefault="00C74213" w:rsidP="00AE5C96">
      <w:pPr>
        <w:tabs>
          <w:tab w:val="left" w:pos="426"/>
          <w:tab w:val="left" w:pos="1418"/>
        </w:tabs>
        <w:spacing w:after="0" w:line="360" w:lineRule="auto"/>
        <w:ind w:firstLine="567"/>
        <w:jc w:val="both"/>
        <w:rPr>
          <w:sz w:val="24"/>
          <w:szCs w:val="24"/>
        </w:rPr>
      </w:pPr>
      <w:r w:rsidRPr="00426478">
        <w:rPr>
          <w:sz w:val="24"/>
          <w:szCs w:val="24"/>
        </w:rPr>
        <w:t xml:space="preserve">Instituty náhradnictví a </w:t>
      </w:r>
      <w:proofErr w:type="spellStart"/>
      <w:r w:rsidRPr="00426478">
        <w:rPr>
          <w:sz w:val="24"/>
          <w:szCs w:val="24"/>
        </w:rPr>
        <w:t>svěřenského</w:t>
      </w:r>
      <w:proofErr w:type="spellEnd"/>
      <w:r w:rsidRPr="00426478">
        <w:rPr>
          <w:sz w:val="24"/>
          <w:szCs w:val="24"/>
        </w:rPr>
        <w:t xml:space="preserve"> nástupnictví upravuje VN v samostatné Hlavě 17. NOZ řadí ustanovení o těchto institutech do Dílu 2 upravujícího pořízení pro případ smrti, přesněji do Oddílu 2 Dílu 2, který obsahuje úpravu závěti.</w:t>
      </w:r>
    </w:p>
    <w:p w:rsidR="00C74213" w:rsidRPr="00426478" w:rsidRDefault="00C74213" w:rsidP="00AE5C96">
      <w:pPr>
        <w:tabs>
          <w:tab w:val="left" w:pos="426"/>
          <w:tab w:val="left" w:pos="1418"/>
        </w:tabs>
        <w:spacing w:after="0" w:line="360" w:lineRule="auto"/>
        <w:ind w:firstLine="567"/>
        <w:jc w:val="both"/>
        <w:rPr>
          <w:sz w:val="24"/>
          <w:szCs w:val="24"/>
        </w:rPr>
      </w:pPr>
      <w:r w:rsidRPr="00426478">
        <w:rPr>
          <w:sz w:val="24"/>
          <w:szCs w:val="24"/>
        </w:rPr>
        <w:t>Případy, kdy osoba povolaná za dědice nedědí, a dědí místo ní její nástupce, označuje VN</w:t>
      </w:r>
      <w:r w:rsidR="008A5CE5">
        <w:rPr>
          <w:sz w:val="24"/>
          <w:szCs w:val="24"/>
        </w:rPr>
        <w:t>,</w:t>
      </w:r>
      <w:r w:rsidRPr="00426478">
        <w:rPr>
          <w:sz w:val="24"/>
          <w:szCs w:val="24"/>
        </w:rPr>
        <w:t xml:space="preserve"> a dle jeho vzoru i NOZ</w:t>
      </w:r>
      <w:r w:rsidR="008A5CE5">
        <w:rPr>
          <w:sz w:val="24"/>
          <w:szCs w:val="24"/>
        </w:rPr>
        <w:t>,</w:t>
      </w:r>
      <w:r w:rsidRPr="00426478">
        <w:rPr>
          <w:sz w:val="24"/>
          <w:szCs w:val="24"/>
        </w:rPr>
        <w:t xml:space="preserve"> jako náhradnictví.</w:t>
      </w:r>
      <w:r w:rsidRPr="00426478">
        <w:rPr>
          <w:rStyle w:val="Znakapoznpodarou"/>
          <w:sz w:val="24"/>
          <w:szCs w:val="24"/>
        </w:rPr>
        <w:footnoteReference w:id="45"/>
      </w:r>
      <w:r w:rsidRPr="00426478">
        <w:rPr>
          <w:sz w:val="24"/>
          <w:szCs w:val="24"/>
        </w:rPr>
        <w:t xml:space="preserve"> </w:t>
      </w:r>
    </w:p>
    <w:p w:rsidR="00C74213" w:rsidRPr="00426478" w:rsidRDefault="008A5CE5" w:rsidP="00AE5C96">
      <w:pPr>
        <w:tabs>
          <w:tab w:val="left" w:pos="426"/>
          <w:tab w:val="left" w:pos="1418"/>
        </w:tabs>
        <w:spacing w:after="0" w:line="360" w:lineRule="auto"/>
        <w:ind w:firstLine="567"/>
        <w:jc w:val="both"/>
        <w:rPr>
          <w:sz w:val="24"/>
          <w:szCs w:val="24"/>
        </w:rPr>
      </w:pPr>
      <w:r>
        <w:rPr>
          <w:sz w:val="24"/>
          <w:szCs w:val="24"/>
        </w:rPr>
        <w:t>Stejně tak</w:t>
      </w:r>
      <w:r w:rsidR="00C74213" w:rsidRPr="00426478">
        <w:rPr>
          <w:sz w:val="24"/>
          <w:szCs w:val="24"/>
        </w:rPr>
        <w:t xml:space="preserve"> NOZ</w:t>
      </w:r>
      <w:r>
        <w:rPr>
          <w:sz w:val="24"/>
          <w:szCs w:val="24"/>
        </w:rPr>
        <w:t xml:space="preserve"> dle VN</w:t>
      </w:r>
      <w:r w:rsidR="00C74213" w:rsidRPr="00426478">
        <w:rPr>
          <w:sz w:val="24"/>
          <w:szCs w:val="24"/>
        </w:rPr>
        <w:t xml:space="preserve"> vymezuje i institut </w:t>
      </w:r>
      <w:proofErr w:type="spellStart"/>
      <w:r w:rsidR="00C74213" w:rsidRPr="00426478">
        <w:rPr>
          <w:sz w:val="24"/>
          <w:szCs w:val="24"/>
        </w:rPr>
        <w:t>svěřenského</w:t>
      </w:r>
      <w:proofErr w:type="spellEnd"/>
      <w:r w:rsidR="00C74213" w:rsidRPr="00426478">
        <w:rPr>
          <w:sz w:val="24"/>
          <w:szCs w:val="24"/>
        </w:rPr>
        <w:t xml:space="preserve"> nástupnictví.</w:t>
      </w:r>
      <w:r w:rsidR="00C74213" w:rsidRPr="00426478">
        <w:rPr>
          <w:rStyle w:val="Znakapoznpodarou"/>
          <w:sz w:val="24"/>
          <w:szCs w:val="24"/>
        </w:rPr>
        <w:footnoteReference w:id="46"/>
      </w:r>
      <w:r w:rsidR="00C74213" w:rsidRPr="00426478">
        <w:rPr>
          <w:sz w:val="24"/>
          <w:szCs w:val="24"/>
        </w:rPr>
        <w:t xml:space="preserve"> Jedná se o institut, který se uplatňuje v případech, kdy zůstavitel nařídí, aby po smrti jeho dědice přešlo to, co mu zůstavil, na tzv. následného dědice. Nařízení takového nástupnictví může být však vztaženo jen k tomu, co zůstavitel sám zanechal přednímu dědici.</w:t>
      </w:r>
      <w:r w:rsidR="00C74213" w:rsidRPr="00426478">
        <w:rPr>
          <w:rStyle w:val="Znakapoznpodarou"/>
          <w:sz w:val="24"/>
          <w:szCs w:val="24"/>
        </w:rPr>
        <w:footnoteReference w:id="47"/>
      </w:r>
    </w:p>
    <w:p w:rsidR="00C74213" w:rsidRDefault="00C74213" w:rsidP="00AE5C96">
      <w:pPr>
        <w:tabs>
          <w:tab w:val="left" w:pos="426"/>
          <w:tab w:val="left" w:pos="1418"/>
        </w:tabs>
        <w:spacing w:after="0" w:line="360" w:lineRule="auto"/>
        <w:ind w:firstLine="567"/>
        <w:jc w:val="both"/>
        <w:rPr>
          <w:sz w:val="24"/>
          <w:szCs w:val="24"/>
        </w:rPr>
      </w:pPr>
      <w:r w:rsidRPr="00426478">
        <w:rPr>
          <w:sz w:val="24"/>
          <w:szCs w:val="24"/>
        </w:rPr>
        <w:t>Jelikož se NOZ inspiruje</w:t>
      </w:r>
      <w:r w:rsidR="008A5CE5">
        <w:rPr>
          <w:sz w:val="24"/>
          <w:szCs w:val="24"/>
        </w:rPr>
        <w:t xml:space="preserve"> ve svých ustanoveních o náhradnictví a </w:t>
      </w:r>
      <w:proofErr w:type="spellStart"/>
      <w:r w:rsidR="008A5CE5">
        <w:rPr>
          <w:sz w:val="24"/>
          <w:szCs w:val="24"/>
        </w:rPr>
        <w:t>svěřenském</w:t>
      </w:r>
      <w:proofErr w:type="spellEnd"/>
      <w:r w:rsidR="008A5CE5">
        <w:rPr>
          <w:sz w:val="24"/>
          <w:szCs w:val="24"/>
        </w:rPr>
        <w:t xml:space="preserve"> nástupnictví</w:t>
      </w:r>
      <w:r w:rsidRPr="00426478">
        <w:rPr>
          <w:sz w:val="24"/>
          <w:szCs w:val="24"/>
        </w:rPr>
        <w:t xml:space="preserve"> právní úpravou obsaženou ve VN, je právní úprava v NOZ </w:t>
      </w:r>
      <w:r w:rsidR="008A5CE5">
        <w:rPr>
          <w:sz w:val="24"/>
          <w:szCs w:val="24"/>
        </w:rPr>
        <w:t>téměř zcela shodná s </w:t>
      </w:r>
      <w:r w:rsidRPr="00426478">
        <w:rPr>
          <w:sz w:val="24"/>
          <w:szCs w:val="24"/>
        </w:rPr>
        <w:t xml:space="preserve">VN. NOZ však navíc </w:t>
      </w:r>
      <w:r w:rsidR="008A5CE5">
        <w:rPr>
          <w:sz w:val="24"/>
          <w:szCs w:val="24"/>
        </w:rPr>
        <w:t>doplňuje úpravu o</w:t>
      </w:r>
      <w:r w:rsidRPr="00426478">
        <w:rPr>
          <w:sz w:val="24"/>
          <w:szCs w:val="24"/>
        </w:rPr>
        <w:t xml:space="preserve"> určité případy, které mohou při </w:t>
      </w:r>
      <w:proofErr w:type="spellStart"/>
      <w:r w:rsidR="00A53F47">
        <w:rPr>
          <w:sz w:val="24"/>
          <w:szCs w:val="24"/>
        </w:rPr>
        <w:t>svěřenském</w:t>
      </w:r>
      <w:proofErr w:type="spellEnd"/>
      <w:r w:rsidR="00A53F47">
        <w:rPr>
          <w:sz w:val="24"/>
          <w:szCs w:val="24"/>
        </w:rPr>
        <w:t xml:space="preserve"> nástupnictví nastat (</w:t>
      </w:r>
      <w:r w:rsidR="008A5CE5">
        <w:rPr>
          <w:sz w:val="24"/>
          <w:szCs w:val="24"/>
        </w:rPr>
        <w:t xml:space="preserve">například </w:t>
      </w:r>
      <w:r w:rsidR="00F71E52">
        <w:rPr>
          <w:sz w:val="24"/>
          <w:szCs w:val="24"/>
        </w:rPr>
        <w:t xml:space="preserve">ustanovení o </w:t>
      </w:r>
      <w:r w:rsidR="00B31B83">
        <w:rPr>
          <w:sz w:val="24"/>
          <w:szCs w:val="24"/>
        </w:rPr>
        <w:t>povinnost</w:t>
      </w:r>
      <w:r w:rsidR="00F71E52">
        <w:rPr>
          <w:sz w:val="24"/>
          <w:szCs w:val="24"/>
        </w:rPr>
        <w:t>i</w:t>
      </w:r>
      <w:r w:rsidR="00B31B83">
        <w:rPr>
          <w:sz w:val="24"/>
          <w:szCs w:val="24"/>
        </w:rPr>
        <w:t xml:space="preserve"> </w:t>
      </w:r>
      <w:r w:rsidR="00F71E52">
        <w:rPr>
          <w:sz w:val="24"/>
          <w:szCs w:val="24"/>
        </w:rPr>
        <w:t>sestavení inventáře nebo o možnosti dědice zcizit či zatížit věc z toho, co děděním nabyl</w:t>
      </w:r>
      <w:r w:rsidR="00A53F47">
        <w:rPr>
          <w:sz w:val="24"/>
          <w:szCs w:val="24"/>
        </w:rPr>
        <w:t>)</w:t>
      </w:r>
      <w:r w:rsidR="00F71E52">
        <w:rPr>
          <w:sz w:val="24"/>
          <w:szCs w:val="24"/>
        </w:rPr>
        <w:t xml:space="preserve">. Tato ustanovení lze </w:t>
      </w:r>
      <w:proofErr w:type="spellStart"/>
      <w:r w:rsidR="00F71E52">
        <w:rPr>
          <w:sz w:val="24"/>
          <w:szCs w:val="24"/>
        </w:rPr>
        <w:t>pokládát</w:t>
      </w:r>
      <w:proofErr w:type="spellEnd"/>
      <w:r w:rsidR="00F71E52">
        <w:rPr>
          <w:sz w:val="24"/>
          <w:szCs w:val="24"/>
        </w:rPr>
        <w:t xml:space="preserve"> za ustanovení, která pouze rozšiřují danou problematiku </w:t>
      </w:r>
      <w:proofErr w:type="spellStart"/>
      <w:r w:rsidR="00F71E52">
        <w:rPr>
          <w:sz w:val="24"/>
          <w:szCs w:val="24"/>
        </w:rPr>
        <w:t>svěřenského</w:t>
      </w:r>
      <w:proofErr w:type="spellEnd"/>
      <w:r w:rsidR="00F71E52">
        <w:rPr>
          <w:sz w:val="24"/>
          <w:szCs w:val="24"/>
        </w:rPr>
        <w:t xml:space="preserve"> nástupnictví. Jelikož </w:t>
      </w:r>
      <w:r w:rsidR="00F71E52">
        <w:rPr>
          <w:sz w:val="24"/>
          <w:szCs w:val="24"/>
        </w:rPr>
        <w:lastRenderedPageBreak/>
        <w:t xml:space="preserve">základ právní úpravy tohoto institutu je inspirován VN, řadí práce tato rozšiřující ustanovení v NOZ do ustanovení částečně obsahově shodných.  </w:t>
      </w:r>
    </w:p>
    <w:p w:rsidR="004740DD" w:rsidRDefault="004740DD" w:rsidP="00AE5C96">
      <w:pPr>
        <w:tabs>
          <w:tab w:val="left" w:pos="426"/>
          <w:tab w:val="left" w:pos="1418"/>
        </w:tabs>
        <w:spacing w:after="0" w:line="360" w:lineRule="auto"/>
        <w:ind w:firstLine="567"/>
        <w:jc w:val="both"/>
        <w:rPr>
          <w:sz w:val="24"/>
          <w:szCs w:val="24"/>
        </w:rPr>
      </w:pPr>
    </w:p>
    <w:tbl>
      <w:tblPr>
        <w:tblStyle w:val="Mkatabulky"/>
        <w:tblW w:w="9212" w:type="dxa"/>
        <w:tblInd w:w="108" w:type="dxa"/>
        <w:tblLook w:val="04A0"/>
      </w:tblPr>
      <w:tblGrid>
        <w:gridCol w:w="4606"/>
        <w:gridCol w:w="4606"/>
      </w:tblGrid>
      <w:tr w:rsidR="000308F3" w:rsidRPr="00426478" w:rsidTr="00930FBC">
        <w:tc>
          <w:tcPr>
            <w:tcW w:w="4606" w:type="dxa"/>
          </w:tcPr>
          <w:p w:rsidR="000308F3" w:rsidRPr="00426478" w:rsidRDefault="000308F3" w:rsidP="00AE5C96">
            <w:pPr>
              <w:tabs>
                <w:tab w:val="left" w:pos="426"/>
                <w:tab w:val="left" w:pos="1418"/>
              </w:tabs>
              <w:spacing w:line="360" w:lineRule="auto"/>
              <w:jc w:val="both"/>
              <w:rPr>
                <w:sz w:val="24"/>
                <w:szCs w:val="24"/>
              </w:rPr>
            </w:pPr>
            <w:r w:rsidRPr="00426478">
              <w:rPr>
                <w:sz w:val="24"/>
                <w:szCs w:val="24"/>
              </w:rPr>
              <w:t>Počet ustanovení v NOZ</w:t>
            </w:r>
          </w:p>
        </w:tc>
        <w:tc>
          <w:tcPr>
            <w:tcW w:w="4606" w:type="dxa"/>
          </w:tcPr>
          <w:p w:rsidR="000308F3" w:rsidRPr="00426478" w:rsidRDefault="006747A2" w:rsidP="00AE5C96">
            <w:pPr>
              <w:tabs>
                <w:tab w:val="left" w:pos="426"/>
                <w:tab w:val="left" w:pos="1418"/>
              </w:tabs>
              <w:spacing w:line="360" w:lineRule="auto"/>
              <w:jc w:val="both"/>
              <w:rPr>
                <w:sz w:val="24"/>
                <w:szCs w:val="24"/>
              </w:rPr>
            </w:pPr>
            <w:r w:rsidRPr="00426478">
              <w:rPr>
                <w:sz w:val="24"/>
                <w:szCs w:val="24"/>
              </w:rPr>
              <w:t>18</w:t>
            </w:r>
          </w:p>
        </w:tc>
      </w:tr>
      <w:tr w:rsidR="000308F3" w:rsidRPr="00426478" w:rsidTr="00930FBC">
        <w:tc>
          <w:tcPr>
            <w:tcW w:w="4606" w:type="dxa"/>
          </w:tcPr>
          <w:p w:rsidR="000308F3" w:rsidRPr="00426478" w:rsidRDefault="000308F3"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0308F3" w:rsidRPr="00426478" w:rsidRDefault="006747A2" w:rsidP="00AE5C96">
            <w:pPr>
              <w:tabs>
                <w:tab w:val="left" w:pos="426"/>
                <w:tab w:val="left" w:pos="1418"/>
              </w:tabs>
              <w:spacing w:line="360" w:lineRule="auto"/>
              <w:jc w:val="both"/>
              <w:rPr>
                <w:sz w:val="24"/>
                <w:szCs w:val="24"/>
              </w:rPr>
            </w:pPr>
            <w:r w:rsidRPr="00426478">
              <w:rPr>
                <w:sz w:val="24"/>
                <w:szCs w:val="24"/>
              </w:rPr>
              <w:t>14</w:t>
            </w:r>
          </w:p>
        </w:tc>
      </w:tr>
      <w:tr w:rsidR="000308F3" w:rsidRPr="00426478" w:rsidTr="00930FBC">
        <w:trPr>
          <w:trHeight w:val="512"/>
        </w:trPr>
        <w:tc>
          <w:tcPr>
            <w:tcW w:w="4606" w:type="dxa"/>
            <w:vMerge w:val="restart"/>
          </w:tcPr>
          <w:p w:rsidR="000308F3" w:rsidRPr="00426478" w:rsidRDefault="000308F3"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0308F3" w:rsidRPr="00426478" w:rsidRDefault="00084922" w:rsidP="00AE5C96">
            <w:pPr>
              <w:tabs>
                <w:tab w:val="left" w:pos="426"/>
                <w:tab w:val="left" w:pos="1418"/>
              </w:tabs>
              <w:spacing w:line="360" w:lineRule="auto"/>
              <w:jc w:val="both"/>
              <w:rPr>
                <w:sz w:val="24"/>
                <w:szCs w:val="24"/>
              </w:rPr>
            </w:pPr>
            <w:r w:rsidRPr="00426478">
              <w:rPr>
                <w:sz w:val="24"/>
                <w:szCs w:val="24"/>
              </w:rPr>
              <w:t>zcel</w:t>
            </w:r>
            <w:r w:rsidR="000308F3" w:rsidRPr="00426478">
              <w:rPr>
                <w:sz w:val="24"/>
                <w:szCs w:val="24"/>
              </w:rPr>
              <w:t>a:</w:t>
            </w:r>
            <w:r w:rsidR="006747A2" w:rsidRPr="00426478">
              <w:rPr>
                <w:sz w:val="24"/>
                <w:szCs w:val="24"/>
              </w:rPr>
              <w:t xml:space="preserve"> 11</w:t>
            </w:r>
          </w:p>
        </w:tc>
      </w:tr>
      <w:tr w:rsidR="000308F3" w:rsidRPr="00426478" w:rsidTr="00930FBC">
        <w:trPr>
          <w:trHeight w:val="512"/>
        </w:trPr>
        <w:tc>
          <w:tcPr>
            <w:tcW w:w="4606" w:type="dxa"/>
            <w:vMerge/>
          </w:tcPr>
          <w:p w:rsidR="000308F3" w:rsidRPr="00426478" w:rsidRDefault="000308F3" w:rsidP="00AE5C96">
            <w:pPr>
              <w:tabs>
                <w:tab w:val="left" w:pos="426"/>
                <w:tab w:val="left" w:pos="1418"/>
              </w:tabs>
              <w:spacing w:line="360" w:lineRule="auto"/>
              <w:jc w:val="both"/>
              <w:rPr>
                <w:sz w:val="24"/>
                <w:szCs w:val="24"/>
              </w:rPr>
            </w:pPr>
          </w:p>
        </w:tc>
        <w:tc>
          <w:tcPr>
            <w:tcW w:w="4606" w:type="dxa"/>
          </w:tcPr>
          <w:p w:rsidR="000308F3" w:rsidRPr="00426478" w:rsidRDefault="000308F3" w:rsidP="00AE5C96">
            <w:pPr>
              <w:tabs>
                <w:tab w:val="left" w:pos="426"/>
                <w:tab w:val="left" w:pos="1418"/>
              </w:tabs>
              <w:spacing w:line="360" w:lineRule="auto"/>
              <w:jc w:val="both"/>
              <w:rPr>
                <w:sz w:val="24"/>
                <w:szCs w:val="24"/>
              </w:rPr>
            </w:pPr>
            <w:r w:rsidRPr="00426478">
              <w:rPr>
                <w:sz w:val="24"/>
                <w:szCs w:val="24"/>
              </w:rPr>
              <w:t>částečně:</w:t>
            </w:r>
            <w:r w:rsidR="006747A2" w:rsidRPr="00426478">
              <w:rPr>
                <w:sz w:val="24"/>
                <w:szCs w:val="24"/>
              </w:rPr>
              <w:t xml:space="preserve"> </w:t>
            </w:r>
            <w:r w:rsidR="00F71E52">
              <w:rPr>
                <w:sz w:val="24"/>
                <w:szCs w:val="24"/>
              </w:rPr>
              <w:t>6</w:t>
            </w:r>
          </w:p>
        </w:tc>
      </w:tr>
    </w:tbl>
    <w:p w:rsidR="000308F3" w:rsidRDefault="000308F3" w:rsidP="00AE5C96">
      <w:pPr>
        <w:tabs>
          <w:tab w:val="left" w:pos="426"/>
          <w:tab w:val="left" w:pos="1418"/>
        </w:tabs>
        <w:spacing w:after="0" w:line="360" w:lineRule="auto"/>
        <w:jc w:val="both"/>
        <w:rPr>
          <w:sz w:val="24"/>
          <w:szCs w:val="24"/>
        </w:rPr>
      </w:pPr>
    </w:p>
    <w:p w:rsidR="003056C0" w:rsidRPr="008D11B8" w:rsidRDefault="003056C0" w:rsidP="00AE5C96">
      <w:pPr>
        <w:pStyle w:val="Nadpis2"/>
        <w:numPr>
          <w:ilvl w:val="1"/>
          <w:numId w:val="2"/>
        </w:numPr>
        <w:spacing w:line="360" w:lineRule="auto"/>
        <w:jc w:val="both"/>
        <w:rPr>
          <w:rFonts w:ascii="Times New Roman" w:hAnsi="Times New Roman" w:cs="Times New Roman"/>
          <w:color w:val="auto"/>
        </w:rPr>
      </w:pPr>
      <w:bookmarkStart w:id="14" w:name="_Toc409631290"/>
      <w:r w:rsidRPr="008D11B8">
        <w:rPr>
          <w:rFonts w:ascii="Times New Roman" w:hAnsi="Times New Roman" w:cs="Times New Roman"/>
          <w:color w:val="auto"/>
        </w:rPr>
        <w:t>Odkazy</w:t>
      </w:r>
      <w:r w:rsidR="00580ADE">
        <w:rPr>
          <w:rStyle w:val="Znakapoznpodarou"/>
          <w:rFonts w:ascii="Times New Roman" w:hAnsi="Times New Roman" w:cs="Times New Roman"/>
          <w:color w:val="auto"/>
        </w:rPr>
        <w:footnoteReference w:id="48"/>
      </w:r>
      <w:bookmarkEnd w:id="14"/>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 xml:space="preserve">Institut odkazu spočívá v možnosti zůstavitele nařídit v pořízení pro případ smrti, aby určitá osoba vydala odkazovníku předmět odkazu.  NOZ se opětovně navrací k zavedení institutu odkazu poté, co jej předchozí občanský zákoník z roku 1964 vůbec neupravoval.  Odkazy jsou upraveny ve VN v samostatné Hlavě 19., v NOZ v Díle 3 Hlavy III. </w:t>
      </w:r>
      <w:r w:rsidR="0001060E">
        <w:rPr>
          <w:sz w:val="24"/>
          <w:szCs w:val="24"/>
        </w:rPr>
        <w:t>Právní úprava odkazu v NOZ je co do obsahu i</w:t>
      </w:r>
      <w:r w:rsidRPr="00426478">
        <w:rPr>
          <w:sz w:val="24"/>
          <w:szCs w:val="24"/>
        </w:rPr>
        <w:t xml:space="preserve"> uspořádání </w:t>
      </w:r>
      <w:r w:rsidR="0001060E">
        <w:rPr>
          <w:sz w:val="24"/>
          <w:szCs w:val="24"/>
        </w:rPr>
        <w:t>shodná</w:t>
      </w:r>
      <w:r w:rsidRPr="00426478">
        <w:rPr>
          <w:sz w:val="24"/>
          <w:szCs w:val="24"/>
        </w:rPr>
        <w:t xml:space="preserve"> s</w:t>
      </w:r>
      <w:r w:rsidR="0001060E">
        <w:rPr>
          <w:sz w:val="24"/>
          <w:szCs w:val="24"/>
        </w:rPr>
        <w:t> právní úpravou ve</w:t>
      </w:r>
      <w:r w:rsidRPr="00426478">
        <w:rPr>
          <w:sz w:val="24"/>
          <w:szCs w:val="24"/>
        </w:rPr>
        <w:t xml:space="preserve"> VN. Dle vzoru VN </w:t>
      </w:r>
      <w:r w:rsidR="0001060E">
        <w:rPr>
          <w:sz w:val="24"/>
          <w:szCs w:val="24"/>
        </w:rPr>
        <w:t xml:space="preserve">tak </w:t>
      </w:r>
      <w:r w:rsidRPr="00426478">
        <w:rPr>
          <w:sz w:val="24"/>
          <w:szCs w:val="24"/>
        </w:rPr>
        <w:t xml:space="preserve">upravuje zřízení odkazu, obtížení odkazem, vykládací pravidla o jednotlivých druzích odkazu, nabytí odkazu, právo </w:t>
      </w:r>
      <w:proofErr w:type="spellStart"/>
      <w:r w:rsidRPr="00426478">
        <w:rPr>
          <w:sz w:val="24"/>
          <w:szCs w:val="24"/>
        </w:rPr>
        <w:t>odkazovníka</w:t>
      </w:r>
      <w:proofErr w:type="spellEnd"/>
      <w:r w:rsidRPr="00426478">
        <w:rPr>
          <w:sz w:val="24"/>
          <w:szCs w:val="24"/>
        </w:rPr>
        <w:t xml:space="preserve"> na zajištění, uvolněný odkaz, a konečně i práva dědice vyhradivšího si soupis.</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Podmínkami platnosti odkazu jsou dle obou právních předpisů, aby byl zřízen platným posledním pořízením, a dále, že odkazovníkem je osoba, která může být dědicem. VN i NOZ obsahují také ustanovení, které pojednává o odlišení odkazu od darování závislém na podmínce, že obdarovaný přežije dárce.</w:t>
      </w:r>
    </w:p>
    <w:p w:rsidR="003056C0" w:rsidRPr="00426478" w:rsidRDefault="003056C0" w:rsidP="00AE5C96">
      <w:pPr>
        <w:tabs>
          <w:tab w:val="left" w:pos="426"/>
          <w:tab w:val="left" w:pos="709"/>
          <w:tab w:val="left" w:pos="1418"/>
        </w:tabs>
        <w:spacing w:after="0" w:line="360" w:lineRule="auto"/>
        <w:ind w:firstLine="567"/>
        <w:jc w:val="both"/>
        <w:rPr>
          <w:sz w:val="24"/>
          <w:szCs w:val="24"/>
        </w:rPr>
      </w:pPr>
      <w:r w:rsidRPr="00426478">
        <w:rPr>
          <w:sz w:val="24"/>
          <w:szCs w:val="24"/>
        </w:rPr>
        <w:t>NOZ shodně s VN stanovuje, že odkaz připadá k tíži všem dědicům podle poměru jejich podílů. Výjimku tvoří případy, kdy zůstavitel zvlášť přikáže splnění odkazu jednotlivému spoludědici či odkazovníku. Oba právní předpisy umožňují nadále také zřízení</w:t>
      </w:r>
      <w:r w:rsidR="00E40648">
        <w:rPr>
          <w:sz w:val="24"/>
          <w:szCs w:val="24"/>
        </w:rPr>
        <w:t xml:space="preserve"> tzv. </w:t>
      </w:r>
      <w:proofErr w:type="spellStart"/>
      <w:r w:rsidR="00E40648">
        <w:rPr>
          <w:sz w:val="24"/>
          <w:szCs w:val="24"/>
        </w:rPr>
        <w:t>p</w:t>
      </w:r>
      <w:r w:rsidRPr="00426478">
        <w:rPr>
          <w:sz w:val="24"/>
          <w:szCs w:val="24"/>
        </w:rPr>
        <w:t>ododkazu</w:t>
      </w:r>
      <w:proofErr w:type="spellEnd"/>
      <w:r w:rsidRPr="00426478">
        <w:rPr>
          <w:sz w:val="24"/>
          <w:szCs w:val="24"/>
        </w:rPr>
        <w:t xml:space="preserve">. Po vzoru VN upravuje NOZ i případ, kdy zůstavitel pamatuje na určitou </w:t>
      </w:r>
      <w:r w:rsidR="00E40648">
        <w:rPr>
          <w:sz w:val="24"/>
          <w:szCs w:val="24"/>
        </w:rPr>
        <w:t>skupinu osob, např. na příbuzné či</w:t>
      </w:r>
      <w:r w:rsidRPr="00426478">
        <w:rPr>
          <w:sz w:val="24"/>
          <w:szCs w:val="24"/>
        </w:rPr>
        <w:t xml:space="preserve"> chudé, nebo na účely dobročinné </w:t>
      </w:r>
      <w:r w:rsidR="00E40648">
        <w:rPr>
          <w:sz w:val="24"/>
          <w:szCs w:val="24"/>
        </w:rPr>
        <w:t>a</w:t>
      </w:r>
      <w:r w:rsidRPr="00426478">
        <w:rPr>
          <w:sz w:val="24"/>
          <w:szCs w:val="24"/>
        </w:rPr>
        <w:t xml:space="preserve"> podobné. V těchto případech může zůstavitel ponechat na dědici či někom jiném, aby určil, jak a které z těchto osob nebo účelů mají být </w:t>
      </w:r>
      <w:r w:rsidR="00E40648">
        <w:rPr>
          <w:sz w:val="24"/>
          <w:szCs w:val="24"/>
        </w:rPr>
        <w:t>poděleny. Neurčí-li zůstavitel konkrétní</w:t>
      </w:r>
      <w:r w:rsidRPr="00426478">
        <w:rPr>
          <w:sz w:val="24"/>
          <w:szCs w:val="24"/>
        </w:rPr>
        <w:t xml:space="preserve"> osobu, má volbu dědic. Nevykoná-li dědic volbu, určí odkazovníky soud.</w:t>
      </w:r>
    </w:p>
    <w:p w:rsidR="003056C0" w:rsidRPr="00745200" w:rsidRDefault="003056C0" w:rsidP="00AE5C96">
      <w:pPr>
        <w:tabs>
          <w:tab w:val="left" w:pos="426"/>
          <w:tab w:val="left" w:pos="1418"/>
        </w:tabs>
        <w:spacing w:after="0" w:line="360" w:lineRule="auto"/>
        <w:ind w:firstLine="567"/>
        <w:jc w:val="both"/>
        <w:rPr>
          <w:sz w:val="24"/>
          <w:szCs w:val="24"/>
        </w:rPr>
      </w:pPr>
      <w:r w:rsidRPr="00426478">
        <w:rPr>
          <w:sz w:val="24"/>
          <w:szCs w:val="24"/>
        </w:rPr>
        <w:t>Ustanovení, kterým se odlišuje NOZ od VN je ustanovení §</w:t>
      </w:r>
      <w:r w:rsidR="00823C93">
        <w:rPr>
          <w:sz w:val="24"/>
          <w:szCs w:val="24"/>
        </w:rPr>
        <w:t xml:space="preserve"> </w:t>
      </w:r>
      <w:r w:rsidRPr="00426478">
        <w:rPr>
          <w:sz w:val="24"/>
          <w:szCs w:val="24"/>
        </w:rPr>
        <w:t xml:space="preserve">1598 NOZ, které stanovuje podmínku, že každému dědici musí zůstat z hodnoty dědictví alespoň čtvrtina nezatížená </w:t>
      </w:r>
      <w:r w:rsidRPr="00426478">
        <w:rPr>
          <w:sz w:val="24"/>
          <w:szCs w:val="24"/>
        </w:rPr>
        <w:lastRenderedPageBreak/>
        <w:t xml:space="preserve">odkazy. Pokud tato podmínka splněna není, má dědic právo na poměrné zkrácení odkazu. </w:t>
      </w:r>
      <w:r w:rsidR="00745200">
        <w:rPr>
          <w:sz w:val="24"/>
          <w:szCs w:val="24"/>
        </w:rPr>
        <w:t xml:space="preserve">Zde je vzat za vzor římskoprávní institut zvaný </w:t>
      </w:r>
      <w:proofErr w:type="spellStart"/>
      <w:r w:rsidR="00745200">
        <w:rPr>
          <w:i/>
          <w:sz w:val="24"/>
          <w:szCs w:val="24"/>
        </w:rPr>
        <w:t>quarta</w:t>
      </w:r>
      <w:proofErr w:type="spellEnd"/>
      <w:r w:rsidR="00745200">
        <w:rPr>
          <w:i/>
          <w:sz w:val="24"/>
          <w:szCs w:val="24"/>
        </w:rPr>
        <w:t xml:space="preserve"> </w:t>
      </w:r>
      <w:proofErr w:type="spellStart"/>
      <w:r w:rsidR="00745200">
        <w:rPr>
          <w:i/>
          <w:sz w:val="24"/>
          <w:szCs w:val="24"/>
        </w:rPr>
        <w:t>Falcidia</w:t>
      </w:r>
      <w:proofErr w:type="spellEnd"/>
      <w:r w:rsidR="007C0362">
        <w:rPr>
          <w:i/>
          <w:sz w:val="24"/>
          <w:szCs w:val="24"/>
        </w:rPr>
        <w:t xml:space="preserve"> </w:t>
      </w:r>
      <w:r w:rsidR="007C0362">
        <w:rPr>
          <w:sz w:val="24"/>
          <w:szCs w:val="24"/>
        </w:rPr>
        <w:t>(</w:t>
      </w:r>
      <w:proofErr w:type="spellStart"/>
      <w:r w:rsidR="007C0362">
        <w:rPr>
          <w:sz w:val="24"/>
          <w:szCs w:val="24"/>
        </w:rPr>
        <w:t>falcidiánská</w:t>
      </w:r>
      <w:proofErr w:type="spellEnd"/>
      <w:r w:rsidR="007C0362">
        <w:rPr>
          <w:sz w:val="24"/>
          <w:szCs w:val="24"/>
        </w:rPr>
        <w:t xml:space="preserve"> kvarta)</w:t>
      </w:r>
      <w:r w:rsidR="00745200">
        <w:rPr>
          <w:sz w:val="24"/>
          <w:szCs w:val="24"/>
        </w:rPr>
        <w:t>, který spočívá v tom, že dědici musí zůstat v každém případě alespoň čtvrtina dědictví prostá odkazů a odkazy, jež přesahují hranici tří čtvrtin dědictví, se poměrně omezí. VN tento institut nepřevzal a pozůstalost mohla být zcela vyčerpána odkazy.</w:t>
      </w:r>
      <w:r w:rsidR="00745200">
        <w:rPr>
          <w:rStyle w:val="Znakapoznpodarou"/>
          <w:sz w:val="24"/>
          <w:szCs w:val="24"/>
        </w:rPr>
        <w:footnoteReference w:id="49"/>
      </w:r>
    </w:p>
    <w:p w:rsidR="003056C0" w:rsidRPr="008D11B8" w:rsidRDefault="003056C0" w:rsidP="00AE5C96">
      <w:pPr>
        <w:pStyle w:val="Nadpis3"/>
        <w:numPr>
          <w:ilvl w:val="2"/>
          <w:numId w:val="2"/>
        </w:numPr>
        <w:spacing w:line="360" w:lineRule="auto"/>
        <w:jc w:val="both"/>
        <w:rPr>
          <w:rFonts w:ascii="Times New Roman" w:hAnsi="Times New Roman" w:cs="Times New Roman"/>
          <w:color w:val="auto"/>
          <w:sz w:val="24"/>
        </w:rPr>
      </w:pPr>
      <w:bookmarkStart w:id="15" w:name="_Toc409631291"/>
      <w:r w:rsidRPr="008D11B8">
        <w:rPr>
          <w:rFonts w:ascii="Times New Roman" w:hAnsi="Times New Roman" w:cs="Times New Roman"/>
          <w:color w:val="auto"/>
          <w:sz w:val="24"/>
        </w:rPr>
        <w:t>Druhy odkazů</w:t>
      </w:r>
      <w:bookmarkEnd w:id="15"/>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VN vymezuje několik druhů odka</w:t>
      </w:r>
      <w:r w:rsidR="009A58F8">
        <w:rPr>
          <w:sz w:val="24"/>
          <w:szCs w:val="24"/>
        </w:rPr>
        <w:t>zů, a stejně tak činí i NOZ. Nový kodex</w:t>
      </w:r>
      <w:r w:rsidRPr="00426478">
        <w:rPr>
          <w:sz w:val="24"/>
          <w:szCs w:val="24"/>
        </w:rPr>
        <w:t xml:space="preserve"> však ve svých ustanoveních upravuje pouze tři druhy odkazů, a to odkaz věcí určitého druhu, určité věci a pohledávky, a dále potom v rámci tzv. jiných odkazů pojednává o odkazech dětem a příbuzným. VN oproti NOZ obsahuje úpravu více druhů odkazů, a to konkrétně odkazu věcí určitého druhu, určité věci, pohledávky, věna, zaopatření, výchovy a výživy, nábytku a domácího zařízení, zlata a stříbra, dětem a příbuzným.</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 xml:space="preserve">Pravidla ohledně odkazu věcí určitého druhu jsou upraveny v NOZ po vzoru VN. Oba právní předpisy pamatují na případy, kdy je věcí určitého druhu v pozůstalosti více, dále na případy, kdy odkázaná věc určitého druhu v pozůstalosti není vůbec, nebo </w:t>
      </w:r>
      <w:r w:rsidR="009A58F8">
        <w:rPr>
          <w:sz w:val="24"/>
          <w:szCs w:val="24"/>
        </w:rPr>
        <w:t xml:space="preserve">sice je, ale </w:t>
      </w:r>
      <w:r w:rsidRPr="00426478">
        <w:rPr>
          <w:sz w:val="24"/>
          <w:szCs w:val="24"/>
        </w:rPr>
        <w:t>v menším množství.  Následky všech zmíněných případů jsou shodné ve VN i NOZ. Ohledně odkazu peněz poté oba právní předpisy stanovují, že takový odkaz obtíženého zavazuje k vyplacení peněz, ať již hotové peníze v pozůstalosti jsou, nebo nejsou.</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Ustanovení o pravidlech odkazu určité věci jsou v NOZ doslova převzaty z VN. Upraveny jsou případy, kdy je odkázá</w:t>
      </w:r>
      <w:r w:rsidR="009D79AF">
        <w:rPr>
          <w:sz w:val="24"/>
          <w:szCs w:val="24"/>
        </w:rPr>
        <w:t>na věc patřící odkazovníku věcí</w:t>
      </w:r>
      <w:r w:rsidRPr="00426478">
        <w:rPr>
          <w:sz w:val="24"/>
          <w:szCs w:val="24"/>
        </w:rPr>
        <w:t xml:space="preserve"> cizí, nebo případy, kdy zůstavitel nařídil, aby byla věc cizí koupena, ale vlastník věci ji nechce za obvyklou cenu prodat. Shodně je také upraveno, že zastavení nebo jiné zatížení odkázané věci postihují příjemce jako závady odkazu.</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Také pravidla ohledně odkazu pohledávky jsou v NOZ shodná s pravidly uvedenými ve VN, až na menší odchylky. V případě odkazu pohledávky, je osoba obtížená odkazem povinna postoupit tuto pohledávku s příslušenstvím a případným zajištěním odkazovníku. Jsou stanoveny pravidla pro případy, kdy je odkazem pohledávka, kterou má zůstavitel za odkazovníkem, i pro případy, kdy je odkazem pohledávka, kterou má odkazovník za zůstavitelem.  Odlišným ustanoveními jsou pouze §</w:t>
      </w:r>
      <w:r w:rsidR="00823C93">
        <w:rPr>
          <w:sz w:val="24"/>
          <w:szCs w:val="24"/>
        </w:rPr>
        <w:t xml:space="preserve"> </w:t>
      </w:r>
      <w:r w:rsidRPr="00426478">
        <w:rPr>
          <w:sz w:val="24"/>
          <w:szCs w:val="24"/>
        </w:rPr>
        <w:t>485 VN a §</w:t>
      </w:r>
      <w:r w:rsidR="00823C93">
        <w:rPr>
          <w:sz w:val="24"/>
          <w:szCs w:val="24"/>
        </w:rPr>
        <w:t xml:space="preserve"> </w:t>
      </w:r>
      <w:r w:rsidRPr="00426478">
        <w:rPr>
          <w:sz w:val="24"/>
          <w:szCs w:val="24"/>
        </w:rPr>
        <w:t>1617 NOZ. Obě ustanovení se týkají případu, kdy zůstavitel odkáže někomu stejnou č</w:t>
      </w:r>
      <w:r w:rsidR="00AE5C96">
        <w:rPr>
          <w:sz w:val="24"/>
          <w:szCs w:val="24"/>
        </w:rPr>
        <w:t>ástku, jakou je mu sám dlužen. Pod</w:t>
      </w:r>
      <w:r w:rsidRPr="00426478">
        <w:rPr>
          <w:sz w:val="24"/>
          <w:szCs w:val="24"/>
        </w:rPr>
        <w:t xml:space="preserve">le VN se má v tomto případě za to, že zůstavitel chtěl odkazem shladit dluh. Oproti tomu </w:t>
      </w:r>
      <w:r w:rsidR="00AE5C96">
        <w:rPr>
          <w:sz w:val="24"/>
          <w:szCs w:val="24"/>
        </w:rPr>
        <w:lastRenderedPageBreak/>
        <w:t>po</w:t>
      </w:r>
      <w:r w:rsidRPr="00426478">
        <w:rPr>
          <w:sz w:val="24"/>
          <w:szCs w:val="24"/>
        </w:rPr>
        <w:t>dle NOZ se má za to, že zůstavitel odkazem nechtěl splnit dluh a odkazovník má obdržet dluh i odkaz.</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Jak je uvedeno výše, VN obsahuje právní úpravu více druhů odkazů než NOZ, který pouze stanovuje, že i při jiných odkazech se použije obdobně §</w:t>
      </w:r>
      <w:r w:rsidR="00823C93">
        <w:rPr>
          <w:sz w:val="24"/>
          <w:szCs w:val="24"/>
        </w:rPr>
        <w:t xml:space="preserve"> </w:t>
      </w:r>
      <w:r w:rsidRPr="00426478">
        <w:rPr>
          <w:sz w:val="24"/>
          <w:szCs w:val="24"/>
        </w:rPr>
        <w:t>1503 NOZ.</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Ohledně odkazu dětem a příbuzným NOZ shodně s VN stanovují, že dětmi se rozumí jen synové a dcery, pamatoval-li zůstavitel na děti někoho jiného. Pamatoval-li však na své vlastní děti, rozumí se dětmi i potomci vstupující na jejich místo.</w:t>
      </w:r>
    </w:p>
    <w:p w:rsidR="003056C0" w:rsidRPr="008D11B8" w:rsidRDefault="003056C0" w:rsidP="00AE5C96">
      <w:pPr>
        <w:pStyle w:val="Nadpis3"/>
        <w:numPr>
          <w:ilvl w:val="2"/>
          <w:numId w:val="2"/>
        </w:numPr>
        <w:spacing w:line="360" w:lineRule="auto"/>
        <w:jc w:val="both"/>
        <w:rPr>
          <w:rFonts w:ascii="Times New Roman" w:hAnsi="Times New Roman" w:cs="Times New Roman"/>
          <w:color w:val="auto"/>
          <w:sz w:val="24"/>
        </w:rPr>
      </w:pPr>
      <w:bookmarkStart w:id="16" w:name="_Toc409631292"/>
      <w:r w:rsidRPr="008D11B8">
        <w:rPr>
          <w:rFonts w:ascii="Times New Roman" w:hAnsi="Times New Roman" w:cs="Times New Roman"/>
          <w:color w:val="auto"/>
          <w:sz w:val="24"/>
        </w:rPr>
        <w:t>Nabytí odkazu</w:t>
      </w:r>
      <w:bookmarkEnd w:id="16"/>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 xml:space="preserve">Dle VN nabývá odkazovník práva na odkaz pro sebe a své nástupce smrtí zůstavitele, a shodně tak stanovuje i NOZ. Co se týče způsobu nabývání práva na odkaz, stanovuje VN, že odkázanou věc nabývá odkazovník způsobem, jakým se nabývá práv majetkových. NOZ oproti VN </w:t>
      </w:r>
      <w:r w:rsidR="00596A76">
        <w:rPr>
          <w:sz w:val="24"/>
          <w:szCs w:val="24"/>
        </w:rPr>
        <w:t>upravuje</w:t>
      </w:r>
      <w:r w:rsidRPr="00426478">
        <w:rPr>
          <w:sz w:val="24"/>
          <w:szCs w:val="24"/>
        </w:rPr>
        <w:t>, že odkázanou věc nabývá odkazovník způsobem, jakým se nabývá právo vlastnické. Dle vzoru VN i NOZ poté umožňuje, aby odkazovník prohlásil, že odkaz nechce, a také odkazovníku</w:t>
      </w:r>
      <w:r w:rsidR="00596A76">
        <w:rPr>
          <w:sz w:val="24"/>
          <w:szCs w:val="24"/>
        </w:rPr>
        <w:t xml:space="preserve"> umožňuje</w:t>
      </w:r>
      <w:r w:rsidRPr="00426478">
        <w:rPr>
          <w:sz w:val="24"/>
          <w:szCs w:val="24"/>
        </w:rPr>
        <w:t>, aby právo na odkaz zci</w:t>
      </w:r>
      <w:r w:rsidR="00596A76">
        <w:rPr>
          <w:sz w:val="24"/>
          <w:szCs w:val="24"/>
        </w:rPr>
        <w:t xml:space="preserve">zil. </w:t>
      </w:r>
      <w:r w:rsidRPr="00426478">
        <w:rPr>
          <w:sz w:val="24"/>
          <w:szCs w:val="24"/>
        </w:rPr>
        <w:t>VN přímo</w:t>
      </w:r>
      <w:r w:rsidR="00596A76">
        <w:rPr>
          <w:sz w:val="24"/>
          <w:szCs w:val="24"/>
        </w:rPr>
        <w:t xml:space="preserve"> stanovuje</w:t>
      </w:r>
      <w:r w:rsidRPr="00426478">
        <w:rPr>
          <w:sz w:val="24"/>
          <w:szCs w:val="24"/>
        </w:rPr>
        <w:t>, že právo na odkaz může být zcizeno až po smrti zůstavitele. NOZ tuto možnost formuluje zákazem převést či pořídit o právu na odkaz před smrtí zůstavitele.</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Ohledně splatnosti odkazu se NOZ opět inspiruje</w:t>
      </w:r>
      <w:r w:rsidR="00596A76">
        <w:rPr>
          <w:sz w:val="24"/>
          <w:szCs w:val="24"/>
        </w:rPr>
        <w:t xml:space="preserve"> právní úpravou ve</w:t>
      </w:r>
      <w:r w:rsidRPr="00426478">
        <w:rPr>
          <w:sz w:val="24"/>
          <w:szCs w:val="24"/>
        </w:rPr>
        <w:t xml:space="preserve"> VN, kdy oba právní předpisy stanovují, že odkazy jsou splatné rok po smrti zůstavitele. Výjimku tvoří odkazy jednotlivých věcí z pozůstalosti, menší odkazy pro zaměstnance a odkazy dobročinné a podobné, které mohou být odkazovníkem požadovány ihned. Nadále jsou shodně </w:t>
      </w:r>
      <w:r w:rsidR="00596A76">
        <w:rPr>
          <w:sz w:val="24"/>
          <w:szCs w:val="24"/>
        </w:rPr>
        <w:t>upra</w:t>
      </w:r>
      <w:r w:rsidRPr="00426478">
        <w:rPr>
          <w:sz w:val="24"/>
          <w:szCs w:val="24"/>
        </w:rPr>
        <w:t xml:space="preserve">vena i pravidla při odkazu jednotlivé věci. V těchto případech, náleží odkazovníku od smrti zůstavitele užitky, plody a vše co k věci přibude. Stejně tak však od smrti zůstavitele postihují </w:t>
      </w:r>
      <w:proofErr w:type="spellStart"/>
      <w:r w:rsidRPr="00426478">
        <w:rPr>
          <w:sz w:val="24"/>
          <w:szCs w:val="24"/>
        </w:rPr>
        <w:t>odkazovníka</w:t>
      </w:r>
      <w:proofErr w:type="spellEnd"/>
      <w:r w:rsidRPr="00426478">
        <w:rPr>
          <w:sz w:val="24"/>
          <w:szCs w:val="24"/>
        </w:rPr>
        <w:t xml:space="preserve"> závady na odkaze, a to i její ztráta či zkáza vzniklé ze skutečností, za které nikdo neodpovídá.</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 xml:space="preserve">Případy, ve kterých má odkazovník právo na zajištění jsou v NOZ upraveny totožně s VN. Stejně tak NOZ shodně </w:t>
      </w:r>
      <w:r w:rsidR="00596A76">
        <w:rPr>
          <w:sz w:val="24"/>
          <w:szCs w:val="24"/>
        </w:rPr>
        <w:t>zakot</w:t>
      </w:r>
      <w:r w:rsidRPr="00426478">
        <w:rPr>
          <w:sz w:val="24"/>
          <w:szCs w:val="24"/>
        </w:rPr>
        <w:t>vuje, že odkazovník</w:t>
      </w:r>
      <w:r w:rsidR="00596A76">
        <w:rPr>
          <w:sz w:val="24"/>
          <w:szCs w:val="24"/>
        </w:rPr>
        <w:t xml:space="preserve"> má</w:t>
      </w:r>
      <w:r w:rsidRPr="00426478">
        <w:rPr>
          <w:sz w:val="24"/>
          <w:szCs w:val="24"/>
        </w:rPr>
        <w:t xml:space="preserve"> vůči obtížené osobě stejná práva jako každý jiný věřitel.</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VN, a dle jeho vzoru i NOZ, upravují pravidla pro případ, kdy odkazovník odkaz nemůže nebo nechce přijmout a vzniká tak uvolněný odkaz.</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 xml:space="preserve">Poslední problematika, kterou oba právní předpisy upravují v rámci právní úpravy odkazu, jsou práva dědice vyhradivšího si soupis. Pokud nastane, že je čistá pozůstalost obtížena odkazy tak, že je téměř vyčerpána, má dědic právo na náhradu nákladů učiněných ve prospěch pozůstalosti, resp. při splnění odkazů dle NOZ, a dále má právo na odměnu za svou </w:t>
      </w:r>
      <w:r w:rsidRPr="00426478">
        <w:rPr>
          <w:sz w:val="24"/>
          <w:szCs w:val="24"/>
        </w:rPr>
        <w:lastRenderedPageBreak/>
        <w:t>námahu. NOZ ještě navíc dodává, že tato práva dědic má, pokud nevyužil práva na poměrné zkrácení odkazu, které mu náleží za předpokladu, že mu z hodnoty dědictví nezůstane alespoň čtvrtina nezatížená odkazy.</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Shodně je stanoveno také pravidlo, že nestačí-li pozůstalost k vyřízení všech odkazů, přednostně se uspokojují odkazy zaopatření, výchovy a výživy. NOZ oproti VN navíc ještě obsahuje ustanovení, které stanovuje, že nestačí-li čistá pozůstalost k úhradě všech dluhů a jiných povinných výdajů, odkazy se poměrně sníží.</w:t>
      </w:r>
    </w:p>
    <w:p w:rsidR="003056C0" w:rsidRPr="00426478" w:rsidRDefault="003056C0" w:rsidP="00AE5C96">
      <w:pPr>
        <w:tabs>
          <w:tab w:val="left" w:pos="426"/>
          <w:tab w:val="left" w:pos="1418"/>
        </w:tabs>
        <w:spacing w:after="0" w:line="360" w:lineRule="auto"/>
        <w:ind w:firstLine="567"/>
        <w:jc w:val="both"/>
        <w:rPr>
          <w:sz w:val="24"/>
          <w:szCs w:val="24"/>
        </w:rPr>
      </w:pPr>
      <w:r w:rsidRPr="00426478">
        <w:rPr>
          <w:sz w:val="24"/>
          <w:szCs w:val="24"/>
        </w:rPr>
        <w:t>Z výše uvedeného jasně vyplývá, že se oba právní předpisy obsahově shodují v právní úpravě odkazů. VN zde jasně plní úlohu inspiračního zdroje NOZ. Nový právní předpis pouze mírně upravuje</w:t>
      </w:r>
      <w:r w:rsidR="009D4BB4">
        <w:rPr>
          <w:sz w:val="24"/>
          <w:szCs w:val="24"/>
        </w:rPr>
        <w:t>, příp. vynechává,</w:t>
      </w:r>
      <w:r w:rsidRPr="00426478">
        <w:rPr>
          <w:sz w:val="24"/>
          <w:szCs w:val="24"/>
        </w:rPr>
        <w:t xml:space="preserve"> některá ustanovení VN, zejména s ohledem na modernější dobu</w:t>
      </w:r>
      <w:r w:rsidR="00B33326" w:rsidRPr="00426478">
        <w:rPr>
          <w:sz w:val="24"/>
          <w:szCs w:val="24"/>
        </w:rPr>
        <w:t>, kdy by byla například úprava některých druhů odkazů již zbytečná.</w:t>
      </w:r>
      <w:r w:rsidR="001F37D7">
        <w:rPr>
          <w:sz w:val="24"/>
          <w:szCs w:val="24"/>
        </w:rPr>
        <w:t xml:space="preserve"> Největším rozdílem je pak návrat NOZ k institutu </w:t>
      </w:r>
      <w:proofErr w:type="spellStart"/>
      <w:r w:rsidR="001F37D7">
        <w:rPr>
          <w:sz w:val="24"/>
          <w:szCs w:val="24"/>
        </w:rPr>
        <w:t>falcidiánské</w:t>
      </w:r>
      <w:proofErr w:type="spellEnd"/>
      <w:r w:rsidR="001F37D7">
        <w:rPr>
          <w:sz w:val="24"/>
          <w:szCs w:val="24"/>
        </w:rPr>
        <w:t xml:space="preserve"> kvarty.</w:t>
      </w:r>
    </w:p>
    <w:p w:rsidR="00783479" w:rsidRPr="00426478" w:rsidRDefault="00783479" w:rsidP="00AE5C96">
      <w:pPr>
        <w:tabs>
          <w:tab w:val="left" w:pos="709"/>
          <w:tab w:val="left" w:pos="1418"/>
        </w:tabs>
        <w:spacing w:after="0" w:line="360" w:lineRule="auto"/>
        <w:jc w:val="both"/>
        <w:rPr>
          <w:sz w:val="24"/>
          <w:szCs w:val="24"/>
        </w:rPr>
      </w:pPr>
    </w:p>
    <w:tbl>
      <w:tblPr>
        <w:tblStyle w:val="Mkatabulky"/>
        <w:tblW w:w="0" w:type="auto"/>
        <w:tblInd w:w="108" w:type="dxa"/>
        <w:tblLook w:val="04A0"/>
      </w:tblPr>
      <w:tblGrid>
        <w:gridCol w:w="4520"/>
        <w:gridCol w:w="4483"/>
      </w:tblGrid>
      <w:tr w:rsidR="003056C0" w:rsidRPr="00426478" w:rsidTr="00930FBC">
        <w:tc>
          <w:tcPr>
            <w:tcW w:w="4520" w:type="dxa"/>
          </w:tcPr>
          <w:p w:rsidR="003056C0" w:rsidRPr="00426478" w:rsidRDefault="003056C0" w:rsidP="00AE5C96">
            <w:pPr>
              <w:tabs>
                <w:tab w:val="left" w:pos="709"/>
                <w:tab w:val="left" w:pos="1418"/>
              </w:tabs>
              <w:spacing w:line="360" w:lineRule="auto"/>
              <w:jc w:val="both"/>
              <w:rPr>
                <w:sz w:val="24"/>
                <w:szCs w:val="24"/>
              </w:rPr>
            </w:pPr>
            <w:r w:rsidRPr="00426478">
              <w:rPr>
                <w:sz w:val="24"/>
                <w:szCs w:val="24"/>
              </w:rPr>
              <w:t>Počet ustanovení v NOZ</w:t>
            </w:r>
          </w:p>
        </w:tc>
        <w:tc>
          <w:tcPr>
            <w:tcW w:w="4483" w:type="dxa"/>
          </w:tcPr>
          <w:p w:rsidR="003056C0" w:rsidRPr="00426478" w:rsidRDefault="003056C0" w:rsidP="00AE5C96">
            <w:pPr>
              <w:tabs>
                <w:tab w:val="left" w:pos="709"/>
                <w:tab w:val="left" w:pos="1418"/>
              </w:tabs>
              <w:spacing w:line="360" w:lineRule="auto"/>
              <w:jc w:val="both"/>
              <w:rPr>
                <w:sz w:val="24"/>
                <w:szCs w:val="24"/>
              </w:rPr>
            </w:pPr>
            <w:r w:rsidRPr="00426478">
              <w:rPr>
                <w:sz w:val="24"/>
                <w:szCs w:val="24"/>
              </w:rPr>
              <w:t>39</w:t>
            </w:r>
          </w:p>
        </w:tc>
      </w:tr>
      <w:tr w:rsidR="003056C0" w:rsidRPr="00426478" w:rsidTr="00930FBC">
        <w:tc>
          <w:tcPr>
            <w:tcW w:w="4520" w:type="dxa"/>
          </w:tcPr>
          <w:p w:rsidR="003056C0" w:rsidRPr="00426478" w:rsidRDefault="003056C0" w:rsidP="00AE5C96">
            <w:pPr>
              <w:tabs>
                <w:tab w:val="left" w:pos="709"/>
                <w:tab w:val="left" w:pos="1418"/>
              </w:tabs>
              <w:spacing w:line="360" w:lineRule="auto"/>
              <w:jc w:val="both"/>
              <w:rPr>
                <w:sz w:val="24"/>
                <w:szCs w:val="24"/>
              </w:rPr>
            </w:pPr>
            <w:r w:rsidRPr="00426478">
              <w:rPr>
                <w:sz w:val="24"/>
                <w:szCs w:val="24"/>
              </w:rPr>
              <w:t>Počet ustanovení ve VN</w:t>
            </w:r>
          </w:p>
        </w:tc>
        <w:tc>
          <w:tcPr>
            <w:tcW w:w="4483" w:type="dxa"/>
          </w:tcPr>
          <w:p w:rsidR="003056C0" w:rsidRPr="00426478" w:rsidRDefault="003056C0" w:rsidP="00AE5C96">
            <w:pPr>
              <w:tabs>
                <w:tab w:val="left" w:pos="709"/>
                <w:tab w:val="left" w:pos="1418"/>
              </w:tabs>
              <w:spacing w:line="360" w:lineRule="auto"/>
              <w:jc w:val="both"/>
              <w:rPr>
                <w:sz w:val="24"/>
                <w:szCs w:val="24"/>
              </w:rPr>
            </w:pPr>
            <w:r w:rsidRPr="00426478">
              <w:rPr>
                <w:sz w:val="24"/>
                <w:szCs w:val="24"/>
              </w:rPr>
              <w:t>45</w:t>
            </w:r>
          </w:p>
        </w:tc>
      </w:tr>
      <w:tr w:rsidR="00B33326" w:rsidRPr="00426478" w:rsidTr="00930FBC">
        <w:trPr>
          <w:trHeight w:val="512"/>
        </w:trPr>
        <w:tc>
          <w:tcPr>
            <w:tcW w:w="4520" w:type="dxa"/>
            <w:vMerge w:val="restart"/>
          </w:tcPr>
          <w:p w:rsidR="00B33326" w:rsidRPr="00426478" w:rsidRDefault="00B33326" w:rsidP="00AE5C96">
            <w:pPr>
              <w:tabs>
                <w:tab w:val="left" w:pos="709"/>
                <w:tab w:val="left" w:pos="1418"/>
              </w:tabs>
              <w:spacing w:line="360" w:lineRule="auto"/>
              <w:jc w:val="both"/>
              <w:rPr>
                <w:sz w:val="24"/>
                <w:szCs w:val="24"/>
              </w:rPr>
            </w:pPr>
            <w:r w:rsidRPr="00426478">
              <w:rPr>
                <w:sz w:val="24"/>
                <w:szCs w:val="24"/>
              </w:rPr>
              <w:t>Počet ustanovení NOZ obsahově shodných s ustanoveními VN</w:t>
            </w:r>
          </w:p>
        </w:tc>
        <w:tc>
          <w:tcPr>
            <w:tcW w:w="4483" w:type="dxa"/>
          </w:tcPr>
          <w:p w:rsidR="00B33326" w:rsidRPr="00426478" w:rsidRDefault="00084922" w:rsidP="00AE5C96">
            <w:pPr>
              <w:tabs>
                <w:tab w:val="left" w:pos="709"/>
                <w:tab w:val="left" w:pos="1418"/>
              </w:tabs>
              <w:spacing w:line="360" w:lineRule="auto"/>
              <w:jc w:val="both"/>
              <w:rPr>
                <w:sz w:val="24"/>
                <w:szCs w:val="24"/>
              </w:rPr>
            </w:pPr>
            <w:r w:rsidRPr="00426478">
              <w:rPr>
                <w:sz w:val="24"/>
                <w:szCs w:val="24"/>
              </w:rPr>
              <w:t>zcel</w:t>
            </w:r>
            <w:r w:rsidR="00CE2621" w:rsidRPr="00426478">
              <w:rPr>
                <w:sz w:val="24"/>
                <w:szCs w:val="24"/>
              </w:rPr>
              <w:t>a: 3</w:t>
            </w:r>
            <w:r w:rsidR="00787769" w:rsidRPr="00426478">
              <w:rPr>
                <w:sz w:val="24"/>
                <w:szCs w:val="24"/>
              </w:rPr>
              <w:t>3</w:t>
            </w:r>
          </w:p>
        </w:tc>
      </w:tr>
      <w:tr w:rsidR="00B33326" w:rsidRPr="00426478" w:rsidTr="00930FBC">
        <w:trPr>
          <w:trHeight w:val="512"/>
        </w:trPr>
        <w:tc>
          <w:tcPr>
            <w:tcW w:w="4520" w:type="dxa"/>
            <w:vMerge/>
          </w:tcPr>
          <w:p w:rsidR="00B33326" w:rsidRPr="00426478" w:rsidRDefault="00B33326" w:rsidP="00AE5C96">
            <w:pPr>
              <w:tabs>
                <w:tab w:val="left" w:pos="709"/>
                <w:tab w:val="left" w:pos="1418"/>
              </w:tabs>
              <w:spacing w:line="360" w:lineRule="auto"/>
              <w:jc w:val="both"/>
              <w:rPr>
                <w:sz w:val="24"/>
                <w:szCs w:val="24"/>
              </w:rPr>
            </w:pPr>
          </w:p>
        </w:tc>
        <w:tc>
          <w:tcPr>
            <w:tcW w:w="4483" w:type="dxa"/>
          </w:tcPr>
          <w:p w:rsidR="00B33326" w:rsidRPr="00426478" w:rsidRDefault="00CE2621" w:rsidP="00AE5C96">
            <w:pPr>
              <w:tabs>
                <w:tab w:val="left" w:pos="709"/>
                <w:tab w:val="left" w:pos="1418"/>
              </w:tabs>
              <w:spacing w:line="360" w:lineRule="auto"/>
              <w:jc w:val="both"/>
              <w:rPr>
                <w:sz w:val="24"/>
                <w:szCs w:val="24"/>
              </w:rPr>
            </w:pPr>
            <w:r w:rsidRPr="00426478">
              <w:rPr>
                <w:sz w:val="24"/>
                <w:szCs w:val="24"/>
              </w:rPr>
              <w:t xml:space="preserve">částečně: </w:t>
            </w:r>
            <w:r w:rsidR="00322EBB">
              <w:rPr>
                <w:sz w:val="24"/>
                <w:szCs w:val="24"/>
              </w:rPr>
              <w:t>4</w:t>
            </w:r>
          </w:p>
        </w:tc>
      </w:tr>
    </w:tbl>
    <w:p w:rsidR="003056C0" w:rsidRPr="00426478" w:rsidRDefault="003056C0" w:rsidP="00AE5C96">
      <w:pPr>
        <w:tabs>
          <w:tab w:val="left" w:pos="426"/>
          <w:tab w:val="left" w:pos="1701"/>
        </w:tabs>
        <w:spacing w:after="0" w:line="360" w:lineRule="auto"/>
        <w:jc w:val="both"/>
        <w:rPr>
          <w:sz w:val="24"/>
          <w:szCs w:val="24"/>
        </w:rPr>
      </w:pPr>
    </w:p>
    <w:p w:rsidR="002F0862" w:rsidRPr="008D11B8" w:rsidRDefault="002F0862" w:rsidP="00AE5C96">
      <w:pPr>
        <w:pStyle w:val="Nadpis2"/>
        <w:numPr>
          <w:ilvl w:val="1"/>
          <w:numId w:val="2"/>
        </w:numPr>
        <w:jc w:val="both"/>
        <w:rPr>
          <w:rFonts w:ascii="Times New Roman" w:hAnsi="Times New Roman" w:cs="Times New Roman"/>
          <w:color w:val="auto"/>
        </w:rPr>
      </w:pPr>
      <w:bookmarkStart w:id="17" w:name="_Toc409631293"/>
      <w:r w:rsidRPr="008D11B8">
        <w:rPr>
          <w:rFonts w:ascii="Times New Roman" w:hAnsi="Times New Roman" w:cs="Times New Roman"/>
          <w:color w:val="auto"/>
        </w:rPr>
        <w:t>Vedlejší ustanovení, změna a zrušení posledního pořízení</w:t>
      </w:r>
      <w:r w:rsidR="00580ADE">
        <w:rPr>
          <w:rStyle w:val="Znakapoznpodarou"/>
          <w:rFonts w:ascii="Times New Roman" w:hAnsi="Times New Roman" w:cs="Times New Roman"/>
          <w:color w:val="auto"/>
        </w:rPr>
        <w:footnoteReference w:id="50"/>
      </w:r>
      <w:bookmarkEnd w:id="17"/>
    </w:p>
    <w:p w:rsidR="002F0862" w:rsidRPr="008D11B8" w:rsidRDefault="002F0862" w:rsidP="00AE5C96">
      <w:pPr>
        <w:pStyle w:val="Nadpis3"/>
        <w:numPr>
          <w:ilvl w:val="2"/>
          <w:numId w:val="2"/>
        </w:numPr>
        <w:spacing w:line="360" w:lineRule="auto"/>
        <w:jc w:val="both"/>
        <w:rPr>
          <w:rFonts w:ascii="Times New Roman" w:hAnsi="Times New Roman" w:cs="Times New Roman"/>
          <w:color w:val="auto"/>
          <w:sz w:val="24"/>
        </w:rPr>
      </w:pPr>
      <w:bookmarkStart w:id="18" w:name="_Toc409631294"/>
      <w:r w:rsidRPr="008D11B8">
        <w:rPr>
          <w:rFonts w:ascii="Times New Roman" w:hAnsi="Times New Roman" w:cs="Times New Roman"/>
          <w:color w:val="auto"/>
          <w:sz w:val="24"/>
        </w:rPr>
        <w:t>Vedlejší ustanovení</w:t>
      </w:r>
      <w:bookmarkEnd w:id="18"/>
    </w:p>
    <w:p w:rsidR="0004585E" w:rsidRPr="00426478" w:rsidRDefault="00AD5CBA" w:rsidP="00AE5C96">
      <w:pPr>
        <w:tabs>
          <w:tab w:val="left" w:pos="426"/>
          <w:tab w:val="left" w:pos="1418"/>
        </w:tabs>
        <w:spacing w:after="0" w:line="360" w:lineRule="auto"/>
        <w:ind w:firstLine="567"/>
        <w:jc w:val="both"/>
        <w:rPr>
          <w:sz w:val="24"/>
          <w:szCs w:val="24"/>
        </w:rPr>
      </w:pPr>
      <w:r w:rsidRPr="00426478">
        <w:rPr>
          <w:sz w:val="24"/>
          <w:szCs w:val="24"/>
        </w:rPr>
        <w:t xml:space="preserve">Jak </w:t>
      </w:r>
      <w:r w:rsidR="001860C3" w:rsidRPr="00426478">
        <w:rPr>
          <w:sz w:val="24"/>
          <w:szCs w:val="24"/>
        </w:rPr>
        <w:t>diplomová práce výše zmiňuje</w:t>
      </w:r>
      <w:r w:rsidRPr="00426478">
        <w:rPr>
          <w:sz w:val="24"/>
          <w:szCs w:val="24"/>
        </w:rPr>
        <w:t>, tak právní úpravě vedlejších ustanovení posledního pořízení věnuje VN samostatnou Hlavu 19., zatímco NOZ zahrnuje úpravu vedlejších doložek do Dílu 2, který pojednává o posledním pořízení. Detailně se zabývá NOZ úpravou vedlejších doložek v Oddíle 2 pojednávajícím o závěti, v Oddíle 3, který se věnuje dědické smlouvě, NOZ pouze odkazuje ohledně podmínek v dědické smlouvě na obecnou právní úpravu podmínek obsaženou v Hlavě V, Díl 1 NOZ, konkrétně §</w:t>
      </w:r>
      <w:r w:rsidR="00823C93">
        <w:rPr>
          <w:sz w:val="24"/>
          <w:szCs w:val="24"/>
        </w:rPr>
        <w:t xml:space="preserve"> </w:t>
      </w:r>
      <w:r w:rsidRPr="00426478">
        <w:rPr>
          <w:sz w:val="24"/>
          <w:szCs w:val="24"/>
        </w:rPr>
        <w:t xml:space="preserve">548 a </w:t>
      </w:r>
      <w:r w:rsidR="00823C93">
        <w:rPr>
          <w:sz w:val="24"/>
          <w:szCs w:val="24"/>
        </w:rPr>
        <w:t xml:space="preserve">§ </w:t>
      </w:r>
      <w:r w:rsidRPr="00426478">
        <w:rPr>
          <w:sz w:val="24"/>
          <w:szCs w:val="24"/>
        </w:rPr>
        <w:t>549.</w:t>
      </w:r>
    </w:p>
    <w:p w:rsidR="00CE24AF" w:rsidRPr="00426478" w:rsidRDefault="00CE24AF" w:rsidP="00AE5C96">
      <w:pPr>
        <w:tabs>
          <w:tab w:val="left" w:pos="426"/>
          <w:tab w:val="left" w:pos="1418"/>
        </w:tabs>
        <w:spacing w:after="0" w:line="360" w:lineRule="auto"/>
        <w:ind w:firstLine="567"/>
        <w:jc w:val="both"/>
        <w:rPr>
          <w:sz w:val="24"/>
          <w:szCs w:val="24"/>
        </w:rPr>
      </w:pPr>
      <w:r w:rsidRPr="00426478">
        <w:rPr>
          <w:sz w:val="24"/>
          <w:szCs w:val="24"/>
        </w:rPr>
        <w:t xml:space="preserve">VN i NOZ shodně stanovují, že vedlejšími ustanoveními posledního pořízení může být </w:t>
      </w:r>
      <w:r w:rsidR="003A563F" w:rsidRPr="00426478">
        <w:rPr>
          <w:sz w:val="24"/>
          <w:szCs w:val="24"/>
        </w:rPr>
        <w:t>výminka, resp. podmínka dle NOZ, doložení času nebo příkaz.</w:t>
      </w:r>
    </w:p>
    <w:p w:rsidR="003A563F" w:rsidRPr="00426478" w:rsidRDefault="00800231" w:rsidP="00AE5C96">
      <w:pPr>
        <w:tabs>
          <w:tab w:val="left" w:pos="426"/>
          <w:tab w:val="left" w:pos="1418"/>
        </w:tabs>
        <w:spacing w:after="0" w:line="360" w:lineRule="auto"/>
        <w:ind w:firstLine="567"/>
        <w:jc w:val="both"/>
        <w:rPr>
          <w:sz w:val="24"/>
          <w:szCs w:val="24"/>
        </w:rPr>
      </w:pPr>
      <w:r w:rsidRPr="00426478">
        <w:rPr>
          <w:sz w:val="24"/>
          <w:szCs w:val="24"/>
        </w:rPr>
        <w:t>Co se týče výminek (podmínek), oba právní předpisy zakazují ty, které jsou nesrozumitelné, nemožné či nedovolené, a dále také ty, které se týkají manželství. VN stanovuje, že se nepřihlíží k výmince, aby dědic nebo odkazovník neuzavíral manželství, ani</w:t>
      </w:r>
      <w:r w:rsidR="005A7502">
        <w:rPr>
          <w:sz w:val="24"/>
          <w:szCs w:val="24"/>
        </w:rPr>
        <w:t xml:space="preserve"> </w:t>
      </w:r>
      <w:r w:rsidR="005A7502">
        <w:rPr>
          <w:sz w:val="24"/>
          <w:szCs w:val="24"/>
        </w:rPr>
        <w:lastRenderedPageBreak/>
        <w:t>když dojde svéprávnosti. NOZ takové pravidlo</w:t>
      </w:r>
      <w:r w:rsidRPr="00426478">
        <w:rPr>
          <w:sz w:val="24"/>
          <w:szCs w:val="24"/>
        </w:rPr>
        <w:t xml:space="preserve"> rozšiřuje tím způsobem, že stanoví, že se nepřihlíží k vedlejší doložce, kterou zůstavitel ukládá dědici nebo odkazovníku, aby uzavřel či neuzavřel manželství, popřípadě aby v manželství setrval, anebo aby manželství zrušil.</w:t>
      </w:r>
      <w:r w:rsidR="005332B8" w:rsidRPr="00426478">
        <w:rPr>
          <w:sz w:val="24"/>
          <w:szCs w:val="24"/>
        </w:rPr>
        <w:t xml:space="preserve"> VN obsahuje poté i ustanovení o splnění výminky, NOZ obecně upravuje splnění podmínky v obecných ustanoveních v Hlavě V, Díle 1 a nezahrnuje již tuto problematiku do právní úpravy dědického práva.</w:t>
      </w:r>
      <w:r w:rsidR="00370906" w:rsidRPr="00426478">
        <w:rPr>
          <w:sz w:val="24"/>
          <w:szCs w:val="24"/>
        </w:rPr>
        <w:t xml:space="preserve"> Shodně oba právní předpisy obsahují ustanovení upravující případ, kdy výminka, resp. podmínka směřuje k jednání dědice či </w:t>
      </w:r>
      <w:proofErr w:type="spellStart"/>
      <w:r w:rsidR="00370906" w:rsidRPr="00426478">
        <w:rPr>
          <w:sz w:val="24"/>
          <w:szCs w:val="24"/>
        </w:rPr>
        <w:t>odkazovníka</w:t>
      </w:r>
      <w:proofErr w:type="spellEnd"/>
      <w:r w:rsidR="00370906" w:rsidRPr="00426478">
        <w:rPr>
          <w:sz w:val="24"/>
          <w:szCs w:val="24"/>
        </w:rPr>
        <w:t>, které jím může být opakováno. Jedná se tedy o případy, kdy se výminka, resp. podmínka splnila již za života zůstavitele.</w:t>
      </w:r>
    </w:p>
    <w:p w:rsidR="0084303D" w:rsidRPr="00426478" w:rsidRDefault="0084303D" w:rsidP="00AE5C96">
      <w:pPr>
        <w:tabs>
          <w:tab w:val="left" w:pos="426"/>
          <w:tab w:val="left" w:pos="1418"/>
        </w:tabs>
        <w:spacing w:after="0" w:line="360" w:lineRule="auto"/>
        <w:ind w:firstLine="567"/>
        <w:jc w:val="both"/>
        <w:rPr>
          <w:sz w:val="24"/>
          <w:szCs w:val="24"/>
        </w:rPr>
      </w:pPr>
      <w:r w:rsidRPr="00426478">
        <w:rPr>
          <w:sz w:val="24"/>
          <w:szCs w:val="24"/>
        </w:rPr>
        <w:t>Ohledně vedlejšího ustanovení spočívajícím v doložení času, VN i NOZ shodně upravují tři různé případy doložení času. První spočívá v tom, že zůstavitel obmezí něčí právo, a není jisté, zda nastane doba, jejímž doložením zůstavitel právo obmezil. Dále je upraven případ, kdy je čas určen tak, že rozhodná chvíle musí nastat. Posledním případem je</w:t>
      </w:r>
      <w:r w:rsidR="005A7502">
        <w:rPr>
          <w:sz w:val="24"/>
          <w:szCs w:val="24"/>
        </w:rPr>
        <w:t xml:space="preserve"> ten</w:t>
      </w:r>
      <w:r w:rsidRPr="00426478">
        <w:rPr>
          <w:sz w:val="24"/>
          <w:szCs w:val="24"/>
        </w:rPr>
        <w:t>,</w:t>
      </w:r>
      <w:r w:rsidR="005A7502">
        <w:rPr>
          <w:sz w:val="24"/>
          <w:szCs w:val="24"/>
        </w:rPr>
        <w:t xml:space="preserve"> kdy</w:t>
      </w:r>
      <w:r w:rsidRPr="00426478">
        <w:rPr>
          <w:sz w:val="24"/>
          <w:szCs w:val="24"/>
        </w:rPr>
        <w:t xml:space="preserve"> je zřejmé, že doba vyměřená v posledním pořízení nikdy nemůže nastat. Následky všech upravených případů doložení časů jsou dle VN i NOZ stejné.</w:t>
      </w:r>
    </w:p>
    <w:p w:rsidR="0084303D" w:rsidRPr="00426478" w:rsidRDefault="00107B0F" w:rsidP="00AE5C96">
      <w:pPr>
        <w:tabs>
          <w:tab w:val="left" w:pos="426"/>
          <w:tab w:val="left" w:pos="1418"/>
        </w:tabs>
        <w:spacing w:after="0" w:line="360" w:lineRule="auto"/>
        <w:ind w:firstLine="567"/>
        <w:jc w:val="both"/>
        <w:rPr>
          <w:sz w:val="24"/>
          <w:szCs w:val="24"/>
        </w:rPr>
      </w:pPr>
      <w:r w:rsidRPr="00426478">
        <w:rPr>
          <w:sz w:val="24"/>
          <w:szCs w:val="24"/>
        </w:rPr>
        <w:t>Nakonec i právní úprava příkazu je ve VN a NOZ obdobná. Příkaz se posuzuje dle obou právních předpisů jako výminka, resp. podmínka</w:t>
      </w:r>
      <w:r w:rsidR="005A7502">
        <w:rPr>
          <w:sz w:val="24"/>
          <w:szCs w:val="24"/>
        </w:rPr>
        <w:t>,</w:t>
      </w:r>
      <w:r w:rsidRPr="00426478">
        <w:rPr>
          <w:sz w:val="24"/>
          <w:szCs w:val="24"/>
        </w:rPr>
        <w:t xml:space="preserve"> rozvazovací, takže se zůstavené právo zmaří, nebude-li </w:t>
      </w:r>
      <w:r w:rsidR="005A7502">
        <w:rPr>
          <w:sz w:val="24"/>
          <w:szCs w:val="24"/>
        </w:rPr>
        <w:t xml:space="preserve">příkaz </w:t>
      </w:r>
      <w:r w:rsidRPr="00426478">
        <w:rPr>
          <w:sz w:val="24"/>
          <w:szCs w:val="24"/>
        </w:rPr>
        <w:t>proveden. NOZ navíc dodává, že se tak stane, neprojeví-li zůstavitel jinou vůli.</w:t>
      </w:r>
      <w:r w:rsidR="00600ED4" w:rsidRPr="00426478">
        <w:rPr>
          <w:sz w:val="24"/>
          <w:szCs w:val="24"/>
        </w:rPr>
        <w:t xml:space="preserve"> Dále shodně stanovují, že nelze-li příkaz splnit přesně, má být plněno tak, aby mu bylo co</w:t>
      </w:r>
      <w:r w:rsidR="005A7502">
        <w:rPr>
          <w:sz w:val="24"/>
          <w:szCs w:val="24"/>
        </w:rPr>
        <w:t xml:space="preserve"> možná nejvíce vyhověno. Shodná jsou</w:t>
      </w:r>
      <w:r w:rsidR="00600ED4" w:rsidRPr="00426478">
        <w:rPr>
          <w:sz w:val="24"/>
          <w:szCs w:val="24"/>
        </w:rPr>
        <w:t xml:space="preserve"> i </w:t>
      </w:r>
      <w:r w:rsidR="00FE72AF" w:rsidRPr="00426478">
        <w:rPr>
          <w:sz w:val="24"/>
          <w:szCs w:val="24"/>
        </w:rPr>
        <w:t>ustanovení §</w:t>
      </w:r>
      <w:r w:rsidR="00823C93">
        <w:rPr>
          <w:sz w:val="24"/>
          <w:szCs w:val="24"/>
        </w:rPr>
        <w:t xml:space="preserve"> </w:t>
      </w:r>
      <w:r w:rsidR="00FE72AF" w:rsidRPr="00426478">
        <w:rPr>
          <w:sz w:val="24"/>
          <w:szCs w:val="24"/>
        </w:rPr>
        <w:t>529 VN a §</w:t>
      </w:r>
      <w:r w:rsidR="00823C93">
        <w:rPr>
          <w:sz w:val="24"/>
          <w:szCs w:val="24"/>
        </w:rPr>
        <w:t xml:space="preserve"> </w:t>
      </w:r>
      <w:r w:rsidR="00FE72AF" w:rsidRPr="00426478">
        <w:rPr>
          <w:sz w:val="24"/>
          <w:szCs w:val="24"/>
        </w:rPr>
        <w:t>1573 NOZ,</w:t>
      </w:r>
      <w:r w:rsidR="00600ED4" w:rsidRPr="00426478">
        <w:rPr>
          <w:sz w:val="24"/>
          <w:szCs w:val="24"/>
        </w:rPr>
        <w:t xml:space="preserve"> která </w:t>
      </w:r>
      <w:r w:rsidR="005A7502">
        <w:rPr>
          <w:sz w:val="24"/>
          <w:szCs w:val="24"/>
        </w:rPr>
        <w:t>upra</w:t>
      </w:r>
      <w:r w:rsidR="00600ED4" w:rsidRPr="00426478">
        <w:rPr>
          <w:sz w:val="24"/>
          <w:szCs w:val="24"/>
        </w:rPr>
        <w:t>vují, že pokud se zůstavitel vysloví o účelu, ke kterému někomu něco zanechává, ale neuloží povinnost zanechané věci k tomuto účelu užít, nemá jeho přání právních následků, resp. je bez právní závaznosti.</w:t>
      </w:r>
      <w:r w:rsidR="007A227D" w:rsidRPr="00426478">
        <w:rPr>
          <w:sz w:val="24"/>
          <w:szCs w:val="24"/>
        </w:rPr>
        <w:t xml:space="preserve"> NOZ navíc oproti VN upravuje také případy týkající se zákazu zcizení či zatížení a případy, kdy příkaz směřuje ku prospěchu více osob bez bližšího určení. Přičemž </w:t>
      </w:r>
      <w:r w:rsidR="005A7502">
        <w:rPr>
          <w:sz w:val="24"/>
          <w:szCs w:val="24"/>
        </w:rPr>
        <w:t xml:space="preserve">platí, že </w:t>
      </w:r>
      <w:r w:rsidR="007A227D" w:rsidRPr="00426478">
        <w:rPr>
          <w:sz w:val="24"/>
          <w:szCs w:val="24"/>
        </w:rPr>
        <w:t>směřuje-li příkaz k veřejnému prospěchu, může splnění příkazu vymáhat i příslušný orgán veřejné moci.</w:t>
      </w:r>
    </w:p>
    <w:p w:rsidR="002075B3" w:rsidRPr="008D11B8" w:rsidRDefault="002F0862" w:rsidP="00AE5C96">
      <w:pPr>
        <w:pStyle w:val="Nadpis3"/>
        <w:numPr>
          <w:ilvl w:val="2"/>
          <w:numId w:val="3"/>
        </w:numPr>
        <w:spacing w:line="360" w:lineRule="auto"/>
        <w:jc w:val="both"/>
        <w:rPr>
          <w:rFonts w:ascii="Times New Roman" w:hAnsi="Times New Roman" w:cs="Times New Roman"/>
          <w:color w:val="auto"/>
          <w:sz w:val="24"/>
        </w:rPr>
      </w:pPr>
      <w:bookmarkStart w:id="19" w:name="_Toc409631295"/>
      <w:r w:rsidRPr="008D11B8">
        <w:rPr>
          <w:rFonts w:ascii="Times New Roman" w:hAnsi="Times New Roman" w:cs="Times New Roman"/>
          <w:color w:val="auto"/>
          <w:sz w:val="24"/>
        </w:rPr>
        <w:t>Změna a zrušení</w:t>
      </w:r>
      <w:bookmarkEnd w:id="19"/>
    </w:p>
    <w:p w:rsidR="003A563F" w:rsidRPr="00426478" w:rsidRDefault="00C651AE" w:rsidP="00AE5C96">
      <w:pPr>
        <w:tabs>
          <w:tab w:val="left" w:pos="426"/>
          <w:tab w:val="left" w:pos="1418"/>
        </w:tabs>
        <w:spacing w:after="0" w:line="360" w:lineRule="auto"/>
        <w:ind w:firstLine="567"/>
        <w:jc w:val="both"/>
        <w:rPr>
          <w:sz w:val="24"/>
          <w:szCs w:val="24"/>
        </w:rPr>
      </w:pPr>
      <w:r w:rsidRPr="00426478">
        <w:rPr>
          <w:sz w:val="24"/>
          <w:szCs w:val="24"/>
        </w:rPr>
        <w:t>VN i NOZ rozeznávají dva způsoby zrušení posledního pořízení. Prvním je zřízení nového pořízení, kdy se starší závěť zrušuje závětí novější. VN dodává, že se tak stane, pokud není z nové závěti zřejmé, že starší má být zcela či zčásti zachována. NOZ dodává, že se dřívější závěť ruší v rozsahu, v jakém nemůže obstát vedle závěti pozdější.</w:t>
      </w:r>
      <w:r w:rsidR="005649F5" w:rsidRPr="00426478">
        <w:rPr>
          <w:sz w:val="24"/>
          <w:szCs w:val="24"/>
        </w:rPr>
        <w:t xml:space="preserve"> Druhým způsobem zrušení je odvolání posledního pořízení.</w:t>
      </w:r>
      <w:r w:rsidR="00601091" w:rsidRPr="00426478">
        <w:rPr>
          <w:sz w:val="24"/>
          <w:szCs w:val="24"/>
        </w:rPr>
        <w:t xml:space="preserve"> Obě právní úpravy umožňují odvolání </w:t>
      </w:r>
      <w:r w:rsidR="00601091" w:rsidRPr="00426478">
        <w:rPr>
          <w:sz w:val="24"/>
          <w:szCs w:val="24"/>
        </w:rPr>
        <w:lastRenderedPageBreak/>
        <w:t>posledního pořízení mlčky, tj. zničením listiny, a také výslovně. Pro výslovné odvolání se vždy vyžaduje takových náležitostí jako pro pořízení posledního pořízení.</w:t>
      </w:r>
    </w:p>
    <w:p w:rsidR="008A7A62" w:rsidRPr="00426478" w:rsidRDefault="008A7A62" w:rsidP="00AE5C96">
      <w:pPr>
        <w:tabs>
          <w:tab w:val="left" w:pos="426"/>
          <w:tab w:val="left" w:pos="1418"/>
        </w:tabs>
        <w:spacing w:after="0" w:line="360" w:lineRule="auto"/>
        <w:ind w:firstLine="567"/>
        <w:jc w:val="both"/>
        <w:rPr>
          <w:sz w:val="24"/>
          <w:szCs w:val="24"/>
        </w:rPr>
      </w:pPr>
      <w:r w:rsidRPr="00426478">
        <w:rPr>
          <w:sz w:val="24"/>
          <w:szCs w:val="24"/>
        </w:rPr>
        <w:t xml:space="preserve">Jak VN, tak i NOZ obsahují ustanovení týkající se zrušovací doložky, tj. takové, která prohlašuje za neplatná všechna další pořízení, nebo ta, která nebudou učiněna v určité formě. VN stanovuje, že taková doložka je neplatná, tedy bez jakýchkoli právních následků. NOZ </w:t>
      </w:r>
      <w:r w:rsidR="00513A5C">
        <w:rPr>
          <w:sz w:val="24"/>
          <w:szCs w:val="24"/>
        </w:rPr>
        <w:t xml:space="preserve">oproti tomu </w:t>
      </w:r>
      <w:r w:rsidRPr="00426478">
        <w:rPr>
          <w:sz w:val="24"/>
          <w:szCs w:val="24"/>
        </w:rPr>
        <w:t>stanovuje neúčinnost takové doložky.</w:t>
      </w:r>
    </w:p>
    <w:p w:rsidR="00787769" w:rsidRPr="00426478" w:rsidRDefault="00787769" w:rsidP="00AE5C96">
      <w:pPr>
        <w:tabs>
          <w:tab w:val="left" w:pos="426"/>
          <w:tab w:val="left" w:pos="1418"/>
        </w:tabs>
        <w:spacing w:after="0" w:line="360" w:lineRule="auto"/>
        <w:jc w:val="both"/>
        <w:rPr>
          <w:sz w:val="24"/>
          <w:szCs w:val="24"/>
        </w:rPr>
      </w:pPr>
    </w:p>
    <w:tbl>
      <w:tblPr>
        <w:tblStyle w:val="Mkatabulky"/>
        <w:tblW w:w="9212" w:type="dxa"/>
        <w:tblInd w:w="108" w:type="dxa"/>
        <w:tblLook w:val="04A0"/>
      </w:tblPr>
      <w:tblGrid>
        <w:gridCol w:w="4606"/>
        <w:gridCol w:w="4606"/>
      </w:tblGrid>
      <w:tr w:rsidR="00787769" w:rsidRPr="00426478" w:rsidTr="00930FBC">
        <w:tc>
          <w:tcPr>
            <w:tcW w:w="4606" w:type="dxa"/>
          </w:tcPr>
          <w:p w:rsidR="00787769" w:rsidRPr="00426478" w:rsidRDefault="00787769" w:rsidP="00AE5C96">
            <w:pPr>
              <w:tabs>
                <w:tab w:val="left" w:pos="426"/>
                <w:tab w:val="left" w:pos="1418"/>
              </w:tabs>
              <w:spacing w:line="360" w:lineRule="auto"/>
              <w:jc w:val="both"/>
              <w:rPr>
                <w:sz w:val="24"/>
                <w:szCs w:val="24"/>
              </w:rPr>
            </w:pPr>
            <w:r w:rsidRPr="00426478">
              <w:rPr>
                <w:sz w:val="24"/>
                <w:szCs w:val="24"/>
              </w:rPr>
              <w:t>Počet ustanovení v NOZ</w:t>
            </w:r>
          </w:p>
        </w:tc>
        <w:tc>
          <w:tcPr>
            <w:tcW w:w="4606" w:type="dxa"/>
          </w:tcPr>
          <w:p w:rsidR="00787769" w:rsidRPr="00426478" w:rsidRDefault="00787769" w:rsidP="00AE5C96">
            <w:pPr>
              <w:tabs>
                <w:tab w:val="left" w:pos="426"/>
                <w:tab w:val="left" w:pos="1418"/>
              </w:tabs>
              <w:spacing w:line="360" w:lineRule="auto"/>
              <w:jc w:val="both"/>
              <w:rPr>
                <w:sz w:val="24"/>
                <w:szCs w:val="24"/>
              </w:rPr>
            </w:pPr>
            <w:r w:rsidRPr="00426478">
              <w:rPr>
                <w:sz w:val="24"/>
                <w:szCs w:val="24"/>
              </w:rPr>
              <w:t>23</w:t>
            </w:r>
          </w:p>
        </w:tc>
      </w:tr>
      <w:tr w:rsidR="00787769" w:rsidRPr="00426478" w:rsidTr="00930FBC">
        <w:tc>
          <w:tcPr>
            <w:tcW w:w="4606" w:type="dxa"/>
          </w:tcPr>
          <w:p w:rsidR="00787769" w:rsidRPr="00426478" w:rsidRDefault="00787769"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787769" w:rsidRPr="00426478" w:rsidRDefault="00787769" w:rsidP="00AE5C96">
            <w:pPr>
              <w:tabs>
                <w:tab w:val="left" w:pos="426"/>
                <w:tab w:val="left" w:pos="1418"/>
              </w:tabs>
              <w:spacing w:line="360" w:lineRule="auto"/>
              <w:jc w:val="both"/>
              <w:rPr>
                <w:sz w:val="24"/>
                <w:szCs w:val="24"/>
              </w:rPr>
            </w:pPr>
            <w:r w:rsidRPr="00426478">
              <w:rPr>
                <w:sz w:val="24"/>
                <w:szCs w:val="24"/>
              </w:rPr>
              <w:t>33</w:t>
            </w:r>
          </w:p>
        </w:tc>
      </w:tr>
      <w:tr w:rsidR="00787769" w:rsidRPr="00426478" w:rsidTr="00930FBC">
        <w:trPr>
          <w:trHeight w:val="252"/>
        </w:trPr>
        <w:tc>
          <w:tcPr>
            <w:tcW w:w="4606" w:type="dxa"/>
            <w:vMerge w:val="restart"/>
          </w:tcPr>
          <w:p w:rsidR="00787769" w:rsidRPr="00426478" w:rsidRDefault="00787769"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787769" w:rsidRPr="00426478" w:rsidRDefault="00084922" w:rsidP="00AE5C96">
            <w:pPr>
              <w:tabs>
                <w:tab w:val="left" w:pos="426"/>
                <w:tab w:val="left" w:pos="1418"/>
              </w:tabs>
              <w:spacing w:line="360" w:lineRule="auto"/>
              <w:jc w:val="both"/>
              <w:rPr>
                <w:sz w:val="24"/>
                <w:szCs w:val="24"/>
              </w:rPr>
            </w:pPr>
            <w:r w:rsidRPr="00426478">
              <w:rPr>
                <w:sz w:val="24"/>
                <w:szCs w:val="24"/>
              </w:rPr>
              <w:t>zcel</w:t>
            </w:r>
            <w:r w:rsidR="00787769" w:rsidRPr="00426478">
              <w:rPr>
                <w:sz w:val="24"/>
                <w:szCs w:val="24"/>
              </w:rPr>
              <w:t xml:space="preserve">a: </w:t>
            </w:r>
            <w:r w:rsidR="00DC0CC3" w:rsidRPr="00426478">
              <w:rPr>
                <w:sz w:val="24"/>
                <w:szCs w:val="24"/>
              </w:rPr>
              <w:t>14</w:t>
            </w:r>
          </w:p>
        </w:tc>
      </w:tr>
      <w:tr w:rsidR="00787769" w:rsidRPr="00426478" w:rsidTr="00930FBC">
        <w:trPr>
          <w:trHeight w:val="251"/>
        </w:trPr>
        <w:tc>
          <w:tcPr>
            <w:tcW w:w="4606" w:type="dxa"/>
            <w:vMerge/>
          </w:tcPr>
          <w:p w:rsidR="00787769" w:rsidRPr="00426478" w:rsidRDefault="00787769" w:rsidP="00AE5C96">
            <w:pPr>
              <w:tabs>
                <w:tab w:val="left" w:pos="426"/>
                <w:tab w:val="left" w:pos="1418"/>
              </w:tabs>
              <w:spacing w:line="360" w:lineRule="auto"/>
              <w:jc w:val="both"/>
              <w:rPr>
                <w:sz w:val="24"/>
                <w:szCs w:val="24"/>
              </w:rPr>
            </w:pPr>
          </w:p>
        </w:tc>
        <w:tc>
          <w:tcPr>
            <w:tcW w:w="4606" w:type="dxa"/>
          </w:tcPr>
          <w:p w:rsidR="00787769" w:rsidRPr="00426478" w:rsidRDefault="00787769" w:rsidP="00AE5C96">
            <w:pPr>
              <w:tabs>
                <w:tab w:val="left" w:pos="426"/>
                <w:tab w:val="left" w:pos="1418"/>
              </w:tabs>
              <w:spacing w:line="360" w:lineRule="auto"/>
              <w:jc w:val="both"/>
              <w:rPr>
                <w:sz w:val="24"/>
                <w:szCs w:val="24"/>
              </w:rPr>
            </w:pPr>
            <w:r w:rsidRPr="00426478">
              <w:rPr>
                <w:sz w:val="24"/>
                <w:szCs w:val="24"/>
              </w:rPr>
              <w:t>částečně:</w:t>
            </w:r>
            <w:r w:rsidR="00DC0CC3" w:rsidRPr="00426478">
              <w:rPr>
                <w:sz w:val="24"/>
                <w:szCs w:val="24"/>
              </w:rPr>
              <w:t xml:space="preserve"> </w:t>
            </w:r>
            <w:r w:rsidR="008602CD" w:rsidRPr="00426478">
              <w:rPr>
                <w:sz w:val="24"/>
                <w:szCs w:val="24"/>
              </w:rPr>
              <w:t>4</w:t>
            </w:r>
          </w:p>
        </w:tc>
      </w:tr>
    </w:tbl>
    <w:p w:rsidR="00787769" w:rsidRPr="00426478" w:rsidRDefault="00787769" w:rsidP="00AE5C96">
      <w:pPr>
        <w:tabs>
          <w:tab w:val="left" w:pos="426"/>
          <w:tab w:val="left" w:pos="1418"/>
        </w:tabs>
        <w:spacing w:after="0" w:line="360" w:lineRule="auto"/>
        <w:jc w:val="both"/>
        <w:rPr>
          <w:sz w:val="24"/>
          <w:szCs w:val="24"/>
        </w:rPr>
      </w:pPr>
    </w:p>
    <w:p w:rsidR="00FD06B1" w:rsidRPr="008D11B8" w:rsidRDefault="00B121E5" w:rsidP="00AE5C96">
      <w:pPr>
        <w:pStyle w:val="Nadpis2"/>
        <w:numPr>
          <w:ilvl w:val="1"/>
          <w:numId w:val="3"/>
        </w:numPr>
        <w:spacing w:line="360" w:lineRule="auto"/>
        <w:jc w:val="both"/>
        <w:rPr>
          <w:rFonts w:ascii="Times New Roman" w:hAnsi="Times New Roman" w:cs="Times New Roman"/>
          <w:color w:val="auto"/>
        </w:rPr>
      </w:pPr>
      <w:bookmarkStart w:id="20" w:name="_Toc409631296"/>
      <w:r>
        <w:rPr>
          <w:rFonts w:ascii="Times New Roman" w:hAnsi="Times New Roman" w:cs="Times New Roman"/>
          <w:color w:val="auto"/>
        </w:rPr>
        <w:t>Posloupnost na základě zákona</w:t>
      </w:r>
      <w:r w:rsidR="00580ADE">
        <w:rPr>
          <w:rStyle w:val="Znakapoznpodarou"/>
          <w:rFonts w:ascii="Times New Roman" w:hAnsi="Times New Roman" w:cs="Times New Roman"/>
          <w:color w:val="auto"/>
        </w:rPr>
        <w:footnoteReference w:id="51"/>
      </w:r>
      <w:bookmarkEnd w:id="20"/>
    </w:p>
    <w:p w:rsidR="00EA026E" w:rsidRPr="00426478" w:rsidRDefault="00A60CD7" w:rsidP="00AE5C96">
      <w:pPr>
        <w:tabs>
          <w:tab w:val="left" w:pos="426"/>
          <w:tab w:val="left" w:pos="1418"/>
        </w:tabs>
        <w:spacing w:after="0" w:line="360" w:lineRule="auto"/>
        <w:ind w:firstLine="567"/>
        <w:jc w:val="both"/>
        <w:rPr>
          <w:sz w:val="24"/>
          <w:szCs w:val="24"/>
        </w:rPr>
      </w:pPr>
      <w:r w:rsidRPr="00426478">
        <w:rPr>
          <w:sz w:val="24"/>
          <w:szCs w:val="24"/>
        </w:rPr>
        <w:t xml:space="preserve">Zákonná posloupnost je ve VN upravena v samostatné Hlavě 20., v NOZ poté v Díle 4 Hlavy III. </w:t>
      </w:r>
      <w:r w:rsidR="00813198">
        <w:rPr>
          <w:sz w:val="24"/>
          <w:szCs w:val="24"/>
        </w:rPr>
        <w:t xml:space="preserve">Správně NOZ následuje VN v tom, že řadí úpravu zákonné posloupnosti za úpravu závěti a dědické smlouvy. </w:t>
      </w:r>
      <w:r w:rsidRPr="00426478">
        <w:rPr>
          <w:sz w:val="24"/>
          <w:szCs w:val="24"/>
        </w:rPr>
        <w:t>Systematika části upravující dědění podle zákona je</w:t>
      </w:r>
      <w:r w:rsidR="00813198">
        <w:rPr>
          <w:sz w:val="24"/>
          <w:szCs w:val="24"/>
        </w:rPr>
        <w:t xml:space="preserve"> však</w:t>
      </w:r>
      <w:r w:rsidRPr="00426478">
        <w:rPr>
          <w:sz w:val="24"/>
          <w:szCs w:val="24"/>
        </w:rPr>
        <w:t xml:space="preserve"> ve VN a NOZ částečně odlišná. Shodná jsou úvodní ustanovení, která vymezují, že pokud nedědí žádný dědic dle dědické smlouvy, ani dle závěti, nastane zákonná dědická posloupnost k pozůstalosti, nebo k její části.</w:t>
      </w:r>
      <w:r w:rsidR="009B5044" w:rsidRPr="00426478">
        <w:rPr>
          <w:sz w:val="24"/>
          <w:szCs w:val="24"/>
        </w:rPr>
        <w:t xml:space="preserve"> Shodně je upraven i institut odúmrti, kdy připadá pozůstalost státu.</w:t>
      </w:r>
      <w:r w:rsidR="00AB3E81" w:rsidRPr="00426478">
        <w:rPr>
          <w:sz w:val="24"/>
          <w:szCs w:val="24"/>
        </w:rPr>
        <w:t xml:space="preserve"> </w:t>
      </w:r>
    </w:p>
    <w:p w:rsidR="00AB3E81" w:rsidRPr="00426478" w:rsidRDefault="00AB3E81" w:rsidP="00AE5C96">
      <w:pPr>
        <w:tabs>
          <w:tab w:val="left" w:pos="426"/>
          <w:tab w:val="left" w:pos="1418"/>
        </w:tabs>
        <w:spacing w:after="0" w:line="360" w:lineRule="auto"/>
        <w:ind w:firstLine="567"/>
        <w:jc w:val="both"/>
        <w:rPr>
          <w:sz w:val="24"/>
          <w:szCs w:val="24"/>
        </w:rPr>
      </w:pPr>
      <w:r w:rsidRPr="00426478">
        <w:rPr>
          <w:sz w:val="24"/>
          <w:szCs w:val="24"/>
        </w:rPr>
        <w:t>VN rozděluje úpravu zákonných dědiců do šesti částí, a to části upravující zákonné právo dědické příbuzných původu manželského, část upravující zákonné právo dědické dětí z manželství prohlášeného za neplatné a dětí legitimovaných, část upravující zákonné právo dědické dětí nemanželských, zákonné právo dědické osvojenců, zákonné dědické právo po dětech uvedených v §§</w:t>
      </w:r>
      <w:r w:rsidR="00823C93">
        <w:rPr>
          <w:sz w:val="24"/>
          <w:szCs w:val="24"/>
        </w:rPr>
        <w:t xml:space="preserve"> </w:t>
      </w:r>
      <w:r w:rsidRPr="00426478">
        <w:rPr>
          <w:sz w:val="24"/>
          <w:szCs w:val="24"/>
        </w:rPr>
        <w:t>562 až 564, a na konec část upravující zákonné právo dědické pozůstalého manžela.</w:t>
      </w:r>
      <w:r w:rsidR="002A2605" w:rsidRPr="00426478">
        <w:rPr>
          <w:sz w:val="24"/>
          <w:szCs w:val="24"/>
        </w:rPr>
        <w:t xml:space="preserve"> NOZ oproti tomu vymezuje pouze šest tříd zákonných dědiců. NOZ se navrací k rozšíření dědických tříd oproti </w:t>
      </w:r>
      <w:r w:rsidR="00DE642E">
        <w:rPr>
          <w:sz w:val="24"/>
          <w:szCs w:val="24"/>
        </w:rPr>
        <w:t>občanskému</w:t>
      </w:r>
      <w:r w:rsidR="002A2605" w:rsidRPr="00426478">
        <w:rPr>
          <w:sz w:val="24"/>
          <w:szCs w:val="24"/>
        </w:rPr>
        <w:t xml:space="preserve"> zákoník</w:t>
      </w:r>
      <w:r w:rsidR="00DE642E">
        <w:rPr>
          <w:sz w:val="24"/>
          <w:szCs w:val="24"/>
        </w:rPr>
        <w:t>u z roku 1964</w:t>
      </w:r>
      <w:r w:rsidR="002A2605" w:rsidRPr="00426478">
        <w:rPr>
          <w:sz w:val="24"/>
          <w:szCs w:val="24"/>
        </w:rPr>
        <w:t>, který upravoval pouhé čtyři zákonné dědické třídy.</w:t>
      </w:r>
    </w:p>
    <w:p w:rsidR="00E87472" w:rsidRPr="00426478" w:rsidRDefault="00441254" w:rsidP="00AE5C96">
      <w:pPr>
        <w:tabs>
          <w:tab w:val="left" w:pos="426"/>
          <w:tab w:val="left" w:pos="1418"/>
        </w:tabs>
        <w:spacing w:after="0" w:line="360" w:lineRule="auto"/>
        <w:ind w:firstLine="567"/>
        <w:jc w:val="both"/>
        <w:rPr>
          <w:sz w:val="24"/>
          <w:szCs w:val="24"/>
        </w:rPr>
      </w:pPr>
      <w:r w:rsidRPr="00426478">
        <w:rPr>
          <w:sz w:val="24"/>
          <w:szCs w:val="24"/>
        </w:rPr>
        <w:t xml:space="preserve">VN upravuje na začátku čtyři zákonné dědické třídy. V první třídě dědí děti zůstavitele, v druhé jeho rodiče a jejich potomstvo, ve třetí jeho staří rodiče a jejich potomstvo a ve čtvrté poté staří rodiče rodičů zůstavitelových. Oproti NOZ je dědické právo pozůstalého manžela upraveno zvlášť odděleně od uvedených čtyř zákonných tříd.  VN v ustanovení § 568 </w:t>
      </w:r>
      <w:r w:rsidRPr="00426478">
        <w:rPr>
          <w:sz w:val="24"/>
          <w:szCs w:val="24"/>
        </w:rPr>
        <w:lastRenderedPageBreak/>
        <w:t xml:space="preserve">výslovně uvádí, jaký podíl na pozůstalosti připadá manželovi podle toho, v jaké zákonné třídě se dědí. Ustanovení § 571 poté stanovuje, </w:t>
      </w:r>
      <w:r w:rsidR="007B787E" w:rsidRPr="00426478">
        <w:rPr>
          <w:sz w:val="24"/>
          <w:szCs w:val="24"/>
        </w:rPr>
        <w:t>že jako přednostní odkaz připadají</w:t>
      </w:r>
      <w:r w:rsidRPr="00426478">
        <w:rPr>
          <w:sz w:val="24"/>
          <w:szCs w:val="24"/>
        </w:rPr>
        <w:t xml:space="preserve"> pozůstalému manželu také movi</w:t>
      </w:r>
      <w:r w:rsidR="007B787E" w:rsidRPr="00426478">
        <w:rPr>
          <w:sz w:val="24"/>
          <w:szCs w:val="24"/>
        </w:rPr>
        <w:t>tosti náležející k manželské domácnosti. Vedle dětí zůstavitele prvního stupně mu však připadá jen to, co je nutno k jeho vlastní potřebě.</w:t>
      </w:r>
    </w:p>
    <w:p w:rsidR="007B787E" w:rsidRPr="00426478" w:rsidRDefault="007B787E" w:rsidP="00AE5C96">
      <w:pPr>
        <w:tabs>
          <w:tab w:val="left" w:pos="426"/>
          <w:tab w:val="left" w:pos="709"/>
          <w:tab w:val="left" w:pos="1418"/>
        </w:tabs>
        <w:spacing w:after="0" w:line="360" w:lineRule="auto"/>
        <w:ind w:firstLine="567"/>
        <w:jc w:val="both"/>
        <w:rPr>
          <w:sz w:val="24"/>
          <w:szCs w:val="24"/>
        </w:rPr>
      </w:pPr>
      <w:r w:rsidRPr="00426478">
        <w:rPr>
          <w:sz w:val="24"/>
          <w:szCs w:val="24"/>
        </w:rPr>
        <w:t xml:space="preserve">NOZ v Díle 4 upravujícím zákonnou posloupnost vymezuje šest zákonných tříd, kdy v první dědí zůstavitelovy děti a manžel, v druhé manžel, rodiče a ti, kteří žili se zůstavitelem nejméně po dobu jednoho roku před jeho smrtí ve společné domácnosti, ve třetí třídě dědí </w:t>
      </w:r>
      <w:r w:rsidR="001E02F5" w:rsidRPr="00426478">
        <w:rPr>
          <w:sz w:val="24"/>
          <w:szCs w:val="24"/>
        </w:rPr>
        <w:t>zůstavitelovi sourozenci a ti, kteří s ním žili ve společné domácnosti, ve čtvrté třídě prarodiče zůstavitele, v páté prarodiče rodičů zůstavitele a konečně v šesté třídě dědí děti dětí sourozenců zůstavitele a děti prarodičů zůstavitele.</w:t>
      </w:r>
    </w:p>
    <w:p w:rsidR="001F417E" w:rsidRPr="00426478" w:rsidRDefault="001F417E" w:rsidP="00AE5C96">
      <w:pPr>
        <w:tabs>
          <w:tab w:val="left" w:pos="426"/>
          <w:tab w:val="left" w:pos="1418"/>
        </w:tabs>
        <w:spacing w:after="0" w:line="360" w:lineRule="auto"/>
        <w:ind w:firstLine="567"/>
        <w:jc w:val="both"/>
        <w:rPr>
          <w:sz w:val="24"/>
          <w:szCs w:val="24"/>
        </w:rPr>
      </w:pPr>
      <w:r w:rsidRPr="00426478">
        <w:rPr>
          <w:sz w:val="24"/>
          <w:szCs w:val="24"/>
        </w:rPr>
        <w:t>V rámci první zákonné dědické třídy uplatňují VN i NOZ tzv. princip neomezené reprezentace. Tento princip spočívá v tom, že nedědí-li v první zákonné dědické třídě děti zůstavitele, nabývají jejich dědické podíly jejich děti, a totéž platí i o vzdálenějších potomcích téhož předka.</w:t>
      </w:r>
    </w:p>
    <w:p w:rsidR="001E02F5" w:rsidRPr="00426478" w:rsidRDefault="001E02F5" w:rsidP="00AE5C96">
      <w:pPr>
        <w:tabs>
          <w:tab w:val="left" w:pos="426"/>
          <w:tab w:val="left" w:pos="1418"/>
        </w:tabs>
        <w:spacing w:after="0" w:line="360" w:lineRule="auto"/>
        <w:ind w:firstLine="567"/>
        <w:jc w:val="both"/>
        <w:rPr>
          <w:sz w:val="24"/>
          <w:szCs w:val="24"/>
        </w:rPr>
      </w:pPr>
      <w:r w:rsidRPr="00426478">
        <w:rPr>
          <w:sz w:val="24"/>
          <w:szCs w:val="24"/>
        </w:rPr>
        <w:t xml:space="preserve">Shodně poté VN a NOZ obsahují </w:t>
      </w:r>
      <w:r w:rsidR="001F417E" w:rsidRPr="00426478">
        <w:rPr>
          <w:sz w:val="24"/>
          <w:szCs w:val="24"/>
        </w:rPr>
        <w:t xml:space="preserve">i </w:t>
      </w:r>
      <w:r w:rsidRPr="00426478">
        <w:rPr>
          <w:sz w:val="24"/>
          <w:szCs w:val="24"/>
        </w:rPr>
        <w:t>ustanovení o několikerém příbuzenství, které stanovuje, že pokud je někdo se zůstavitelem příbuzný z více stran, má z každé strany dědické právo, které by mu náleželo jako příbuznému z této strany.</w:t>
      </w:r>
    </w:p>
    <w:p w:rsidR="0011726B" w:rsidRPr="00426478" w:rsidRDefault="0011726B" w:rsidP="00AE5C96">
      <w:pPr>
        <w:tabs>
          <w:tab w:val="left" w:pos="709"/>
          <w:tab w:val="left" w:pos="1418"/>
        </w:tabs>
        <w:spacing w:after="0" w:line="360" w:lineRule="auto"/>
        <w:jc w:val="both"/>
        <w:rPr>
          <w:sz w:val="24"/>
          <w:szCs w:val="24"/>
        </w:rPr>
      </w:pPr>
      <w:r w:rsidRPr="00426478">
        <w:rPr>
          <w:sz w:val="24"/>
          <w:szCs w:val="24"/>
        </w:rPr>
        <w:t xml:space="preserve">Tabulka přehledu </w:t>
      </w:r>
      <w:r w:rsidR="00844C5D">
        <w:rPr>
          <w:sz w:val="24"/>
          <w:szCs w:val="24"/>
        </w:rPr>
        <w:t xml:space="preserve">zákonných </w:t>
      </w:r>
      <w:r w:rsidRPr="00426478">
        <w:rPr>
          <w:sz w:val="24"/>
          <w:szCs w:val="24"/>
        </w:rPr>
        <w:t>dědických tříd ve VN a NOZ:</w:t>
      </w:r>
    </w:p>
    <w:p w:rsidR="0011726B" w:rsidRPr="00426478" w:rsidRDefault="0011726B" w:rsidP="00AE5C96">
      <w:pPr>
        <w:pStyle w:val="Odstavecseseznamem"/>
        <w:tabs>
          <w:tab w:val="left" w:pos="709"/>
          <w:tab w:val="left" w:pos="1418"/>
        </w:tabs>
        <w:spacing w:after="0" w:line="360" w:lineRule="auto"/>
        <w:ind w:left="360"/>
        <w:jc w:val="both"/>
        <w:rPr>
          <w:sz w:val="24"/>
          <w:szCs w:val="24"/>
        </w:rPr>
      </w:pPr>
    </w:p>
    <w:tbl>
      <w:tblPr>
        <w:tblStyle w:val="Mkatabulky"/>
        <w:tblW w:w="0" w:type="auto"/>
        <w:tblInd w:w="108" w:type="dxa"/>
        <w:tblLook w:val="04A0"/>
      </w:tblPr>
      <w:tblGrid>
        <w:gridCol w:w="2948"/>
        <w:gridCol w:w="2996"/>
        <w:gridCol w:w="2983"/>
      </w:tblGrid>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
        </w:tc>
        <w:tc>
          <w:tcPr>
            <w:tcW w:w="2996"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r w:rsidRPr="00426478">
              <w:rPr>
                <w:b/>
                <w:sz w:val="24"/>
                <w:szCs w:val="24"/>
              </w:rPr>
              <w:t>VN</w:t>
            </w:r>
          </w:p>
        </w:tc>
        <w:tc>
          <w:tcPr>
            <w:tcW w:w="2983"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r w:rsidRPr="00426478">
              <w:rPr>
                <w:b/>
                <w:sz w:val="24"/>
                <w:szCs w:val="24"/>
              </w:rPr>
              <w:t>NOZ</w:t>
            </w:r>
          </w:p>
        </w:tc>
      </w:tr>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roofErr w:type="gramStart"/>
            <w:r w:rsidRPr="00426478">
              <w:rPr>
                <w:b/>
                <w:sz w:val="24"/>
                <w:szCs w:val="24"/>
              </w:rPr>
              <w:t>1.třída</w:t>
            </w:r>
            <w:proofErr w:type="gramEnd"/>
          </w:p>
        </w:tc>
        <w:tc>
          <w:tcPr>
            <w:tcW w:w="2996" w:type="dxa"/>
          </w:tcPr>
          <w:p w:rsidR="0011726B"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 xml:space="preserve">- </w:t>
            </w:r>
            <w:r w:rsidR="0011726B" w:rsidRPr="00426478">
              <w:rPr>
                <w:sz w:val="24"/>
                <w:szCs w:val="24"/>
              </w:rPr>
              <w:t>manželské děti zůstavitele prvého stupně</w:t>
            </w:r>
            <w:r w:rsidRPr="00426478">
              <w:rPr>
                <w:rStyle w:val="Znakapoznpodarou"/>
                <w:sz w:val="24"/>
                <w:szCs w:val="24"/>
              </w:rPr>
              <w:footnoteReference w:id="52"/>
            </w:r>
            <w:r w:rsidR="0011726B" w:rsidRPr="00426478">
              <w:rPr>
                <w:sz w:val="24"/>
                <w:szCs w:val="24"/>
              </w:rPr>
              <w:t xml:space="preserve"> a není-li jich tak jejich potomci + ¼ </w:t>
            </w:r>
            <w:r w:rsidR="00D029CB" w:rsidRPr="00426478">
              <w:rPr>
                <w:sz w:val="24"/>
                <w:szCs w:val="24"/>
              </w:rPr>
              <w:t xml:space="preserve">pozůstalosti </w:t>
            </w:r>
            <w:r w:rsidR="0011726B" w:rsidRPr="00426478">
              <w:rPr>
                <w:sz w:val="24"/>
                <w:szCs w:val="24"/>
              </w:rPr>
              <w:t>pozůstalý manžel</w:t>
            </w:r>
          </w:p>
          <w:p w:rsidR="0011726B" w:rsidRPr="00426478" w:rsidRDefault="0011726B" w:rsidP="00AE5C96">
            <w:pPr>
              <w:pStyle w:val="Odstavecseseznamem"/>
              <w:tabs>
                <w:tab w:val="left" w:pos="709"/>
                <w:tab w:val="left" w:pos="1418"/>
              </w:tabs>
              <w:spacing w:line="360" w:lineRule="auto"/>
              <w:ind w:left="0"/>
              <w:jc w:val="both"/>
              <w:rPr>
                <w:sz w:val="24"/>
                <w:szCs w:val="24"/>
              </w:rPr>
            </w:pPr>
          </w:p>
        </w:tc>
        <w:tc>
          <w:tcPr>
            <w:tcW w:w="2983" w:type="dxa"/>
          </w:tcPr>
          <w:p w:rsidR="0011726B" w:rsidRPr="00426478" w:rsidRDefault="001E7BC0" w:rsidP="00AE5C96">
            <w:pPr>
              <w:tabs>
                <w:tab w:val="left" w:pos="709"/>
                <w:tab w:val="left" w:pos="1418"/>
              </w:tabs>
              <w:spacing w:line="360" w:lineRule="auto"/>
              <w:jc w:val="both"/>
              <w:rPr>
                <w:sz w:val="24"/>
                <w:szCs w:val="24"/>
              </w:rPr>
            </w:pPr>
            <w:r w:rsidRPr="00426478">
              <w:rPr>
                <w:sz w:val="24"/>
                <w:szCs w:val="24"/>
              </w:rPr>
              <w:t>-</w:t>
            </w:r>
            <w:r w:rsidR="0011726B" w:rsidRPr="00426478">
              <w:rPr>
                <w:sz w:val="24"/>
                <w:szCs w:val="24"/>
              </w:rPr>
              <w:t>děti zůstavitele a manžel rovným dílem</w:t>
            </w:r>
          </w:p>
        </w:tc>
      </w:tr>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roofErr w:type="gramStart"/>
            <w:r w:rsidRPr="00426478">
              <w:rPr>
                <w:b/>
                <w:sz w:val="24"/>
                <w:szCs w:val="24"/>
              </w:rPr>
              <w:t>2.třída</w:t>
            </w:r>
            <w:proofErr w:type="gramEnd"/>
          </w:p>
        </w:tc>
        <w:tc>
          <w:tcPr>
            <w:tcW w:w="2996" w:type="dxa"/>
          </w:tcPr>
          <w:p w:rsidR="001E7BC0"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w:t>
            </w:r>
            <w:r w:rsidR="0011726B" w:rsidRPr="00426478">
              <w:rPr>
                <w:sz w:val="24"/>
                <w:szCs w:val="24"/>
              </w:rPr>
              <w:t>rodiče zůstavitele a jejich potomci</w:t>
            </w:r>
            <w:r w:rsidRPr="00426478">
              <w:rPr>
                <w:sz w:val="24"/>
                <w:szCs w:val="24"/>
              </w:rPr>
              <w:t xml:space="preserve"> </w:t>
            </w:r>
          </w:p>
          <w:p w:rsidR="0011726B"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-½ pozůstalosti pozůstalému manželu</w:t>
            </w:r>
          </w:p>
        </w:tc>
        <w:tc>
          <w:tcPr>
            <w:tcW w:w="2983" w:type="dxa"/>
          </w:tcPr>
          <w:p w:rsidR="001E7BC0"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 xml:space="preserve">-manžel nejméně ½ pozůstalosti </w:t>
            </w:r>
          </w:p>
          <w:p w:rsidR="0011726B"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 xml:space="preserve">-stejným dílem rodiče zůstavitele + ti, kteří žili se zůstavitelem nejméně po dobu jednoho roku před </w:t>
            </w:r>
            <w:r w:rsidRPr="00426478">
              <w:rPr>
                <w:sz w:val="24"/>
                <w:szCs w:val="24"/>
              </w:rPr>
              <w:lastRenderedPageBreak/>
              <w:t>jeho smrtí ve společné domácnosti a kteří z toho důvodu pečovali o spol. domácnost nebo byli odkázáni výživou na zůstavitele</w:t>
            </w:r>
          </w:p>
        </w:tc>
      </w:tr>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roofErr w:type="gramStart"/>
            <w:r w:rsidRPr="00426478">
              <w:rPr>
                <w:b/>
                <w:sz w:val="24"/>
                <w:szCs w:val="24"/>
              </w:rPr>
              <w:lastRenderedPageBreak/>
              <w:t>3.třída</w:t>
            </w:r>
            <w:proofErr w:type="gramEnd"/>
          </w:p>
        </w:tc>
        <w:tc>
          <w:tcPr>
            <w:tcW w:w="2996" w:type="dxa"/>
          </w:tcPr>
          <w:p w:rsidR="0011726B"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-staří rodiče a jejich potomstvo – ½ rodičům otcovým a jejich potomkům + ½ rodičům matčiným a jejich potomkům</w:t>
            </w:r>
          </w:p>
          <w:p w:rsidR="001E7BC0"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-1/2 pozůstalosti pozůstalému manželu</w:t>
            </w:r>
          </w:p>
        </w:tc>
        <w:tc>
          <w:tcPr>
            <w:tcW w:w="2983" w:type="dxa"/>
          </w:tcPr>
          <w:p w:rsidR="0011726B"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-stejným dílem zůstavitelovi sourozenci + ti, kteří žili se zůstavitelem nejméně po dobu jednoho roku před jeho smrtí ve společné domácnosti a kteří z toho důvodu pečovali o spol. domácnost nebo byli odkázáni výživou na zůstavitele</w:t>
            </w:r>
          </w:p>
        </w:tc>
      </w:tr>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roofErr w:type="gramStart"/>
            <w:r w:rsidRPr="00426478">
              <w:rPr>
                <w:b/>
                <w:sz w:val="24"/>
                <w:szCs w:val="24"/>
              </w:rPr>
              <w:t>4.třída</w:t>
            </w:r>
            <w:proofErr w:type="gramEnd"/>
          </w:p>
        </w:tc>
        <w:tc>
          <w:tcPr>
            <w:tcW w:w="2996" w:type="dxa"/>
          </w:tcPr>
          <w:p w:rsidR="0011726B" w:rsidRPr="00426478" w:rsidRDefault="001E7BC0" w:rsidP="00AE5C96">
            <w:pPr>
              <w:pStyle w:val="Odstavecseseznamem"/>
              <w:tabs>
                <w:tab w:val="left" w:pos="709"/>
                <w:tab w:val="left" w:pos="1418"/>
              </w:tabs>
              <w:spacing w:line="360" w:lineRule="auto"/>
              <w:ind w:left="0"/>
              <w:jc w:val="both"/>
              <w:rPr>
                <w:sz w:val="24"/>
                <w:szCs w:val="24"/>
              </w:rPr>
            </w:pPr>
            <w:r w:rsidRPr="00426478">
              <w:rPr>
                <w:sz w:val="24"/>
                <w:szCs w:val="24"/>
              </w:rPr>
              <w:t>-staří rodiče rodičů zůstavitelových – ½ starým rodičům zůstavitelova otce + ½ starým rodičům zůstavitelovy matky</w:t>
            </w:r>
          </w:p>
          <w:p w:rsidR="001E7BC0" w:rsidRPr="00426478" w:rsidRDefault="001E7BC0" w:rsidP="00AE5C96">
            <w:pPr>
              <w:tabs>
                <w:tab w:val="left" w:pos="709"/>
                <w:tab w:val="left" w:pos="1418"/>
              </w:tabs>
              <w:spacing w:line="360" w:lineRule="auto"/>
              <w:jc w:val="both"/>
              <w:rPr>
                <w:sz w:val="24"/>
                <w:szCs w:val="24"/>
              </w:rPr>
            </w:pPr>
            <w:r w:rsidRPr="00426478">
              <w:rPr>
                <w:sz w:val="24"/>
                <w:szCs w:val="24"/>
              </w:rPr>
              <w:t>-není-li zákonných dědiců 1. a 2. třídy, ani starých rodičů, dostane se pozůstal</w:t>
            </w:r>
            <w:r w:rsidR="009A3948" w:rsidRPr="00426478">
              <w:rPr>
                <w:sz w:val="24"/>
                <w:szCs w:val="24"/>
              </w:rPr>
              <w:t>ému manželu celé pozůstalosti</w:t>
            </w:r>
          </w:p>
        </w:tc>
        <w:tc>
          <w:tcPr>
            <w:tcW w:w="2983" w:type="dxa"/>
          </w:tcPr>
          <w:p w:rsidR="0011726B" w:rsidRPr="00426478" w:rsidRDefault="009A3948" w:rsidP="00AE5C96">
            <w:pPr>
              <w:pStyle w:val="Odstavecseseznamem"/>
              <w:tabs>
                <w:tab w:val="left" w:pos="709"/>
                <w:tab w:val="left" w:pos="1418"/>
              </w:tabs>
              <w:spacing w:line="360" w:lineRule="auto"/>
              <w:ind w:left="0"/>
              <w:jc w:val="both"/>
              <w:rPr>
                <w:sz w:val="24"/>
                <w:szCs w:val="24"/>
              </w:rPr>
            </w:pPr>
            <w:r w:rsidRPr="00426478">
              <w:rPr>
                <w:sz w:val="24"/>
                <w:szCs w:val="24"/>
              </w:rPr>
              <w:t>-stejným dílem prarodiče zůstavitele</w:t>
            </w:r>
          </w:p>
        </w:tc>
      </w:tr>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roofErr w:type="gramStart"/>
            <w:r w:rsidRPr="00426478">
              <w:rPr>
                <w:b/>
                <w:sz w:val="24"/>
                <w:szCs w:val="24"/>
              </w:rPr>
              <w:t>5.třída</w:t>
            </w:r>
            <w:proofErr w:type="gramEnd"/>
          </w:p>
        </w:tc>
        <w:tc>
          <w:tcPr>
            <w:tcW w:w="2996" w:type="dxa"/>
          </w:tcPr>
          <w:p w:rsidR="0011726B" w:rsidRPr="00426478" w:rsidRDefault="009A3948" w:rsidP="00AE5C96">
            <w:pPr>
              <w:pStyle w:val="Odstavecseseznamem"/>
              <w:tabs>
                <w:tab w:val="left" w:pos="709"/>
                <w:tab w:val="left" w:pos="1418"/>
              </w:tabs>
              <w:spacing w:line="360" w:lineRule="auto"/>
              <w:ind w:left="0"/>
              <w:jc w:val="both"/>
              <w:rPr>
                <w:sz w:val="24"/>
                <w:szCs w:val="24"/>
              </w:rPr>
            </w:pPr>
            <w:r w:rsidRPr="00426478">
              <w:rPr>
                <w:sz w:val="24"/>
                <w:szCs w:val="24"/>
              </w:rPr>
              <w:t>---</w:t>
            </w:r>
          </w:p>
        </w:tc>
        <w:tc>
          <w:tcPr>
            <w:tcW w:w="2983" w:type="dxa"/>
          </w:tcPr>
          <w:p w:rsidR="0011726B" w:rsidRPr="00426478" w:rsidRDefault="009A3948" w:rsidP="00AE5C96">
            <w:pPr>
              <w:pStyle w:val="Odstavecseseznamem"/>
              <w:tabs>
                <w:tab w:val="left" w:pos="709"/>
                <w:tab w:val="left" w:pos="1418"/>
              </w:tabs>
              <w:spacing w:line="360" w:lineRule="auto"/>
              <w:ind w:left="0"/>
              <w:jc w:val="both"/>
              <w:rPr>
                <w:sz w:val="24"/>
                <w:szCs w:val="24"/>
              </w:rPr>
            </w:pPr>
            <w:r w:rsidRPr="00426478">
              <w:rPr>
                <w:sz w:val="24"/>
                <w:szCs w:val="24"/>
              </w:rPr>
              <w:t>-prarodiče rodičů zůstavitele – ½ prarodičům zůstavitelova otce + ½ prarodičům zůstavitelovy matky</w:t>
            </w:r>
          </w:p>
        </w:tc>
      </w:tr>
      <w:tr w:rsidR="001E7BC0" w:rsidRPr="00426478" w:rsidTr="00394255">
        <w:tc>
          <w:tcPr>
            <w:tcW w:w="2948" w:type="dxa"/>
          </w:tcPr>
          <w:p w:rsidR="0011726B" w:rsidRPr="00426478" w:rsidRDefault="0011726B" w:rsidP="00AE5C96">
            <w:pPr>
              <w:pStyle w:val="Odstavecseseznamem"/>
              <w:tabs>
                <w:tab w:val="left" w:pos="709"/>
                <w:tab w:val="left" w:pos="1418"/>
              </w:tabs>
              <w:spacing w:line="360" w:lineRule="auto"/>
              <w:ind w:left="0"/>
              <w:jc w:val="both"/>
              <w:rPr>
                <w:b/>
                <w:sz w:val="24"/>
                <w:szCs w:val="24"/>
              </w:rPr>
            </w:pPr>
            <w:proofErr w:type="gramStart"/>
            <w:r w:rsidRPr="00426478">
              <w:rPr>
                <w:b/>
                <w:sz w:val="24"/>
                <w:szCs w:val="24"/>
              </w:rPr>
              <w:t>6.třída</w:t>
            </w:r>
            <w:proofErr w:type="gramEnd"/>
          </w:p>
        </w:tc>
        <w:tc>
          <w:tcPr>
            <w:tcW w:w="2996" w:type="dxa"/>
          </w:tcPr>
          <w:p w:rsidR="0011726B" w:rsidRPr="00426478" w:rsidRDefault="009A3948" w:rsidP="00AE5C96">
            <w:pPr>
              <w:pStyle w:val="Odstavecseseznamem"/>
              <w:tabs>
                <w:tab w:val="left" w:pos="709"/>
                <w:tab w:val="left" w:pos="1418"/>
              </w:tabs>
              <w:spacing w:line="360" w:lineRule="auto"/>
              <w:ind w:left="0"/>
              <w:jc w:val="both"/>
              <w:rPr>
                <w:sz w:val="24"/>
                <w:szCs w:val="24"/>
              </w:rPr>
            </w:pPr>
            <w:r w:rsidRPr="00426478">
              <w:rPr>
                <w:sz w:val="24"/>
                <w:szCs w:val="24"/>
              </w:rPr>
              <w:t>---</w:t>
            </w:r>
          </w:p>
        </w:tc>
        <w:tc>
          <w:tcPr>
            <w:tcW w:w="2983" w:type="dxa"/>
          </w:tcPr>
          <w:p w:rsidR="0011726B" w:rsidRPr="00426478" w:rsidRDefault="009A3948" w:rsidP="00AE5C96">
            <w:pPr>
              <w:pStyle w:val="Odstavecseseznamem"/>
              <w:tabs>
                <w:tab w:val="left" w:pos="709"/>
                <w:tab w:val="left" w:pos="1418"/>
              </w:tabs>
              <w:spacing w:line="360" w:lineRule="auto"/>
              <w:ind w:left="0"/>
              <w:jc w:val="both"/>
              <w:rPr>
                <w:sz w:val="24"/>
                <w:szCs w:val="24"/>
              </w:rPr>
            </w:pPr>
            <w:r w:rsidRPr="00426478">
              <w:rPr>
                <w:sz w:val="24"/>
                <w:szCs w:val="24"/>
              </w:rPr>
              <w:t>-stejným dílem děti dětí sourozenců zůstavitele + děti prarodičů zůstavitele</w:t>
            </w:r>
          </w:p>
        </w:tc>
      </w:tr>
    </w:tbl>
    <w:p w:rsidR="00783479" w:rsidRDefault="00783479" w:rsidP="00AE5C96">
      <w:pPr>
        <w:pStyle w:val="Odstavecseseznamem"/>
        <w:tabs>
          <w:tab w:val="left" w:pos="709"/>
          <w:tab w:val="left" w:pos="1418"/>
        </w:tabs>
        <w:spacing w:after="0" w:line="360" w:lineRule="auto"/>
        <w:ind w:left="360"/>
        <w:jc w:val="both"/>
        <w:rPr>
          <w:sz w:val="24"/>
          <w:szCs w:val="24"/>
        </w:rPr>
      </w:pPr>
    </w:p>
    <w:tbl>
      <w:tblPr>
        <w:tblStyle w:val="Mkatabulky"/>
        <w:tblW w:w="0" w:type="auto"/>
        <w:tblInd w:w="108" w:type="dxa"/>
        <w:tblLook w:val="04A0"/>
      </w:tblPr>
      <w:tblGrid>
        <w:gridCol w:w="4489"/>
        <w:gridCol w:w="4438"/>
      </w:tblGrid>
      <w:tr w:rsidR="00BD4A18" w:rsidRPr="00426478" w:rsidTr="00394255">
        <w:tc>
          <w:tcPr>
            <w:tcW w:w="4489" w:type="dxa"/>
          </w:tcPr>
          <w:p w:rsidR="00BD4A18" w:rsidRPr="00426478" w:rsidRDefault="00BD4A18" w:rsidP="00AE5C96">
            <w:pPr>
              <w:pStyle w:val="Odstavecseseznamem"/>
              <w:tabs>
                <w:tab w:val="left" w:pos="709"/>
                <w:tab w:val="left" w:pos="1418"/>
              </w:tabs>
              <w:spacing w:line="360" w:lineRule="auto"/>
              <w:ind w:left="0"/>
              <w:jc w:val="both"/>
              <w:rPr>
                <w:sz w:val="24"/>
                <w:szCs w:val="24"/>
              </w:rPr>
            </w:pPr>
            <w:r w:rsidRPr="00426478">
              <w:rPr>
                <w:sz w:val="24"/>
                <w:szCs w:val="24"/>
              </w:rPr>
              <w:lastRenderedPageBreak/>
              <w:t>Počet ustanovení v NOZ</w:t>
            </w:r>
          </w:p>
        </w:tc>
        <w:tc>
          <w:tcPr>
            <w:tcW w:w="4438" w:type="dxa"/>
          </w:tcPr>
          <w:p w:rsidR="00BD4A18" w:rsidRPr="00426478" w:rsidRDefault="00443FC1" w:rsidP="00AE5C96">
            <w:pPr>
              <w:pStyle w:val="Odstavecseseznamem"/>
              <w:tabs>
                <w:tab w:val="left" w:pos="709"/>
                <w:tab w:val="left" w:pos="1418"/>
              </w:tabs>
              <w:spacing w:line="360" w:lineRule="auto"/>
              <w:ind w:left="0"/>
              <w:jc w:val="both"/>
              <w:rPr>
                <w:sz w:val="24"/>
                <w:szCs w:val="24"/>
              </w:rPr>
            </w:pPr>
            <w:r w:rsidRPr="00426478">
              <w:rPr>
                <w:sz w:val="24"/>
                <w:szCs w:val="24"/>
              </w:rPr>
              <w:t>9</w:t>
            </w:r>
          </w:p>
        </w:tc>
      </w:tr>
      <w:tr w:rsidR="00BD4A18" w:rsidRPr="00426478" w:rsidTr="00394255">
        <w:tc>
          <w:tcPr>
            <w:tcW w:w="4489" w:type="dxa"/>
          </w:tcPr>
          <w:p w:rsidR="00BD4A18" w:rsidRPr="00426478" w:rsidRDefault="00BD4A18" w:rsidP="00AE5C96">
            <w:pPr>
              <w:pStyle w:val="Odstavecseseznamem"/>
              <w:tabs>
                <w:tab w:val="left" w:pos="709"/>
                <w:tab w:val="left" w:pos="1418"/>
              </w:tabs>
              <w:spacing w:line="360" w:lineRule="auto"/>
              <w:ind w:left="0"/>
              <w:jc w:val="both"/>
              <w:rPr>
                <w:sz w:val="24"/>
                <w:szCs w:val="24"/>
              </w:rPr>
            </w:pPr>
            <w:r w:rsidRPr="00426478">
              <w:rPr>
                <w:sz w:val="24"/>
                <w:szCs w:val="24"/>
              </w:rPr>
              <w:t>Počet ustanovení ve VN</w:t>
            </w:r>
          </w:p>
        </w:tc>
        <w:tc>
          <w:tcPr>
            <w:tcW w:w="4438" w:type="dxa"/>
          </w:tcPr>
          <w:p w:rsidR="00BD4A18" w:rsidRPr="00426478" w:rsidRDefault="00443FC1" w:rsidP="00AE5C96">
            <w:pPr>
              <w:pStyle w:val="Odstavecseseznamem"/>
              <w:tabs>
                <w:tab w:val="left" w:pos="709"/>
                <w:tab w:val="left" w:pos="1418"/>
              </w:tabs>
              <w:spacing w:line="360" w:lineRule="auto"/>
              <w:ind w:left="0"/>
              <w:jc w:val="both"/>
              <w:rPr>
                <w:sz w:val="24"/>
                <w:szCs w:val="24"/>
              </w:rPr>
            </w:pPr>
            <w:r w:rsidRPr="00426478">
              <w:rPr>
                <w:sz w:val="24"/>
                <w:szCs w:val="24"/>
              </w:rPr>
              <w:t>26</w:t>
            </w:r>
          </w:p>
        </w:tc>
      </w:tr>
      <w:tr w:rsidR="002F73C8" w:rsidRPr="00426478" w:rsidTr="00394255">
        <w:trPr>
          <w:trHeight w:val="512"/>
        </w:trPr>
        <w:tc>
          <w:tcPr>
            <w:tcW w:w="4489" w:type="dxa"/>
            <w:vMerge w:val="restart"/>
          </w:tcPr>
          <w:p w:rsidR="002F73C8" w:rsidRPr="00426478" w:rsidRDefault="002F73C8" w:rsidP="00AE5C96">
            <w:pPr>
              <w:pStyle w:val="Odstavecseseznamem"/>
              <w:tabs>
                <w:tab w:val="left" w:pos="709"/>
                <w:tab w:val="left" w:pos="1418"/>
              </w:tabs>
              <w:spacing w:line="360" w:lineRule="auto"/>
              <w:ind w:left="0"/>
              <w:jc w:val="both"/>
              <w:rPr>
                <w:sz w:val="24"/>
                <w:szCs w:val="24"/>
              </w:rPr>
            </w:pPr>
            <w:r w:rsidRPr="00426478">
              <w:rPr>
                <w:sz w:val="24"/>
                <w:szCs w:val="24"/>
              </w:rPr>
              <w:t>Počet ustanovení NOZ obsahově shodných s ustanoveními VN</w:t>
            </w:r>
          </w:p>
        </w:tc>
        <w:tc>
          <w:tcPr>
            <w:tcW w:w="4438" w:type="dxa"/>
          </w:tcPr>
          <w:p w:rsidR="002F73C8" w:rsidRPr="00426478" w:rsidRDefault="00084922" w:rsidP="00AE5C96">
            <w:pPr>
              <w:pStyle w:val="Odstavecseseznamem"/>
              <w:tabs>
                <w:tab w:val="left" w:pos="709"/>
                <w:tab w:val="left" w:pos="1418"/>
              </w:tabs>
              <w:spacing w:line="360" w:lineRule="auto"/>
              <w:ind w:left="0"/>
              <w:jc w:val="both"/>
              <w:rPr>
                <w:sz w:val="24"/>
                <w:szCs w:val="24"/>
              </w:rPr>
            </w:pPr>
            <w:r w:rsidRPr="00426478">
              <w:rPr>
                <w:sz w:val="24"/>
                <w:szCs w:val="24"/>
              </w:rPr>
              <w:t>zcel</w:t>
            </w:r>
            <w:r w:rsidR="002F73C8" w:rsidRPr="00426478">
              <w:rPr>
                <w:sz w:val="24"/>
                <w:szCs w:val="24"/>
              </w:rPr>
              <w:t>a:</w:t>
            </w:r>
            <w:r w:rsidR="00300DDE" w:rsidRPr="00426478">
              <w:rPr>
                <w:sz w:val="24"/>
                <w:szCs w:val="24"/>
              </w:rPr>
              <w:t xml:space="preserve"> 3</w:t>
            </w:r>
          </w:p>
        </w:tc>
      </w:tr>
      <w:tr w:rsidR="002F73C8" w:rsidRPr="00426478" w:rsidTr="00394255">
        <w:trPr>
          <w:trHeight w:val="512"/>
        </w:trPr>
        <w:tc>
          <w:tcPr>
            <w:tcW w:w="4489" w:type="dxa"/>
            <w:vMerge/>
          </w:tcPr>
          <w:p w:rsidR="002F73C8" w:rsidRPr="00426478" w:rsidRDefault="002F73C8" w:rsidP="00AE5C96">
            <w:pPr>
              <w:pStyle w:val="Odstavecseseznamem"/>
              <w:tabs>
                <w:tab w:val="left" w:pos="709"/>
                <w:tab w:val="left" w:pos="1418"/>
              </w:tabs>
              <w:spacing w:line="360" w:lineRule="auto"/>
              <w:ind w:left="0"/>
              <w:jc w:val="both"/>
              <w:rPr>
                <w:sz w:val="24"/>
                <w:szCs w:val="24"/>
              </w:rPr>
            </w:pPr>
          </w:p>
        </w:tc>
        <w:tc>
          <w:tcPr>
            <w:tcW w:w="4438" w:type="dxa"/>
          </w:tcPr>
          <w:p w:rsidR="002F73C8" w:rsidRPr="00426478" w:rsidRDefault="002F73C8" w:rsidP="00AE5C96">
            <w:pPr>
              <w:pStyle w:val="Odstavecseseznamem"/>
              <w:tabs>
                <w:tab w:val="left" w:pos="709"/>
                <w:tab w:val="left" w:pos="1418"/>
              </w:tabs>
              <w:spacing w:line="360" w:lineRule="auto"/>
              <w:ind w:left="0"/>
              <w:jc w:val="both"/>
              <w:rPr>
                <w:sz w:val="24"/>
                <w:szCs w:val="24"/>
              </w:rPr>
            </w:pPr>
            <w:r w:rsidRPr="00426478">
              <w:rPr>
                <w:sz w:val="24"/>
                <w:szCs w:val="24"/>
              </w:rPr>
              <w:t>částečně:</w:t>
            </w:r>
            <w:r w:rsidR="00300DDE" w:rsidRPr="00426478">
              <w:rPr>
                <w:sz w:val="24"/>
                <w:szCs w:val="24"/>
              </w:rPr>
              <w:t xml:space="preserve"> 3</w:t>
            </w:r>
          </w:p>
        </w:tc>
      </w:tr>
    </w:tbl>
    <w:p w:rsidR="001C3ACF" w:rsidRDefault="001C3ACF" w:rsidP="00AE5C96">
      <w:pPr>
        <w:jc w:val="both"/>
      </w:pPr>
    </w:p>
    <w:p w:rsidR="0096270D" w:rsidRPr="008D11B8" w:rsidRDefault="0096270D" w:rsidP="00AE5C96">
      <w:pPr>
        <w:pStyle w:val="Nadpis2"/>
        <w:numPr>
          <w:ilvl w:val="1"/>
          <w:numId w:val="3"/>
        </w:numPr>
        <w:spacing w:line="360" w:lineRule="auto"/>
        <w:jc w:val="both"/>
        <w:rPr>
          <w:rFonts w:ascii="Times New Roman" w:hAnsi="Times New Roman" w:cs="Times New Roman"/>
          <w:color w:val="auto"/>
        </w:rPr>
      </w:pPr>
      <w:bookmarkStart w:id="21" w:name="_Toc409631297"/>
      <w:r w:rsidRPr="008D11B8">
        <w:rPr>
          <w:rFonts w:ascii="Times New Roman" w:hAnsi="Times New Roman" w:cs="Times New Roman"/>
          <w:color w:val="auto"/>
        </w:rPr>
        <w:t>Povinný díl</w:t>
      </w:r>
      <w:r w:rsidR="00580ADE">
        <w:rPr>
          <w:rStyle w:val="Znakapoznpodarou"/>
          <w:rFonts w:ascii="Times New Roman" w:hAnsi="Times New Roman" w:cs="Times New Roman"/>
          <w:color w:val="auto"/>
        </w:rPr>
        <w:footnoteReference w:id="53"/>
      </w:r>
      <w:bookmarkEnd w:id="21"/>
      <w:r w:rsidRPr="008D11B8">
        <w:rPr>
          <w:rFonts w:ascii="Times New Roman" w:hAnsi="Times New Roman" w:cs="Times New Roman"/>
          <w:color w:val="auto"/>
        </w:rPr>
        <w:t xml:space="preserve"> </w:t>
      </w:r>
    </w:p>
    <w:p w:rsidR="00204763" w:rsidRPr="00426478" w:rsidRDefault="00204763" w:rsidP="00AE5C96">
      <w:pPr>
        <w:tabs>
          <w:tab w:val="left" w:pos="426"/>
          <w:tab w:val="left" w:pos="1418"/>
        </w:tabs>
        <w:spacing w:after="0" w:line="360" w:lineRule="auto"/>
        <w:ind w:firstLine="567"/>
        <w:jc w:val="both"/>
        <w:rPr>
          <w:sz w:val="24"/>
          <w:szCs w:val="24"/>
        </w:rPr>
      </w:pPr>
      <w:r w:rsidRPr="00426478">
        <w:rPr>
          <w:sz w:val="24"/>
          <w:szCs w:val="24"/>
        </w:rPr>
        <w:t xml:space="preserve">Na právní úpravu zákonné posloupnosti navazuje ve VN i NOZ právní úprava povinného dílu, včetně možnosti vydědění a započtení na povinný díl. </w:t>
      </w:r>
      <w:r w:rsidR="00D704AB">
        <w:rPr>
          <w:sz w:val="24"/>
          <w:szCs w:val="24"/>
        </w:rPr>
        <w:t>Institut povinného dílu je určitým projevem omezení jednoho z principů dědického práva, a to principu pořizovací volnosti. Povinný díl spočívá v tom, že jisté osoby, bez ohledu na ustanovení testamentární, mají nárok na vyplacení ceny jisté pozůstalostní kvóty.</w:t>
      </w:r>
      <w:r w:rsidR="00D704AB">
        <w:rPr>
          <w:rStyle w:val="Znakapoznpodarou"/>
          <w:sz w:val="24"/>
          <w:szCs w:val="24"/>
        </w:rPr>
        <w:footnoteReference w:id="54"/>
      </w:r>
      <w:r w:rsidR="00D704AB">
        <w:rPr>
          <w:sz w:val="24"/>
          <w:szCs w:val="24"/>
        </w:rPr>
        <w:t xml:space="preserve"> </w:t>
      </w:r>
      <w:r w:rsidR="009950CD">
        <w:rPr>
          <w:sz w:val="24"/>
          <w:szCs w:val="24"/>
        </w:rPr>
        <w:t>Podrobněji se diplomová práce zabývá institutem povinného dílu ve své další kapitole.</w:t>
      </w:r>
    </w:p>
    <w:p w:rsidR="00204763" w:rsidRPr="008D11B8" w:rsidRDefault="00204763" w:rsidP="00AE5C96">
      <w:pPr>
        <w:pStyle w:val="Nadpis3"/>
        <w:numPr>
          <w:ilvl w:val="2"/>
          <w:numId w:val="4"/>
        </w:numPr>
        <w:spacing w:line="360" w:lineRule="auto"/>
        <w:jc w:val="both"/>
        <w:rPr>
          <w:rFonts w:ascii="Times New Roman" w:hAnsi="Times New Roman" w:cs="Times New Roman"/>
          <w:color w:val="auto"/>
          <w:sz w:val="24"/>
        </w:rPr>
      </w:pPr>
      <w:bookmarkStart w:id="22" w:name="_Toc409631298"/>
      <w:r w:rsidRPr="008D11B8">
        <w:rPr>
          <w:rFonts w:ascii="Times New Roman" w:hAnsi="Times New Roman" w:cs="Times New Roman"/>
          <w:color w:val="auto"/>
          <w:sz w:val="24"/>
        </w:rPr>
        <w:t>Nepominutelný dědic</w:t>
      </w:r>
      <w:r w:rsidR="005924DB">
        <w:rPr>
          <w:rStyle w:val="Znakapoznpodarou"/>
          <w:rFonts w:ascii="Times New Roman" w:hAnsi="Times New Roman" w:cs="Times New Roman"/>
          <w:color w:val="auto"/>
          <w:sz w:val="24"/>
        </w:rPr>
        <w:footnoteReference w:id="55"/>
      </w:r>
      <w:bookmarkEnd w:id="22"/>
    </w:p>
    <w:p w:rsidR="004A2E74" w:rsidRPr="004A2E74" w:rsidRDefault="004A2E74" w:rsidP="00AE5C96">
      <w:pPr>
        <w:pStyle w:val="Odstavecseseznamem"/>
        <w:tabs>
          <w:tab w:val="left" w:pos="426"/>
          <w:tab w:val="left" w:pos="1418"/>
        </w:tabs>
        <w:spacing w:after="0" w:line="360" w:lineRule="auto"/>
        <w:ind w:left="567"/>
        <w:jc w:val="both"/>
        <w:rPr>
          <w:sz w:val="24"/>
          <w:szCs w:val="24"/>
        </w:rPr>
      </w:pPr>
      <w:r w:rsidRPr="004A2E74">
        <w:rPr>
          <w:sz w:val="24"/>
          <w:szCs w:val="24"/>
        </w:rPr>
        <w:t>Osoby, kterým přísluší z pozůstalosti povinný díl, se nazývají nepominutelnými dědici.</w:t>
      </w:r>
    </w:p>
    <w:p w:rsidR="00204763" w:rsidRPr="00426478" w:rsidRDefault="00204763" w:rsidP="00AE5C96">
      <w:pPr>
        <w:tabs>
          <w:tab w:val="left" w:pos="426"/>
          <w:tab w:val="left" w:pos="1418"/>
        </w:tabs>
        <w:spacing w:after="0" w:line="360" w:lineRule="auto"/>
        <w:ind w:firstLine="567"/>
        <w:jc w:val="both"/>
        <w:rPr>
          <w:sz w:val="24"/>
          <w:szCs w:val="24"/>
        </w:rPr>
      </w:pPr>
      <w:r w:rsidRPr="00426478">
        <w:rPr>
          <w:sz w:val="24"/>
          <w:szCs w:val="24"/>
        </w:rPr>
        <w:t xml:space="preserve">V prvních ustanoveních části upravující postavení nepominutelných dědiců je v obou právních předpisech vymezeno, kdo vůbec nepominutelným dědicem může být. </w:t>
      </w:r>
      <w:r w:rsidR="004A2E74">
        <w:rPr>
          <w:sz w:val="24"/>
          <w:szCs w:val="24"/>
        </w:rPr>
        <w:t>V tomto případě NOZ ustanovení VN nepřebírá</w:t>
      </w:r>
      <w:r w:rsidRPr="00426478">
        <w:rPr>
          <w:sz w:val="24"/>
          <w:szCs w:val="24"/>
        </w:rPr>
        <w:t>. VN stanovuje v ustanovení § 574, že nepominutelnými dědici jsou děti zůstavitele, a není-li jich, tak jeho rodiče. Přičemž následující ustanovení § 575 upřesňuje, že dětmi se rozumí i vnuci a pravnuci, rodiči se rozumí rodiče všech stupňů.</w:t>
      </w:r>
      <w:r w:rsidR="00486A37">
        <w:rPr>
          <w:sz w:val="24"/>
          <w:szCs w:val="24"/>
        </w:rPr>
        <w:t xml:space="preserve"> Pod</w:t>
      </w:r>
      <w:r w:rsidR="000515FB" w:rsidRPr="00426478">
        <w:rPr>
          <w:sz w:val="24"/>
          <w:szCs w:val="24"/>
        </w:rPr>
        <w:t xml:space="preserve">le ustanovení § 1643 NOZ jsou nepominutelnými dědici v současné právní úpravě pouze děti zůstavitele, a nedědí-li, pak jejich potomci. </w:t>
      </w:r>
      <w:r w:rsidR="006348AC">
        <w:rPr>
          <w:sz w:val="24"/>
          <w:szCs w:val="24"/>
        </w:rPr>
        <w:t>NOZ zachovává úpravu obsaženou v předchozím občanském zákoníku z roku 1964.</w:t>
      </w:r>
    </w:p>
    <w:p w:rsidR="000515FB" w:rsidRPr="00426478" w:rsidRDefault="000515FB" w:rsidP="00AE5C96">
      <w:pPr>
        <w:tabs>
          <w:tab w:val="left" w:pos="426"/>
          <w:tab w:val="left" w:pos="1418"/>
        </w:tabs>
        <w:spacing w:after="0" w:line="360" w:lineRule="auto"/>
        <w:ind w:firstLine="567"/>
        <w:jc w:val="both"/>
        <w:rPr>
          <w:sz w:val="24"/>
          <w:szCs w:val="24"/>
        </w:rPr>
      </w:pPr>
      <w:r w:rsidRPr="00426478">
        <w:rPr>
          <w:sz w:val="24"/>
          <w:szCs w:val="24"/>
        </w:rPr>
        <w:t xml:space="preserve">Dále oba právní předpisy stanovují, kolik povinný díl činí. Dle VN pokud je nepominutelným dědicem dítě zůstavitele, činí povinný díl polovinu hodnoty zákonného podílu. Je-li nepominutelným dědicem předek zůstavitele, činí povinný díl třetinu hodnoty povinného dílu. NOZ oproti VN rozlišuje, zda je nepominutelný dědic nezletilý či zletilý. Je-li nezletilý, přísluší mu tolik, kolik činí tři čtvrtiny jeho zákonného podílu. Je-li zletilý pak </w:t>
      </w:r>
      <w:r w:rsidRPr="00426478">
        <w:rPr>
          <w:sz w:val="24"/>
          <w:szCs w:val="24"/>
        </w:rPr>
        <w:lastRenderedPageBreak/>
        <w:t>čtvrtina jeho zákonného podílu.</w:t>
      </w:r>
      <w:r w:rsidR="006348AC">
        <w:rPr>
          <w:sz w:val="24"/>
          <w:szCs w:val="24"/>
        </w:rPr>
        <w:t xml:space="preserve"> NOZ sice nenásleduje vzoru VN, ale i tak mění dosavadní úpravu obsaženou v občanském zákoníku z roku 1964.</w:t>
      </w:r>
      <w:r w:rsidR="006348AC">
        <w:rPr>
          <w:rStyle w:val="Znakapoznpodarou"/>
          <w:sz w:val="24"/>
          <w:szCs w:val="24"/>
        </w:rPr>
        <w:footnoteReference w:id="56"/>
      </w:r>
    </w:p>
    <w:p w:rsidR="000515FB" w:rsidRPr="008D11B8" w:rsidRDefault="000515FB" w:rsidP="00AE5C96">
      <w:pPr>
        <w:pStyle w:val="Nadpis3"/>
        <w:numPr>
          <w:ilvl w:val="2"/>
          <w:numId w:val="4"/>
        </w:numPr>
        <w:spacing w:line="360" w:lineRule="auto"/>
        <w:jc w:val="both"/>
        <w:rPr>
          <w:rFonts w:ascii="Times New Roman" w:hAnsi="Times New Roman" w:cs="Times New Roman"/>
          <w:color w:val="auto"/>
          <w:sz w:val="24"/>
        </w:rPr>
      </w:pPr>
      <w:bookmarkStart w:id="23" w:name="_Toc409631299"/>
      <w:r w:rsidRPr="008D11B8">
        <w:rPr>
          <w:rFonts w:ascii="Times New Roman" w:hAnsi="Times New Roman" w:cs="Times New Roman"/>
          <w:color w:val="auto"/>
          <w:sz w:val="24"/>
        </w:rPr>
        <w:t>Povinný díl a jeho výpočet</w:t>
      </w:r>
      <w:bookmarkEnd w:id="23"/>
    </w:p>
    <w:p w:rsidR="000515FB" w:rsidRPr="00426478" w:rsidRDefault="0048484E" w:rsidP="00AE5C96">
      <w:pPr>
        <w:tabs>
          <w:tab w:val="left" w:pos="426"/>
          <w:tab w:val="left" w:pos="1418"/>
        </w:tabs>
        <w:spacing w:after="0" w:line="360" w:lineRule="auto"/>
        <w:ind w:firstLine="567"/>
        <w:jc w:val="both"/>
        <w:rPr>
          <w:sz w:val="24"/>
          <w:szCs w:val="24"/>
        </w:rPr>
      </w:pPr>
      <w:r w:rsidRPr="00426478">
        <w:rPr>
          <w:sz w:val="24"/>
          <w:szCs w:val="24"/>
        </w:rPr>
        <w:t>Shodně právní předpisy stanovují, že povinný díl může být zůstaven v podobě dědického podílu nebo odkazu, ale musí nepominutelnému dědici zůstat zcela nezatížen.</w:t>
      </w:r>
    </w:p>
    <w:p w:rsidR="0048484E" w:rsidRPr="00426478" w:rsidRDefault="0048484E" w:rsidP="00AE5C96">
      <w:pPr>
        <w:tabs>
          <w:tab w:val="left" w:pos="426"/>
          <w:tab w:val="left" w:pos="1418"/>
        </w:tabs>
        <w:spacing w:after="0" w:line="360" w:lineRule="auto"/>
        <w:ind w:firstLine="567"/>
        <w:jc w:val="both"/>
        <w:rPr>
          <w:sz w:val="24"/>
          <w:szCs w:val="24"/>
        </w:rPr>
      </w:pPr>
      <w:r w:rsidRPr="00426478">
        <w:rPr>
          <w:sz w:val="24"/>
          <w:szCs w:val="24"/>
        </w:rPr>
        <w:t>Oba právní předpisy poté upravují, jak se povinný díl nepominutelného dědice vypočítává. Pro účely výpočtu povinného dílu se vždy přihlíží i k osobám, které právo na povinný díl nemají z důvodu, že jsou nezpůsobilé dědit nebo byly vyděděny.</w:t>
      </w:r>
    </w:p>
    <w:p w:rsidR="0048484E" w:rsidRPr="00426478" w:rsidRDefault="0048484E" w:rsidP="00AE5C96">
      <w:pPr>
        <w:tabs>
          <w:tab w:val="left" w:pos="426"/>
          <w:tab w:val="left" w:pos="1418"/>
        </w:tabs>
        <w:spacing w:after="0" w:line="360" w:lineRule="auto"/>
        <w:ind w:firstLine="567"/>
        <w:jc w:val="both"/>
        <w:rPr>
          <w:sz w:val="24"/>
          <w:szCs w:val="24"/>
        </w:rPr>
      </w:pPr>
      <w:r w:rsidRPr="00426478">
        <w:rPr>
          <w:sz w:val="24"/>
          <w:szCs w:val="24"/>
        </w:rPr>
        <w:t>NOZ shodně s VN stanovuje, že nepominutelný dědic nemá právo na podíl z pozůstalosti, nýbrž jen na peněžitou částku rovnající se hodnotě jeho povinného dílu.</w:t>
      </w:r>
      <w:r w:rsidR="00B031D2" w:rsidRPr="00426478">
        <w:rPr>
          <w:sz w:val="24"/>
          <w:szCs w:val="24"/>
        </w:rPr>
        <w:t xml:space="preserve"> </w:t>
      </w:r>
      <w:r w:rsidR="003E297E" w:rsidRPr="00426478">
        <w:rPr>
          <w:sz w:val="24"/>
          <w:szCs w:val="24"/>
        </w:rPr>
        <w:t>Osoby označené za nepominutelné dědice mají tak právo na určitý majetek zůstavitele, nelze však spravedlivě požadovat, aby se jim muselo dostat přesně těch věcí, které zůstavitel vlastnil, pokud se rozhodl je odkázat jiným osobám.</w:t>
      </w:r>
      <w:r w:rsidR="003E297E" w:rsidRPr="00426478">
        <w:rPr>
          <w:rStyle w:val="Znakapoznpodarou"/>
          <w:sz w:val="24"/>
          <w:szCs w:val="24"/>
        </w:rPr>
        <w:footnoteReference w:id="57"/>
      </w:r>
      <w:r w:rsidR="003E297E" w:rsidRPr="00426478">
        <w:rPr>
          <w:sz w:val="24"/>
          <w:szCs w:val="24"/>
        </w:rPr>
        <w:t xml:space="preserve"> </w:t>
      </w:r>
      <w:r w:rsidR="00B031D2" w:rsidRPr="00426478">
        <w:rPr>
          <w:sz w:val="24"/>
          <w:szCs w:val="24"/>
        </w:rPr>
        <w:t>NOZ poté navíc umožňuje, aby se nepominutelný dědic dohodl s ostatními dědici jinak, nesmí tím být však zkrácena práva věřitelů, jinak je dohoda vůči věřitelům neúčinná.</w:t>
      </w:r>
    </w:p>
    <w:p w:rsidR="0009250C" w:rsidRPr="00426478" w:rsidRDefault="0009250C" w:rsidP="00AE5C96">
      <w:pPr>
        <w:tabs>
          <w:tab w:val="left" w:pos="426"/>
          <w:tab w:val="left" w:pos="1418"/>
        </w:tabs>
        <w:spacing w:after="0" w:line="360" w:lineRule="auto"/>
        <w:ind w:firstLine="567"/>
        <w:jc w:val="both"/>
        <w:rPr>
          <w:sz w:val="24"/>
          <w:szCs w:val="24"/>
        </w:rPr>
      </w:pPr>
      <w:r w:rsidRPr="00426478">
        <w:rPr>
          <w:sz w:val="24"/>
          <w:szCs w:val="24"/>
        </w:rPr>
        <w:t xml:space="preserve">Aby mohl být dle VN i NOZ vypočten povinný díl, je potřebné sepsat a odhadnout majetek v pozůstalosti. Dluhy a závady, které vázly na majetku již v době smrti zůstavitele, se od hodnoty majetku odečtou. </w:t>
      </w:r>
    </w:p>
    <w:p w:rsidR="0009250C" w:rsidRPr="008D11B8" w:rsidRDefault="0009250C" w:rsidP="00AE5C96">
      <w:pPr>
        <w:pStyle w:val="Nadpis3"/>
        <w:numPr>
          <w:ilvl w:val="2"/>
          <w:numId w:val="4"/>
        </w:numPr>
        <w:spacing w:line="360" w:lineRule="auto"/>
        <w:jc w:val="both"/>
        <w:rPr>
          <w:rFonts w:ascii="Times New Roman" w:hAnsi="Times New Roman" w:cs="Times New Roman"/>
          <w:color w:val="auto"/>
          <w:sz w:val="24"/>
        </w:rPr>
      </w:pPr>
      <w:bookmarkStart w:id="24" w:name="_Toc409631300"/>
      <w:r w:rsidRPr="008D11B8">
        <w:rPr>
          <w:rFonts w:ascii="Times New Roman" w:hAnsi="Times New Roman" w:cs="Times New Roman"/>
          <w:color w:val="auto"/>
          <w:sz w:val="24"/>
        </w:rPr>
        <w:t>Započtení na povinný díl</w:t>
      </w:r>
      <w:bookmarkEnd w:id="24"/>
    </w:p>
    <w:p w:rsidR="001D30A6" w:rsidRPr="00426478" w:rsidRDefault="0009250C" w:rsidP="00AE5C96">
      <w:pPr>
        <w:tabs>
          <w:tab w:val="left" w:pos="426"/>
          <w:tab w:val="left" w:pos="1418"/>
        </w:tabs>
        <w:spacing w:after="0" w:line="360" w:lineRule="auto"/>
        <w:ind w:firstLine="567"/>
        <w:jc w:val="both"/>
        <w:rPr>
          <w:sz w:val="24"/>
          <w:szCs w:val="24"/>
        </w:rPr>
      </w:pPr>
      <w:r w:rsidRPr="00426478">
        <w:rPr>
          <w:sz w:val="24"/>
          <w:szCs w:val="24"/>
        </w:rPr>
        <w:t>S výpočtem povinného dílu nepominutelného dědice souvisí i možnost započtení na takový povinný díl. Dle obou právních předpisů se na povinný díl započte vše, co nepominutelný dědic skutečně nabyl z pozůstalosti odkazy nebo jinými opatřeními zůstavitele.</w:t>
      </w:r>
      <w:r w:rsidR="001D30A6" w:rsidRPr="00426478">
        <w:rPr>
          <w:sz w:val="24"/>
          <w:szCs w:val="24"/>
        </w:rPr>
        <w:t xml:space="preserve"> Započítávají se také dary obdržené od zůstavitele za podmínek stanovených VN či NOZ. Speciálně je poté upraveno jak ve VN, tak i v NOZ započtení na povinný díl potomka zůstavitele. VN stanovuje, že na povinný díl dcery či vnučky se započte to, co jim zůstavitel dal jako přínos, na povinný díl syna či vnuka, to co jim zůstavitel dal jako výpravu, a nakonec na povinný díl dítěte zůstavitele se započte to, co mu zůstavitel dal k nastoupení živnosti nebo jiného povolání. NOZ podobně stanovuje, že na povinný díl potomka zůstavitele se započte, co mu zůstavitel dal na náklady spojené se založením samostatné domácnosti, manželského či </w:t>
      </w:r>
      <w:r w:rsidR="001D30A6" w:rsidRPr="00426478">
        <w:rPr>
          <w:sz w:val="24"/>
          <w:szCs w:val="24"/>
        </w:rPr>
        <w:lastRenderedPageBreak/>
        <w:t>obdobného soužití nebo s nástupem do povolání, případně také to, co zůstavitel poskytl potomku k úhradě dluhů zletilého potomka.</w:t>
      </w:r>
    </w:p>
    <w:p w:rsidR="001D30A6" w:rsidRPr="00426478" w:rsidRDefault="001D30A6" w:rsidP="00AE5C96">
      <w:pPr>
        <w:tabs>
          <w:tab w:val="left" w:pos="426"/>
          <w:tab w:val="left" w:pos="1418"/>
        </w:tabs>
        <w:spacing w:after="0" w:line="360" w:lineRule="auto"/>
        <w:ind w:firstLine="567"/>
        <w:jc w:val="both"/>
        <w:rPr>
          <w:sz w:val="24"/>
          <w:szCs w:val="24"/>
        </w:rPr>
      </w:pPr>
      <w:r w:rsidRPr="00426478">
        <w:rPr>
          <w:sz w:val="24"/>
          <w:szCs w:val="24"/>
        </w:rPr>
        <w:t>Dle VN jsou</w:t>
      </w:r>
      <w:r w:rsidR="004E0EBD">
        <w:rPr>
          <w:sz w:val="24"/>
          <w:szCs w:val="24"/>
        </w:rPr>
        <w:t xml:space="preserve"> nepominutelnými dědici</w:t>
      </w:r>
      <w:r w:rsidRPr="00426478">
        <w:rPr>
          <w:sz w:val="24"/>
          <w:szCs w:val="24"/>
        </w:rPr>
        <w:t>, jak je výše uvedeno, i rodiče zůstavitele. Na jejich povinný díl se pak započte dle VN to, co jim bylo předem dáno, nebylo-li to poskytnuto jako zákonitá podpora či z pouhé štědrosti.</w:t>
      </w:r>
    </w:p>
    <w:p w:rsidR="0027182A" w:rsidRPr="008D11B8" w:rsidRDefault="0027182A" w:rsidP="00AE5C96">
      <w:pPr>
        <w:pStyle w:val="Nadpis3"/>
        <w:numPr>
          <w:ilvl w:val="2"/>
          <w:numId w:val="4"/>
        </w:numPr>
        <w:spacing w:line="360" w:lineRule="auto"/>
        <w:jc w:val="both"/>
        <w:rPr>
          <w:rFonts w:ascii="Times New Roman" w:hAnsi="Times New Roman" w:cs="Times New Roman"/>
          <w:color w:val="auto"/>
          <w:sz w:val="24"/>
        </w:rPr>
      </w:pPr>
      <w:bookmarkStart w:id="25" w:name="_Toc409631301"/>
      <w:r w:rsidRPr="008D11B8">
        <w:rPr>
          <w:rFonts w:ascii="Times New Roman" w:hAnsi="Times New Roman" w:cs="Times New Roman"/>
          <w:color w:val="auto"/>
          <w:sz w:val="24"/>
        </w:rPr>
        <w:t>Vydědění</w:t>
      </w:r>
      <w:bookmarkEnd w:id="25"/>
      <w:r w:rsidRPr="008D11B8">
        <w:rPr>
          <w:rFonts w:ascii="Times New Roman" w:hAnsi="Times New Roman" w:cs="Times New Roman"/>
          <w:color w:val="auto"/>
          <w:sz w:val="24"/>
        </w:rPr>
        <w:t xml:space="preserve"> </w:t>
      </w:r>
    </w:p>
    <w:p w:rsidR="0027182A" w:rsidRPr="00426478" w:rsidRDefault="0027182A" w:rsidP="00AE5C96">
      <w:pPr>
        <w:tabs>
          <w:tab w:val="left" w:pos="426"/>
          <w:tab w:val="left" w:pos="1418"/>
        </w:tabs>
        <w:spacing w:after="0" w:line="360" w:lineRule="auto"/>
        <w:ind w:firstLine="567"/>
        <w:jc w:val="both"/>
        <w:rPr>
          <w:sz w:val="24"/>
          <w:szCs w:val="24"/>
        </w:rPr>
      </w:pPr>
      <w:r w:rsidRPr="00426478">
        <w:rPr>
          <w:sz w:val="24"/>
          <w:szCs w:val="24"/>
        </w:rPr>
        <w:t xml:space="preserve">S institutem povinného dílu, resp. nepominutelného dědice, souvisí nesporně i institut vydědění. Zůstavitel má možnost </w:t>
      </w:r>
      <w:r w:rsidR="004D4FE6">
        <w:rPr>
          <w:sz w:val="24"/>
          <w:szCs w:val="24"/>
        </w:rPr>
        <w:t>podle VN i</w:t>
      </w:r>
      <w:r w:rsidRPr="00426478">
        <w:rPr>
          <w:sz w:val="24"/>
          <w:szCs w:val="24"/>
        </w:rPr>
        <w:t xml:space="preserve"> NOZ vydědit nepominutelného dědice z důvodů uvedených v daném právním předpise.</w:t>
      </w:r>
    </w:p>
    <w:p w:rsidR="0027182A" w:rsidRPr="00426478" w:rsidRDefault="0027182A" w:rsidP="00AE5C96">
      <w:pPr>
        <w:tabs>
          <w:tab w:val="left" w:pos="426"/>
          <w:tab w:val="left" w:pos="1418"/>
        </w:tabs>
        <w:spacing w:after="0" w:line="360" w:lineRule="auto"/>
        <w:ind w:firstLine="567"/>
        <w:jc w:val="both"/>
        <w:rPr>
          <w:sz w:val="24"/>
          <w:szCs w:val="24"/>
        </w:rPr>
      </w:pPr>
      <w:r w:rsidRPr="00426478">
        <w:rPr>
          <w:sz w:val="24"/>
          <w:szCs w:val="24"/>
        </w:rPr>
        <w:t>VN vymezuje tři důvody pro vydědění dítěte zůstavitele. Těmi jsou, že dítě opustilo zůstavitele bez pomoci v nouzi, bylo pravoplatně odsouzeno pro zločin svědčící o zvrhlé povaze, a nakonec důvod, že dítě vede vytrvale zhýralý život. Rodiče zůstavitele po</w:t>
      </w:r>
      <w:r w:rsidR="005619D6" w:rsidRPr="00426478">
        <w:rPr>
          <w:sz w:val="24"/>
          <w:szCs w:val="24"/>
        </w:rPr>
        <w:t>té mohou být vyděděni ze stejných</w:t>
      </w:r>
      <w:r w:rsidRPr="00426478">
        <w:rPr>
          <w:sz w:val="24"/>
          <w:szCs w:val="24"/>
        </w:rPr>
        <w:t xml:space="preserve"> důvodů, a navíc také z důvodu, že úplně zanedbali výchovu zůstavitele.</w:t>
      </w:r>
    </w:p>
    <w:p w:rsidR="003E26B6" w:rsidRPr="00426478" w:rsidRDefault="003E26B6" w:rsidP="00AE5C96">
      <w:pPr>
        <w:tabs>
          <w:tab w:val="left" w:pos="426"/>
          <w:tab w:val="left" w:pos="1418"/>
        </w:tabs>
        <w:spacing w:after="0" w:line="360" w:lineRule="auto"/>
        <w:ind w:firstLine="567"/>
        <w:jc w:val="both"/>
        <w:rPr>
          <w:sz w:val="24"/>
          <w:szCs w:val="24"/>
        </w:rPr>
      </w:pPr>
      <w:r w:rsidRPr="00426478">
        <w:rPr>
          <w:sz w:val="24"/>
          <w:szCs w:val="24"/>
        </w:rPr>
        <w:t xml:space="preserve">NOZ obsahuje v zásadě stejné důvody vydědění, doplňuje však jeden důvod navíc, a to ten, že nepominutelný dědic neprojevoval o zůstavitele opravdový zájem, jaký by projevovat měl. </w:t>
      </w:r>
    </w:p>
    <w:p w:rsidR="003E26B6" w:rsidRPr="00426478" w:rsidRDefault="003E26B6" w:rsidP="00AE5C96">
      <w:pPr>
        <w:tabs>
          <w:tab w:val="left" w:pos="426"/>
          <w:tab w:val="left" w:pos="1418"/>
        </w:tabs>
        <w:spacing w:after="0" w:line="360" w:lineRule="auto"/>
        <w:ind w:firstLine="567"/>
        <w:jc w:val="both"/>
        <w:rPr>
          <w:sz w:val="24"/>
          <w:szCs w:val="24"/>
        </w:rPr>
      </w:pPr>
      <w:r w:rsidRPr="00426478">
        <w:rPr>
          <w:sz w:val="24"/>
          <w:szCs w:val="24"/>
        </w:rPr>
        <w:t>NOZ shodně s VN stanovuje i další možnost vydědění, a to v případě, že si nepominutelný dědic počíná marnotratně nebo je zadlužen, a je tu tak obava, že se pro jeho potomky nezachová povinný díl. Takto lze nepominutelného dědice vydědit však pouze za podmínky, že jeho povinný díl zůstaví zůstavitel dětem takového nepominutelného dědice.</w:t>
      </w:r>
    </w:p>
    <w:p w:rsidR="00E97CAD" w:rsidRDefault="00E97CAD" w:rsidP="00AE5C96">
      <w:pPr>
        <w:tabs>
          <w:tab w:val="left" w:pos="426"/>
          <w:tab w:val="left" w:pos="1418"/>
        </w:tabs>
        <w:spacing w:after="0" w:line="360" w:lineRule="auto"/>
        <w:ind w:firstLine="567"/>
        <w:jc w:val="both"/>
        <w:rPr>
          <w:sz w:val="24"/>
          <w:szCs w:val="24"/>
        </w:rPr>
      </w:pPr>
      <w:r w:rsidRPr="00426478">
        <w:rPr>
          <w:sz w:val="24"/>
          <w:szCs w:val="24"/>
        </w:rPr>
        <w:t xml:space="preserve">Vydědění lze poté dle obou právních předpisů učinit pouze způsobem, jakým se pořizuje či zrušuje závěť. </w:t>
      </w:r>
      <w:r w:rsidR="006A076E">
        <w:rPr>
          <w:sz w:val="24"/>
          <w:szCs w:val="24"/>
        </w:rPr>
        <w:t xml:space="preserve">Po vzoru VN se NOZ také navrací k tomu, že nevyslovení důvodu vydědění nezpůsobuje jeho neplatnost. </w:t>
      </w:r>
    </w:p>
    <w:p w:rsidR="00FD5F85" w:rsidRDefault="00FD5F85" w:rsidP="00AE5C96">
      <w:pPr>
        <w:tabs>
          <w:tab w:val="left" w:pos="426"/>
          <w:tab w:val="left" w:pos="1418"/>
        </w:tabs>
        <w:spacing w:after="0" w:line="360" w:lineRule="auto"/>
        <w:ind w:firstLine="567"/>
        <w:jc w:val="both"/>
        <w:rPr>
          <w:sz w:val="24"/>
          <w:szCs w:val="24"/>
        </w:rPr>
      </w:pPr>
    </w:p>
    <w:tbl>
      <w:tblPr>
        <w:tblStyle w:val="Mkatabulky"/>
        <w:tblW w:w="9212" w:type="dxa"/>
        <w:tblInd w:w="108" w:type="dxa"/>
        <w:tblLook w:val="04A0"/>
      </w:tblPr>
      <w:tblGrid>
        <w:gridCol w:w="4606"/>
        <w:gridCol w:w="4606"/>
      </w:tblGrid>
      <w:tr w:rsidR="0028042C" w:rsidRPr="00426478" w:rsidTr="00394255">
        <w:tc>
          <w:tcPr>
            <w:tcW w:w="4606" w:type="dxa"/>
          </w:tcPr>
          <w:p w:rsidR="0028042C" w:rsidRPr="00426478" w:rsidRDefault="0028042C" w:rsidP="00AE5C96">
            <w:pPr>
              <w:tabs>
                <w:tab w:val="left" w:pos="426"/>
                <w:tab w:val="left" w:pos="1418"/>
              </w:tabs>
              <w:spacing w:line="360" w:lineRule="auto"/>
              <w:jc w:val="both"/>
              <w:rPr>
                <w:sz w:val="24"/>
                <w:szCs w:val="24"/>
              </w:rPr>
            </w:pPr>
            <w:r w:rsidRPr="00426478">
              <w:rPr>
                <w:sz w:val="24"/>
                <w:szCs w:val="24"/>
              </w:rPr>
              <w:t>Počet ustanovení v NOZ</w:t>
            </w:r>
          </w:p>
        </w:tc>
        <w:tc>
          <w:tcPr>
            <w:tcW w:w="4606" w:type="dxa"/>
          </w:tcPr>
          <w:p w:rsidR="0028042C" w:rsidRPr="00426478" w:rsidRDefault="0028042C" w:rsidP="00AE5C96">
            <w:pPr>
              <w:tabs>
                <w:tab w:val="left" w:pos="426"/>
                <w:tab w:val="left" w:pos="1418"/>
              </w:tabs>
              <w:spacing w:line="360" w:lineRule="auto"/>
              <w:jc w:val="both"/>
              <w:rPr>
                <w:sz w:val="24"/>
                <w:szCs w:val="24"/>
              </w:rPr>
            </w:pPr>
            <w:r w:rsidRPr="00426478">
              <w:rPr>
                <w:sz w:val="24"/>
                <w:szCs w:val="24"/>
              </w:rPr>
              <w:t>2</w:t>
            </w:r>
            <w:r>
              <w:rPr>
                <w:sz w:val="24"/>
                <w:szCs w:val="24"/>
              </w:rPr>
              <w:t>0</w:t>
            </w:r>
          </w:p>
        </w:tc>
      </w:tr>
      <w:tr w:rsidR="0028042C" w:rsidRPr="00426478" w:rsidTr="00394255">
        <w:tc>
          <w:tcPr>
            <w:tcW w:w="4606" w:type="dxa"/>
          </w:tcPr>
          <w:p w:rsidR="0028042C" w:rsidRPr="00426478" w:rsidRDefault="0028042C"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28042C" w:rsidRPr="00426478" w:rsidRDefault="0028042C" w:rsidP="00AE5C96">
            <w:pPr>
              <w:tabs>
                <w:tab w:val="left" w:pos="426"/>
                <w:tab w:val="left" w:pos="1418"/>
              </w:tabs>
              <w:spacing w:line="360" w:lineRule="auto"/>
              <w:jc w:val="both"/>
              <w:rPr>
                <w:sz w:val="24"/>
                <w:szCs w:val="24"/>
              </w:rPr>
            </w:pPr>
            <w:r>
              <w:rPr>
                <w:sz w:val="24"/>
                <w:szCs w:val="24"/>
              </w:rPr>
              <w:t>28</w:t>
            </w:r>
          </w:p>
        </w:tc>
      </w:tr>
      <w:tr w:rsidR="0028042C" w:rsidRPr="00426478" w:rsidTr="00394255">
        <w:trPr>
          <w:trHeight w:val="512"/>
        </w:trPr>
        <w:tc>
          <w:tcPr>
            <w:tcW w:w="4606" w:type="dxa"/>
            <w:vMerge w:val="restart"/>
          </w:tcPr>
          <w:p w:rsidR="0028042C" w:rsidRPr="00426478" w:rsidRDefault="0028042C"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28042C" w:rsidRPr="00426478" w:rsidRDefault="0028042C" w:rsidP="00AE5C96">
            <w:pPr>
              <w:tabs>
                <w:tab w:val="left" w:pos="426"/>
                <w:tab w:val="left" w:pos="1418"/>
              </w:tabs>
              <w:spacing w:line="360" w:lineRule="auto"/>
              <w:jc w:val="both"/>
              <w:rPr>
                <w:sz w:val="24"/>
                <w:szCs w:val="24"/>
              </w:rPr>
            </w:pPr>
            <w:r w:rsidRPr="00426478">
              <w:rPr>
                <w:sz w:val="24"/>
                <w:szCs w:val="24"/>
              </w:rPr>
              <w:t>zcela:</w:t>
            </w:r>
            <w:r>
              <w:rPr>
                <w:sz w:val="24"/>
                <w:szCs w:val="24"/>
              </w:rPr>
              <w:t xml:space="preserve"> 11</w:t>
            </w:r>
          </w:p>
        </w:tc>
      </w:tr>
      <w:tr w:rsidR="0028042C" w:rsidRPr="00426478" w:rsidTr="00394255">
        <w:trPr>
          <w:trHeight w:val="512"/>
        </w:trPr>
        <w:tc>
          <w:tcPr>
            <w:tcW w:w="4606" w:type="dxa"/>
            <w:vMerge/>
          </w:tcPr>
          <w:p w:rsidR="0028042C" w:rsidRPr="00426478" w:rsidRDefault="0028042C" w:rsidP="00AE5C96">
            <w:pPr>
              <w:tabs>
                <w:tab w:val="left" w:pos="426"/>
                <w:tab w:val="left" w:pos="1418"/>
              </w:tabs>
              <w:spacing w:line="360" w:lineRule="auto"/>
              <w:jc w:val="both"/>
              <w:rPr>
                <w:sz w:val="24"/>
                <w:szCs w:val="24"/>
              </w:rPr>
            </w:pPr>
          </w:p>
        </w:tc>
        <w:tc>
          <w:tcPr>
            <w:tcW w:w="4606" w:type="dxa"/>
          </w:tcPr>
          <w:p w:rsidR="0028042C" w:rsidRPr="00426478" w:rsidRDefault="0028042C" w:rsidP="00AE5C96">
            <w:pPr>
              <w:tabs>
                <w:tab w:val="left" w:pos="426"/>
                <w:tab w:val="left" w:pos="1418"/>
              </w:tabs>
              <w:spacing w:line="360" w:lineRule="auto"/>
              <w:jc w:val="both"/>
              <w:rPr>
                <w:sz w:val="24"/>
                <w:szCs w:val="24"/>
              </w:rPr>
            </w:pPr>
            <w:r w:rsidRPr="00426478">
              <w:rPr>
                <w:sz w:val="24"/>
                <w:szCs w:val="24"/>
              </w:rPr>
              <w:t>částečně: 7</w:t>
            </w:r>
          </w:p>
        </w:tc>
      </w:tr>
    </w:tbl>
    <w:p w:rsidR="00A356B5" w:rsidRPr="005E6F65" w:rsidRDefault="00A356B5" w:rsidP="00AE5C96">
      <w:pPr>
        <w:pStyle w:val="Nadpis2"/>
        <w:numPr>
          <w:ilvl w:val="1"/>
          <w:numId w:val="4"/>
        </w:numPr>
        <w:spacing w:line="360" w:lineRule="auto"/>
        <w:jc w:val="both"/>
        <w:rPr>
          <w:rFonts w:ascii="Times New Roman" w:hAnsi="Times New Roman" w:cs="Times New Roman"/>
          <w:color w:val="auto"/>
        </w:rPr>
      </w:pPr>
      <w:bookmarkStart w:id="26" w:name="_Toc409631302"/>
      <w:r w:rsidRPr="005E6F65">
        <w:rPr>
          <w:rFonts w:ascii="Times New Roman" w:hAnsi="Times New Roman" w:cs="Times New Roman"/>
          <w:color w:val="auto"/>
        </w:rPr>
        <w:lastRenderedPageBreak/>
        <w:t>Započtení na dědický podíl</w:t>
      </w:r>
      <w:r w:rsidR="00580ADE">
        <w:rPr>
          <w:rStyle w:val="Znakapoznpodarou"/>
          <w:rFonts w:ascii="Times New Roman" w:hAnsi="Times New Roman" w:cs="Times New Roman"/>
          <w:color w:val="auto"/>
        </w:rPr>
        <w:footnoteReference w:id="58"/>
      </w:r>
      <w:bookmarkEnd w:id="26"/>
    </w:p>
    <w:p w:rsidR="00A356B5" w:rsidRPr="00426478" w:rsidRDefault="003B5F33" w:rsidP="00AE5C96">
      <w:pPr>
        <w:tabs>
          <w:tab w:val="left" w:pos="426"/>
          <w:tab w:val="left" w:pos="1418"/>
        </w:tabs>
        <w:spacing w:after="0" w:line="360" w:lineRule="auto"/>
        <w:ind w:firstLine="567"/>
        <w:jc w:val="both"/>
        <w:rPr>
          <w:sz w:val="24"/>
          <w:szCs w:val="24"/>
        </w:rPr>
      </w:pPr>
      <w:r w:rsidRPr="00426478">
        <w:rPr>
          <w:sz w:val="24"/>
          <w:szCs w:val="24"/>
        </w:rPr>
        <w:t>Možnost započtení na dědický podíl je ve VN upravena v samostatné Hlavě 22., v NOZ v Díle 5, Oddílu 5 společně se započtením na povinný díl.</w:t>
      </w:r>
    </w:p>
    <w:p w:rsidR="003B5F33" w:rsidRPr="00426478" w:rsidRDefault="000719A2" w:rsidP="00AE5C96">
      <w:pPr>
        <w:tabs>
          <w:tab w:val="left" w:pos="426"/>
          <w:tab w:val="left" w:pos="1418"/>
        </w:tabs>
        <w:spacing w:after="0" w:line="360" w:lineRule="auto"/>
        <w:ind w:firstLine="567"/>
        <w:jc w:val="both"/>
        <w:rPr>
          <w:sz w:val="24"/>
          <w:szCs w:val="24"/>
        </w:rPr>
      </w:pPr>
      <w:r w:rsidRPr="00426478">
        <w:rPr>
          <w:sz w:val="24"/>
          <w:szCs w:val="24"/>
        </w:rPr>
        <w:t>Dle VN se započtení na dědický podíl provede při posloupnosti dětí podle posledního pořízení, jen je-li zůstavitelem nařízeno v takovém posledním pořízení. Při posloupnosti zákonné se u dětí započte vždy to, co na povinný díl. Rodiče však mohou i při posloupnosti zákonné započtení prominout. K tomu je potřeba prohlášení zůstavitele učiněného ve formě jako pro poslední pořízení. NOZ nerozlišuje, zda jde o posloupnost dle posledního pořízení či posloupnost zákonnou. Stanovuje, že započtení na dědický podíl se provede, jen přikáže-li to zůstavitel projevem vůle učiněným ve formě předepsané pro pořízení závěti. Výjimkou je, že soud může provést započtení, a to i když to zůstavitel nepřikázal, byl-li by nepominutelný dědic neodůvodněně zvýhodněn.</w:t>
      </w:r>
    </w:p>
    <w:p w:rsidR="000544AE" w:rsidRPr="00426478" w:rsidRDefault="000719A2" w:rsidP="00AE5C96">
      <w:pPr>
        <w:tabs>
          <w:tab w:val="left" w:pos="426"/>
          <w:tab w:val="left" w:pos="1418"/>
        </w:tabs>
        <w:spacing w:after="0" w:line="360" w:lineRule="auto"/>
        <w:ind w:firstLine="567"/>
        <w:jc w:val="both"/>
        <w:rPr>
          <w:sz w:val="24"/>
          <w:szCs w:val="24"/>
        </w:rPr>
      </w:pPr>
      <w:r w:rsidRPr="00426478">
        <w:rPr>
          <w:sz w:val="24"/>
          <w:szCs w:val="24"/>
        </w:rPr>
        <w:t xml:space="preserve">Pravidla pro započtení jsou stanovena ve VN i NOZ shodně. Těmito pravidly jsou, že započtení nezakládá povinnost něco vydat, ledaže </w:t>
      </w:r>
      <w:r w:rsidR="005F5D70" w:rsidRPr="00426478">
        <w:rPr>
          <w:sz w:val="24"/>
          <w:szCs w:val="24"/>
        </w:rPr>
        <w:t>se jedná o případ odvolání daru, a dále, že při započtení se počítá hodnota toho, co podléhá započtení, podle doby odevzdání. Pouze v mimořádných případech může soud rozhodnout jinak.</w:t>
      </w:r>
    </w:p>
    <w:p w:rsidR="009B4920" w:rsidRPr="00426478" w:rsidRDefault="009B4920" w:rsidP="00AE5C96">
      <w:pPr>
        <w:tabs>
          <w:tab w:val="left" w:pos="426"/>
          <w:tab w:val="left" w:pos="1418"/>
        </w:tabs>
        <w:spacing w:after="0" w:line="360" w:lineRule="auto"/>
        <w:jc w:val="both"/>
        <w:rPr>
          <w:sz w:val="24"/>
          <w:szCs w:val="24"/>
        </w:rPr>
      </w:pPr>
    </w:p>
    <w:tbl>
      <w:tblPr>
        <w:tblStyle w:val="Mkatabulky"/>
        <w:tblW w:w="9212" w:type="dxa"/>
        <w:tblInd w:w="108" w:type="dxa"/>
        <w:tblLook w:val="04A0"/>
      </w:tblPr>
      <w:tblGrid>
        <w:gridCol w:w="4606"/>
        <w:gridCol w:w="4606"/>
      </w:tblGrid>
      <w:tr w:rsidR="009B4920" w:rsidRPr="00426478" w:rsidTr="00FD5F85">
        <w:tc>
          <w:tcPr>
            <w:tcW w:w="4606" w:type="dxa"/>
          </w:tcPr>
          <w:p w:rsidR="009B4920" w:rsidRPr="00426478" w:rsidRDefault="009B4920" w:rsidP="00AE5C96">
            <w:pPr>
              <w:tabs>
                <w:tab w:val="left" w:pos="426"/>
                <w:tab w:val="left" w:pos="1418"/>
              </w:tabs>
              <w:spacing w:line="360" w:lineRule="auto"/>
              <w:jc w:val="both"/>
              <w:rPr>
                <w:sz w:val="24"/>
                <w:szCs w:val="24"/>
              </w:rPr>
            </w:pPr>
            <w:r w:rsidRPr="00426478">
              <w:rPr>
                <w:sz w:val="24"/>
                <w:szCs w:val="24"/>
              </w:rPr>
              <w:t>Počet ustanovení v NOZ</w:t>
            </w:r>
          </w:p>
        </w:tc>
        <w:tc>
          <w:tcPr>
            <w:tcW w:w="4606" w:type="dxa"/>
          </w:tcPr>
          <w:p w:rsidR="009B4920" w:rsidRPr="00426478" w:rsidRDefault="009B4920" w:rsidP="00AE5C96">
            <w:pPr>
              <w:tabs>
                <w:tab w:val="left" w:pos="426"/>
                <w:tab w:val="left" w:pos="1418"/>
              </w:tabs>
              <w:spacing w:line="360" w:lineRule="auto"/>
              <w:jc w:val="both"/>
              <w:rPr>
                <w:sz w:val="24"/>
                <w:szCs w:val="24"/>
              </w:rPr>
            </w:pPr>
            <w:r w:rsidRPr="00426478">
              <w:rPr>
                <w:sz w:val="24"/>
                <w:szCs w:val="24"/>
              </w:rPr>
              <w:t>3</w:t>
            </w:r>
          </w:p>
        </w:tc>
      </w:tr>
      <w:tr w:rsidR="009B4920" w:rsidRPr="00426478" w:rsidTr="00FD5F85">
        <w:tc>
          <w:tcPr>
            <w:tcW w:w="4606" w:type="dxa"/>
          </w:tcPr>
          <w:p w:rsidR="009B4920" w:rsidRPr="00426478" w:rsidRDefault="009B4920"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9B4920" w:rsidRPr="00426478" w:rsidRDefault="0028042C" w:rsidP="00AE5C96">
            <w:pPr>
              <w:tabs>
                <w:tab w:val="left" w:pos="426"/>
                <w:tab w:val="left" w:pos="1418"/>
              </w:tabs>
              <w:spacing w:line="360" w:lineRule="auto"/>
              <w:jc w:val="both"/>
              <w:rPr>
                <w:sz w:val="24"/>
                <w:szCs w:val="24"/>
              </w:rPr>
            </w:pPr>
            <w:r>
              <w:rPr>
                <w:sz w:val="24"/>
                <w:szCs w:val="24"/>
              </w:rPr>
              <w:t>6</w:t>
            </w:r>
          </w:p>
        </w:tc>
      </w:tr>
      <w:tr w:rsidR="0098184C" w:rsidRPr="00426478" w:rsidTr="00FD5F85">
        <w:trPr>
          <w:trHeight w:val="512"/>
        </w:trPr>
        <w:tc>
          <w:tcPr>
            <w:tcW w:w="4606" w:type="dxa"/>
            <w:vMerge w:val="restart"/>
          </w:tcPr>
          <w:p w:rsidR="0098184C" w:rsidRPr="00426478" w:rsidRDefault="0098184C"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98184C" w:rsidRPr="00426478" w:rsidRDefault="00084922" w:rsidP="00AE5C96">
            <w:pPr>
              <w:tabs>
                <w:tab w:val="left" w:pos="426"/>
                <w:tab w:val="left" w:pos="1418"/>
              </w:tabs>
              <w:spacing w:line="360" w:lineRule="auto"/>
              <w:jc w:val="both"/>
              <w:rPr>
                <w:sz w:val="24"/>
                <w:szCs w:val="24"/>
              </w:rPr>
            </w:pPr>
            <w:r w:rsidRPr="00426478">
              <w:rPr>
                <w:sz w:val="24"/>
                <w:szCs w:val="24"/>
              </w:rPr>
              <w:t>zcel</w:t>
            </w:r>
            <w:r w:rsidR="0098184C" w:rsidRPr="00426478">
              <w:rPr>
                <w:sz w:val="24"/>
                <w:szCs w:val="24"/>
              </w:rPr>
              <w:t>a:</w:t>
            </w:r>
            <w:r w:rsidR="00F75DD2" w:rsidRPr="00426478">
              <w:rPr>
                <w:sz w:val="24"/>
                <w:szCs w:val="24"/>
              </w:rPr>
              <w:t xml:space="preserve"> </w:t>
            </w:r>
            <w:r w:rsidR="0028042C">
              <w:rPr>
                <w:sz w:val="24"/>
                <w:szCs w:val="24"/>
              </w:rPr>
              <w:t>1</w:t>
            </w:r>
          </w:p>
        </w:tc>
      </w:tr>
      <w:tr w:rsidR="0098184C" w:rsidRPr="00426478" w:rsidTr="00FD5F85">
        <w:trPr>
          <w:trHeight w:val="512"/>
        </w:trPr>
        <w:tc>
          <w:tcPr>
            <w:tcW w:w="4606" w:type="dxa"/>
            <w:vMerge/>
          </w:tcPr>
          <w:p w:rsidR="0098184C" w:rsidRPr="00426478" w:rsidRDefault="0098184C" w:rsidP="00AE5C96">
            <w:pPr>
              <w:tabs>
                <w:tab w:val="left" w:pos="426"/>
                <w:tab w:val="left" w:pos="1418"/>
              </w:tabs>
              <w:spacing w:line="360" w:lineRule="auto"/>
              <w:jc w:val="both"/>
              <w:rPr>
                <w:sz w:val="24"/>
                <w:szCs w:val="24"/>
              </w:rPr>
            </w:pPr>
          </w:p>
        </w:tc>
        <w:tc>
          <w:tcPr>
            <w:tcW w:w="4606" w:type="dxa"/>
          </w:tcPr>
          <w:p w:rsidR="0098184C" w:rsidRPr="00426478" w:rsidRDefault="0098184C" w:rsidP="00AE5C96">
            <w:pPr>
              <w:tabs>
                <w:tab w:val="left" w:pos="426"/>
                <w:tab w:val="left" w:pos="1418"/>
              </w:tabs>
              <w:spacing w:line="360" w:lineRule="auto"/>
              <w:jc w:val="both"/>
              <w:rPr>
                <w:sz w:val="24"/>
                <w:szCs w:val="24"/>
              </w:rPr>
            </w:pPr>
            <w:r w:rsidRPr="00426478">
              <w:rPr>
                <w:sz w:val="24"/>
                <w:szCs w:val="24"/>
              </w:rPr>
              <w:t>částečně:</w:t>
            </w:r>
            <w:r w:rsidR="00F75DD2" w:rsidRPr="00426478">
              <w:rPr>
                <w:sz w:val="24"/>
                <w:szCs w:val="24"/>
              </w:rPr>
              <w:t xml:space="preserve"> </w:t>
            </w:r>
            <w:r w:rsidR="0028042C">
              <w:rPr>
                <w:sz w:val="24"/>
                <w:szCs w:val="24"/>
              </w:rPr>
              <w:t>0</w:t>
            </w:r>
          </w:p>
        </w:tc>
      </w:tr>
    </w:tbl>
    <w:p w:rsidR="009B4920" w:rsidRPr="00426478" w:rsidRDefault="009B4920" w:rsidP="00AE5C96">
      <w:pPr>
        <w:tabs>
          <w:tab w:val="left" w:pos="426"/>
          <w:tab w:val="left" w:pos="1418"/>
        </w:tabs>
        <w:spacing w:after="0" w:line="360" w:lineRule="auto"/>
        <w:jc w:val="both"/>
        <w:rPr>
          <w:sz w:val="24"/>
          <w:szCs w:val="24"/>
        </w:rPr>
      </w:pPr>
    </w:p>
    <w:p w:rsidR="000719A2" w:rsidRPr="008D11B8" w:rsidRDefault="000544AE" w:rsidP="00AE5C96">
      <w:pPr>
        <w:pStyle w:val="Nadpis2"/>
        <w:numPr>
          <w:ilvl w:val="1"/>
          <w:numId w:val="4"/>
        </w:numPr>
        <w:spacing w:line="360" w:lineRule="auto"/>
        <w:jc w:val="both"/>
        <w:rPr>
          <w:rFonts w:ascii="Times New Roman" w:hAnsi="Times New Roman" w:cs="Times New Roman"/>
          <w:color w:val="auto"/>
        </w:rPr>
      </w:pPr>
      <w:bookmarkStart w:id="27" w:name="_Toc409631303"/>
      <w:r w:rsidRPr="008D11B8">
        <w:rPr>
          <w:rFonts w:ascii="Times New Roman" w:hAnsi="Times New Roman" w:cs="Times New Roman"/>
          <w:color w:val="auto"/>
        </w:rPr>
        <w:t>Právo na zaopatření</w:t>
      </w:r>
      <w:r w:rsidR="00580ADE">
        <w:rPr>
          <w:rStyle w:val="Znakapoznpodarou"/>
          <w:rFonts w:ascii="Times New Roman" w:hAnsi="Times New Roman" w:cs="Times New Roman"/>
          <w:color w:val="auto"/>
        </w:rPr>
        <w:footnoteReference w:id="59"/>
      </w:r>
      <w:bookmarkEnd w:id="27"/>
    </w:p>
    <w:p w:rsidR="000544AE" w:rsidRPr="00426478" w:rsidRDefault="00651443" w:rsidP="00AE5C96">
      <w:pPr>
        <w:tabs>
          <w:tab w:val="left" w:pos="426"/>
          <w:tab w:val="left" w:pos="1418"/>
        </w:tabs>
        <w:spacing w:after="0" w:line="360" w:lineRule="auto"/>
        <w:ind w:firstLine="567"/>
        <w:jc w:val="both"/>
        <w:rPr>
          <w:sz w:val="24"/>
          <w:szCs w:val="24"/>
        </w:rPr>
      </w:pPr>
      <w:r>
        <w:rPr>
          <w:sz w:val="24"/>
          <w:szCs w:val="24"/>
        </w:rPr>
        <w:t>VN obsahu</w:t>
      </w:r>
      <w:r w:rsidR="00400F31" w:rsidRPr="00426478">
        <w:rPr>
          <w:sz w:val="24"/>
          <w:szCs w:val="24"/>
        </w:rPr>
        <w:t xml:space="preserve">je v samostatné Hlavě 23. </w:t>
      </w:r>
      <w:r>
        <w:rPr>
          <w:sz w:val="24"/>
          <w:szCs w:val="24"/>
        </w:rPr>
        <w:t xml:space="preserve">právní </w:t>
      </w:r>
      <w:r w:rsidR="00400F31" w:rsidRPr="00426478">
        <w:rPr>
          <w:sz w:val="24"/>
          <w:szCs w:val="24"/>
        </w:rPr>
        <w:t xml:space="preserve">úpravu výživy a zaopatření z pozůstalosti, a stejně tak činí i NOZ v Díle 6 Hlavy III. NOZ v ustanovení § 1665 shodně s ustanovením </w:t>
      </w:r>
      <w:r w:rsidR="00AE5C96">
        <w:rPr>
          <w:sz w:val="24"/>
          <w:szCs w:val="24"/>
        </w:rPr>
        <w:br/>
      </w:r>
      <w:r w:rsidR="00400F31" w:rsidRPr="00426478">
        <w:rPr>
          <w:sz w:val="24"/>
          <w:szCs w:val="24"/>
        </w:rPr>
        <w:t xml:space="preserve">§ 608 VN stanovuje, že ten, kdo by jinak byl nepominutelným dědicem, ale nemá právo na povinný díl, má právo na nutnou výživu, pokud se mu jí nedostává a pokud není schopen sám se živit. Oproti VN </w:t>
      </w:r>
      <w:r>
        <w:rPr>
          <w:sz w:val="24"/>
          <w:szCs w:val="24"/>
        </w:rPr>
        <w:t xml:space="preserve">však </w:t>
      </w:r>
      <w:r w:rsidR="00400F31" w:rsidRPr="00426478">
        <w:rPr>
          <w:sz w:val="24"/>
          <w:szCs w:val="24"/>
        </w:rPr>
        <w:t>NOZ navíc stanovuje podmínku, že osoba</w:t>
      </w:r>
      <w:r>
        <w:rPr>
          <w:sz w:val="24"/>
          <w:szCs w:val="24"/>
        </w:rPr>
        <w:t xml:space="preserve"> má právo na nutnou výživu</w:t>
      </w:r>
      <w:r w:rsidR="00B956B6">
        <w:rPr>
          <w:sz w:val="24"/>
          <w:szCs w:val="24"/>
        </w:rPr>
        <w:t>,</w:t>
      </w:r>
      <w:r>
        <w:rPr>
          <w:sz w:val="24"/>
          <w:szCs w:val="24"/>
        </w:rPr>
        <w:t xml:space="preserve"> jen pokud</w:t>
      </w:r>
      <w:r w:rsidR="00400F31" w:rsidRPr="00426478">
        <w:rPr>
          <w:sz w:val="24"/>
          <w:szCs w:val="24"/>
        </w:rPr>
        <w:t xml:space="preserve"> není schopna se sama živit. VN tuto podmínku nestanovuje. Další podmínky však již jsou v obou právních předpisech shodné. Jedná se o podmínku, že osoba nemůže dostat z pozůstalosti více, než kolik by činil její povinný díl, dále, že nemá právo na </w:t>
      </w:r>
      <w:r w:rsidR="00400F31" w:rsidRPr="00426478">
        <w:rPr>
          <w:sz w:val="24"/>
          <w:szCs w:val="24"/>
        </w:rPr>
        <w:lastRenderedPageBreak/>
        <w:t>nutnou výživu, pokud na jejím místě dědí její potomek</w:t>
      </w:r>
      <w:r>
        <w:rPr>
          <w:sz w:val="24"/>
          <w:szCs w:val="24"/>
        </w:rPr>
        <w:t>,</w:t>
      </w:r>
      <w:r w:rsidR="00400F31" w:rsidRPr="00426478">
        <w:rPr>
          <w:sz w:val="24"/>
          <w:szCs w:val="24"/>
        </w:rPr>
        <w:t xml:space="preserve"> anebo je-li její potomek povolán na jejím místě k povinnému dílu.</w:t>
      </w:r>
    </w:p>
    <w:p w:rsidR="00400F31" w:rsidRPr="008D11B8" w:rsidRDefault="00400F31" w:rsidP="00AE5C96">
      <w:pPr>
        <w:pStyle w:val="Nadpis3"/>
        <w:numPr>
          <w:ilvl w:val="2"/>
          <w:numId w:val="4"/>
        </w:numPr>
        <w:spacing w:line="360" w:lineRule="auto"/>
        <w:jc w:val="both"/>
        <w:rPr>
          <w:rFonts w:ascii="Times New Roman" w:hAnsi="Times New Roman" w:cs="Times New Roman"/>
          <w:color w:val="auto"/>
          <w:sz w:val="24"/>
        </w:rPr>
      </w:pPr>
      <w:bookmarkStart w:id="28" w:name="_Toc409631304"/>
      <w:r w:rsidRPr="008D11B8">
        <w:rPr>
          <w:rFonts w:ascii="Times New Roman" w:hAnsi="Times New Roman" w:cs="Times New Roman"/>
          <w:color w:val="auto"/>
          <w:sz w:val="24"/>
        </w:rPr>
        <w:t>Právo pozůstalého manžela na zaopatření</w:t>
      </w:r>
      <w:bookmarkEnd w:id="28"/>
    </w:p>
    <w:p w:rsidR="00400F31" w:rsidRPr="00426478" w:rsidRDefault="00F67EDF" w:rsidP="00AE5C96">
      <w:pPr>
        <w:tabs>
          <w:tab w:val="left" w:pos="426"/>
          <w:tab w:val="left" w:pos="1418"/>
        </w:tabs>
        <w:spacing w:after="0" w:line="360" w:lineRule="auto"/>
        <w:ind w:firstLine="567"/>
        <w:jc w:val="both"/>
        <w:rPr>
          <w:sz w:val="24"/>
          <w:szCs w:val="24"/>
        </w:rPr>
      </w:pPr>
      <w:r w:rsidRPr="00426478">
        <w:rPr>
          <w:sz w:val="24"/>
          <w:szCs w:val="24"/>
        </w:rPr>
        <w:t>Speciálně je ve VN i NOZ upraveno právo na zaopatření pozůstalého manžela.</w:t>
      </w:r>
      <w:r w:rsidR="002F7478" w:rsidRPr="00426478">
        <w:rPr>
          <w:sz w:val="24"/>
          <w:szCs w:val="24"/>
        </w:rPr>
        <w:t xml:space="preserve"> VN stanovuje, že pozůstalý manžel má užívací právo na movitostech, které by mu připadly do vlastnictví podle zákonné posloupnosti. Dále má po dobu vdovství právo na zaopatření odpovídající dosavadní životní míře, pokud se mu ho jinak nedostává. Takové zaopatření může být sníženo na nutnou výživu, svědčí-li proti manželu důvody dědické nezpůsobilosti.</w:t>
      </w:r>
      <w:r w:rsidR="00206DF4" w:rsidRPr="00426478">
        <w:rPr>
          <w:sz w:val="24"/>
          <w:szCs w:val="24"/>
        </w:rPr>
        <w:t xml:space="preserve"> NOZ shodně stanovuje, že pozůstalý manžel nabývá vlastnické právo k movitým věcem, které tvoří základní vybavení rodinné domácnosti, i když není dědicem.</w:t>
      </w:r>
      <w:r w:rsidR="003D030A" w:rsidRPr="00426478">
        <w:rPr>
          <w:sz w:val="24"/>
          <w:szCs w:val="24"/>
        </w:rPr>
        <w:t xml:space="preserve"> Pozůstalý manžel má dle NOZ právo na slušnou výživu po dobu šesti týdnů po smrti manžela, a je-li vdova těhotná, má právo na takovou výživu až do konce šestého týdne po porodu.</w:t>
      </w:r>
    </w:p>
    <w:p w:rsidR="003D030A" w:rsidRPr="00426478" w:rsidRDefault="003D030A" w:rsidP="00AE5C96">
      <w:pPr>
        <w:tabs>
          <w:tab w:val="left" w:pos="426"/>
          <w:tab w:val="left" w:pos="1418"/>
        </w:tabs>
        <w:spacing w:after="0" w:line="360" w:lineRule="auto"/>
        <w:ind w:firstLine="567"/>
        <w:jc w:val="both"/>
        <w:rPr>
          <w:sz w:val="24"/>
          <w:szCs w:val="24"/>
        </w:rPr>
      </w:pPr>
      <w:r w:rsidRPr="00426478">
        <w:rPr>
          <w:sz w:val="24"/>
          <w:szCs w:val="24"/>
        </w:rPr>
        <w:t>VN ohledně práva pozůstalého manžela na zaopatření nadále stanovuje, že pokud by právem pozůstalého manžela bylo zkráceno právo na slušnou výživu zůstavitelových potomků, ztenčí se právo pozůstalého manžela na tolik, aby se jemu a potomkům zůstavitele dostalo stejné výživy. Nutná výživa nepominutelného dědice nesmí být právy pozůstalého manžela nikdy zkrácena. NOZ</w:t>
      </w:r>
      <w:r w:rsidR="005253BB" w:rsidRPr="00426478">
        <w:rPr>
          <w:sz w:val="24"/>
          <w:szCs w:val="24"/>
        </w:rPr>
        <w:t xml:space="preserve"> obsahuje obdobné ustanovení.  Stanovuje v ustanovení § 1666 odst. 3, že bylo- li by právem pozůstalého manžela zkráceno právo na nutnou výživu nepominutelného dědice, zkrátí se právo pozůstalého manžela tak, aby se všem dostalo stejné výživy.</w:t>
      </w:r>
    </w:p>
    <w:p w:rsidR="005253BB" w:rsidRPr="00426478" w:rsidRDefault="005253BB" w:rsidP="00AE5C96">
      <w:pPr>
        <w:tabs>
          <w:tab w:val="left" w:pos="426"/>
          <w:tab w:val="left" w:pos="1418"/>
        </w:tabs>
        <w:spacing w:after="0" w:line="360" w:lineRule="auto"/>
        <w:ind w:firstLine="567"/>
        <w:jc w:val="both"/>
        <w:rPr>
          <w:sz w:val="24"/>
          <w:szCs w:val="24"/>
        </w:rPr>
      </w:pPr>
      <w:r w:rsidRPr="00426478">
        <w:rPr>
          <w:sz w:val="24"/>
          <w:szCs w:val="24"/>
        </w:rPr>
        <w:t>NOZ oproti VN navíc upravuje v ustanovení § 1666 odst. 2 případ, kdy byl pozůstalému manželu odepřen nebo zkrácen zákonný dědický podíl. V tomto případě má poté právo na nutné zaopatření až do uzavření nového manželství. Podmínkami pro takové zaopatření však jsou ty, že se mu takové zaopatření nedostává jinak, není schopen se sám živit a nakonec, že nemůže z pozůstalosti dostat více než kolik by činila polovina jeho zákonného dědického podílu. Výslovně NOZ uvádí, že právo na takové nutné zaopatření nemá manžel, který bez vážných důvodů nesdílel se zůstavitelem rodinnou domácnost, manžel nezpůsobilý být dědicem a manžel, který se dědictví zřekl nebo je</w:t>
      </w:r>
      <w:r w:rsidR="00631F32">
        <w:rPr>
          <w:sz w:val="24"/>
          <w:szCs w:val="24"/>
        </w:rPr>
        <w:t xml:space="preserve">j </w:t>
      </w:r>
      <w:r w:rsidRPr="00426478">
        <w:rPr>
          <w:sz w:val="24"/>
          <w:szCs w:val="24"/>
        </w:rPr>
        <w:t>odmítl. Dostává-li se pozůstalému m</w:t>
      </w:r>
      <w:r w:rsidR="007F3953" w:rsidRPr="00426478">
        <w:rPr>
          <w:sz w:val="24"/>
          <w:szCs w:val="24"/>
        </w:rPr>
        <w:t xml:space="preserve">anželu nutné zaopatření, nesmí </w:t>
      </w:r>
      <w:r w:rsidRPr="00426478">
        <w:rPr>
          <w:sz w:val="24"/>
          <w:szCs w:val="24"/>
        </w:rPr>
        <w:t>tím být zkráceno právo na</w:t>
      </w:r>
      <w:r w:rsidR="007F3953" w:rsidRPr="00426478">
        <w:rPr>
          <w:sz w:val="24"/>
          <w:szCs w:val="24"/>
        </w:rPr>
        <w:t xml:space="preserve"> nutnou výživu nepominutelných dědiců.</w:t>
      </w:r>
    </w:p>
    <w:p w:rsidR="007F3953" w:rsidRDefault="007F3953" w:rsidP="00AE5C96">
      <w:pPr>
        <w:tabs>
          <w:tab w:val="left" w:pos="426"/>
          <w:tab w:val="left" w:pos="1418"/>
        </w:tabs>
        <w:spacing w:after="0" w:line="360" w:lineRule="auto"/>
        <w:ind w:firstLine="567"/>
        <w:jc w:val="both"/>
        <w:rPr>
          <w:sz w:val="24"/>
          <w:szCs w:val="24"/>
        </w:rPr>
      </w:pPr>
      <w:r w:rsidRPr="00426478">
        <w:rPr>
          <w:sz w:val="24"/>
          <w:szCs w:val="24"/>
        </w:rPr>
        <w:t xml:space="preserve">NOZ navíc upravuje i právo pozůstalého rodiče na nutné zaopatření. Shodně s VN </w:t>
      </w:r>
      <w:r w:rsidR="00631F32">
        <w:rPr>
          <w:sz w:val="24"/>
          <w:szCs w:val="24"/>
        </w:rPr>
        <w:t xml:space="preserve">pak </w:t>
      </w:r>
      <w:r w:rsidRPr="00426478">
        <w:rPr>
          <w:sz w:val="24"/>
          <w:szCs w:val="24"/>
        </w:rPr>
        <w:t>stanovuje, že osobám, které požívaly do smrti zůstavitele bezplatné zaopatření v jeho domácnosti, přísluší stejné zaopatření ještě tři týdny po smrti zůstavitele.</w:t>
      </w:r>
    </w:p>
    <w:tbl>
      <w:tblPr>
        <w:tblStyle w:val="Mkatabulky"/>
        <w:tblW w:w="9212" w:type="dxa"/>
        <w:tblInd w:w="108" w:type="dxa"/>
        <w:tblLook w:val="04A0"/>
      </w:tblPr>
      <w:tblGrid>
        <w:gridCol w:w="4606"/>
        <w:gridCol w:w="4606"/>
      </w:tblGrid>
      <w:tr w:rsidR="00D6692A" w:rsidRPr="00426478" w:rsidTr="00FD1B14">
        <w:tc>
          <w:tcPr>
            <w:tcW w:w="4606" w:type="dxa"/>
          </w:tcPr>
          <w:p w:rsidR="00D6692A" w:rsidRPr="00426478" w:rsidRDefault="00D6692A" w:rsidP="00AE5C96">
            <w:pPr>
              <w:tabs>
                <w:tab w:val="left" w:pos="426"/>
                <w:tab w:val="left" w:pos="1418"/>
              </w:tabs>
              <w:spacing w:line="360" w:lineRule="auto"/>
              <w:jc w:val="both"/>
              <w:rPr>
                <w:sz w:val="24"/>
                <w:szCs w:val="24"/>
              </w:rPr>
            </w:pPr>
            <w:r w:rsidRPr="00426478">
              <w:rPr>
                <w:sz w:val="24"/>
                <w:szCs w:val="24"/>
              </w:rPr>
              <w:lastRenderedPageBreak/>
              <w:t>Počet ustanovení v NOZ</w:t>
            </w:r>
          </w:p>
        </w:tc>
        <w:tc>
          <w:tcPr>
            <w:tcW w:w="4606" w:type="dxa"/>
          </w:tcPr>
          <w:p w:rsidR="00D6692A" w:rsidRPr="00426478" w:rsidRDefault="009E2AD9" w:rsidP="00AE5C96">
            <w:pPr>
              <w:tabs>
                <w:tab w:val="left" w:pos="426"/>
                <w:tab w:val="left" w:pos="1418"/>
              </w:tabs>
              <w:spacing w:line="360" w:lineRule="auto"/>
              <w:jc w:val="both"/>
              <w:rPr>
                <w:sz w:val="24"/>
                <w:szCs w:val="24"/>
              </w:rPr>
            </w:pPr>
            <w:r w:rsidRPr="00426478">
              <w:rPr>
                <w:sz w:val="24"/>
                <w:szCs w:val="24"/>
              </w:rPr>
              <w:t>5</w:t>
            </w:r>
          </w:p>
        </w:tc>
      </w:tr>
      <w:tr w:rsidR="00D6692A" w:rsidRPr="00426478" w:rsidTr="00FD1B14">
        <w:tc>
          <w:tcPr>
            <w:tcW w:w="4606" w:type="dxa"/>
          </w:tcPr>
          <w:p w:rsidR="00D6692A" w:rsidRPr="00426478" w:rsidRDefault="00D6692A"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D6692A" w:rsidRPr="00426478" w:rsidRDefault="009E2AD9" w:rsidP="00AE5C96">
            <w:pPr>
              <w:tabs>
                <w:tab w:val="left" w:pos="426"/>
                <w:tab w:val="left" w:pos="1418"/>
              </w:tabs>
              <w:spacing w:line="360" w:lineRule="auto"/>
              <w:jc w:val="both"/>
              <w:rPr>
                <w:sz w:val="24"/>
                <w:szCs w:val="24"/>
              </w:rPr>
            </w:pPr>
            <w:r w:rsidRPr="00426478">
              <w:rPr>
                <w:sz w:val="24"/>
                <w:szCs w:val="24"/>
              </w:rPr>
              <w:t>5</w:t>
            </w:r>
          </w:p>
        </w:tc>
      </w:tr>
      <w:tr w:rsidR="00E322C1" w:rsidRPr="00426478" w:rsidTr="00FD1B14">
        <w:trPr>
          <w:trHeight w:val="512"/>
        </w:trPr>
        <w:tc>
          <w:tcPr>
            <w:tcW w:w="4606" w:type="dxa"/>
            <w:vMerge w:val="restart"/>
          </w:tcPr>
          <w:p w:rsidR="00E322C1" w:rsidRPr="00426478" w:rsidRDefault="00E322C1"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E322C1" w:rsidRPr="00426478" w:rsidRDefault="00084922" w:rsidP="00AE5C96">
            <w:pPr>
              <w:tabs>
                <w:tab w:val="left" w:pos="426"/>
                <w:tab w:val="left" w:pos="1418"/>
              </w:tabs>
              <w:spacing w:line="360" w:lineRule="auto"/>
              <w:jc w:val="both"/>
              <w:rPr>
                <w:sz w:val="24"/>
                <w:szCs w:val="24"/>
              </w:rPr>
            </w:pPr>
            <w:r w:rsidRPr="00426478">
              <w:rPr>
                <w:sz w:val="24"/>
                <w:szCs w:val="24"/>
              </w:rPr>
              <w:t>zcel</w:t>
            </w:r>
            <w:r w:rsidR="00E322C1" w:rsidRPr="00426478">
              <w:rPr>
                <w:sz w:val="24"/>
                <w:szCs w:val="24"/>
              </w:rPr>
              <w:t>a: 3</w:t>
            </w:r>
          </w:p>
        </w:tc>
      </w:tr>
      <w:tr w:rsidR="00E322C1" w:rsidRPr="00426478" w:rsidTr="00FD1B14">
        <w:trPr>
          <w:trHeight w:val="512"/>
        </w:trPr>
        <w:tc>
          <w:tcPr>
            <w:tcW w:w="4606" w:type="dxa"/>
            <w:vMerge/>
          </w:tcPr>
          <w:p w:rsidR="00E322C1" w:rsidRPr="00426478" w:rsidRDefault="00E322C1" w:rsidP="00AE5C96">
            <w:pPr>
              <w:tabs>
                <w:tab w:val="left" w:pos="426"/>
                <w:tab w:val="left" w:pos="1418"/>
              </w:tabs>
              <w:spacing w:line="360" w:lineRule="auto"/>
              <w:jc w:val="both"/>
              <w:rPr>
                <w:sz w:val="24"/>
                <w:szCs w:val="24"/>
              </w:rPr>
            </w:pPr>
          </w:p>
        </w:tc>
        <w:tc>
          <w:tcPr>
            <w:tcW w:w="4606" w:type="dxa"/>
          </w:tcPr>
          <w:p w:rsidR="00E322C1" w:rsidRPr="00426478" w:rsidRDefault="00E322C1" w:rsidP="00AE5C96">
            <w:pPr>
              <w:tabs>
                <w:tab w:val="left" w:pos="426"/>
                <w:tab w:val="left" w:pos="1418"/>
              </w:tabs>
              <w:spacing w:line="360" w:lineRule="auto"/>
              <w:jc w:val="both"/>
              <w:rPr>
                <w:sz w:val="24"/>
                <w:szCs w:val="24"/>
              </w:rPr>
            </w:pPr>
            <w:r w:rsidRPr="00426478">
              <w:rPr>
                <w:sz w:val="24"/>
                <w:szCs w:val="24"/>
              </w:rPr>
              <w:t>částečně: 1</w:t>
            </w:r>
          </w:p>
        </w:tc>
      </w:tr>
    </w:tbl>
    <w:p w:rsidR="00934981" w:rsidRPr="008D11B8" w:rsidRDefault="00934981" w:rsidP="00AE5C96">
      <w:pPr>
        <w:pStyle w:val="Nadpis2"/>
        <w:numPr>
          <w:ilvl w:val="1"/>
          <w:numId w:val="4"/>
        </w:numPr>
        <w:spacing w:line="360" w:lineRule="auto"/>
        <w:jc w:val="both"/>
        <w:rPr>
          <w:rFonts w:ascii="Times New Roman" w:hAnsi="Times New Roman" w:cs="Times New Roman"/>
          <w:color w:val="auto"/>
        </w:rPr>
      </w:pPr>
      <w:bookmarkStart w:id="29" w:name="_Toc409631305"/>
      <w:r w:rsidRPr="008D11B8">
        <w:rPr>
          <w:rFonts w:ascii="Times New Roman" w:hAnsi="Times New Roman" w:cs="Times New Roman"/>
          <w:color w:val="auto"/>
        </w:rPr>
        <w:t>Přechod pozůstalosti na dědice</w:t>
      </w:r>
      <w:r w:rsidR="00580ADE">
        <w:rPr>
          <w:rStyle w:val="Znakapoznpodarou"/>
          <w:rFonts w:ascii="Times New Roman" w:hAnsi="Times New Roman" w:cs="Times New Roman"/>
          <w:color w:val="auto"/>
        </w:rPr>
        <w:footnoteReference w:id="60"/>
      </w:r>
      <w:bookmarkEnd w:id="29"/>
    </w:p>
    <w:p w:rsidR="00EB7E85" w:rsidRPr="00426478" w:rsidRDefault="00021832" w:rsidP="00AE5C96">
      <w:pPr>
        <w:tabs>
          <w:tab w:val="left" w:pos="426"/>
          <w:tab w:val="left" w:pos="1418"/>
        </w:tabs>
        <w:spacing w:after="0" w:line="360" w:lineRule="auto"/>
        <w:ind w:firstLine="567"/>
        <w:jc w:val="both"/>
        <w:rPr>
          <w:sz w:val="24"/>
          <w:szCs w:val="24"/>
        </w:rPr>
      </w:pPr>
      <w:r w:rsidRPr="00426478">
        <w:rPr>
          <w:sz w:val="24"/>
          <w:szCs w:val="24"/>
        </w:rPr>
        <w:t>Hlava 24. je poslední hlavou VN, která se věnuje dědickému právu a obsahuje právní úpravu přechodu pozůstalosti na dědice. NOZ obsahuje tuto právní úp</w:t>
      </w:r>
      <w:r w:rsidR="00300BE2">
        <w:rPr>
          <w:sz w:val="24"/>
          <w:szCs w:val="24"/>
        </w:rPr>
        <w:t>ravu v Dílu</w:t>
      </w:r>
      <w:r w:rsidRPr="00426478">
        <w:rPr>
          <w:sz w:val="24"/>
          <w:szCs w:val="24"/>
        </w:rPr>
        <w:t xml:space="preserve"> 7 Hlavy III. Oba právní předpisy stanovují, že nabytí dědictví musí vždy potvrdit soud.</w:t>
      </w:r>
      <w:r w:rsidR="00D40C5A" w:rsidRPr="00426478">
        <w:rPr>
          <w:sz w:val="24"/>
          <w:szCs w:val="24"/>
        </w:rPr>
        <w:t xml:space="preserve"> Pokud dědic neuplatní své dědické právo ve lhůtě stanovené soudem, jeho dědické právo sice nezaniká, ale nepřihlíží se k němu při projednání pozůstalosti.</w:t>
      </w:r>
    </w:p>
    <w:p w:rsidR="00AB5C3E" w:rsidRPr="00426478" w:rsidRDefault="00257E88" w:rsidP="00AE5C96">
      <w:pPr>
        <w:tabs>
          <w:tab w:val="left" w:pos="426"/>
          <w:tab w:val="left" w:pos="1418"/>
        </w:tabs>
        <w:spacing w:after="0" w:line="360" w:lineRule="auto"/>
        <w:ind w:firstLine="567"/>
        <w:jc w:val="both"/>
        <w:rPr>
          <w:sz w:val="24"/>
          <w:szCs w:val="24"/>
        </w:rPr>
      </w:pPr>
      <w:r w:rsidRPr="00426478">
        <w:rPr>
          <w:sz w:val="24"/>
          <w:szCs w:val="24"/>
        </w:rPr>
        <w:t xml:space="preserve">VN stanovuje, že dědic se musí ucházet o dědictví dědickou přihláškou, která musí obsahovat zákonem dané náležitosti, jinak je bez právních následků. </w:t>
      </w:r>
      <w:r w:rsidR="00AB5C3E" w:rsidRPr="00426478">
        <w:rPr>
          <w:sz w:val="24"/>
          <w:szCs w:val="24"/>
        </w:rPr>
        <w:t xml:space="preserve">NOZ se k dědickým přihláškám nevrací. </w:t>
      </w:r>
      <w:r w:rsidR="00CE1D1E" w:rsidRPr="00426478">
        <w:rPr>
          <w:sz w:val="24"/>
          <w:szCs w:val="24"/>
        </w:rPr>
        <w:t>Řízení o pozůstalosti je nyní upraveno v zákoně č. 292/ 2013 Sb., o zvláštních řízeních soudních. Takové řízení se zahajuje zpravidla bez návrhu, na základě oznámení matričního úřadu o smrti fyzické osoby. Výjimečně může být zahájeno i na návrh, pokud je z návrhu patrno, že navrhovatel si činí právo na pozůstalost jako dědic.</w:t>
      </w:r>
    </w:p>
    <w:p w:rsidR="00D40C5A" w:rsidRPr="00426478" w:rsidRDefault="00257E88" w:rsidP="00AE5C96">
      <w:pPr>
        <w:tabs>
          <w:tab w:val="left" w:pos="426"/>
          <w:tab w:val="left" w:pos="1418"/>
        </w:tabs>
        <w:spacing w:after="0" w:line="360" w:lineRule="auto"/>
        <w:ind w:firstLine="567"/>
        <w:jc w:val="both"/>
        <w:rPr>
          <w:sz w:val="24"/>
          <w:szCs w:val="24"/>
        </w:rPr>
      </w:pPr>
      <w:r w:rsidRPr="00426478">
        <w:rPr>
          <w:sz w:val="24"/>
          <w:szCs w:val="24"/>
        </w:rPr>
        <w:t>VN i NOZ obsahují právní úpravu případu, kdy si odporují uplatněná práva na dědictví. Soud je v tomto případě povinen odkázat osobu, jejíž dědické právo se opírá o nejslabší důvod, aby své právo uplatnila žalobou.</w:t>
      </w:r>
      <w:r w:rsidR="000134DA" w:rsidRPr="00426478">
        <w:rPr>
          <w:sz w:val="24"/>
          <w:szCs w:val="24"/>
        </w:rPr>
        <w:t xml:space="preserve"> Shodně potom stanovují i pravidlo, že nejsilnějším důvodem je dědická smlouva nepopřená co do pravosti, poté závět a nakonec zákonná posloupnost.</w:t>
      </w:r>
    </w:p>
    <w:p w:rsidR="00EA3C91" w:rsidRPr="008D11B8" w:rsidRDefault="00EA3C91" w:rsidP="00AE5C96">
      <w:pPr>
        <w:pStyle w:val="Nadpis3"/>
        <w:numPr>
          <w:ilvl w:val="2"/>
          <w:numId w:val="4"/>
        </w:numPr>
        <w:spacing w:line="360" w:lineRule="auto"/>
        <w:jc w:val="both"/>
        <w:rPr>
          <w:rFonts w:ascii="Times New Roman" w:hAnsi="Times New Roman" w:cs="Times New Roman"/>
          <w:color w:val="auto"/>
          <w:sz w:val="24"/>
        </w:rPr>
      </w:pPr>
      <w:bookmarkStart w:id="30" w:name="_Toc409631306"/>
      <w:r w:rsidRPr="008D11B8">
        <w:rPr>
          <w:rFonts w:ascii="Times New Roman" w:hAnsi="Times New Roman" w:cs="Times New Roman"/>
          <w:color w:val="auto"/>
          <w:sz w:val="24"/>
        </w:rPr>
        <w:t>Soupis pozůstalosti</w:t>
      </w:r>
      <w:bookmarkEnd w:id="30"/>
    </w:p>
    <w:p w:rsidR="00EA3C91" w:rsidRPr="00426478" w:rsidRDefault="00EA3C91" w:rsidP="00AE5C96">
      <w:pPr>
        <w:tabs>
          <w:tab w:val="left" w:pos="426"/>
          <w:tab w:val="left" w:pos="1418"/>
        </w:tabs>
        <w:spacing w:after="0" w:line="360" w:lineRule="auto"/>
        <w:ind w:firstLine="567"/>
        <w:jc w:val="both"/>
        <w:rPr>
          <w:sz w:val="24"/>
          <w:szCs w:val="24"/>
        </w:rPr>
      </w:pPr>
      <w:r w:rsidRPr="00426478">
        <w:rPr>
          <w:sz w:val="24"/>
          <w:szCs w:val="24"/>
        </w:rPr>
        <w:t>Výhradu soupisu uplatňuje dle právní úpravy ve VN dědic v dědické přihlášce, dle NOZ ústně či písemně u soudu. Dle VN i NOZ platí, že zůstavitel nemůže odejmout právo na výhradu soupisu pozůstalosti.</w:t>
      </w:r>
    </w:p>
    <w:p w:rsidR="00EA3C91" w:rsidRPr="00426478" w:rsidRDefault="00EA3C91" w:rsidP="00AE5C96">
      <w:pPr>
        <w:tabs>
          <w:tab w:val="left" w:pos="426"/>
          <w:tab w:val="left" w:pos="1418"/>
        </w:tabs>
        <w:spacing w:after="0" w:line="360" w:lineRule="auto"/>
        <w:ind w:firstLine="567"/>
        <w:jc w:val="both"/>
        <w:rPr>
          <w:sz w:val="24"/>
          <w:szCs w:val="24"/>
        </w:rPr>
      </w:pPr>
      <w:r w:rsidRPr="00426478">
        <w:rPr>
          <w:sz w:val="24"/>
          <w:szCs w:val="24"/>
        </w:rPr>
        <w:t>Účelem soupisu pozůstalosti je zjistit a odhadnout pozůstalostní jmění ke dni smrti zůstavitele.</w:t>
      </w:r>
      <w:r w:rsidR="00BF58EA" w:rsidRPr="00426478">
        <w:rPr>
          <w:sz w:val="24"/>
          <w:szCs w:val="24"/>
        </w:rPr>
        <w:t xml:space="preserve"> Soupis soud provede, když některý z dědiců si soupis vyhradí při uplatňování dědického práva. Nicméně VN a také NOZ umožňují, aby soud provedl soupis pozůstalosti i v jiných případech. VN mezi takové případy řadí případ, kdy je mezi dědici osoba, která je pod z</w:t>
      </w:r>
      <w:r w:rsidR="00300BE2">
        <w:rPr>
          <w:sz w:val="24"/>
          <w:szCs w:val="24"/>
        </w:rPr>
        <w:t>vláštní ochranou, případ, kdy</w:t>
      </w:r>
      <w:r w:rsidR="00BF58EA" w:rsidRPr="00426478">
        <w:rPr>
          <w:sz w:val="24"/>
          <w:szCs w:val="24"/>
        </w:rPr>
        <w:t xml:space="preserve"> není jisté, zda je někdo dědicem nebo kdo je dědicem, případ, kdy je nařízeno </w:t>
      </w:r>
      <w:proofErr w:type="spellStart"/>
      <w:r w:rsidR="00BF58EA" w:rsidRPr="00426478">
        <w:rPr>
          <w:sz w:val="24"/>
          <w:szCs w:val="24"/>
        </w:rPr>
        <w:t>svěřenské</w:t>
      </w:r>
      <w:proofErr w:type="spellEnd"/>
      <w:r w:rsidR="00BF58EA" w:rsidRPr="00426478">
        <w:rPr>
          <w:sz w:val="24"/>
          <w:szCs w:val="24"/>
        </w:rPr>
        <w:t xml:space="preserve"> nástupnictví a naposled případ, kdy o to žádá věřitel při </w:t>
      </w:r>
      <w:r w:rsidR="00BF58EA" w:rsidRPr="00426478">
        <w:rPr>
          <w:sz w:val="24"/>
          <w:szCs w:val="24"/>
        </w:rPr>
        <w:lastRenderedPageBreak/>
        <w:t xml:space="preserve">návrhu na odloučení pozůstalosti. NOZ se shoduje v těchto případech, kromě případu </w:t>
      </w:r>
      <w:proofErr w:type="spellStart"/>
      <w:r w:rsidR="00BF58EA" w:rsidRPr="00426478">
        <w:rPr>
          <w:sz w:val="24"/>
          <w:szCs w:val="24"/>
        </w:rPr>
        <w:t>svěřenského</w:t>
      </w:r>
      <w:proofErr w:type="spellEnd"/>
      <w:r w:rsidR="00BF58EA" w:rsidRPr="00426478">
        <w:rPr>
          <w:sz w:val="24"/>
          <w:szCs w:val="24"/>
        </w:rPr>
        <w:t xml:space="preserve"> nástupnictví. Mimo to navíc dodává případ, kdy věřitel zůstavitele osvědčí, že je tu pro provedení soupisu jiný vážný důvod.</w:t>
      </w:r>
    </w:p>
    <w:p w:rsidR="000F5816" w:rsidRPr="00426478" w:rsidRDefault="000F5816" w:rsidP="00AE5C96">
      <w:pPr>
        <w:tabs>
          <w:tab w:val="left" w:pos="426"/>
          <w:tab w:val="left" w:pos="1418"/>
        </w:tabs>
        <w:spacing w:after="0" w:line="360" w:lineRule="auto"/>
        <w:ind w:firstLine="567"/>
        <w:jc w:val="both"/>
        <w:rPr>
          <w:sz w:val="24"/>
          <w:szCs w:val="24"/>
        </w:rPr>
      </w:pPr>
      <w:r w:rsidRPr="00426478">
        <w:rPr>
          <w:sz w:val="24"/>
          <w:szCs w:val="24"/>
        </w:rPr>
        <w:t>NOZ navíc umožňuje, aby byl soupis pozůstalosti v některých případech nahrazen seznamem pozůstalostního majetku, který vyhotoví správce pozůstalosti. V jednoduchých případech může být nahrazen i společným prohlášením dědiců o pozůstalostním majetku, neodporují-li tomu dědicové.</w:t>
      </w:r>
    </w:p>
    <w:p w:rsidR="001B7260" w:rsidRPr="00426478" w:rsidRDefault="001B7260" w:rsidP="00AE5C96">
      <w:pPr>
        <w:tabs>
          <w:tab w:val="left" w:pos="426"/>
          <w:tab w:val="left" w:pos="1418"/>
        </w:tabs>
        <w:spacing w:after="0" w:line="360" w:lineRule="auto"/>
        <w:ind w:firstLine="567"/>
        <w:jc w:val="both"/>
        <w:rPr>
          <w:sz w:val="24"/>
          <w:szCs w:val="24"/>
        </w:rPr>
      </w:pPr>
      <w:r w:rsidRPr="00426478">
        <w:rPr>
          <w:sz w:val="24"/>
          <w:szCs w:val="24"/>
        </w:rPr>
        <w:t>Oproti VN obsahuje NOZ i úpravu nákladů na pořízení soupisu.</w:t>
      </w:r>
      <w:r w:rsidR="008953B1">
        <w:rPr>
          <w:sz w:val="24"/>
          <w:szCs w:val="24"/>
        </w:rPr>
        <w:t xml:space="preserve"> VN tuto problematiku neupravuje a ponechává její právní úpravu na procesních předpisech</w:t>
      </w:r>
      <w:r w:rsidR="00EC715D">
        <w:rPr>
          <w:rStyle w:val="Znakapoznpodarou"/>
          <w:sz w:val="24"/>
          <w:szCs w:val="24"/>
        </w:rPr>
        <w:footnoteReference w:id="61"/>
      </w:r>
      <w:r w:rsidR="008953B1">
        <w:rPr>
          <w:sz w:val="24"/>
          <w:szCs w:val="24"/>
        </w:rPr>
        <w:t>. Jedná se u NOZ opět pouze o rozšiřující ustanovení, které práce řadí do částečně obsahově shodných ustanovení.</w:t>
      </w:r>
    </w:p>
    <w:p w:rsidR="001B7260" w:rsidRPr="008D11B8" w:rsidRDefault="001B7260" w:rsidP="00AE5C96">
      <w:pPr>
        <w:pStyle w:val="Nadpis3"/>
        <w:numPr>
          <w:ilvl w:val="2"/>
          <w:numId w:val="4"/>
        </w:numPr>
        <w:spacing w:line="360" w:lineRule="auto"/>
        <w:jc w:val="both"/>
        <w:rPr>
          <w:rFonts w:ascii="Times New Roman" w:hAnsi="Times New Roman" w:cs="Times New Roman"/>
          <w:color w:val="auto"/>
          <w:sz w:val="24"/>
          <w:szCs w:val="24"/>
        </w:rPr>
      </w:pPr>
      <w:bookmarkStart w:id="31" w:name="_Toc409631307"/>
      <w:r w:rsidRPr="008D11B8">
        <w:rPr>
          <w:rFonts w:ascii="Times New Roman" w:hAnsi="Times New Roman" w:cs="Times New Roman"/>
          <w:color w:val="auto"/>
          <w:sz w:val="24"/>
          <w:szCs w:val="24"/>
        </w:rPr>
        <w:t>Správa pozůstalosti</w:t>
      </w:r>
      <w:bookmarkEnd w:id="31"/>
    </w:p>
    <w:p w:rsidR="00996622" w:rsidRPr="00426478" w:rsidRDefault="001B7260" w:rsidP="00AE5C96">
      <w:pPr>
        <w:tabs>
          <w:tab w:val="left" w:pos="426"/>
          <w:tab w:val="left" w:pos="1418"/>
        </w:tabs>
        <w:spacing w:after="0" w:line="360" w:lineRule="auto"/>
        <w:ind w:firstLine="567"/>
        <w:jc w:val="both"/>
        <w:rPr>
          <w:sz w:val="24"/>
          <w:szCs w:val="24"/>
        </w:rPr>
      </w:pPr>
      <w:r w:rsidRPr="00426478">
        <w:rPr>
          <w:sz w:val="24"/>
          <w:szCs w:val="24"/>
        </w:rPr>
        <w:t xml:space="preserve">VN rozlišuje dvě možnosti správy pozůstalosti. První je správa pozůstalosti dědicem, případně dědici. Druhou možností je správa </w:t>
      </w:r>
      <w:r w:rsidR="0068141C">
        <w:rPr>
          <w:sz w:val="24"/>
          <w:szCs w:val="24"/>
        </w:rPr>
        <w:t xml:space="preserve">pozůstalosti </w:t>
      </w:r>
      <w:r w:rsidRPr="00426478">
        <w:rPr>
          <w:sz w:val="24"/>
          <w:szCs w:val="24"/>
        </w:rPr>
        <w:t>opatrovníkem.</w:t>
      </w:r>
      <w:r w:rsidR="00996622" w:rsidRPr="00426478">
        <w:rPr>
          <w:sz w:val="24"/>
          <w:szCs w:val="24"/>
        </w:rPr>
        <w:t xml:space="preserve"> Opatrovník přitom může být zřízen jako opatrovník pozůstalosti či opatrovník k provedení nároků na žádost pozůstalostního dědice.</w:t>
      </w:r>
      <w:r w:rsidRPr="00426478">
        <w:rPr>
          <w:sz w:val="24"/>
          <w:szCs w:val="24"/>
        </w:rPr>
        <w:t xml:space="preserve"> Mimo právní úpravu správy pozůstalosti také VN v ustanovení § 635 stanovuje, že </w:t>
      </w:r>
      <w:r w:rsidR="00996622" w:rsidRPr="00426478">
        <w:rPr>
          <w:sz w:val="24"/>
          <w:szCs w:val="24"/>
        </w:rPr>
        <w:t xml:space="preserve">určil-li zůstavitel vykonavatele závěti a ten úkol přijal, vykonává povinnost pečovat o splnění poslední vůle. Jedná se tedy o jakousi třetí možnost správy pozůstalosti upravenou ve VN. V ustanovení § 648 VN výslovně umožňuje, aby byl opatrovníkem zřízen vykonavatel poslední vůle. </w:t>
      </w:r>
    </w:p>
    <w:p w:rsidR="001B7260" w:rsidRPr="00426478" w:rsidRDefault="00996622" w:rsidP="00AE5C96">
      <w:pPr>
        <w:tabs>
          <w:tab w:val="left" w:pos="426"/>
          <w:tab w:val="left" w:pos="1418"/>
        </w:tabs>
        <w:spacing w:after="0" w:line="360" w:lineRule="auto"/>
        <w:ind w:firstLine="567"/>
        <w:jc w:val="both"/>
        <w:rPr>
          <w:sz w:val="24"/>
          <w:szCs w:val="24"/>
        </w:rPr>
      </w:pPr>
      <w:r w:rsidRPr="00426478">
        <w:rPr>
          <w:sz w:val="24"/>
          <w:szCs w:val="24"/>
        </w:rPr>
        <w:t>Obdobně poté stanovuje i NOZ možnost správy pozůstalosti správcem či vykonavatelem závěti, povolal-li je zůstavitel. Jinak spravují pozůstalost dědicové.</w:t>
      </w:r>
    </w:p>
    <w:p w:rsidR="0031492C" w:rsidRPr="008D11B8" w:rsidRDefault="0031492C" w:rsidP="00AE5C96">
      <w:pPr>
        <w:pStyle w:val="Nadpis3"/>
        <w:numPr>
          <w:ilvl w:val="2"/>
          <w:numId w:val="4"/>
        </w:numPr>
        <w:spacing w:line="360" w:lineRule="auto"/>
        <w:jc w:val="both"/>
        <w:rPr>
          <w:rFonts w:ascii="Times New Roman" w:hAnsi="Times New Roman" w:cs="Times New Roman"/>
          <w:color w:val="auto"/>
          <w:sz w:val="24"/>
        </w:rPr>
      </w:pPr>
      <w:bookmarkStart w:id="32" w:name="_Toc409631308"/>
      <w:r w:rsidRPr="008D11B8">
        <w:rPr>
          <w:rFonts w:ascii="Times New Roman" w:hAnsi="Times New Roman" w:cs="Times New Roman"/>
          <w:color w:val="auto"/>
          <w:sz w:val="24"/>
        </w:rPr>
        <w:t>Úschova pozůstalosti</w:t>
      </w:r>
      <w:bookmarkEnd w:id="32"/>
    </w:p>
    <w:p w:rsidR="0031492C" w:rsidRPr="00426478" w:rsidRDefault="0031492C" w:rsidP="00AE5C96">
      <w:pPr>
        <w:tabs>
          <w:tab w:val="left" w:pos="426"/>
          <w:tab w:val="left" w:pos="1418"/>
        </w:tabs>
        <w:spacing w:after="0" w:line="360" w:lineRule="auto"/>
        <w:ind w:firstLine="567"/>
        <w:jc w:val="both"/>
        <w:rPr>
          <w:sz w:val="24"/>
          <w:szCs w:val="24"/>
        </w:rPr>
      </w:pPr>
      <w:r w:rsidRPr="00426478">
        <w:rPr>
          <w:sz w:val="24"/>
          <w:szCs w:val="24"/>
        </w:rPr>
        <w:t>Tzv. závěra pozůstalosti je právně upravena jak ve VN, tak i v NOZ. Jedná se o jisté opatření zajišťující pozůstalost</w:t>
      </w:r>
      <w:r w:rsidR="00D83D87" w:rsidRPr="00426478">
        <w:rPr>
          <w:sz w:val="24"/>
          <w:szCs w:val="24"/>
        </w:rPr>
        <w:t xml:space="preserve"> v zákonem vymezených případech, nahrazuje soudní úschovu.</w:t>
      </w:r>
      <w:r w:rsidRPr="00426478">
        <w:rPr>
          <w:sz w:val="24"/>
          <w:szCs w:val="24"/>
        </w:rPr>
        <w:t xml:space="preserve"> </w:t>
      </w:r>
      <w:r w:rsidR="00E20E9A" w:rsidRPr="00426478">
        <w:rPr>
          <w:sz w:val="24"/>
          <w:szCs w:val="24"/>
        </w:rPr>
        <w:t>Důvody, pro které soud učiní takové opatření, jsou vymezeny shodně v obou právních předpisech. Jedná se o případy, kdy některý z dědiců není svéprávný nebo je neznámého pobytu, případy, kdy je obava, že je pozůstalost předlužena, případy, kdy věřitel navrhl odloučení pozůstalosti a nakonec případy, kdy je tu jiný důležitý důvod pro zvláštní opatrnost.</w:t>
      </w:r>
    </w:p>
    <w:p w:rsidR="007D669A" w:rsidRDefault="007D669A" w:rsidP="00AE5C96">
      <w:pPr>
        <w:tabs>
          <w:tab w:val="left" w:pos="426"/>
          <w:tab w:val="left" w:pos="1418"/>
        </w:tabs>
        <w:spacing w:after="0" w:line="360" w:lineRule="auto"/>
        <w:ind w:firstLine="567"/>
        <w:jc w:val="both"/>
        <w:rPr>
          <w:sz w:val="24"/>
          <w:szCs w:val="24"/>
        </w:rPr>
      </w:pPr>
      <w:r w:rsidRPr="00426478">
        <w:rPr>
          <w:sz w:val="24"/>
          <w:szCs w:val="24"/>
        </w:rPr>
        <w:t>Shodně VN a NOZ stanovují, že závěry není třeba, pokud je v pozůstalosti nemovitost poskytující dostatečnou jistotu.</w:t>
      </w:r>
    </w:p>
    <w:p w:rsidR="004521B2" w:rsidRPr="00426478" w:rsidRDefault="004521B2" w:rsidP="00AE5C96">
      <w:pPr>
        <w:tabs>
          <w:tab w:val="left" w:pos="426"/>
          <w:tab w:val="left" w:pos="1418"/>
        </w:tabs>
        <w:spacing w:after="0" w:line="360" w:lineRule="auto"/>
        <w:ind w:firstLine="567"/>
        <w:jc w:val="both"/>
        <w:rPr>
          <w:sz w:val="24"/>
          <w:szCs w:val="24"/>
        </w:rPr>
      </w:pPr>
      <w:r>
        <w:rPr>
          <w:sz w:val="24"/>
          <w:szCs w:val="24"/>
        </w:rPr>
        <w:lastRenderedPageBreak/>
        <w:t>U právní úpravy závěry, resp. úschovy pozůstalosti, je inspirace VN zřejmá, když jsou ustanovení obou právních předpisů naprosto shodná.</w:t>
      </w:r>
    </w:p>
    <w:p w:rsidR="00B14D00" w:rsidRPr="008D11B8" w:rsidRDefault="00B14D00" w:rsidP="00AE5C96">
      <w:pPr>
        <w:pStyle w:val="Nadpis3"/>
        <w:numPr>
          <w:ilvl w:val="2"/>
          <w:numId w:val="4"/>
        </w:numPr>
        <w:spacing w:line="360" w:lineRule="auto"/>
        <w:jc w:val="both"/>
        <w:rPr>
          <w:rFonts w:ascii="Times New Roman" w:hAnsi="Times New Roman" w:cs="Times New Roman"/>
          <w:color w:val="auto"/>
          <w:sz w:val="24"/>
        </w:rPr>
      </w:pPr>
      <w:bookmarkStart w:id="33" w:name="_Toc409631309"/>
      <w:r w:rsidRPr="008D11B8">
        <w:rPr>
          <w:rFonts w:ascii="Times New Roman" w:hAnsi="Times New Roman" w:cs="Times New Roman"/>
          <w:color w:val="auto"/>
          <w:sz w:val="24"/>
        </w:rPr>
        <w:t>Potvrzení dědictví</w:t>
      </w:r>
      <w:r w:rsidR="00791DBB" w:rsidRPr="008D11B8">
        <w:rPr>
          <w:rFonts w:ascii="Times New Roman" w:hAnsi="Times New Roman" w:cs="Times New Roman"/>
          <w:color w:val="auto"/>
          <w:sz w:val="24"/>
        </w:rPr>
        <w:t xml:space="preserve"> a rozdělení pozůstalosti</w:t>
      </w:r>
      <w:bookmarkEnd w:id="33"/>
    </w:p>
    <w:p w:rsidR="00B14D00" w:rsidRPr="00426478" w:rsidRDefault="00D261EF" w:rsidP="00AE5C96">
      <w:pPr>
        <w:tabs>
          <w:tab w:val="left" w:pos="426"/>
          <w:tab w:val="left" w:pos="1418"/>
        </w:tabs>
        <w:spacing w:after="0" w:line="360" w:lineRule="auto"/>
        <w:ind w:firstLine="567"/>
        <w:jc w:val="both"/>
        <w:rPr>
          <w:sz w:val="24"/>
          <w:szCs w:val="24"/>
        </w:rPr>
      </w:pPr>
      <w:r w:rsidRPr="00426478">
        <w:rPr>
          <w:sz w:val="24"/>
          <w:szCs w:val="24"/>
        </w:rPr>
        <w:t>VN hovoří o přikázání pozůstalosti, NOZ o potvrzení dědictví.</w:t>
      </w:r>
      <w:r w:rsidR="00894B81" w:rsidRPr="00426478">
        <w:rPr>
          <w:sz w:val="24"/>
          <w:szCs w:val="24"/>
        </w:rPr>
        <w:t xml:space="preserve"> Soud přikáže, resp. potvrdí dědictví vždy tomu, kdo má dle průběhu dědického řízení nejlepší dědické právo. Dědit může buďto pouze jeden dědic, nebo více dědiců. Dědí-li jeden dědic, shodně VN a NOZ stanovují, že soud vždy uvede při přikázání, resp. potvrzení dědictví, kdo je tímto dědicem, z jakého důvodu pozůstalost nabývá a zda tak činí s výhradou soupisu či nikoli. V případě více dědiců, uvede soud vždy jejich podíly na pozůstalosti.</w:t>
      </w:r>
    </w:p>
    <w:p w:rsidR="00791DBB" w:rsidRPr="00426478" w:rsidRDefault="00791DBB" w:rsidP="00AE5C96">
      <w:pPr>
        <w:tabs>
          <w:tab w:val="left" w:pos="426"/>
          <w:tab w:val="left" w:pos="1418"/>
        </w:tabs>
        <w:spacing w:after="0" w:line="360" w:lineRule="auto"/>
        <w:ind w:firstLine="567"/>
        <w:jc w:val="both"/>
        <w:rPr>
          <w:sz w:val="24"/>
          <w:szCs w:val="24"/>
        </w:rPr>
      </w:pPr>
      <w:r w:rsidRPr="00426478">
        <w:rPr>
          <w:sz w:val="24"/>
          <w:szCs w:val="24"/>
        </w:rPr>
        <w:t>VN i NOZ obsahují následně také právní úpravu rozdělení pozůstalosti, pro případy, kdy dědí více dědiců. Pravidla při rozdělování pozůstalosti soudem jsou v právních předpisech upravena shodně. NOZ však obsahuje oproti VN podrobnější úpravu, zejména co se týče dohody dědiců o rozdělení pozůstalosti.</w:t>
      </w:r>
      <w:r w:rsidR="008953B1">
        <w:rPr>
          <w:sz w:val="24"/>
          <w:szCs w:val="24"/>
        </w:rPr>
        <w:t xml:space="preserve"> Taková ustanovení NOZ nelze tedy považovat za ustanovení odlišná, když pouze konkretizují právní úpravu rozdělení pozůstalosti. Práce je tak opět řadí do částečně obsahově shodných ustanovení.</w:t>
      </w:r>
    </w:p>
    <w:p w:rsidR="00791DBB" w:rsidRPr="008D11B8" w:rsidRDefault="00791DBB" w:rsidP="00AE5C96">
      <w:pPr>
        <w:pStyle w:val="Nadpis3"/>
        <w:numPr>
          <w:ilvl w:val="2"/>
          <w:numId w:val="4"/>
        </w:numPr>
        <w:spacing w:line="360" w:lineRule="auto"/>
        <w:jc w:val="both"/>
        <w:rPr>
          <w:rFonts w:ascii="Times New Roman" w:hAnsi="Times New Roman" w:cs="Times New Roman"/>
          <w:color w:val="auto"/>
          <w:sz w:val="24"/>
        </w:rPr>
      </w:pPr>
      <w:bookmarkStart w:id="34" w:name="_Toc409631310"/>
      <w:r w:rsidRPr="008D11B8">
        <w:rPr>
          <w:rFonts w:ascii="Times New Roman" w:hAnsi="Times New Roman" w:cs="Times New Roman"/>
          <w:color w:val="auto"/>
          <w:sz w:val="24"/>
        </w:rPr>
        <w:t>Dluhy postihující dědice</w:t>
      </w:r>
      <w:bookmarkEnd w:id="34"/>
    </w:p>
    <w:p w:rsidR="00791DBB" w:rsidRPr="00426478" w:rsidRDefault="00791DBB" w:rsidP="00AE5C96">
      <w:pPr>
        <w:tabs>
          <w:tab w:val="left" w:pos="426"/>
          <w:tab w:val="left" w:pos="1418"/>
        </w:tabs>
        <w:spacing w:after="0" w:line="360" w:lineRule="auto"/>
        <w:ind w:firstLine="567"/>
        <w:jc w:val="both"/>
        <w:rPr>
          <w:sz w:val="24"/>
          <w:szCs w:val="24"/>
        </w:rPr>
      </w:pPr>
      <w:r w:rsidRPr="00426478">
        <w:rPr>
          <w:sz w:val="24"/>
          <w:szCs w:val="24"/>
        </w:rPr>
        <w:t>VN i NOZ obsahují v části upravující přechod pozůstalosti i proble</w:t>
      </w:r>
      <w:r w:rsidR="00D93255" w:rsidRPr="00426478">
        <w:rPr>
          <w:sz w:val="24"/>
          <w:szCs w:val="24"/>
        </w:rPr>
        <w:t xml:space="preserve">matiku přechodu dluhů na dědice, přičemž úprava v NOZ je shodná s úpravou ve VN. Dluhy na dědice vždy přechází, nestanoví-li zákon jinak. </w:t>
      </w:r>
      <w:r w:rsidR="00445A0C" w:rsidRPr="00426478">
        <w:rPr>
          <w:sz w:val="24"/>
          <w:szCs w:val="24"/>
        </w:rPr>
        <w:t>Dědic se nemůže zprostit povinnosti založené mu pořízením pro případ smrti odmítnutím dědictví s tím, že uplatní své právo jako dědic ze zákona. Dále platí, že dokud soud nepřikáže, resp. nepotvrdí, pozůstalost dědici nebo dědicům, mohou se věřitelé domáhat uspokojení svých pohledávek jen z majetku náležejícího do pozůstalosti.</w:t>
      </w:r>
    </w:p>
    <w:p w:rsidR="00445A0C" w:rsidRPr="00426478" w:rsidRDefault="00445A0C" w:rsidP="00AE5C96">
      <w:pPr>
        <w:tabs>
          <w:tab w:val="left" w:pos="426"/>
          <w:tab w:val="left" w:pos="1418"/>
        </w:tabs>
        <w:spacing w:after="0" w:line="360" w:lineRule="auto"/>
        <w:ind w:firstLine="567"/>
        <w:jc w:val="both"/>
        <w:rPr>
          <w:sz w:val="24"/>
          <w:szCs w:val="24"/>
        </w:rPr>
      </w:pPr>
      <w:r w:rsidRPr="00426478">
        <w:rPr>
          <w:sz w:val="24"/>
          <w:szCs w:val="24"/>
        </w:rPr>
        <w:t xml:space="preserve">Důležitým při přechodu dluhů na dědice je </w:t>
      </w:r>
      <w:r w:rsidR="002F7BAB">
        <w:rPr>
          <w:sz w:val="24"/>
          <w:szCs w:val="24"/>
        </w:rPr>
        <w:t xml:space="preserve">nově možnost </w:t>
      </w:r>
      <w:r w:rsidR="00A76691">
        <w:rPr>
          <w:sz w:val="24"/>
          <w:szCs w:val="24"/>
        </w:rPr>
        <w:t xml:space="preserve">uplatnění výhrady soupisu, tzv. </w:t>
      </w:r>
      <w:r w:rsidR="00A76691">
        <w:rPr>
          <w:i/>
          <w:sz w:val="24"/>
          <w:szCs w:val="24"/>
        </w:rPr>
        <w:t xml:space="preserve">beneficium </w:t>
      </w:r>
      <w:proofErr w:type="spellStart"/>
      <w:r w:rsidR="00A76691">
        <w:rPr>
          <w:i/>
          <w:sz w:val="24"/>
          <w:szCs w:val="24"/>
        </w:rPr>
        <w:t>inventarii</w:t>
      </w:r>
      <w:proofErr w:type="spellEnd"/>
      <w:r w:rsidR="00C40AEF">
        <w:rPr>
          <w:i/>
          <w:sz w:val="24"/>
          <w:szCs w:val="24"/>
        </w:rPr>
        <w:t>.</w:t>
      </w:r>
      <w:r w:rsidR="00BF5DA5">
        <w:rPr>
          <w:sz w:val="24"/>
          <w:szCs w:val="24"/>
        </w:rPr>
        <w:t xml:space="preserve"> Pod</w:t>
      </w:r>
      <w:r w:rsidRPr="00426478">
        <w:rPr>
          <w:sz w:val="24"/>
          <w:szCs w:val="24"/>
        </w:rPr>
        <w:t>le toho zda dědic uplatnil své právo na soupis pozůstalosti, se odvíjí, jak jej postihnou dluhy zůstavitele. Dědicové, kteří své právo uplatnili, hradí dluhy zůstavitele do výše ceny nabytého dědictví. Oproti tomu dědicové, kteří neuplatnili výhradu soupisu, hradí dluhy zůstavitele v plném rozsahu. Je-li dědiců více, hradí dluhy společně a nerozdílně, přičemž postih mezi nimi se řídí obecnými ustanoveními o společných dluzích.</w:t>
      </w:r>
      <w:r w:rsidR="00A76691">
        <w:rPr>
          <w:sz w:val="24"/>
          <w:szCs w:val="24"/>
        </w:rPr>
        <w:t xml:space="preserve"> O možnost</w:t>
      </w:r>
      <w:r w:rsidR="00562269">
        <w:rPr>
          <w:sz w:val="24"/>
          <w:szCs w:val="24"/>
        </w:rPr>
        <w:t>i</w:t>
      </w:r>
      <w:r w:rsidR="00A76691">
        <w:rPr>
          <w:sz w:val="24"/>
          <w:szCs w:val="24"/>
        </w:rPr>
        <w:t xml:space="preserve"> uplatnit právo na výhradu soupisu musí být nyní dědic poučen</w:t>
      </w:r>
      <w:r w:rsidR="00B53674">
        <w:rPr>
          <w:sz w:val="24"/>
          <w:szCs w:val="24"/>
        </w:rPr>
        <w:t xml:space="preserve"> notářem jako soudním komisařem. D</w:t>
      </w:r>
      <w:r w:rsidR="00A76691">
        <w:rPr>
          <w:sz w:val="24"/>
          <w:szCs w:val="24"/>
        </w:rPr>
        <w:t xml:space="preserve">říve se dle rakouského ABGB uplatňovalo takové právo v dědické </w:t>
      </w:r>
      <w:r w:rsidR="00A76691">
        <w:rPr>
          <w:sz w:val="24"/>
          <w:szCs w:val="24"/>
        </w:rPr>
        <w:lastRenderedPageBreak/>
        <w:t>přihlášce.</w:t>
      </w:r>
      <w:r w:rsidR="00CF5508">
        <w:rPr>
          <w:sz w:val="24"/>
          <w:szCs w:val="24"/>
        </w:rPr>
        <w:t xml:space="preserve"> Zavedením této právní úpravy se značně posiluje postavení věřitele na úkor dědiců. Na dědice jsou tak kladeny vysoké nároky ohledně orientace v oblasti solidárních závazků.</w:t>
      </w:r>
      <w:r w:rsidR="00CF5508">
        <w:rPr>
          <w:rStyle w:val="Znakapoznpodarou"/>
          <w:sz w:val="24"/>
          <w:szCs w:val="24"/>
        </w:rPr>
        <w:footnoteReference w:id="62"/>
      </w:r>
    </w:p>
    <w:p w:rsidR="004D2D46" w:rsidRPr="00426478" w:rsidRDefault="004D2D46" w:rsidP="00AE5C96">
      <w:pPr>
        <w:tabs>
          <w:tab w:val="left" w:pos="426"/>
          <w:tab w:val="left" w:pos="1418"/>
        </w:tabs>
        <w:spacing w:after="0" w:line="360" w:lineRule="auto"/>
        <w:ind w:firstLine="567"/>
        <w:jc w:val="both"/>
        <w:rPr>
          <w:sz w:val="24"/>
          <w:szCs w:val="24"/>
        </w:rPr>
      </w:pPr>
      <w:r w:rsidRPr="00426478">
        <w:rPr>
          <w:sz w:val="24"/>
          <w:szCs w:val="24"/>
        </w:rPr>
        <w:t xml:space="preserve">S přechodem dluhů na dědice souvisí i možnost věřitelů navrhnout soudu odloučení pozůstalosti, která je </w:t>
      </w:r>
      <w:r w:rsidR="00887BF6">
        <w:rPr>
          <w:sz w:val="24"/>
          <w:szCs w:val="24"/>
        </w:rPr>
        <w:t>v </w:t>
      </w:r>
      <w:r w:rsidRPr="00426478">
        <w:rPr>
          <w:sz w:val="24"/>
          <w:szCs w:val="24"/>
        </w:rPr>
        <w:t>NOZ</w:t>
      </w:r>
      <w:r w:rsidR="00887BF6">
        <w:rPr>
          <w:sz w:val="24"/>
          <w:szCs w:val="24"/>
        </w:rPr>
        <w:t xml:space="preserve"> upravena po vzoru VN</w:t>
      </w:r>
      <w:r w:rsidRPr="00426478">
        <w:rPr>
          <w:sz w:val="24"/>
          <w:szCs w:val="24"/>
        </w:rPr>
        <w:t>.</w:t>
      </w:r>
      <w:r w:rsidR="009964FC" w:rsidRPr="00426478">
        <w:rPr>
          <w:sz w:val="24"/>
          <w:szCs w:val="24"/>
        </w:rPr>
        <w:t xml:space="preserve"> Jedná se o možnost věřitele navrhnout</w:t>
      </w:r>
      <w:r w:rsidR="00887BF6">
        <w:rPr>
          <w:sz w:val="24"/>
          <w:szCs w:val="24"/>
        </w:rPr>
        <w:t xml:space="preserve"> soudu</w:t>
      </w:r>
      <w:r w:rsidR="009964FC" w:rsidRPr="00426478">
        <w:rPr>
          <w:sz w:val="24"/>
          <w:szCs w:val="24"/>
        </w:rPr>
        <w:t xml:space="preserve"> odloučení pozůstalosti od jmění dědice, u kterého je obava z předlužení. Uplatní-li věřitel takové právo, může se však následně uspokojit pouze z odloučené pozůstalosti, nikoli již z dědicova ostatního majetku.</w:t>
      </w:r>
    </w:p>
    <w:p w:rsidR="009964FC" w:rsidRPr="00426478" w:rsidRDefault="009964FC" w:rsidP="00AE5C96">
      <w:pPr>
        <w:tabs>
          <w:tab w:val="left" w:pos="426"/>
          <w:tab w:val="left" w:pos="1418"/>
        </w:tabs>
        <w:spacing w:after="0" w:line="360" w:lineRule="auto"/>
        <w:ind w:firstLine="567"/>
        <w:jc w:val="both"/>
        <w:rPr>
          <w:sz w:val="24"/>
          <w:szCs w:val="24"/>
        </w:rPr>
      </w:pPr>
      <w:r w:rsidRPr="00426478">
        <w:rPr>
          <w:sz w:val="24"/>
          <w:szCs w:val="24"/>
        </w:rPr>
        <w:t xml:space="preserve">Dědic, který uplatnil právo na výhradu soupisu, má </w:t>
      </w:r>
      <w:r w:rsidR="00985C8D">
        <w:rPr>
          <w:sz w:val="24"/>
          <w:szCs w:val="24"/>
        </w:rPr>
        <w:t>po</w:t>
      </w:r>
      <w:r w:rsidRPr="00426478">
        <w:rPr>
          <w:sz w:val="24"/>
          <w:szCs w:val="24"/>
        </w:rPr>
        <w:t>dle VN i NOZ další zvýhodnění. To spočívá v tom, že vedle opatrovníka, resp. správce pozůstalosti dle NOZ, může navrhnout soudu, aby pro účely vyhledání dluhů zůstavitele, vyzval věřitele k ohlášení a doložení svých pohledávek.</w:t>
      </w:r>
      <w:r w:rsidR="00752629" w:rsidRPr="00426478">
        <w:rPr>
          <w:sz w:val="24"/>
          <w:szCs w:val="24"/>
        </w:rPr>
        <w:t xml:space="preserve"> Nepřihlášený věřitel nemá poté nárok vůči dědicům, byla-li pozůstalost vyčerpána zaplacením pohledávek přihlášených. Výjimky tvoří případy, kdy se jedná o věřitele zástavní, příp. zadržovací, nebo kdy dědicové o pohledávce věřitele věděli.</w:t>
      </w:r>
    </w:p>
    <w:p w:rsidR="007B4063" w:rsidRPr="00426478" w:rsidRDefault="007B4063" w:rsidP="00AE5C96">
      <w:pPr>
        <w:tabs>
          <w:tab w:val="left" w:pos="426"/>
          <w:tab w:val="left" w:pos="1418"/>
        </w:tabs>
        <w:spacing w:after="0" w:line="360" w:lineRule="auto"/>
        <w:ind w:firstLine="567"/>
        <w:jc w:val="both"/>
        <w:rPr>
          <w:sz w:val="24"/>
          <w:szCs w:val="24"/>
        </w:rPr>
      </w:pPr>
      <w:r w:rsidRPr="00426478">
        <w:rPr>
          <w:sz w:val="24"/>
          <w:szCs w:val="24"/>
        </w:rPr>
        <w:t>VN navíc v rámci části upravující přechod pozůstalosti up</w:t>
      </w:r>
      <w:r w:rsidR="0046069C">
        <w:rPr>
          <w:sz w:val="24"/>
          <w:szCs w:val="24"/>
        </w:rPr>
        <w:t>ravuje i tzv. dědické žaloby. Ty</w:t>
      </w:r>
      <w:r w:rsidRPr="00426478">
        <w:rPr>
          <w:sz w:val="24"/>
          <w:szCs w:val="24"/>
        </w:rPr>
        <w:t xml:space="preserve"> slouží jako prostředek ochrany tomu, </w:t>
      </w:r>
      <w:r w:rsidR="00B661BE" w:rsidRPr="00426478">
        <w:rPr>
          <w:sz w:val="24"/>
          <w:szCs w:val="24"/>
        </w:rPr>
        <w:t>kdo se chce domáhat vydání pozůstalosti či podílu na ní vůči osobě, které svědčí stejné nebo slabší dědické právo.</w:t>
      </w:r>
      <w:r w:rsidR="00FB6C99" w:rsidRPr="00426478">
        <w:rPr>
          <w:sz w:val="24"/>
          <w:szCs w:val="24"/>
        </w:rPr>
        <w:t xml:space="preserve"> Možnost uplatnit své </w:t>
      </w:r>
      <w:r w:rsidR="00887BF6">
        <w:rPr>
          <w:sz w:val="24"/>
          <w:szCs w:val="24"/>
        </w:rPr>
        <w:t>právo žalobou je upravena dnes</w:t>
      </w:r>
      <w:r w:rsidR="00FB6C99" w:rsidRPr="00426478">
        <w:rPr>
          <w:sz w:val="24"/>
          <w:szCs w:val="24"/>
        </w:rPr>
        <w:t xml:space="preserve"> v zákoně č. 292/</w:t>
      </w:r>
      <w:r w:rsidR="00823C93">
        <w:rPr>
          <w:sz w:val="24"/>
          <w:szCs w:val="24"/>
        </w:rPr>
        <w:t xml:space="preserve"> </w:t>
      </w:r>
      <w:r w:rsidR="00FB6C99" w:rsidRPr="00426478">
        <w:rPr>
          <w:sz w:val="24"/>
          <w:szCs w:val="24"/>
        </w:rPr>
        <w:t>2013 Sb., o zvláštních řízeních soudních.</w:t>
      </w:r>
    </w:p>
    <w:p w:rsidR="00FD1B14" w:rsidRDefault="00813487" w:rsidP="00AE5C96">
      <w:pPr>
        <w:tabs>
          <w:tab w:val="left" w:pos="426"/>
          <w:tab w:val="left" w:pos="1418"/>
        </w:tabs>
        <w:spacing w:after="0" w:line="360" w:lineRule="auto"/>
        <w:ind w:firstLine="567"/>
        <w:jc w:val="both"/>
        <w:rPr>
          <w:sz w:val="24"/>
          <w:szCs w:val="24"/>
        </w:rPr>
      </w:pPr>
      <w:r w:rsidRPr="00426478">
        <w:rPr>
          <w:sz w:val="24"/>
          <w:szCs w:val="24"/>
        </w:rPr>
        <w:t>V rámci právní úpravy přechodu pozůstalosti obsahují právní předpisy mnoho obsahově shodných ustanovení.</w:t>
      </w:r>
      <w:r w:rsidR="00CC7E22" w:rsidRPr="00426478">
        <w:rPr>
          <w:sz w:val="24"/>
          <w:szCs w:val="24"/>
        </w:rPr>
        <w:t xml:space="preserve"> Zejména ustanovení upravující dluhy postihující dědice jsou v NOZ shodná s těmi ve VN, a to zcela. </w:t>
      </w:r>
      <w:r w:rsidR="00887BF6">
        <w:rPr>
          <w:sz w:val="24"/>
          <w:szCs w:val="24"/>
        </w:rPr>
        <w:t xml:space="preserve">Odpovědnost dědiců za dluhy zůstavitele je upravena v NOZ odlišně od úpravy v předchozím občanském zákoníku, a následuje právě vzoru VN. </w:t>
      </w:r>
    </w:p>
    <w:p w:rsidR="009F296E" w:rsidRPr="00426478" w:rsidRDefault="009F296E" w:rsidP="00AE5C96">
      <w:pPr>
        <w:tabs>
          <w:tab w:val="left" w:pos="426"/>
          <w:tab w:val="left" w:pos="1418"/>
        </w:tabs>
        <w:spacing w:after="0" w:line="360" w:lineRule="auto"/>
        <w:ind w:firstLine="567"/>
        <w:jc w:val="both"/>
        <w:rPr>
          <w:sz w:val="24"/>
          <w:szCs w:val="24"/>
        </w:rPr>
      </w:pPr>
    </w:p>
    <w:tbl>
      <w:tblPr>
        <w:tblStyle w:val="Mkatabulky"/>
        <w:tblW w:w="9212" w:type="dxa"/>
        <w:tblInd w:w="108" w:type="dxa"/>
        <w:tblLook w:val="04A0"/>
      </w:tblPr>
      <w:tblGrid>
        <w:gridCol w:w="4606"/>
        <w:gridCol w:w="4606"/>
      </w:tblGrid>
      <w:tr w:rsidR="00324BEE" w:rsidRPr="00426478" w:rsidTr="00FD1B14">
        <w:tc>
          <w:tcPr>
            <w:tcW w:w="4606" w:type="dxa"/>
          </w:tcPr>
          <w:p w:rsidR="00324BEE" w:rsidRPr="00426478" w:rsidRDefault="00324BEE" w:rsidP="00AE5C96">
            <w:pPr>
              <w:tabs>
                <w:tab w:val="left" w:pos="426"/>
                <w:tab w:val="left" w:pos="1418"/>
              </w:tabs>
              <w:spacing w:line="360" w:lineRule="auto"/>
              <w:jc w:val="both"/>
              <w:rPr>
                <w:sz w:val="24"/>
                <w:szCs w:val="24"/>
              </w:rPr>
            </w:pPr>
            <w:r w:rsidRPr="00426478">
              <w:rPr>
                <w:sz w:val="24"/>
                <w:szCs w:val="24"/>
              </w:rPr>
              <w:t>Počet ustanovení v NOZ</w:t>
            </w:r>
          </w:p>
        </w:tc>
        <w:tc>
          <w:tcPr>
            <w:tcW w:w="4606" w:type="dxa"/>
          </w:tcPr>
          <w:p w:rsidR="00324BEE" w:rsidRPr="00426478" w:rsidRDefault="009B1A26" w:rsidP="00AE5C96">
            <w:pPr>
              <w:tabs>
                <w:tab w:val="left" w:pos="426"/>
                <w:tab w:val="left" w:pos="1418"/>
              </w:tabs>
              <w:spacing w:line="360" w:lineRule="auto"/>
              <w:jc w:val="both"/>
              <w:rPr>
                <w:sz w:val="24"/>
                <w:szCs w:val="24"/>
              </w:rPr>
            </w:pPr>
            <w:r w:rsidRPr="00426478">
              <w:rPr>
                <w:sz w:val="24"/>
                <w:szCs w:val="24"/>
              </w:rPr>
              <w:t>44</w:t>
            </w:r>
          </w:p>
        </w:tc>
      </w:tr>
      <w:tr w:rsidR="00324BEE" w:rsidRPr="00426478" w:rsidTr="00FD1B14">
        <w:tc>
          <w:tcPr>
            <w:tcW w:w="4606" w:type="dxa"/>
          </w:tcPr>
          <w:p w:rsidR="00324BEE" w:rsidRPr="00426478" w:rsidRDefault="00324BEE"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324BEE" w:rsidRPr="00426478" w:rsidRDefault="009B1A26" w:rsidP="00AE5C96">
            <w:pPr>
              <w:tabs>
                <w:tab w:val="left" w:pos="426"/>
                <w:tab w:val="left" w:pos="1418"/>
              </w:tabs>
              <w:spacing w:line="360" w:lineRule="auto"/>
              <w:jc w:val="both"/>
              <w:rPr>
                <w:sz w:val="24"/>
                <w:szCs w:val="24"/>
              </w:rPr>
            </w:pPr>
            <w:r w:rsidRPr="00426478">
              <w:rPr>
                <w:sz w:val="24"/>
                <w:szCs w:val="24"/>
              </w:rPr>
              <w:t>65</w:t>
            </w:r>
          </w:p>
        </w:tc>
      </w:tr>
      <w:tr w:rsidR="00AB03C2" w:rsidRPr="00426478" w:rsidTr="00FD1B14">
        <w:trPr>
          <w:trHeight w:val="512"/>
        </w:trPr>
        <w:tc>
          <w:tcPr>
            <w:tcW w:w="4606" w:type="dxa"/>
            <w:vMerge w:val="restart"/>
          </w:tcPr>
          <w:p w:rsidR="00AB03C2" w:rsidRPr="00426478" w:rsidRDefault="00AB03C2"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AB03C2" w:rsidRPr="00426478" w:rsidRDefault="00084922" w:rsidP="00AE5C96">
            <w:pPr>
              <w:tabs>
                <w:tab w:val="left" w:pos="426"/>
                <w:tab w:val="left" w:pos="1418"/>
              </w:tabs>
              <w:spacing w:line="360" w:lineRule="auto"/>
              <w:jc w:val="both"/>
              <w:rPr>
                <w:sz w:val="24"/>
                <w:szCs w:val="24"/>
              </w:rPr>
            </w:pPr>
            <w:r w:rsidRPr="00426478">
              <w:rPr>
                <w:sz w:val="24"/>
                <w:szCs w:val="24"/>
              </w:rPr>
              <w:t>zcel</w:t>
            </w:r>
            <w:r w:rsidR="00AB03C2" w:rsidRPr="00426478">
              <w:rPr>
                <w:sz w:val="24"/>
                <w:szCs w:val="24"/>
              </w:rPr>
              <w:t>a:</w:t>
            </w:r>
            <w:r w:rsidRPr="00426478">
              <w:rPr>
                <w:sz w:val="24"/>
                <w:szCs w:val="24"/>
              </w:rPr>
              <w:t xml:space="preserve"> 22</w:t>
            </w:r>
          </w:p>
        </w:tc>
      </w:tr>
      <w:tr w:rsidR="00AB03C2" w:rsidRPr="00426478" w:rsidTr="00FD1B14">
        <w:trPr>
          <w:trHeight w:val="512"/>
        </w:trPr>
        <w:tc>
          <w:tcPr>
            <w:tcW w:w="4606" w:type="dxa"/>
            <w:vMerge/>
          </w:tcPr>
          <w:p w:rsidR="00AB03C2" w:rsidRPr="00426478" w:rsidRDefault="00AB03C2" w:rsidP="00AE5C96">
            <w:pPr>
              <w:tabs>
                <w:tab w:val="left" w:pos="426"/>
                <w:tab w:val="left" w:pos="1418"/>
              </w:tabs>
              <w:spacing w:line="360" w:lineRule="auto"/>
              <w:jc w:val="both"/>
              <w:rPr>
                <w:sz w:val="24"/>
                <w:szCs w:val="24"/>
              </w:rPr>
            </w:pPr>
          </w:p>
        </w:tc>
        <w:tc>
          <w:tcPr>
            <w:tcW w:w="4606" w:type="dxa"/>
          </w:tcPr>
          <w:p w:rsidR="00AB03C2" w:rsidRPr="00426478" w:rsidRDefault="00AB03C2" w:rsidP="00AE5C96">
            <w:pPr>
              <w:tabs>
                <w:tab w:val="left" w:pos="426"/>
                <w:tab w:val="left" w:pos="1418"/>
              </w:tabs>
              <w:spacing w:line="360" w:lineRule="auto"/>
              <w:jc w:val="both"/>
              <w:rPr>
                <w:sz w:val="24"/>
                <w:szCs w:val="24"/>
              </w:rPr>
            </w:pPr>
            <w:r w:rsidRPr="00426478">
              <w:rPr>
                <w:sz w:val="24"/>
                <w:szCs w:val="24"/>
              </w:rPr>
              <w:t>částečně:</w:t>
            </w:r>
            <w:r w:rsidR="00084922" w:rsidRPr="00426478">
              <w:rPr>
                <w:sz w:val="24"/>
                <w:szCs w:val="24"/>
              </w:rPr>
              <w:t xml:space="preserve"> </w:t>
            </w:r>
            <w:r w:rsidR="00644442">
              <w:rPr>
                <w:sz w:val="24"/>
                <w:szCs w:val="24"/>
              </w:rPr>
              <w:t>1</w:t>
            </w:r>
            <w:r w:rsidR="008953B1">
              <w:rPr>
                <w:sz w:val="24"/>
                <w:szCs w:val="24"/>
              </w:rPr>
              <w:t>4</w:t>
            </w:r>
          </w:p>
        </w:tc>
      </w:tr>
    </w:tbl>
    <w:p w:rsidR="00A66808" w:rsidRDefault="00A66808" w:rsidP="00AE5C96">
      <w:pPr>
        <w:tabs>
          <w:tab w:val="left" w:pos="426"/>
          <w:tab w:val="left" w:pos="1418"/>
        </w:tabs>
        <w:spacing w:after="0" w:line="360" w:lineRule="auto"/>
        <w:jc w:val="both"/>
        <w:rPr>
          <w:b/>
          <w:sz w:val="24"/>
          <w:szCs w:val="24"/>
        </w:rPr>
      </w:pPr>
    </w:p>
    <w:p w:rsidR="00FB6C99" w:rsidRPr="00611883" w:rsidRDefault="00FB6C99" w:rsidP="00AE5C96">
      <w:pPr>
        <w:pStyle w:val="Nadpis2"/>
        <w:numPr>
          <w:ilvl w:val="1"/>
          <w:numId w:val="4"/>
        </w:numPr>
        <w:spacing w:line="360" w:lineRule="auto"/>
        <w:jc w:val="both"/>
        <w:rPr>
          <w:rFonts w:ascii="Times New Roman" w:hAnsi="Times New Roman" w:cs="Times New Roman"/>
          <w:color w:val="auto"/>
        </w:rPr>
      </w:pPr>
      <w:bookmarkStart w:id="35" w:name="_Toc409631311"/>
      <w:r w:rsidRPr="00611883">
        <w:rPr>
          <w:rFonts w:ascii="Times New Roman" w:hAnsi="Times New Roman" w:cs="Times New Roman"/>
          <w:color w:val="auto"/>
        </w:rPr>
        <w:t>Zcizení dědictví</w:t>
      </w:r>
      <w:r w:rsidR="00580ADE">
        <w:rPr>
          <w:rStyle w:val="Znakapoznpodarou"/>
          <w:rFonts w:ascii="Times New Roman" w:hAnsi="Times New Roman" w:cs="Times New Roman"/>
          <w:color w:val="auto"/>
        </w:rPr>
        <w:footnoteReference w:id="63"/>
      </w:r>
      <w:bookmarkEnd w:id="35"/>
    </w:p>
    <w:p w:rsidR="00FB6C99" w:rsidRPr="00426478" w:rsidRDefault="00C31141" w:rsidP="00AE5C96">
      <w:pPr>
        <w:tabs>
          <w:tab w:val="left" w:pos="426"/>
          <w:tab w:val="left" w:pos="1418"/>
        </w:tabs>
        <w:spacing w:after="0" w:line="360" w:lineRule="auto"/>
        <w:ind w:firstLine="567"/>
        <w:jc w:val="both"/>
        <w:rPr>
          <w:sz w:val="24"/>
          <w:szCs w:val="24"/>
        </w:rPr>
      </w:pPr>
      <w:r w:rsidRPr="00426478">
        <w:rPr>
          <w:sz w:val="24"/>
          <w:szCs w:val="24"/>
        </w:rPr>
        <w:t>VN obsahuje právní úpravu zcizení dědictví v rámci Hlavy 24., která se věnuje přechodu pozůstalosti. NOZ řadí úpravu do samostatného Dílu 8 Hlavy III.</w:t>
      </w:r>
      <w:r w:rsidR="0084442C" w:rsidRPr="00426478">
        <w:rPr>
          <w:sz w:val="24"/>
          <w:szCs w:val="24"/>
        </w:rPr>
        <w:t xml:space="preserve"> Předpoklady a </w:t>
      </w:r>
      <w:r w:rsidR="0084442C" w:rsidRPr="00426478">
        <w:rPr>
          <w:sz w:val="24"/>
          <w:szCs w:val="24"/>
        </w:rPr>
        <w:lastRenderedPageBreak/>
        <w:t xml:space="preserve">následky zcizení dědictví jsou upraveny shodně ve VN a NOZ, pouze s nepatrnými odchylkami. </w:t>
      </w:r>
    </w:p>
    <w:p w:rsidR="0084442C" w:rsidRPr="00426478" w:rsidRDefault="0084442C" w:rsidP="00AE5C96">
      <w:pPr>
        <w:tabs>
          <w:tab w:val="left" w:pos="426"/>
          <w:tab w:val="left" w:pos="1418"/>
        </w:tabs>
        <w:spacing w:after="0" w:line="360" w:lineRule="auto"/>
        <w:ind w:firstLine="567"/>
        <w:jc w:val="both"/>
        <w:rPr>
          <w:sz w:val="24"/>
          <w:szCs w:val="24"/>
        </w:rPr>
      </w:pPr>
      <w:r w:rsidRPr="00426478">
        <w:rPr>
          <w:sz w:val="24"/>
          <w:szCs w:val="24"/>
        </w:rPr>
        <w:t>VN i NOZ připouští tedy, aby bylo dědictví po smrti zůstavitele zcizeno. Následkem je, že nabyvatel vstupuje do práv a povinností, které náleží k pozůstalosti. Smlouva o zcizení dědictví vyžaduje formu veřejné listiny, resp. notářského zápisu. VN navíc umožňuje i formu soudního protokolu.</w:t>
      </w:r>
    </w:p>
    <w:p w:rsidR="0084442C" w:rsidRPr="00426478" w:rsidRDefault="0084442C" w:rsidP="00AE5C96">
      <w:pPr>
        <w:tabs>
          <w:tab w:val="left" w:pos="426"/>
          <w:tab w:val="left" w:pos="1418"/>
        </w:tabs>
        <w:spacing w:after="0" w:line="360" w:lineRule="auto"/>
        <w:ind w:firstLine="567"/>
        <w:jc w:val="both"/>
        <w:rPr>
          <w:sz w:val="24"/>
          <w:szCs w:val="24"/>
        </w:rPr>
      </w:pPr>
      <w:r w:rsidRPr="00426478">
        <w:rPr>
          <w:sz w:val="24"/>
          <w:szCs w:val="24"/>
        </w:rPr>
        <w:t>Důležitým je, že zcizitel a nabyvatel po uzavření smlouvy odpovídají za dluhy zůstavitele věřitelům společně a nerozdílně. Zcizitel také odpovídá nabyvateli za pravost dědického práva, a případná škoda se řeší dle obecných ustanovení o náhradě škody.</w:t>
      </w:r>
    </w:p>
    <w:p w:rsidR="00791DBB" w:rsidRPr="00426478" w:rsidRDefault="00791DBB" w:rsidP="00AE5C96">
      <w:pPr>
        <w:tabs>
          <w:tab w:val="left" w:pos="426"/>
          <w:tab w:val="left" w:pos="1418"/>
        </w:tabs>
        <w:spacing w:after="0" w:line="360" w:lineRule="auto"/>
        <w:jc w:val="both"/>
        <w:rPr>
          <w:sz w:val="24"/>
          <w:szCs w:val="24"/>
        </w:rPr>
      </w:pPr>
    </w:p>
    <w:tbl>
      <w:tblPr>
        <w:tblStyle w:val="Mkatabulky"/>
        <w:tblW w:w="9212" w:type="dxa"/>
        <w:tblInd w:w="108" w:type="dxa"/>
        <w:tblLook w:val="04A0"/>
      </w:tblPr>
      <w:tblGrid>
        <w:gridCol w:w="4606"/>
        <w:gridCol w:w="4606"/>
      </w:tblGrid>
      <w:tr w:rsidR="00DD6302" w:rsidRPr="00426478" w:rsidTr="00FD1B14">
        <w:tc>
          <w:tcPr>
            <w:tcW w:w="4606" w:type="dxa"/>
          </w:tcPr>
          <w:p w:rsidR="00DD6302" w:rsidRPr="00426478" w:rsidRDefault="00DD6302" w:rsidP="00AE5C96">
            <w:pPr>
              <w:tabs>
                <w:tab w:val="left" w:pos="426"/>
                <w:tab w:val="left" w:pos="1418"/>
              </w:tabs>
              <w:spacing w:line="360" w:lineRule="auto"/>
              <w:jc w:val="both"/>
              <w:rPr>
                <w:sz w:val="24"/>
                <w:szCs w:val="24"/>
              </w:rPr>
            </w:pPr>
            <w:r w:rsidRPr="00426478">
              <w:rPr>
                <w:sz w:val="24"/>
                <w:szCs w:val="24"/>
              </w:rPr>
              <w:t>Počet ustanovení v</w:t>
            </w:r>
            <w:r w:rsidR="008C4525">
              <w:rPr>
                <w:sz w:val="24"/>
                <w:szCs w:val="24"/>
              </w:rPr>
              <w:t> </w:t>
            </w:r>
            <w:r w:rsidRPr="00426478">
              <w:rPr>
                <w:sz w:val="24"/>
                <w:szCs w:val="24"/>
              </w:rPr>
              <w:t>NOZ</w:t>
            </w:r>
          </w:p>
        </w:tc>
        <w:tc>
          <w:tcPr>
            <w:tcW w:w="4606" w:type="dxa"/>
          </w:tcPr>
          <w:p w:rsidR="00DD6302" w:rsidRPr="00426478" w:rsidRDefault="00AF0C29" w:rsidP="00AE5C96">
            <w:pPr>
              <w:tabs>
                <w:tab w:val="left" w:pos="426"/>
                <w:tab w:val="left" w:pos="1418"/>
              </w:tabs>
              <w:spacing w:line="360" w:lineRule="auto"/>
              <w:jc w:val="both"/>
              <w:rPr>
                <w:sz w:val="24"/>
                <w:szCs w:val="24"/>
              </w:rPr>
            </w:pPr>
            <w:r w:rsidRPr="00426478">
              <w:rPr>
                <w:sz w:val="24"/>
                <w:szCs w:val="24"/>
              </w:rPr>
              <w:t>7</w:t>
            </w:r>
          </w:p>
        </w:tc>
      </w:tr>
      <w:tr w:rsidR="00DD6302" w:rsidRPr="00426478" w:rsidTr="00FD1B14">
        <w:tc>
          <w:tcPr>
            <w:tcW w:w="4606" w:type="dxa"/>
          </w:tcPr>
          <w:p w:rsidR="00DD6302" w:rsidRPr="00426478" w:rsidRDefault="00DD6302" w:rsidP="00AE5C96">
            <w:pPr>
              <w:tabs>
                <w:tab w:val="left" w:pos="426"/>
                <w:tab w:val="left" w:pos="1418"/>
              </w:tabs>
              <w:spacing w:line="360" w:lineRule="auto"/>
              <w:jc w:val="both"/>
              <w:rPr>
                <w:sz w:val="24"/>
                <w:szCs w:val="24"/>
              </w:rPr>
            </w:pPr>
            <w:r w:rsidRPr="00426478">
              <w:rPr>
                <w:sz w:val="24"/>
                <w:szCs w:val="24"/>
              </w:rPr>
              <w:t>Počet ustanovení ve VN</w:t>
            </w:r>
          </w:p>
        </w:tc>
        <w:tc>
          <w:tcPr>
            <w:tcW w:w="4606" w:type="dxa"/>
          </w:tcPr>
          <w:p w:rsidR="00DD6302" w:rsidRPr="00426478" w:rsidRDefault="00AF0C29" w:rsidP="00AE5C96">
            <w:pPr>
              <w:tabs>
                <w:tab w:val="left" w:pos="426"/>
                <w:tab w:val="left" w:pos="1418"/>
              </w:tabs>
              <w:spacing w:line="360" w:lineRule="auto"/>
              <w:jc w:val="both"/>
              <w:rPr>
                <w:sz w:val="24"/>
                <w:szCs w:val="24"/>
              </w:rPr>
            </w:pPr>
            <w:r w:rsidRPr="00426478">
              <w:rPr>
                <w:sz w:val="24"/>
                <w:szCs w:val="24"/>
              </w:rPr>
              <w:t>11</w:t>
            </w:r>
          </w:p>
        </w:tc>
      </w:tr>
      <w:tr w:rsidR="00A313B8" w:rsidRPr="00426478" w:rsidTr="00FD1B14">
        <w:trPr>
          <w:trHeight w:val="512"/>
        </w:trPr>
        <w:tc>
          <w:tcPr>
            <w:tcW w:w="4606" w:type="dxa"/>
            <w:vMerge w:val="restart"/>
          </w:tcPr>
          <w:p w:rsidR="00A313B8" w:rsidRPr="00426478" w:rsidRDefault="00A313B8" w:rsidP="00AE5C96">
            <w:pPr>
              <w:tabs>
                <w:tab w:val="left" w:pos="426"/>
                <w:tab w:val="left" w:pos="1418"/>
              </w:tabs>
              <w:spacing w:line="360" w:lineRule="auto"/>
              <w:jc w:val="both"/>
              <w:rPr>
                <w:sz w:val="24"/>
                <w:szCs w:val="24"/>
              </w:rPr>
            </w:pPr>
            <w:r w:rsidRPr="00426478">
              <w:rPr>
                <w:sz w:val="24"/>
                <w:szCs w:val="24"/>
              </w:rPr>
              <w:t>Počet ustanovení NOZ obsahově shodných s ustanoveními VN</w:t>
            </w:r>
          </w:p>
        </w:tc>
        <w:tc>
          <w:tcPr>
            <w:tcW w:w="4606" w:type="dxa"/>
          </w:tcPr>
          <w:p w:rsidR="00A313B8" w:rsidRPr="00426478" w:rsidRDefault="00084922" w:rsidP="00AE5C96">
            <w:pPr>
              <w:tabs>
                <w:tab w:val="left" w:pos="426"/>
                <w:tab w:val="left" w:pos="1418"/>
              </w:tabs>
              <w:spacing w:line="360" w:lineRule="auto"/>
              <w:jc w:val="both"/>
              <w:rPr>
                <w:sz w:val="24"/>
                <w:szCs w:val="24"/>
              </w:rPr>
            </w:pPr>
            <w:r w:rsidRPr="00426478">
              <w:rPr>
                <w:sz w:val="24"/>
                <w:szCs w:val="24"/>
              </w:rPr>
              <w:t>zcel</w:t>
            </w:r>
            <w:r w:rsidR="00A313B8" w:rsidRPr="00426478">
              <w:rPr>
                <w:sz w:val="24"/>
                <w:szCs w:val="24"/>
              </w:rPr>
              <w:t>a:</w:t>
            </w:r>
            <w:r w:rsidRPr="00426478">
              <w:rPr>
                <w:sz w:val="24"/>
                <w:szCs w:val="24"/>
              </w:rPr>
              <w:t xml:space="preserve"> 7</w:t>
            </w:r>
          </w:p>
        </w:tc>
      </w:tr>
      <w:tr w:rsidR="00A313B8" w:rsidRPr="00426478" w:rsidTr="00FD1B14">
        <w:trPr>
          <w:trHeight w:val="512"/>
        </w:trPr>
        <w:tc>
          <w:tcPr>
            <w:tcW w:w="4606" w:type="dxa"/>
            <w:vMerge/>
          </w:tcPr>
          <w:p w:rsidR="00A313B8" w:rsidRPr="00426478" w:rsidRDefault="00A313B8" w:rsidP="00AE5C96">
            <w:pPr>
              <w:tabs>
                <w:tab w:val="left" w:pos="426"/>
                <w:tab w:val="left" w:pos="1418"/>
              </w:tabs>
              <w:spacing w:line="360" w:lineRule="auto"/>
              <w:jc w:val="both"/>
              <w:rPr>
                <w:sz w:val="24"/>
                <w:szCs w:val="24"/>
              </w:rPr>
            </w:pPr>
          </w:p>
        </w:tc>
        <w:tc>
          <w:tcPr>
            <w:tcW w:w="4606" w:type="dxa"/>
          </w:tcPr>
          <w:p w:rsidR="00A313B8" w:rsidRPr="00426478" w:rsidRDefault="00A313B8" w:rsidP="00AE5C96">
            <w:pPr>
              <w:tabs>
                <w:tab w:val="left" w:pos="426"/>
                <w:tab w:val="left" w:pos="1418"/>
              </w:tabs>
              <w:spacing w:line="360" w:lineRule="auto"/>
              <w:jc w:val="both"/>
              <w:rPr>
                <w:sz w:val="24"/>
                <w:szCs w:val="24"/>
              </w:rPr>
            </w:pPr>
            <w:r w:rsidRPr="00426478">
              <w:rPr>
                <w:sz w:val="24"/>
                <w:szCs w:val="24"/>
              </w:rPr>
              <w:t>částečně:</w:t>
            </w:r>
            <w:r w:rsidR="00084922" w:rsidRPr="00426478">
              <w:rPr>
                <w:sz w:val="24"/>
                <w:szCs w:val="24"/>
              </w:rPr>
              <w:t xml:space="preserve"> 0</w:t>
            </w:r>
          </w:p>
        </w:tc>
      </w:tr>
    </w:tbl>
    <w:p w:rsidR="00DD6302" w:rsidRPr="00426478" w:rsidRDefault="00DD6302" w:rsidP="00AE5C96">
      <w:pPr>
        <w:tabs>
          <w:tab w:val="left" w:pos="426"/>
          <w:tab w:val="left" w:pos="1418"/>
        </w:tabs>
        <w:spacing w:after="0" w:line="360" w:lineRule="auto"/>
        <w:jc w:val="both"/>
        <w:rPr>
          <w:sz w:val="24"/>
          <w:szCs w:val="24"/>
        </w:rPr>
      </w:pPr>
    </w:p>
    <w:p w:rsidR="00EF732D" w:rsidRPr="008D11B8" w:rsidRDefault="00EF732D" w:rsidP="00AE5C96">
      <w:pPr>
        <w:pStyle w:val="Nadpis2"/>
        <w:numPr>
          <w:ilvl w:val="1"/>
          <w:numId w:val="4"/>
        </w:numPr>
        <w:spacing w:line="360" w:lineRule="auto"/>
        <w:jc w:val="both"/>
        <w:rPr>
          <w:rFonts w:ascii="Times New Roman" w:hAnsi="Times New Roman" w:cs="Times New Roman"/>
          <w:color w:val="auto"/>
        </w:rPr>
      </w:pPr>
      <w:bookmarkStart w:id="36" w:name="_Toc409631312"/>
      <w:r w:rsidRPr="008D11B8">
        <w:rPr>
          <w:rFonts w:ascii="Times New Roman" w:hAnsi="Times New Roman" w:cs="Times New Roman"/>
          <w:color w:val="auto"/>
        </w:rPr>
        <w:t>Praktické příklady srovnávání</w:t>
      </w:r>
      <w:bookmarkEnd w:id="36"/>
    </w:p>
    <w:p w:rsidR="00EF732D" w:rsidRPr="00426478" w:rsidRDefault="00EF732D" w:rsidP="00AE5C96">
      <w:pPr>
        <w:spacing w:line="360" w:lineRule="auto"/>
        <w:ind w:firstLine="567"/>
        <w:jc w:val="both"/>
        <w:rPr>
          <w:sz w:val="24"/>
          <w:szCs w:val="24"/>
        </w:rPr>
      </w:pPr>
      <w:r w:rsidRPr="00426478">
        <w:rPr>
          <w:sz w:val="24"/>
          <w:szCs w:val="24"/>
        </w:rPr>
        <w:t xml:space="preserve">V této části je uvedeno několik příkladů srovnání ustanovení NOZ a VN. Při srovnávání a následném tvoření tabulek je kladen důraz na obsahovou shodnost ustanovení, nikoli </w:t>
      </w:r>
      <w:r>
        <w:rPr>
          <w:sz w:val="24"/>
          <w:szCs w:val="24"/>
        </w:rPr>
        <w:t>jazykovou.</w:t>
      </w:r>
      <w:r w:rsidRPr="00426478">
        <w:rPr>
          <w:sz w:val="24"/>
          <w:szCs w:val="24"/>
        </w:rPr>
        <w:t xml:space="preserve"> Zde jsou příklady několika zcela a částečně shodných ustanovení NOZ s VN a několika rozdílných ustanovení týkaj</w:t>
      </w:r>
      <w:r>
        <w:rPr>
          <w:sz w:val="24"/>
          <w:szCs w:val="24"/>
        </w:rPr>
        <w:t>ících se jednotlivých institutů, na kterých práce ukazuje, jak bylo při srovnávání ustanovení o institutech dědického práva postupováno.</w:t>
      </w:r>
    </w:p>
    <w:p w:rsidR="00EF732D" w:rsidRPr="00A66808" w:rsidRDefault="00EF732D" w:rsidP="00AE5C96">
      <w:pPr>
        <w:spacing w:line="360" w:lineRule="auto"/>
        <w:jc w:val="both"/>
        <w:rPr>
          <w:b/>
          <w:sz w:val="24"/>
          <w:szCs w:val="24"/>
        </w:rPr>
      </w:pPr>
      <w:r w:rsidRPr="00A66808">
        <w:rPr>
          <w:b/>
          <w:sz w:val="24"/>
          <w:szCs w:val="24"/>
        </w:rPr>
        <w:t>Zcela shodná ustanovení</w:t>
      </w:r>
    </w:p>
    <w:p w:rsidR="00EF732D" w:rsidRPr="00426478" w:rsidRDefault="00EF732D" w:rsidP="00AE5C96">
      <w:pPr>
        <w:spacing w:line="360" w:lineRule="auto"/>
        <w:jc w:val="both"/>
        <w:rPr>
          <w:sz w:val="24"/>
          <w:szCs w:val="24"/>
        </w:rPr>
      </w:pPr>
      <w:r w:rsidRPr="00426478">
        <w:rPr>
          <w:sz w:val="24"/>
          <w:szCs w:val="24"/>
        </w:rPr>
        <w:t>VN §</w:t>
      </w:r>
      <w:r w:rsidR="00D61544">
        <w:rPr>
          <w:sz w:val="24"/>
          <w:szCs w:val="24"/>
        </w:rPr>
        <w:t xml:space="preserve"> </w:t>
      </w:r>
      <w:r w:rsidRPr="00426478">
        <w:rPr>
          <w:sz w:val="24"/>
          <w:szCs w:val="24"/>
        </w:rPr>
        <w:t xml:space="preserve">377: </w:t>
      </w:r>
    </w:p>
    <w:p w:rsidR="00EF732D" w:rsidRPr="00426478" w:rsidRDefault="00EF732D" w:rsidP="00AE5C96">
      <w:pPr>
        <w:spacing w:line="360" w:lineRule="auto"/>
        <w:jc w:val="both"/>
        <w:rPr>
          <w:i/>
          <w:sz w:val="24"/>
          <w:szCs w:val="24"/>
        </w:rPr>
      </w:pPr>
      <w:r w:rsidRPr="00426478">
        <w:rPr>
          <w:i/>
          <w:sz w:val="24"/>
          <w:szCs w:val="24"/>
        </w:rPr>
        <w:t>Dědické právo je právo na celou pozůstalost nebo na její poměrný díl (podíl).</w:t>
      </w:r>
    </w:p>
    <w:p w:rsidR="00EF732D" w:rsidRPr="00426478" w:rsidRDefault="00EF732D" w:rsidP="00AE5C96">
      <w:pPr>
        <w:spacing w:line="360" w:lineRule="auto"/>
        <w:jc w:val="both"/>
        <w:rPr>
          <w:sz w:val="24"/>
          <w:szCs w:val="24"/>
        </w:rPr>
      </w:pPr>
      <w:r w:rsidRPr="00426478">
        <w:rPr>
          <w:sz w:val="24"/>
          <w:szCs w:val="24"/>
        </w:rPr>
        <w:t>NOZ §</w:t>
      </w:r>
      <w:r w:rsidR="00D61544">
        <w:rPr>
          <w:sz w:val="24"/>
          <w:szCs w:val="24"/>
        </w:rPr>
        <w:t xml:space="preserve"> </w:t>
      </w:r>
      <w:r w:rsidRPr="00426478">
        <w:rPr>
          <w:sz w:val="24"/>
          <w:szCs w:val="24"/>
        </w:rPr>
        <w:t xml:space="preserve">1475: </w:t>
      </w:r>
    </w:p>
    <w:p w:rsidR="00EF732D" w:rsidRPr="00426478" w:rsidRDefault="00EF732D" w:rsidP="00AE5C96">
      <w:pPr>
        <w:spacing w:line="360" w:lineRule="auto"/>
        <w:jc w:val="both"/>
        <w:rPr>
          <w:i/>
          <w:sz w:val="24"/>
          <w:szCs w:val="24"/>
        </w:rPr>
      </w:pPr>
      <w:r w:rsidRPr="00426478">
        <w:rPr>
          <w:i/>
          <w:sz w:val="24"/>
          <w:szCs w:val="24"/>
        </w:rPr>
        <w:t>Dědické právo je právo na pozůstalost nebo poměrný podíl z ní.</w:t>
      </w:r>
    </w:p>
    <w:p w:rsidR="00EF732D" w:rsidRDefault="00EF732D" w:rsidP="00AE5C96">
      <w:pPr>
        <w:spacing w:line="360" w:lineRule="auto"/>
        <w:ind w:firstLine="567"/>
        <w:jc w:val="both"/>
        <w:rPr>
          <w:sz w:val="24"/>
          <w:szCs w:val="24"/>
        </w:rPr>
      </w:pPr>
      <w:r w:rsidRPr="00426478">
        <w:rPr>
          <w:sz w:val="24"/>
          <w:szCs w:val="24"/>
        </w:rPr>
        <w:t>Prvním příkladem je hned první ustanovení o dědickém právu týkající se definování dědického práva. Oba právní předpisy definují tento pojem shodně.</w:t>
      </w:r>
    </w:p>
    <w:p w:rsidR="00381AE3" w:rsidRPr="00426478" w:rsidRDefault="00381AE3" w:rsidP="00AE5C96">
      <w:pPr>
        <w:spacing w:line="360" w:lineRule="auto"/>
        <w:ind w:firstLine="567"/>
        <w:jc w:val="both"/>
        <w:rPr>
          <w:sz w:val="24"/>
          <w:szCs w:val="24"/>
        </w:rPr>
      </w:pPr>
    </w:p>
    <w:p w:rsidR="00EF732D" w:rsidRPr="00426478" w:rsidRDefault="00EF732D" w:rsidP="00AE5C96">
      <w:pPr>
        <w:spacing w:line="360" w:lineRule="auto"/>
        <w:jc w:val="both"/>
        <w:rPr>
          <w:sz w:val="24"/>
          <w:szCs w:val="24"/>
        </w:rPr>
      </w:pPr>
      <w:r w:rsidRPr="00426478">
        <w:rPr>
          <w:sz w:val="24"/>
          <w:szCs w:val="24"/>
        </w:rPr>
        <w:lastRenderedPageBreak/>
        <w:t>VN §</w:t>
      </w:r>
      <w:r w:rsidR="00D61544">
        <w:rPr>
          <w:sz w:val="24"/>
          <w:szCs w:val="24"/>
        </w:rPr>
        <w:t xml:space="preserve"> </w:t>
      </w:r>
      <w:r w:rsidRPr="00426478">
        <w:rPr>
          <w:sz w:val="24"/>
          <w:szCs w:val="24"/>
        </w:rPr>
        <w:t xml:space="preserve">499: </w:t>
      </w:r>
    </w:p>
    <w:p w:rsidR="00EF732D" w:rsidRDefault="00EF732D" w:rsidP="00AE5C96">
      <w:pPr>
        <w:spacing w:line="360" w:lineRule="auto"/>
        <w:jc w:val="both"/>
        <w:rPr>
          <w:i/>
          <w:sz w:val="24"/>
          <w:szCs w:val="24"/>
        </w:rPr>
      </w:pPr>
      <w:r w:rsidRPr="00426478">
        <w:rPr>
          <w:i/>
          <w:sz w:val="24"/>
          <w:szCs w:val="24"/>
        </w:rPr>
        <w:t xml:space="preserve">Odkaz jednotlivých věcí pozůstalostních a práv na ně se vztahujících, pak menších odměn pro zaměstnance, jakož i odkazy dobročinné mohou </w:t>
      </w:r>
      <w:proofErr w:type="spellStart"/>
      <w:r w:rsidRPr="00426478">
        <w:rPr>
          <w:i/>
          <w:sz w:val="24"/>
          <w:szCs w:val="24"/>
        </w:rPr>
        <w:t>býti</w:t>
      </w:r>
      <w:proofErr w:type="spellEnd"/>
      <w:r w:rsidRPr="00426478">
        <w:rPr>
          <w:i/>
          <w:sz w:val="24"/>
          <w:szCs w:val="24"/>
        </w:rPr>
        <w:t xml:space="preserve"> požadovány ihned; jiné odkazy jsou splatné za rok od smrti zůstavitele, není-li zřejmá jinaká vůle zůstavitele.</w:t>
      </w:r>
    </w:p>
    <w:p w:rsidR="00EF732D" w:rsidRPr="00426478" w:rsidRDefault="00EF732D" w:rsidP="00AE5C96">
      <w:pPr>
        <w:spacing w:line="360" w:lineRule="auto"/>
        <w:jc w:val="both"/>
        <w:rPr>
          <w:sz w:val="24"/>
          <w:szCs w:val="24"/>
        </w:rPr>
      </w:pPr>
      <w:r w:rsidRPr="00426478">
        <w:rPr>
          <w:sz w:val="24"/>
          <w:szCs w:val="24"/>
        </w:rPr>
        <w:t>NOZ §</w:t>
      </w:r>
      <w:r w:rsidR="00D61544">
        <w:rPr>
          <w:sz w:val="24"/>
          <w:szCs w:val="24"/>
        </w:rPr>
        <w:t xml:space="preserve"> </w:t>
      </w:r>
      <w:r w:rsidRPr="00426478">
        <w:rPr>
          <w:sz w:val="24"/>
          <w:szCs w:val="24"/>
        </w:rPr>
        <w:t xml:space="preserve">1624: </w:t>
      </w:r>
    </w:p>
    <w:p w:rsidR="00EF732D" w:rsidRPr="00426478" w:rsidRDefault="00EF732D" w:rsidP="00AE5C96">
      <w:pPr>
        <w:spacing w:line="360" w:lineRule="auto"/>
        <w:jc w:val="both"/>
        <w:rPr>
          <w:i/>
          <w:sz w:val="24"/>
          <w:szCs w:val="24"/>
        </w:rPr>
      </w:pPr>
      <w:r w:rsidRPr="00426478">
        <w:rPr>
          <w:i/>
          <w:sz w:val="24"/>
          <w:szCs w:val="24"/>
        </w:rPr>
        <w:t>Odst.</w:t>
      </w:r>
      <w:r w:rsidR="00D61544">
        <w:rPr>
          <w:i/>
          <w:sz w:val="24"/>
          <w:szCs w:val="24"/>
        </w:rPr>
        <w:t xml:space="preserve"> </w:t>
      </w:r>
      <w:r w:rsidRPr="00426478">
        <w:rPr>
          <w:i/>
          <w:sz w:val="24"/>
          <w:szCs w:val="24"/>
        </w:rPr>
        <w:t xml:space="preserve">1: Odkaz jednotlivých věcí z pozůstalosti a odkaz práv vztahujících se k takovým věcem může být požadován ihned. To platí i pro odkaz menších odměn pro zaměstnance a odkazy veřejně prospěšné, dobročinné a podobné. Jiné odkazy jsou splatné za rok od smrti zůstavitele. </w:t>
      </w:r>
    </w:p>
    <w:p w:rsidR="00EF732D" w:rsidRPr="00426478" w:rsidRDefault="00EF732D" w:rsidP="00AE5C96">
      <w:pPr>
        <w:spacing w:line="360" w:lineRule="auto"/>
        <w:jc w:val="both"/>
        <w:rPr>
          <w:i/>
          <w:sz w:val="24"/>
          <w:szCs w:val="24"/>
        </w:rPr>
      </w:pPr>
      <w:r w:rsidRPr="00426478">
        <w:rPr>
          <w:i/>
          <w:sz w:val="24"/>
          <w:szCs w:val="24"/>
        </w:rPr>
        <w:t>Odst. 2: Ustanovení odstavce 1 se použije, není-li zřejmá jiná vůle zůstavitele.</w:t>
      </w:r>
    </w:p>
    <w:p w:rsidR="00EF732D" w:rsidRPr="00426478" w:rsidRDefault="00EF732D" w:rsidP="00AE5C96">
      <w:pPr>
        <w:spacing w:line="360" w:lineRule="auto"/>
        <w:ind w:firstLine="567"/>
        <w:jc w:val="both"/>
        <w:rPr>
          <w:sz w:val="24"/>
          <w:szCs w:val="24"/>
        </w:rPr>
      </w:pPr>
      <w:r w:rsidRPr="00426478">
        <w:rPr>
          <w:sz w:val="24"/>
          <w:szCs w:val="24"/>
        </w:rPr>
        <w:t xml:space="preserve">Dalším příkladem je ustanovení z právní úpravy odkazů. Jelikož se jedná o institut, který je znovuobnoven v NOZ, poté co byl z českého práva vypuštěn, slouží zde VN jako podstatný inspirační zdroj právní úpravy. Vybráno je ustanovení o splatnosti odkazu, které je obsahově a dá se říci, že i slovně, zcela shodné s ustanovením VN. Právní úprava odkazu v NOZ obsahuje spoustu </w:t>
      </w:r>
      <w:r w:rsidR="00022FBE">
        <w:rPr>
          <w:sz w:val="24"/>
          <w:szCs w:val="24"/>
        </w:rPr>
        <w:t>dalších takových ustanovení, což</w:t>
      </w:r>
      <w:r w:rsidRPr="00426478">
        <w:rPr>
          <w:sz w:val="24"/>
          <w:szCs w:val="24"/>
        </w:rPr>
        <w:t xml:space="preserve"> je nicméně zřejmé z výše uvedené tabulky u srovnávání právní úpravy odkazu.</w:t>
      </w:r>
    </w:p>
    <w:p w:rsidR="00EF732D" w:rsidRPr="00A66808" w:rsidRDefault="00EF732D" w:rsidP="00AE5C96">
      <w:pPr>
        <w:spacing w:line="360" w:lineRule="auto"/>
        <w:jc w:val="both"/>
        <w:rPr>
          <w:b/>
          <w:sz w:val="24"/>
          <w:szCs w:val="24"/>
        </w:rPr>
      </w:pPr>
      <w:r w:rsidRPr="00A66808">
        <w:rPr>
          <w:b/>
          <w:sz w:val="24"/>
          <w:szCs w:val="24"/>
        </w:rPr>
        <w:t>Částečně shodná ustanovení</w:t>
      </w:r>
    </w:p>
    <w:p w:rsidR="00EF732D" w:rsidRPr="00426478" w:rsidRDefault="00EF732D" w:rsidP="00AE5C96">
      <w:pPr>
        <w:spacing w:line="360" w:lineRule="auto"/>
        <w:jc w:val="both"/>
        <w:rPr>
          <w:sz w:val="24"/>
          <w:szCs w:val="24"/>
        </w:rPr>
      </w:pPr>
      <w:r w:rsidRPr="00426478">
        <w:rPr>
          <w:sz w:val="24"/>
          <w:szCs w:val="24"/>
        </w:rPr>
        <w:t>VN §</w:t>
      </w:r>
      <w:r>
        <w:rPr>
          <w:sz w:val="24"/>
          <w:szCs w:val="24"/>
        </w:rPr>
        <w:t xml:space="preserve"> </w:t>
      </w:r>
      <w:r w:rsidRPr="00426478">
        <w:rPr>
          <w:sz w:val="24"/>
          <w:szCs w:val="24"/>
        </w:rPr>
        <w:t xml:space="preserve">390: </w:t>
      </w:r>
    </w:p>
    <w:p w:rsidR="00EF732D" w:rsidRPr="00426478" w:rsidRDefault="00EF732D" w:rsidP="00AE5C96">
      <w:pPr>
        <w:spacing w:line="360" w:lineRule="auto"/>
        <w:jc w:val="both"/>
        <w:rPr>
          <w:i/>
          <w:sz w:val="24"/>
          <w:szCs w:val="24"/>
        </w:rPr>
      </w:pPr>
      <w:r w:rsidRPr="00426478">
        <w:rPr>
          <w:i/>
          <w:sz w:val="24"/>
          <w:szCs w:val="24"/>
        </w:rPr>
        <w:t xml:space="preserve">Kdo může platně </w:t>
      </w:r>
      <w:proofErr w:type="spellStart"/>
      <w:r w:rsidRPr="00426478">
        <w:rPr>
          <w:i/>
          <w:sz w:val="24"/>
          <w:szCs w:val="24"/>
        </w:rPr>
        <w:t>nakládati</w:t>
      </w:r>
      <w:proofErr w:type="spellEnd"/>
      <w:r w:rsidRPr="00426478">
        <w:rPr>
          <w:i/>
          <w:sz w:val="24"/>
          <w:szCs w:val="24"/>
        </w:rPr>
        <w:t xml:space="preserve"> se svým právem dědickým, může se ho také předem zříci smlouvou se zůstavitelem. K platnosti smlouvy o zřeknutí dědictví je potřebí formy notářského spisu nebo soudního protokolu. Nebylo-li smluveno nic jiného, působí takové zřeknutí i proti potomkům.</w:t>
      </w:r>
    </w:p>
    <w:p w:rsidR="00EF732D" w:rsidRPr="00426478" w:rsidRDefault="00EF732D" w:rsidP="00AE5C96">
      <w:pPr>
        <w:spacing w:line="360" w:lineRule="auto"/>
        <w:jc w:val="both"/>
        <w:rPr>
          <w:sz w:val="24"/>
          <w:szCs w:val="24"/>
        </w:rPr>
      </w:pPr>
      <w:r w:rsidRPr="00426478">
        <w:rPr>
          <w:sz w:val="24"/>
          <w:szCs w:val="24"/>
        </w:rPr>
        <w:t>NOZ §</w:t>
      </w:r>
      <w:r>
        <w:rPr>
          <w:sz w:val="24"/>
          <w:szCs w:val="24"/>
        </w:rPr>
        <w:t xml:space="preserve"> </w:t>
      </w:r>
      <w:r w:rsidRPr="00426478">
        <w:rPr>
          <w:sz w:val="24"/>
          <w:szCs w:val="24"/>
        </w:rPr>
        <w:t xml:space="preserve">1484: </w:t>
      </w:r>
    </w:p>
    <w:p w:rsidR="00EF732D" w:rsidRPr="00426478" w:rsidRDefault="00EF732D" w:rsidP="00AE5C96">
      <w:pPr>
        <w:spacing w:line="360" w:lineRule="auto"/>
        <w:jc w:val="both"/>
        <w:rPr>
          <w:i/>
          <w:sz w:val="24"/>
          <w:szCs w:val="24"/>
        </w:rPr>
      </w:pPr>
      <w:r w:rsidRPr="00426478">
        <w:rPr>
          <w:i/>
          <w:sz w:val="24"/>
          <w:szCs w:val="24"/>
        </w:rPr>
        <w:t>Odst. 1: Dědického práva se lze předem zříci smlouvou se zůstavitelem; není-li jinak ujednáno, působí zřeknutí i proti potomkům. Kdo se zřekne dědického práva, zříká se tím i práva na povinný díl; kdo se však zřekne jen práva na povinný díl, nezříká se tím práva z dědické posloupnosti.</w:t>
      </w:r>
    </w:p>
    <w:p w:rsidR="00EF732D" w:rsidRPr="00426478" w:rsidRDefault="00EF732D" w:rsidP="00AE5C96">
      <w:pPr>
        <w:spacing w:line="360" w:lineRule="auto"/>
        <w:jc w:val="both"/>
        <w:rPr>
          <w:i/>
          <w:sz w:val="24"/>
          <w:szCs w:val="24"/>
        </w:rPr>
      </w:pPr>
      <w:r w:rsidRPr="00426478">
        <w:rPr>
          <w:i/>
          <w:sz w:val="24"/>
          <w:szCs w:val="24"/>
        </w:rPr>
        <w:lastRenderedPageBreak/>
        <w:t>Odst. 2: Zřekl-li se někdo dědického práva ve prospěch jiné osoby, má se za to, že zřeknutí platí, jen stane-li se tato osoba dědicem.</w:t>
      </w:r>
    </w:p>
    <w:p w:rsidR="00EF732D" w:rsidRPr="00426478" w:rsidRDefault="00EF732D" w:rsidP="00AE5C96">
      <w:pPr>
        <w:spacing w:line="360" w:lineRule="auto"/>
        <w:jc w:val="both"/>
        <w:rPr>
          <w:i/>
          <w:sz w:val="24"/>
          <w:szCs w:val="24"/>
        </w:rPr>
      </w:pPr>
      <w:r w:rsidRPr="00426478">
        <w:rPr>
          <w:i/>
          <w:sz w:val="24"/>
          <w:szCs w:val="24"/>
        </w:rPr>
        <w:t>Odst. 3: Smlouva vyžaduje formu veřejné listiny; práva a povinnosti z ní však mohou být zrušeny, pokud strany dodrží písemnou formu.</w:t>
      </w:r>
    </w:p>
    <w:p w:rsidR="00EF732D" w:rsidRDefault="00CD4CAB" w:rsidP="00AE5C96">
      <w:pPr>
        <w:spacing w:line="360" w:lineRule="auto"/>
        <w:ind w:firstLine="567"/>
        <w:jc w:val="both"/>
        <w:rPr>
          <w:sz w:val="24"/>
          <w:szCs w:val="24"/>
        </w:rPr>
      </w:pPr>
      <w:r>
        <w:rPr>
          <w:sz w:val="24"/>
          <w:szCs w:val="24"/>
        </w:rPr>
        <w:t>P</w:t>
      </w:r>
      <w:r w:rsidR="00EF732D" w:rsidRPr="00426478">
        <w:rPr>
          <w:sz w:val="24"/>
          <w:szCs w:val="24"/>
        </w:rPr>
        <w:t>říkladem částečně obsahově shodného ustanovení může být ustanovení o zřeknutí se dědického práva. Možnost zřeknout se dědického práva nebyla upravena zákonem č. 40/ 1964 Sb., občanský zákoník, nicméně NOZ se opět navrací k tomuto institutu a nechává se inspirovat starší právní úpravou před rokem 1950.</w:t>
      </w:r>
      <w:r w:rsidR="00EF732D" w:rsidRPr="00426478">
        <w:rPr>
          <w:rStyle w:val="Znakapoznpodarou"/>
          <w:sz w:val="24"/>
          <w:szCs w:val="24"/>
        </w:rPr>
        <w:footnoteReference w:id="64"/>
      </w:r>
      <w:r w:rsidR="00EF732D" w:rsidRPr="00426478">
        <w:rPr>
          <w:sz w:val="24"/>
          <w:szCs w:val="24"/>
        </w:rPr>
        <w:t xml:space="preserve"> Úprava v NOZ je však podrobnější, a věnuje se oproti VN i problematice povinného dílu. </w:t>
      </w:r>
      <w:r w:rsidR="00461DF6">
        <w:rPr>
          <w:sz w:val="24"/>
          <w:szCs w:val="24"/>
        </w:rPr>
        <w:t>Obsahově sice ustanovení NOZ vychází z ustanovení VN, jelikož ale VN se svém ustanovení §390 nezmiňuje o povinném dílu, řadí práce tato ustanovení do kategorie částečně shodných ustanovení.</w:t>
      </w:r>
    </w:p>
    <w:p w:rsidR="00D828A9" w:rsidRDefault="00D828A9" w:rsidP="00AE5C96">
      <w:pPr>
        <w:spacing w:line="360" w:lineRule="auto"/>
        <w:jc w:val="both"/>
        <w:rPr>
          <w:sz w:val="24"/>
          <w:szCs w:val="24"/>
        </w:rPr>
      </w:pPr>
      <w:r>
        <w:rPr>
          <w:sz w:val="24"/>
          <w:szCs w:val="24"/>
        </w:rPr>
        <w:t>NOZ § 1520</w:t>
      </w:r>
    </w:p>
    <w:p w:rsidR="00D828A9" w:rsidRDefault="00D828A9" w:rsidP="00AE5C96">
      <w:pPr>
        <w:spacing w:line="360" w:lineRule="auto"/>
        <w:jc w:val="both"/>
        <w:rPr>
          <w:i/>
          <w:sz w:val="24"/>
          <w:szCs w:val="24"/>
        </w:rPr>
      </w:pPr>
      <w:r>
        <w:rPr>
          <w:i/>
          <w:sz w:val="24"/>
          <w:szCs w:val="24"/>
        </w:rPr>
        <w:t xml:space="preserve">Odst. 1: Požádá-li o to </w:t>
      </w:r>
      <w:proofErr w:type="spellStart"/>
      <w:r>
        <w:rPr>
          <w:i/>
          <w:sz w:val="24"/>
          <w:szCs w:val="24"/>
        </w:rPr>
        <w:t>svěřenský</w:t>
      </w:r>
      <w:proofErr w:type="spellEnd"/>
      <w:r>
        <w:rPr>
          <w:i/>
          <w:sz w:val="24"/>
          <w:szCs w:val="24"/>
        </w:rPr>
        <w:t xml:space="preserve"> nástupce, sestaví dědic bez zbytečného odkladu a za jeho přítomnosti v písemné formě inventář všeho, co děděním nabyl, uvede v něm den sestavení a vydá ho </w:t>
      </w:r>
      <w:proofErr w:type="spellStart"/>
      <w:r>
        <w:rPr>
          <w:i/>
          <w:sz w:val="24"/>
          <w:szCs w:val="24"/>
        </w:rPr>
        <w:t>svěřenskému</w:t>
      </w:r>
      <w:proofErr w:type="spellEnd"/>
      <w:r>
        <w:rPr>
          <w:i/>
          <w:sz w:val="24"/>
          <w:szCs w:val="24"/>
        </w:rPr>
        <w:t xml:space="preserve"> nástupci. Na žádost </w:t>
      </w:r>
      <w:proofErr w:type="spellStart"/>
      <w:r>
        <w:rPr>
          <w:i/>
          <w:sz w:val="24"/>
          <w:szCs w:val="24"/>
        </w:rPr>
        <w:t>svěřenského</w:t>
      </w:r>
      <w:proofErr w:type="spellEnd"/>
      <w:r>
        <w:rPr>
          <w:i/>
          <w:sz w:val="24"/>
          <w:szCs w:val="24"/>
        </w:rPr>
        <w:t xml:space="preserve"> nástupce musí být podpis dědice na inventáři úředně ověřen.</w:t>
      </w:r>
    </w:p>
    <w:p w:rsidR="00D828A9" w:rsidRDefault="00D828A9" w:rsidP="00AE5C96">
      <w:pPr>
        <w:spacing w:line="360" w:lineRule="auto"/>
        <w:jc w:val="both"/>
        <w:rPr>
          <w:i/>
          <w:sz w:val="24"/>
          <w:szCs w:val="24"/>
        </w:rPr>
      </w:pPr>
      <w:r>
        <w:rPr>
          <w:i/>
          <w:sz w:val="24"/>
          <w:szCs w:val="24"/>
        </w:rPr>
        <w:t xml:space="preserve">Odst. 2: </w:t>
      </w:r>
      <w:proofErr w:type="spellStart"/>
      <w:r>
        <w:rPr>
          <w:i/>
          <w:sz w:val="24"/>
          <w:szCs w:val="24"/>
        </w:rPr>
        <w:t>Svěřenský</w:t>
      </w:r>
      <w:proofErr w:type="spellEnd"/>
      <w:r>
        <w:rPr>
          <w:i/>
          <w:sz w:val="24"/>
          <w:szCs w:val="24"/>
        </w:rPr>
        <w:t xml:space="preserve"> nástupce má právo požadovat sestavení inventáře ve formě veřejné listiny.</w:t>
      </w:r>
    </w:p>
    <w:p w:rsidR="00D828A9" w:rsidRDefault="00D828A9" w:rsidP="00AE5C96">
      <w:pPr>
        <w:spacing w:line="360" w:lineRule="auto"/>
        <w:jc w:val="both"/>
        <w:rPr>
          <w:i/>
          <w:sz w:val="24"/>
          <w:szCs w:val="24"/>
        </w:rPr>
      </w:pPr>
      <w:r>
        <w:rPr>
          <w:i/>
          <w:sz w:val="24"/>
          <w:szCs w:val="24"/>
        </w:rPr>
        <w:t>Odst. 3: Náklady na sestavení inventáře jdou k tíži dědictví.</w:t>
      </w:r>
    </w:p>
    <w:p w:rsidR="006453C8" w:rsidRPr="006453C8" w:rsidRDefault="006453C8" w:rsidP="00AE5C96">
      <w:pPr>
        <w:spacing w:line="360" w:lineRule="auto"/>
        <w:jc w:val="both"/>
        <w:rPr>
          <w:sz w:val="24"/>
          <w:szCs w:val="24"/>
        </w:rPr>
      </w:pPr>
      <w:r>
        <w:rPr>
          <w:sz w:val="24"/>
          <w:szCs w:val="24"/>
        </w:rPr>
        <w:tab/>
        <w:t xml:space="preserve">Druhý příklad uvádí tzv. rozšiřující ustanovení v NOZ. Jedná se o ustanovení z právní úpravy </w:t>
      </w:r>
      <w:proofErr w:type="spellStart"/>
      <w:r>
        <w:rPr>
          <w:sz w:val="24"/>
          <w:szCs w:val="24"/>
        </w:rPr>
        <w:t>svěřenského</w:t>
      </w:r>
      <w:proofErr w:type="spellEnd"/>
      <w:r>
        <w:rPr>
          <w:sz w:val="24"/>
          <w:szCs w:val="24"/>
        </w:rPr>
        <w:t xml:space="preserve"> nástupnictví. NOZ podrobněji upravuje některé případy s tímto institutem související, které VN neupravuje. Nicméně základ právní úpravy institutu je inspirován VN, lze považovat tato rozšiřující ustanovení za částečně shodná, neboli částečně inspirovaná právní úpravou VN.</w:t>
      </w:r>
    </w:p>
    <w:p w:rsidR="00EF732D" w:rsidRPr="00A66808" w:rsidRDefault="00EF732D" w:rsidP="00AE5C96">
      <w:pPr>
        <w:spacing w:line="360" w:lineRule="auto"/>
        <w:jc w:val="both"/>
        <w:rPr>
          <w:b/>
          <w:sz w:val="24"/>
          <w:szCs w:val="24"/>
        </w:rPr>
      </w:pPr>
      <w:r w:rsidRPr="00A66808">
        <w:rPr>
          <w:b/>
          <w:sz w:val="24"/>
          <w:szCs w:val="24"/>
        </w:rPr>
        <w:t xml:space="preserve">Rozdílná </w:t>
      </w:r>
      <w:r w:rsidR="008C4525">
        <w:rPr>
          <w:b/>
          <w:sz w:val="24"/>
          <w:szCs w:val="24"/>
        </w:rPr>
        <w:t>úprava</w:t>
      </w:r>
    </w:p>
    <w:p w:rsidR="00EF732D" w:rsidRPr="00426478" w:rsidRDefault="00EF732D" w:rsidP="00AE5C96">
      <w:pPr>
        <w:spacing w:line="360" w:lineRule="auto"/>
        <w:ind w:firstLine="567"/>
        <w:jc w:val="both"/>
        <w:rPr>
          <w:sz w:val="24"/>
          <w:szCs w:val="24"/>
        </w:rPr>
      </w:pPr>
      <w:r w:rsidRPr="00426478">
        <w:rPr>
          <w:sz w:val="24"/>
          <w:szCs w:val="24"/>
        </w:rPr>
        <w:t>Rozdílnost je posuzována ve srovnávací části buďto tak, že jeden z právních předpisů obsahuje určité ustanovení a druhý jej neobsahuje vůbec, anebo tak, že určitá ustanovení stanovují něco opačného.</w:t>
      </w:r>
    </w:p>
    <w:p w:rsidR="00DA6C47" w:rsidRDefault="00DA6C47" w:rsidP="00AE5C96">
      <w:pPr>
        <w:spacing w:line="360" w:lineRule="auto"/>
        <w:jc w:val="both"/>
        <w:rPr>
          <w:sz w:val="24"/>
          <w:szCs w:val="24"/>
        </w:rPr>
      </w:pPr>
    </w:p>
    <w:p w:rsidR="00EF732D" w:rsidRDefault="00EF732D" w:rsidP="00AE5C96">
      <w:pPr>
        <w:spacing w:line="360" w:lineRule="auto"/>
        <w:jc w:val="both"/>
        <w:rPr>
          <w:sz w:val="24"/>
          <w:szCs w:val="24"/>
        </w:rPr>
      </w:pPr>
      <w:r w:rsidRPr="00426478">
        <w:rPr>
          <w:sz w:val="24"/>
          <w:szCs w:val="24"/>
        </w:rPr>
        <w:lastRenderedPageBreak/>
        <w:t>NOZ §</w:t>
      </w:r>
      <w:r w:rsidR="006340F9">
        <w:rPr>
          <w:sz w:val="24"/>
          <w:szCs w:val="24"/>
        </w:rPr>
        <w:t xml:space="preserve"> 1598</w:t>
      </w:r>
    </w:p>
    <w:p w:rsidR="006340F9" w:rsidRPr="006340F9" w:rsidRDefault="006340F9" w:rsidP="00AE5C96">
      <w:pPr>
        <w:spacing w:line="360" w:lineRule="auto"/>
        <w:jc w:val="both"/>
        <w:rPr>
          <w:i/>
          <w:sz w:val="24"/>
          <w:szCs w:val="24"/>
        </w:rPr>
      </w:pPr>
      <w:r>
        <w:rPr>
          <w:i/>
          <w:sz w:val="24"/>
          <w:szCs w:val="24"/>
        </w:rPr>
        <w:t xml:space="preserve">Každému z dědiců musí zůstat z hodnoty dědictví alespoň čtvrtina odkazy nezatížená. Zatíží-li zůstavitel více, má dědic právo na poměrné zkrácení odkazu. </w:t>
      </w:r>
    </w:p>
    <w:p w:rsidR="00EF732D" w:rsidRPr="00426478" w:rsidRDefault="00EF732D" w:rsidP="00AE5C96">
      <w:pPr>
        <w:spacing w:line="360" w:lineRule="auto"/>
        <w:ind w:firstLine="567"/>
        <w:jc w:val="both"/>
        <w:rPr>
          <w:sz w:val="24"/>
          <w:szCs w:val="24"/>
        </w:rPr>
      </w:pPr>
      <w:r w:rsidRPr="00426478">
        <w:rPr>
          <w:sz w:val="24"/>
          <w:szCs w:val="24"/>
        </w:rPr>
        <w:t>Prvním příkladem je výše zmíněný případ, že jeden právní předpis (zde NOZ) obsahuje určité ustanovení, a druhý</w:t>
      </w:r>
      <w:r w:rsidR="006340F9">
        <w:rPr>
          <w:sz w:val="24"/>
          <w:szCs w:val="24"/>
        </w:rPr>
        <w:t xml:space="preserve"> nikoli. Uvedeno je ustanovení z právní úpravy odkazu, které pojednává o tzv. </w:t>
      </w:r>
      <w:proofErr w:type="spellStart"/>
      <w:r w:rsidR="006340F9">
        <w:rPr>
          <w:sz w:val="24"/>
          <w:szCs w:val="24"/>
        </w:rPr>
        <w:t>falcidiánské</w:t>
      </w:r>
      <w:proofErr w:type="spellEnd"/>
      <w:r w:rsidR="006340F9">
        <w:rPr>
          <w:sz w:val="24"/>
          <w:szCs w:val="24"/>
        </w:rPr>
        <w:t xml:space="preserve"> kvartě</w:t>
      </w:r>
      <w:r w:rsidRPr="00426478">
        <w:rPr>
          <w:sz w:val="24"/>
          <w:szCs w:val="24"/>
        </w:rPr>
        <w:t>.</w:t>
      </w:r>
      <w:r w:rsidR="006340F9">
        <w:rPr>
          <w:sz w:val="24"/>
          <w:szCs w:val="24"/>
        </w:rPr>
        <w:t xml:space="preserve"> Jak práce uvádí výše, ABGB ani VN nepřevzaly tento institut římského práva</w:t>
      </w:r>
      <w:r w:rsidR="00126DF0">
        <w:rPr>
          <w:sz w:val="24"/>
          <w:szCs w:val="24"/>
        </w:rPr>
        <w:t xml:space="preserve"> do právní úpravy odkazu</w:t>
      </w:r>
      <w:r w:rsidR="006340F9">
        <w:rPr>
          <w:sz w:val="24"/>
          <w:szCs w:val="24"/>
        </w:rPr>
        <w:t>,</w:t>
      </w:r>
      <w:r w:rsidR="00126DF0">
        <w:rPr>
          <w:sz w:val="24"/>
          <w:szCs w:val="24"/>
        </w:rPr>
        <w:t xml:space="preserve"> ale</w:t>
      </w:r>
      <w:r w:rsidR="006340F9">
        <w:rPr>
          <w:sz w:val="24"/>
          <w:szCs w:val="24"/>
        </w:rPr>
        <w:t xml:space="preserve"> NOZ se k tomuto omezení zůstavitele při pořizování odkazů navrací.</w:t>
      </w:r>
    </w:p>
    <w:p w:rsidR="00EF732D" w:rsidRPr="00426478" w:rsidRDefault="00EF732D" w:rsidP="00AE5C96">
      <w:pPr>
        <w:spacing w:line="360" w:lineRule="auto"/>
        <w:jc w:val="both"/>
        <w:rPr>
          <w:sz w:val="24"/>
          <w:szCs w:val="24"/>
        </w:rPr>
      </w:pPr>
      <w:r w:rsidRPr="00426478">
        <w:rPr>
          <w:sz w:val="24"/>
          <w:szCs w:val="24"/>
        </w:rPr>
        <w:t>VN §</w:t>
      </w:r>
      <w:r w:rsidR="00D61544">
        <w:rPr>
          <w:sz w:val="24"/>
          <w:szCs w:val="24"/>
        </w:rPr>
        <w:t xml:space="preserve"> </w:t>
      </w:r>
      <w:r w:rsidRPr="00426478">
        <w:rPr>
          <w:sz w:val="24"/>
          <w:szCs w:val="24"/>
        </w:rPr>
        <w:t>485</w:t>
      </w:r>
    </w:p>
    <w:p w:rsidR="00EF732D" w:rsidRPr="00426478" w:rsidRDefault="00EF732D" w:rsidP="00AE5C96">
      <w:pPr>
        <w:spacing w:line="360" w:lineRule="auto"/>
        <w:jc w:val="both"/>
        <w:rPr>
          <w:i/>
          <w:sz w:val="24"/>
          <w:szCs w:val="24"/>
        </w:rPr>
      </w:pPr>
      <w:r w:rsidRPr="00426478">
        <w:rPr>
          <w:i/>
          <w:sz w:val="24"/>
          <w:szCs w:val="24"/>
        </w:rPr>
        <w:t xml:space="preserve">Odkáže-li zůstavitel někomu stejnou částku, jakou mu je sám dlužen, má se za to, že odkazem chtěl </w:t>
      </w:r>
      <w:proofErr w:type="spellStart"/>
      <w:r w:rsidRPr="00426478">
        <w:rPr>
          <w:i/>
          <w:sz w:val="24"/>
          <w:szCs w:val="24"/>
        </w:rPr>
        <w:t>shladiti</w:t>
      </w:r>
      <w:proofErr w:type="spellEnd"/>
      <w:r w:rsidRPr="00426478">
        <w:rPr>
          <w:i/>
          <w:sz w:val="24"/>
          <w:szCs w:val="24"/>
        </w:rPr>
        <w:t xml:space="preserve"> dluh.</w:t>
      </w:r>
    </w:p>
    <w:p w:rsidR="00EF732D" w:rsidRPr="00426478" w:rsidRDefault="00EF732D" w:rsidP="00AE5C96">
      <w:pPr>
        <w:spacing w:line="360" w:lineRule="auto"/>
        <w:jc w:val="both"/>
        <w:rPr>
          <w:sz w:val="24"/>
          <w:szCs w:val="24"/>
        </w:rPr>
      </w:pPr>
      <w:r w:rsidRPr="00426478">
        <w:rPr>
          <w:sz w:val="24"/>
          <w:szCs w:val="24"/>
        </w:rPr>
        <w:t>NOZ §</w:t>
      </w:r>
      <w:r w:rsidR="00D61544">
        <w:rPr>
          <w:sz w:val="24"/>
          <w:szCs w:val="24"/>
        </w:rPr>
        <w:t xml:space="preserve"> </w:t>
      </w:r>
      <w:r w:rsidRPr="00426478">
        <w:rPr>
          <w:sz w:val="24"/>
          <w:szCs w:val="24"/>
        </w:rPr>
        <w:t>1617</w:t>
      </w:r>
    </w:p>
    <w:p w:rsidR="00EF732D" w:rsidRPr="00426478" w:rsidRDefault="00EF732D" w:rsidP="00AE5C96">
      <w:pPr>
        <w:spacing w:line="360" w:lineRule="auto"/>
        <w:jc w:val="both"/>
        <w:rPr>
          <w:i/>
          <w:sz w:val="24"/>
          <w:szCs w:val="24"/>
        </w:rPr>
      </w:pPr>
      <w:r w:rsidRPr="00426478">
        <w:rPr>
          <w:i/>
          <w:sz w:val="24"/>
          <w:szCs w:val="24"/>
        </w:rPr>
        <w:t>Odkáže-li zůstavitel někomu stejnou částku, jakou mu je sám dlužen, má se za to, že nechtěl odkazem splnit dluh. Odkazovník obdrží dluh i odkaz.</w:t>
      </w:r>
    </w:p>
    <w:p w:rsidR="00EF732D" w:rsidRPr="00426478" w:rsidRDefault="00EF732D" w:rsidP="00AE5C96">
      <w:pPr>
        <w:spacing w:line="360" w:lineRule="auto"/>
        <w:ind w:firstLine="567"/>
        <w:jc w:val="both"/>
        <w:rPr>
          <w:sz w:val="24"/>
          <w:szCs w:val="24"/>
        </w:rPr>
      </w:pPr>
      <w:r w:rsidRPr="00426478">
        <w:rPr>
          <w:sz w:val="24"/>
          <w:szCs w:val="24"/>
        </w:rPr>
        <w:t xml:space="preserve">Druhý příklad je situace kdy jsou ustanovení VN a NOZ obsahově opačná. Uvedený příklad se týká odkazu pohledávky a situace, kdy je zůstavitel dlužníkem </w:t>
      </w:r>
      <w:proofErr w:type="spellStart"/>
      <w:r w:rsidRPr="00426478">
        <w:rPr>
          <w:sz w:val="24"/>
          <w:szCs w:val="24"/>
        </w:rPr>
        <w:t>odkazovníka</w:t>
      </w:r>
      <w:proofErr w:type="spellEnd"/>
      <w:r w:rsidRPr="00426478">
        <w:rPr>
          <w:sz w:val="24"/>
          <w:szCs w:val="24"/>
        </w:rPr>
        <w:t>. Jak je vidět z uvedených ustanovení, řeší VN a NOZ tyto případy odlišně. Zatímco odkaz částky rovnající se dluhu se dle VN považuje za vůli splnit dluh, dle NOZ to neplatí, a odkazovník má právo na dluh i odkaz.</w:t>
      </w:r>
    </w:p>
    <w:p w:rsidR="00307514" w:rsidRPr="008D11B8" w:rsidRDefault="00AA4A41" w:rsidP="00AE5C96">
      <w:pPr>
        <w:pStyle w:val="Nadpis2"/>
        <w:numPr>
          <w:ilvl w:val="1"/>
          <w:numId w:val="4"/>
        </w:numPr>
        <w:spacing w:line="360" w:lineRule="auto"/>
        <w:jc w:val="both"/>
        <w:rPr>
          <w:rFonts w:ascii="Times New Roman" w:hAnsi="Times New Roman" w:cs="Times New Roman"/>
          <w:color w:val="auto"/>
        </w:rPr>
      </w:pPr>
      <w:bookmarkStart w:id="37" w:name="_Toc409631313"/>
      <w:r>
        <w:rPr>
          <w:rFonts w:ascii="Times New Roman" w:hAnsi="Times New Roman" w:cs="Times New Roman"/>
          <w:color w:val="auto"/>
        </w:rPr>
        <w:t>Shrnutí</w:t>
      </w:r>
      <w:bookmarkEnd w:id="37"/>
    </w:p>
    <w:p w:rsidR="00307514" w:rsidRPr="00426478" w:rsidRDefault="0065333F" w:rsidP="00AE5C96">
      <w:pPr>
        <w:spacing w:line="360" w:lineRule="auto"/>
        <w:ind w:firstLine="567"/>
        <w:jc w:val="both"/>
        <w:rPr>
          <w:sz w:val="24"/>
          <w:szCs w:val="24"/>
        </w:rPr>
      </w:pPr>
      <w:r>
        <w:rPr>
          <w:sz w:val="24"/>
          <w:szCs w:val="24"/>
        </w:rPr>
        <w:t>Závěrečná tabulka</w:t>
      </w:r>
      <w:r w:rsidR="00307514" w:rsidRPr="00426478">
        <w:rPr>
          <w:sz w:val="24"/>
          <w:szCs w:val="24"/>
        </w:rPr>
        <w:t xml:space="preserve"> shrnu</w:t>
      </w:r>
      <w:r>
        <w:rPr>
          <w:sz w:val="24"/>
          <w:szCs w:val="24"/>
        </w:rPr>
        <w:t>je</w:t>
      </w:r>
      <w:r w:rsidR="00307514" w:rsidRPr="00426478">
        <w:rPr>
          <w:sz w:val="24"/>
          <w:szCs w:val="24"/>
        </w:rPr>
        <w:t xml:space="preserve"> údaje z výše uvedených tabulek</w:t>
      </w:r>
      <w:r w:rsidR="00A00682">
        <w:rPr>
          <w:sz w:val="24"/>
          <w:szCs w:val="24"/>
        </w:rPr>
        <w:t xml:space="preserve"> s přehledem ustanovení o jednotlivých ustanoveních dědického práva</w:t>
      </w:r>
      <w:r w:rsidR="00307514" w:rsidRPr="00426478">
        <w:rPr>
          <w:sz w:val="24"/>
          <w:szCs w:val="24"/>
        </w:rPr>
        <w:t xml:space="preserve">. </w:t>
      </w:r>
    </w:p>
    <w:tbl>
      <w:tblPr>
        <w:tblStyle w:val="Mkatabulky"/>
        <w:tblW w:w="9212" w:type="dxa"/>
        <w:tblInd w:w="108" w:type="dxa"/>
        <w:tblLook w:val="04A0"/>
      </w:tblPr>
      <w:tblGrid>
        <w:gridCol w:w="4606"/>
        <w:gridCol w:w="4606"/>
      </w:tblGrid>
      <w:tr w:rsidR="00322A75" w:rsidRPr="00426478" w:rsidTr="00FD1B14">
        <w:tc>
          <w:tcPr>
            <w:tcW w:w="4606" w:type="dxa"/>
          </w:tcPr>
          <w:p w:rsidR="00322A75" w:rsidRPr="00426478" w:rsidRDefault="00322A75" w:rsidP="00AE5C96">
            <w:pPr>
              <w:tabs>
                <w:tab w:val="left" w:pos="426"/>
                <w:tab w:val="left" w:pos="1418"/>
              </w:tabs>
              <w:spacing w:line="360" w:lineRule="auto"/>
              <w:jc w:val="both"/>
              <w:rPr>
                <w:b/>
                <w:sz w:val="24"/>
                <w:szCs w:val="24"/>
              </w:rPr>
            </w:pPr>
            <w:r w:rsidRPr="00426478">
              <w:rPr>
                <w:b/>
                <w:sz w:val="24"/>
                <w:szCs w:val="24"/>
              </w:rPr>
              <w:t>Počet ustanovení v NOZ</w:t>
            </w:r>
          </w:p>
        </w:tc>
        <w:tc>
          <w:tcPr>
            <w:tcW w:w="4606" w:type="dxa"/>
          </w:tcPr>
          <w:p w:rsidR="00322A75" w:rsidRPr="00426478" w:rsidRDefault="00322A75" w:rsidP="00AE5C96">
            <w:pPr>
              <w:tabs>
                <w:tab w:val="left" w:pos="426"/>
                <w:tab w:val="left" w:pos="1418"/>
              </w:tabs>
              <w:spacing w:line="360" w:lineRule="auto"/>
              <w:jc w:val="both"/>
              <w:rPr>
                <w:b/>
                <w:sz w:val="24"/>
                <w:szCs w:val="24"/>
              </w:rPr>
            </w:pPr>
            <w:r w:rsidRPr="00426478">
              <w:rPr>
                <w:b/>
                <w:sz w:val="24"/>
                <w:szCs w:val="24"/>
              </w:rPr>
              <w:t>24</w:t>
            </w:r>
            <w:r w:rsidR="00A1572E" w:rsidRPr="00426478">
              <w:rPr>
                <w:b/>
                <w:sz w:val="24"/>
                <w:szCs w:val="24"/>
              </w:rPr>
              <w:t>6</w:t>
            </w:r>
          </w:p>
        </w:tc>
      </w:tr>
      <w:tr w:rsidR="00322A75" w:rsidRPr="00426478" w:rsidTr="00FD1B14">
        <w:tc>
          <w:tcPr>
            <w:tcW w:w="4606" w:type="dxa"/>
          </w:tcPr>
          <w:p w:rsidR="00322A75" w:rsidRPr="00426478" w:rsidRDefault="00322A75" w:rsidP="00AE5C96">
            <w:pPr>
              <w:tabs>
                <w:tab w:val="left" w:pos="426"/>
                <w:tab w:val="left" w:pos="1418"/>
              </w:tabs>
              <w:spacing w:line="360" w:lineRule="auto"/>
              <w:jc w:val="both"/>
              <w:rPr>
                <w:b/>
                <w:sz w:val="24"/>
                <w:szCs w:val="24"/>
              </w:rPr>
            </w:pPr>
            <w:r w:rsidRPr="00426478">
              <w:rPr>
                <w:b/>
                <w:sz w:val="24"/>
                <w:szCs w:val="24"/>
              </w:rPr>
              <w:t>Počet ustanovení ve VN</w:t>
            </w:r>
          </w:p>
        </w:tc>
        <w:tc>
          <w:tcPr>
            <w:tcW w:w="4606" w:type="dxa"/>
          </w:tcPr>
          <w:p w:rsidR="00322A75" w:rsidRPr="00426478" w:rsidRDefault="00322A75" w:rsidP="00AE5C96">
            <w:pPr>
              <w:tabs>
                <w:tab w:val="left" w:pos="426"/>
                <w:tab w:val="left" w:pos="1418"/>
              </w:tabs>
              <w:spacing w:line="360" w:lineRule="auto"/>
              <w:jc w:val="both"/>
              <w:rPr>
                <w:b/>
                <w:sz w:val="24"/>
                <w:szCs w:val="24"/>
              </w:rPr>
            </w:pPr>
            <w:r w:rsidRPr="00426478">
              <w:rPr>
                <w:b/>
                <w:sz w:val="24"/>
                <w:szCs w:val="24"/>
              </w:rPr>
              <w:t>31</w:t>
            </w:r>
            <w:r w:rsidR="00FA59DC" w:rsidRPr="00426478">
              <w:rPr>
                <w:b/>
                <w:sz w:val="24"/>
                <w:szCs w:val="24"/>
              </w:rPr>
              <w:t>2</w:t>
            </w:r>
          </w:p>
        </w:tc>
      </w:tr>
      <w:tr w:rsidR="00300DDE" w:rsidRPr="00426478" w:rsidTr="00FD1B14">
        <w:trPr>
          <w:trHeight w:val="512"/>
        </w:trPr>
        <w:tc>
          <w:tcPr>
            <w:tcW w:w="4606" w:type="dxa"/>
            <w:vMerge w:val="restart"/>
          </w:tcPr>
          <w:p w:rsidR="00300DDE" w:rsidRPr="00426478" w:rsidRDefault="00300DDE" w:rsidP="00AE5C96">
            <w:pPr>
              <w:tabs>
                <w:tab w:val="left" w:pos="426"/>
                <w:tab w:val="left" w:pos="1418"/>
              </w:tabs>
              <w:spacing w:line="360" w:lineRule="auto"/>
              <w:jc w:val="both"/>
              <w:rPr>
                <w:b/>
                <w:sz w:val="24"/>
                <w:szCs w:val="24"/>
              </w:rPr>
            </w:pPr>
            <w:r w:rsidRPr="00426478">
              <w:rPr>
                <w:b/>
                <w:sz w:val="24"/>
                <w:szCs w:val="24"/>
              </w:rPr>
              <w:t>Počet ustanovení NOZ obsahově shodných s ustanoveními VN</w:t>
            </w:r>
          </w:p>
        </w:tc>
        <w:tc>
          <w:tcPr>
            <w:tcW w:w="4606" w:type="dxa"/>
          </w:tcPr>
          <w:p w:rsidR="00300DDE" w:rsidRPr="00426478" w:rsidRDefault="00300DDE" w:rsidP="00AE5C96">
            <w:pPr>
              <w:tabs>
                <w:tab w:val="left" w:pos="426"/>
                <w:tab w:val="left" w:pos="1418"/>
              </w:tabs>
              <w:spacing w:line="360" w:lineRule="auto"/>
              <w:jc w:val="both"/>
              <w:rPr>
                <w:b/>
                <w:sz w:val="24"/>
                <w:szCs w:val="24"/>
              </w:rPr>
            </w:pPr>
            <w:r w:rsidRPr="00426478">
              <w:rPr>
                <w:b/>
                <w:sz w:val="24"/>
                <w:szCs w:val="24"/>
              </w:rPr>
              <w:t xml:space="preserve">zcela: </w:t>
            </w:r>
            <w:r w:rsidR="00B100ED" w:rsidRPr="00426478">
              <w:rPr>
                <w:b/>
                <w:sz w:val="24"/>
                <w:szCs w:val="24"/>
              </w:rPr>
              <w:t>13</w:t>
            </w:r>
            <w:r w:rsidR="003450EF">
              <w:rPr>
                <w:b/>
                <w:sz w:val="24"/>
                <w:szCs w:val="24"/>
              </w:rPr>
              <w:t>4</w:t>
            </w:r>
          </w:p>
        </w:tc>
      </w:tr>
      <w:tr w:rsidR="00300DDE" w:rsidRPr="00426478" w:rsidTr="00FD1B14">
        <w:trPr>
          <w:trHeight w:val="512"/>
        </w:trPr>
        <w:tc>
          <w:tcPr>
            <w:tcW w:w="4606" w:type="dxa"/>
            <w:vMerge/>
          </w:tcPr>
          <w:p w:rsidR="00300DDE" w:rsidRPr="00426478" w:rsidRDefault="00300DDE" w:rsidP="00AE5C96">
            <w:pPr>
              <w:tabs>
                <w:tab w:val="left" w:pos="426"/>
                <w:tab w:val="left" w:pos="1418"/>
              </w:tabs>
              <w:spacing w:line="360" w:lineRule="auto"/>
              <w:jc w:val="both"/>
              <w:rPr>
                <w:b/>
                <w:sz w:val="24"/>
                <w:szCs w:val="24"/>
              </w:rPr>
            </w:pPr>
          </w:p>
        </w:tc>
        <w:tc>
          <w:tcPr>
            <w:tcW w:w="4606" w:type="dxa"/>
          </w:tcPr>
          <w:p w:rsidR="00300DDE" w:rsidRPr="00426478" w:rsidRDefault="00300DDE" w:rsidP="00AE5C96">
            <w:pPr>
              <w:tabs>
                <w:tab w:val="left" w:pos="426"/>
                <w:tab w:val="left" w:pos="1418"/>
              </w:tabs>
              <w:spacing w:line="360" w:lineRule="auto"/>
              <w:jc w:val="both"/>
              <w:rPr>
                <w:b/>
                <w:sz w:val="24"/>
                <w:szCs w:val="24"/>
              </w:rPr>
            </w:pPr>
            <w:r w:rsidRPr="00426478">
              <w:rPr>
                <w:b/>
                <w:sz w:val="24"/>
                <w:szCs w:val="24"/>
              </w:rPr>
              <w:t>částečně:</w:t>
            </w:r>
            <w:r w:rsidR="00B100ED" w:rsidRPr="00426478">
              <w:rPr>
                <w:b/>
                <w:sz w:val="24"/>
                <w:szCs w:val="24"/>
              </w:rPr>
              <w:t xml:space="preserve"> </w:t>
            </w:r>
            <w:r w:rsidR="008953B1">
              <w:rPr>
                <w:b/>
                <w:sz w:val="24"/>
                <w:szCs w:val="24"/>
              </w:rPr>
              <w:t>57</w:t>
            </w:r>
          </w:p>
        </w:tc>
      </w:tr>
    </w:tbl>
    <w:p w:rsidR="00E97C48" w:rsidRPr="00426478" w:rsidRDefault="00E97C48" w:rsidP="00AE5C96">
      <w:pPr>
        <w:tabs>
          <w:tab w:val="left" w:pos="426"/>
          <w:tab w:val="left" w:pos="1418"/>
        </w:tabs>
        <w:spacing w:after="0" w:line="360" w:lineRule="auto"/>
        <w:jc w:val="both"/>
        <w:rPr>
          <w:b/>
          <w:sz w:val="24"/>
          <w:szCs w:val="24"/>
        </w:rPr>
      </w:pPr>
    </w:p>
    <w:p w:rsidR="00071421" w:rsidRDefault="004975DA" w:rsidP="00AE5C96">
      <w:pPr>
        <w:tabs>
          <w:tab w:val="left" w:pos="426"/>
          <w:tab w:val="left" w:pos="1418"/>
        </w:tabs>
        <w:spacing w:after="0" w:line="360" w:lineRule="auto"/>
        <w:ind w:firstLine="567"/>
        <w:jc w:val="both"/>
        <w:rPr>
          <w:sz w:val="24"/>
          <w:szCs w:val="24"/>
        </w:rPr>
      </w:pPr>
      <w:r w:rsidRPr="00426478">
        <w:rPr>
          <w:sz w:val="24"/>
          <w:szCs w:val="24"/>
        </w:rPr>
        <w:t xml:space="preserve">Následující graf zobrazuje kolik ustanovení NOZ o dědickém právu (z celkových 246) je obsahově zcela shodných, částečně shodných a rozdílných s ustanoveními VN. Jedná se tak </w:t>
      </w:r>
      <w:r w:rsidRPr="00426478">
        <w:rPr>
          <w:sz w:val="24"/>
          <w:szCs w:val="24"/>
        </w:rPr>
        <w:lastRenderedPageBreak/>
        <w:t xml:space="preserve">o grafické znázornění výše uvedené tabulky s celkovým přehledem ustanovení NOZ a VN. </w:t>
      </w:r>
      <w:r w:rsidR="0065333F">
        <w:rPr>
          <w:sz w:val="24"/>
          <w:szCs w:val="24"/>
        </w:rPr>
        <w:t xml:space="preserve">Z tabulky i </w:t>
      </w:r>
      <w:r w:rsidRPr="00426478">
        <w:rPr>
          <w:sz w:val="24"/>
          <w:szCs w:val="24"/>
        </w:rPr>
        <w:t> grafu</w:t>
      </w:r>
      <w:r w:rsidR="0065333F">
        <w:rPr>
          <w:sz w:val="24"/>
          <w:szCs w:val="24"/>
        </w:rPr>
        <w:t xml:space="preserve"> vyplývá</w:t>
      </w:r>
      <w:r w:rsidRPr="00426478">
        <w:rPr>
          <w:sz w:val="24"/>
          <w:szCs w:val="24"/>
        </w:rPr>
        <w:t xml:space="preserve">, že NOZ je </w:t>
      </w:r>
      <w:r w:rsidR="007F1A61">
        <w:rPr>
          <w:sz w:val="24"/>
          <w:szCs w:val="24"/>
        </w:rPr>
        <w:t>podstatnou měrou</w:t>
      </w:r>
      <w:r w:rsidRPr="00426478">
        <w:rPr>
          <w:sz w:val="24"/>
          <w:szCs w:val="24"/>
        </w:rPr>
        <w:t xml:space="preserve"> inspirován </w:t>
      </w:r>
      <w:r>
        <w:rPr>
          <w:sz w:val="24"/>
          <w:szCs w:val="24"/>
        </w:rPr>
        <w:t xml:space="preserve">právě </w:t>
      </w:r>
      <w:r w:rsidRPr="00426478">
        <w:rPr>
          <w:sz w:val="24"/>
          <w:szCs w:val="24"/>
        </w:rPr>
        <w:t>VN, kdy zcela a částečně sh</w:t>
      </w:r>
      <w:r w:rsidR="00322EBB">
        <w:rPr>
          <w:sz w:val="24"/>
          <w:szCs w:val="24"/>
        </w:rPr>
        <w:t>odná ustanovení s VN (celkem 1</w:t>
      </w:r>
      <w:r w:rsidR="008953B1">
        <w:rPr>
          <w:sz w:val="24"/>
          <w:szCs w:val="24"/>
        </w:rPr>
        <w:t>91</w:t>
      </w:r>
      <w:r w:rsidRPr="00426478">
        <w:rPr>
          <w:sz w:val="24"/>
          <w:szCs w:val="24"/>
        </w:rPr>
        <w:t xml:space="preserve">) tvoří </w:t>
      </w:r>
      <w:r w:rsidR="008953B1">
        <w:rPr>
          <w:b/>
          <w:sz w:val="24"/>
          <w:szCs w:val="24"/>
        </w:rPr>
        <w:t>78</w:t>
      </w:r>
      <w:r w:rsidR="00D61544">
        <w:rPr>
          <w:b/>
          <w:sz w:val="24"/>
          <w:szCs w:val="24"/>
        </w:rPr>
        <w:t xml:space="preserve"> </w:t>
      </w:r>
      <w:r w:rsidRPr="00D40E64">
        <w:rPr>
          <w:b/>
          <w:sz w:val="24"/>
          <w:szCs w:val="24"/>
        </w:rPr>
        <w:t>%</w:t>
      </w:r>
      <w:r w:rsidRPr="00426478">
        <w:rPr>
          <w:sz w:val="24"/>
          <w:szCs w:val="24"/>
        </w:rPr>
        <w:t xml:space="preserve"> NOZ (v rámci právní úpravy dědického práva).</w:t>
      </w:r>
      <w:r>
        <w:rPr>
          <w:sz w:val="24"/>
          <w:szCs w:val="24"/>
        </w:rPr>
        <w:t xml:space="preserve"> </w:t>
      </w:r>
    </w:p>
    <w:p w:rsidR="00307514" w:rsidRPr="00426478" w:rsidRDefault="00307514" w:rsidP="00AE5C96">
      <w:pPr>
        <w:tabs>
          <w:tab w:val="left" w:pos="426"/>
          <w:tab w:val="left" w:pos="1418"/>
        </w:tabs>
        <w:spacing w:after="0" w:line="360" w:lineRule="auto"/>
        <w:jc w:val="both"/>
        <w:rPr>
          <w:sz w:val="24"/>
          <w:szCs w:val="24"/>
        </w:rPr>
      </w:pPr>
    </w:p>
    <w:p w:rsidR="001A477C" w:rsidRPr="00426478" w:rsidRDefault="00891577" w:rsidP="00AE5C96">
      <w:pPr>
        <w:keepNext/>
        <w:tabs>
          <w:tab w:val="left" w:pos="426"/>
          <w:tab w:val="left" w:pos="1418"/>
        </w:tabs>
        <w:spacing w:after="0" w:line="360" w:lineRule="auto"/>
        <w:jc w:val="both"/>
        <w:rPr>
          <w:sz w:val="24"/>
          <w:szCs w:val="24"/>
        </w:rPr>
      </w:pPr>
      <w:r w:rsidRPr="00426478">
        <w:rPr>
          <w:b/>
          <w:noProof/>
          <w:sz w:val="24"/>
          <w:szCs w:val="24"/>
          <w:lang w:eastAsia="cs-CZ"/>
        </w:rPr>
        <w:drawing>
          <wp:inline distT="0" distB="0" distL="0" distR="0">
            <wp:extent cx="5753100" cy="436245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1421" w:rsidRDefault="00071421" w:rsidP="00AE5C96">
      <w:pPr>
        <w:jc w:val="both"/>
        <w:rPr>
          <w:b/>
          <w:sz w:val="24"/>
          <w:szCs w:val="24"/>
        </w:rPr>
      </w:pPr>
    </w:p>
    <w:p w:rsidR="00071421" w:rsidRPr="00426478" w:rsidRDefault="00071421" w:rsidP="00AE5C96">
      <w:pPr>
        <w:tabs>
          <w:tab w:val="left" w:pos="426"/>
          <w:tab w:val="left" w:pos="1418"/>
        </w:tabs>
        <w:spacing w:after="0" w:line="360" w:lineRule="auto"/>
        <w:ind w:firstLine="567"/>
        <w:jc w:val="both"/>
        <w:rPr>
          <w:sz w:val="24"/>
          <w:szCs w:val="24"/>
        </w:rPr>
      </w:pPr>
      <w:r>
        <w:rPr>
          <w:sz w:val="24"/>
          <w:szCs w:val="24"/>
        </w:rPr>
        <w:t xml:space="preserve">Zjištěný údaj však pouze ukazuje, </w:t>
      </w:r>
      <w:r w:rsidR="00FC4CCE">
        <w:rPr>
          <w:sz w:val="24"/>
          <w:szCs w:val="24"/>
        </w:rPr>
        <w:t>v kolika ustanoveních</w:t>
      </w:r>
      <w:r>
        <w:rPr>
          <w:sz w:val="24"/>
          <w:szCs w:val="24"/>
        </w:rPr>
        <w:t xml:space="preserve"> se právní předpisy obsahově shodují. Z takového zjištění lze sice </w:t>
      </w:r>
      <w:r w:rsidR="00FC4CCE">
        <w:rPr>
          <w:sz w:val="24"/>
          <w:szCs w:val="24"/>
        </w:rPr>
        <w:t xml:space="preserve">určit </w:t>
      </w:r>
      <w:r>
        <w:rPr>
          <w:sz w:val="24"/>
          <w:szCs w:val="24"/>
        </w:rPr>
        <w:t xml:space="preserve">jistou míru inspirace, nicméně nelze tvrdit, že by VN </w:t>
      </w:r>
      <w:r w:rsidR="00FC4CCE">
        <w:rPr>
          <w:sz w:val="24"/>
          <w:szCs w:val="24"/>
        </w:rPr>
        <w:t>byl</w:t>
      </w:r>
      <w:r>
        <w:rPr>
          <w:sz w:val="24"/>
          <w:szCs w:val="24"/>
        </w:rPr>
        <w:t xml:space="preserve"> zdroj</w:t>
      </w:r>
      <w:r w:rsidR="00FC4CCE">
        <w:rPr>
          <w:sz w:val="24"/>
          <w:szCs w:val="24"/>
        </w:rPr>
        <w:t>em</w:t>
      </w:r>
      <w:r>
        <w:rPr>
          <w:sz w:val="24"/>
          <w:szCs w:val="24"/>
        </w:rPr>
        <w:t xml:space="preserve"> inspirace </w:t>
      </w:r>
      <w:r w:rsidR="00FC4CCE">
        <w:rPr>
          <w:sz w:val="24"/>
          <w:szCs w:val="24"/>
        </w:rPr>
        <w:t>nového dědického práva ze</w:t>
      </w:r>
      <w:r>
        <w:rPr>
          <w:sz w:val="24"/>
          <w:szCs w:val="24"/>
        </w:rPr>
        <w:t xml:space="preserve"> 78 %. I rozdílná ustanovení NOZ se </w:t>
      </w:r>
      <w:r w:rsidR="00FC4CCE">
        <w:rPr>
          <w:sz w:val="24"/>
          <w:szCs w:val="24"/>
        </w:rPr>
        <w:t xml:space="preserve">totiž </w:t>
      </w:r>
      <w:r>
        <w:rPr>
          <w:sz w:val="24"/>
          <w:szCs w:val="24"/>
        </w:rPr>
        <w:t xml:space="preserve">mohla do určité míry inspirovat ustanoveními VN. Míra inspirace vyjádřená v procentech by tak mohla být ještě vyšší. </w:t>
      </w:r>
    </w:p>
    <w:p w:rsidR="00E35AFA" w:rsidRDefault="00E35AFA" w:rsidP="00AE5C96">
      <w:pPr>
        <w:jc w:val="both"/>
        <w:rPr>
          <w:bCs/>
          <w:color w:val="4F81BD" w:themeColor="accent1"/>
          <w:sz w:val="24"/>
          <w:szCs w:val="24"/>
        </w:rPr>
      </w:pPr>
      <w:r>
        <w:rPr>
          <w:b/>
          <w:sz w:val="24"/>
          <w:szCs w:val="24"/>
        </w:rPr>
        <w:br w:type="page"/>
      </w:r>
    </w:p>
    <w:p w:rsidR="00FB64E2" w:rsidRPr="00237D8B" w:rsidRDefault="002C4642" w:rsidP="00AE5C96">
      <w:pPr>
        <w:pStyle w:val="Nadpis1"/>
        <w:numPr>
          <w:ilvl w:val="0"/>
          <w:numId w:val="4"/>
        </w:numPr>
        <w:spacing w:line="360" w:lineRule="auto"/>
        <w:jc w:val="both"/>
        <w:rPr>
          <w:rFonts w:ascii="Times New Roman" w:hAnsi="Times New Roman" w:cs="Times New Roman"/>
          <w:color w:val="auto"/>
        </w:rPr>
      </w:pPr>
      <w:bookmarkStart w:id="38" w:name="_Toc409631314"/>
      <w:r>
        <w:rPr>
          <w:rFonts w:ascii="Times New Roman" w:hAnsi="Times New Roman" w:cs="Times New Roman"/>
          <w:color w:val="auto"/>
        </w:rPr>
        <w:lastRenderedPageBreak/>
        <w:t>Exkurz do právní úpravy</w:t>
      </w:r>
      <w:r w:rsidR="00201B71" w:rsidRPr="00237D8B">
        <w:rPr>
          <w:rFonts w:ascii="Times New Roman" w:hAnsi="Times New Roman" w:cs="Times New Roman"/>
          <w:color w:val="auto"/>
        </w:rPr>
        <w:t xml:space="preserve"> </w:t>
      </w:r>
      <w:r>
        <w:rPr>
          <w:rFonts w:ascii="Times New Roman" w:hAnsi="Times New Roman" w:cs="Times New Roman"/>
          <w:color w:val="auto"/>
        </w:rPr>
        <w:t>povinného dílu</w:t>
      </w:r>
      <w:bookmarkEnd w:id="38"/>
    </w:p>
    <w:p w:rsidR="00201B71" w:rsidRPr="00426478" w:rsidRDefault="00201B71" w:rsidP="00AE5C96">
      <w:pPr>
        <w:tabs>
          <w:tab w:val="left" w:pos="426"/>
        </w:tabs>
        <w:spacing w:after="0" w:line="360" w:lineRule="auto"/>
        <w:ind w:firstLine="567"/>
        <w:jc w:val="both"/>
        <w:rPr>
          <w:sz w:val="24"/>
          <w:szCs w:val="24"/>
        </w:rPr>
      </w:pPr>
      <w:r w:rsidRPr="00426478">
        <w:rPr>
          <w:sz w:val="24"/>
          <w:szCs w:val="24"/>
        </w:rPr>
        <w:t>Srovnáváním jednotlivých ustanovení NOZ a VN o povinném dílu se zabývá diplomová práce v předešlé části. Z přehledové tabulky o ustanoveních těchto právních předpisů vyplývá, že ve většině ustanovení o povinném dílu se právní předpisy shodují. Přesně obsahuje NOZ 12 zcela obsahově shodných a 7 částečně shodných ustanovení s VN, což znamená, že zhruba 83</w:t>
      </w:r>
      <w:r w:rsidR="00A31CAD">
        <w:rPr>
          <w:sz w:val="24"/>
          <w:szCs w:val="24"/>
        </w:rPr>
        <w:t xml:space="preserve"> </w:t>
      </w:r>
      <w:r w:rsidRPr="00426478">
        <w:rPr>
          <w:sz w:val="24"/>
          <w:szCs w:val="24"/>
        </w:rPr>
        <w:t>% ustanovení NOZ o p</w:t>
      </w:r>
      <w:r w:rsidR="00E60D3F" w:rsidRPr="00426478">
        <w:rPr>
          <w:sz w:val="24"/>
          <w:szCs w:val="24"/>
        </w:rPr>
        <w:t>ovinném díle obsahově odpovídá</w:t>
      </w:r>
      <w:r w:rsidR="00282862">
        <w:rPr>
          <w:sz w:val="24"/>
          <w:szCs w:val="24"/>
        </w:rPr>
        <w:t xml:space="preserve"> ustanovením VN upravujícím</w:t>
      </w:r>
      <w:r w:rsidRPr="00426478">
        <w:rPr>
          <w:sz w:val="24"/>
          <w:szCs w:val="24"/>
        </w:rPr>
        <w:t xml:space="preserve"> tutéž problematiku.</w:t>
      </w:r>
      <w:r w:rsidR="00EE6587" w:rsidRPr="00426478">
        <w:rPr>
          <w:sz w:val="24"/>
          <w:szCs w:val="24"/>
        </w:rPr>
        <w:t xml:space="preserve"> Občanské zákoníky z roku 1950 a 1964 značně zúžily právní úpravu povinného dílu, resp. nepominutelných dědiců.</w:t>
      </w:r>
      <w:r w:rsidR="00EE6587" w:rsidRPr="00426478">
        <w:rPr>
          <w:rStyle w:val="Znakapoznpodarou"/>
          <w:sz w:val="24"/>
          <w:szCs w:val="24"/>
        </w:rPr>
        <w:footnoteReference w:id="65"/>
      </w:r>
      <w:r w:rsidR="00CE2BDD" w:rsidRPr="00426478">
        <w:rPr>
          <w:sz w:val="24"/>
          <w:szCs w:val="24"/>
        </w:rPr>
        <w:t xml:space="preserve"> NOZ se navrací k rozsáhlejší a podrobnější úpravě tohoto institutu, inspirován meziválečnou </w:t>
      </w:r>
      <w:proofErr w:type="spellStart"/>
      <w:r w:rsidR="00CE2BDD" w:rsidRPr="00426478">
        <w:rPr>
          <w:sz w:val="24"/>
          <w:szCs w:val="24"/>
        </w:rPr>
        <w:t>rekodifikací</w:t>
      </w:r>
      <w:proofErr w:type="spellEnd"/>
      <w:r w:rsidR="00CE2BDD" w:rsidRPr="00426478">
        <w:rPr>
          <w:sz w:val="24"/>
          <w:szCs w:val="24"/>
        </w:rPr>
        <w:t>.</w:t>
      </w:r>
    </w:p>
    <w:p w:rsidR="00E60D3F" w:rsidRPr="00426478" w:rsidRDefault="00E60D3F" w:rsidP="00AE5C96">
      <w:pPr>
        <w:tabs>
          <w:tab w:val="left" w:pos="426"/>
        </w:tabs>
        <w:spacing w:after="0" w:line="360" w:lineRule="auto"/>
        <w:ind w:firstLine="567"/>
        <w:jc w:val="both"/>
        <w:rPr>
          <w:sz w:val="24"/>
          <w:szCs w:val="24"/>
        </w:rPr>
      </w:pPr>
      <w:r w:rsidRPr="00426478">
        <w:rPr>
          <w:sz w:val="24"/>
          <w:szCs w:val="24"/>
        </w:rPr>
        <w:t xml:space="preserve">V následující části </w:t>
      </w:r>
      <w:r w:rsidR="00967046" w:rsidRPr="00426478">
        <w:rPr>
          <w:sz w:val="24"/>
          <w:szCs w:val="24"/>
        </w:rPr>
        <w:t xml:space="preserve">uvádí diplomová práce důležitá ustanovení NOZ o povinném dílu, u kterých je zřejmá inspirace právě ustanoveními VN. Zařazena jsou i ustanovení o vydědění, které s institutem povinného dílu nerozlučně souvisí, a </w:t>
      </w:r>
      <w:r w:rsidR="00282862">
        <w:rPr>
          <w:sz w:val="24"/>
          <w:szCs w:val="24"/>
        </w:rPr>
        <w:t>poté</w:t>
      </w:r>
      <w:r w:rsidR="00967046" w:rsidRPr="00426478">
        <w:rPr>
          <w:sz w:val="24"/>
          <w:szCs w:val="24"/>
        </w:rPr>
        <w:t xml:space="preserve"> i ustanovení o započtení na povinný díl a dědický podíl.</w:t>
      </w:r>
    </w:p>
    <w:p w:rsidR="00FF3086" w:rsidRPr="00237D8B" w:rsidRDefault="00FF3086" w:rsidP="00AE5C96">
      <w:pPr>
        <w:pStyle w:val="Nadpis2"/>
        <w:numPr>
          <w:ilvl w:val="1"/>
          <w:numId w:val="1"/>
        </w:numPr>
        <w:spacing w:line="360" w:lineRule="auto"/>
        <w:jc w:val="both"/>
        <w:rPr>
          <w:rFonts w:ascii="Times New Roman" w:hAnsi="Times New Roman" w:cs="Times New Roman"/>
          <w:color w:val="auto"/>
        </w:rPr>
      </w:pPr>
      <w:bookmarkStart w:id="39" w:name="_Toc409631315"/>
      <w:r w:rsidRPr="00237D8B">
        <w:rPr>
          <w:rFonts w:ascii="Times New Roman" w:hAnsi="Times New Roman" w:cs="Times New Roman"/>
          <w:color w:val="auto"/>
        </w:rPr>
        <w:t>Jak má být povinný díl zůstaven</w:t>
      </w:r>
      <w:bookmarkEnd w:id="39"/>
    </w:p>
    <w:p w:rsidR="00FF3086" w:rsidRPr="00426478" w:rsidRDefault="00FF3086" w:rsidP="00AE5C96">
      <w:pPr>
        <w:tabs>
          <w:tab w:val="left" w:pos="426"/>
        </w:tabs>
        <w:spacing w:after="0" w:line="360" w:lineRule="auto"/>
        <w:ind w:firstLine="567"/>
        <w:jc w:val="both"/>
        <w:rPr>
          <w:sz w:val="24"/>
          <w:szCs w:val="24"/>
        </w:rPr>
      </w:pPr>
      <w:r w:rsidRPr="00426478">
        <w:rPr>
          <w:sz w:val="24"/>
          <w:szCs w:val="24"/>
        </w:rPr>
        <w:t>VN a NOZ se sice neshodují v tom, koho řadí mezi nepominutelné dědice a kolik povinný díl činí</w:t>
      </w:r>
      <w:r w:rsidR="00125B05">
        <w:rPr>
          <w:sz w:val="24"/>
          <w:szCs w:val="24"/>
        </w:rPr>
        <w:t xml:space="preserve"> (viz</w:t>
      </w:r>
      <w:r w:rsidR="006B2DA4">
        <w:rPr>
          <w:sz w:val="24"/>
          <w:szCs w:val="24"/>
        </w:rPr>
        <w:t xml:space="preserve"> podkapitola 3.7.1)</w:t>
      </w:r>
      <w:r w:rsidRPr="00426478">
        <w:rPr>
          <w:sz w:val="24"/>
          <w:szCs w:val="24"/>
        </w:rPr>
        <w:t>, nicméně se NOZ inspiruje v ustanovení §</w:t>
      </w:r>
      <w:r w:rsidR="00D61544">
        <w:rPr>
          <w:sz w:val="24"/>
          <w:szCs w:val="24"/>
        </w:rPr>
        <w:t xml:space="preserve"> </w:t>
      </w:r>
      <w:r w:rsidRPr="00426478">
        <w:rPr>
          <w:sz w:val="24"/>
          <w:szCs w:val="24"/>
        </w:rPr>
        <w:t>1644 ustanovením §</w:t>
      </w:r>
      <w:r w:rsidR="00D61544">
        <w:rPr>
          <w:sz w:val="24"/>
          <w:szCs w:val="24"/>
        </w:rPr>
        <w:t xml:space="preserve"> </w:t>
      </w:r>
      <w:r w:rsidRPr="00426478">
        <w:rPr>
          <w:sz w:val="24"/>
          <w:szCs w:val="24"/>
        </w:rPr>
        <w:t>584 VN o podobě povinného dílu. Ten může být tedy zůstaven jak ve formě dědického podílu, tak i ve formě odkazu, vždy však zcela nezatížen.</w:t>
      </w:r>
    </w:p>
    <w:p w:rsidR="00FF3086" w:rsidRPr="00237D8B" w:rsidRDefault="00FF3086" w:rsidP="00AE5C96">
      <w:pPr>
        <w:pStyle w:val="Nadpis2"/>
        <w:numPr>
          <w:ilvl w:val="1"/>
          <w:numId w:val="1"/>
        </w:numPr>
        <w:spacing w:line="360" w:lineRule="auto"/>
        <w:jc w:val="both"/>
        <w:rPr>
          <w:rFonts w:ascii="Times New Roman" w:hAnsi="Times New Roman" w:cs="Times New Roman"/>
          <w:color w:val="auto"/>
        </w:rPr>
      </w:pPr>
      <w:bookmarkStart w:id="40" w:name="_Toc409631316"/>
      <w:r w:rsidRPr="00237D8B">
        <w:rPr>
          <w:rFonts w:ascii="Times New Roman" w:hAnsi="Times New Roman" w:cs="Times New Roman"/>
          <w:color w:val="auto"/>
        </w:rPr>
        <w:t>Výpočet povinného dílu</w:t>
      </w:r>
      <w:bookmarkEnd w:id="40"/>
    </w:p>
    <w:p w:rsidR="00FF3086" w:rsidRPr="00426478" w:rsidRDefault="00FF3086" w:rsidP="00AE5C96">
      <w:pPr>
        <w:tabs>
          <w:tab w:val="left" w:pos="426"/>
        </w:tabs>
        <w:spacing w:after="0" w:line="360" w:lineRule="auto"/>
        <w:ind w:firstLine="567"/>
        <w:jc w:val="both"/>
        <w:rPr>
          <w:sz w:val="24"/>
          <w:szCs w:val="24"/>
        </w:rPr>
      </w:pPr>
      <w:r w:rsidRPr="00426478">
        <w:rPr>
          <w:sz w:val="24"/>
          <w:szCs w:val="24"/>
        </w:rPr>
        <w:t xml:space="preserve">NOZ </w:t>
      </w:r>
      <w:r w:rsidR="002C0FA0">
        <w:rPr>
          <w:sz w:val="24"/>
          <w:szCs w:val="24"/>
        </w:rPr>
        <w:t xml:space="preserve">se </w:t>
      </w:r>
      <w:r w:rsidRPr="00426478">
        <w:rPr>
          <w:sz w:val="24"/>
          <w:szCs w:val="24"/>
        </w:rPr>
        <w:t>v ustanovení §</w:t>
      </w:r>
      <w:r w:rsidR="00D61544">
        <w:rPr>
          <w:sz w:val="24"/>
          <w:szCs w:val="24"/>
        </w:rPr>
        <w:t xml:space="preserve"> </w:t>
      </w:r>
      <w:r w:rsidRPr="00426478">
        <w:rPr>
          <w:sz w:val="24"/>
          <w:szCs w:val="24"/>
        </w:rPr>
        <w:t>1645 navrací ke staré zásadě stanovené i v ustanovení §</w:t>
      </w:r>
      <w:r w:rsidR="00D61544">
        <w:rPr>
          <w:sz w:val="24"/>
          <w:szCs w:val="24"/>
        </w:rPr>
        <w:t xml:space="preserve"> </w:t>
      </w:r>
      <w:r w:rsidRPr="00426478">
        <w:rPr>
          <w:sz w:val="24"/>
          <w:szCs w:val="24"/>
        </w:rPr>
        <w:t xml:space="preserve">577 VN. Ustanovení sledují zásadu </w:t>
      </w:r>
      <w:proofErr w:type="spellStart"/>
      <w:r w:rsidRPr="00426478">
        <w:rPr>
          <w:i/>
          <w:sz w:val="24"/>
          <w:szCs w:val="24"/>
        </w:rPr>
        <w:t>exheredatus</w:t>
      </w:r>
      <w:proofErr w:type="spellEnd"/>
      <w:r w:rsidRPr="00426478">
        <w:rPr>
          <w:i/>
          <w:sz w:val="24"/>
          <w:szCs w:val="24"/>
        </w:rPr>
        <w:t xml:space="preserve"> partem facit ad </w:t>
      </w:r>
      <w:proofErr w:type="spellStart"/>
      <w:r w:rsidRPr="00426478">
        <w:rPr>
          <w:i/>
          <w:sz w:val="24"/>
          <w:szCs w:val="24"/>
        </w:rPr>
        <w:t>minuendam</w:t>
      </w:r>
      <w:proofErr w:type="spellEnd"/>
      <w:r w:rsidRPr="00426478">
        <w:rPr>
          <w:i/>
          <w:sz w:val="24"/>
          <w:szCs w:val="24"/>
        </w:rPr>
        <w:t xml:space="preserve"> </w:t>
      </w:r>
      <w:r w:rsidRPr="00426478">
        <w:rPr>
          <w:sz w:val="24"/>
          <w:szCs w:val="24"/>
        </w:rPr>
        <w:t>(podíl vyděděného způsobí zmenšení povinného dílu).</w:t>
      </w:r>
      <w:r w:rsidRPr="00426478">
        <w:rPr>
          <w:rStyle w:val="Znakapoznpodarou"/>
          <w:sz w:val="24"/>
          <w:szCs w:val="24"/>
        </w:rPr>
        <w:footnoteReference w:id="66"/>
      </w:r>
      <w:r w:rsidR="00AC2916" w:rsidRPr="00426478">
        <w:rPr>
          <w:sz w:val="24"/>
          <w:szCs w:val="24"/>
        </w:rPr>
        <w:t xml:space="preserve"> Důvodem, proč se NOZ navrací k této staré zásadě je především to, že žádný z nepominutelných dědiců nemůže mít prospěch z toho, že některého z nich zůstavitel vydědí. Opačný přístup by mohl motivovat některého z nepominutelných dědiců k projevování zájmu o vydědění dalšího z nepominutelných dědiců, což nutně vede k narušování soudržnosti rodiny.</w:t>
      </w:r>
      <w:r w:rsidR="00AC2916" w:rsidRPr="00426478">
        <w:rPr>
          <w:rStyle w:val="Znakapoznpodarou"/>
          <w:sz w:val="24"/>
          <w:szCs w:val="24"/>
        </w:rPr>
        <w:footnoteReference w:id="67"/>
      </w:r>
      <w:r w:rsidR="00AC2916" w:rsidRPr="00426478">
        <w:rPr>
          <w:sz w:val="24"/>
          <w:szCs w:val="24"/>
        </w:rPr>
        <w:t xml:space="preserve"> Zásada je rozšířena dle vzoru VN i na případy zřeknutí se dědictví a případy dědické nezpůsobilosti.</w:t>
      </w:r>
    </w:p>
    <w:p w:rsidR="00070F3C" w:rsidRDefault="0091592F" w:rsidP="00AE5C96">
      <w:pPr>
        <w:tabs>
          <w:tab w:val="left" w:pos="426"/>
        </w:tabs>
        <w:spacing w:after="0" w:line="360" w:lineRule="auto"/>
        <w:ind w:firstLine="567"/>
        <w:jc w:val="both"/>
        <w:rPr>
          <w:sz w:val="24"/>
          <w:szCs w:val="24"/>
        </w:rPr>
      </w:pPr>
      <w:r w:rsidRPr="00426478">
        <w:rPr>
          <w:sz w:val="24"/>
          <w:szCs w:val="24"/>
        </w:rPr>
        <w:t xml:space="preserve">Co se týče samotného výpočtu povinného dílu, opět je u NOZ zřejmá inspirace ustanoveními VN, kdy shodně stanovuje určitá pravidla pro takový výpočet. Předně je </w:t>
      </w:r>
      <w:r w:rsidRPr="00426478">
        <w:rPr>
          <w:sz w:val="24"/>
          <w:szCs w:val="24"/>
        </w:rPr>
        <w:lastRenderedPageBreak/>
        <w:t>stanoveno, že nepominutelný dědic nemá právo na podíl z pozůstalosti, nýbrž jen na peněžní částku rovnající se jeho povinnému dílu</w:t>
      </w:r>
      <w:r w:rsidR="00F56053" w:rsidRPr="00426478">
        <w:rPr>
          <w:sz w:val="24"/>
          <w:szCs w:val="24"/>
        </w:rPr>
        <w:t xml:space="preserve"> (v případě, že je nepominutelný dědic opominut).</w:t>
      </w:r>
      <w:r w:rsidR="00D23D65" w:rsidRPr="00426478">
        <w:rPr>
          <w:rStyle w:val="Znakapoznpodarou"/>
          <w:sz w:val="24"/>
          <w:szCs w:val="24"/>
        </w:rPr>
        <w:footnoteReference w:id="68"/>
      </w:r>
      <w:r w:rsidRPr="00426478">
        <w:rPr>
          <w:sz w:val="24"/>
          <w:szCs w:val="24"/>
        </w:rPr>
        <w:t xml:space="preserve"> Z uvedeného důvodu například odborník a vedoucí jednoho z pěti subkomitétů pro revisi občanského zákoníku v meziválečném období, Emil Svoboda, nepovažoval označení nepominutelných dědiců za správné.  Nesprávné bylo podle něj takové označení proto, že oprávněné osoby nemají dědické nároky, ale pouze obligační nárok na vyplacení zákonem určeného podílu. Za lepší označení oprávněných osob tak p</w:t>
      </w:r>
      <w:r w:rsidR="002C0FA0">
        <w:rPr>
          <w:sz w:val="24"/>
          <w:szCs w:val="24"/>
        </w:rPr>
        <w:t xml:space="preserve">ovažoval označení nepominutelní </w:t>
      </w:r>
      <w:r w:rsidRPr="00426478">
        <w:rPr>
          <w:sz w:val="24"/>
          <w:szCs w:val="24"/>
        </w:rPr>
        <w:t>čekatelé.</w:t>
      </w:r>
      <w:r w:rsidRPr="00426478">
        <w:rPr>
          <w:rStyle w:val="Znakapoznpodarou"/>
          <w:sz w:val="24"/>
          <w:szCs w:val="24"/>
        </w:rPr>
        <w:footnoteReference w:id="69"/>
      </w:r>
      <w:r w:rsidRPr="00426478">
        <w:rPr>
          <w:sz w:val="24"/>
          <w:szCs w:val="24"/>
        </w:rPr>
        <w:t xml:space="preserve"> </w:t>
      </w:r>
    </w:p>
    <w:p w:rsidR="0091592F" w:rsidRPr="00426478" w:rsidRDefault="00E84733" w:rsidP="00AE5C96">
      <w:pPr>
        <w:tabs>
          <w:tab w:val="left" w:pos="426"/>
        </w:tabs>
        <w:spacing w:after="0" w:line="360" w:lineRule="auto"/>
        <w:ind w:firstLine="567"/>
        <w:jc w:val="both"/>
        <w:rPr>
          <w:sz w:val="24"/>
          <w:szCs w:val="24"/>
        </w:rPr>
      </w:pPr>
      <w:r w:rsidRPr="00426478">
        <w:rPr>
          <w:sz w:val="24"/>
          <w:szCs w:val="24"/>
        </w:rPr>
        <w:t>Přirozeně pravidlo, že nepominutelný dědic nemá práva na podíl z pozůstalosti, neplatí, pokud se dědí dle zákonné posloupnosti.</w:t>
      </w:r>
      <w:r w:rsidR="00F401A7" w:rsidRPr="00426478">
        <w:rPr>
          <w:sz w:val="24"/>
          <w:szCs w:val="24"/>
        </w:rPr>
        <w:t xml:space="preserve"> Pokud tedy dojde k opomenutí (</w:t>
      </w:r>
      <w:proofErr w:type="spellStart"/>
      <w:r w:rsidR="00F401A7" w:rsidRPr="00426478">
        <w:rPr>
          <w:sz w:val="24"/>
          <w:szCs w:val="24"/>
        </w:rPr>
        <w:t>preterici</w:t>
      </w:r>
      <w:proofErr w:type="spellEnd"/>
      <w:r w:rsidR="00F401A7" w:rsidRPr="00426478">
        <w:rPr>
          <w:sz w:val="24"/>
          <w:szCs w:val="24"/>
        </w:rPr>
        <w:t>) nepominutelného dědice, je následkem vznik obligačního nároku takového dědice vůči závětním dědicům, popř. dědici povolanému dědickou smlouvou, a vůči odkazovníkům. Vzniká mu tak pohledávka na vyplacení povinného dílu.</w:t>
      </w:r>
      <w:r w:rsidR="00F401A7" w:rsidRPr="00426478">
        <w:rPr>
          <w:rStyle w:val="Znakapoznpodarou"/>
          <w:sz w:val="24"/>
          <w:szCs w:val="24"/>
        </w:rPr>
        <w:footnoteReference w:id="70"/>
      </w:r>
    </w:p>
    <w:p w:rsidR="00F401A7" w:rsidRPr="00426478" w:rsidRDefault="00F401A7" w:rsidP="00AE5C96">
      <w:pPr>
        <w:tabs>
          <w:tab w:val="left" w:pos="426"/>
        </w:tabs>
        <w:spacing w:after="0" w:line="360" w:lineRule="auto"/>
        <w:ind w:firstLine="567"/>
        <w:jc w:val="both"/>
        <w:rPr>
          <w:sz w:val="24"/>
          <w:szCs w:val="24"/>
        </w:rPr>
      </w:pPr>
      <w:r w:rsidRPr="00426478">
        <w:rPr>
          <w:sz w:val="24"/>
          <w:szCs w:val="24"/>
        </w:rPr>
        <w:t>NOZ se inspiruje i v technických pravidlech pro výpočet povinného dílu, kdy se sepíše majetek v pozůstalosti a odhadne se, přičemž dluhy zůstavitele a závady na majetku se od hodnoty majetku odečtou.</w:t>
      </w:r>
      <w:r w:rsidR="009A50D1" w:rsidRPr="00426478">
        <w:rPr>
          <w:sz w:val="24"/>
          <w:szCs w:val="24"/>
        </w:rPr>
        <w:t xml:space="preserve"> </w:t>
      </w:r>
    </w:p>
    <w:p w:rsidR="009A50D1" w:rsidRPr="00237D8B" w:rsidRDefault="009A50D1" w:rsidP="00AE5C96">
      <w:pPr>
        <w:pStyle w:val="Nadpis2"/>
        <w:numPr>
          <w:ilvl w:val="1"/>
          <w:numId w:val="1"/>
        </w:numPr>
        <w:spacing w:line="360" w:lineRule="auto"/>
        <w:jc w:val="both"/>
        <w:rPr>
          <w:rFonts w:ascii="Times New Roman" w:hAnsi="Times New Roman" w:cs="Times New Roman"/>
          <w:color w:val="auto"/>
        </w:rPr>
      </w:pPr>
      <w:bookmarkStart w:id="41" w:name="_Toc409631317"/>
      <w:r w:rsidRPr="00237D8B">
        <w:rPr>
          <w:rFonts w:ascii="Times New Roman" w:hAnsi="Times New Roman" w:cs="Times New Roman"/>
          <w:color w:val="auto"/>
        </w:rPr>
        <w:t>Vydědění</w:t>
      </w:r>
      <w:bookmarkEnd w:id="41"/>
    </w:p>
    <w:p w:rsidR="009A50D1" w:rsidRPr="00426478" w:rsidRDefault="001821AD" w:rsidP="00AE5C96">
      <w:pPr>
        <w:tabs>
          <w:tab w:val="left" w:pos="426"/>
        </w:tabs>
        <w:spacing w:after="0" w:line="360" w:lineRule="auto"/>
        <w:ind w:firstLine="567"/>
        <w:jc w:val="both"/>
        <w:rPr>
          <w:sz w:val="24"/>
          <w:szCs w:val="24"/>
        </w:rPr>
      </w:pPr>
      <w:r w:rsidRPr="00426478">
        <w:rPr>
          <w:sz w:val="24"/>
          <w:szCs w:val="24"/>
        </w:rPr>
        <w:t>Jedním z</w:t>
      </w:r>
      <w:r w:rsidR="000F3B32" w:rsidRPr="00426478">
        <w:rPr>
          <w:sz w:val="24"/>
          <w:szCs w:val="24"/>
        </w:rPr>
        <w:t> </w:t>
      </w:r>
      <w:r w:rsidRPr="00426478">
        <w:rPr>
          <w:sz w:val="24"/>
          <w:szCs w:val="24"/>
        </w:rPr>
        <w:t>případů</w:t>
      </w:r>
      <w:r w:rsidR="000F3B32" w:rsidRPr="00426478">
        <w:rPr>
          <w:sz w:val="24"/>
          <w:szCs w:val="24"/>
        </w:rPr>
        <w:t xml:space="preserve">, kdy oprávněná osoba pozbývá práva na povinný díl je případ, kdy je zůstavitelem platně vyděděna, tj. ze zákonného důvodu a v zákonem stanovené formě. Forma listiny o vydědění je stanovena stejně jako pro závěť. </w:t>
      </w:r>
      <w:r w:rsidR="00353574" w:rsidRPr="00426478">
        <w:rPr>
          <w:sz w:val="24"/>
          <w:szCs w:val="24"/>
        </w:rPr>
        <w:t>Platnost vydědění není nově dle NOZ podmíněna uvedením důvodu vydědění, po vzoru VN. Nevysloví-li zůstavitel důvod vydědění, má nepominutelný dědic právo na povinný díl, ledaže se proti němu prokáže zákonný důvod vydědění.</w:t>
      </w:r>
    </w:p>
    <w:p w:rsidR="000F3B32" w:rsidRPr="00426478" w:rsidRDefault="000F3B32" w:rsidP="00AE5C96">
      <w:pPr>
        <w:tabs>
          <w:tab w:val="left" w:pos="426"/>
        </w:tabs>
        <w:spacing w:after="0" w:line="360" w:lineRule="auto"/>
        <w:ind w:firstLine="567"/>
        <w:jc w:val="both"/>
        <w:rPr>
          <w:sz w:val="24"/>
          <w:szCs w:val="24"/>
        </w:rPr>
      </w:pPr>
      <w:r w:rsidRPr="00426478">
        <w:rPr>
          <w:sz w:val="24"/>
          <w:szCs w:val="24"/>
        </w:rPr>
        <w:t>Ohledně důvodů vydědění NOZ zčásti zachovává důvody stanovené v předchozím občanském zákoníku z roku 1964. Jsou tu však i určité změny, přičemž některé z nich jsou inspirovány VN, některé nikoli.</w:t>
      </w:r>
    </w:p>
    <w:p w:rsidR="00F6752C" w:rsidRPr="00426478" w:rsidRDefault="00F6752C" w:rsidP="00AE5C96">
      <w:pPr>
        <w:tabs>
          <w:tab w:val="left" w:pos="426"/>
        </w:tabs>
        <w:spacing w:after="0" w:line="360" w:lineRule="auto"/>
        <w:ind w:firstLine="567"/>
        <w:jc w:val="both"/>
        <w:rPr>
          <w:sz w:val="24"/>
          <w:szCs w:val="24"/>
        </w:rPr>
      </w:pPr>
      <w:r w:rsidRPr="00426478">
        <w:rPr>
          <w:sz w:val="24"/>
          <w:szCs w:val="24"/>
        </w:rPr>
        <w:t xml:space="preserve">NOZ oproti VN navíc stanovuje dva důvody vydědění. Prvním je neprojevování opravdového zájmu nepominutelného dědice o zůstavitele, a druhým je možnost zůstavitele </w:t>
      </w:r>
      <w:r w:rsidRPr="00426478">
        <w:rPr>
          <w:sz w:val="24"/>
          <w:szCs w:val="24"/>
        </w:rPr>
        <w:lastRenderedPageBreak/>
        <w:t>vydědit nepominutelného dědice, který je nezpůsobilý dědit, a proto je z dědického práva vyloučen. Druhý uvedený důvod vydědění je převzat ze starého práva ABGB. VN dané ustanovení ABGB nepře</w:t>
      </w:r>
      <w:r w:rsidR="008113A7" w:rsidRPr="00426478">
        <w:rPr>
          <w:sz w:val="24"/>
          <w:szCs w:val="24"/>
        </w:rPr>
        <w:t>bírá</w:t>
      </w:r>
      <w:r w:rsidRPr="00426478">
        <w:rPr>
          <w:sz w:val="24"/>
          <w:szCs w:val="24"/>
        </w:rPr>
        <w:t xml:space="preserve"> s tím, že se jedná o samozřejmou možnost takového vydědění.</w:t>
      </w:r>
      <w:r w:rsidR="0074730E" w:rsidRPr="00426478">
        <w:rPr>
          <w:rStyle w:val="Znakapoznpodarou"/>
          <w:sz w:val="24"/>
          <w:szCs w:val="24"/>
        </w:rPr>
        <w:footnoteReference w:id="71"/>
      </w:r>
      <w:r w:rsidRPr="00426478">
        <w:rPr>
          <w:sz w:val="24"/>
          <w:szCs w:val="24"/>
        </w:rPr>
        <w:t xml:space="preserve"> NOZ se navrací k zařazení takového ustanovení do právní úpravy vydědění, a to zejména z toho důvodu, že tak budou vyloučeny případné spory, zda zůstavitel za svého života osobě prominul její poklesek způsobující dědickou nezpůsobilost, či nikoli.</w:t>
      </w:r>
      <w:r w:rsidRPr="00426478">
        <w:rPr>
          <w:rStyle w:val="Znakapoznpodarou"/>
          <w:sz w:val="24"/>
          <w:szCs w:val="24"/>
        </w:rPr>
        <w:footnoteReference w:id="72"/>
      </w:r>
    </w:p>
    <w:p w:rsidR="00967046" w:rsidRPr="00426478" w:rsidRDefault="008113A7" w:rsidP="00AE5C96">
      <w:pPr>
        <w:tabs>
          <w:tab w:val="left" w:pos="426"/>
        </w:tabs>
        <w:spacing w:after="0" w:line="360" w:lineRule="auto"/>
        <w:ind w:firstLine="567"/>
        <w:jc w:val="both"/>
        <w:rPr>
          <w:sz w:val="24"/>
          <w:szCs w:val="24"/>
        </w:rPr>
      </w:pPr>
      <w:r w:rsidRPr="00426478">
        <w:rPr>
          <w:sz w:val="24"/>
          <w:szCs w:val="24"/>
        </w:rPr>
        <w:t>VN jako jeden z důvodů pro vydědění nepominutelného dědice stanovuje, že tato osoba byla právoplatně odsouzena pro zločin svědčící o její zvrhlé podobě. VN se v mnohém inspir</w:t>
      </w:r>
      <w:r w:rsidR="007F37C8" w:rsidRPr="00426478">
        <w:rPr>
          <w:sz w:val="24"/>
          <w:szCs w:val="24"/>
        </w:rPr>
        <w:t>uje</w:t>
      </w:r>
      <w:r w:rsidR="002344A2">
        <w:rPr>
          <w:sz w:val="24"/>
          <w:szCs w:val="24"/>
        </w:rPr>
        <w:t xml:space="preserve"> rakouským ABGB, ten však </w:t>
      </w:r>
      <w:r w:rsidRPr="00426478">
        <w:rPr>
          <w:sz w:val="24"/>
          <w:szCs w:val="24"/>
        </w:rPr>
        <w:t>sp</w:t>
      </w:r>
      <w:r w:rsidR="007F37C8" w:rsidRPr="00426478">
        <w:rPr>
          <w:sz w:val="24"/>
          <w:szCs w:val="24"/>
        </w:rPr>
        <w:t>ojuje daný důvod pro vydědění s uložením trestu odnětí svobody na doživotí nebo alespoň dvacet let. Při přípravě občanského zákoníku v meziválečném období snížil subkomitét zabývající se dědickým právem tuto hranici na deset let, avšak pouze prozatímně. Emil Svoboda uvádí v návrhu osnovy pro revizi občanského zákoníku, že desetiletý žalář je uveden s vědomím, že ustanovení je prozatímně</w:t>
      </w:r>
    </w:p>
    <w:p w:rsidR="00967046" w:rsidRPr="00426478" w:rsidRDefault="007F37C8" w:rsidP="00AE5C96">
      <w:pPr>
        <w:tabs>
          <w:tab w:val="left" w:pos="426"/>
        </w:tabs>
        <w:spacing w:after="0" w:line="360" w:lineRule="auto"/>
        <w:jc w:val="both"/>
        <w:rPr>
          <w:sz w:val="24"/>
          <w:szCs w:val="24"/>
        </w:rPr>
      </w:pPr>
      <w:r w:rsidRPr="00426478">
        <w:rPr>
          <w:sz w:val="24"/>
          <w:szCs w:val="24"/>
        </w:rPr>
        <w:t>formulováno a bude přizpůsobeno stanovisku nového trestního zákona.</w:t>
      </w:r>
      <w:r w:rsidRPr="00426478">
        <w:rPr>
          <w:rStyle w:val="Znakapoznpodarou"/>
          <w:sz w:val="24"/>
          <w:szCs w:val="24"/>
        </w:rPr>
        <w:footnoteReference w:id="73"/>
      </w:r>
      <w:r w:rsidR="00DC1C32" w:rsidRPr="00426478">
        <w:rPr>
          <w:sz w:val="24"/>
          <w:szCs w:val="24"/>
        </w:rPr>
        <w:t xml:space="preserve"> Nakonec </w:t>
      </w:r>
      <w:proofErr w:type="spellStart"/>
      <w:r w:rsidR="00DC1C32" w:rsidRPr="00426478">
        <w:rPr>
          <w:sz w:val="24"/>
          <w:szCs w:val="24"/>
        </w:rPr>
        <w:t>superrevizní</w:t>
      </w:r>
      <w:proofErr w:type="spellEnd"/>
      <w:r w:rsidR="00DC1C32" w:rsidRPr="00426478">
        <w:rPr>
          <w:sz w:val="24"/>
          <w:szCs w:val="24"/>
        </w:rPr>
        <w:t xml:space="preserve"> komise odmítla spojovat důvod pro vydědění s výměrou trestu a zvolila formulaci, že je důvodem právoplatné odsouzení pro zločin svědčící o zvrhlé povaze. K myšlence morální taxace se navrací po vzoru VN i NOZ, který stanovuje jako důvod pro vydědění odsouzení pro trestný čin spáchaný za okolností svědčících o zvrhlé povaze nepominutelného dědice.</w:t>
      </w:r>
      <w:r w:rsidR="00E4660C" w:rsidRPr="00426478">
        <w:rPr>
          <w:sz w:val="24"/>
          <w:szCs w:val="24"/>
        </w:rPr>
        <w:t xml:space="preserve"> </w:t>
      </w:r>
    </w:p>
    <w:p w:rsidR="00D166EB" w:rsidRPr="00426478" w:rsidRDefault="00D166EB" w:rsidP="00AE5C96">
      <w:pPr>
        <w:tabs>
          <w:tab w:val="left" w:pos="426"/>
        </w:tabs>
        <w:spacing w:after="0" w:line="360" w:lineRule="auto"/>
        <w:ind w:firstLine="567"/>
        <w:jc w:val="both"/>
        <w:rPr>
          <w:i/>
          <w:sz w:val="24"/>
          <w:szCs w:val="24"/>
        </w:rPr>
      </w:pPr>
      <w:r w:rsidRPr="00426478">
        <w:rPr>
          <w:sz w:val="24"/>
          <w:szCs w:val="24"/>
        </w:rPr>
        <w:tab/>
        <w:t>Inspirací je VN i ohledně ustanovení §</w:t>
      </w:r>
      <w:r w:rsidR="003627F0">
        <w:rPr>
          <w:sz w:val="24"/>
          <w:szCs w:val="24"/>
        </w:rPr>
        <w:t xml:space="preserve"> </w:t>
      </w:r>
      <w:r w:rsidRPr="00426478">
        <w:rPr>
          <w:sz w:val="24"/>
          <w:szCs w:val="24"/>
        </w:rPr>
        <w:t xml:space="preserve">1647 NOZ, kde je stanoven poslední důvod pro vydědění. Vztahuje se na případy, kdy je nepominutelný dědic zadlužen nebo si počíná marnotratně tak, že je zde obava, že se pro jeho potomky nezanechá povinný díl. Zůstavitel může zanechat povinný díl potomkům nepominutelného dědice, případně jejich potomkům. Na rozdíl od výše uvedených důvodů, nelze tento důvod pro vydědění rozšiřovat na potomky vyděděného, což je logické. Případ upravený v tomto ustanovení NOZ a ustanovení §582 VN se označuje jako </w:t>
      </w:r>
      <w:proofErr w:type="spellStart"/>
      <w:r w:rsidRPr="00426478">
        <w:rPr>
          <w:i/>
          <w:sz w:val="24"/>
          <w:szCs w:val="24"/>
        </w:rPr>
        <w:t>exheredatio</w:t>
      </w:r>
      <w:proofErr w:type="spellEnd"/>
      <w:r w:rsidRPr="00426478">
        <w:rPr>
          <w:i/>
          <w:sz w:val="24"/>
          <w:szCs w:val="24"/>
        </w:rPr>
        <w:t xml:space="preserve"> bona </w:t>
      </w:r>
      <w:proofErr w:type="spellStart"/>
      <w:r w:rsidRPr="00426478">
        <w:rPr>
          <w:i/>
          <w:sz w:val="24"/>
          <w:szCs w:val="24"/>
        </w:rPr>
        <w:t>mente</w:t>
      </w:r>
      <w:proofErr w:type="spellEnd"/>
      <w:r w:rsidRPr="00426478">
        <w:rPr>
          <w:i/>
          <w:sz w:val="24"/>
          <w:szCs w:val="24"/>
        </w:rPr>
        <w:t xml:space="preserve"> </w:t>
      </w:r>
      <w:proofErr w:type="spellStart"/>
      <w:r w:rsidRPr="00426478">
        <w:rPr>
          <w:i/>
          <w:sz w:val="24"/>
          <w:szCs w:val="24"/>
        </w:rPr>
        <w:t>facta</w:t>
      </w:r>
      <w:proofErr w:type="spellEnd"/>
      <w:r w:rsidRPr="00426478">
        <w:rPr>
          <w:i/>
          <w:sz w:val="24"/>
          <w:szCs w:val="24"/>
        </w:rPr>
        <w:t xml:space="preserve"> </w:t>
      </w:r>
      <w:r w:rsidRPr="00426478">
        <w:rPr>
          <w:sz w:val="24"/>
          <w:szCs w:val="24"/>
        </w:rPr>
        <w:t>(vyděděný v dobrém úmyslu)</w:t>
      </w:r>
      <w:r w:rsidRPr="00426478">
        <w:rPr>
          <w:i/>
          <w:sz w:val="24"/>
          <w:szCs w:val="24"/>
        </w:rPr>
        <w:t>.</w:t>
      </w:r>
      <w:r w:rsidRPr="00426478">
        <w:rPr>
          <w:rStyle w:val="Znakapoznpodarou"/>
          <w:i/>
          <w:sz w:val="24"/>
          <w:szCs w:val="24"/>
        </w:rPr>
        <w:footnoteReference w:id="74"/>
      </w:r>
    </w:p>
    <w:p w:rsidR="00D474C1" w:rsidRPr="00237D8B" w:rsidRDefault="00D474C1" w:rsidP="00AE5C96">
      <w:pPr>
        <w:pStyle w:val="Nadpis2"/>
        <w:numPr>
          <w:ilvl w:val="1"/>
          <w:numId w:val="1"/>
        </w:numPr>
        <w:spacing w:line="360" w:lineRule="auto"/>
        <w:jc w:val="both"/>
        <w:rPr>
          <w:rFonts w:ascii="Times New Roman" w:hAnsi="Times New Roman" w:cs="Times New Roman"/>
          <w:color w:val="auto"/>
        </w:rPr>
      </w:pPr>
      <w:bookmarkStart w:id="42" w:name="_Toc409631318"/>
      <w:r w:rsidRPr="00237D8B">
        <w:rPr>
          <w:rFonts w:ascii="Times New Roman" w:hAnsi="Times New Roman" w:cs="Times New Roman"/>
          <w:color w:val="auto"/>
        </w:rPr>
        <w:lastRenderedPageBreak/>
        <w:t>Ochrana nepominutelného dědice</w:t>
      </w:r>
      <w:bookmarkEnd w:id="42"/>
    </w:p>
    <w:p w:rsidR="004D1E4E" w:rsidRPr="00426478" w:rsidRDefault="004D1E4E" w:rsidP="00AE5C96">
      <w:pPr>
        <w:tabs>
          <w:tab w:val="left" w:pos="426"/>
        </w:tabs>
        <w:spacing w:after="0" w:line="360" w:lineRule="auto"/>
        <w:ind w:firstLine="567"/>
        <w:jc w:val="both"/>
        <w:rPr>
          <w:sz w:val="24"/>
          <w:szCs w:val="24"/>
        </w:rPr>
      </w:pPr>
      <w:r w:rsidRPr="00426478">
        <w:rPr>
          <w:sz w:val="24"/>
          <w:szCs w:val="24"/>
        </w:rPr>
        <w:t>V rámci právní úpravy ochrany nepominutelného dědice se NOZ inspiruje VN v tom, že rozlišuje případy, kdy zůstavitel opomene nepominutelného dědice vědomě, a kdy jej opomene nevědomě (omylem).</w:t>
      </w:r>
    </w:p>
    <w:p w:rsidR="00CB3B57" w:rsidRPr="00426478" w:rsidRDefault="00CB3B57" w:rsidP="00AE5C96">
      <w:pPr>
        <w:tabs>
          <w:tab w:val="left" w:pos="426"/>
        </w:tabs>
        <w:spacing w:after="0" w:line="360" w:lineRule="auto"/>
        <w:ind w:firstLine="567"/>
        <w:jc w:val="both"/>
        <w:rPr>
          <w:sz w:val="24"/>
          <w:szCs w:val="24"/>
        </w:rPr>
      </w:pPr>
      <w:r w:rsidRPr="00426478">
        <w:rPr>
          <w:sz w:val="24"/>
          <w:szCs w:val="24"/>
        </w:rPr>
        <w:t>Pokud nastane druhý zmíněný případ, tedy, že dojde k opomenutí nepominutelného dědice z důvodu, že zůstavitel o takové osobě vůbec nevěděl, má pak taková osoba dle ustanovení §</w:t>
      </w:r>
      <w:r w:rsidR="003627F0">
        <w:rPr>
          <w:sz w:val="24"/>
          <w:szCs w:val="24"/>
        </w:rPr>
        <w:t xml:space="preserve"> </w:t>
      </w:r>
      <w:r w:rsidRPr="00426478">
        <w:rPr>
          <w:sz w:val="24"/>
          <w:szCs w:val="24"/>
        </w:rPr>
        <w:t>1652 NOZ právo na povinný díl, který mu náleží podle zákona. V tomto směru není převzato ustanovení §</w:t>
      </w:r>
      <w:r w:rsidR="003627F0">
        <w:rPr>
          <w:sz w:val="24"/>
          <w:szCs w:val="24"/>
        </w:rPr>
        <w:t xml:space="preserve"> </w:t>
      </w:r>
      <w:r w:rsidRPr="00426478">
        <w:rPr>
          <w:sz w:val="24"/>
          <w:szCs w:val="24"/>
        </w:rPr>
        <w:t>587 VN, které stanovuje, že se může opomenutý dědic domáhat dědického podílu, jaký po provedeném snížení připadne tomu z nepominutelných dědiců, kterému se dostalo nejmenší výhody. Tuto konstrukci nemůže NOZ převzít vzhledem k tomu, že české právo i nadále počítá pouze s jednou skupinou nepominutelných dědiců, a to potomků zůstavitele.</w:t>
      </w:r>
      <w:r w:rsidRPr="00426478">
        <w:rPr>
          <w:rStyle w:val="Znakapoznpodarou"/>
          <w:sz w:val="24"/>
          <w:szCs w:val="24"/>
        </w:rPr>
        <w:footnoteReference w:id="75"/>
      </w:r>
    </w:p>
    <w:p w:rsidR="00D474C1" w:rsidRPr="00426478" w:rsidRDefault="004D1E4E" w:rsidP="00AE5C96">
      <w:pPr>
        <w:tabs>
          <w:tab w:val="left" w:pos="426"/>
        </w:tabs>
        <w:spacing w:after="0" w:line="360" w:lineRule="auto"/>
        <w:ind w:firstLine="567"/>
        <w:jc w:val="both"/>
        <w:rPr>
          <w:sz w:val="24"/>
          <w:szCs w:val="24"/>
        </w:rPr>
      </w:pPr>
      <w:r w:rsidRPr="00426478">
        <w:rPr>
          <w:sz w:val="24"/>
          <w:szCs w:val="24"/>
        </w:rPr>
        <w:t>Je-li nepominutelný dědic opominut (</w:t>
      </w:r>
      <w:proofErr w:type="spellStart"/>
      <w:r w:rsidRPr="00426478">
        <w:rPr>
          <w:sz w:val="24"/>
          <w:szCs w:val="24"/>
        </w:rPr>
        <w:t>preterován</w:t>
      </w:r>
      <w:proofErr w:type="spellEnd"/>
      <w:r w:rsidRPr="00426478">
        <w:rPr>
          <w:sz w:val="24"/>
          <w:szCs w:val="24"/>
        </w:rPr>
        <w:t>)</w:t>
      </w:r>
      <w:r w:rsidR="002344A2">
        <w:rPr>
          <w:sz w:val="24"/>
          <w:szCs w:val="24"/>
        </w:rPr>
        <w:t>,</w:t>
      </w:r>
      <w:r w:rsidRPr="00426478">
        <w:rPr>
          <w:sz w:val="24"/>
          <w:szCs w:val="24"/>
        </w:rPr>
        <w:t xml:space="preserve"> má, jak je výše zmíněno, právo na vyplacení vůči ostatním dědicům a odkazovníkům. Stává se tak jejich věřitelem. Opominutí nepominutelného dědice tak nadále nezpůsobuje již neplatnost závěti, ale inspiruje se zde VN co se týče následků takového opomenutí.</w:t>
      </w:r>
    </w:p>
    <w:p w:rsidR="00CB3B57" w:rsidRPr="00237D8B" w:rsidRDefault="00CB3B57" w:rsidP="00AE5C96">
      <w:pPr>
        <w:pStyle w:val="Nadpis2"/>
        <w:numPr>
          <w:ilvl w:val="1"/>
          <w:numId w:val="1"/>
        </w:numPr>
        <w:spacing w:line="360" w:lineRule="auto"/>
        <w:jc w:val="both"/>
        <w:rPr>
          <w:rFonts w:ascii="Times New Roman" w:hAnsi="Times New Roman" w:cs="Times New Roman"/>
          <w:color w:val="auto"/>
        </w:rPr>
      </w:pPr>
      <w:bookmarkStart w:id="43" w:name="_Toc409631319"/>
      <w:r w:rsidRPr="00237D8B">
        <w:rPr>
          <w:rFonts w:ascii="Times New Roman" w:hAnsi="Times New Roman" w:cs="Times New Roman"/>
          <w:color w:val="auto"/>
        </w:rPr>
        <w:t>Započtení na povinný díl a dědický podíl</w:t>
      </w:r>
      <w:bookmarkEnd w:id="43"/>
    </w:p>
    <w:p w:rsidR="00CB3B57" w:rsidRPr="00426478" w:rsidRDefault="002A1A2F" w:rsidP="00AE5C96">
      <w:pPr>
        <w:tabs>
          <w:tab w:val="left" w:pos="426"/>
        </w:tabs>
        <w:spacing w:after="0" w:line="360" w:lineRule="auto"/>
        <w:ind w:firstLine="567"/>
        <w:jc w:val="both"/>
        <w:rPr>
          <w:sz w:val="24"/>
          <w:szCs w:val="24"/>
        </w:rPr>
      </w:pPr>
      <w:r w:rsidRPr="00426478">
        <w:rPr>
          <w:sz w:val="24"/>
          <w:szCs w:val="24"/>
        </w:rPr>
        <w:t>Právní úpravu započtení neboli kolace</w:t>
      </w:r>
      <w:r w:rsidR="00306568" w:rsidRPr="00426478">
        <w:rPr>
          <w:sz w:val="24"/>
          <w:szCs w:val="24"/>
        </w:rPr>
        <w:t xml:space="preserve"> roz</w:t>
      </w:r>
      <w:r w:rsidR="004E7514" w:rsidRPr="00426478">
        <w:rPr>
          <w:sz w:val="24"/>
          <w:szCs w:val="24"/>
        </w:rPr>
        <w:t>dělu</w:t>
      </w:r>
      <w:r w:rsidR="00306568" w:rsidRPr="00426478">
        <w:rPr>
          <w:sz w:val="24"/>
          <w:szCs w:val="24"/>
        </w:rPr>
        <w:t>je NOZ stejně jako VN na započtení na povinný díl a započtení na dědický podíl.</w:t>
      </w:r>
      <w:r w:rsidR="0016090C" w:rsidRPr="00426478">
        <w:rPr>
          <w:sz w:val="24"/>
          <w:szCs w:val="24"/>
        </w:rPr>
        <w:t xml:space="preserve"> Jsou to tedy převážně historické důvody proč NOZ řadí právní úpravu obou případů započtení do stejného oddílu. Jedná se totiž o odlišné instituty.</w:t>
      </w:r>
    </w:p>
    <w:p w:rsidR="0024394E" w:rsidRPr="00426478" w:rsidRDefault="0024394E" w:rsidP="00AE5C96">
      <w:pPr>
        <w:tabs>
          <w:tab w:val="left" w:pos="426"/>
        </w:tabs>
        <w:spacing w:after="0" w:line="360" w:lineRule="auto"/>
        <w:ind w:firstLine="567"/>
        <w:jc w:val="both"/>
        <w:rPr>
          <w:sz w:val="24"/>
          <w:szCs w:val="24"/>
        </w:rPr>
      </w:pPr>
      <w:r w:rsidRPr="00426478">
        <w:rPr>
          <w:sz w:val="24"/>
          <w:szCs w:val="24"/>
        </w:rPr>
        <w:t>Oproti VN obsahuje NOZ dvě ustanovení, §</w:t>
      </w:r>
      <w:r w:rsidR="003627F0">
        <w:rPr>
          <w:sz w:val="24"/>
          <w:szCs w:val="24"/>
        </w:rPr>
        <w:t xml:space="preserve"> </w:t>
      </w:r>
      <w:r w:rsidRPr="00426478">
        <w:rPr>
          <w:sz w:val="24"/>
          <w:szCs w:val="24"/>
        </w:rPr>
        <w:t>1658 a §</w:t>
      </w:r>
      <w:r w:rsidR="003627F0">
        <w:rPr>
          <w:sz w:val="24"/>
          <w:szCs w:val="24"/>
        </w:rPr>
        <w:t xml:space="preserve"> </w:t>
      </w:r>
      <w:r w:rsidRPr="00426478">
        <w:rPr>
          <w:sz w:val="24"/>
          <w:szCs w:val="24"/>
        </w:rPr>
        <w:t>1659, která jsou společná pro započtení na povinný díl a dědický podíl. První „zásadou“ uvedenou v ustanovení §</w:t>
      </w:r>
      <w:r w:rsidR="003627F0">
        <w:rPr>
          <w:sz w:val="24"/>
          <w:szCs w:val="24"/>
        </w:rPr>
        <w:t xml:space="preserve"> </w:t>
      </w:r>
      <w:r w:rsidRPr="00426478">
        <w:rPr>
          <w:sz w:val="24"/>
          <w:szCs w:val="24"/>
        </w:rPr>
        <w:t>1658 NOZ je, že započtení ať už na povinný díl, nebo dědický podíl, nezakládá povinnost něco vydat s výjimkou případu odvolání daru pro nevděk dle ustanovení §</w:t>
      </w:r>
      <w:r w:rsidR="003627F0">
        <w:rPr>
          <w:sz w:val="24"/>
          <w:szCs w:val="24"/>
        </w:rPr>
        <w:t xml:space="preserve"> </w:t>
      </w:r>
      <w:r w:rsidRPr="00426478">
        <w:rPr>
          <w:sz w:val="24"/>
          <w:szCs w:val="24"/>
        </w:rPr>
        <w:t>2072 NOZ. Zde se NOZ odklání od právní úpravy VN, který obsahuje ustanovení §</w:t>
      </w:r>
      <w:r w:rsidR="003627F0">
        <w:rPr>
          <w:sz w:val="24"/>
          <w:szCs w:val="24"/>
        </w:rPr>
        <w:t xml:space="preserve"> </w:t>
      </w:r>
      <w:r w:rsidRPr="00426478">
        <w:rPr>
          <w:sz w:val="24"/>
          <w:szCs w:val="24"/>
        </w:rPr>
        <w:t>796 a §</w:t>
      </w:r>
      <w:r w:rsidR="003627F0">
        <w:rPr>
          <w:sz w:val="24"/>
          <w:szCs w:val="24"/>
        </w:rPr>
        <w:t xml:space="preserve"> </w:t>
      </w:r>
      <w:r w:rsidRPr="00426478">
        <w:rPr>
          <w:sz w:val="24"/>
          <w:szCs w:val="24"/>
        </w:rPr>
        <w:t>797 o odvolání daru pro zkrácení povinného dílu. Proč NOZ nepře</w:t>
      </w:r>
      <w:r w:rsidR="00AB3F3A" w:rsidRPr="00426478">
        <w:rPr>
          <w:sz w:val="24"/>
          <w:szCs w:val="24"/>
        </w:rPr>
        <w:t>bírá</w:t>
      </w:r>
      <w:r w:rsidRPr="00426478">
        <w:rPr>
          <w:sz w:val="24"/>
          <w:szCs w:val="24"/>
        </w:rPr>
        <w:t xml:space="preserve"> tato ustanovení VN není zřejmé. Ustanovení o odvolání daru pro zkrácen</w:t>
      </w:r>
      <w:r w:rsidR="00AB3F3A" w:rsidRPr="00426478">
        <w:rPr>
          <w:sz w:val="24"/>
          <w:szCs w:val="24"/>
        </w:rPr>
        <w:t>í povinného dílu však obsahuje</w:t>
      </w:r>
      <w:r w:rsidRPr="00426478">
        <w:rPr>
          <w:sz w:val="24"/>
          <w:szCs w:val="24"/>
        </w:rPr>
        <w:t xml:space="preserve"> ještě původní osnova nového občanského zákoníku Karla Eliáše z roku 2005.</w:t>
      </w:r>
      <w:r w:rsidR="00A418CB" w:rsidRPr="00426478">
        <w:rPr>
          <w:sz w:val="24"/>
          <w:szCs w:val="24"/>
        </w:rPr>
        <w:t xml:space="preserve"> </w:t>
      </w:r>
      <w:r w:rsidR="00AB3F3A" w:rsidRPr="00426478">
        <w:rPr>
          <w:sz w:val="24"/>
          <w:szCs w:val="24"/>
        </w:rPr>
        <w:t xml:space="preserve">Uvedená osnova z roku 2005 přesně přejímá ustanovení VN o odvolání daru pro zkrácení povinného dílu, kdy znění </w:t>
      </w:r>
      <w:r w:rsidR="00651A29">
        <w:rPr>
          <w:sz w:val="24"/>
          <w:szCs w:val="24"/>
        </w:rPr>
        <w:t>předmětného</w:t>
      </w:r>
      <w:r w:rsidR="00AB3F3A" w:rsidRPr="00426478">
        <w:rPr>
          <w:sz w:val="24"/>
          <w:szCs w:val="24"/>
        </w:rPr>
        <w:t xml:space="preserve"> ustanovení </w:t>
      </w:r>
      <w:r w:rsidR="009B3A73" w:rsidRPr="00426478">
        <w:rPr>
          <w:sz w:val="24"/>
          <w:szCs w:val="24"/>
        </w:rPr>
        <w:t xml:space="preserve">osnovy z roku 2005 </w:t>
      </w:r>
      <w:r w:rsidR="00114D59" w:rsidRPr="00426478">
        <w:rPr>
          <w:sz w:val="24"/>
          <w:szCs w:val="24"/>
        </w:rPr>
        <w:t>je</w:t>
      </w:r>
      <w:r w:rsidR="00AB3F3A" w:rsidRPr="00426478">
        <w:rPr>
          <w:sz w:val="24"/>
          <w:szCs w:val="24"/>
        </w:rPr>
        <w:t xml:space="preserve"> následující:</w:t>
      </w:r>
    </w:p>
    <w:p w:rsidR="00AB3F3A" w:rsidRPr="00426478" w:rsidRDefault="00AB3F3A" w:rsidP="00AE5C96">
      <w:pPr>
        <w:tabs>
          <w:tab w:val="left" w:pos="426"/>
        </w:tabs>
        <w:spacing w:after="0" w:line="360" w:lineRule="auto"/>
        <w:jc w:val="both"/>
        <w:rPr>
          <w:sz w:val="24"/>
          <w:szCs w:val="24"/>
        </w:rPr>
      </w:pPr>
    </w:p>
    <w:p w:rsidR="00AB3F3A" w:rsidRPr="00426478" w:rsidRDefault="00AB3F3A" w:rsidP="00AE5C96">
      <w:pPr>
        <w:tabs>
          <w:tab w:val="left" w:pos="426"/>
        </w:tabs>
        <w:spacing w:after="0" w:line="360" w:lineRule="auto"/>
        <w:jc w:val="both"/>
        <w:rPr>
          <w:i/>
          <w:sz w:val="24"/>
          <w:szCs w:val="24"/>
        </w:rPr>
      </w:pPr>
      <w:r w:rsidRPr="00426478">
        <w:rPr>
          <w:i/>
          <w:sz w:val="24"/>
          <w:szCs w:val="24"/>
        </w:rPr>
        <w:lastRenderedPageBreak/>
        <w:t>§</w:t>
      </w:r>
      <w:r w:rsidR="003627F0">
        <w:rPr>
          <w:i/>
          <w:sz w:val="24"/>
          <w:szCs w:val="24"/>
        </w:rPr>
        <w:t xml:space="preserve"> </w:t>
      </w:r>
      <w:r w:rsidRPr="00426478">
        <w:rPr>
          <w:i/>
          <w:sz w:val="24"/>
          <w:szCs w:val="24"/>
        </w:rPr>
        <w:t>1735</w:t>
      </w:r>
    </w:p>
    <w:p w:rsidR="00AB3F3A" w:rsidRPr="00426478" w:rsidRDefault="00AB3F3A" w:rsidP="00AE5C96">
      <w:pPr>
        <w:tabs>
          <w:tab w:val="left" w:pos="426"/>
        </w:tabs>
        <w:spacing w:after="0" w:line="360" w:lineRule="auto"/>
        <w:jc w:val="both"/>
        <w:rPr>
          <w:i/>
          <w:sz w:val="24"/>
          <w:szCs w:val="24"/>
        </w:rPr>
      </w:pPr>
      <w:r w:rsidRPr="00426478">
        <w:rPr>
          <w:i/>
          <w:sz w:val="24"/>
          <w:szCs w:val="24"/>
        </w:rPr>
        <w:t>(1) Připočtou-li se při výpočtu povinného dílu také dary a pozůstalost k úhradě</w:t>
      </w:r>
    </w:p>
    <w:p w:rsidR="00AB3F3A" w:rsidRPr="00426478" w:rsidRDefault="00AB3F3A" w:rsidP="00AE5C96">
      <w:pPr>
        <w:tabs>
          <w:tab w:val="left" w:pos="426"/>
        </w:tabs>
        <w:spacing w:after="0" w:line="360" w:lineRule="auto"/>
        <w:jc w:val="both"/>
        <w:rPr>
          <w:i/>
          <w:sz w:val="24"/>
          <w:szCs w:val="24"/>
        </w:rPr>
      </w:pPr>
      <w:r w:rsidRPr="00426478">
        <w:rPr>
          <w:i/>
          <w:sz w:val="24"/>
          <w:szCs w:val="24"/>
        </w:rPr>
        <w:t>povinného dílu nestačí, může zkrácený nepominutelný dědic požadovat na obdarovaném</w:t>
      </w:r>
    </w:p>
    <w:p w:rsidR="00AB3F3A" w:rsidRPr="00426478" w:rsidRDefault="00AB3F3A" w:rsidP="00AE5C96">
      <w:pPr>
        <w:tabs>
          <w:tab w:val="left" w:pos="426"/>
        </w:tabs>
        <w:spacing w:after="0" w:line="360" w:lineRule="auto"/>
        <w:jc w:val="both"/>
        <w:rPr>
          <w:i/>
          <w:sz w:val="24"/>
          <w:szCs w:val="24"/>
        </w:rPr>
      </w:pPr>
      <w:r w:rsidRPr="00426478">
        <w:rPr>
          <w:i/>
          <w:sz w:val="24"/>
          <w:szCs w:val="24"/>
        </w:rPr>
        <w:t>vydání daru ke krytí schodku. Obdarovaný se může zprostit této povinnosti zaplacením</w:t>
      </w:r>
    </w:p>
    <w:p w:rsidR="00AB3F3A" w:rsidRPr="00426478" w:rsidRDefault="00AB3F3A" w:rsidP="00AE5C96">
      <w:pPr>
        <w:tabs>
          <w:tab w:val="left" w:pos="426"/>
        </w:tabs>
        <w:spacing w:after="0" w:line="360" w:lineRule="auto"/>
        <w:jc w:val="both"/>
        <w:rPr>
          <w:i/>
          <w:sz w:val="24"/>
          <w:szCs w:val="24"/>
        </w:rPr>
      </w:pPr>
      <w:r w:rsidRPr="00426478">
        <w:rPr>
          <w:i/>
          <w:sz w:val="24"/>
          <w:szCs w:val="24"/>
        </w:rPr>
        <w:t>schodku.</w:t>
      </w:r>
    </w:p>
    <w:p w:rsidR="00AB3F3A" w:rsidRPr="00426478" w:rsidRDefault="00AB3F3A" w:rsidP="00AE5C96">
      <w:pPr>
        <w:tabs>
          <w:tab w:val="left" w:pos="426"/>
        </w:tabs>
        <w:spacing w:after="0" w:line="360" w:lineRule="auto"/>
        <w:jc w:val="both"/>
        <w:rPr>
          <w:i/>
          <w:sz w:val="24"/>
          <w:szCs w:val="24"/>
        </w:rPr>
      </w:pPr>
      <w:r w:rsidRPr="00426478">
        <w:rPr>
          <w:i/>
          <w:sz w:val="24"/>
          <w:szCs w:val="24"/>
        </w:rPr>
        <w:t>(2) Obdarovaný, který má sám právo na povinný díl, má povinnost podle odstavce 1, jen</w:t>
      </w:r>
    </w:p>
    <w:p w:rsidR="00AB3F3A" w:rsidRPr="00426478" w:rsidRDefault="00AB3F3A" w:rsidP="00AE5C96">
      <w:pPr>
        <w:tabs>
          <w:tab w:val="left" w:pos="426"/>
        </w:tabs>
        <w:spacing w:after="0" w:line="360" w:lineRule="auto"/>
        <w:jc w:val="both"/>
        <w:rPr>
          <w:i/>
          <w:sz w:val="24"/>
          <w:szCs w:val="24"/>
        </w:rPr>
      </w:pPr>
      <w:r w:rsidRPr="00426478">
        <w:rPr>
          <w:i/>
          <w:sz w:val="24"/>
          <w:szCs w:val="24"/>
        </w:rPr>
        <w:t>obdržel-li by darováním více, než kolik činí jeho povinný díl zvětšený o připočtené dary. To</w:t>
      </w:r>
    </w:p>
    <w:p w:rsidR="00AB3F3A" w:rsidRPr="00426478" w:rsidRDefault="00AB3F3A" w:rsidP="00AE5C96">
      <w:pPr>
        <w:tabs>
          <w:tab w:val="left" w:pos="426"/>
        </w:tabs>
        <w:spacing w:after="0" w:line="360" w:lineRule="auto"/>
        <w:jc w:val="both"/>
        <w:rPr>
          <w:i/>
          <w:sz w:val="24"/>
          <w:szCs w:val="24"/>
        </w:rPr>
      </w:pPr>
      <w:r w:rsidRPr="00426478">
        <w:rPr>
          <w:i/>
          <w:sz w:val="24"/>
          <w:szCs w:val="24"/>
        </w:rPr>
        <w:t>neplatí, došlo-li k darování před více než třemi roky před smrtí zůstavitele.</w:t>
      </w:r>
      <w:r w:rsidRPr="00426478">
        <w:rPr>
          <w:i/>
          <w:sz w:val="24"/>
          <w:szCs w:val="24"/>
        </w:rPr>
        <w:cr/>
        <w:t>§</w:t>
      </w:r>
      <w:r w:rsidR="00B23FD3">
        <w:rPr>
          <w:i/>
          <w:sz w:val="24"/>
          <w:szCs w:val="24"/>
        </w:rPr>
        <w:t xml:space="preserve"> </w:t>
      </w:r>
      <w:r w:rsidRPr="00426478">
        <w:rPr>
          <w:i/>
          <w:sz w:val="24"/>
          <w:szCs w:val="24"/>
        </w:rPr>
        <w:t>1736</w:t>
      </w:r>
    </w:p>
    <w:p w:rsidR="00AB3F3A" w:rsidRPr="00426478" w:rsidRDefault="00AB3F3A" w:rsidP="00AE5C96">
      <w:pPr>
        <w:tabs>
          <w:tab w:val="left" w:pos="426"/>
        </w:tabs>
        <w:spacing w:after="0" w:line="360" w:lineRule="auto"/>
        <w:jc w:val="both"/>
        <w:rPr>
          <w:i/>
          <w:sz w:val="24"/>
          <w:szCs w:val="24"/>
        </w:rPr>
      </w:pPr>
      <w:r w:rsidRPr="00426478">
        <w:rPr>
          <w:i/>
          <w:sz w:val="24"/>
          <w:szCs w:val="24"/>
        </w:rPr>
        <w:t>Pro zkrácení povinného dílu lze dar odvolat nejpozději do jednoho roku od smrti</w:t>
      </w:r>
    </w:p>
    <w:p w:rsidR="00AB3F3A" w:rsidRPr="00426478" w:rsidRDefault="00AB3F3A" w:rsidP="00AE5C96">
      <w:pPr>
        <w:tabs>
          <w:tab w:val="left" w:pos="426"/>
        </w:tabs>
        <w:spacing w:after="0" w:line="360" w:lineRule="auto"/>
        <w:jc w:val="both"/>
        <w:rPr>
          <w:i/>
          <w:sz w:val="24"/>
          <w:szCs w:val="24"/>
        </w:rPr>
      </w:pPr>
      <w:r w:rsidRPr="00426478">
        <w:rPr>
          <w:i/>
          <w:sz w:val="24"/>
          <w:szCs w:val="24"/>
        </w:rPr>
        <w:t>zůstavitele.</w:t>
      </w:r>
      <w:r w:rsidRPr="00426478">
        <w:rPr>
          <w:i/>
          <w:sz w:val="24"/>
          <w:szCs w:val="24"/>
        </w:rPr>
        <w:cr/>
      </w:r>
    </w:p>
    <w:p w:rsidR="009B3A73" w:rsidRPr="00426478" w:rsidRDefault="00114D59" w:rsidP="00AE5C96">
      <w:pPr>
        <w:tabs>
          <w:tab w:val="left" w:pos="426"/>
        </w:tabs>
        <w:spacing w:after="0" w:line="360" w:lineRule="auto"/>
        <w:ind w:firstLine="567"/>
        <w:jc w:val="both"/>
        <w:rPr>
          <w:sz w:val="24"/>
          <w:szCs w:val="24"/>
        </w:rPr>
      </w:pPr>
      <w:r w:rsidRPr="00426478">
        <w:rPr>
          <w:sz w:val="24"/>
          <w:szCs w:val="24"/>
        </w:rPr>
        <w:t>Nezařazení ustanovení o odvolání daru pro zkrácení povinného dílu do právní úpravy NOZ se nedá považovat za úplně správný krok, kdy se vytváří určitá mezera v právu. Nicméně díky ustanovení §</w:t>
      </w:r>
      <w:r w:rsidR="003627F0">
        <w:rPr>
          <w:sz w:val="24"/>
          <w:szCs w:val="24"/>
        </w:rPr>
        <w:t xml:space="preserve"> </w:t>
      </w:r>
      <w:r w:rsidRPr="00426478">
        <w:rPr>
          <w:sz w:val="24"/>
          <w:szCs w:val="24"/>
        </w:rPr>
        <w:t>10 odst. 2 NOZ o vyplňování mezer v zákoně, má právní praxe zákonnou oporu k nalezení řešení, které by vedlo k dobrému uspořádání práv a povinností, a tím dostatečné ochraně nepominutelných dědiců.</w:t>
      </w:r>
      <w:r w:rsidRPr="00426478">
        <w:rPr>
          <w:rStyle w:val="Znakapoznpodarou"/>
          <w:sz w:val="24"/>
          <w:szCs w:val="24"/>
        </w:rPr>
        <w:footnoteReference w:id="76"/>
      </w:r>
      <w:r w:rsidRPr="00426478">
        <w:rPr>
          <w:sz w:val="24"/>
          <w:szCs w:val="24"/>
        </w:rPr>
        <w:t xml:space="preserve"> </w:t>
      </w:r>
    </w:p>
    <w:p w:rsidR="0024394E" w:rsidRPr="00426478" w:rsidRDefault="0024394E" w:rsidP="00AE5C96">
      <w:pPr>
        <w:tabs>
          <w:tab w:val="left" w:pos="426"/>
        </w:tabs>
        <w:spacing w:after="0" w:line="360" w:lineRule="auto"/>
        <w:ind w:firstLine="567"/>
        <w:jc w:val="both"/>
        <w:rPr>
          <w:sz w:val="24"/>
          <w:szCs w:val="24"/>
        </w:rPr>
      </w:pPr>
      <w:r w:rsidRPr="00426478">
        <w:rPr>
          <w:sz w:val="24"/>
          <w:szCs w:val="24"/>
        </w:rPr>
        <w:t>Ustanovení §</w:t>
      </w:r>
      <w:r w:rsidR="003627F0">
        <w:rPr>
          <w:sz w:val="24"/>
          <w:szCs w:val="24"/>
        </w:rPr>
        <w:t xml:space="preserve"> </w:t>
      </w:r>
      <w:r w:rsidRPr="00426478">
        <w:rPr>
          <w:sz w:val="24"/>
          <w:szCs w:val="24"/>
        </w:rPr>
        <w:t xml:space="preserve">1659 poté stanovuje pravidlo pro počítání hodnoty toho, co podléhá započtení. Dle </w:t>
      </w:r>
      <w:r w:rsidR="00C51329" w:rsidRPr="00426478">
        <w:rPr>
          <w:sz w:val="24"/>
          <w:szCs w:val="24"/>
        </w:rPr>
        <w:t>ustanovení §</w:t>
      </w:r>
      <w:r w:rsidR="003627F0">
        <w:rPr>
          <w:sz w:val="24"/>
          <w:szCs w:val="24"/>
        </w:rPr>
        <w:t xml:space="preserve"> </w:t>
      </w:r>
      <w:r w:rsidR="00C51329" w:rsidRPr="00426478">
        <w:rPr>
          <w:sz w:val="24"/>
          <w:szCs w:val="24"/>
        </w:rPr>
        <w:t xml:space="preserve">607 </w:t>
      </w:r>
      <w:r w:rsidRPr="00426478">
        <w:rPr>
          <w:sz w:val="24"/>
          <w:szCs w:val="24"/>
        </w:rPr>
        <w:t>VN se hodnota počítá dle doby odevzdání</w:t>
      </w:r>
      <w:r w:rsidR="007330E0" w:rsidRPr="00426478">
        <w:rPr>
          <w:sz w:val="24"/>
          <w:szCs w:val="24"/>
        </w:rPr>
        <w:t>, v případech zvláštního zřetele hodných může soudce rozhodnout jinak. Tuto úpravu sleduje i NOZ.</w:t>
      </w:r>
      <w:r w:rsidR="007330E0" w:rsidRPr="00426478">
        <w:rPr>
          <w:rStyle w:val="Znakapoznpodarou"/>
          <w:sz w:val="24"/>
          <w:szCs w:val="24"/>
        </w:rPr>
        <w:footnoteReference w:id="77"/>
      </w:r>
    </w:p>
    <w:p w:rsidR="003B1078" w:rsidRPr="00426478" w:rsidRDefault="003B1078" w:rsidP="00AE5C96">
      <w:pPr>
        <w:tabs>
          <w:tab w:val="left" w:pos="426"/>
        </w:tabs>
        <w:spacing w:after="0" w:line="360" w:lineRule="auto"/>
        <w:ind w:firstLine="567"/>
        <w:jc w:val="both"/>
        <w:rPr>
          <w:sz w:val="24"/>
          <w:szCs w:val="24"/>
        </w:rPr>
      </w:pPr>
      <w:r w:rsidRPr="00426478">
        <w:rPr>
          <w:sz w:val="24"/>
          <w:szCs w:val="24"/>
        </w:rPr>
        <w:t xml:space="preserve">Jak je zmíněno výše rozděluje NOZ stejně jako VN právní úpravu započtení na úpravu započtení na povinný díl a započtení na dědický podíl. </w:t>
      </w:r>
    </w:p>
    <w:p w:rsidR="009925E2" w:rsidRPr="00426478" w:rsidRDefault="009925E2" w:rsidP="00AE5C96">
      <w:pPr>
        <w:tabs>
          <w:tab w:val="left" w:pos="426"/>
        </w:tabs>
        <w:spacing w:after="0" w:line="360" w:lineRule="auto"/>
        <w:ind w:firstLine="567"/>
        <w:jc w:val="both"/>
        <w:rPr>
          <w:sz w:val="24"/>
          <w:szCs w:val="24"/>
        </w:rPr>
      </w:pPr>
      <w:r w:rsidRPr="00426478">
        <w:rPr>
          <w:sz w:val="24"/>
          <w:szCs w:val="24"/>
        </w:rPr>
        <w:t xml:space="preserve">Právní úprava NOZ o započtení </w:t>
      </w:r>
      <w:r w:rsidR="007131E0">
        <w:rPr>
          <w:sz w:val="24"/>
          <w:szCs w:val="24"/>
        </w:rPr>
        <w:t xml:space="preserve">na povinný díl se do jisté míry </w:t>
      </w:r>
      <w:r w:rsidRPr="00426478">
        <w:rPr>
          <w:sz w:val="24"/>
          <w:szCs w:val="24"/>
        </w:rPr>
        <w:t xml:space="preserve">inspiruje právní úpravou </w:t>
      </w:r>
      <w:r w:rsidR="007131E0">
        <w:rPr>
          <w:sz w:val="24"/>
          <w:szCs w:val="24"/>
        </w:rPr>
        <w:t xml:space="preserve">obsaženou ve </w:t>
      </w:r>
      <w:r w:rsidRPr="00426478">
        <w:rPr>
          <w:sz w:val="24"/>
          <w:szCs w:val="24"/>
        </w:rPr>
        <w:t>VN.</w:t>
      </w:r>
      <w:r w:rsidR="008A5057" w:rsidRPr="00426478">
        <w:rPr>
          <w:sz w:val="24"/>
          <w:szCs w:val="24"/>
        </w:rPr>
        <w:t xml:space="preserve"> </w:t>
      </w:r>
      <w:r w:rsidR="00590139" w:rsidRPr="00426478">
        <w:rPr>
          <w:sz w:val="24"/>
          <w:szCs w:val="24"/>
        </w:rPr>
        <w:t xml:space="preserve">Na povinný díl se započítává vše, čeho nepominutelný dědic skutečně nabyl z pozůstalosti odkazy nebo jinými opatřeními zůstavitelovými. Při započtení se tedy hledí k tomu, co nepominutelný dědic dostal </w:t>
      </w:r>
      <w:proofErr w:type="spellStart"/>
      <w:r w:rsidR="00511BAB" w:rsidRPr="00426478">
        <w:rPr>
          <w:i/>
          <w:sz w:val="24"/>
          <w:szCs w:val="24"/>
        </w:rPr>
        <w:t>mortis</w:t>
      </w:r>
      <w:proofErr w:type="spellEnd"/>
      <w:r w:rsidR="00511BAB" w:rsidRPr="00426478">
        <w:rPr>
          <w:i/>
          <w:sz w:val="24"/>
          <w:szCs w:val="24"/>
        </w:rPr>
        <w:t xml:space="preserve"> causa, </w:t>
      </w:r>
      <w:r w:rsidR="00511BAB" w:rsidRPr="00426478">
        <w:rPr>
          <w:sz w:val="24"/>
          <w:szCs w:val="24"/>
        </w:rPr>
        <w:t>ale i k některým poskytnutím,</w:t>
      </w:r>
      <w:r w:rsidR="00CF0C9B" w:rsidRPr="00426478">
        <w:rPr>
          <w:sz w:val="24"/>
          <w:szCs w:val="24"/>
        </w:rPr>
        <w:t xml:space="preserve"> </w:t>
      </w:r>
      <w:r w:rsidR="00511BAB" w:rsidRPr="00426478">
        <w:rPr>
          <w:sz w:val="24"/>
          <w:szCs w:val="24"/>
        </w:rPr>
        <w:t xml:space="preserve">která dostal </w:t>
      </w:r>
      <w:proofErr w:type="spellStart"/>
      <w:r w:rsidR="00511BAB" w:rsidRPr="00426478">
        <w:rPr>
          <w:i/>
          <w:sz w:val="24"/>
          <w:szCs w:val="24"/>
        </w:rPr>
        <w:t>inter</w:t>
      </w:r>
      <w:proofErr w:type="spellEnd"/>
      <w:r w:rsidR="00511BAB" w:rsidRPr="00426478">
        <w:rPr>
          <w:i/>
          <w:sz w:val="24"/>
          <w:szCs w:val="24"/>
        </w:rPr>
        <w:t xml:space="preserve"> </w:t>
      </w:r>
      <w:proofErr w:type="spellStart"/>
      <w:r w:rsidR="00511BAB" w:rsidRPr="00426478">
        <w:rPr>
          <w:i/>
          <w:sz w:val="24"/>
          <w:szCs w:val="24"/>
        </w:rPr>
        <w:t>vivos</w:t>
      </w:r>
      <w:proofErr w:type="spellEnd"/>
      <w:r w:rsidR="00511BAB" w:rsidRPr="00426478">
        <w:rPr>
          <w:i/>
          <w:sz w:val="24"/>
          <w:szCs w:val="24"/>
        </w:rPr>
        <w:t>.</w:t>
      </w:r>
      <w:r w:rsidR="00511BAB" w:rsidRPr="00426478">
        <w:rPr>
          <w:rStyle w:val="Znakapoznpodarou"/>
          <w:i/>
          <w:sz w:val="24"/>
          <w:szCs w:val="24"/>
        </w:rPr>
        <w:footnoteReference w:id="78"/>
      </w:r>
      <w:r w:rsidR="00CF0C9B" w:rsidRPr="00426478">
        <w:rPr>
          <w:i/>
          <w:sz w:val="24"/>
          <w:szCs w:val="24"/>
        </w:rPr>
        <w:t xml:space="preserve"> </w:t>
      </w:r>
      <w:r w:rsidR="00CF0C9B" w:rsidRPr="00426478">
        <w:rPr>
          <w:sz w:val="24"/>
          <w:szCs w:val="24"/>
        </w:rPr>
        <w:t xml:space="preserve">Tak se přihlíží i k bezplatným plněním, která nepominutelný dědic obdržel. Při započítávání darů dle NOZ </w:t>
      </w:r>
      <w:r w:rsidR="00D35C35" w:rsidRPr="00426478">
        <w:rPr>
          <w:sz w:val="24"/>
          <w:szCs w:val="24"/>
        </w:rPr>
        <w:t xml:space="preserve">se </w:t>
      </w:r>
      <w:r w:rsidR="00CF0C9B" w:rsidRPr="00426478">
        <w:rPr>
          <w:sz w:val="24"/>
          <w:szCs w:val="24"/>
        </w:rPr>
        <w:t xml:space="preserve">z bezplatných plnění (vyjma obvyklých darování) ve prospěch povinného dílu započítávají jen ta, která obdržel od zůstavitele v posledních třech </w:t>
      </w:r>
      <w:r w:rsidR="00CF0C9B" w:rsidRPr="00426478">
        <w:rPr>
          <w:sz w:val="24"/>
          <w:szCs w:val="24"/>
        </w:rPr>
        <w:lastRenderedPageBreak/>
        <w:t>letech před zůstavitelovou smrtí.</w:t>
      </w:r>
      <w:r w:rsidR="00CF0C9B" w:rsidRPr="00426478">
        <w:rPr>
          <w:rStyle w:val="Znakapoznpodarou"/>
          <w:sz w:val="24"/>
          <w:szCs w:val="24"/>
        </w:rPr>
        <w:footnoteReference w:id="79"/>
      </w:r>
      <w:r w:rsidR="00D35C35" w:rsidRPr="00426478">
        <w:rPr>
          <w:sz w:val="24"/>
          <w:szCs w:val="24"/>
        </w:rPr>
        <w:t xml:space="preserve"> Dané ustanovení NOZ se částečně odkloňuje od ustanovení §</w:t>
      </w:r>
      <w:r w:rsidR="003627F0">
        <w:rPr>
          <w:sz w:val="24"/>
          <w:szCs w:val="24"/>
        </w:rPr>
        <w:t xml:space="preserve"> </w:t>
      </w:r>
      <w:r w:rsidR="00D35C35" w:rsidRPr="00426478">
        <w:rPr>
          <w:sz w:val="24"/>
          <w:szCs w:val="24"/>
        </w:rPr>
        <w:t>599 VN, které stanovuje, že se započítávají dary, které od zůstavitele dostal nepominutelný dědic sám, a které je podle §</w:t>
      </w:r>
      <w:r w:rsidR="003627F0">
        <w:rPr>
          <w:sz w:val="24"/>
          <w:szCs w:val="24"/>
        </w:rPr>
        <w:t xml:space="preserve"> </w:t>
      </w:r>
      <w:r w:rsidR="00D35C35" w:rsidRPr="00426478">
        <w:rPr>
          <w:sz w:val="24"/>
          <w:szCs w:val="24"/>
        </w:rPr>
        <w:t>597 VN třeba připočíst k pozůstalosti. Takovými dary jsou pak ty, které byly učiněny z důchodu bez ztenčení kmenového jmění, ty, kterými bylo vyhověno povinnosti mravní a posledně ty, které byly poskytnuty osobám nenáležejícím mezi nepominutelné dědice, a které se staly dříve než tři roky před smrtí zůstavitele.</w:t>
      </w:r>
    </w:p>
    <w:p w:rsidR="00D474C1" w:rsidRPr="00426478" w:rsidRDefault="00320766" w:rsidP="00AE5C96">
      <w:pPr>
        <w:tabs>
          <w:tab w:val="left" w:pos="426"/>
        </w:tabs>
        <w:spacing w:after="0" w:line="360" w:lineRule="auto"/>
        <w:ind w:firstLine="567"/>
        <w:jc w:val="both"/>
        <w:rPr>
          <w:sz w:val="24"/>
          <w:szCs w:val="24"/>
        </w:rPr>
      </w:pPr>
      <w:r w:rsidRPr="00426478">
        <w:rPr>
          <w:sz w:val="24"/>
          <w:szCs w:val="24"/>
        </w:rPr>
        <w:t>Inspiračním</w:t>
      </w:r>
      <w:r w:rsidR="007131E0">
        <w:rPr>
          <w:sz w:val="24"/>
          <w:szCs w:val="24"/>
        </w:rPr>
        <w:t xml:space="preserve"> vzorem</w:t>
      </w:r>
      <w:r w:rsidRPr="00426478">
        <w:rPr>
          <w:sz w:val="24"/>
          <w:szCs w:val="24"/>
        </w:rPr>
        <w:t xml:space="preserve"> </w:t>
      </w:r>
      <w:r w:rsidR="00207149" w:rsidRPr="00426478">
        <w:rPr>
          <w:sz w:val="24"/>
          <w:szCs w:val="24"/>
        </w:rPr>
        <w:t>je</w:t>
      </w:r>
      <w:r w:rsidR="007131E0">
        <w:rPr>
          <w:sz w:val="24"/>
          <w:szCs w:val="24"/>
        </w:rPr>
        <w:t xml:space="preserve"> následně </w:t>
      </w:r>
      <w:r w:rsidRPr="00426478">
        <w:rPr>
          <w:sz w:val="24"/>
          <w:szCs w:val="24"/>
        </w:rPr>
        <w:t>ustanovení §</w:t>
      </w:r>
      <w:r w:rsidR="003627F0">
        <w:rPr>
          <w:sz w:val="24"/>
          <w:szCs w:val="24"/>
        </w:rPr>
        <w:t xml:space="preserve"> </w:t>
      </w:r>
      <w:r w:rsidRPr="00426478">
        <w:rPr>
          <w:sz w:val="24"/>
          <w:szCs w:val="24"/>
        </w:rPr>
        <w:t>600 VN, které upravuje případy započtení tzv. poskytnutí do života.</w:t>
      </w:r>
      <w:r w:rsidR="00920A60" w:rsidRPr="00426478">
        <w:rPr>
          <w:sz w:val="24"/>
          <w:szCs w:val="24"/>
        </w:rPr>
        <w:t xml:space="preserve"> Obsahově se s ustanovením §</w:t>
      </w:r>
      <w:r w:rsidR="003627F0">
        <w:rPr>
          <w:sz w:val="24"/>
          <w:szCs w:val="24"/>
        </w:rPr>
        <w:t xml:space="preserve"> </w:t>
      </w:r>
      <w:r w:rsidR="00920A60" w:rsidRPr="00426478">
        <w:rPr>
          <w:sz w:val="24"/>
          <w:szCs w:val="24"/>
        </w:rPr>
        <w:t>600 VN shoduje ustanovení §</w:t>
      </w:r>
      <w:r w:rsidR="003627F0">
        <w:rPr>
          <w:sz w:val="24"/>
          <w:szCs w:val="24"/>
        </w:rPr>
        <w:t xml:space="preserve"> </w:t>
      </w:r>
      <w:r w:rsidR="00920A60" w:rsidRPr="00426478">
        <w:rPr>
          <w:sz w:val="24"/>
          <w:szCs w:val="24"/>
        </w:rPr>
        <w:t xml:space="preserve">1661 NOZ. Mezi ustanoveními jsou samozřejmě určité odlišnosti, a to vzhledem k době, ve které byl daný předpis připravován. NOZ se </w:t>
      </w:r>
      <w:r w:rsidR="007131E0">
        <w:rPr>
          <w:sz w:val="24"/>
          <w:szCs w:val="24"/>
        </w:rPr>
        <w:t xml:space="preserve">však </w:t>
      </w:r>
      <w:r w:rsidR="00920A60" w:rsidRPr="00426478">
        <w:rPr>
          <w:sz w:val="24"/>
          <w:szCs w:val="24"/>
        </w:rPr>
        <w:t xml:space="preserve">inspiruje ustanovením VN v tom ohledu, že se jedná o ustanovení upravující započtení na povinný díl potomků zůstavitele, a nadále v tom, že předmětem započtení dle daného ustanovení jsou určitá poskytnutí těmto potomkům ze strany zůstavitele, která jim mají usnadnit vstup do samostatného života. </w:t>
      </w:r>
      <w:r w:rsidR="00FF08CE" w:rsidRPr="00426478">
        <w:rPr>
          <w:sz w:val="24"/>
          <w:szCs w:val="24"/>
        </w:rPr>
        <w:t xml:space="preserve"> O jaká se jedná poskytnutí, to stanovuje VN následovně:</w:t>
      </w:r>
    </w:p>
    <w:p w:rsidR="00FF08CE" w:rsidRPr="00426478" w:rsidRDefault="00FF08CE" w:rsidP="00AE5C96">
      <w:pPr>
        <w:tabs>
          <w:tab w:val="left" w:pos="426"/>
        </w:tabs>
        <w:spacing w:after="0" w:line="360" w:lineRule="auto"/>
        <w:jc w:val="both"/>
        <w:rPr>
          <w:sz w:val="24"/>
          <w:szCs w:val="24"/>
        </w:rPr>
      </w:pPr>
    </w:p>
    <w:p w:rsidR="00FF08CE" w:rsidRPr="00426478" w:rsidRDefault="00FF08CE" w:rsidP="00AE5C96">
      <w:pPr>
        <w:tabs>
          <w:tab w:val="left" w:pos="426"/>
        </w:tabs>
        <w:spacing w:after="0" w:line="360" w:lineRule="auto"/>
        <w:jc w:val="both"/>
        <w:rPr>
          <w:i/>
          <w:sz w:val="24"/>
          <w:szCs w:val="24"/>
        </w:rPr>
      </w:pPr>
      <w:r w:rsidRPr="00426478">
        <w:rPr>
          <w:i/>
          <w:sz w:val="24"/>
          <w:szCs w:val="24"/>
        </w:rPr>
        <w:t>§</w:t>
      </w:r>
      <w:r w:rsidR="003627F0">
        <w:rPr>
          <w:i/>
          <w:sz w:val="24"/>
          <w:szCs w:val="24"/>
        </w:rPr>
        <w:t xml:space="preserve"> </w:t>
      </w:r>
      <w:r w:rsidRPr="00426478">
        <w:rPr>
          <w:i/>
          <w:sz w:val="24"/>
          <w:szCs w:val="24"/>
        </w:rPr>
        <w:t>600</w:t>
      </w:r>
    </w:p>
    <w:p w:rsidR="00FF08CE" w:rsidRPr="00426478" w:rsidRDefault="00FF08CE" w:rsidP="00AE5C96">
      <w:pPr>
        <w:tabs>
          <w:tab w:val="left" w:pos="426"/>
        </w:tabs>
        <w:spacing w:after="0" w:line="360" w:lineRule="auto"/>
        <w:jc w:val="both"/>
        <w:rPr>
          <w:i/>
          <w:sz w:val="24"/>
          <w:szCs w:val="24"/>
        </w:rPr>
      </w:pPr>
      <w:r w:rsidRPr="00426478">
        <w:rPr>
          <w:i/>
          <w:sz w:val="24"/>
          <w:szCs w:val="24"/>
        </w:rPr>
        <w:t>Co zůstavitel za svého života dal dceři nebo vnučce jako přínos; synovi nebo vnuku jako výpravu; nebo svému dítěti přímo k nastoupení živnosti nebo jiného povolání; anebo čeho užil k zaplacení dluhů dítěte, započte se jim na díl povinný. O věnu platí stejně jako o přínosu. Vnukovi se započte na povinný díl i to, co takto dostali rodiče, na jejichž místo vstupuje.</w:t>
      </w:r>
    </w:p>
    <w:p w:rsidR="00FF08CE" w:rsidRPr="00426478" w:rsidRDefault="00FF08CE" w:rsidP="00AE5C96">
      <w:pPr>
        <w:tabs>
          <w:tab w:val="left" w:pos="426"/>
        </w:tabs>
        <w:spacing w:after="0" w:line="360" w:lineRule="auto"/>
        <w:jc w:val="both"/>
        <w:rPr>
          <w:i/>
          <w:sz w:val="24"/>
          <w:szCs w:val="24"/>
        </w:rPr>
      </w:pPr>
    </w:p>
    <w:p w:rsidR="00FF08CE" w:rsidRPr="00426478" w:rsidRDefault="00FF08CE" w:rsidP="00AE5C96">
      <w:pPr>
        <w:tabs>
          <w:tab w:val="left" w:pos="426"/>
        </w:tabs>
        <w:spacing w:after="0" w:line="360" w:lineRule="auto"/>
        <w:ind w:firstLine="567"/>
        <w:jc w:val="both"/>
        <w:rPr>
          <w:sz w:val="24"/>
          <w:szCs w:val="24"/>
        </w:rPr>
      </w:pPr>
      <w:r w:rsidRPr="00426478">
        <w:rPr>
          <w:sz w:val="24"/>
          <w:szCs w:val="24"/>
        </w:rPr>
        <w:t>Ustanovení §</w:t>
      </w:r>
      <w:r w:rsidR="003627F0">
        <w:rPr>
          <w:sz w:val="24"/>
          <w:szCs w:val="24"/>
        </w:rPr>
        <w:t xml:space="preserve"> </w:t>
      </w:r>
      <w:r w:rsidRPr="00426478">
        <w:rPr>
          <w:sz w:val="24"/>
          <w:szCs w:val="24"/>
        </w:rPr>
        <w:t>1661 NOZ se inspiruje zaprvé, jak je zmíněno výše, že se dané započtení týká potomků zůstavitele. Co se týče daných poskytnutí ze strany zůstavitele, řadí sem NOZ to, co zůstavitel dal potomku na úlevu v nákladech spojených se založením samostatné domácnosti, manželského či obdobného soužití, poskytnutí spojená s nástupem povolání či se započetím podnikání, a v neposlední řadě i to, co zůstavitel použil na úhradu dluhů zletilého potomka.</w:t>
      </w:r>
      <w:r w:rsidR="00D21643" w:rsidRPr="00426478">
        <w:rPr>
          <w:rStyle w:val="Znakapoznpodarou"/>
          <w:sz w:val="24"/>
          <w:szCs w:val="24"/>
        </w:rPr>
        <w:footnoteReference w:id="80"/>
      </w:r>
      <w:r w:rsidRPr="00426478">
        <w:rPr>
          <w:sz w:val="24"/>
          <w:szCs w:val="24"/>
        </w:rPr>
        <w:t xml:space="preserve"> </w:t>
      </w:r>
    </w:p>
    <w:p w:rsidR="00FF08CE" w:rsidRPr="00426478" w:rsidRDefault="00FF08CE" w:rsidP="00AE5C96">
      <w:pPr>
        <w:tabs>
          <w:tab w:val="left" w:pos="426"/>
        </w:tabs>
        <w:spacing w:after="0" w:line="360" w:lineRule="auto"/>
        <w:ind w:firstLine="567"/>
        <w:jc w:val="both"/>
        <w:rPr>
          <w:sz w:val="24"/>
          <w:szCs w:val="24"/>
        </w:rPr>
      </w:pPr>
      <w:r w:rsidRPr="00426478">
        <w:rPr>
          <w:sz w:val="24"/>
          <w:szCs w:val="24"/>
        </w:rPr>
        <w:t xml:space="preserve">Je přirozené, že rodič pomáhá svému potomku při výše zmíněných událostech, </w:t>
      </w:r>
      <w:r w:rsidR="00351E63" w:rsidRPr="00426478">
        <w:rPr>
          <w:sz w:val="24"/>
          <w:szCs w:val="24"/>
        </w:rPr>
        <w:t>kdy potomek ještě zpravidla nemá dostatek prostředků k tomu, aby sám mohl začít žít zcela samostatně. Z toho důvodu tedy VN, a dnes i NOZ</w:t>
      </w:r>
      <w:r w:rsidR="006732D0">
        <w:rPr>
          <w:sz w:val="24"/>
          <w:szCs w:val="24"/>
        </w:rPr>
        <w:t>,</w:t>
      </w:r>
      <w:r w:rsidR="00351E63" w:rsidRPr="00426478">
        <w:rPr>
          <w:sz w:val="24"/>
          <w:szCs w:val="24"/>
        </w:rPr>
        <w:t xml:space="preserve"> správně řadí do právní úpravy započtení na povinný díl i tato ustanovení o započtení tzv. poskytnutí do života. Odlišností pouze je, že </w:t>
      </w:r>
      <w:r w:rsidR="00351E63" w:rsidRPr="00426478">
        <w:rPr>
          <w:sz w:val="24"/>
          <w:szCs w:val="24"/>
        </w:rPr>
        <w:lastRenderedPageBreak/>
        <w:t>NOZ dodává v ustanovení §</w:t>
      </w:r>
      <w:r w:rsidR="003627F0">
        <w:rPr>
          <w:sz w:val="24"/>
          <w:szCs w:val="24"/>
        </w:rPr>
        <w:t xml:space="preserve"> </w:t>
      </w:r>
      <w:r w:rsidR="00351E63" w:rsidRPr="00426478">
        <w:rPr>
          <w:sz w:val="24"/>
          <w:szCs w:val="24"/>
        </w:rPr>
        <w:t>1661, že pokud se výše uvedená poskytnutí poskytla dříve než tři roky před zůstavitelovou smrtí, provede se započtení, pokud zůstavitel neprojeví opačnou vůli.</w:t>
      </w:r>
    </w:p>
    <w:p w:rsidR="00351E63" w:rsidRPr="00426478" w:rsidRDefault="00351E63" w:rsidP="00AE5C96">
      <w:pPr>
        <w:tabs>
          <w:tab w:val="left" w:pos="426"/>
        </w:tabs>
        <w:spacing w:after="0" w:line="360" w:lineRule="auto"/>
        <w:ind w:firstLine="567"/>
        <w:jc w:val="both"/>
        <w:rPr>
          <w:sz w:val="24"/>
          <w:szCs w:val="24"/>
        </w:rPr>
      </w:pPr>
      <w:r w:rsidRPr="00426478">
        <w:rPr>
          <w:sz w:val="24"/>
          <w:szCs w:val="24"/>
        </w:rPr>
        <w:t>VN poté obsahuje i ustanovení o započtení na povinný díl ascendentů. Těm se započte vše, co dostali zálohou, pokud nejde o poskytnutí zákonné podpory, nebo poskytnutí ze štědrosti.</w:t>
      </w:r>
      <w:r w:rsidRPr="00426478">
        <w:rPr>
          <w:rStyle w:val="Znakapoznpodarou"/>
          <w:sz w:val="24"/>
          <w:szCs w:val="24"/>
        </w:rPr>
        <w:footnoteReference w:id="81"/>
      </w:r>
      <w:r w:rsidR="003A3201" w:rsidRPr="00426478">
        <w:rPr>
          <w:sz w:val="24"/>
          <w:szCs w:val="24"/>
        </w:rPr>
        <w:t xml:space="preserve"> NOZ přirozeně takové ustanovení nepřebírá, když k nepominutelným dědicům řadí pouze potomky zůstavitele.</w:t>
      </w:r>
      <w:r w:rsidR="00D8772A" w:rsidRPr="00426478">
        <w:rPr>
          <w:sz w:val="24"/>
          <w:szCs w:val="24"/>
        </w:rPr>
        <w:t xml:space="preserve"> </w:t>
      </w:r>
    </w:p>
    <w:p w:rsidR="003E7F4F" w:rsidRPr="00426478" w:rsidRDefault="003E7F4F" w:rsidP="00AE5C96">
      <w:pPr>
        <w:tabs>
          <w:tab w:val="left" w:pos="426"/>
        </w:tabs>
        <w:spacing w:after="0" w:line="360" w:lineRule="auto"/>
        <w:ind w:firstLine="567"/>
        <w:jc w:val="both"/>
        <w:rPr>
          <w:sz w:val="24"/>
          <w:szCs w:val="24"/>
        </w:rPr>
      </w:pPr>
      <w:r w:rsidRPr="00426478">
        <w:rPr>
          <w:sz w:val="24"/>
          <w:szCs w:val="24"/>
        </w:rPr>
        <w:t>Co se týče započtení na dědický podíl</w:t>
      </w:r>
      <w:r w:rsidR="00AB04BA" w:rsidRPr="00426478">
        <w:rPr>
          <w:sz w:val="24"/>
          <w:szCs w:val="24"/>
        </w:rPr>
        <w:t>, i zde se právní úprava obsažená v NOZ odklání od právní úpravy VN. Ustanovení VN stanovují, že započtení na dědický podíl se provede při posloupnosti dle posledního pořízení, pokud tak zůstavitel nařídí, a při posloupnosti zákonné se provede vždy. Výjimkou pouze je, že dle ustanovení §</w:t>
      </w:r>
      <w:r w:rsidR="003627F0">
        <w:rPr>
          <w:sz w:val="24"/>
          <w:szCs w:val="24"/>
        </w:rPr>
        <w:t xml:space="preserve"> </w:t>
      </w:r>
      <w:r w:rsidR="00AB04BA" w:rsidRPr="00426478">
        <w:rPr>
          <w:sz w:val="24"/>
          <w:szCs w:val="24"/>
        </w:rPr>
        <w:t>604 VN mohou rodiče při zákonné posloupnosti započtení prominout. Pro prominutí započtení se vyžaduje forma jako pro poslední pořízení. Tím se VN odlišuje i od právní úpravy ABGB, kde pro prominutí není potřeby formy posledního pořízení ani jiné formy.</w:t>
      </w:r>
      <w:r w:rsidR="00AB04BA" w:rsidRPr="00426478">
        <w:rPr>
          <w:rStyle w:val="Znakapoznpodarou"/>
          <w:sz w:val="24"/>
          <w:szCs w:val="24"/>
        </w:rPr>
        <w:footnoteReference w:id="82"/>
      </w:r>
      <w:r w:rsidR="00DE4938" w:rsidRPr="00426478">
        <w:rPr>
          <w:sz w:val="24"/>
          <w:szCs w:val="24"/>
        </w:rPr>
        <w:t xml:space="preserve"> Ustanovení §</w:t>
      </w:r>
      <w:r w:rsidR="003627F0">
        <w:rPr>
          <w:sz w:val="24"/>
          <w:szCs w:val="24"/>
        </w:rPr>
        <w:t xml:space="preserve"> </w:t>
      </w:r>
      <w:r w:rsidR="00DE4938" w:rsidRPr="00426478">
        <w:rPr>
          <w:sz w:val="24"/>
          <w:szCs w:val="24"/>
        </w:rPr>
        <w:t>1663 NOZ pak stanovuje, že započtení na dědický podíl se provede vždy, tzn. u posloupnosti zákonné i dle závěti, jen přikáže-li tak zůstavitel projevem vůle učiněným ve formě předepsané pro pořízení závěti. Určitý způsob ochrany nepominutelnému dědici pak zajišťuje ustanovení §</w:t>
      </w:r>
      <w:r w:rsidR="003627F0">
        <w:rPr>
          <w:sz w:val="24"/>
          <w:szCs w:val="24"/>
        </w:rPr>
        <w:t xml:space="preserve"> </w:t>
      </w:r>
      <w:r w:rsidR="00DE4938" w:rsidRPr="00426478">
        <w:rPr>
          <w:sz w:val="24"/>
          <w:szCs w:val="24"/>
        </w:rPr>
        <w:t>1664 NOZ, které umožňuje, aby soud provedl započtení, i když to zůstavitel nepřikázal, byl-li by jinak nepominutelný dědic neodůvodněně znevýhodněn. NOZ tak klade větší důraz na autonomii vůle zůstavitele. Ten může o svém majetku pořídit v podstatě libovolně a dědicům, kteří nemají právo na povinný díl, může zanechat podíly z pozůstalosti dle své úvahy. Nelze mu tak bránit, aby rozhodl, jak má být provedeno započtení.</w:t>
      </w:r>
      <w:r w:rsidR="00DE4938" w:rsidRPr="00426478">
        <w:rPr>
          <w:rStyle w:val="Znakapoznpodarou"/>
          <w:sz w:val="24"/>
          <w:szCs w:val="24"/>
        </w:rPr>
        <w:footnoteReference w:id="83"/>
      </w:r>
      <w:r w:rsidR="00DE4938" w:rsidRPr="00426478">
        <w:rPr>
          <w:sz w:val="24"/>
          <w:szCs w:val="24"/>
        </w:rPr>
        <w:t xml:space="preserve"> </w:t>
      </w:r>
    </w:p>
    <w:p w:rsidR="00D351F9" w:rsidRPr="00237D8B" w:rsidRDefault="00D351F9" w:rsidP="00AE5C96">
      <w:pPr>
        <w:pStyle w:val="Nadpis2"/>
        <w:numPr>
          <w:ilvl w:val="1"/>
          <w:numId w:val="1"/>
        </w:numPr>
        <w:spacing w:line="360" w:lineRule="auto"/>
        <w:jc w:val="both"/>
        <w:rPr>
          <w:rFonts w:ascii="Times New Roman" w:hAnsi="Times New Roman" w:cs="Times New Roman"/>
          <w:color w:val="auto"/>
        </w:rPr>
      </w:pPr>
      <w:bookmarkStart w:id="44" w:name="_Toc409631320"/>
      <w:r w:rsidRPr="00237D8B">
        <w:rPr>
          <w:rFonts w:ascii="Times New Roman" w:hAnsi="Times New Roman" w:cs="Times New Roman"/>
          <w:color w:val="auto"/>
        </w:rPr>
        <w:t>Shrnutí</w:t>
      </w:r>
      <w:bookmarkEnd w:id="44"/>
    </w:p>
    <w:p w:rsidR="00725A56" w:rsidRDefault="00D351F9" w:rsidP="00AE5C96">
      <w:pPr>
        <w:tabs>
          <w:tab w:val="left" w:pos="426"/>
        </w:tabs>
        <w:spacing w:after="0" w:line="360" w:lineRule="auto"/>
        <w:ind w:firstLine="567"/>
        <w:jc w:val="both"/>
        <w:rPr>
          <w:sz w:val="24"/>
          <w:szCs w:val="24"/>
        </w:rPr>
      </w:pPr>
      <w:r w:rsidRPr="00426478">
        <w:rPr>
          <w:sz w:val="24"/>
          <w:szCs w:val="24"/>
        </w:rPr>
        <w:t xml:space="preserve">Poslední část diplomové práce se zabývá vybraným institutem dědického práva, a to institutem povinného dílu. NOZ </w:t>
      </w:r>
      <w:r w:rsidR="00725A56">
        <w:rPr>
          <w:sz w:val="24"/>
          <w:szCs w:val="24"/>
        </w:rPr>
        <w:t xml:space="preserve">se </w:t>
      </w:r>
      <w:r w:rsidR="004D6443">
        <w:rPr>
          <w:sz w:val="24"/>
          <w:szCs w:val="24"/>
        </w:rPr>
        <w:t xml:space="preserve">zde </w:t>
      </w:r>
      <w:r w:rsidRPr="00426478">
        <w:rPr>
          <w:sz w:val="24"/>
          <w:szCs w:val="24"/>
        </w:rPr>
        <w:t xml:space="preserve">v mnoha věcech inspiroval právě meziválečnou osnovou občanského zákoníku. Důležitými </w:t>
      </w:r>
      <w:r w:rsidR="00725A56">
        <w:rPr>
          <w:sz w:val="24"/>
          <w:szCs w:val="24"/>
        </w:rPr>
        <w:t xml:space="preserve">jsou </w:t>
      </w:r>
      <w:r w:rsidRPr="00426478">
        <w:rPr>
          <w:sz w:val="24"/>
          <w:szCs w:val="24"/>
        </w:rPr>
        <w:t>zejména ustanovení o podobě a výpočtu povinného dílu (</w:t>
      </w:r>
      <w:r w:rsidR="00725A56">
        <w:rPr>
          <w:sz w:val="24"/>
          <w:szCs w:val="24"/>
        </w:rPr>
        <w:t>například</w:t>
      </w:r>
      <w:r w:rsidRPr="00426478">
        <w:rPr>
          <w:sz w:val="24"/>
          <w:szCs w:val="24"/>
        </w:rPr>
        <w:t>, že nepominutelný dědic má pouze právo na peněžní částku rovnající s</w:t>
      </w:r>
      <w:r w:rsidR="00725A56">
        <w:rPr>
          <w:sz w:val="24"/>
          <w:szCs w:val="24"/>
        </w:rPr>
        <w:t>e hodnotě jeho povinného dílu a</w:t>
      </w:r>
      <w:r w:rsidRPr="00426478">
        <w:rPr>
          <w:sz w:val="24"/>
          <w:szCs w:val="24"/>
        </w:rPr>
        <w:t xml:space="preserve"> má tedy vůči ostatním dědicům a odkazovníkům obligační nárok). </w:t>
      </w:r>
      <w:r w:rsidR="004D6443">
        <w:rPr>
          <w:sz w:val="24"/>
          <w:szCs w:val="24"/>
        </w:rPr>
        <w:t>Viditeln</w:t>
      </w:r>
      <w:r w:rsidRPr="00426478">
        <w:rPr>
          <w:sz w:val="24"/>
          <w:szCs w:val="24"/>
        </w:rPr>
        <w:t xml:space="preserve">á </w:t>
      </w:r>
      <w:r w:rsidR="00725A56">
        <w:rPr>
          <w:sz w:val="24"/>
          <w:szCs w:val="24"/>
        </w:rPr>
        <w:t xml:space="preserve">je i inspirace </w:t>
      </w:r>
      <w:r w:rsidRPr="00426478">
        <w:rPr>
          <w:sz w:val="24"/>
          <w:szCs w:val="24"/>
        </w:rPr>
        <w:t xml:space="preserve">u právní úpravy vydědění </w:t>
      </w:r>
      <w:r w:rsidR="00725A56">
        <w:rPr>
          <w:sz w:val="24"/>
          <w:szCs w:val="24"/>
        </w:rPr>
        <w:t>(</w:t>
      </w:r>
      <w:r w:rsidRPr="00426478">
        <w:rPr>
          <w:sz w:val="24"/>
          <w:szCs w:val="24"/>
        </w:rPr>
        <w:t>možnost vydědit potomka, který je zadlužen nebo si počíná marnotratně</w:t>
      </w:r>
      <w:r w:rsidR="00725A56">
        <w:rPr>
          <w:sz w:val="24"/>
          <w:szCs w:val="24"/>
        </w:rPr>
        <w:t>)</w:t>
      </w:r>
      <w:r w:rsidRPr="00426478">
        <w:rPr>
          <w:sz w:val="24"/>
          <w:szCs w:val="24"/>
        </w:rPr>
        <w:t>. U ochrany nepom</w:t>
      </w:r>
      <w:r w:rsidR="007131E0">
        <w:rPr>
          <w:sz w:val="24"/>
          <w:szCs w:val="24"/>
        </w:rPr>
        <w:t xml:space="preserve">inutelného dědice </w:t>
      </w:r>
      <w:r w:rsidR="007131E0">
        <w:rPr>
          <w:sz w:val="24"/>
          <w:szCs w:val="24"/>
        </w:rPr>
        <w:lastRenderedPageBreak/>
        <w:t xml:space="preserve">je podstatné </w:t>
      </w:r>
      <w:r w:rsidRPr="00426478">
        <w:rPr>
          <w:sz w:val="24"/>
          <w:szCs w:val="24"/>
        </w:rPr>
        <w:t xml:space="preserve">převzetí ustanovení o </w:t>
      </w:r>
      <w:proofErr w:type="spellStart"/>
      <w:r w:rsidRPr="00426478">
        <w:rPr>
          <w:sz w:val="24"/>
          <w:szCs w:val="24"/>
        </w:rPr>
        <w:t>preterici</w:t>
      </w:r>
      <w:proofErr w:type="spellEnd"/>
      <w:r w:rsidRPr="00426478">
        <w:rPr>
          <w:sz w:val="24"/>
          <w:szCs w:val="24"/>
        </w:rPr>
        <w:t xml:space="preserve"> (opomenutí) nepom</w:t>
      </w:r>
      <w:r w:rsidR="00A76876">
        <w:rPr>
          <w:sz w:val="24"/>
          <w:szCs w:val="24"/>
        </w:rPr>
        <w:t>inutelného dědice</w:t>
      </w:r>
      <w:r w:rsidR="00725A56">
        <w:rPr>
          <w:sz w:val="24"/>
          <w:szCs w:val="24"/>
        </w:rPr>
        <w:t xml:space="preserve"> zůstavitelem</w:t>
      </w:r>
      <w:r w:rsidR="00D83DD4">
        <w:rPr>
          <w:sz w:val="24"/>
          <w:szCs w:val="24"/>
        </w:rPr>
        <w:t xml:space="preserve">. </w:t>
      </w:r>
    </w:p>
    <w:p w:rsidR="00D351F9" w:rsidRPr="00426478" w:rsidRDefault="00725A56" w:rsidP="00AE5C96">
      <w:pPr>
        <w:tabs>
          <w:tab w:val="left" w:pos="426"/>
        </w:tabs>
        <w:spacing w:after="0" w:line="360" w:lineRule="auto"/>
        <w:ind w:firstLine="567"/>
        <w:jc w:val="both"/>
        <w:rPr>
          <w:sz w:val="24"/>
          <w:szCs w:val="24"/>
        </w:rPr>
      </w:pPr>
      <w:r>
        <w:rPr>
          <w:sz w:val="24"/>
          <w:szCs w:val="24"/>
        </w:rPr>
        <w:t>N</w:t>
      </w:r>
      <w:r w:rsidR="00D351F9" w:rsidRPr="00426478">
        <w:rPr>
          <w:sz w:val="24"/>
          <w:szCs w:val="24"/>
        </w:rPr>
        <w:t>ejvíce se NOZ odklání od právní úpravy</w:t>
      </w:r>
      <w:r w:rsidR="00F37EB9">
        <w:rPr>
          <w:sz w:val="24"/>
          <w:szCs w:val="24"/>
        </w:rPr>
        <w:t xml:space="preserve"> VN u</w:t>
      </w:r>
      <w:r w:rsidR="00D351F9" w:rsidRPr="00426478">
        <w:rPr>
          <w:sz w:val="24"/>
          <w:szCs w:val="24"/>
        </w:rPr>
        <w:t xml:space="preserve"> započtení. </w:t>
      </w:r>
      <w:r>
        <w:rPr>
          <w:sz w:val="24"/>
          <w:szCs w:val="24"/>
        </w:rPr>
        <w:t>Pouze částečnou i</w:t>
      </w:r>
      <w:r w:rsidR="00FE1789" w:rsidRPr="00426478">
        <w:rPr>
          <w:sz w:val="24"/>
          <w:szCs w:val="24"/>
        </w:rPr>
        <w:t xml:space="preserve">nspirací je VN v případě započtení na povinný díl potomka v souvislosti s poskytnutími do života. </w:t>
      </w:r>
      <w:r w:rsidR="00D83DD4">
        <w:rPr>
          <w:sz w:val="24"/>
          <w:szCs w:val="24"/>
        </w:rPr>
        <w:t>Podstatnou o</w:t>
      </w:r>
      <w:r w:rsidR="00FE1789" w:rsidRPr="00426478">
        <w:rPr>
          <w:sz w:val="24"/>
          <w:szCs w:val="24"/>
        </w:rPr>
        <w:t>dlišností je však problematika odvolání daru pro zkrácení povinného dílu</w:t>
      </w:r>
      <w:r>
        <w:rPr>
          <w:sz w:val="24"/>
          <w:szCs w:val="24"/>
        </w:rPr>
        <w:t>, která s právní úpravou započtení souvisí</w:t>
      </w:r>
      <w:r w:rsidR="00FE1789" w:rsidRPr="00426478">
        <w:rPr>
          <w:sz w:val="24"/>
          <w:szCs w:val="24"/>
        </w:rPr>
        <w:t xml:space="preserve">. </w:t>
      </w:r>
      <w:r>
        <w:rPr>
          <w:sz w:val="24"/>
          <w:szCs w:val="24"/>
        </w:rPr>
        <w:t xml:space="preserve">NOZ ve </w:t>
      </w:r>
      <w:r w:rsidR="00F37EB9">
        <w:rPr>
          <w:sz w:val="24"/>
          <w:szCs w:val="24"/>
        </w:rPr>
        <w:t xml:space="preserve">své </w:t>
      </w:r>
      <w:r>
        <w:rPr>
          <w:sz w:val="24"/>
          <w:szCs w:val="24"/>
        </w:rPr>
        <w:t xml:space="preserve">finální podobě </w:t>
      </w:r>
      <w:r w:rsidR="00FE1789" w:rsidRPr="00426478">
        <w:rPr>
          <w:sz w:val="24"/>
          <w:szCs w:val="24"/>
        </w:rPr>
        <w:t xml:space="preserve">nepřevzal ustanovení o </w:t>
      </w:r>
      <w:r>
        <w:rPr>
          <w:sz w:val="24"/>
          <w:szCs w:val="24"/>
        </w:rPr>
        <w:t>takové možnosti odvolání daru</w:t>
      </w:r>
      <w:r w:rsidR="00FE1789" w:rsidRPr="00426478">
        <w:rPr>
          <w:sz w:val="24"/>
          <w:szCs w:val="24"/>
        </w:rPr>
        <w:t>, čímž je do jisté míry oslabena ochrana nepominutelného dědice, jež byl na svém povinném dílu zkrácen.</w:t>
      </w:r>
    </w:p>
    <w:p w:rsidR="00D474C1" w:rsidRPr="00426478" w:rsidRDefault="00D474C1" w:rsidP="00AE5C96">
      <w:pPr>
        <w:tabs>
          <w:tab w:val="left" w:pos="426"/>
        </w:tabs>
        <w:jc w:val="both"/>
        <w:rPr>
          <w:sz w:val="24"/>
          <w:szCs w:val="24"/>
        </w:rPr>
      </w:pPr>
    </w:p>
    <w:p w:rsidR="00362DF8" w:rsidRPr="00426478" w:rsidRDefault="00362DF8" w:rsidP="00AE5C96">
      <w:pPr>
        <w:tabs>
          <w:tab w:val="left" w:pos="426"/>
        </w:tabs>
        <w:spacing w:after="0" w:line="360" w:lineRule="auto"/>
        <w:jc w:val="both"/>
        <w:rPr>
          <w:sz w:val="24"/>
          <w:szCs w:val="24"/>
        </w:rPr>
      </w:pPr>
      <w:r w:rsidRPr="00426478">
        <w:rPr>
          <w:sz w:val="24"/>
          <w:szCs w:val="24"/>
        </w:rPr>
        <w:tab/>
        <w:t xml:space="preserve"> </w:t>
      </w:r>
    </w:p>
    <w:p w:rsidR="00C1509D" w:rsidRDefault="00C1509D" w:rsidP="00AE5C96">
      <w:pPr>
        <w:jc w:val="both"/>
        <w:rPr>
          <w:sz w:val="24"/>
          <w:szCs w:val="24"/>
        </w:rPr>
      </w:pPr>
      <w:r>
        <w:rPr>
          <w:sz w:val="24"/>
          <w:szCs w:val="24"/>
        </w:rPr>
        <w:br w:type="page"/>
      </w:r>
    </w:p>
    <w:p w:rsidR="008E6885" w:rsidRDefault="00C1509D" w:rsidP="00AE5C96">
      <w:pPr>
        <w:pStyle w:val="Nadpis1"/>
        <w:spacing w:line="360" w:lineRule="auto"/>
        <w:jc w:val="both"/>
        <w:rPr>
          <w:rFonts w:ascii="Times New Roman" w:hAnsi="Times New Roman" w:cs="Times New Roman"/>
          <w:color w:val="auto"/>
        </w:rPr>
      </w:pPr>
      <w:bookmarkStart w:id="45" w:name="_Toc409631321"/>
      <w:r w:rsidRPr="00237D8B">
        <w:rPr>
          <w:rFonts w:ascii="Times New Roman" w:hAnsi="Times New Roman" w:cs="Times New Roman"/>
          <w:color w:val="auto"/>
        </w:rPr>
        <w:lastRenderedPageBreak/>
        <w:t>Z</w:t>
      </w:r>
      <w:r w:rsidR="00F131EC">
        <w:rPr>
          <w:rFonts w:ascii="Times New Roman" w:hAnsi="Times New Roman" w:cs="Times New Roman"/>
          <w:color w:val="auto"/>
        </w:rPr>
        <w:t>ávěr</w:t>
      </w:r>
      <w:bookmarkEnd w:id="45"/>
    </w:p>
    <w:p w:rsidR="006A319E" w:rsidRDefault="000506BC" w:rsidP="00AE5C96">
      <w:pPr>
        <w:spacing w:after="0" w:line="360" w:lineRule="auto"/>
        <w:ind w:firstLine="567"/>
        <w:jc w:val="both"/>
        <w:rPr>
          <w:sz w:val="24"/>
        </w:rPr>
      </w:pPr>
      <w:r>
        <w:rPr>
          <w:sz w:val="24"/>
        </w:rPr>
        <w:t xml:space="preserve">Diplomová práce </w:t>
      </w:r>
      <w:r w:rsidR="005D13E6">
        <w:rPr>
          <w:sz w:val="24"/>
        </w:rPr>
        <w:t>řešila otázku</w:t>
      </w:r>
      <w:r w:rsidR="00550B89">
        <w:rPr>
          <w:sz w:val="24"/>
        </w:rPr>
        <w:t>, do jaké míry</w:t>
      </w:r>
      <w:r w:rsidR="005D13E6">
        <w:rPr>
          <w:sz w:val="24"/>
        </w:rPr>
        <w:t xml:space="preserve"> je</w:t>
      </w:r>
      <w:r w:rsidR="00550B89">
        <w:rPr>
          <w:sz w:val="24"/>
        </w:rPr>
        <w:t xml:space="preserve"> úprava dědického práva v novém o</w:t>
      </w:r>
      <w:r w:rsidR="005D13E6">
        <w:rPr>
          <w:sz w:val="24"/>
        </w:rPr>
        <w:t>bčanském zákoníku</w:t>
      </w:r>
      <w:r w:rsidR="00550B89">
        <w:rPr>
          <w:sz w:val="24"/>
        </w:rPr>
        <w:t xml:space="preserve"> inspirována meziválečnou </w:t>
      </w:r>
      <w:proofErr w:type="spellStart"/>
      <w:r w:rsidR="00550B89">
        <w:rPr>
          <w:sz w:val="24"/>
        </w:rPr>
        <w:t>rekodifikací</w:t>
      </w:r>
      <w:proofErr w:type="spellEnd"/>
      <w:r w:rsidR="00550B89">
        <w:rPr>
          <w:sz w:val="24"/>
        </w:rPr>
        <w:t>.</w:t>
      </w:r>
    </w:p>
    <w:p w:rsidR="00160457" w:rsidRDefault="00457450" w:rsidP="00AE5C96">
      <w:pPr>
        <w:spacing w:after="0" w:line="360" w:lineRule="auto"/>
        <w:ind w:firstLine="567"/>
        <w:jc w:val="both"/>
        <w:rPr>
          <w:sz w:val="24"/>
        </w:rPr>
      </w:pPr>
      <w:r>
        <w:rPr>
          <w:sz w:val="24"/>
        </w:rPr>
        <w:t>První</w:t>
      </w:r>
      <w:r w:rsidR="006901FC">
        <w:rPr>
          <w:sz w:val="24"/>
        </w:rPr>
        <w:t xml:space="preserve"> </w:t>
      </w:r>
      <w:r w:rsidR="00550B89">
        <w:rPr>
          <w:sz w:val="24"/>
        </w:rPr>
        <w:t xml:space="preserve">a druhá </w:t>
      </w:r>
      <w:r w:rsidR="006901FC">
        <w:rPr>
          <w:sz w:val="24"/>
        </w:rPr>
        <w:t>kapitol</w:t>
      </w:r>
      <w:r w:rsidR="00E5419A">
        <w:rPr>
          <w:sz w:val="24"/>
        </w:rPr>
        <w:t xml:space="preserve">a </w:t>
      </w:r>
      <w:r w:rsidR="00550B89">
        <w:rPr>
          <w:sz w:val="24"/>
        </w:rPr>
        <w:t>byly věnovány</w:t>
      </w:r>
      <w:r>
        <w:rPr>
          <w:sz w:val="24"/>
        </w:rPr>
        <w:t xml:space="preserve"> </w:t>
      </w:r>
      <w:r w:rsidR="006901FC">
        <w:rPr>
          <w:sz w:val="24"/>
        </w:rPr>
        <w:t>inspiračn</w:t>
      </w:r>
      <w:r>
        <w:rPr>
          <w:sz w:val="24"/>
        </w:rPr>
        <w:t>í</w:t>
      </w:r>
      <w:r w:rsidR="00550B89">
        <w:rPr>
          <w:sz w:val="24"/>
        </w:rPr>
        <w:t>m</w:t>
      </w:r>
      <w:r>
        <w:rPr>
          <w:sz w:val="24"/>
        </w:rPr>
        <w:t xml:space="preserve"> zdroj</w:t>
      </w:r>
      <w:r w:rsidR="00550B89">
        <w:rPr>
          <w:sz w:val="24"/>
        </w:rPr>
        <w:t xml:space="preserve">ům nové </w:t>
      </w:r>
      <w:proofErr w:type="spellStart"/>
      <w:r w:rsidR="00550B89">
        <w:rPr>
          <w:sz w:val="24"/>
        </w:rPr>
        <w:t>rekodifikace</w:t>
      </w:r>
      <w:proofErr w:type="spellEnd"/>
      <w:r>
        <w:rPr>
          <w:sz w:val="24"/>
        </w:rPr>
        <w:t xml:space="preserve"> (včetně zamyšlení nad samotným pojmem</w:t>
      </w:r>
      <w:r w:rsidR="000145B8">
        <w:rPr>
          <w:sz w:val="24"/>
        </w:rPr>
        <w:t>)</w:t>
      </w:r>
      <w:r w:rsidR="00550B89">
        <w:rPr>
          <w:sz w:val="24"/>
        </w:rPr>
        <w:t xml:space="preserve"> a genezi meziválečné </w:t>
      </w:r>
      <w:proofErr w:type="spellStart"/>
      <w:r w:rsidR="00550B89">
        <w:rPr>
          <w:sz w:val="24"/>
        </w:rPr>
        <w:t>rekodifikace</w:t>
      </w:r>
      <w:proofErr w:type="spellEnd"/>
      <w:r w:rsidR="00550B89">
        <w:rPr>
          <w:sz w:val="24"/>
        </w:rPr>
        <w:t xml:space="preserve"> jako hlavního inspiračního zdroje nového dědického práva. </w:t>
      </w:r>
    </w:p>
    <w:p w:rsidR="004C529E" w:rsidRDefault="00457450" w:rsidP="00AE5C96">
      <w:pPr>
        <w:spacing w:after="0" w:line="360" w:lineRule="auto"/>
        <w:ind w:firstLine="567"/>
        <w:jc w:val="both"/>
        <w:rPr>
          <w:sz w:val="24"/>
        </w:rPr>
      </w:pPr>
      <w:r>
        <w:rPr>
          <w:sz w:val="24"/>
        </w:rPr>
        <w:t xml:space="preserve">Třetí </w:t>
      </w:r>
      <w:r w:rsidR="00550B89">
        <w:rPr>
          <w:sz w:val="24"/>
        </w:rPr>
        <w:t>a čtvrtá kapitola byly zpracovány komparativní metodou. Ve třetí kapitole byla srovnávána ustanovení vládního návrhu a nového občanského zákoníku (za základ byla vzata systematika vládního návrhu).</w:t>
      </w:r>
      <w:r w:rsidR="00247AF4">
        <w:rPr>
          <w:sz w:val="24"/>
        </w:rPr>
        <w:t xml:space="preserve"> </w:t>
      </w:r>
      <w:r>
        <w:rPr>
          <w:sz w:val="24"/>
        </w:rPr>
        <w:t>K</w:t>
      </w:r>
      <w:r w:rsidR="00247AF4">
        <w:rPr>
          <w:sz w:val="24"/>
        </w:rPr>
        <w:t>ažd</w:t>
      </w:r>
      <w:r>
        <w:rPr>
          <w:sz w:val="24"/>
        </w:rPr>
        <w:t>á podkapitola</w:t>
      </w:r>
      <w:r w:rsidR="00247AF4">
        <w:rPr>
          <w:sz w:val="24"/>
        </w:rPr>
        <w:t xml:space="preserve"> </w:t>
      </w:r>
      <w:r w:rsidR="00CA11F8">
        <w:rPr>
          <w:sz w:val="24"/>
        </w:rPr>
        <w:t>byl</w:t>
      </w:r>
      <w:r>
        <w:rPr>
          <w:sz w:val="24"/>
        </w:rPr>
        <w:t>a</w:t>
      </w:r>
      <w:r w:rsidR="00CA11F8">
        <w:rPr>
          <w:sz w:val="24"/>
        </w:rPr>
        <w:t xml:space="preserve"> u</w:t>
      </w:r>
      <w:r>
        <w:rPr>
          <w:sz w:val="24"/>
        </w:rPr>
        <w:t>končena</w:t>
      </w:r>
      <w:r w:rsidR="00247AF4">
        <w:rPr>
          <w:sz w:val="24"/>
        </w:rPr>
        <w:t xml:space="preserve"> přehled</w:t>
      </w:r>
      <w:r>
        <w:rPr>
          <w:sz w:val="24"/>
        </w:rPr>
        <w:t>ovou</w:t>
      </w:r>
      <w:r w:rsidR="00247AF4">
        <w:rPr>
          <w:sz w:val="24"/>
        </w:rPr>
        <w:t xml:space="preserve"> tabulk</w:t>
      </w:r>
      <w:r>
        <w:rPr>
          <w:sz w:val="24"/>
        </w:rPr>
        <w:t>ou</w:t>
      </w:r>
      <w:r w:rsidR="00247AF4">
        <w:rPr>
          <w:sz w:val="24"/>
        </w:rPr>
        <w:t xml:space="preserve">. </w:t>
      </w:r>
      <w:r w:rsidR="00064222">
        <w:rPr>
          <w:sz w:val="24"/>
        </w:rPr>
        <w:t xml:space="preserve">Zvolená metoda </w:t>
      </w:r>
      <w:r w:rsidR="00A06317">
        <w:rPr>
          <w:sz w:val="24"/>
        </w:rPr>
        <w:t xml:space="preserve">srovnávání </w:t>
      </w:r>
      <w:r w:rsidR="00064222">
        <w:rPr>
          <w:sz w:val="24"/>
        </w:rPr>
        <w:t>vycházela z obsahových hledisek a byla blíže představena na několika konkrétních příkladech v podkapitole 3.12. Ve čtvrté kapitole byla speciální pozornost věnována problematice povinného dílu.</w:t>
      </w:r>
    </w:p>
    <w:p w:rsidR="00D03FBE" w:rsidRDefault="00064222" w:rsidP="00AE5C96">
      <w:pPr>
        <w:spacing w:after="0" w:line="360" w:lineRule="auto"/>
        <w:ind w:firstLine="567"/>
        <w:jc w:val="both"/>
        <w:rPr>
          <w:sz w:val="24"/>
        </w:rPr>
      </w:pPr>
      <w:r>
        <w:rPr>
          <w:sz w:val="24"/>
        </w:rPr>
        <w:t>Diplomová práce</w:t>
      </w:r>
      <w:r w:rsidR="003E4875">
        <w:rPr>
          <w:sz w:val="24"/>
        </w:rPr>
        <w:t xml:space="preserve"> </w:t>
      </w:r>
      <w:r w:rsidR="009F18A7">
        <w:rPr>
          <w:sz w:val="24"/>
        </w:rPr>
        <w:t>dospěla k</w:t>
      </w:r>
      <w:r>
        <w:rPr>
          <w:sz w:val="24"/>
        </w:rPr>
        <w:t>e</w:t>
      </w:r>
      <w:r w:rsidR="009F18A7">
        <w:rPr>
          <w:sz w:val="24"/>
        </w:rPr>
        <w:t> </w:t>
      </w:r>
      <w:r>
        <w:rPr>
          <w:sz w:val="24"/>
        </w:rPr>
        <w:t>zjištění</w:t>
      </w:r>
      <w:r w:rsidR="009F18A7">
        <w:rPr>
          <w:sz w:val="24"/>
        </w:rPr>
        <w:t xml:space="preserve">, že 78 </w:t>
      </w:r>
      <w:r w:rsidR="00D40E64">
        <w:rPr>
          <w:sz w:val="24"/>
        </w:rPr>
        <w:t xml:space="preserve">% </w:t>
      </w:r>
      <w:r>
        <w:rPr>
          <w:sz w:val="24"/>
        </w:rPr>
        <w:t xml:space="preserve">dědicko-právních </w:t>
      </w:r>
      <w:r w:rsidR="00D40E64">
        <w:rPr>
          <w:sz w:val="24"/>
        </w:rPr>
        <w:t xml:space="preserve">ustanovení </w:t>
      </w:r>
      <w:r w:rsidR="00C100FF">
        <w:rPr>
          <w:sz w:val="24"/>
        </w:rPr>
        <w:t>NOZ</w:t>
      </w:r>
      <w:r w:rsidR="00D40E64">
        <w:rPr>
          <w:sz w:val="24"/>
        </w:rPr>
        <w:t xml:space="preserve"> se obsahově shoduje s ustanoveními </w:t>
      </w:r>
      <w:r w:rsidR="00C100FF">
        <w:rPr>
          <w:sz w:val="24"/>
        </w:rPr>
        <w:t>VN</w:t>
      </w:r>
      <w:r w:rsidR="00D40E64">
        <w:rPr>
          <w:sz w:val="24"/>
        </w:rPr>
        <w:t xml:space="preserve">. </w:t>
      </w:r>
      <w:r>
        <w:rPr>
          <w:sz w:val="24"/>
        </w:rPr>
        <w:t xml:space="preserve">Jedná se samozřejmě o údaj do </w:t>
      </w:r>
      <w:r w:rsidR="00C11BB0">
        <w:rPr>
          <w:sz w:val="24"/>
        </w:rPr>
        <w:t>jis</w:t>
      </w:r>
      <w:r>
        <w:rPr>
          <w:sz w:val="24"/>
        </w:rPr>
        <w:t>té míry subjektivní, ovlivněný zvolenou metodou i vlastním hodnocením shodnosti, ovšem má svou vypovídající hodnotu a v odborné literatuře se jedná o dosud ojedinělé zjištění.</w:t>
      </w:r>
    </w:p>
    <w:p w:rsidR="00D20773" w:rsidRDefault="00064222" w:rsidP="00AE5C96">
      <w:pPr>
        <w:spacing w:after="0" w:line="360" w:lineRule="auto"/>
        <w:ind w:firstLine="567"/>
        <w:jc w:val="both"/>
        <w:rPr>
          <w:sz w:val="24"/>
        </w:rPr>
      </w:pPr>
      <w:r>
        <w:rPr>
          <w:sz w:val="24"/>
        </w:rPr>
        <w:t xml:space="preserve">Z provedeného </w:t>
      </w:r>
      <w:r w:rsidR="00C11BB0">
        <w:rPr>
          <w:sz w:val="24"/>
        </w:rPr>
        <w:t>srovná</w:t>
      </w:r>
      <w:r>
        <w:rPr>
          <w:sz w:val="24"/>
        </w:rPr>
        <w:t>ní vyplývá, že nej</w:t>
      </w:r>
      <w:r w:rsidR="00744E25">
        <w:rPr>
          <w:sz w:val="24"/>
        </w:rPr>
        <w:t>výrazněji byly vládním návrhem inspirovány</w:t>
      </w:r>
      <w:r w:rsidR="00D20773">
        <w:rPr>
          <w:sz w:val="24"/>
        </w:rPr>
        <w:t xml:space="preserve"> institut</w:t>
      </w:r>
      <w:r w:rsidR="00744E25">
        <w:rPr>
          <w:sz w:val="24"/>
        </w:rPr>
        <w:t>y</w:t>
      </w:r>
      <w:r w:rsidR="00D20773">
        <w:rPr>
          <w:sz w:val="24"/>
        </w:rPr>
        <w:t xml:space="preserve"> odkazu, odpovědnosti dědiců za dluhy zůstavit</w:t>
      </w:r>
      <w:r w:rsidR="00744E25">
        <w:rPr>
          <w:sz w:val="24"/>
        </w:rPr>
        <w:t>ele či zcizení dědictví, které jsou ve srovnání s dosavadní právní úpravou buď zcela nové (odkaz) nebo výrazně změněné (odpovědnost za dluhy).</w:t>
      </w:r>
      <w:r w:rsidR="00336061">
        <w:rPr>
          <w:sz w:val="24"/>
        </w:rPr>
        <w:t xml:space="preserve"> </w:t>
      </w:r>
    </w:p>
    <w:p w:rsidR="00744E25" w:rsidRDefault="00EF218A" w:rsidP="00AE5C96">
      <w:pPr>
        <w:spacing w:after="0" w:line="360" w:lineRule="auto"/>
        <w:ind w:firstLine="567"/>
        <w:jc w:val="both"/>
        <w:rPr>
          <w:sz w:val="24"/>
        </w:rPr>
      </w:pPr>
      <w:r>
        <w:rPr>
          <w:sz w:val="24"/>
        </w:rPr>
        <w:t xml:space="preserve">Největší </w:t>
      </w:r>
      <w:r w:rsidR="00744E25">
        <w:rPr>
          <w:sz w:val="24"/>
        </w:rPr>
        <w:t>odchýlení od česko-rakouské tradice můžeme naopak sledovat u nabytí dědictví (nebyl převzat institut</w:t>
      </w:r>
      <w:r w:rsidR="00336061">
        <w:rPr>
          <w:sz w:val="24"/>
        </w:rPr>
        <w:t xml:space="preserve"> ležící pozůstalosti</w:t>
      </w:r>
      <w:r w:rsidR="00744E25">
        <w:rPr>
          <w:sz w:val="24"/>
        </w:rPr>
        <w:t>)</w:t>
      </w:r>
      <w:r w:rsidR="00336061">
        <w:rPr>
          <w:sz w:val="24"/>
        </w:rPr>
        <w:t xml:space="preserve">, </w:t>
      </w:r>
      <w:r w:rsidR="009F52C3">
        <w:rPr>
          <w:sz w:val="24"/>
        </w:rPr>
        <w:t>dědické smlouvy</w:t>
      </w:r>
      <w:r w:rsidR="00744E25">
        <w:rPr>
          <w:sz w:val="24"/>
        </w:rPr>
        <w:t xml:space="preserve"> (dříve ji bylo možné uzavřít jen mezi manžely)</w:t>
      </w:r>
      <w:r w:rsidR="009F52C3">
        <w:rPr>
          <w:sz w:val="24"/>
        </w:rPr>
        <w:t xml:space="preserve"> </w:t>
      </w:r>
      <w:r w:rsidR="00336061">
        <w:rPr>
          <w:sz w:val="24"/>
        </w:rPr>
        <w:t xml:space="preserve">nebo </w:t>
      </w:r>
      <w:r w:rsidR="009F52C3">
        <w:rPr>
          <w:sz w:val="24"/>
        </w:rPr>
        <w:t>nepominutelných dědiců</w:t>
      </w:r>
      <w:r w:rsidR="00744E25">
        <w:rPr>
          <w:sz w:val="24"/>
        </w:rPr>
        <w:t xml:space="preserve"> (nejsou k nim řazeni předci</w:t>
      </w:r>
      <w:r w:rsidR="00C11BB0">
        <w:rPr>
          <w:sz w:val="24"/>
        </w:rPr>
        <w:t>, je omezena kolace</w:t>
      </w:r>
      <w:r w:rsidR="00744E25">
        <w:rPr>
          <w:sz w:val="24"/>
        </w:rPr>
        <w:t>). To, že se NOZ ne</w:t>
      </w:r>
      <w:r w:rsidR="009F52C3">
        <w:rPr>
          <w:sz w:val="24"/>
        </w:rPr>
        <w:t>vrací k institutu ležící pozůstalosti, lze považovat urč</w:t>
      </w:r>
      <w:r w:rsidR="00AF21D2">
        <w:rPr>
          <w:sz w:val="24"/>
        </w:rPr>
        <w:t>itě za správné</w:t>
      </w:r>
      <w:r w:rsidR="009D6B09">
        <w:rPr>
          <w:sz w:val="24"/>
        </w:rPr>
        <w:t>.</w:t>
      </w:r>
      <w:r w:rsidR="00AF21D2">
        <w:rPr>
          <w:sz w:val="24"/>
        </w:rPr>
        <w:t xml:space="preserve"> </w:t>
      </w:r>
      <w:r w:rsidR="009D6B09">
        <w:rPr>
          <w:sz w:val="24"/>
        </w:rPr>
        <w:t>Zakotvení vzniku</w:t>
      </w:r>
      <w:r w:rsidR="009F52C3">
        <w:rPr>
          <w:sz w:val="24"/>
        </w:rPr>
        <w:t xml:space="preserve"> dědického práva okamžikem smrti zůstavitele</w:t>
      </w:r>
      <w:r w:rsidR="009D6B09">
        <w:rPr>
          <w:sz w:val="24"/>
        </w:rPr>
        <w:t xml:space="preserve"> je vhodnější i s ohledem na moderní právní úpravy</w:t>
      </w:r>
      <w:r w:rsidR="00744E25">
        <w:rPr>
          <w:sz w:val="24"/>
        </w:rPr>
        <w:t xml:space="preserve">. </w:t>
      </w:r>
      <w:r w:rsidR="00C11BB0">
        <w:rPr>
          <w:sz w:val="24"/>
        </w:rPr>
        <w:t>Také</w:t>
      </w:r>
      <w:r w:rsidR="00744E25">
        <w:rPr>
          <w:sz w:val="24"/>
        </w:rPr>
        <w:t xml:space="preserve"> rozšíření možností</w:t>
      </w:r>
      <w:r w:rsidR="009F52C3">
        <w:rPr>
          <w:sz w:val="24"/>
        </w:rPr>
        <w:t xml:space="preserve"> uzavří</w:t>
      </w:r>
      <w:r w:rsidR="00744E25">
        <w:rPr>
          <w:sz w:val="24"/>
        </w:rPr>
        <w:t xml:space="preserve">t dědickou </w:t>
      </w:r>
      <w:r w:rsidR="009F52C3">
        <w:rPr>
          <w:sz w:val="24"/>
        </w:rPr>
        <w:t>smlouv</w:t>
      </w:r>
      <w:r w:rsidR="00744E25">
        <w:rPr>
          <w:sz w:val="24"/>
        </w:rPr>
        <w:t>u</w:t>
      </w:r>
      <w:r w:rsidR="009F52C3">
        <w:rPr>
          <w:sz w:val="24"/>
        </w:rPr>
        <w:t xml:space="preserve"> a </w:t>
      </w:r>
      <w:r w:rsidR="00CA223E">
        <w:rPr>
          <w:sz w:val="24"/>
        </w:rPr>
        <w:t>související</w:t>
      </w:r>
      <w:r w:rsidR="009F52C3">
        <w:rPr>
          <w:sz w:val="24"/>
        </w:rPr>
        <w:t xml:space="preserve"> posílení</w:t>
      </w:r>
      <w:r w:rsidR="00CA223E">
        <w:rPr>
          <w:sz w:val="24"/>
        </w:rPr>
        <w:t xml:space="preserve"> autonomie zůstavitelovy vůle lze hodnotit </w:t>
      </w:r>
      <w:r w:rsidR="00C11BB0">
        <w:rPr>
          <w:sz w:val="24"/>
        </w:rPr>
        <w:t>pozitivně</w:t>
      </w:r>
      <w:r w:rsidR="009F52C3">
        <w:rPr>
          <w:sz w:val="24"/>
        </w:rPr>
        <w:t xml:space="preserve">. </w:t>
      </w:r>
      <w:r w:rsidR="00C11BB0">
        <w:rPr>
          <w:sz w:val="24"/>
        </w:rPr>
        <w:t>Naopak ochrana nepominutelných dědiců se jeví jako problematická (zejména s ohledem na kolaci).</w:t>
      </w:r>
    </w:p>
    <w:p w:rsidR="00800FAA" w:rsidRDefault="00744E25" w:rsidP="00AE5C96">
      <w:pPr>
        <w:spacing w:after="0" w:line="360" w:lineRule="auto"/>
        <w:ind w:firstLine="567"/>
        <w:jc w:val="both"/>
        <w:rPr>
          <w:sz w:val="24"/>
        </w:rPr>
      </w:pPr>
      <w:r>
        <w:rPr>
          <w:sz w:val="24"/>
        </w:rPr>
        <w:t xml:space="preserve">Ze srovnání je zřejmé, že se meziválečná </w:t>
      </w:r>
      <w:proofErr w:type="spellStart"/>
      <w:r>
        <w:rPr>
          <w:sz w:val="24"/>
        </w:rPr>
        <w:t>rekodifikace</w:t>
      </w:r>
      <w:proofErr w:type="spellEnd"/>
      <w:r>
        <w:rPr>
          <w:sz w:val="24"/>
        </w:rPr>
        <w:t xml:space="preserve"> sice stala hlavním inspiračním zdrojem </w:t>
      </w:r>
      <w:r w:rsidR="00D97FF5">
        <w:rPr>
          <w:sz w:val="24"/>
        </w:rPr>
        <w:t xml:space="preserve">nového dědického práva, ale že se v některých otázkách od česko-rakouské tradice odchýlila. V některých otázkách se nový občanský zákoník přidržel dosavadního práva (zvl. u nabytí dědictví smrtí zůstavitele), v jiných se nechal inspirovat cizími </w:t>
      </w:r>
      <w:r w:rsidR="00336061">
        <w:rPr>
          <w:sz w:val="24"/>
        </w:rPr>
        <w:t>inspiračními zdroji,</w:t>
      </w:r>
      <w:r w:rsidR="00D97FF5">
        <w:rPr>
          <w:sz w:val="24"/>
        </w:rPr>
        <w:t xml:space="preserve"> zejména moderními zahraničními úpravami (např. švýcarským občanským zákoníkem u </w:t>
      </w:r>
      <w:r w:rsidR="00D97FF5">
        <w:rPr>
          <w:sz w:val="24"/>
        </w:rPr>
        <w:lastRenderedPageBreak/>
        <w:t xml:space="preserve">dědické smlouvy), výjimečně historickými (zvl. římskoprávní </w:t>
      </w:r>
      <w:proofErr w:type="spellStart"/>
      <w:r w:rsidR="00D97FF5">
        <w:rPr>
          <w:sz w:val="24"/>
        </w:rPr>
        <w:t>falcidiánskou</w:t>
      </w:r>
      <w:proofErr w:type="spellEnd"/>
      <w:r w:rsidR="00D97FF5">
        <w:rPr>
          <w:sz w:val="24"/>
        </w:rPr>
        <w:t xml:space="preserve"> kvartou). Nesmíme pominout ani vlastní autorský vklad </w:t>
      </w:r>
      <w:proofErr w:type="spellStart"/>
      <w:r w:rsidR="00D97FF5">
        <w:rPr>
          <w:sz w:val="24"/>
        </w:rPr>
        <w:t>rekodifikační</w:t>
      </w:r>
      <w:proofErr w:type="spellEnd"/>
      <w:r w:rsidR="00D97FF5">
        <w:rPr>
          <w:sz w:val="24"/>
        </w:rPr>
        <w:t xml:space="preserve"> komise, který však v některých případech pouze rozvíjí myšlenky meziválečné právní vědy.</w:t>
      </w:r>
    </w:p>
    <w:p w:rsidR="008D1232" w:rsidRDefault="00800FAA" w:rsidP="00AE5C96">
      <w:pPr>
        <w:spacing w:after="0" w:line="360" w:lineRule="auto"/>
        <w:jc w:val="both"/>
        <w:rPr>
          <w:sz w:val="24"/>
        </w:rPr>
      </w:pPr>
      <w:r>
        <w:rPr>
          <w:sz w:val="24"/>
        </w:rPr>
        <w:tab/>
      </w:r>
      <w:r w:rsidR="00B12165">
        <w:rPr>
          <w:sz w:val="24"/>
        </w:rPr>
        <w:t xml:space="preserve">Podrobné zmapování všech inspiračních zdrojů nového dědického práva </w:t>
      </w:r>
      <w:r w:rsidR="00FE7957">
        <w:rPr>
          <w:sz w:val="24"/>
        </w:rPr>
        <w:t xml:space="preserve">úkolem, který přesahuje rámec diplomové práce. </w:t>
      </w:r>
      <w:r w:rsidR="00D97FF5">
        <w:rPr>
          <w:sz w:val="24"/>
        </w:rPr>
        <w:t>Touto problematikou bych se však ráda zabývala v rámci případné rigorózní práce.</w:t>
      </w:r>
    </w:p>
    <w:p w:rsidR="00574FF4" w:rsidRDefault="00514F9A" w:rsidP="00AE5C96">
      <w:pPr>
        <w:jc w:val="both"/>
        <w:rPr>
          <w:sz w:val="24"/>
        </w:rPr>
      </w:pPr>
      <w:r>
        <w:rPr>
          <w:sz w:val="24"/>
        </w:rPr>
        <w:tab/>
      </w:r>
      <w:r w:rsidR="00574FF4">
        <w:rPr>
          <w:sz w:val="24"/>
        </w:rPr>
        <w:br w:type="page"/>
      </w:r>
    </w:p>
    <w:p w:rsidR="00D40E64" w:rsidRDefault="00574FF4" w:rsidP="00AE5C96">
      <w:pPr>
        <w:pStyle w:val="Nadpis1"/>
        <w:spacing w:line="360" w:lineRule="auto"/>
        <w:jc w:val="both"/>
        <w:rPr>
          <w:rFonts w:ascii="Times New Roman" w:hAnsi="Times New Roman" w:cs="Times New Roman"/>
          <w:color w:val="auto"/>
        </w:rPr>
      </w:pPr>
      <w:bookmarkStart w:id="46" w:name="_Toc409631322"/>
      <w:r>
        <w:rPr>
          <w:rFonts w:ascii="Times New Roman" w:hAnsi="Times New Roman" w:cs="Times New Roman"/>
          <w:color w:val="auto"/>
        </w:rPr>
        <w:lastRenderedPageBreak/>
        <w:t>B</w:t>
      </w:r>
      <w:r w:rsidR="00F131EC">
        <w:rPr>
          <w:rFonts w:ascii="Times New Roman" w:hAnsi="Times New Roman" w:cs="Times New Roman"/>
          <w:color w:val="auto"/>
        </w:rPr>
        <w:t>ibliografie</w:t>
      </w:r>
      <w:bookmarkEnd w:id="46"/>
    </w:p>
    <w:p w:rsidR="00445E5E" w:rsidRPr="00445E5E" w:rsidRDefault="00445E5E" w:rsidP="00AE5C96">
      <w:pPr>
        <w:jc w:val="both"/>
      </w:pPr>
    </w:p>
    <w:p w:rsidR="0056023C" w:rsidRDefault="0056023C" w:rsidP="00AE5C96">
      <w:pPr>
        <w:jc w:val="both"/>
        <w:rPr>
          <w:b/>
          <w:sz w:val="24"/>
        </w:rPr>
      </w:pPr>
      <w:r>
        <w:rPr>
          <w:b/>
          <w:sz w:val="24"/>
        </w:rPr>
        <w:t>Monografie, učebnice a komentáře:</w:t>
      </w:r>
    </w:p>
    <w:p w:rsidR="002015B2" w:rsidRDefault="0056023C" w:rsidP="00AE5C96">
      <w:pPr>
        <w:pStyle w:val="Odstavecseseznamem"/>
        <w:numPr>
          <w:ilvl w:val="0"/>
          <w:numId w:val="5"/>
        </w:numPr>
        <w:spacing w:line="360" w:lineRule="auto"/>
        <w:ind w:left="426" w:hanging="426"/>
        <w:jc w:val="both"/>
        <w:rPr>
          <w:sz w:val="24"/>
        </w:rPr>
      </w:pPr>
      <w:r w:rsidRPr="002015B2">
        <w:rPr>
          <w:sz w:val="24"/>
        </w:rPr>
        <w:t xml:space="preserve">BEDNÁŘ, Václav. </w:t>
      </w:r>
      <w:r w:rsidRPr="002015B2">
        <w:rPr>
          <w:i/>
          <w:sz w:val="24"/>
        </w:rPr>
        <w:t xml:space="preserve">Testamentární dědická posloupnost. </w:t>
      </w:r>
      <w:r w:rsidRPr="002015B2">
        <w:rPr>
          <w:sz w:val="24"/>
        </w:rPr>
        <w:t xml:space="preserve">Plzeň: Vydavatelství a nakladatelství Aleš Čeněk, s.r.o., 2011. </w:t>
      </w:r>
      <w:r w:rsidR="00E8464E" w:rsidRPr="002015B2">
        <w:rPr>
          <w:sz w:val="24"/>
        </w:rPr>
        <w:t>301 s.</w:t>
      </w:r>
    </w:p>
    <w:p w:rsidR="007433DB" w:rsidRDefault="007433DB" w:rsidP="00AE5C96">
      <w:pPr>
        <w:pStyle w:val="Odstavecseseznamem"/>
        <w:spacing w:line="360" w:lineRule="auto"/>
        <w:ind w:left="426" w:hanging="426"/>
        <w:jc w:val="both"/>
        <w:rPr>
          <w:sz w:val="24"/>
        </w:rPr>
      </w:pPr>
    </w:p>
    <w:p w:rsidR="0056023C" w:rsidRDefault="002015B2" w:rsidP="00AE5C96">
      <w:pPr>
        <w:pStyle w:val="Odstavecseseznamem"/>
        <w:numPr>
          <w:ilvl w:val="0"/>
          <w:numId w:val="5"/>
        </w:numPr>
        <w:spacing w:line="360" w:lineRule="auto"/>
        <w:ind w:left="426" w:hanging="426"/>
        <w:jc w:val="both"/>
        <w:rPr>
          <w:sz w:val="24"/>
        </w:rPr>
      </w:pPr>
      <w:r w:rsidRPr="002015B2">
        <w:rPr>
          <w:sz w:val="24"/>
        </w:rPr>
        <w:t xml:space="preserve">DAJCZAK, </w:t>
      </w:r>
      <w:proofErr w:type="spellStart"/>
      <w:r w:rsidRPr="002015B2">
        <w:rPr>
          <w:sz w:val="24"/>
        </w:rPr>
        <w:t>Wojciech</w:t>
      </w:r>
      <w:proofErr w:type="spellEnd"/>
      <w:r w:rsidRPr="002015B2">
        <w:rPr>
          <w:sz w:val="24"/>
        </w:rPr>
        <w:t xml:space="preserve"> a kol. (české vydání DOSTALÍK, Petr). </w:t>
      </w:r>
      <w:r w:rsidRPr="002015B2">
        <w:rPr>
          <w:i/>
          <w:sz w:val="24"/>
        </w:rPr>
        <w:t>Právo římské</w:t>
      </w:r>
      <w:r w:rsidR="00A56EE2">
        <w:rPr>
          <w:i/>
          <w:sz w:val="24"/>
        </w:rPr>
        <w:t>:</w:t>
      </w:r>
      <w:r w:rsidRPr="002015B2">
        <w:rPr>
          <w:i/>
          <w:sz w:val="24"/>
        </w:rPr>
        <w:t xml:space="preserve"> </w:t>
      </w:r>
      <w:r w:rsidR="00A56EE2">
        <w:rPr>
          <w:i/>
          <w:sz w:val="24"/>
        </w:rPr>
        <w:t>z</w:t>
      </w:r>
      <w:r w:rsidRPr="002015B2">
        <w:rPr>
          <w:i/>
          <w:sz w:val="24"/>
        </w:rPr>
        <w:t xml:space="preserve">áklady soukromého práva. </w:t>
      </w:r>
      <w:r w:rsidRPr="002015B2">
        <w:rPr>
          <w:sz w:val="24"/>
        </w:rPr>
        <w:t xml:space="preserve">Olomouc: </w:t>
      </w:r>
      <w:proofErr w:type="spellStart"/>
      <w:r w:rsidRPr="002015B2">
        <w:rPr>
          <w:sz w:val="24"/>
        </w:rPr>
        <w:t>Iuridicium</w:t>
      </w:r>
      <w:proofErr w:type="spellEnd"/>
      <w:r w:rsidRPr="002015B2">
        <w:rPr>
          <w:sz w:val="24"/>
        </w:rPr>
        <w:t xml:space="preserve"> </w:t>
      </w:r>
      <w:proofErr w:type="spellStart"/>
      <w:r>
        <w:rPr>
          <w:sz w:val="24"/>
        </w:rPr>
        <w:t>Olomoucense</w:t>
      </w:r>
      <w:proofErr w:type="spellEnd"/>
      <w:r>
        <w:rPr>
          <w:sz w:val="24"/>
        </w:rPr>
        <w:t>, o.p.s., 2013, 423 s</w:t>
      </w:r>
      <w:r w:rsidRPr="002015B2">
        <w:rPr>
          <w:sz w:val="24"/>
        </w:rPr>
        <w:t>.</w:t>
      </w:r>
    </w:p>
    <w:p w:rsidR="007433DB" w:rsidRPr="007433DB" w:rsidRDefault="007433DB" w:rsidP="00AE5C96">
      <w:pPr>
        <w:pStyle w:val="Odstavecseseznamem"/>
        <w:ind w:left="426" w:hanging="426"/>
        <w:jc w:val="both"/>
        <w:rPr>
          <w:sz w:val="24"/>
        </w:rPr>
      </w:pPr>
    </w:p>
    <w:p w:rsidR="00C070D1" w:rsidRDefault="00C070D1" w:rsidP="00AE5C96">
      <w:pPr>
        <w:pStyle w:val="Odstavecseseznamem"/>
        <w:numPr>
          <w:ilvl w:val="0"/>
          <w:numId w:val="5"/>
        </w:numPr>
        <w:spacing w:line="360" w:lineRule="auto"/>
        <w:ind w:left="426" w:hanging="426"/>
        <w:jc w:val="both"/>
        <w:rPr>
          <w:sz w:val="24"/>
        </w:rPr>
      </w:pPr>
      <w:r>
        <w:rPr>
          <w:sz w:val="24"/>
        </w:rPr>
        <w:t xml:space="preserve">ELIÁŠ, Karel, ZUKLÍNOVÁ, Michaela. </w:t>
      </w:r>
      <w:r>
        <w:rPr>
          <w:i/>
          <w:sz w:val="24"/>
        </w:rPr>
        <w:t xml:space="preserve">Principy a východiska nového kodexu soukromého práva. </w:t>
      </w:r>
      <w:r>
        <w:rPr>
          <w:sz w:val="24"/>
        </w:rPr>
        <w:t xml:space="preserve">Praha: </w:t>
      </w:r>
      <w:proofErr w:type="spellStart"/>
      <w:r>
        <w:rPr>
          <w:sz w:val="24"/>
        </w:rPr>
        <w:t>Linde</w:t>
      </w:r>
      <w:proofErr w:type="spellEnd"/>
      <w:r>
        <w:rPr>
          <w:sz w:val="24"/>
        </w:rPr>
        <w:t>, 2001. 302 s.</w:t>
      </w:r>
    </w:p>
    <w:p w:rsidR="007433DB" w:rsidRPr="007433DB" w:rsidRDefault="007433DB" w:rsidP="00AE5C96">
      <w:pPr>
        <w:pStyle w:val="Odstavecseseznamem"/>
        <w:ind w:left="426" w:hanging="426"/>
        <w:jc w:val="both"/>
        <w:rPr>
          <w:sz w:val="24"/>
        </w:rPr>
      </w:pPr>
    </w:p>
    <w:p w:rsidR="00182E4A" w:rsidRDefault="00182E4A" w:rsidP="00AE5C96">
      <w:pPr>
        <w:pStyle w:val="Odstavecseseznamem"/>
        <w:numPr>
          <w:ilvl w:val="0"/>
          <w:numId w:val="5"/>
        </w:numPr>
        <w:spacing w:line="360" w:lineRule="auto"/>
        <w:ind w:left="426" w:hanging="426"/>
        <w:jc w:val="both"/>
        <w:rPr>
          <w:sz w:val="24"/>
        </w:rPr>
      </w:pPr>
      <w:r>
        <w:rPr>
          <w:sz w:val="24"/>
        </w:rPr>
        <w:t xml:space="preserve">KRČMÁŘ, </w:t>
      </w:r>
      <w:r w:rsidR="002109B6">
        <w:rPr>
          <w:sz w:val="24"/>
        </w:rPr>
        <w:t xml:space="preserve">Jan. </w:t>
      </w:r>
      <w:r w:rsidR="002109B6">
        <w:rPr>
          <w:i/>
          <w:sz w:val="24"/>
        </w:rPr>
        <w:t>Právo občanské V</w:t>
      </w:r>
      <w:r w:rsidR="00A56EE2">
        <w:rPr>
          <w:i/>
          <w:sz w:val="24"/>
        </w:rPr>
        <w:t>:</w:t>
      </w:r>
      <w:r w:rsidR="002109B6">
        <w:rPr>
          <w:i/>
          <w:sz w:val="24"/>
        </w:rPr>
        <w:t xml:space="preserve"> </w:t>
      </w:r>
      <w:r w:rsidR="00A56EE2">
        <w:rPr>
          <w:i/>
          <w:sz w:val="24"/>
        </w:rPr>
        <w:t>p</w:t>
      </w:r>
      <w:r w:rsidR="002109B6">
        <w:rPr>
          <w:i/>
          <w:sz w:val="24"/>
        </w:rPr>
        <w:t xml:space="preserve">rávo dědické. </w:t>
      </w:r>
      <w:r w:rsidR="002109B6">
        <w:rPr>
          <w:sz w:val="24"/>
        </w:rPr>
        <w:t xml:space="preserve">Praha: </w:t>
      </w:r>
      <w:proofErr w:type="spellStart"/>
      <w:r w:rsidR="002109B6">
        <w:rPr>
          <w:sz w:val="24"/>
        </w:rPr>
        <w:t>Wolters</w:t>
      </w:r>
      <w:proofErr w:type="spellEnd"/>
      <w:r w:rsidR="002109B6">
        <w:rPr>
          <w:sz w:val="24"/>
        </w:rPr>
        <w:t xml:space="preserve"> </w:t>
      </w:r>
      <w:proofErr w:type="spellStart"/>
      <w:r w:rsidR="002109B6">
        <w:rPr>
          <w:sz w:val="24"/>
        </w:rPr>
        <w:t>Kluwer</w:t>
      </w:r>
      <w:proofErr w:type="spellEnd"/>
      <w:r w:rsidR="002109B6">
        <w:rPr>
          <w:sz w:val="24"/>
        </w:rPr>
        <w:t>, 2014. 158 s.</w:t>
      </w:r>
    </w:p>
    <w:p w:rsidR="007433DB" w:rsidRPr="007433DB" w:rsidRDefault="007433DB" w:rsidP="00AE5C96">
      <w:pPr>
        <w:pStyle w:val="Odstavecseseznamem"/>
        <w:ind w:left="426" w:hanging="426"/>
        <w:jc w:val="both"/>
        <w:rPr>
          <w:sz w:val="24"/>
        </w:rPr>
      </w:pPr>
    </w:p>
    <w:p w:rsidR="00182E4A" w:rsidRDefault="00182E4A" w:rsidP="00AE5C96">
      <w:pPr>
        <w:pStyle w:val="Odstavecseseznamem"/>
        <w:numPr>
          <w:ilvl w:val="0"/>
          <w:numId w:val="5"/>
        </w:numPr>
        <w:spacing w:line="360" w:lineRule="auto"/>
        <w:ind w:left="426" w:hanging="426"/>
        <w:jc w:val="both"/>
        <w:rPr>
          <w:sz w:val="24"/>
        </w:rPr>
      </w:pPr>
      <w:r>
        <w:rPr>
          <w:sz w:val="24"/>
        </w:rPr>
        <w:t xml:space="preserve">KUKLÍK, </w:t>
      </w:r>
      <w:r w:rsidR="00A57746">
        <w:rPr>
          <w:sz w:val="24"/>
        </w:rPr>
        <w:t>Jan, SKŘEJPKOVÁ, Petra.</w:t>
      </w:r>
      <w:r>
        <w:rPr>
          <w:sz w:val="24"/>
        </w:rPr>
        <w:t xml:space="preserve"> </w:t>
      </w:r>
      <w:r>
        <w:rPr>
          <w:i/>
          <w:sz w:val="24"/>
        </w:rPr>
        <w:t xml:space="preserve">Kořeny a inspirace velkých kodifikací. </w:t>
      </w:r>
      <w:r>
        <w:rPr>
          <w:sz w:val="24"/>
        </w:rPr>
        <w:t xml:space="preserve">Praha: Havlíček </w:t>
      </w:r>
      <w:proofErr w:type="spellStart"/>
      <w:r>
        <w:rPr>
          <w:sz w:val="24"/>
        </w:rPr>
        <w:t>Brain</w:t>
      </w:r>
      <w:proofErr w:type="spellEnd"/>
      <w:r>
        <w:rPr>
          <w:sz w:val="24"/>
        </w:rPr>
        <w:t xml:space="preserve"> Team, 2008.</w:t>
      </w:r>
      <w:r w:rsidR="00E8464E">
        <w:rPr>
          <w:sz w:val="24"/>
        </w:rPr>
        <w:t xml:space="preserve"> 198 s.</w:t>
      </w:r>
    </w:p>
    <w:p w:rsidR="00DB5851" w:rsidRPr="00DB5851" w:rsidRDefault="00DB5851" w:rsidP="00AE5C96">
      <w:pPr>
        <w:pStyle w:val="Odstavecseseznamem"/>
        <w:ind w:left="426" w:hanging="426"/>
        <w:jc w:val="both"/>
        <w:rPr>
          <w:sz w:val="24"/>
        </w:rPr>
      </w:pPr>
    </w:p>
    <w:p w:rsidR="00182E4A" w:rsidRDefault="00A56EE2" w:rsidP="00AE5C96">
      <w:pPr>
        <w:pStyle w:val="Odstavecseseznamem"/>
        <w:numPr>
          <w:ilvl w:val="0"/>
          <w:numId w:val="5"/>
        </w:numPr>
        <w:spacing w:line="360" w:lineRule="auto"/>
        <w:ind w:left="426" w:hanging="426"/>
        <w:jc w:val="both"/>
        <w:rPr>
          <w:sz w:val="24"/>
        </w:rPr>
      </w:pPr>
      <w:r>
        <w:rPr>
          <w:sz w:val="24"/>
        </w:rPr>
        <w:t>ROUČEK, František, SEDLÁČEK, Jaromír</w:t>
      </w:r>
      <w:r w:rsidR="00182E4A">
        <w:rPr>
          <w:sz w:val="24"/>
        </w:rPr>
        <w:t xml:space="preserve">. </w:t>
      </w:r>
      <w:r w:rsidR="00182E4A">
        <w:rPr>
          <w:i/>
          <w:sz w:val="24"/>
        </w:rPr>
        <w:t xml:space="preserve">Komentář k československému obecnému zákoníku občanskému a občanské právo platné na Slovensku a Podkarpatské Rusi. Díl první. </w:t>
      </w:r>
      <w:r w:rsidR="00182E4A">
        <w:rPr>
          <w:sz w:val="24"/>
        </w:rPr>
        <w:t xml:space="preserve">Praha: V. Linhart, 1935. </w:t>
      </w:r>
      <w:r w:rsidR="00E8464E">
        <w:rPr>
          <w:sz w:val="24"/>
        </w:rPr>
        <w:t>1192 s.</w:t>
      </w:r>
    </w:p>
    <w:p w:rsidR="007433DB" w:rsidRPr="007433DB" w:rsidRDefault="007433DB" w:rsidP="00AE5C96">
      <w:pPr>
        <w:pStyle w:val="Odstavecseseznamem"/>
        <w:ind w:left="426" w:hanging="426"/>
        <w:jc w:val="both"/>
        <w:rPr>
          <w:sz w:val="24"/>
        </w:rPr>
      </w:pPr>
    </w:p>
    <w:p w:rsidR="00182E4A" w:rsidRDefault="00A56EE2" w:rsidP="00AE5C96">
      <w:pPr>
        <w:pStyle w:val="Odstavecseseznamem"/>
        <w:numPr>
          <w:ilvl w:val="0"/>
          <w:numId w:val="5"/>
        </w:numPr>
        <w:spacing w:line="360" w:lineRule="auto"/>
        <w:ind w:left="426" w:hanging="426"/>
        <w:jc w:val="both"/>
        <w:rPr>
          <w:sz w:val="24"/>
        </w:rPr>
      </w:pPr>
      <w:r>
        <w:rPr>
          <w:sz w:val="24"/>
        </w:rPr>
        <w:t>ROUČEK, František, SEDLÁČEK, Jaromír</w:t>
      </w:r>
      <w:r w:rsidR="00182E4A">
        <w:rPr>
          <w:sz w:val="24"/>
        </w:rPr>
        <w:t xml:space="preserve">. </w:t>
      </w:r>
      <w:r w:rsidR="00182E4A">
        <w:rPr>
          <w:i/>
          <w:sz w:val="24"/>
        </w:rPr>
        <w:t xml:space="preserve">Komentář k československému obecnému zákoníku občanskému a občanské právo platné na Slovensku a Podkarpatské Rusi. Díl třetí. </w:t>
      </w:r>
      <w:r w:rsidR="00182E4A">
        <w:rPr>
          <w:sz w:val="24"/>
        </w:rPr>
        <w:t xml:space="preserve">Praha: V. Linhart, 1935. </w:t>
      </w:r>
      <w:r w:rsidR="00E8464E">
        <w:rPr>
          <w:sz w:val="24"/>
        </w:rPr>
        <w:t>680 s.</w:t>
      </w:r>
    </w:p>
    <w:p w:rsidR="007433DB" w:rsidRPr="007433DB" w:rsidRDefault="007433DB" w:rsidP="00AE5C96">
      <w:pPr>
        <w:pStyle w:val="Odstavecseseznamem"/>
        <w:ind w:left="426" w:hanging="426"/>
        <w:jc w:val="both"/>
        <w:rPr>
          <w:sz w:val="24"/>
        </w:rPr>
      </w:pPr>
    </w:p>
    <w:p w:rsidR="00182E4A" w:rsidRDefault="00182E4A" w:rsidP="00AE5C96">
      <w:pPr>
        <w:pStyle w:val="Odstavecseseznamem"/>
        <w:numPr>
          <w:ilvl w:val="0"/>
          <w:numId w:val="5"/>
        </w:numPr>
        <w:spacing w:line="360" w:lineRule="auto"/>
        <w:ind w:left="426" w:hanging="426"/>
        <w:jc w:val="both"/>
        <w:rPr>
          <w:sz w:val="24"/>
        </w:rPr>
      </w:pPr>
      <w:r>
        <w:rPr>
          <w:sz w:val="24"/>
        </w:rPr>
        <w:t xml:space="preserve">SVOBODA, Emil. </w:t>
      </w:r>
      <w:r>
        <w:rPr>
          <w:i/>
          <w:sz w:val="24"/>
        </w:rPr>
        <w:t xml:space="preserve">Dědické právo. </w:t>
      </w:r>
      <w:r>
        <w:rPr>
          <w:sz w:val="24"/>
        </w:rPr>
        <w:t>Karlín: Vesmír, 1921. 104 s.</w:t>
      </w:r>
    </w:p>
    <w:p w:rsidR="007433DB" w:rsidRPr="007433DB" w:rsidRDefault="007433DB" w:rsidP="00AE5C96">
      <w:pPr>
        <w:pStyle w:val="Odstavecseseznamem"/>
        <w:ind w:left="426" w:hanging="426"/>
        <w:jc w:val="both"/>
        <w:rPr>
          <w:sz w:val="24"/>
        </w:rPr>
      </w:pPr>
    </w:p>
    <w:p w:rsidR="009B6063" w:rsidRDefault="00182E4A" w:rsidP="00AE5C96">
      <w:pPr>
        <w:pStyle w:val="Odstavecseseznamem"/>
        <w:numPr>
          <w:ilvl w:val="0"/>
          <w:numId w:val="5"/>
        </w:numPr>
        <w:spacing w:line="360" w:lineRule="auto"/>
        <w:ind w:left="426" w:hanging="426"/>
        <w:jc w:val="both"/>
        <w:rPr>
          <w:sz w:val="24"/>
        </w:rPr>
      </w:pPr>
      <w:r w:rsidRPr="009B6063">
        <w:rPr>
          <w:sz w:val="24"/>
        </w:rPr>
        <w:t xml:space="preserve">SVOBODA, Emil. </w:t>
      </w:r>
      <w:r w:rsidR="00A56EE2">
        <w:rPr>
          <w:i/>
          <w:sz w:val="24"/>
        </w:rPr>
        <w:t>Dědické právo: n</w:t>
      </w:r>
      <w:r w:rsidRPr="009B6063">
        <w:rPr>
          <w:i/>
          <w:sz w:val="24"/>
        </w:rPr>
        <w:t xml:space="preserve">ávrh subkomitétu pro revisi občanského zákoníku pro Československou republiku. </w:t>
      </w:r>
      <w:r w:rsidRPr="009B6063">
        <w:rPr>
          <w:sz w:val="24"/>
        </w:rPr>
        <w:t>2. vydání. Praha: Ministerstvo spravedlnosti, 1924. 87 s.</w:t>
      </w:r>
    </w:p>
    <w:p w:rsidR="007433DB" w:rsidRPr="007433DB" w:rsidRDefault="007433DB" w:rsidP="00AE5C96">
      <w:pPr>
        <w:pStyle w:val="Odstavecseseznamem"/>
        <w:ind w:left="426" w:hanging="426"/>
        <w:jc w:val="both"/>
        <w:rPr>
          <w:sz w:val="24"/>
        </w:rPr>
      </w:pPr>
    </w:p>
    <w:p w:rsidR="009B6063" w:rsidRDefault="009B6063" w:rsidP="00AE5C96">
      <w:pPr>
        <w:pStyle w:val="Odstavecseseznamem"/>
        <w:numPr>
          <w:ilvl w:val="0"/>
          <w:numId w:val="5"/>
        </w:numPr>
        <w:spacing w:line="360" w:lineRule="auto"/>
        <w:ind w:left="426" w:hanging="426"/>
        <w:jc w:val="both"/>
        <w:rPr>
          <w:sz w:val="24"/>
        </w:rPr>
      </w:pPr>
      <w:r w:rsidRPr="009B6063">
        <w:rPr>
          <w:sz w:val="24"/>
        </w:rPr>
        <w:t xml:space="preserve">ŠVESTKA, Jiří a kol. </w:t>
      </w:r>
      <w:r w:rsidRPr="009B6063">
        <w:rPr>
          <w:i/>
          <w:sz w:val="24"/>
        </w:rPr>
        <w:t xml:space="preserve">Občanský zákoník: komentář. Svazek IV. (§ 1475 až 1720). </w:t>
      </w:r>
      <w:r w:rsidR="008423A2">
        <w:rPr>
          <w:sz w:val="24"/>
        </w:rPr>
        <w:t xml:space="preserve">Praha: </w:t>
      </w:r>
      <w:proofErr w:type="spellStart"/>
      <w:r w:rsidR="008423A2">
        <w:rPr>
          <w:sz w:val="24"/>
        </w:rPr>
        <w:t>Wolters</w:t>
      </w:r>
      <w:proofErr w:type="spellEnd"/>
      <w:r w:rsidR="008423A2">
        <w:rPr>
          <w:sz w:val="24"/>
        </w:rPr>
        <w:t xml:space="preserve"> </w:t>
      </w:r>
      <w:proofErr w:type="spellStart"/>
      <w:r w:rsidR="008423A2">
        <w:rPr>
          <w:sz w:val="24"/>
        </w:rPr>
        <w:t>Kluwer</w:t>
      </w:r>
      <w:proofErr w:type="spellEnd"/>
      <w:r w:rsidR="008423A2">
        <w:rPr>
          <w:sz w:val="24"/>
        </w:rPr>
        <w:t>, 2014.</w:t>
      </w:r>
      <w:r w:rsidRPr="009B6063">
        <w:rPr>
          <w:sz w:val="24"/>
        </w:rPr>
        <w:t xml:space="preserve"> 696 s.</w:t>
      </w:r>
    </w:p>
    <w:p w:rsidR="00AE5C96" w:rsidRPr="00AE5C96" w:rsidRDefault="00AE5C96" w:rsidP="00AE5C96">
      <w:pPr>
        <w:pStyle w:val="Odstavecseseznamem"/>
        <w:rPr>
          <w:sz w:val="24"/>
        </w:rPr>
      </w:pPr>
    </w:p>
    <w:p w:rsidR="00AE5C96" w:rsidRDefault="00AE5C96" w:rsidP="00AE5C96">
      <w:pPr>
        <w:pStyle w:val="Odstavecseseznamem"/>
        <w:spacing w:line="360" w:lineRule="auto"/>
        <w:ind w:left="426"/>
        <w:jc w:val="both"/>
        <w:rPr>
          <w:sz w:val="24"/>
        </w:rPr>
      </w:pPr>
    </w:p>
    <w:p w:rsidR="007433DB" w:rsidRDefault="009B6063" w:rsidP="00AE5C96">
      <w:pPr>
        <w:pStyle w:val="Odstavecseseznamem"/>
        <w:numPr>
          <w:ilvl w:val="0"/>
          <w:numId w:val="5"/>
        </w:numPr>
        <w:spacing w:line="360" w:lineRule="auto"/>
        <w:ind w:left="426" w:hanging="426"/>
        <w:jc w:val="both"/>
        <w:rPr>
          <w:sz w:val="24"/>
        </w:rPr>
      </w:pPr>
      <w:r w:rsidRPr="007433DB">
        <w:rPr>
          <w:sz w:val="24"/>
        </w:rPr>
        <w:lastRenderedPageBreak/>
        <w:t xml:space="preserve">TILSCH, Emanuel.  </w:t>
      </w:r>
      <w:r w:rsidRPr="007433DB">
        <w:rPr>
          <w:i/>
          <w:sz w:val="24"/>
        </w:rPr>
        <w:t xml:space="preserve">Dědické právo rakouské se </w:t>
      </w:r>
      <w:proofErr w:type="gramStart"/>
      <w:r w:rsidRPr="007433DB">
        <w:rPr>
          <w:i/>
          <w:sz w:val="24"/>
        </w:rPr>
        <w:t>stanoviska</w:t>
      </w:r>
      <w:proofErr w:type="gramEnd"/>
      <w:r w:rsidRPr="007433DB">
        <w:rPr>
          <w:i/>
          <w:sz w:val="24"/>
        </w:rPr>
        <w:t xml:space="preserve"> srovnávací právní vědy. </w:t>
      </w:r>
      <w:r w:rsidR="007E307F">
        <w:rPr>
          <w:i/>
          <w:sz w:val="24"/>
        </w:rPr>
        <w:br/>
      </w:r>
      <w:r w:rsidRPr="007433DB">
        <w:rPr>
          <w:sz w:val="24"/>
        </w:rPr>
        <w:t xml:space="preserve">Část </w:t>
      </w:r>
      <w:r w:rsidR="008423A2" w:rsidRPr="007433DB">
        <w:rPr>
          <w:sz w:val="24"/>
        </w:rPr>
        <w:t>1. Praha: Bursík &amp; Kohout, 1905.</w:t>
      </w:r>
      <w:r w:rsidRPr="007433DB">
        <w:rPr>
          <w:sz w:val="24"/>
        </w:rPr>
        <w:t xml:space="preserve"> 157 s.</w:t>
      </w:r>
    </w:p>
    <w:p w:rsidR="007433DB" w:rsidRDefault="007433DB" w:rsidP="00AE5C96">
      <w:pPr>
        <w:pStyle w:val="Odstavecseseznamem"/>
        <w:spacing w:line="360" w:lineRule="auto"/>
        <w:ind w:left="426" w:hanging="426"/>
        <w:jc w:val="both"/>
        <w:rPr>
          <w:sz w:val="24"/>
        </w:rPr>
      </w:pPr>
    </w:p>
    <w:p w:rsidR="00182E4A" w:rsidRPr="007433DB" w:rsidRDefault="00182E4A" w:rsidP="00AE5C96">
      <w:pPr>
        <w:pStyle w:val="Odstavecseseznamem"/>
        <w:numPr>
          <w:ilvl w:val="0"/>
          <w:numId w:val="5"/>
        </w:numPr>
        <w:spacing w:line="360" w:lineRule="auto"/>
        <w:ind w:left="426" w:hanging="426"/>
        <w:jc w:val="both"/>
        <w:rPr>
          <w:sz w:val="24"/>
        </w:rPr>
      </w:pPr>
      <w:r w:rsidRPr="007433DB">
        <w:rPr>
          <w:sz w:val="24"/>
        </w:rPr>
        <w:t xml:space="preserve">VOJÁČEK, Ladislav a kol. </w:t>
      </w:r>
      <w:r w:rsidRPr="007433DB">
        <w:rPr>
          <w:i/>
          <w:sz w:val="24"/>
        </w:rPr>
        <w:t>Vývoj soukromého práva</w:t>
      </w:r>
      <w:r w:rsidR="00885B95" w:rsidRPr="007433DB">
        <w:rPr>
          <w:i/>
          <w:sz w:val="24"/>
        </w:rPr>
        <w:t xml:space="preserve"> na území českých zemí. I. díl. </w:t>
      </w:r>
      <w:r w:rsidR="00885B95" w:rsidRPr="007433DB">
        <w:rPr>
          <w:sz w:val="24"/>
        </w:rPr>
        <w:t>Brno: Masarykova univerzita, 2012.</w:t>
      </w:r>
      <w:r w:rsidR="00E8464E" w:rsidRPr="007433DB">
        <w:rPr>
          <w:sz w:val="24"/>
        </w:rPr>
        <w:t xml:space="preserve"> 615 s.</w:t>
      </w:r>
    </w:p>
    <w:p w:rsidR="00445E5E" w:rsidRDefault="00445E5E" w:rsidP="00AE5C96">
      <w:pPr>
        <w:pStyle w:val="Odstavecseseznamem"/>
        <w:spacing w:line="360" w:lineRule="auto"/>
        <w:jc w:val="both"/>
        <w:rPr>
          <w:sz w:val="24"/>
        </w:rPr>
      </w:pPr>
    </w:p>
    <w:p w:rsidR="00885B95" w:rsidRDefault="00885B95" w:rsidP="00AE5C96">
      <w:pPr>
        <w:jc w:val="both"/>
        <w:rPr>
          <w:b/>
          <w:sz w:val="24"/>
        </w:rPr>
      </w:pPr>
      <w:r>
        <w:rPr>
          <w:b/>
          <w:sz w:val="24"/>
        </w:rPr>
        <w:t>Právní předpisy</w:t>
      </w:r>
      <w:r w:rsidR="008423A2">
        <w:rPr>
          <w:b/>
          <w:sz w:val="24"/>
        </w:rPr>
        <w:t xml:space="preserve"> a důvodové zprávy</w:t>
      </w:r>
      <w:r>
        <w:rPr>
          <w:b/>
          <w:sz w:val="24"/>
        </w:rPr>
        <w:t>:</w:t>
      </w:r>
    </w:p>
    <w:p w:rsidR="00885B95" w:rsidRDefault="00885B95" w:rsidP="00AE5C96">
      <w:pPr>
        <w:pStyle w:val="Odstavecseseznamem"/>
        <w:numPr>
          <w:ilvl w:val="0"/>
          <w:numId w:val="6"/>
        </w:numPr>
        <w:spacing w:before="240" w:line="360" w:lineRule="auto"/>
        <w:ind w:left="426" w:hanging="426"/>
        <w:jc w:val="both"/>
        <w:rPr>
          <w:sz w:val="24"/>
        </w:rPr>
      </w:pPr>
      <w:r>
        <w:rPr>
          <w:sz w:val="24"/>
        </w:rPr>
        <w:t>Aktuální znění: zákon č. 89/ 2012 Sb., občanský zákoník</w:t>
      </w:r>
      <w:r w:rsidR="00506DC3">
        <w:rPr>
          <w:sz w:val="24"/>
        </w:rPr>
        <w:t>.</w:t>
      </w:r>
    </w:p>
    <w:p w:rsidR="00CA2E54" w:rsidRDefault="00CA2E54" w:rsidP="00AE5C96">
      <w:pPr>
        <w:pStyle w:val="Odstavecseseznamem"/>
        <w:spacing w:before="240" w:line="360" w:lineRule="auto"/>
        <w:ind w:left="426" w:hanging="426"/>
        <w:jc w:val="both"/>
        <w:rPr>
          <w:sz w:val="24"/>
        </w:rPr>
      </w:pPr>
    </w:p>
    <w:p w:rsidR="00445E5E" w:rsidRDefault="00445E5E" w:rsidP="00AE5C96">
      <w:pPr>
        <w:pStyle w:val="Odstavecseseznamem"/>
        <w:numPr>
          <w:ilvl w:val="0"/>
          <w:numId w:val="6"/>
        </w:numPr>
        <w:spacing w:line="360" w:lineRule="auto"/>
        <w:ind w:left="426" w:hanging="426"/>
        <w:jc w:val="both"/>
        <w:rPr>
          <w:sz w:val="24"/>
        </w:rPr>
      </w:pPr>
      <w:r>
        <w:rPr>
          <w:sz w:val="24"/>
        </w:rPr>
        <w:t>Aktuální znění: zákon č. 292/ 2013 Sb., o zvláštních řízeních soudních</w:t>
      </w:r>
      <w:r w:rsidR="00506DC3">
        <w:rPr>
          <w:sz w:val="24"/>
        </w:rPr>
        <w:t>.</w:t>
      </w:r>
    </w:p>
    <w:p w:rsidR="007433DB" w:rsidRPr="007433DB" w:rsidRDefault="007433DB" w:rsidP="00AE5C96">
      <w:pPr>
        <w:pStyle w:val="Odstavecseseznamem"/>
        <w:spacing w:line="360" w:lineRule="auto"/>
        <w:ind w:left="426" w:hanging="426"/>
        <w:jc w:val="both"/>
        <w:rPr>
          <w:sz w:val="24"/>
        </w:rPr>
      </w:pPr>
    </w:p>
    <w:p w:rsidR="00885B95" w:rsidRDefault="00885B95" w:rsidP="00AE5C96">
      <w:pPr>
        <w:pStyle w:val="Odstavecseseznamem"/>
        <w:numPr>
          <w:ilvl w:val="0"/>
          <w:numId w:val="6"/>
        </w:numPr>
        <w:spacing w:line="360" w:lineRule="auto"/>
        <w:ind w:left="426" w:hanging="426"/>
        <w:jc w:val="both"/>
        <w:rPr>
          <w:sz w:val="24"/>
        </w:rPr>
      </w:pPr>
      <w:r>
        <w:rPr>
          <w:sz w:val="24"/>
        </w:rPr>
        <w:t>Zákon č. 40/ 1964 Sb., občanský zákoník</w:t>
      </w:r>
      <w:r w:rsidR="00506DC3">
        <w:rPr>
          <w:sz w:val="24"/>
        </w:rPr>
        <w:t>.</w:t>
      </w:r>
    </w:p>
    <w:p w:rsidR="007433DB" w:rsidRPr="007433DB" w:rsidRDefault="007433DB" w:rsidP="00AE5C96">
      <w:pPr>
        <w:pStyle w:val="Odstavecseseznamem"/>
        <w:spacing w:line="360" w:lineRule="auto"/>
        <w:ind w:left="426" w:hanging="426"/>
        <w:jc w:val="both"/>
        <w:rPr>
          <w:sz w:val="24"/>
        </w:rPr>
      </w:pPr>
    </w:p>
    <w:p w:rsidR="009B6063" w:rsidRDefault="009B6063" w:rsidP="00AE5C96">
      <w:pPr>
        <w:pStyle w:val="Odstavecseseznamem"/>
        <w:numPr>
          <w:ilvl w:val="0"/>
          <w:numId w:val="6"/>
        </w:numPr>
        <w:spacing w:line="360" w:lineRule="auto"/>
        <w:ind w:left="426" w:hanging="426"/>
        <w:jc w:val="both"/>
        <w:rPr>
          <w:sz w:val="24"/>
        </w:rPr>
      </w:pPr>
      <w:r>
        <w:rPr>
          <w:sz w:val="24"/>
        </w:rPr>
        <w:t>Zákon č. 141/ 1950 Sb., občanský zákoník</w:t>
      </w:r>
      <w:r w:rsidR="00506DC3">
        <w:rPr>
          <w:sz w:val="24"/>
        </w:rPr>
        <w:t>.</w:t>
      </w:r>
    </w:p>
    <w:p w:rsidR="007433DB" w:rsidRPr="007433DB" w:rsidRDefault="007433DB" w:rsidP="00AE5C96">
      <w:pPr>
        <w:pStyle w:val="Odstavecseseznamem"/>
        <w:spacing w:line="360" w:lineRule="auto"/>
        <w:ind w:left="426" w:hanging="426"/>
        <w:jc w:val="both"/>
        <w:rPr>
          <w:sz w:val="24"/>
        </w:rPr>
      </w:pPr>
    </w:p>
    <w:p w:rsidR="008423A2" w:rsidRPr="007433DB" w:rsidRDefault="008423A2" w:rsidP="00AE5C96">
      <w:pPr>
        <w:pStyle w:val="Odstavecseseznamem"/>
        <w:numPr>
          <w:ilvl w:val="0"/>
          <w:numId w:val="6"/>
        </w:numPr>
        <w:spacing w:line="360" w:lineRule="auto"/>
        <w:ind w:left="426" w:hanging="426"/>
        <w:jc w:val="both"/>
        <w:rPr>
          <w:b/>
          <w:sz w:val="24"/>
        </w:rPr>
      </w:pPr>
      <w:r w:rsidRPr="00283582">
        <w:rPr>
          <w:sz w:val="24"/>
        </w:rPr>
        <w:t xml:space="preserve">ELIÁŠ, Karel a kol. </w:t>
      </w:r>
      <w:r w:rsidRPr="00283582">
        <w:rPr>
          <w:i/>
          <w:sz w:val="24"/>
        </w:rPr>
        <w:t xml:space="preserve">Nový občanský zákoník s aktualizovanou důvodovou zprávou a rejstříkem. </w:t>
      </w:r>
      <w:r w:rsidRPr="00283582">
        <w:rPr>
          <w:sz w:val="24"/>
        </w:rPr>
        <w:t xml:space="preserve">Ostrava: </w:t>
      </w:r>
      <w:proofErr w:type="spellStart"/>
      <w:r w:rsidRPr="00283582">
        <w:rPr>
          <w:sz w:val="24"/>
        </w:rPr>
        <w:t>Sagit</w:t>
      </w:r>
      <w:proofErr w:type="spellEnd"/>
      <w:r w:rsidRPr="00283582">
        <w:rPr>
          <w:sz w:val="24"/>
        </w:rPr>
        <w:t>, 2012. 1119 s. (dostupné také</w:t>
      </w:r>
      <w:r w:rsidR="00283582">
        <w:rPr>
          <w:sz w:val="24"/>
        </w:rPr>
        <w:t xml:space="preserve"> z </w:t>
      </w:r>
      <w:hyperlink r:id="rId9" w:history="1">
        <w:r w:rsidR="00283582" w:rsidRPr="0030787F">
          <w:rPr>
            <w:rStyle w:val="Hypertextovodkaz"/>
            <w:color w:val="00B0F0"/>
            <w:sz w:val="24"/>
          </w:rPr>
          <w:t>http://obcanskyzakonik.justice.cz/fileadmin/Duvodova-zprava-NOZ-konsolidovana-verze.pdf</w:t>
        </w:r>
      </w:hyperlink>
      <w:r w:rsidR="00283582">
        <w:rPr>
          <w:sz w:val="24"/>
        </w:rPr>
        <w:t>.</w:t>
      </w:r>
    </w:p>
    <w:p w:rsidR="007433DB" w:rsidRPr="007433DB" w:rsidRDefault="007433DB" w:rsidP="00AE5C96">
      <w:pPr>
        <w:pStyle w:val="Odstavecseseznamem"/>
        <w:spacing w:line="360" w:lineRule="auto"/>
        <w:ind w:left="426" w:hanging="426"/>
        <w:jc w:val="both"/>
        <w:rPr>
          <w:b/>
          <w:sz w:val="24"/>
        </w:rPr>
      </w:pPr>
    </w:p>
    <w:p w:rsidR="008423A2" w:rsidRPr="00A87126" w:rsidRDefault="008423A2" w:rsidP="00AE5C96">
      <w:pPr>
        <w:pStyle w:val="Odstavecseseznamem"/>
        <w:numPr>
          <w:ilvl w:val="0"/>
          <w:numId w:val="8"/>
        </w:numPr>
        <w:spacing w:line="360" w:lineRule="auto"/>
        <w:ind w:left="426" w:hanging="426"/>
        <w:jc w:val="both"/>
        <w:rPr>
          <w:sz w:val="32"/>
        </w:rPr>
      </w:pPr>
      <w:r>
        <w:rPr>
          <w:sz w:val="24"/>
        </w:rPr>
        <w:t xml:space="preserve">Vládní návrh zákona, kterým se vydává občanský zákoník. Praha: NS ČSR, 1937 (dostupné také z </w:t>
      </w:r>
      <w:hyperlink r:id="rId10" w:tgtFrame="_blank" w:history="1">
        <w:r w:rsidRPr="00A87126">
          <w:rPr>
            <w:rStyle w:val="Hypertextovodkaz"/>
            <w:color w:val="00ABFF"/>
            <w:sz w:val="24"/>
            <w:shd w:val="clear" w:color="auto" w:fill="FFFFFF"/>
          </w:rPr>
          <w:t>http://www.psp.cz/eknih/1935ns/ps/tisky/t0844_55.htm</w:t>
        </w:r>
      </w:hyperlink>
      <w:r w:rsidRPr="00A87126">
        <w:rPr>
          <w:color w:val="000000"/>
          <w:sz w:val="24"/>
          <w:shd w:val="clear" w:color="auto" w:fill="FFFFFF"/>
        </w:rPr>
        <w:t>, dále též </w:t>
      </w:r>
      <w:hyperlink r:id="rId11" w:tgtFrame="_blank" w:history="1">
        <w:r w:rsidRPr="00A87126">
          <w:rPr>
            <w:rStyle w:val="Hypertextovodkaz"/>
            <w:color w:val="00ABFF"/>
            <w:sz w:val="24"/>
            <w:shd w:val="clear" w:color="auto" w:fill="FFFFFF"/>
          </w:rPr>
          <w:t>http://www.senat.cz/informace/z_historie/tisky/4vo/tisky/T0425_71.htm</w:t>
        </w:r>
      </w:hyperlink>
      <w:r w:rsidRPr="00A87126">
        <w:rPr>
          <w:color w:val="000000"/>
          <w:sz w:val="24"/>
          <w:shd w:val="clear" w:color="auto" w:fill="FFFFFF"/>
        </w:rPr>
        <w:t>).</w:t>
      </w:r>
    </w:p>
    <w:p w:rsidR="00950360" w:rsidRPr="00950360" w:rsidRDefault="00950360" w:rsidP="00AE5C96">
      <w:pPr>
        <w:spacing w:line="360" w:lineRule="auto"/>
        <w:ind w:left="360"/>
        <w:jc w:val="both"/>
        <w:rPr>
          <w:sz w:val="24"/>
        </w:rPr>
      </w:pPr>
    </w:p>
    <w:p w:rsidR="00885B95" w:rsidRDefault="002015B2" w:rsidP="00AE5C96">
      <w:pPr>
        <w:jc w:val="both"/>
        <w:rPr>
          <w:b/>
          <w:sz w:val="24"/>
        </w:rPr>
      </w:pPr>
      <w:r>
        <w:rPr>
          <w:b/>
          <w:sz w:val="24"/>
        </w:rPr>
        <w:t>Články v časopisech a sbornících</w:t>
      </w:r>
      <w:r w:rsidR="00885B95">
        <w:rPr>
          <w:b/>
          <w:sz w:val="24"/>
        </w:rPr>
        <w:t>:</w:t>
      </w:r>
    </w:p>
    <w:p w:rsidR="009B6063" w:rsidRDefault="009B6063" w:rsidP="00AE5C96">
      <w:pPr>
        <w:pStyle w:val="Textpoznpodarou"/>
        <w:numPr>
          <w:ilvl w:val="0"/>
          <w:numId w:val="12"/>
        </w:numPr>
        <w:spacing w:line="360" w:lineRule="auto"/>
        <w:ind w:left="426" w:hanging="426"/>
        <w:jc w:val="both"/>
        <w:rPr>
          <w:sz w:val="24"/>
        </w:rPr>
      </w:pPr>
      <w:r w:rsidRPr="009B6063">
        <w:rPr>
          <w:sz w:val="24"/>
        </w:rPr>
        <w:t xml:space="preserve">BEDNÁŘ, Václav. Nepominutelný dědic. In </w:t>
      </w:r>
      <w:r w:rsidRPr="009B6063">
        <w:rPr>
          <w:i/>
          <w:sz w:val="24"/>
        </w:rPr>
        <w:t xml:space="preserve">Soukromé právo na cestě: eseje a jiné texty k jubileu Karla Eliáše. </w:t>
      </w:r>
      <w:r w:rsidR="00E56A3E">
        <w:rPr>
          <w:sz w:val="24"/>
        </w:rPr>
        <w:t>Plzeň: A. Čeněk, 2010, s. 17-</w:t>
      </w:r>
      <w:r w:rsidRPr="009B6063">
        <w:rPr>
          <w:sz w:val="24"/>
        </w:rPr>
        <w:t>28.</w:t>
      </w:r>
    </w:p>
    <w:p w:rsidR="007433DB" w:rsidRPr="009B6063" w:rsidRDefault="007433DB" w:rsidP="00AE5C96">
      <w:pPr>
        <w:pStyle w:val="Textpoznpodarou"/>
        <w:spacing w:line="360" w:lineRule="auto"/>
        <w:ind w:left="426" w:hanging="426"/>
        <w:jc w:val="both"/>
        <w:rPr>
          <w:sz w:val="24"/>
        </w:rPr>
      </w:pPr>
    </w:p>
    <w:p w:rsidR="009B6063" w:rsidRDefault="009B6063" w:rsidP="00AE5C96">
      <w:pPr>
        <w:pStyle w:val="Textpoznpodarou"/>
        <w:numPr>
          <w:ilvl w:val="0"/>
          <w:numId w:val="11"/>
        </w:numPr>
        <w:spacing w:line="360" w:lineRule="auto"/>
        <w:ind w:left="426" w:hanging="426"/>
        <w:jc w:val="both"/>
        <w:rPr>
          <w:sz w:val="24"/>
        </w:rPr>
      </w:pPr>
      <w:r w:rsidRPr="009B6063">
        <w:rPr>
          <w:sz w:val="24"/>
        </w:rPr>
        <w:t xml:space="preserve">BREJLOVÁ, Kateřina. Nové postavení věřitele v dědickém řízení a změna v odpovědnosti dědiců za dluhy zůstavitele. </w:t>
      </w:r>
      <w:r w:rsidRPr="009B6063">
        <w:rPr>
          <w:i/>
          <w:sz w:val="24"/>
        </w:rPr>
        <w:t xml:space="preserve">Ad </w:t>
      </w:r>
      <w:proofErr w:type="spellStart"/>
      <w:r w:rsidRPr="009B6063">
        <w:rPr>
          <w:i/>
          <w:sz w:val="24"/>
        </w:rPr>
        <w:t>Notam</w:t>
      </w:r>
      <w:proofErr w:type="spellEnd"/>
      <w:r w:rsidRPr="009B6063">
        <w:rPr>
          <w:i/>
          <w:sz w:val="24"/>
        </w:rPr>
        <w:t xml:space="preserve">, </w:t>
      </w:r>
      <w:r w:rsidRPr="009B6063">
        <w:rPr>
          <w:sz w:val="24"/>
        </w:rPr>
        <w:t xml:space="preserve">2014, </w:t>
      </w:r>
      <w:proofErr w:type="spellStart"/>
      <w:r w:rsidRPr="009B6063">
        <w:rPr>
          <w:sz w:val="24"/>
        </w:rPr>
        <w:t>roč</w:t>
      </w:r>
      <w:proofErr w:type="spellEnd"/>
      <w:r w:rsidRPr="009B6063">
        <w:rPr>
          <w:sz w:val="24"/>
        </w:rPr>
        <w:t xml:space="preserve">. 20, č. 1, </w:t>
      </w:r>
      <w:r w:rsidR="00E56A3E">
        <w:rPr>
          <w:sz w:val="24"/>
        </w:rPr>
        <w:t>s. 12-</w:t>
      </w:r>
      <w:r>
        <w:rPr>
          <w:sz w:val="24"/>
        </w:rPr>
        <w:t>18.</w:t>
      </w:r>
    </w:p>
    <w:p w:rsidR="007433DB" w:rsidRPr="009B6063" w:rsidRDefault="007433DB" w:rsidP="00AE5C96">
      <w:pPr>
        <w:pStyle w:val="Textpoznpodarou"/>
        <w:spacing w:line="360" w:lineRule="auto"/>
        <w:ind w:left="426" w:hanging="426"/>
        <w:jc w:val="both"/>
        <w:rPr>
          <w:sz w:val="24"/>
        </w:rPr>
      </w:pPr>
    </w:p>
    <w:p w:rsidR="009B6063" w:rsidRDefault="009B6063" w:rsidP="00AE5C96">
      <w:pPr>
        <w:pStyle w:val="Odstavecseseznamem"/>
        <w:numPr>
          <w:ilvl w:val="0"/>
          <w:numId w:val="10"/>
        </w:numPr>
        <w:spacing w:line="360" w:lineRule="auto"/>
        <w:ind w:left="426" w:hanging="426"/>
        <w:jc w:val="both"/>
        <w:rPr>
          <w:sz w:val="24"/>
        </w:rPr>
      </w:pPr>
      <w:r w:rsidRPr="009B6063">
        <w:rPr>
          <w:sz w:val="24"/>
        </w:rPr>
        <w:lastRenderedPageBreak/>
        <w:t>ELIÁŠ, Karel. Inspirační síla Všeobecného zákoníku občanského v návrhu občanského zákoníku pro Českou republiku. In HRUŠÁKOVÁ, Milana (</w:t>
      </w:r>
      <w:proofErr w:type="spellStart"/>
      <w:r w:rsidRPr="009B6063">
        <w:rPr>
          <w:sz w:val="24"/>
        </w:rPr>
        <w:t>ed</w:t>
      </w:r>
      <w:proofErr w:type="spellEnd"/>
      <w:r w:rsidRPr="009B6063">
        <w:rPr>
          <w:sz w:val="24"/>
        </w:rPr>
        <w:t xml:space="preserve">.). </w:t>
      </w:r>
      <w:r w:rsidRPr="009B6063">
        <w:rPr>
          <w:i/>
          <w:sz w:val="24"/>
        </w:rPr>
        <w:t>200 let - ABGB od kodifikace k </w:t>
      </w:r>
      <w:proofErr w:type="spellStart"/>
      <w:r w:rsidRPr="009B6063">
        <w:rPr>
          <w:i/>
          <w:sz w:val="24"/>
        </w:rPr>
        <w:t>rekodifikaci</w:t>
      </w:r>
      <w:proofErr w:type="spellEnd"/>
      <w:r w:rsidRPr="009B6063">
        <w:rPr>
          <w:i/>
          <w:sz w:val="24"/>
        </w:rPr>
        <w:t xml:space="preserve"> českého občanského práva. </w:t>
      </w:r>
      <w:r w:rsidRPr="009B6063">
        <w:rPr>
          <w:sz w:val="24"/>
        </w:rPr>
        <w:t xml:space="preserve">Praha: </w:t>
      </w:r>
      <w:proofErr w:type="spellStart"/>
      <w:r w:rsidRPr="009B6063">
        <w:rPr>
          <w:sz w:val="24"/>
        </w:rPr>
        <w:t>Leges</w:t>
      </w:r>
      <w:proofErr w:type="spellEnd"/>
      <w:r w:rsidRPr="009B6063">
        <w:rPr>
          <w:sz w:val="24"/>
        </w:rPr>
        <w:t xml:space="preserve">, 2011, s. </w:t>
      </w:r>
      <w:r w:rsidR="00E56A3E">
        <w:rPr>
          <w:sz w:val="24"/>
        </w:rPr>
        <w:t>16-</w:t>
      </w:r>
      <w:r>
        <w:rPr>
          <w:sz w:val="24"/>
        </w:rPr>
        <w:t>29</w:t>
      </w:r>
      <w:r w:rsidRPr="009B6063">
        <w:rPr>
          <w:sz w:val="24"/>
        </w:rPr>
        <w:t>.</w:t>
      </w:r>
    </w:p>
    <w:p w:rsidR="007433DB" w:rsidRPr="009B6063" w:rsidRDefault="007433DB" w:rsidP="00AE5C96">
      <w:pPr>
        <w:pStyle w:val="Odstavecseseznamem"/>
        <w:spacing w:line="360" w:lineRule="auto"/>
        <w:ind w:left="426" w:hanging="426"/>
        <w:jc w:val="both"/>
        <w:rPr>
          <w:sz w:val="24"/>
        </w:rPr>
      </w:pPr>
    </w:p>
    <w:p w:rsidR="00885B95" w:rsidRDefault="00885B95" w:rsidP="00AE5C96">
      <w:pPr>
        <w:pStyle w:val="Odstavecseseznamem"/>
        <w:numPr>
          <w:ilvl w:val="0"/>
          <w:numId w:val="7"/>
        </w:numPr>
        <w:spacing w:line="360" w:lineRule="auto"/>
        <w:ind w:left="426" w:hanging="426"/>
        <w:jc w:val="both"/>
        <w:rPr>
          <w:sz w:val="24"/>
        </w:rPr>
      </w:pPr>
      <w:r w:rsidRPr="00885B95">
        <w:rPr>
          <w:sz w:val="24"/>
        </w:rPr>
        <w:t>ELIÁŠ</w:t>
      </w:r>
      <w:r>
        <w:rPr>
          <w:sz w:val="24"/>
        </w:rPr>
        <w:t xml:space="preserve">, Karel. Legendy o osnově občanského zákoníku. </w:t>
      </w:r>
      <w:r>
        <w:rPr>
          <w:i/>
          <w:sz w:val="24"/>
        </w:rPr>
        <w:t xml:space="preserve">Právní rozhledy, </w:t>
      </w:r>
      <w:r>
        <w:rPr>
          <w:sz w:val="24"/>
        </w:rPr>
        <w:t xml:space="preserve">2007, </w:t>
      </w:r>
      <w:proofErr w:type="spellStart"/>
      <w:r w:rsidR="00C75EF9">
        <w:rPr>
          <w:sz w:val="24"/>
        </w:rPr>
        <w:t>roč</w:t>
      </w:r>
      <w:proofErr w:type="spellEnd"/>
      <w:r w:rsidR="00C75EF9">
        <w:rPr>
          <w:sz w:val="24"/>
        </w:rPr>
        <w:t xml:space="preserve">. 15, </w:t>
      </w:r>
      <w:r>
        <w:rPr>
          <w:sz w:val="24"/>
        </w:rPr>
        <w:t>č. 17, s. 632</w:t>
      </w:r>
      <w:r w:rsidR="00E56A3E">
        <w:rPr>
          <w:sz w:val="24"/>
        </w:rPr>
        <w:t>-641</w:t>
      </w:r>
      <w:r>
        <w:rPr>
          <w:sz w:val="24"/>
        </w:rPr>
        <w:t>.</w:t>
      </w:r>
    </w:p>
    <w:p w:rsidR="007433DB" w:rsidRDefault="007433DB" w:rsidP="00AE5C96">
      <w:pPr>
        <w:pStyle w:val="Odstavecseseznamem"/>
        <w:spacing w:line="360" w:lineRule="auto"/>
        <w:ind w:left="426" w:hanging="426"/>
        <w:jc w:val="both"/>
        <w:rPr>
          <w:sz w:val="24"/>
        </w:rPr>
      </w:pPr>
    </w:p>
    <w:p w:rsidR="00885B95" w:rsidRDefault="00885B95" w:rsidP="00AE5C96">
      <w:pPr>
        <w:pStyle w:val="Odstavecseseznamem"/>
        <w:numPr>
          <w:ilvl w:val="0"/>
          <w:numId w:val="7"/>
        </w:numPr>
        <w:spacing w:line="360" w:lineRule="auto"/>
        <w:ind w:left="426" w:hanging="426"/>
        <w:jc w:val="both"/>
        <w:rPr>
          <w:sz w:val="24"/>
        </w:rPr>
      </w:pPr>
      <w:r>
        <w:rPr>
          <w:sz w:val="24"/>
        </w:rPr>
        <w:t xml:space="preserve">ELIÁŠ, Karel. Noblesa civilistické tradice a postmoderní přístupy k občanskému právu. </w:t>
      </w:r>
      <w:r>
        <w:rPr>
          <w:i/>
          <w:sz w:val="24"/>
        </w:rPr>
        <w:t xml:space="preserve">Právní rozhledy, </w:t>
      </w:r>
      <w:r>
        <w:rPr>
          <w:sz w:val="24"/>
        </w:rPr>
        <w:t xml:space="preserve">2003, </w:t>
      </w:r>
      <w:proofErr w:type="spellStart"/>
      <w:r w:rsidR="001B562C">
        <w:rPr>
          <w:sz w:val="24"/>
        </w:rPr>
        <w:t>roč</w:t>
      </w:r>
      <w:proofErr w:type="spellEnd"/>
      <w:r w:rsidR="001B562C">
        <w:rPr>
          <w:sz w:val="24"/>
        </w:rPr>
        <w:t xml:space="preserve">. 11, </w:t>
      </w:r>
      <w:r>
        <w:rPr>
          <w:sz w:val="24"/>
        </w:rPr>
        <w:t xml:space="preserve">č. </w:t>
      </w:r>
      <w:r w:rsidR="0091364A">
        <w:rPr>
          <w:sz w:val="24"/>
        </w:rPr>
        <w:t>8, s. 413</w:t>
      </w:r>
      <w:r w:rsidR="00F2723B">
        <w:rPr>
          <w:sz w:val="24"/>
        </w:rPr>
        <w:t>-417</w:t>
      </w:r>
      <w:r w:rsidR="0091364A">
        <w:rPr>
          <w:sz w:val="24"/>
        </w:rPr>
        <w:t>.</w:t>
      </w:r>
    </w:p>
    <w:p w:rsidR="007433DB" w:rsidRPr="007433DB" w:rsidRDefault="007433DB" w:rsidP="00AE5C96">
      <w:pPr>
        <w:pStyle w:val="Odstavecseseznamem"/>
        <w:ind w:left="426" w:hanging="426"/>
        <w:jc w:val="both"/>
        <w:rPr>
          <w:sz w:val="24"/>
        </w:rPr>
      </w:pPr>
    </w:p>
    <w:p w:rsidR="0091364A" w:rsidRDefault="0091364A" w:rsidP="00AE5C96">
      <w:pPr>
        <w:pStyle w:val="Odstavecseseznamem"/>
        <w:numPr>
          <w:ilvl w:val="0"/>
          <w:numId w:val="7"/>
        </w:numPr>
        <w:spacing w:line="360" w:lineRule="auto"/>
        <w:ind w:left="426" w:hanging="426"/>
        <w:jc w:val="both"/>
        <w:rPr>
          <w:sz w:val="24"/>
        </w:rPr>
      </w:pPr>
      <w:r>
        <w:rPr>
          <w:sz w:val="24"/>
        </w:rPr>
        <w:t xml:space="preserve">ELIÁŠ, Karel. </w:t>
      </w:r>
      <w:proofErr w:type="spellStart"/>
      <w:r>
        <w:rPr>
          <w:sz w:val="24"/>
        </w:rPr>
        <w:t>Rekodifikace</w:t>
      </w:r>
      <w:proofErr w:type="spellEnd"/>
      <w:r>
        <w:rPr>
          <w:sz w:val="24"/>
        </w:rPr>
        <w:t xml:space="preserve"> občanského práva v postmoderní době. </w:t>
      </w:r>
      <w:r>
        <w:rPr>
          <w:i/>
          <w:sz w:val="24"/>
        </w:rPr>
        <w:t xml:space="preserve">Právní rozhledy, </w:t>
      </w:r>
      <w:r>
        <w:rPr>
          <w:sz w:val="24"/>
        </w:rPr>
        <w:t xml:space="preserve">2008, </w:t>
      </w:r>
      <w:proofErr w:type="spellStart"/>
      <w:r w:rsidR="009929AB">
        <w:rPr>
          <w:sz w:val="24"/>
        </w:rPr>
        <w:t>roč</w:t>
      </w:r>
      <w:proofErr w:type="spellEnd"/>
      <w:r w:rsidR="009929AB">
        <w:rPr>
          <w:sz w:val="24"/>
        </w:rPr>
        <w:t xml:space="preserve">. 16, </w:t>
      </w:r>
      <w:r>
        <w:rPr>
          <w:sz w:val="24"/>
        </w:rPr>
        <w:t>č. 1, s. 1</w:t>
      </w:r>
      <w:r w:rsidR="00C75EF9">
        <w:rPr>
          <w:sz w:val="24"/>
        </w:rPr>
        <w:t>-7</w:t>
      </w:r>
      <w:r>
        <w:rPr>
          <w:sz w:val="24"/>
        </w:rPr>
        <w:t>.</w:t>
      </w:r>
    </w:p>
    <w:p w:rsidR="007433DB" w:rsidRPr="007433DB" w:rsidRDefault="007433DB" w:rsidP="00AE5C96">
      <w:pPr>
        <w:pStyle w:val="Odstavecseseznamem"/>
        <w:ind w:left="426" w:hanging="426"/>
        <w:jc w:val="both"/>
        <w:rPr>
          <w:sz w:val="24"/>
        </w:rPr>
      </w:pPr>
    </w:p>
    <w:p w:rsidR="009B6063" w:rsidRDefault="009B6063" w:rsidP="00AE5C96">
      <w:pPr>
        <w:pStyle w:val="Odstavecseseznamem"/>
        <w:numPr>
          <w:ilvl w:val="0"/>
          <w:numId w:val="7"/>
        </w:numPr>
        <w:spacing w:line="360" w:lineRule="auto"/>
        <w:ind w:left="426" w:hanging="426"/>
        <w:jc w:val="both"/>
        <w:rPr>
          <w:sz w:val="24"/>
        </w:rPr>
      </w:pPr>
      <w:r w:rsidRPr="009B6063">
        <w:rPr>
          <w:sz w:val="24"/>
        </w:rPr>
        <w:t xml:space="preserve">ELIÁŠ, Karel. Základní pojetí návrhu úpravy dědického práva pro nový občanský zákoník. </w:t>
      </w:r>
      <w:r w:rsidRPr="009B6063">
        <w:rPr>
          <w:i/>
          <w:sz w:val="24"/>
        </w:rPr>
        <w:t xml:space="preserve">Ad </w:t>
      </w:r>
      <w:proofErr w:type="spellStart"/>
      <w:r w:rsidRPr="009B6063">
        <w:rPr>
          <w:i/>
          <w:sz w:val="24"/>
        </w:rPr>
        <w:t>Notam</w:t>
      </w:r>
      <w:proofErr w:type="spellEnd"/>
      <w:r w:rsidRPr="009B6063">
        <w:rPr>
          <w:i/>
          <w:sz w:val="24"/>
        </w:rPr>
        <w:t xml:space="preserve">, </w:t>
      </w:r>
      <w:proofErr w:type="spellStart"/>
      <w:r w:rsidR="00E56A3E">
        <w:rPr>
          <w:sz w:val="24"/>
        </w:rPr>
        <w:t>roč</w:t>
      </w:r>
      <w:proofErr w:type="spellEnd"/>
      <w:r w:rsidR="00E56A3E">
        <w:rPr>
          <w:sz w:val="24"/>
        </w:rPr>
        <w:t>. 9, č. 5, 2003, s. 97-</w:t>
      </w:r>
      <w:r>
        <w:rPr>
          <w:sz w:val="24"/>
        </w:rPr>
        <w:t>104.</w:t>
      </w:r>
    </w:p>
    <w:p w:rsidR="007433DB" w:rsidRPr="007433DB" w:rsidRDefault="007433DB" w:rsidP="00AE5C96">
      <w:pPr>
        <w:pStyle w:val="Odstavecseseznamem"/>
        <w:ind w:left="426" w:hanging="426"/>
        <w:jc w:val="both"/>
        <w:rPr>
          <w:sz w:val="24"/>
        </w:rPr>
      </w:pPr>
    </w:p>
    <w:p w:rsidR="0091364A" w:rsidRDefault="0091364A" w:rsidP="00AE5C96">
      <w:pPr>
        <w:pStyle w:val="Odstavecseseznamem"/>
        <w:numPr>
          <w:ilvl w:val="0"/>
          <w:numId w:val="7"/>
        </w:numPr>
        <w:spacing w:line="360" w:lineRule="auto"/>
        <w:ind w:left="426" w:hanging="426"/>
        <w:jc w:val="both"/>
        <w:rPr>
          <w:sz w:val="24"/>
        </w:rPr>
      </w:pPr>
      <w:r>
        <w:rPr>
          <w:sz w:val="24"/>
        </w:rPr>
        <w:t xml:space="preserve">HORÁK, Ondřej. Tzv. nepominutelný dědic v novém občanském zákoníku. </w:t>
      </w:r>
      <w:r>
        <w:rPr>
          <w:i/>
          <w:sz w:val="24"/>
        </w:rPr>
        <w:t xml:space="preserve">Právní rozhledy, </w:t>
      </w:r>
      <w:r>
        <w:rPr>
          <w:sz w:val="24"/>
        </w:rPr>
        <w:t xml:space="preserve">2014, </w:t>
      </w:r>
      <w:proofErr w:type="spellStart"/>
      <w:r w:rsidR="00C75EF9">
        <w:rPr>
          <w:sz w:val="24"/>
        </w:rPr>
        <w:t>roč</w:t>
      </w:r>
      <w:proofErr w:type="spellEnd"/>
      <w:r w:rsidR="00C75EF9">
        <w:rPr>
          <w:sz w:val="24"/>
        </w:rPr>
        <w:t xml:space="preserve">. 22, </w:t>
      </w:r>
      <w:r>
        <w:rPr>
          <w:sz w:val="24"/>
        </w:rPr>
        <w:t>č. 11, s. 381</w:t>
      </w:r>
      <w:r w:rsidR="00E56A3E">
        <w:rPr>
          <w:sz w:val="24"/>
        </w:rPr>
        <w:t>-386</w:t>
      </w:r>
      <w:r>
        <w:rPr>
          <w:sz w:val="24"/>
        </w:rPr>
        <w:t>.</w:t>
      </w:r>
    </w:p>
    <w:p w:rsidR="00CF112B" w:rsidRPr="00CF112B" w:rsidRDefault="00CF112B" w:rsidP="00AE5C96">
      <w:pPr>
        <w:pStyle w:val="Odstavecseseznamem"/>
        <w:ind w:left="426" w:hanging="426"/>
        <w:jc w:val="both"/>
        <w:rPr>
          <w:sz w:val="24"/>
        </w:rPr>
      </w:pPr>
    </w:p>
    <w:p w:rsidR="00CF112B" w:rsidRPr="00CF112B" w:rsidRDefault="00CF112B" w:rsidP="00AE5C96">
      <w:pPr>
        <w:pStyle w:val="Odstavecseseznamem"/>
        <w:numPr>
          <w:ilvl w:val="0"/>
          <w:numId w:val="7"/>
        </w:numPr>
        <w:spacing w:line="360" w:lineRule="auto"/>
        <w:ind w:left="426" w:hanging="426"/>
        <w:jc w:val="both"/>
        <w:rPr>
          <w:sz w:val="32"/>
        </w:rPr>
      </w:pPr>
      <w:r>
        <w:rPr>
          <w:color w:val="000000"/>
          <w:sz w:val="24"/>
          <w:shd w:val="clear" w:color="auto" w:fill="FFFFFF"/>
        </w:rPr>
        <w:t xml:space="preserve">HORÁK, Ondřej. </w:t>
      </w:r>
      <w:r w:rsidRPr="00CF112B">
        <w:rPr>
          <w:color w:val="000000"/>
          <w:sz w:val="24"/>
          <w:shd w:val="clear" w:color="auto" w:fill="FFFFFF"/>
        </w:rPr>
        <w:t>Dějiny kodifikace soukromého práva v českých zemích. In MELZER, Filip, TÉGL, Petr (edd.).</w:t>
      </w:r>
      <w:r w:rsidRPr="00CF112B">
        <w:rPr>
          <w:rStyle w:val="apple-converted-space"/>
          <w:color w:val="000000"/>
          <w:sz w:val="24"/>
          <w:shd w:val="clear" w:color="auto" w:fill="FFFFFF"/>
        </w:rPr>
        <w:t> </w:t>
      </w:r>
      <w:r w:rsidRPr="00CF112B">
        <w:rPr>
          <w:i/>
          <w:iCs/>
          <w:color w:val="000000"/>
          <w:sz w:val="24"/>
          <w:shd w:val="clear" w:color="auto" w:fill="FFFFFF"/>
        </w:rPr>
        <w:t>Občanský zákoník</w:t>
      </w:r>
      <w:r w:rsidRPr="00CF112B">
        <w:rPr>
          <w:rStyle w:val="apple-converted-space"/>
          <w:i/>
          <w:iCs/>
          <w:color w:val="000000"/>
          <w:sz w:val="24"/>
          <w:shd w:val="clear" w:color="auto" w:fill="FFFFFF"/>
        </w:rPr>
        <w:t> </w:t>
      </w:r>
      <w:r w:rsidRPr="00CF112B">
        <w:rPr>
          <w:i/>
          <w:iCs/>
          <w:color w:val="000000"/>
          <w:sz w:val="24"/>
          <w:shd w:val="clear" w:color="auto" w:fill="FFFFFF"/>
        </w:rPr>
        <w:t>–</w:t>
      </w:r>
      <w:r w:rsidRPr="00CF112B">
        <w:rPr>
          <w:rStyle w:val="apple-converted-space"/>
          <w:i/>
          <w:iCs/>
          <w:color w:val="000000"/>
          <w:sz w:val="24"/>
          <w:shd w:val="clear" w:color="auto" w:fill="FFFFFF"/>
        </w:rPr>
        <w:t> </w:t>
      </w:r>
      <w:r w:rsidRPr="00CF112B">
        <w:rPr>
          <w:i/>
          <w:iCs/>
          <w:color w:val="000000"/>
          <w:sz w:val="24"/>
          <w:shd w:val="clear" w:color="auto" w:fill="FFFFFF"/>
        </w:rPr>
        <w:t>velký komentář. Svazek I</w:t>
      </w:r>
      <w:r w:rsidRPr="00CF112B">
        <w:rPr>
          <w:rStyle w:val="apple-converted-space"/>
          <w:i/>
          <w:iCs/>
          <w:color w:val="000000"/>
          <w:sz w:val="24"/>
          <w:shd w:val="clear" w:color="auto" w:fill="FFFFFF"/>
        </w:rPr>
        <w:t> </w:t>
      </w:r>
      <w:r w:rsidRPr="00CF112B">
        <w:rPr>
          <w:i/>
          <w:iCs/>
          <w:color w:val="000000"/>
          <w:sz w:val="24"/>
          <w:shd w:val="clear" w:color="auto" w:fill="FFFFFF"/>
        </w:rPr>
        <w:t>–</w:t>
      </w:r>
      <w:r w:rsidRPr="00CF112B">
        <w:rPr>
          <w:rStyle w:val="apple-converted-space"/>
          <w:i/>
          <w:iCs/>
          <w:color w:val="000000"/>
          <w:sz w:val="24"/>
          <w:shd w:val="clear" w:color="auto" w:fill="FFFFFF"/>
        </w:rPr>
        <w:t> </w:t>
      </w:r>
      <w:r w:rsidRPr="00CF112B">
        <w:rPr>
          <w:i/>
          <w:iCs/>
          <w:color w:val="000000"/>
          <w:sz w:val="24"/>
          <w:shd w:val="clear" w:color="auto" w:fill="FFFFFF"/>
        </w:rPr>
        <w:t>§ 1–117 Obecná ustanovení.</w:t>
      </w:r>
      <w:r w:rsidRPr="00CF112B">
        <w:rPr>
          <w:rStyle w:val="apple-converted-space"/>
          <w:i/>
          <w:iCs/>
          <w:color w:val="000000"/>
          <w:sz w:val="24"/>
          <w:shd w:val="clear" w:color="auto" w:fill="FFFFFF"/>
        </w:rPr>
        <w:t> </w:t>
      </w:r>
      <w:r w:rsidRPr="00CF112B">
        <w:rPr>
          <w:color w:val="000000"/>
          <w:sz w:val="24"/>
          <w:shd w:val="clear" w:color="auto" w:fill="FFFFFF"/>
        </w:rPr>
        <w:t xml:space="preserve">Praha: </w:t>
      </w:r>
      <w:proofErr w:type="spellStart"/>
      <w:r w:rsidRPr="00CF112B">
        <w:rPr>
          <w:color w:val="000000"/>
          <w:sz w:val="24"/>
          <w:shd w:val="clear" w:color="auto" w:fill="FFFFFF"/>
        </w:rPr>
        <w:t>Leges</w:t>
      </w:r>
      <w:proofErr w:type="spellEnd"/>
      <w:r w:rsidRPr="00CF112B">
        <w:rPr>
          <w:color w:val="000000"/>
          <w:sz w:val="24"/>
          <w:shd w:val="clear" w:color="auto" w:fill="FFFFFF"/>
        </w:rPr>
        <w:t xml:space="preserve">, 2013, s. </w:t>
      </w:r>
      <w:r>
        <w:rPr>
          <w:color w:val="000000"/>
          <w:sz w:val="24"/>
          <w:shd w:val="clear" w:color="auto" w:fill="FFFFFF"/>
        </w:rPr>
        <w:t>27-57</w:t>
      </w:r>
      <w:r w:rsidRPr="00CF112B">
        <w:rPr>
          <w:color w:val="000000"/>
          <w:sz w:val="24"/>
          <w:shd w:val="clear" w:color="auto" w:fill="FFFFFF"/>
        </w:rPr>
        <w:t>.</w:t>
      </w:r>
      <w:r w:rsidRPr="00CF112B">
        <w:rPr>
          <w:color w:val="000000"/>
          <w:sz w:val="22"/>
          <w:szCs w:val="18"/>
          <w:shd w:val="clear" w:color="auto" w:fill="FFFFFF"/>
        </w:rPr>
        <w:t> </w:t>
      </w:r>
    </w:p>
    <w:p w:rsidR="007433DB" w:rsidRPr="007433DB" w:rsidRDefault="007433DB" w:rsidP="00AE5C96">
      <w:pPr>
        <w:pStyle w:val="Odstavecseseznamem"/>
        <w:ind w:left="426" w:hanging="426"/>
        <w:jc w:val="both"/>
        <w:rPr>
          <w:sz w:val="24"/>
        </w:rPr>
      </w:pPr>
    </w:p>
    <w:p w:rsidR="009B6063" w:rsidRDefault="009B6063" w:rsidP="00AE5C96">
      <w:pPr>
        <w:pStyle w:val="Odstavecseseznamem"/>
        <w:numPr>
          <w:ilvl w:val="0"/>
          <w:numId w:val="7"/>
        </w:numPr>
        <w:spacing w:line="360" w:lineRule="auto"/>
        <w:ind w:left="426" w:hanging="426"/>
        <w:jc w:val="both"/>
        <w:rPr>
          <w:sz w:val="24"/>
        </w:rPr>
      </w:pPr>
      <w:r w:rsidRPr="009B6063">
        <w:rPr>
          <w:sz w:val="24"/>
        </w:rPr>
        <w:t>KUKLÍK, Jan. Všeobecný zákoník občanský (ABGB) v československém právu 1918 – 1950. In HRUŠÁKOVÁ, Milana (</w:t>
      </w:r>
      <w:proofErr w:type="spellStart"/>
      <w:r w:rsidRPr="009B6063">
        <w:rPr>
          <w:sz w:val="24"/>
        </w:rPr>
        <w:t>ed</w:t>
      </w:r>
      <w:proofErr w:type="spellEnd"/>
      <w:r w:rsidRPr="009B6063">
        <w:rPr>
          <w:sz w:val="24"/>
        </w:rPr>
        <w:t xml:space="preserve">.). </w:t>
      </w:r>
      <w:r w:rsidRPr="009B6063">
        <w:rPr>
          <w:i/>
          <w:sz w:val="24"/>
        </w:rPr>
        <w:t>200 let ABGB – Od kodifikace k </w:t>
      </w:r>
      <w:proofErr w:type="spellStart"/>
      <w:r w:rsidRPr="009B6063">
        <w:rPr>
          <w:i/>
          <w:sz w:val="24"/>
        </w:rPr>
        <w:t>rekodifikaci</w:t>
      </w:r>
      <w:proofErr w:type="spellEnd"/>
      <w:r w:rsidRPr="009B6063">
        <w:rPr>
          <w:i/>
          <w:sz w:val="24"/>
        </w:rPr>
        <w:t xml:space="preserve"> českého občanského práva. </w:t>
      </w:r>
      <w:r w:rsidR="00E56A3E">
        <w:rPr>
          <w:sz w:val="24"/>
        </w:rPr>
        <w:t xml:space="preserve">Praha: </w:t>
      </w:r>
      <w:proofErr w:type="spellStart"/>
      <w:r w:rsidR="00E56A3E">
        <w:rPr>
          <w:sz w:val="24"/>
        </w:rPr>
        <w:t>Leges</w:t>
      </w:r>
      <w:proofErr w:type="spellEnd"/>
      <w:r w:rsidR="00E56A3E">
        <w:rPr>
          <w:sz w:val="24"/>
        </w:rPr>
        <w:t>, 2011, s. 98-</w:t>
      </w:r>
      <w:r w:rsidRPr="009B6063">
        <w:rPr>
          <w:sz w:val="24"/>
        </w:rPr>
        <w:t>112.</w:t>
      </w:r>
    </w:p>
    <w:p w:rsidR="007433DB" w:rsidRPr="007433DB" w:rsidRDefault="007433DB" w:rsidP="00AE5C96">
      <w:pPr>
        <w:pStyle w:val="Odstavecseseznamem"/>
        <w:ind w:left="426" w:hanging="426"/>
        <w:jc w:val="both"/>
        <w:rPr>
          <w:sz w:val="24"/>
        </w:rPr>
      </w:pPr>
    </w:p>
    <w:p w:rsidR="009B6063" w:rsidRPr="009B6063" w:rsidRDefault="009B6063" w:rsidP="00AE5C96">
      <w:pPr>
        <w:pStyle w:val="Odstavecseseznamem"/>
        <w:numPr>
          <w:ilvl w:val="0"/>
          <w:numId w:val="7"/>
        </w:numPr>
        <w:spacing w:line="360" w:lineRule="auto"/>
        <w:ind w:left="426" w:hanging="426"/>
        <w:jc w:val="both"/>
        <w:rPr>
          <w:sz w:val="24"/>
        </w:rPr>
      </w:pPr>
      <w:r w:rsidRPr="009B6063">
        <w:rPr>
          <w:sz w:val="24"/>
        </w:rPr>
        <w:t xml:space="preserve">WAWERKA, Karel. Nový občanský zákoník z pohledu emeritního notáře. </w:t>
      </w:r>
      <w:r w:rsidRPr="009B6063">
        <w:rPr>
          <w:i/>
          <w:sz w:val="24"/>
        </w:rPr>
        <w:t xml:space="preserve">Bulletin advokacie, </w:t>
      </w:r>
      <w:r w:rsidR="00E56A3E">
        <w:rPr>
          <w:sz w:val="24"/>
        </w:rPr>
        <w:t>2014, č. 12, s. 28-</w:t>
      </w:r>
      <w:r w:rsidRPr="009B6063">
        <w:rPr>
          <w:sz w:val="24"/>
        </w:rPr>
        <w:t>30.</w:t>
      </w:r>
    </w:p>
    <w:p w:rsidR="00885B95" w:rsidRPr="001F1AFE" w:rsidRDefault="00885B95" w:rsidP="00AE5C96">
      <w:pPr>
        <w:ind w:left="360"/>
        <w:jc w:val="both"/>
        <w:rPr>
          <w:b/>
          <w:sz w:val="24"/>
        </w:rPr>
      </w:pPr>
    </w:p>
    <w:p w:rsidR="006901FC" w:rsidRPr="006A319E" w:rsidRDefault="006901FC" w:rsidP="00AE5C96">
      <w:pPr>
        <w:spacing w:line="360" w:lineRule="auto"/>
        <w:jc w:val="both"/>
        <w:rPr>
          <w:sz w:val="24"/>
        </w:rPr>
      </w:pPr>
    </w:p>
    <w:p w:rsidR="00237D8B" w:rsidRDefault="00237D8B" w:rsidP="00AE5C96">
      <w:pPr>
        <w:spacing w:line="360" w:lineRule="auto"/>
        <w:jc w:val="both"/>
        <w:rPr>
          <w:b/>
          <w:sz w:val="28"/>
          <w:szCs w:val="24"/>
        </w:rPr>
      </w:pPr>
      <w:r>
        <w:rPr>
          <w:b/>
          <w:sz w:val="28"/>
          <w:szCs w:val="24"/>
        </w:rPr>
        <w:br w:type="page"/>
      </w:r>
    </w:p>
    <w:p w:rsidR="008D11B8" w:rsidRDefault="00F131EC" w:rsidP="00AE5C96">
      <w:pPr>
        <w:pStyle w:val="Nadpis1"/>
        <w:spacing w:line="360" w:lineRule="auto"/>
        <w:jc w:val="both"/>
        <w:rPr>
          <w:rFonts w:ascii="Times New Roman" w:hAnsi="Times New Roman" w:cs="Times New Roman"/>
          <w:color w:val="auto"/>
        </w:rPr>
      </w:pPr>
      <w:bookmarkStart w:id="47" w:name="_Toc409631323"/>
      <w:r>
        <w:rPr>
          <w:rFonts w:ascii="Times New Roman" w:hAnsi="Times New Roman" w:cs="Times New Roman"/>
          <w:color w:val="auto"/>
        </w:rPr>
        <w:lastRenderedPageBreak/>
        <w:t xml:space="preserve">Abstrakt a klíčová slova / </w:t>
      </w:r>
      <w:proofErr w:type="spellStart"/>
      <w:r>
        <w:rPr>
          <w:rFonts w:ascii="Times New Roman" w:hAnsi="Times New Roman" w:cs="Times New Roman"/>
          <w:color w:val="auto"/>
        </w:rPr>
        <w:t>Abstract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and</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key</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words</w:t>
      </w:r>
      <w:bookmarkEnd w:id="47"/>
      <w:proofErr w:type="spellEnd"/>
    </w:p>
    <w:p w:rsidR="005A6046" w:rsidRPr="00011FFF" w:rsidRDefault="00F131EC" w:rsidP="00AE5C96">
      <w:pPr>
        <w:jc w:val="both"/>
        <w:rPr>
          <w:b/>
          <w:sz w:val="24"/>
        </w:rPr>
      </w:pPr>
      <w:r>
        <w:rPr>
          <w:b/>
          <w:sz w:val="24"/>
        </w:rPr>
        <w:t>Abstrakt</w:t>
      </w:r>
    </w:p>
    <w:p w:rsidR="005A6046" w:rsidRDefault="005A6046" w:rsidP="00AE5C96">
      <w:pPr>
        <w:spacing w:line="360" w:lineRule="auto"/>
        <w:ind w:firstLine="567"/>
        <w:jc w:val="both"/>
        <w:rPr>
          <w:sz w:val="24"/>
        </w:rPr>
      </w:pPr>
      <w:r>
        <w:rPr>
          <w:sz w:val="24"/>
        </w:rPr>
        <w:t xml:space="preserve">Diplomová práce se věnuje </w:t>
      </w:r>
      <w:r w:rsidR="00D306E7">
        <w:rPr>
          <w:sz w:val="24"/>
        </w:rPr>
        <w:t xml:space="preserve">vztahu meziválečné </w:t>
      </w:r>
      <w:proofErr w:type="spellStart"/>
      <w:r w:rsidR="00D306E7">
        <w:rPr>
          <w:sz w:val="24"/>
        </w:rPr>
        <w:t>rekodifikace</w:t>
      </w:r>
      <w:proofErr w:type="spellEnd"/>
      <w:r w:rsidR="00D306E7">
        <w:rPr>
          <w:sz w:val="24"/>
        </w:rPr>
        <w:t xml:space="preserve"> a nového občanského zákoníku, který byl v mnohém inspirován vládním návrhem z roku 1937. </w:t>
      </w:r>
      <w:r w:rsidR="000E2E0C">
        <w:rPr>
          <w:sz w:val="24"/>
        </w:rPr>
        <w:t>První</w:t>
      </w:r>
      <w:r w:rsidR="00195894">
        <w:rPr>
          <w:sz w:val="24"/>
        </w:rPr>
        <w:t xml:space="preserve"> kapitola se zabývá pojmem inspiračního zdroje, důvody, proč je právě vládní návrh z roku 1937 vhodným inspiračním zdrojem, a nakonec také dalšími zdroji nového dědického práva. </w:t>
      </w:r>
      <w:r w:rsidR="000E2E0C">
        <w:rPr>
          <w:sz w:val="24"/>
        </w:rPr>
        <w:t xml:space="preserve">V druhé kapitole práce pojednává o přípravě vládního návrhu občanského zákoníku po vzniku samostatného Československa. </w:t>
      </w:r>
      <w:r w:rsidR="00195894">
        <w:rPr>
          <w:sz w:val="24"/>
        </w:rPr>
        <w:t>V hlavní kapitole práce srovnává ustanovení vládního návrhu z roku 1937 a nového občanského zákoníku. Poslední kapitola se zaměřuje na vybraný institut dědického práva, a to institut povinného dílu.</w:t>
      </w:r>
    </w:p>
    <w:p w:rsidR="00195894" w:rsidRPr="00011FFF" w:rsidRDefault="00F131EC" w:rsidP="00AE5C96">
      <w:pPr>
        <w:jc w:val="both"/>
        <w:rPr>
          <w:b/>
          <w:sz w:val="24"/>
        </w:rPr>
      </w:pPr>
      <w:r>
        <w:rPr>
          <w:b/>
          <w:sz w:val="24"/>
        </w:rPr>
        <w:t>Klíčová slova</w:t>
      </w:r>
    </w:p>
    <w:p w:rsidR="00195894" w:rsidRDefault="00195894" w:rsidP="00AE5C96">
      <w:pPr>
        <w:ind w:firstLine="567"/>
        <w:jc w:val="both"/>
        <w:rPr>
          <w:sz w:val="24"/>
        </w:rPr>
      </w:pPr>
      <w:r>
        <w:rPr>
          <w:sz w:val="24"/>
        </w:rPr>
        <w:tab/>
      </w:r>
      <w:r w:rsidR="000E2E0C">
        <w:rPr>
          <w:sz w:val="24"/>
        </w:rPr>
        <w:t>i</w:t>
      </w:r>
      <w:r>
        <w:rPr>
          <w:sz w:val="24"/>
        </w:rPr>
        <w:t>nspirační zdroj,</w:t>
      </w:r>
      <w:r w:rsidR="000E2E0C">
        <w:rPr>
          <w:sz w:val="24"/>
        </w:rPr>
        <w:t xml:space="preserve"> meziválečná </w:t>
      </w:r>
      <w:proofErr w:type="spellStart"/>
      <w:r w:rsidR="000E2E0C">
        <w:rPr>
          <w:sz w:val="24"/>
        </w:rPr>
        <w:t>rekodifikace</w:t>
      </w:r>
      <w:proofErr w:type="spellEnd"/>
      <w:r w:rsidR="000E2E0C">
        <w:rPr>
          <w:sz w:val="24"/>
        </w:rPr>
        <w:t>,</w:t>
      </w:r>
      <w:r>
        <w:rPr>
          <w:sz w:val="24"/>
        </w:rPr>
        <w:t xml:space="preserve"> dědické právo, povinný díl</w:t>
      </w:r>
    </w:p>
    <w:p w:rsidR="00195894" w:rsidRDefault="00195894" w:rsidP="00AE5C96">
      <w:pPr>
        <w:jc w:val="both"/>
        <w:rPr>
          <w:sz w:val="24"/>
        </w:rPr>
      </w:pPr>
    </w:p>
    <w:p w:rsidR="00195894" w:rsidRPr="00011FFF" w:rsidRDefault="00F131EC" w:rsidP="00AE5C96">
      <w:pPr>
        <w:jc w:val="both"/>
        <w:rPr>
          <w:b/>
        </w:rPr>
      </w:pPr>
      <w:proofErr w:type="spellStart"/>
      <w:r>
        <w:rPr>
          <w:b/>
          <w:sz w:val="24"/>
        </w:rPr>
        <w:t>Abstract</w:t>
      </w:r>
      <w:proofErr w:type="spellEnd"/>
    </w:p>
    <w:p w:rsidR="00195894" w:rsidRPr="00195894" w:rsidRDefault="00195894" w:rsidP="00AE5C96">
      <w:pPr>
        <w:spacing w:line="360" w:lineRule="auto"/>
        <w:jc w:val="both"/>
        <w:rPr>
          <w:sz w:val="24"/>
        </w:rPr>
      </w:pPr>
      <w:r>
        <w:tab/>
      </w:r>
      <w:proofErr w:type="spellStart"/>
      <w:r w:rsidR="00A10A00">
        <w:rPr>
          <w:sz w:val="24"/>
        </w:rPr>
        <w:t>The</w:t>
      </w:r>
      <w:proofErr w:type="spellEnd"/>
      <w:r w:rsidR="00A10A00">
        <w:rPr>
          <w:sz w:val="24"/>
        </w:rPr>
        <w:t xml:space="preserve"> thesis </w:t>
      </w:r>
      <w:proofErr w:type="spellStart"/>
      <w:r w:rsidR="00A10A00">
        <w:rPr>
          <w:sz w:val="24"/>
        </w:rPr>
        <w:t>concerns</w:t>
      </w:r>
      <w:proofErr w:type="spellEnd"/>
      <w:r w:rsidR="00A10A00">
        <w:rPr>
          <w:sz w:val="24"/>
        </w:rPr>
        <w:t xml:space="preserve"> </w:t>
      </w:r>
      <w:proofErr w:type="spellStart"/>
      <w:r w:rsidR="00A10A00">
        <w:rPr>
          <w:sz w:val="24"/>
        </w:rPr>
        <w:t>with</w:t>
      </w:r>
      <w:proofErr w:type="spellEnd"/>
      <w:r w:rsidR="00A10A00">
        <w:rPr>
          <w:sz w:val="24"/>
        </w:rPr>
        <w:t xml:space="preserve"> </w:t>
      </w:r>
      <w:r w:rsidR="00D306E7">
        <w:rPr>
          <w:sz w:val="24"/>
        </w:rPr>
        <w:t xml:space="preserve">a </w:t>
      </w:r>
      <w:proofErr w:type="spellStart"/>
      <w:r w:rsidR="00D306E7">
        <w:rPr>
          <w:sz w:val="24"/>
        </w:rPr>
        <w:t>relationship</w:t>
      </w:r>
      <w:proofErr w:type="spellEnd"/>
      <w:r w:rsidR="00D306E7">
        <w:rPr>
          <w:sz w:val="24"/>
        </w:rPr>
        <w:t xml:space="preserve"> </w:t>
      </w:r>
      <w:proofErr w:type="spellStart"/>
      <w:r w:rsidR="00D306E7">
        <w:rPr>
          <w:sz w:val="24"/>
        </w:rPr>
        <w:t>between</w:t>
      </w:r>
      <w:proofErr w:type="spellEnd"/>
      <w:r w:rsidR="00D306E7">
        <w:rPr>
          <w:sz w:val="24"/>
        </w:rPr>
        <w:t xml:space="preserve"> </w:t>
      </w:r>
      <w:proofErr w:type="spellStart"/>
      <w:r w:rsidR="00D306E7">
        <w:rPr>
          <w:sz w:val="24"/>
        </w:rPr>
        <w:t>an</w:t>
      </w:r>
      <w:proofErr w:type="spellEnd"/>
      <w:r w:rsidR="00D306E7">
        <w:rPr>
          <w:sz w:val="24"/>
        </w:rPr>
        <w:t xml:space="preserve"> </w:t>
      </w:r>
      <w:proofErr w:type="spellStart"/>
      <w:r w:rsidR="00A10A00">
        <w:rPr>
          <w:sz w:val="24"/>
        </w:rPr>
        <w:t>interwar</w:t>
      </w:r>
      <w:proofErr w:type="spellEnd"/>
      <w:r w:rsidR="00A10A00">
        <w:rPr>
          <w:sz w:val="24"/>
        </w:rPr>
        <w:t xml:space="preserve"> </w:t>
      </w:r>
      <w:proofErr w:type="spellStart"/>
      <w:r w:rsidR="00A10A00">
        <w:rPr>
          <w:sz w:val="24"/>
        </w:rPr>
        <w:t>recodificaton</w:t>
      </w:r>
      <w:proofErr w:type="spellEnd"/>
      <w:r w:rsidR="00A10A00">
        <w:rPr>
          <w:sz w:val="24"/>
        </w:rPr>
        <w:t xml:space="preserve"> </w:t>
      </w:r>
      <w:proofErr w:type="spellStart"/>
      <w:r w:rsidR="00D306E7">
        <w:rPr>
          <w:sz w:val="24"/>
        </w:rPr>
        <w:t>and</w:t>
      </w:r>
      <w:proofErr w:type="spellEnd"/>
      <w:r w:rsidR="00D306E7">
        <w:rPr>
          <w:sz w:val="24"/>
        </w:rPr>
        <w:t xml:space="preserve"> </w:t>
      </w:r>
      <w:proofErr w:type="spellStart"/>
      <w:r w:rsidR="00D306E7">
        <w:rPr>
          <w:sz w:val="24"/>
        </w:rPr>
        <w:t>new</w:t>
      </w:r>
      <w:proofErr w:type="spellEnd"/>
      <w:r w:rsidR="00D306E7">
        <w:rPr>
          <w:sz w:val="24"/>
        </w:rPr>
        <w:t xml:space="preserve"> civil </w:t>
      </w:r>
      <w:proofErr w:type="spellStart"/>
      <w:r w:rsidR="00D306E7">
        <w:rPr>
          <w:sz w:val="24"/>
        </w:rPr>
        <w:t>code</w:t>
      </w:r>
      <w:proofErr w:type="spellEnd"/>
      <w:r w:rsidR="00D306E7">
        <w:rPr>
          <w:sz w:val="24"/>
        </w:rPr>
        <w:t xml:space="preserve">, </w:t>
      </w:r>
      <w:proofErr w:type="spellStart"/>
      <w:r w:rsidR="00D306E7">
        <w:rPr>
          <w:sz w:val="24"/>
        </w:rPr>
        <w:t>that</w:t>
      </w:r>
      <w:proofErr w:type="spellEnd"/>
      <w:r w:rsidR="00D306E7">
        <w:rPr>
          <w:sz w:val="24"/>
        </w:rPr>
        <w:t xml:space="preserve"> has </w:t>
      </w:r>
      <w:proofErr w:type="spellStart"/>
      <w:r w:rsidR="00D306E7">
        <w:rPr>
          <w:sz w:val="24"/>
        </w:rPr>
        <w:t>been</w:t>
      </w:r>
      <w:proofErr w:type="spellEnd"/>
      <w:r w:rsidR="00D306E7">
        <w:rPr>
          <w:sz w:val="24"/>
        </w:rPr>
        <w:t xml:space="preserve"> </w:t>
      </w:r>
      <w:proofErr w:type="spellStart"/>
      <w:r w:rsidR="00D306E7">
        <w:rPr>
          <w:sz w:val="24"/>
        </w:rPr>
        <w:t>inspired</w:t>
      </w:r>
      <w:proofErr w:type="spellEnd"/>
      <w:r w:rsidR="00D306E7">
        <w:rPr>
          <w:sz w:val="24"/>
        </w:rPr>
        <w:t xml:space="preserve"> by a </w:t>
      </w:r>
      <w:proofErr w:type="spellStart"/>
      <w:r w:rsidR="00D306E7">
        <w:rPr>
          <w:sz w:val="24"/>
        </w:rPr>
        <w:t>governmental</w:t>
      </w:r>
      <w:proofErr w:type="spellEnd"/>
      <w:r w:rsidR="00D306E7">
        <w:rPr>
          <w:sz w:val="24"/>
        </w:rPr>
        <w:t xml:space="preserve"> </w:t>
      </w:r>
      <w:proofErr w:type="spellStart"/>
      <w:r w:rsidR="00D306E7">
        <w:rPr>
          <w:sz w:val="24"/>
        </w:rPr>
        <w:t>proposal</w:t>
      </w:r>
      <w:proofErr w:type="spellEnd"/>
      <w:r w:rsidR="00D306E7">
        <w:rPr>
          <w:sz w:val="24"/>
        </w:rPr>
        <w:t xml:space="preserve"> </w:t>
      </w:r>
      <w:proofErr w:type="spellStart"/>
      <w:r w:rsidR="00D306E7">
        <w:rPr>
          <w:sz w:val="24"/>
        </w:rPr>
        <w:t>from</w:t>
      </w:r>
      <w:proofErr w:type="spellEnd"/>
      <w:r w:rsidR="00D306E7">
        <w:rPr>
          <w:sz w:val="24"/>
        </w:rPr>
        <w:t xml:space="preserve"> 1937 in many </w:t>
      </w:r>
      <w:proofErr w:type="spellStart"/>
      <w:r w:rsidR="00D306E7">
        <w:rPr>
          <w:sz w:val="24"/>
        </w:rPr>
        <w:t>ways</w:t>
      </w:r>
      <w:proofErr w:type="spellEnd"/>
      <w:r w:rsidR="00D306E7">
        <w:rPr>
          <w:sz w:val="24"/>
        </w:rPr>
        <w:t>.</w:t>
      </w:r>
      <w:r w:rsidR="00A10A00">
        <w:rPr>
          <w:sz w:val="24"/>
        </w:rPr>
        <w:t xml:space="preserve"> </w:t>
      </w:r>
      <w:proofErr w:type="spellStart"/>
      <w:r w:rsidR="00A10A00">
        <w:rPr>
          <w:sz w:val="24"/>
        </w:rPr>
        <w:t>The</w:t>
      </w:r>
      <w:proofErr w:type="spellEnd"/>
      <w:r w:rsidR="00A10A00">
        <w:rPr>
          <w:sz w:val="24"/>
        </w:rPr>
        <w:t xml:space="preserve"> </w:t>
      </w:r>
      <w:proofErr w:type="spellStart"/>
      <w:r w:rsidR="000E2E0C">
        <w:rPr>
          <w:sz w:val="24"/>
        </w:rPr>
        <w:t>first</w:t>
      </w:r>
      <w:proofErr w:type="spellEnd"/>
      <w:r w:rsidR="00A10A00">
        <w:rPr>
          <w:sz w:val="24"/>
        </w:rPr>
        <w:t xml:space="preserve"> </w:t>
      </w:r>
      <w:proofErr w:type="spellStart"/>
      <w:r w:rsidR="00A10A00">
        <w:rPr>
          <w:sz w:val="24"/>
        </w:rPr>
        <w:t>chapter</w:t>
      </w:r>
      <w:proofErr w:type="spellEnd"/>
      <w:r w:rsidR="00A10A00">
        <w:rPr>
          <w:sz w:val="24"/>
        </w:rPr>
        <w:t xml:space="preserve"> </w:t>
      </w:r>
      <w:proofErr w:type="spellStart"/>
      <w:r w:rsidR="00A10A00">
        <w:rPr>
          <w:sz w:val="24"/>
        </w:rPr>
        <w:t>deals</w:t>
      </w:r>
      <w:proofErr w:type="spellEnd"/>
      <w:r w:rsidR="00A10A00">
        <w:rPr>
          <w:sz w:val="24"/>
        </w:rPr>
        <w:t xml:space="preserve"> </w:t>
      </w:r>
      <w:proofErr w:type="spellStart"/>
      <w:r w:rsidR="00A10A00">
        <w:rPr>
          <w:sz w:val="24"/>
        </w:rPr>
        <w:t>with</w:t>
      </w:r>
      <w:proofErr w:type="spellEnd"/>
      <w:r w:rsidR="00A10A00">
        <w:rPr>
          <w:sz w:val="24"/>
        </w:rPr>
        <w:t xml:space="preserve"> </w:t>
      </w:r>
      <w:proofErr w:type="spellStart"/>
      <w:r w:rsidR="00A10A00">
        <w:rPr>
          <w:sz w:val="24"/>
        </w:rPr>
        <w:t>the</w:t>
      </w:r>
      <w:proofErr w:type="spellEnd"/>
      <w:r w:rsidR="00A10A00">
        <w:rPr>
          <w:sz w:val="24"/>
        </w:rPr>
        <w:t xml:space="preserve"> term „a </w:t>
      </w:r>
      <w:proofErr w:type="spellStart"/>
      <w:r w:rsidR="00A10A00">
        <w:rPr>
          <w:sz w:val="24"/>
        </w:rPr>
        <w:t>source</w:t>
      </w:r>
      <w:proofErr w:type="spellEnd"/>
      <w:r w:rsidR="00A10A00">
        <w:rPr>
          <w:sz w:val="24"/>
        </w:rPr>
        <w:t xml:space="preserve"> </w:t>
      </w:r>
      <w:proofErr w:type="spellStart"/>
      <w:r w:rsidR="00A10A00">
        <w:rPr>
          <w:sz w:val="24"/>
        </w:rPr>
        <w:t>of</w:t>
      </w:r>
      <w:proofErr w:type="spellEnd"/>
      <w:r w:rsidR="00A10A00">
        <w:rPr>
          <w:sz w:val="24"/>
        </w:rPr>
        <w:t xml:space="preserve"> </w:t>
      </w:r>
      <w:proofErr w:type="spellStart"/>
      <w:r w:rsidR="00A10A00">
        <w:rPr>
          <w:sz w:val="24"/>
        </w:rPr>
        <w:t>inspiration</w:t>
      </w:r>
      <w:proofErr w:type="spellEnd"/>
      <w:r w:rsidR="00A10A00">
        <w:rPr>
          <w:sz w:val="24"/>
        </w:rPr>
        <w:t xml:space="preserve">“, </w:t>
      </w:r>
      <w:proofErr w:type="spellStart"/>
      <w:r w:rsidR="00A10A00">
        <w:rPr>
          <w:sz w:val="24"/>
        </w:rPr>
        <w:t>why</w:t>
      </w:r>
      <w:proofErr w:type="spellEnd"/>
      <w:r w:rsidR="00A10A00">
        <w:rPr>
          <w:sz w:val="24"/>
        </w:rPr>
        <w:t xml:space="preserve"> </w:t>
      </w:r>
      <w:proofErr w:type="spellStart"/>
      <w:r w:rsidR="00A10A00">
        <w:rPr>
          <w:sz w:val="24"/>
        </w:rPr>
        <w:t>is</w:t>
      </w:r>
      <w:proofErr w:type="spellEnd"/>
      <w:r w:rsidR="00A10A00">
        <w:rPr>
          <w:sz w:val="24"/>
        </w:rPr>
        <w:t xml:space="preserve"> </w:t>
      </w:r>
      <w:proofErr w:type="spellStart"/>
      <w:r w:rsidR="00A10A00">
        <w:rPr>
          <w:sz w:val="24"/>
        </w:rPr>
        <w:t>the</w:t>
      </w:r>
      <w:proofErr w:type="spellEnd"/>
      <w:r w:rsidR="00A10A00">
        <w:rPr>
          <w:sz w:val="24"/>
        </w:rPr>
        <w:t xml:space="preserve"> </w:t>
      </w:r>
      <w:proofErr w:type="spellStart"/>
      <w:r w:rsidR="00A10A00">
        <w:rPr>
          <w:sz w:val="24"/>
        </w:rPr>
        <w:t>interwar</w:t>
      </w:r>
      <w:proofErr w:type="spellEnd"/>
      <w:r w:rsidR="00A10A00">
        <w:rPr>
          <w:sz w:val="24"/>
        </w:rPr>
        <w:t xml:space="preserve"> </w:t>
      </w:r>
      <w:proofErr w:type="spellStart"/>
      <w:r w:rsidR="00A10A00">
        <w:rPr>
          <w:sz w:val="24"/>
        </w:rPr>
        <w:t>recodification</w:t>
      </w:r>
      <w:proofErr w:type="spellEnd"/>
      <w:r w:rsidR="00A10A00">
        <w:rPr>
          <w:sz w:val="24"/>
        </w:rPr>
        <w:t xml:space="preserve"> </w:t>
      </w:r>
      <w:proofErr w:type="spellStart"/>
      <w:r w:rsidR="00A10A00">
        <w:rPr>
          <w:sz w:val="24"/>
        </w:rPr>
        <w:t>appropriate</w:t>
      </w:r>
      <w:proofErr w:type="spellEnd"/>
      <w:r w:rsidR="00A10A00">
        <w:rPr>
          <w:sz w:val="24"/>
        </w:rPr>
        <w:t xml:space="preserve"> </w:t>
      </w:r>
      <w:proofErr w:type="spellStart"/>
      <w:r w:rsidR="00A10A00">
        <w:rPr>
          <w:sz w:val="24"/>
        </w:rPr>
        <w:t>source</w:t>
      </w:r>
      <w:proofErr w:type="spellEnd"/>
      <w:r w:rsidR="00A10A00">
        <w:rPr>
          <w:sz w:val="24"/>
        </w:rPr>
        <w:t xml:space="preserve"> </w:t>
      </w:r>
      <w:proofErr w:type="spellStart"/>
      <w:r w:rsidR="00A10A00">
        <w:rPr>
          <w:sz w:val="24"/>
        </w:rPr>
        <w:t>of</w:t>
      </w:r>
      <w:proofErr w:type="spellEnd"/>
      <w:r w:rsidR="00A10A00">
        <w:rPr>
          <w:sz w:val="24"/>
        </w:rPr>
        <w:t xml:space="preserve"> </w:t>
      </w:r>
      <w:proofErr w:type="spellStart"/>
      <w:r w:rsidR="00A10A00">
        <w:rPr>
          <w:sz w:val="24"/>
        </w:rPr>
        <w:t>inspiration</w:t>
      </w:r>
      <w:proofErr w:type="spellEnd"/>
      <w:r w:rsidR="00A10A00">
        <w:rPr>
          <w:sz w:val="24"/>
        </w:rPr>
        <w:t xml:space="preserve">, </w:t>
      </w:r>
      <w:proofErr w:type="spellStart"/>
      <w:r w:rsidR="00A10A00">
        <w:rPr>
          <w:sz w:val="24"/>
        </w:rPr>
        <w:t>and</w:t>
      </w:r>
      <w:proofErr w:type="spellEnd"/>
      <w:r w:rsidR="00A10A00">
        <w:rPr>
          <w:sz w:val="24"/>
        </w:rPr>
        <w:t xml:space="preserve"> </w:t>
      </w:r>
      <w:proofErr w:type="spellStart"/>
      <w:r w:rsidR="00A10A00">
        <w:rPr>
          <w:sz w:val="24"/>
        </w:rPr>
        <w:t>finally</w:t>
      </w:r>
      <w:proofErr w:type="spellEnd"/>
      <w:r w:rsidR="00A10A00">
        <w:rPr>
          <w:sz w:val="24"/>
        </w:rPr>
        <w:t xml:space="preserve"> </w:t>
      </w:r>
      <w:proofErr w:type="spellStart"/>
      <w:r w:rsidR="00A10A00">
        <w:rPr>
          <w:sz w:val="24"/>
        </w:rPr>
        <w:t>talks</w:t>
      </w:r>
      <w:proofErr w:type="spellEnd"/>
      <w:r w:rsidR="00A10A00">
        <w:rPr>
          <w:sz w:val="24"/>
        </w:rPr>
        <w:t xml:space="preserve"> </w:t>
      </w:r>
      <w:proofErr w:type="spellStart"/>
      <w:r w:rsidR="00A10A00">
        <w:rPr>
          <w:sz w:val="24"/>
        </w:rPr>
        <w:t>about</w:t>
      </w:r>
      <w:proofErr w:type="spellEnd"/>
      <w:r w:rsidR="00A10A00">
        <w:rPr>
          <w:sz w:val="24"/>
        </w:rPr>
        <w:t xml:space="preserve"> </w:t>
      </w:r>
      <w:proofErr w:type="spellStart"/>
      <w:r w:rsidR="00A10A00">
        <w:rPr>
          <w:sz w:val="24"/>
        </w:rPr>
        <w:t>other</w:t>
      </w:r>
      <w:proofErr w:type="spellEnd"/>
      <w:r w:rsidR="00A10A00">
        <w:rPr>
          <w:sz w:val="24"/>
        </w:rPr>
        <w:t xml:space="preserve"> </w:t>
      </w:r>
      <w:proofErr w:type="spellStart"/>
      <w:r w:rsidR="00A10A00">
        <w:rPr>
          <w:sz w:val="24"/>
        </w:rPr>
        <w:t>sources</w:t>
      </w:r>
      <w:proofErr w:type="spellEnd"/>
      <w:r w:rsidR="00A10A00">
        <w:rPr>
          <w:sz w:val="24"/>
        </w:rPr>
        <w:t xml:space="preserve"> </w:t>
      </w:r>
      <w:proofErr w:type="spellStart"/>
      <w:r w:rsidR="00A10A00">
        <w:rPr>
          <w:sz w:val="24"/>
        </w:rPr>
        <w:t>of</w:t>
      </w:r>
      <w:proofErr w:type="spellEnd"/>
      <w:r w:rsidR="00A10A00">
        <w:rPr>
          <w:sz w:val="24"/>
        </w:rPr>
        <w:t xml:space="preserve"> </w:t>
      </w:r>
      <w:proofErr w:type="spellStart"/>
      <w:r w:rsidR="00A10A00">
        <w:rPr>
          <w:sz w:val="24"/>
        </w:rPr>
        <w:t>inspiration</w:t>
      </w:r>
      <w:proofErr w:type="spellEnd"/>
      <w:r w:rsidR="00A10A00">
        <w:rPr>
          <w:sz w:val="24"/>
        </w:rPr>
        <w:t xml:space="preserve"> </w:t>
      </w:r>
      <w:proofErr w:type="spellStart"/>
      <w:r w:rsidR="00A3505C">
        <w:rPr>
          <w:sz w:val="24"/>
        </w:rPr>
        <w:t>of</w:t>
      </w:r>
      <w:proofErr w:type="spellEnd"/>
      <w:r w:rsidR="00A3505C">
        <w:rPr>
          <w:sz w:val="24"/>
        </w:rPr>
        <w:t xml:space="preserve"> </w:t>
      </w:r>
      <w:proofErr w:type="spellStart"/>
      <w:r w:rsidR="00A3505C">
        <w:rPr>
          <w:sz w:val="24"/>
        </w:rPr>
        <w:t>new</w:t>
      </w:r>
      <w:proofErr w:type="spellEnd"/>
      <w:r w:rsidR="00A3505C">
        <w:rPr>
          <w:sz w:val="24"/>
        </w:rPr>
        <w:t xml:space="preserve"> inheritance </w:t>
      </w:r>
      <w:proofErr w:type="spellStart"/>
      <w:r w:rsidR="00A3505C">
        <w:rPr>
          <w:sz w:val="24"/>
        </w:rPr>
        <w:t>law</w:t>
      </w:r>
      <w:proofErr w:type="spellEnd"/>
      <w:r w:rsidR="00A3505C">
        <w:rPr>
          <w:sz w:val="24"/>
        </w:rPr>
        <w:t xml:space="preserve">. </w:t>
      </w:r>
      <w:r w:rsidR="000E2E0C">
        <w:rPr>
          <w:sz w:val="24"/>
        </w:rPr>
        <w:t xml:space="preserve">In </w:t>
      </w:r>
      <w:proofErr w:type="spellStart"/>
      <w:r w:rsidR="000E2E0C">
        <w:rPr>
          <w:sz w:val="24"/>
        </w:rPr>
        <w:t>the</w:t>
      </w:r>
      <w:proofErr w:type="spellEnd"/>
      <w:r w:rsidR="000E2E0C">
        <w:rPr>
          <w:sz w:val="24"/>
        </w:rPr>
        <w:t xml:space="preserve"> </w:t>
      </w:r>
      <w:proofErr w:type="spellStart"/>
      <w:r w:rsidR="000E2E0C">
        <w:rPr>
          <w:sz w:val="24"/>
        </w:rPr>
        <w:t>second</w:t>
      </w:r>
      <w:proofErr w:type="spellEnd"/>
      <w:r w:rsidR="000E2E0C">
        <w:rPr>
          <w:sz w:val="24"/>
        </w:rPr>
        <w:t xml:space="preserve"> </w:t>
      </w:r>
      <w:proofErr w:type="spellStart"/>
      <w:r w:rsidR="000E2E0C">
        <w:rPr>
          <w:sz w:val="24"/>
        </w:rPr>
        <w:t>chapter</w:t>
      </w:r>
      <w:proofErr w:type="spellEnd"/>
      <w:r w:rsidR="000E2E0C">
        <w:rPr>
          <w:sz w:val="24"/>
        </w:rPr>
        <w:t xml:space="preserve">, </w:t>
      </w:r>
      <w:proofErr w:type="spellStart"/>
      <w:r w:rsidR="000E2E0C">
        <w:rPr>
          <w:sz w:val="24"/>
        </w:rPr>
        <w:t>the</w:t>
      </w:r>
      <w:proofErr w:type="spellEnd"/>
      <w:r w:rsidR="000E2E0C">
        <w:rPr>
          <w:sz w:val="24"/>
        </w:rPr>
        <w:t xml:space="preserve"> thesis </w:t>
      </w:r>
      <w:proofErr w:type="spellStart"/>
      <w:r w:rsidR="000E2E0C">
        <w:rPr>
          <w:sz w:val="24"/>
        </w:rPr>
        <w:t>describes</w:t>
      </w:r>
      <w:proofErr w:type="spellEnd"/>
      <w:r w:rsidR="000E2E0C">
        <w:rPr>
          <w:sz w:val="24"/>
        </w:rPr>
        <w:t xml:space="preserve"> </w:t>
      </w:r>
      <w:proofErr w:type="spellStart"/>
      <w:r w:rsidR="000E2E0C">
        <w:rPr>
          <w:sz w:val="24"/>
        </w:rPr>
        <w:t>how</w:t>
      </w:r>
      <w:proofErr w:type="spellEnd"/>
      <w:r w:rsidR="000E2E0C">
        <w:rPr>
          <w:sz w:val="24"/>
        </w:rPr>
        <w:t xml:space="preserve"> </w:t>
      </w:r>
      <w:proofErr w:type="spellStart"/>
      <w:r w:rsidR="000E2E0C">
        <w:rPr>
          <w:sz w:val="24"/>
        </w:rPr>
        <w:t>the</w:t>
      </w:r>
      <w:proofErr w:type="spellEnd"/>
      <w:r w:rsidR="000E2E0C">
        <w:rPr>
          <w:sz w:val="24"/>
        </w:rPr>
        <w:t xml:space="preserve"> </w:t>
      </w:r>
      <w:proofErr w:type="spellStart"/>
      <w:r w:rsidR="000E2E0C">
        <w:rPr>
          <w:sz w:val="24"/>
        </w:rPr>
        <w:t>governmental</w:t>
      </w:r>
      <w:proofErr w:type="spellEnd"/>
      <w:r w:rsidR="000E2E0C">
        <w:rPr>
          <w:sz w:val="24"/>
        </w:rPr>
        <w:t xml:space="preserve"> </w:t>
      </w:r>
      <w:proofErr w:type="spellStart"/>
      <w:r w:rsidR="000E2E0C">
        <w:rPr>
          <w:sz w:val="24"/>
        </w:rPr>
        <w:t>proposal</w:t>
      </w:r>
      <w:proofErr w:type="spellEnd"/>
      <w:r w:rsidR="000E2E0C">
        <w:rPr>
          <w:sz w:val="24"/>
        </w:rPr>
        <w:t xml:space="preserve"> </w:t>
      </w:r>
      <w:proofErr w:type="spellStart"/>
      <w:r w:rsidR="000E2E0C">
        <w:rPr>
          <w:sz w:val="24"/>
        </w:rPr>
        <w:t>of</w:t>
      </w:r>
      <w:proofErr w:type="spellEnd"/>
      <w:r w:rsidR="000E2E0C">
        <w:rPr>
          <w:sz w:val="24"/>
        </w:rPr>
        <w:t xml:space="preserve"> civil </w:t>
      </w:r>
      <w:proofErr w:type="spellStart"/>
      <w:r w:rsidR="000E2E0C">
        <w:rPr>
          <w:sz w:val="24"/>
        </w:rPr>
        <w:t>code</w:t>
      </w:r>
      <w:proofErr w:type="spellEnd"/>
      <w:r w:rsidR="000E2E0C">
        <w:rPr>
          <w:sz w:val="24"/>
        </w:rPr>
        <w:t xml:space="preserve"> </w:t>
      </w:r>
      <w:proofErr w:type="spellStart"/>
      <w:r w:rsidR="000E2E0C">
        <w:rPr>
          <w:sz w:val="24"/>
        </w:rPr>
        <w:t>was</w:t>
      </w:r>
      <w:proofErr w:type="spellEnd"/>
      <w:r w:rsidR="000E2E0C">
        <w:rPr>
          <w:sz w:val="24"/>
        </w:rPr>
        <w:t xml:space="preserve"> </w:t>
      </w:r>
      <w:proofErr w:type="spellStart"/>
      <w:r w:rsidR="000E2E0C">
        <w:rPr>
          <w:sz w:val="24"/>
        </w:rPr>
        <w:t>prepared</w:t>
      </w:r>
      <w:proofErr w:type="spellEnd"/>
      <w:r w:rsidR="000E2E0C">
        <w:rPr>
          <w:sz w:val="24"/>
        </w:rPr>
        <w:t xml:space="preserve"> </w:t>
      </w:r>
      <w:proofErr w:type="spellStart"/>
      <w:r w:rsidR="000E2E0C">
        <w:rPr>
          <w:sz w:val="24"/>
        </w:rPr>
        <w:t>after</w:t>
      </w:r>
      <w:proofErr w:type="spellEnd"/>
      <w:r w:rsidR="000E2E0C">
        <w:rPr>
          <w:sz w:val="24"/>
        </w:rPr>
        <w:t xml:space="preserve"> </w:t>
      </w:r>
      <w:proofErr w:type="spellStart"/>
      <w:r w:rsidR="000E2E0C">
        <w:rPr>
          <w:sz w:val="24"/>
        </w:rPr>
        <w:t>Czechoslovakia</w:t>
      </w:r>
      <w:proofErr w:type="spellEnd"/>
      <w:r w:rsidR="000E2E0C">
        <w:rPr>
          <w:sz w:val="24"/>
        </w:rPr>
        <w:t xml:space="preserve"> </w:t>
      </w:r>
      <w:proofErr w:type="spellStart"/>
      <w:r w:rsidR="000E2E0C">
        <w:rPr>
          <w:sz w:val="24"/>
        </w:rPr>
        <w:t>declared</w:t>
      </w:r>
      <w:proofErr w:type="spellEnd"/>
      <w:r w:rsidR="000E2E0C">
        <w:rPr>
          <w:sz w:val="24"/>
        </w:rPr>
        <w:t xml:space="preserve"> </w:t>
      </w:r>
      <w:proofErr w:type="spellStart"/>
      <w:r w:rsidR="000E2E0C">
        <w:rPr>
          <w:sz w:val="24"/>
        </w:rPr>
        <w:t>its</w:t>
      </w:r>
      <w:proofErr w:type="spellEnd"/>
      <w:r w:rsidR="000E2E0C">
        <w:rPr>
          <w:sz w:val="24"/>
        </w:rPr>
        <w:t xml:space="preserve"> </w:t>
      </w:r>
      <w:proofErr w:type="spellStart"/>
      <w:r w:rsidR="000E2E0C">
        <w:rPr>
          <w:sz w:val="24"/>
        </w:rPr>
        <w:t>independence</w:t>
      </w:r>
      <w:proofErr w:type="spellEnd"/>
      <w:r w:rsidR="000E2E0C">
        <w:rPr>
          <w:sz w:val="24"/>
        </w:rPr>
        <w:t xml:space="preserve">. </w:t>
      </w:r>
      <w:r w:rsidR="00A3505C">
        <w:rPr>
          <w:sz w:val="24"/>
        </w:rPr>
        <w:t xml:space="preserve">In </w:t>
      </w:r>
      <w:proofErr w:type="spellStart"/>
      <w:r w:rsidR="00A3505C">
        <w:rPr>
          <w:sz w:val="24"/>
        </w:rPr>
        <w:t>the</w:t>
      </w:r>
      <w:proofErr w:type="spellEnd"/>
      <w:r w:rsidR="00A3505C">
        <w:rPr>
          <w:sz w:val="24"/>
        </w:rPr>
        <w:t xml:space="preserve"> </w:t>
      </w:r>
      <w:proofErr w:type="spellStart"/>
      <w:r w:rsidR="00A3505C">
        <w:rPr>
          <w:sz w:val="24"/>
        </w:rPr>
        <w:t>main</w:t>
      </w:r>
      <w:proofErr w:type="spellEnd"/>
      <w:r w:rsidR="00A3505C">
        <w:rPr>
          <w:sz w:val="24"/>
        </w:rPr>
        <w:t xml:space="preserve"> </w:t>
      </w:r>
      <w:proofErr w:type="spellStart"/>
      <w:r w:rsidR="00A3505C">
        <w:rPr>
          <w:sz w:val="24"/>
        </w:rPr>
        <w:t>chapter</w:t>
      </w:r>
      <w:proofErr w:type="spellEnd"/>
      <w:r w:rsidR="00A3505C">
        <w:rPr>
          <w:sz w:val="24"/>
        </w:rPr>
        <w:t xml:space="preserve">, </w:t>
      </w:r>
      <w:proofErr w:type="spellStart"/>
      <w:r w:rsidR="00A3505C">
        <w:rPr>
          <w:sz w:val="24"/>
        </w:rPr>
        <w:t>the</w:t>
      </w:r>
      <w:proofErr w:type="spellEnd"/>
      <w:r w:rsidR="00A3505C">
        <w:rPr>
          <w:sz w:val="24"/>
        </w:rPr>
        <w:t xml:space="preserve"> thesis </w:t>
      </w:r>
      <w:proofErr w:type="spellStart"/>
      <w:r w:rsidR="00A3505C">
        <w:rPr>
          <w:sz w:val="24"/>
        </w:rPr>
        <w:t>compares</w:t>
      </w:r>
      <w:proofErr w:type="spellEnd"/>
      <w:r w:rsidR="00A3505C">
        <w:rPr>
          <w:sz w:val="24"/>
        </w:rPr>
        <w:t xml:space="preserve"> </w:t>
      </w:r>
      <w:proofErr w:type="spellStart"/>
      <w:r w:rsidR="00A3505C">
        <w:rPr>
          <w:sz w:val="24"/>
        </w:rPr>
        <w:t>provisions</w:t>
      </w:r>
      <w:proofErr w:type="spellEnd"/>
      <w:r w:rsidR="00A3505C">
        <w:rPr>
          <w:sz w:val="24"/>
        </w:rPr>
        <w:t xml:space="preserve"> </w:t>
      </w:r>
      <w:proofErr w:type="spellStart"/>
      <w:r w:rsidR="00A3505C">
        <w:rPr>
          <w:sz w:val="24"/>
        </w:rPr>
        <w:t>of</w:t>
      </w:r>
      <w:proofErr w:type="spellEnd"/>
      <w:r w:rsidR="00A3505C">
        <w:rPr>
          <w:sz w:val="24"/>
        </w:rPr>
        <w:t xml:space="preserve"> </w:t>
      </w:r>
      <w:proofErr w:type="spellStart"/>
      <w:r w:rsidR="00A3505C">
        <w:rPr>
          <w:sz w:val="24"/>
        </w:rPr>
        <w:t>the</w:t>
      </w:r>
      <w:proofErr w:type="spellEnd"/>
      <w:r w:rsidR="00A3505C">
        <w:rPr>
          <w:sz w:val="24"/>
        </w:rPr>
        <w:t xml:space="preserve"> </w:t>
      </w:r>
      <w:proofErr w:type="spellStart"/>
      <w:r w:rsidR="00A3505C">
        <w:rPr>
          <w:sz w:val="24"/>
        </w:rPr>
        <w:t>governmental</w:t>
      </w:r>
      <w:proofErr w:type="spellEnd"/>
      <w:r w:rsidR="00A3505C">
        <w:rPr>
          <w:sz w:val="24"/>
        </w:rPr>
        <w:t xml:space="preserve"> </w:t>
      </w:r>
      <w:proofErr w:type="spellStart"/>
      <w:r w:rsidR="00A3505C">
        <w:rPr>
          <w:sz w:val="24"/>
        </w:rPr>
        <w:t>proposal</w:t>
      </w:r>
      <w:proofErr w:type="spellEnd"/>
      <w:r w:rsidR="00A3505C">
        <w:rPr>
          <w:sz w:val="24"/>
        </w:rPr>
        <w:t xml:space="preserve"> </w:t>
      </w:r>
      <w:proofErr w:type="spellStart"/>
      <w:r w:rsidR="00A3505C">
        <w:rPr>
          <w:sz w:val="24"/>
        </w:rPr>
        <w:t>from</w:t>
      </w:r>
      <w:proofErr w:type="spellEnd"/>
      <w:r w:rsidR="00A3505C">
        <w:rPr>
          <w:sz w:val="24"/>
        </w:rPr>
        <w:t xml:space="preserve"> 1937 </w:t>
      </w:r>
      <w:proofErr w:type="spellStart"/>
      <w:r w:rsidR="00A3505C">
        <w:rPr>
          <w:sz w:val="24"/>
        </w:rPr>
        <w:t>and</w:t>
      </w:r>
      <w:proofErr w:type="spellEnd"/>
      <w:r w:rsidR="00A3505C">
        <w:rPr>
          <w:sz w:val="24"/>
        </w:rPr>
        <w:t xml:space="preserve"> </w:t>
      </w:r>
      <w:proofErr w:type="spellStart"/>
      <w:r w:rsidR="00A3505C">
        <w:rPr>
          <w:sz w:val="24"/>
        </w:rPr>
        <w:t>new</w:t>
      </w:r>
      <w:proofErr w:type="spellEnd"/>
      <w:r w:rsidR="00A3505C">
        <w:rPr>
          <w:sz w:val="24"/>
        </w:rPr>
        <w:t xml:space="preserve"> civil </w:t>
      </w:r>
      <w:proofErr w:type="spellStart"/>
      <w:r w:rsidR="00A3505C">
        <w:rPr>
          <w:sz w:val="24"/>
        </w:rPr>
        <w:t>code</w:t>
      </w:r>
      <w:proofErr w:type="spellEnd"/>
      <w:r w:rsidR="00A3505C">
        <w:rPr>
          <w:sz w:val="24"/>
        </w:rPr>
        <w:t xml:space="preserve">. Last </w:t>
      </w:r>
      <w:proofErr w:type="spellStart"/>
      <w:r w:rsidR="00A3505C">
        <w:rPr>
          <w:sz w:val="24"/>
        </w:rPr>
        <w:t>chapter</w:t>
      </w:r>
      <w:proofErr w:type="spellEnd"/>
      <w:r w:rsidR="00A3505C">
        <w:rPr>
          <w:sz w:val="24"/>
        </w:rPr>
        <w:t xml:space="preserve"> </w:t>
      </w:r>
      <w:proofErr w:type="spellStart"/>
      <w:r w:rsidR="00A3505C">
        <w:rPr>
          <w:sz w:val="24"/>
        </w:rPr>
        <w:t>focuses</w:t>
      </w:r>
      <w:proofErr w:type="spellEnd"/>
      <w:r w:rsidR="00A3505C">
        <w:rPr>
          <w:sz w:val="24"/>
        </w:rPr>
        <w:t xml:space="preserve"> on </w:t>
      </w:r>
      <w:proofErr w:type="spellStart"/>
      <w:r w:rsidR="00A3505C">
        <w:rPr>
          <w:sz w:val="24"/>
        </w:rPr>
        <w:t>one</w:t>
      </w:r>
      <w:proofErr w:type="spellEnd"/>
      <w:r w:rsidR="00A3505C">
        <w:rPr>
          <w:sz w:val="24"/>
        </w:rPr>
        <w:t xml:space="preserve"> </w:t>
      </w:r>
      <w:proofErr w:type="spellStart"/>
      <w:r w:rsidR="00A3505C">
        <w:rPr>
          <w:sz w:val="24"/>
        </w:rPr>
        <w:t>specific</w:t>
      </w:r>
      <w:proofErr w:type="spellEnd"/>
      <w:r w:rsidR="00A3505C">
        <w:rPr>
          <w:sz w:val="24"/>
        </w:rPr>
        <w:t xml:space="preserve"> institute </w:t>
      </w:r>
      <w:proofErr w:type="spellStart"/>
      <w:r w:rsidR="00A3505C">
        <w:rPr>
          <w:sz w:val="24"/>
        </w:rPr>
        <w:t>of</w:t>
      </w:r>
      <w:proofErr w:type="spellEnd"/>
      <w:r w:rsidR="00A3505C">
        <w:rPr>
          <w:sz w:val="24"/>
        </w:rPr>
        <w:t xml:space="preserve"> inheritance </w:t>
      </w:r>
      <w:proofErr w:type="spellStart"/>
      <w:r w:rsidR="00A3505C">
        <w:rPr>
          <w:sz w:val="24"/>
        </w:rPr>
        <w:t>law</w:t>
      </w:r>
      <w:proofErr w:type="spellEnd"/>
      <w:r w:rsidR="00A3505C">
        <w:rPr>
          <w:sz w:val="24"/>
        </w:rPr>
        <w:t xml:space="preserve">, </w:t>
      </w:r>
      <w:proofErr w:type="spellStart"/>
      <w:r w:rsidR="00A3505C">
        <w:rPr>
          <w:sz w:val="24"/>
        </w:rPr>
        <w:t>and</w:t>
      </w:r>
      <w:proofErr w:type="spellEnd"/>
      <w:r w:rsidR="00A3505C">
        <w:rPr>
          <w:sz w:val="24"/>
        </w:rPr>
        <w:t xml:space="preserve"> </w:t>
      </w:r>
      <w:proofErr w:type="spellStart"/>
      <w:r w:rsidR="00A3505C">
        <w:rPr>
          <w:sz w:val="24"/>
        </w:rPr>
        <w:t>that</w:t>
      </w:r>
      <w:proofErr w:type="spellEnd"/>
      <w:r w:rsidR="00A3505C">
        <w:rPr>
          <w:sz w:val="24"/>
        </w:rPr>
        <w:t xml:space="preserve"> </w:t>
      </w:r>
      <w:proofErr w:type="spellStart"/>
      <w:r w:rsidR="00A3505C">
        <w:rPr>
          <w:sz w:val="24"/>
        </w:rPr>
        <w:t>is</w:t>
      </w:r>
      <w:proofErr w:type="spellEnd"/>
      <w:r w:rsidR="00A3505C">
        <w:rPr>
          <w:sz w:val="24"/>
        </w:rPr>
        <w:t xml:space="preserve"> a </w:t>
      </w:r>
      <w:proofErr w:type="spellStart"/>
      <w:r w:rsidR="00A3505C">
        <w:rPr>
          <w:sz w:val="24"/>
        </w:rPr>
        <w:t>legitime</w:t>
      </w:r>
      <w:proofErr w:type="spellEnd"/>
      <w:r w:rsidR="00A3505C">
        <w:rPr>
          <w:sz w:val="24"/>
        </w:rPr>
        <w:t>.</w:t>
      </w:r>
    </w:p>
    <w:p w:rsidR="00195894" w:rsidRPr="00011FFF" w:rsidRDefault="00F131EC" w:rsidP="00AE5C96">
      <w:pPr>
        <w:jc w:val="both"/>
        <w:rPr>
          <w:b/>
          <w:sz w:val="24"/>
        </w:rPr>
      </w:pPr>
      <w:proofErr w:type="spellStart"/>
      <w:r>
        <w:rPr>
          <w:b/>
          <w:sz w:val="24"/>
        </w:rPr>
        <w:t>Key</w:t>
      </w:r>
      <w:proofErr w:type="spellEnd"/>
      <w:r>
        <w:rPr>
          <w:b/>
          <w:sz w:val="24"/>
        </w:rPr>
        <w:t xml:space="preserve"> </w:t>
      </w:r>
      <w:proofErr w:type="spellStart"/>
      <w:r>
        <w:rPr>
          <w:b/>
          <w:sz w:val="24"/>
        </w:rPr>
        <w:t>words</w:t>
      </w:r>
      <w:proofErr w:type="spellEnd"/>
    </w:p>
    <w:p w:rsidR="00195894" w:rsidRPr="00195894" w:rsidRDefault="00195894" w:rsidP="00AE5C96">
      <w:pPr>
        <w:jc w:val="both"/>
        <w:rPr>
          <w:sz w:val="24"/>
        </w:rPr>
      </w:pPr>
      <w:r>
        <w:tab/>
      </w:r>
      <w:proofErr w:type="spellStart"/>
      <w:r>
        <w:rPr>
          <w:sz w:val="24"/>
        </w:rPr>
        <w:t>source</w:t>
      </w:r>
      <w:proofErr w:type="spellEnd"/>
      <w:r>
        <w:rPr>
          <w:sz w:val="24"/>
        </w:rPr>
        <w:t xml:space="preserve"> </w:t>
      </w:r>
      <w:proofErr w:type="spellStart"/>
      <w:r>
        <w:rPr>
          <w:sz w:val="24"/>
        </w:rPr>
        <w:t>of</w:t>
      </w:r>
      <w:proofErr w:type="spellEnd"/>
      <w:r>
        <w:rPr>
          <w:sz w:val="24"/>
        </w:rPr>
        <w:t xml:space="preserve"> </w:t>
      </w:r>
      <w:proofErr w:type="spellStart"/>
      <w:r>
        <w:rPr>
          <w:sz w:val="24"/>
        </w:rPr>
        <w:t>inspiration</w:t>
      </w:r>
      <w:proofErr w:type="spellEnd"/>
      <w:r>
        <w:rPr>
          <w:sz w:val="24"/>
        </w:rPr>
        <w:t>,</w:t>
      </w:r>
      <w:r w:rsidR="003076AC">
        <w:rPr>
          <w:sz w:val="24"/>
        </w:rPr>
        <w:t xml:space="preserve"> </w:t>
      </w:r>
      <w:proofErr w:type="spellStart"/>
      <w:r w:rsidR="000E2E0C">
        <w:rPr>
          <w:sz w:val="24"/>
        </w:rPr>
        <w:t>interwar</w:t>
      </w:r>
      <w:proofErr w:type="spellEnd"/>
      <w:r w:rsidR="000E2E0C">
        <w:rPr>
          <w:sz w:val="24"/>
        </w:rPr>
        <w:t xml:space="preserve"> </w:t>
      </w:r>
      <w:proofErr w:type="spellStart"/>
      <w:r w:rsidR="000E2E0C">
        <w:rPr>
          <w:sz w:val="24"/>
        </w:rPr>
        <w:t>recodification</w:t>
      </w:r>
      <w:proofErr w:type="spellEnd"/>
      <w:r w:rsidR="000E2E0C">
        <w:rPr>
          <w:sz w:val="24"/>
        </w:rPr>
        <w:t>,</w:t>
      </w:r>
      <w:r w:rsidR="003076AC">
        <w:rPr>
          <w:sz w:val="24"/>
        </w:rPr>
        <w:t xml:space="preserve"> </w:t>
      </w:r>
      <w:r w:rsidR="00BC42CA">
        <w:rPr>
          <w:sz w:val="24"/>
        </w:rPr>
        <w:t xml:space="preserve">inheritance </w:t>
      </w:r>
      <w:proofErr w:type="spellStart"/>
      <w:r w:rsidR="00BC42CA">
        <w:rPr>
          <w:sz w:val="24"/>
        </w:rPr>
        <w:t>law</w:t>
      </w:r>
      <w:proofErr w:type="spellEnd"/>
      <w:r w:rsidR="00BC42CA">
        <w:rPr>
          <w:sz w:val="24"/>
        </w:rPr>
        <w:t>,</w:t>
      </w:r>
      <w:r w:rsidR="003076AC">
        <w:rPr>
          <w:sz w:val="24"/>
        </w:rPr>
        <w:t xml:space="preserve"> </w:t>
      </w:r>
      <w:proofErr w:type="spellStart"/>
      <w:r>
        <w:rPr>
          <w:sz w:val="24"/>
        </w:rPr>
        <w:t>legitime</w:t>
      </w:r>
      <w:proofErr w:type="spellEnd"/>
    </w:p>
    <w:p w:rsidR="00195894" w:rsidRPr="00195894" w:rsidRDefault="00195894" w:rsidP="00AE5C96">
      <w:pPr>
        <w:jc w:val="both"/>
      </w:pPr>
    </w:p>
    <w:p w:rsidR="00195894" w:rsidRPr="00195894" w:rsidRDefault="00195894" w:rsidP="00AE5C96">
      <w:pPr>
        <w:jc w:val="both"/>
      </w:pPr>
    </w:p>
    <w:p w:rsidR="007854B2" w:rsidRDefault="007854B2" w:rsidP="00AE5C96">
      <w:pPr>
        <w:jc w:val="both"/>
      </w:pPr>
      <w:r>
        <w:br w:type="page"/>
      </w:r>
    </w:p>
    <w:p w:rsidR="005A6046" w:rsidRDefault="007854B2" w:rsidP="00AE5C96">
      <w:pPr>
        <w:pStyle w:val="Nadpis1"/>
        <w:spacing w:line="360" w:lineRule="auto"/>
        <w:jc w:val="both"/>
        <w:rPr>
          <w:rFonts w:ascii="Times New Roman" w:hAnsi="Times New Roman" w:cs="Times New Roman"/>
          <w:color w:val="auto"/>
        </w:rPr>
      </w:pPr>
      <w:bookmarkStart w:id="48" w:name="_Toc409631324"/>
      <w:r>
        <w:rPr>
          <w:rFonts w:ascii="Times New Roman" w:hAnsi="Times New Roman" w:cs="Times New Roman"/>
          <w:color w:val="auto"/>
        </w:rPr>
        <w:lastRenderedPageBreak/>
        <w:t>P</w:t>
      </w:r>
      <w:r w:rsidR="008A04FE">
        <w:rPr>
          <w:rFonts w:ascii="Times New Roman" w:hAnsi="Times New Roman" w:cs="Times New Roman"/>
          <w:color w:val="auto"/>
        </w:rPr>
        <w:t>říloha</w:t>
      </w:r>
      <w:bookmarkEnd w:id="48"/>
    </w:p>
    <w:p w:rsidR="00276F07" w:rsidRDefault="00BE1637" w:rsidP="00AE5C96">
      <w:pPr>
        <w:jc w:val="both"/>
      </w:pPr>
      <w:r>
        <w:rPr>
          <w:sz w:val="24"/>
        </w:rPr>
        <w:t>Tabulka</w:t>
      </w:r>
      <w:r w:rsidR="00276F07">
        <w:rPr>
          <w:sz w:val="24"/>
        </w:rPr>
        <w:t xml:space="preserve"> odpovídajících ustanovení VN a NOZ</w:t>
      </w:r>
    </w:p>
    <w:p w:rsidR="00D451F0" w:rsidRDefault="00D451F0" w:rsidP="00AE5C96">
      <w:pPr>
        <w:pStyle w:val="ParaAttribute0"/>
        <w:wordWrap/>
        <w:spacing w:line="360" w:lineRule="auto"/>
        <w:jc w:val="both"/>
        <w:rPr>
          <w:rStyle w:val="CharAttribute1"/>
          <w:rFonts w:ascii="Times New Roman" w:hAnsi="Times New Roman"/>
          <w:szCs w:val="24"/>
        </w:rPr>
        <w:sectPr w:rsidR="00D451F0" w:rsidSect="009A20AD">
          <w:footerReference w:type="default" r:id="rId12"/>
          <w:pgSz w:w="11906" w:h="16838"/>
          <w:pgMar w:top="1418" w:right="1134" w:bottom="1418" w:left="1701" w:header="709" w:footer="709" w:gutter="0"/>
          <w:pgNumType w:start="1"/>
          <w:cols w:space="708"/>
          <w:titlePg/>
          <w:docGrid w:linePitch="360"/>
        </w:sectPr>
      </w:pPr>
    </w:p>
    <w:tbl>
      <w:tblPr>
        <w:tblStyle w:val="Mkatabulky"/>
        <w:tblW w:w="0" w:type="auto"/>
        <w:tblInd w:w="108" w:type="dxa"/>
        <w:tblLayout w:type="fixed"/>
        <w:tblLook w:val="04A0"/>
      </w:tblPr>
      <w:tblGrid>
        <w:gridCol w:w="2268"/>
        <w:gridCol w:w="2268"/>
      </w:tblGrid>
      <w:tr w:rsidR="00D451F0" w:rsidRPr="00237311" w:rsidTr="000A79D4">
        <w:tc>
          <w:tcPr>
            <w:tcW w:w="2268" w:type="dxa"/>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1"/>
                <w:rFonts w:ascii="Times New Roman" w:hAnsi="Times New Roman"/>
                <w:szCs w:val="24"/>
              </w:rPr>
              <w:lastRenderedPageBreak/>
              <w:t>VN</w:t>
            </w:r>
          </w:p>
        </w:tc>
        <w:tc>
          <w:tcPr>
            <w:tcW w:w="2268" w:type="dxa"/>
            <w:vAlign w:val="center"/>
          </w:tcPr>
          <w:p w:rsidR="00D451F0" w:rsidRPr="00237311" w:rsidRDefault="00D451F0" w:rsidP="00AE5C96">
            <w:pPr>
              <w:pStyle w:val="ParaAttribute0"/>
              <w:wordWrap/>
              <w:spacing w:line="360" w:lineRule="auto"/>
              <w:jc w:val="both"/>
              <w:rPr>
                <w:rFonts w:eastAsia="Calibri"/>
                <w:sz w:val="28"/>
                <w:szCs w:val="24"/>
              </w:rPr>
            </w:pPr>
            <w:r w:rsidRPr="00237311">
              <w:rPr>
                <w:rStyle w:val="CharAttribute1"/>
                <w:rFonts w:ascii="Times New Roman" w:hAnsi="Times New Roman"/>
                <w:szCs w:val="24"/>
              </w:rPr>
              <w:t>NOZ</w:t>
            </w:r>
          </w:p>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377</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1475 (1)</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378</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1475 (2)</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379</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1475 (3)</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380</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1476</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381</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1477 (1)</w:t>
            </w:r>
            <w:r>
              <w:rPr>
                <w:rStyle w:val="CharAttribute2"/>
                <w:rFonts w:ascii="Times New Roman" w:hAnsi="Times New Roman"/>
                <w:sz w:val="24"/>
                <w:szCs w:val="24"/>
              </w:rPr>
              <w:t>, § 1477 (2)</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382</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1479</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384</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1513</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385</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1478</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386</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1481</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387</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1481</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388</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1483</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389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390</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1484 (1), § 1484</w:t>
            </w:r>
            <w:r w:rsidRPr="00237311">
              <w:rPr>
                <w:rStyle w:val="CharAttribute2"/>
                <w:rFonts w:ascii="Times New Roman" w:hAnsi="Times New Roman"/>
                <w:sz w:val="24"/>
                <w:szCs w:val="24"/>
              </w:rPr>
              <w:t xml:space="preserve"> (3)</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391</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1494</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392</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1494 (2)</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393</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394</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1499</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395</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1500</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396</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1500</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(2)</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397</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1501 (1),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1501 (2)</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398</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1502</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399</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1503 (1),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1503 (3)</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400</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1504</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lastRenderedPageBreak/>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401</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1505(2) </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402</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1506</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403</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1496</w:t>
            </w:r>
          </w:p>
        </w:tc>
      </w:tr>
      <w:tr w:rsidR="00D451F0" w:rsidRPr="00237311" w:rsidTr="000A79D4">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404</w:t>
            </w:r>
          </w:p>
        </w:tc>
        <w:tc>
          <w:tcPr>
            <w:tcW w:w="2268" w:type="dxa"/>
            <w:vAlign w:val="center"/>
          </w:tcPr>
          <w:p w:rsidR="00D451F0" w:rsidRPr="00237311" w:rsidRDefault="00D451F0" w:rsidP="00AE5C96">
            <w:pPr>
              <w:pStyle w:val="ParaAttribute0"/>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1497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Pr>
                <w:rStyle w:val="CharAttribute2"/>
                <w:rFonts w:ascii="Times New Roman" w:hAnsi="Times New Roman"/>
                <w:sz w:val="24"/>
                <w:szCs w:val="24"/>
              </w:rPr>
              <w:t>§§ 1525-</w:t>
            </w:r>
            <w:r w:rsidRPr="00237311">
              <w:rPr>
                <w:rStyle w:val="CharAttribute2"/>
                <w:rFonts w:ascii="Times New Roman" w:hAnsi="Times New Roman"/>
                <w:sz w:val="24"/>
                <w:szCs w:val="24"/>
              </w:rPr>
              <w:t>1526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1527,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1528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1528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409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1529</w:t>
            </w:r>
            <w:r>
              <w:rPr>
                <w:rStyle w:val="CharAttribute2"/>
                <w:rFonts w:ascii="Times New Roman" w:hAnsi="Times New Roman"/>
                <w:sz w:val="24"/>
                <w:szCs w:val="24"/>
              </w:rPr>
              <w:t>-</w:t>
            </w:r>
            <w:r w:rsidRPr="00237311">
              <w:rPr>
                <w:rStyle w:val="CharAttribute2"/>
                <w:rFonts w:ascii="Times New Roman" w:hAnsi="Times New Roman"/>
                <w:sz w:val="24"/>
                <w:szCs w:val="24"/>
              </w:rPr>
              <w:t>1530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1530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Pr>
                <w:rStyle w:val="CharAttribute2"/>
                <w:rFonts w:ascii="Times New Roman" w:hAnsi="Times New Roman"/>
                <w:sz w:val="24"/>
                <w:szCs w:val="24"/>
              </w:rPr>
              <w:t>§§ 1535-</w:t>
            </w:r>
            <w:r w:rsidRPr="00237311">
              <w:rPr>
                <w:rStyle w:val="CharAttribute2"/>
                <w:rFonts w:ascii="Times New Roman" w:hAnsi="Times New Roman"/>
                <w:sz w:val="24"/>
                <w:szCs w:val="24"/>
              </w:rPr>
              <w:t>1536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1535</w:t>
            </w:r>
            <w:r>
              <w:rPr>
                <w:rStyle w:val="CharAttribute2"/>
                <w:rFonts w:ascii="Times New Roman" w:hAnsi="Times New Roman"/>
                <w:sz w:val="24"/>
                <w:szCs w:val="24"/>
              </w:rPr>
              <w:t>-</w:t>
            </w:r>
            <w:r w:rsidRPr="00237311">
              <w:rPr>
                <w:rStyle w:val="CharAttribute2"/>
                <w:rFonts w:ascii="Times New Roman" w:hAnsi="Times New Roman"/>
                <w:sz w:val="24"/>
                <w:szCs w:val="24"/>
              </w:rPr>
              <w:t>1536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419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420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421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422-</w:t>
            </w:r>
            <w:r w:rsidRPr="00237311">
              <w:rPr>
                <w:rStyle w:val="CharAttribute2"/>
                <w:rFonts w:ascii="Times New Roman" w:hAnsi="Times New Roman"/>
                <w:sz w:val="24"/>
                <w:szCs w:val="24"/>
              </w:rPr>
              <w:t>427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428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1496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Style w:val="CharAttribute2"/>
                <w:rFonts w:ascii="Times New Roman" w:hAnsi="Times New Roman"/>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429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1539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1540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1541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1548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lastRenderedPageBreak/>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1542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1545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439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1549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1582,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1582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1584 (1),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1588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1585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448-451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 xml:space="preserve">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1509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459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1515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1518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1594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469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1599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lastRenderedPageBreak/>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1605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1605 (2),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479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1610</w:t>
            </w:r>
            <w:r>
              <w:rPr>
                <w:rStyle w:val="CharAttribute2"/>
                <w:rFonts w:ascii="Times New Roman" w:hAnsi="Times New Roman"/>
                <w:sz w:val="24"/>
                <w:szCs w:val="24"/>
              </w:rPr>
              <w:t>-</w:t>
            </w:r>
            <w:r w:rsidRPr="00237311">
              <w:rPr>
                <w:rStyle w:val="CharAttribute2"/>
                <w:rFonts w:ascii="Times New Roman" w:hAnsi="Times New Roman"/>
                <w:sz w:val="24"/>
                <w:szCs w:val="24"/>
              </w:rPr>
              <w:t>1611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1617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486-487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488-489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490- 491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1619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1620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1622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1621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499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1628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1628 (3)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1629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1630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lastRenderedPageBreak/>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1631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509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1630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1632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1551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1551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1551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1552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518-519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548</w:t>
            </w:r>
            <w:r>
              <w:rPr>
                <w:rFonts w:eastAsia="Calibri"/>
                <w:sz w:val="24"/>
                <w:szCs w:val="24"/>
              </w:rPr>
              <w:t>-</w:t>
            </w:r>
            <w:r w:rsidRPr="00237311">
              <w:rPr>
                <w:rFonts w:eastAsia="Calibri"/>
                <w:sz w:val="24"/>
                <w:szCs w:val="24"/>
              </w:rPr>
              <w:t xml:space="preserve">549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524-525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1569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529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1551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533-534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1575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539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1578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1580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1579 (2)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lastRenderedPageBreak/>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1603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1633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549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550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551-553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554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1636, §</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555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556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557-559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560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561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1641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562-564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565-567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 xml:space="preserve">568-572 </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573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Style w:val="CharAttribute2"/>
                <w:rFonts w:ascii="Times New Roman" w:hAnsi="Times New Roman"/>
                <w:sz w:val="24"/>
                <w:szCs w:val="24"/>
              </w:rPr>
              <w:t>§</w:t>
            </w:r>
            <w:r>
              <w:rPr>
                <w:rStyle w:val="CharAttribute2"/>
                <w:rFonts w:ascii="Times New Roman" w:hAnsi="Times New Roman"/>
                <w:sz w:val="24"/>
                <w:szCs w:val="24"/>
              </w:rPr>
              <w:t xml:space="preserve"> </w:t>
            </w:r>
            <w:r w:rsidRPr="00237311">
              <w:rPr>
                <w:rStyle w:val="CharAttribute2"/>
                <w:rFonts w:ascii="Times New Roman" w:hAnsi="Times New Roman"/>
                <w:sz w:val="24"/>
                <w:szCs w:val="24"/>
              </w:rPr>
              <w:t>1634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574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1642, </w:t>
            </w:r>
            <w:r>
              <w:rPr>
                <w:rFonts w:eastAsia="Calibri"/>
                <w:sz w:val="24"/>
                <w:szCs w:val="24"/>
              </w:rPr>
              <w:t xml:space="preserve">§ </w:t>
            </w:r>
            <w:r w:rsidRPr="00237311">
              <w:rPr>
                <w:rFonts w:eastAsia="Calibri"/>
                <w:sz w:val="24"/>
                <w:szCs w:val="24"/>
              </w:rPr>
              <w:t>1643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575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576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1643 (2)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577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1645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578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1646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579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1648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1647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1649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1644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1651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588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lastRenderedPageBreak/>
              <w:t>§</w:t>
            </w:r>
            <w:r>
              <w:rPr>
                <w:rFonts w:eastAsia="Calibri"/>
                <w:sz w:val="24"/>
                <w:szCs w:val="24"/>
              </w:rPr>
              <w:t xml:space="preserve"> </w:t>
            </w:r>
            <w:r w:rsidRPr="00237311">
              <w:rPr>
                <w:rFonts w:eastAsia="Calibri"/>
                <w:sz w:val="24"/>
                <w:szCs w:val="24"/>
              </w:rPr>
              <w:t>589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1646 (3)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1651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1660-</w:t>
            </w:r>
            <w:r w:rsidRPr="00237311">
              <w:rPr>
                <w:rFonts w:eastAsia="Calibri"/>
                <w:sz w:val="24"/>
                <w:szCs w:val="24"/>
              </w:rPr>
              <w:t>1661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599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1661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1659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609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1667, §</w:t>
            </w:r>
            <w:r>
              <w:rPr>
                <w:rFonts w:eastAsia="Calibri"/>
                <w:sz w:val="24"/>
                <w:szCs w:val="24"/>
              </w:rPr>
              <w:t xml:space="preserve"> </w:t>
            </w:r>
            <w:r w:rsidRPr="00237311">
              <w:rPr>
                <w:rFonts w:eastAsia="Calibri"/>
                <w:sz w:val="24"/>
                <w:szCs w:val="24"/>
              </w:rPr>
              <w:t>1666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1666(3)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1666(1)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1669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1674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1676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1674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Pr>
                <w:rFonts w:eastAsia="Calibri"/>
                <w:sz w:val="24"/>
                <w:szCs w:val="24"/>
              </w:rPr>
              <w:t xml:space="preserve">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619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1673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lastRenderedPageBreak/>
              <w:t>§</w:t>
            </w:r>
            <w:r>
              <w:rPr>
                <w:rFonts w:eastAsia="Calibri"/>
                <w:sz w:val="24"/>
                <w:szCs w:val="24"/>
              </w:rPr>
              <w:t xml:space="preserve"> </w:t>
            </w:r>
            <w:r w:rsidRPr="00237311">
              <w:rPr>
                <w:rFonts w:eastAsia="Calibri"/>
                <w:sz w:val="24"/>
                <w:szCs w:val="24"/>
              </w:rPr>
              <w:t>622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1485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1684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1684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1692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629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1690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1691 (1) písm. a)</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1690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1690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1677 (1), §</w:t>
            </w:r>
            <w:r>
              <w:rPr>
                <w:rFonts w:eastAsia="Calibri"/>
                <w:sz w:val="24"/>
                <w:szCs w:val="24"/>
              </w:rPr>
              <w:t xml:space="preserve"> </w:t>
            </w:r>
            <w:r w:rsidRPr="00237311">
              <w:rPr>
                <w:rFonts w:eastAsia="Calibri"/>
                <w:sz w:val="24"/>
                <w:szCs w:val="24"/>
              </w:rPr>
              <w:t>1690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1682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1682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639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1677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1680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1680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645</w:t>
            </w:r>
            <w:r>
              <w:rPr>
                <w:rFonts w:eastAsia="Calibri"/>
                <w:sz w:val="24"/>
                <w:szCs w:val="24"/>
              </w:rPr>
              <w:t>-</w:t>
            </w:r>
            <w:r w:rsidRPr="00237311">
              <w:rPr>
                <w:rFonts w:eastAsia="Calibri"/>
                <w:sz w:val="24"/>
                <w:szCs w:val="24"/>
              </w:rPr>
              <w:t>647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1677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1677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649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1694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1697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 xml:space="preserve">1700 </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1699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1698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lastRenderedPageBreak/>
              <w:t>§</w:t>
            </w:r>
            <w:r>
              <w:rPr>
                <w:rFonts w:eastAsia="Calibri"/>
                <w:sz w:val="24"/>
                <w:szCs w:val="24"/>
              </w:rPr>
              <w:t xml:space="preserve"> </w:t>
            </w:r>
            <w:r w:rsidRPr="00237311">
              <w:rPr>
                <w:rFonts w:eastAsia="Calibri"/>
                <w:sz w:val="24"/>
                <w:szCs w:val="24"/>
              </w:rPr>
              <w:t>656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657-659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1701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1701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1704</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1706</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669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1709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lastRenderedPageBreak/>
              <w:t>§</w:t>
            </w:r>
            <w:r>
              <w:rPr>
                <w:rFonts w:eastAsia="Calibri"/>
                <w:sz w:val="24"/>
                <w:szCs w:val="24"/>
              </w:rPr>
              <w:t xml:space="preserve"> </w:t>
            </w:r>
            <w:r w:rsidRPr="00237311">
              <w:rPr>
                <w:rFonts w:eastAsia="Calibri"/>
                <w:sz w:val="24"/>
                <w:szCs w:val="24"/>
              </w:rPr>
              <w:t>674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676-677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1714 (1), §1714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679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1714 (3)</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680</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1716 (1)</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681</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1716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682</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1717</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683</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1718</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684</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1715</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685</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686</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1720</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687</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1719</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688</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1714 (2)</w:t>
            </w:r>
          </w:p>
        </w:tc>
      </w:tr>
      <w:tr w:rsidR="00D451F0" w:rsidRPr="00237311" w:rsidTr="000A79D4">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r w:rsidRPr="00237311">
              <w:rPr>
                <w:rFonts w:eastAsia="Calibri"/>
                <w:sz w:val="24"/>
                <w:szCs w:val="24"/>
              </w:rPr>
              <w:t>§</w:t>
            </w:r>
            <w:r>
              <w:rPr>
                <w:rFonts w:eastAsia="Calibri"/>
                <w:sz w:val="24"/>
                <w:szCs w:val="24"/>
              </w:rPr>
              <w:t xml:space="preserve"> </w:t>
            </w:r>
            <w:r w:rsidRPr="00237311">
              <w:rPr>
                <w:rFonts w:eastAsia="Calibri"/>
                <w:sz w:val="24"/>
                <w:szCs w:val="24"/>
              </w:rPr>
              <w:t>689</w:t>
            </w:r>
          </w:p>
        </w:tc>
        <w:tc>
          <w:tcPr>
            <w:tcW w:w="2268" w:type="dxa"/>
            <w:vAlign w:val="center"/>
          </w:tcPr>
          <w:p w:rsidR="00D451F0" w:rsidRPr="00237311" w:rsidRDefault="00D451F0" w:rsidP="00AE5C96">
            <w:pPr>
              <w:pStyle w:val="ParaAttribute1"/>
              <w:wordWrap/>
              <w:spacing w:line="360" w:lineRule="auto"/>
              <w:jc w:val="both"/>
              <w:rPr>
                <w:rFonts w:eastAsia="Calibri"/>
                <w:sz w:val="24"/>
                <w:szCs w:val="24"/>
              </w:rPr>
            </w:pPr>
          </w:p>
        </w:tc>
      </w:tr>
    </w:tbl>
    <w:p w:rsidR="00D451F0" w:rsidRDefault="00D451F0" w:rsidP="00AE5C96">
      <w:pPr>
        <w:jc w:val="both"/>
        <w:sectPr w:rsidR="00D451F0" w:rsidSect="004C04B7">
          <w:type w:val="continuous"/>
          <w:pgSz w:w="11906" w:h="16838"/>
          <w:pgMar w:top="1418" w:right="1134" w:bottom="1418" w:left="1701" w:header="709" w:footer="709" w:gutter="0"/>
          <w:pgNumType w:start="59"/>
          <w:cols w:num="2" w:space="708"/>
          <w:titlePg/>
          <w:docGrid w:linePitch="360"/>
        </w:sectPr>
      </w:pPr>
    </w:p>
    <w:p w:rsidR="007854B2" w:rsidRPr="007854B2" w:rsidRDefault="007854B2" w:rsidP="00AE5C96">
      <w:pPr>
        <w:jc w:val="both"/>
      </w:pPr>
    </w:p>
    <w:p w:rsidR="00C1509D" w:rsidRPr="00C1509D" w:rsidRDefault="00C1509D" w:rsidP="00AE5C96">
      <w:pPr>
        <w:spacing w:line="360" w:lineRule="auto"/>
        <w:jc w:val="both"/>
        <w:rPr>
          <w:b/>
          <w:sz w:val="28"/>
          <w:szCs w:val="24"/>
        </w:rPr>
      </w:pPr>
    </w:p>
    <w:p w:rsidR="008E6885" w:rsidRPr="00426478" w:rsidRDefault="008E6885" w:rsidP="00AE5C96">
      <w:pPr>
        <w:spacing w:after="0" w:line="360" w:lineRule="auto"/>
        <w:ind w:firstLine="426"/>
        <w:jc w:val="both"/>
        <w:rPr>
          <w:sz w:val="24"/>
          <w:szCs w:val="24"/>
        </w:rPr>
      </w:pPr>
    </w:p>
    <w:sectPr w:rsidR="008E6885" w:rsidRPr="00426478" w:rsidSect="00D451F0">
      <w:type w:val="continuous"/>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53" w:rsidRDefault="008D4253" w:rsidP="00681594">
      <w:pPr>
        <w:spacing w:after="0" w:line="240" w:lineRule="auto"/>
      </w:pPr>
      <w:r>
        <w:separator/>
      </w:r>
    </w:p>
  </w:endnote>
  <w:endnote w:type="continuationSeparator" w:id="0">
    <w:p w:rsidR="008D4253" w:rsidRDefault="008D4253" w:rsidP="00681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바탕">
    <w:altName w:val="Calibri"/>
    <w:charset w:val="00"/>
    <w:family w:val="auto"/>
    <w:pitch w:val="variable"/>
    <w:sig w:usb0="00000001"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4305"/>
      <w:docPartObj>
        <w:docPartGallery w:val="Page Numbers (Bottom of Page)"/>
        <w:docPartUnique/>
      </w:docPartObj>
    </w:sdtPr>
    <w:sdtContent>
      <w:p w:rsidR="00AB3057" w:rsidRDefault="0080610C">
        <w:pPr>
          <w:pStyle w:val="Zpat"/>
          <w:jc w:val="center"/>
        </w:pPr>
        <w:fldSimple w:instr=" PAGE   \* MERGEFORMAT ">
          <w:r w:rsidR="00506DC3">
            <w:rPr>
              <w:noProof/>
            </w:rPr>
            <w:t>56</w:t>
          </w:r>
        </w:fldSimple>
      </w:p>
    </w:sdtContent>
  </w:sdt>
  <w:p w:rsidR="00AB3057" w:rsidRDefault="00AB305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53" w:rsidRDefault="008D4253" w:rsidP="00681594">
      <w:pPr>
        <w:spacing w:after="0" w:line="240" w:lineRule="auto"/>
      </w:pPr>
      <w:r>
        <w:separator/>
      </w:r>
    </w:p>
  </w:footnote>
  <w:footnote w:type="continuationSeparator" w:id="0">
    <w:p w:rsidR="008D4253" w:rsidRDefault="008D4253" w:rsidP="00681594">
      <w:pPr>
        <w:spacing w:after="0" w:line="240" w:lineRule="auto"/>
      </w:pPr>
      <w:r>
        <w:continuationSeparator/>
      </w:r>
    </w:p>
  </w:footnote>
  <w:footnote w:id="1">
    <w:p w:rsidR="00AB3057" w:rsidRPr="00FB47D3" w:rsidRDefault="00AB3057" w:rsidP="00F86D32">
      <w:pPr>
        <w:pStyle w:val="Textpoznpodarou"/>
      </w:pPr>
      <w:r>
        <w:rPr>
          <w:rStyle w:val="Znakapoznpodarou"/>
        </w:rPr>
        <w:footnoteRef/>
      </w:r>
      <w:r>
        <w:t xml:space="preserve"> ELIÁŠ, Karel a kol. </w:t>
      </w:r>
      <w:r>
        <w:rPr>
          <w:i/>
        </w:rPr>
        <w:t xml:space="preserve">Nový občanský zákoník s aktualizovanou důvodovou zprávou a rejstříkem. </w:t>
      </w:r>
      <w:r>
        <w:t xml:space="preserve">Ostrava: </w:t>
      </w:r>
      <w:proofErr w:type="spellStart"/>
      <w:r>
        <w:t>Sagit</w:t>
      </w:r>
      <w:proofErr w:type="spellEnd"/>
      <w:r>
        <w:t>, 2012, s. 47.</w:t>
      </w:r>
    </w:p>
  </w:footnote>
  <w:footnote w:id="2">
    <w:p w:rsidR="00AB3057" w:rsidRPr="00E24544" w:rsidRDefault="00AB3057" w:rsidP="00F86D32">
      <w:pPr>
        <w:pStyle w:val="Textpoznpodarou"/>
      </w:pPr>
      <w:r>
        <w:rPr>
          <w:rStyle w:val="Znakapoznpodarou"/>
        </w:rPr>
        <w:footnoteRef/>
      </w:r>
      <w:r>
        <w:t xml:space="preserve"> ELIÁŠ, Karel. Legendy o osnově občanského zákoníku. </w:t>
      </w:r>
      <w:r>
        <w:rPr>
          <w:i/>
        </w:rPr>
        <w:t xml:space="preserve">Právní rozhledy, </w:t>
      </w:r>
      <w:r>
        <w:t xml:space="preserve">2007, </w:t>
      </w:r>
      <w:proofErr w:type="spellStart"/>
      <w:r>
        <w:t>roč</w:t>
      </w:r>
      <w:proofErr w:type="spellEnd"/>
      <w:r>
        <w:t>. 15, č. 17, s. 632.</w:t>
      </w:r>
    </w:p>
  </w:footnote>
  <w:footnote w:id="3">
    <w:p w:rsidR="00AB3057" w:rsidRPr="00043822" w:rsidRDefault="00AB3057" w:rsidP="00F86D32">
      <w:pPr>
        <w:pStyle w:val="Textpoznpodarou"/>
      </w:pPr>
      <w:r>
        <w:rPr>
          <w:rStyle w:val="Znakapoznpodarou"/>
        </w:rPr>
        <w:footnoteRef/>
      </w:r>
      <w:r>
        <w:t xml:space="preserve"> Týž. Noblesa civilistické tradice a postmoderní přístupy k občanskému právu. </w:t>
      </w:r>
      <w:r>
        <w:rPr>
          <w:i/>
        </w:rPr>
        <w:t xml:space="preserve">Právní rozhledy, </w:t>
      </w:r>
      <w:r>
        <w:t xml:space="preserve">2003, </w:t>
      </w:r>
      <w:proofErr w:type="spellStart"/>
      <w:r>
        <w:t>roč</w:t>
      </w:r>
      <w:proofErr w:type="spellEnd"/>
      <w:r>
        <w:t>. 11, č. 8, s. 413.</w:t>
      </w:r>
    </w:p>
  </w:footnote>
  <w:footnote w:id="4">
    <w:p w:rsidR="00AB3057" w:rsidRPr="00AB5553" w:rsidRDefault="00AB3057">
      <w:pPr>
        <w:pStyle w:val="Textpoznpodarou"/>
      </w:pPr>
      <w:r>
        <w:rPr>
          <w:rStyle w:val="Znakapoznpodarou"/>
        </w:rPr>
        <w:footnoteRef/>
      </w:r>
      <w:r>
        <w:t xml:space="preserve"> DAJCZAK, </w:t>
      </w:r>
      <w:proofErr w:type="spellStart"/>
      <w:r>
        <w:t>Wojciech</w:t>
      </w:r>
      <w:proofErr w:type="spellEnd"/>
      <w:r>
        <w:t xml:space="preserve"> a kol. (české vydání DOSTALÍK, Petr). </w:t>
      </w:r>
      <w:r>
        <w:rPr>
          <w:i/>
        </w:rPr>
        <w:t xml:space="preserve">Právo římské: základy soukromého práva. </w:t>
      </w:r>
      <w:r>
        <w:t xml:space="preserve">Olomouc: </w:t>
      </w:r>
      <w:proofErr w:type="spellStart"/>
      <w:r>
        <w:t>Iuridicium</w:t>
      </w:r>
      <w:proofErr w:type="spellEnd"/>
      <w:r>
        <w:t xml:space="preserve"> </w:t>
      </w:r>
      <w:proofErr w:type="spellStart"/>
      <w:r>
        <w:t>Olomoucense</w:t>
      </w:r>
      <w:proofErr w:type="spellEnd"/>
      <w:r>
        <w:t>, o.p.s., 2013, s. 35.</w:t>
      </w:r>
    </w:p>
  </w:footnote>
  <w:footnote w:id="5">
    <w:p w:rsidR="00AB3057" w:rsidRDefault="00AB3057">
      <w:pPr>
        <w:pStyle w:val="Textpoznpodarou"/>
      </w:pPr>
      <w:r>
        <w:rPr>
          <w:rStyle w:val="Znakapoznpodarou"/>
        </w:rPr>
        <w:footnoteRef/>
      </w:r>
      <w:r>
        <w:t xml:space="preserve"> Tamtéž, s. 32.</w:t>
      </w:r>
    </w:p>
  </w:footnote>
  <w:footnote w:id="6">
    <w:p w:rsidR="00AB3057" w:rsidRPr="00566E51" w:rsidRDefault="00AB3057">
      <w:pPr>
        <w:pStyle w:val="Textpoznpodarou"/>
      </w:pPr>
      <w:r>
        <w:rPr>
          <w:rStyle w:val="Znakapoznpodarou"/>
        </w:rPr>
        <w:footnoteRef/>
      </w:r>
      <w:r>
        <w:t xml:space="preserve"> ELIÁŠ a kol.: </w:t>
      </w:r>
      <w:r>
        <w:rPr>
          <w:i/>
        </w:rPr>
        <w:t xml:space="preserve">Nový občanský </w:t>
      </w:r>
      <w:proofErr w:type="gramStart"/>
      <w:r>
        <w:rPr>
          <w:i/>
        </w:rPr>
        <w:t xml:space="preserve">zákoník..., </w:t>
      </w:r>
      <w:r>
        <w:t>s.</w:t>
      </w:r>
      <w:proofErr w:type="gramEnd"/>
      <w:r>
        <w:t xml:space="preserve"> 48.</w:t>
      </w:r>
    </w:p>
  </w:footnote>
  <w:footnote w:id="7">
    <w:p w:rsidR="00AB3057" w:rsidRDefault="00AB3057" w:rsidP="006023F3">
      <w:pPr>
        <w:pStyle w:val="Textpoznpodarou"/>
      </w:pPr>
      <w:r>
        <w:rPr>
          <w:rStyle w:val="Znakapoznpodarou"/>
        </w:rPr>
        <w:footnoteRef/>
      </w:r>
      <w:r>
        <w:t xml:space="preserve"> Jedná se o zásady mezinárodních obchodních smluv UNIDROIT.</w:t>
      </w:r>
    </w:p>
  </w:footnote>
  <w:footnote w:id="8">
    <w:p w:rsidR="00AB3057" w:rsidRDefault="00AB3057" w:rsidP="006023F3">
      <w:pPr>
        <w:pStyle w:val="Textpoznpodarou"/>
      </w:pPr>
      <w:r>
        <w:rPr>
          <w:rStyle w:val="Znakapoznpodarou"/>
        </w:rPr>
        <w:footnoteRef/>
      </w:r>
      <w:r>
        <w:t xml:space="preserve"> </w:t>
      </w:r>
      <w:proofErr w:type="spellStart"/>
      <w:r>
        <w:t>Principles</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Contract</w:t>
      </w:r>
      <w:proofErr w:type="spellEnd"/>
      <w:r>
        <w:t xml:space="preserve"> </w:t>
      </w:r>
      <w:proofErr w:type="spellStart"/>
      <w:r>
        <w:t>Law</w:t>
      </w:r>
      <w:proofErr w:type="spellEnd"/>
      <w:r>
        <w:t>.</w:t>
      </w:r>
    </w:p>
  </w:footnote>
  <w:footnote w:id="9">
    <w:p w:rsidR="00AB3057" w:rsidRDefault="00AB3057" w:rsidP="006023F3">
      <w:pPr>
        <w:pStyle w:val="Textpoznpodarou"/>
      </w:pPr>
      <w:r>
        <w:rPr>
          <w:rStyle w:val="Znakapoznpodarou"/>
        </w:rPr>
        <w:footnoteRef/>
      </w:r>
      <w:r>
        <w:t xml:space="preserve"> </w:t>
      </w:r>
      <w:proofErr w:type="spellStart"/>
      <w:r>
        <w:t>Principles</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Tort</w:t>
      </w:r>
      <w:proofErr w:type="spellEnd"/>
      <w:r>
        <w:t xml:space="preserve"> </w:t>
      </w:r>
      <w:proofErr w:type="spellStart"/>
      <w:r>
        <w:t>Law</w:t>
      </w:r>
      <w:proofErr w:type="spellEnd"/>
      <w:r>
        <w:t>.</w:t>
      </w:r>
    </w:p>
  </w:footnote>
  <w:footnote w:id="10">
    <w:p w:rsidR="00AB3057" w:rsidRDefault="00AB3057" w:rsidP="006023F3">
      <w:pPr>
        <w:pStyle w:val="Textpoznpodarou"/>
      </w:pPr>
      <w:r>
        <w:rPr>
          <w:rStyle w:val="Znakapoznpodarou"/>
        </w:rPr>
        <w:footnoteRef/>
      </w:r>
      <w:r>
        <w:t xml:space="preserve"> </w:t>
      </w:r>
      <w:proofErr w:type="spellStart"/>
      <w:r>
        <w:t>Principles</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Family</w:t>
      </w:r>
      <w:proofErr w:type="spellEnd"/>
      <w:r>
        <w:t xml:space="preserve"> </w:t>
      </w:r>
      <w:proofErr w:type="spellStart"/>
      <w:r>
        <w:t>Law</w:t>
      </w:r>
      <w:proofErr w:type="spellEnd"/>
      <w:r>
        <w:t>.</w:t>
      </w:r>
    </w:p>
  </w:footnote>
  <w:footnote w:id="11">
    <w:p w:rsidR="00AB3057" w:rsidRPr="00D55212" w:rsidRDefault="00AB3057" w:rsidP="006023F3">
      <w:pPr>
        <w:pStyle w:val="Textpoznpodarou"/>
      </w:pPr>
      <w:r>
        <w:rPr>
          <w:rStyle w:val="Znakapoznpodarou"/>
        </w:rPr>
        <w:footnoteRef/>
      </w:r>
      <w:r>
        <w:t xml:space="preserve"> ELIÁŠ, Karel. Inspirační síla Všeobecného zákoníku občanského v návrhu občanského zákoníku pro Českou republiku. In HRUŠÁKOVÁ, Milana (</w:t>
      </w:r>
      <w:proofErr w:type="spellStart"/>
      <w:r>
        <w:t>ed</w:t>
      </w:r>
      <w:proofErr w:type="spellEnd"/>
      <w:r>
        <w:t xml:space="preserve">.). </w:t>
      </w:r>
      <w:r>
        <w:rPr>
          <w:i/>
        </w:rPr>
        <w:t>200 let - ABGB od kodifikace k </w:t>
      </w:r>
      <w:proofErr w:type="spellStart"/>
      <w:r>
        <w:rPr>
          <w:i/>
        </w:rPr>
        <w:t>rekodifikaci</w:t>
      </w:r>
      <w:proofErr w:type="spellEnd"/>
      <w:r>
        <w:rPr>
          <w:i/>
        </w:rPr>
        <w:t xml:space="preserve"> českého občanského práva. </w:t>
      </w:r>
      <w:r>
        <w:t xml:space="preserve">Praha: </w:t>
      </w:r>
      <w:proofErr w:type="spellStart"/>
      <w:r>
        <w:t>Leges</w:t>
      </w:r>
      <w:proofErr w:type="spellEnd"/>
      <w:r>
        <w:t xml:space="preserve">, 2011, s. 22. </w:t>
      </w:r>
    </w:p>
  </w:footnote>
  <w:footnote w:id="12">
    <w:p w:rsidR="00AB3057" w:rsidRDefault="00AB3057">
      <w:pPr>
        <w:pStyle w:val="Textpoznpodarou"/>
      </w:pPr>
      <w:r>
        <w:rPr>
          <w:rStyle w:val="Znakapoznpodarou"/>
        </w:rPr>
        <w:footnoteRef/>
      </w:r>
      <w:r>
        <w:t xml:space="preserve"> Zákon č. 40/ 1964 Sb., občanský zákoník.</w:t>
      </w:r>
    </w:p>
  </w:footnote>
  <w:footnote w:id="13">
    <w:p w:rsidR="00AB3057" w:rsidRPr="00587729" w:rsidRDefault="00AB3057" w:rsidP="00F86D32">
      <w:pPr>
        <w:pStyle w:val="Textpoznpodarou"/>
      </w:pPr>
      <w:r>
        <w:rPr>
          <w:rStyle w:val="Znakapoznpodarou"/>
        </w:rPr>
        <w:footnoteRef/>
      </w:r>
      <w:r>
        <w:t xml:space="preserve"> ELIÁŠ, Karel. </w:t>
      </w:r>
      <w:proofErr w:type="spellStart"/>
      <w:r>
        <w:t>Rekodifikace</w:t>
      </w:r>
      <w:proofErr w:type="spellEnd"/>
      <w:r>
        <w:t xml:space="preserve"> občanského práva v postmoderní době. </w:t>
      </w:r>
      <w:r>
        <w:rPr>
          <w:i/>
        </w:rPr>
        <w:t>Právní rozhledy</w:t>
      </w:r>
      <w:r>
        <w:t xml:space="preserve">, 2008, </w:t>
      </w:r>
      <w:proofErr w:type="spellStart"/>
      <w:r>
        <w:t>roč</w:t>
      </w:r>
      <w:proofErr w:type="spellEnd"/>
      <w:r>
        <w:t>. 16, č. 1, s. 1.</w:t>
      </w:r>
    </w:p>
  </w:footnote>
  <w:footnote w:id="14">
    <w:p w:rsidR="00AB3057" w:rsidRPr="009433E2" w:rsidRDefault="00AB3057" w:rsidP="00F86D32">
      <w:pPr>
        <w:pStyle w:val="Textpoznpodarou"/>
      </w:pPr>
      <w:r>
        <w:rPr>
          <w:rStyle w:val="Znakapoznpodarou"/>
        </w:rPr>
        <w:footnoteRef/>
      </w:r>
      <w:r>
        <w:t xml:space="preserve"> KUKLÍK, Jan, SKŘEJPKOVÁ, Petra. </w:t>
      </w:r>
      <w:r>
        <w:rPr>
          <w:i/>
        </w:rPr>
        <w:t xml:space="preserve">Kořeny a inspirace velkých </w:t>
      </w:r>
      <w:proofErr w:type="spellStart"/>
      <w:r>
        <w:rPr>
          <w:i/>
        </w:rPr>
        <w:t>rekodifikací</w:t>
      </w:r>
      <w:proofErr w:type="spellEnd"/>
      <w:r>
        <w:rPr>
          <w:i/>
        </w:rPr>
        <w:t xml:space="preserve">. </w:t>
      </w:r>
      <w:r>
        <w:t xml:space="preserve">Praha: Havlíček </w:t>
      </w:r>
      <w:proofErr w:type="spellStart"/>
      <w:r>
        <w:t>Brain</w:t>
      </w:r>
      <w:proofErr w:type="spellEnd"/>
      <w:r>
        <w:t xml:space="preserve"> Team, 2008, s. 117.</w:t>
      </w:r>
    </w:p>
  </w:footnote>
  <w:footnote w:id="15">
    <w:p w:rsidR="00AB3057" w:rsidRDefault="00AB3057" w:rsidP="00F86D32">
      <w:pPr>
        <w:pStyle w:val="Textpoznpodarou"/>
      </w:pPr>
      <w:r>
        <w:rPr>
          <w:rStyle w:val="Znakapoznpodarou"/>
        </w:rPr>
        <w:footnoteRef/>
      </w:r>
      <w:r>
        <w:t xml:space="preserve"> Ustanovení § 1542 až § 1549 NOZ.</w:t>
      </w:r>
    </w:p>
  </w:footnote>
  <w:footnote w:id="16">
    <w:p w:rsidR="00AB3057" w:rsidRDefault="00AB3057" w:rsidP="00F86D32">
      <w:pPr>
        <w:pStyle w:val="Textpoznpodarou"/>
      </w:pPr>
      <w:r>
        <w:rPr>
          <w:rStyle w:val="Znakapoznpodarou"/>
        </w:rPr>
        <w:footnoteRef/>
      </w:r>
      <w:r>
        <w:t xml:space="preserve"> ELIÁŠ a kol.: </w:t>
      </w:r>
      <w:r>
        <w:rPr>
          <w:i/>
        </w:rPr>
        <w:t xml:space="preserve">Nový občanský </w:t>
      </w:r>
      <w:proofErr w:type="gramStart"/>
      <w:r>
        <w:rPr>
          <w:i/>
        </w:rPr>
        <w:t>zákoník...</w:t>
      </w:r>
      <w:r>
        <w:t>, s.</w:t>
      </w:r>
      <w:proofErr w:type="gramEnd"/>
      <w:r>
        <w:t xml:space="preserve"> 635.</w:t>
      </w:r>
    </w:p>
  </w:footnote>
  <w:footnote w:id="17">
    <w:p w:rsidR="00AB3057" w:rsidRPr="00716D6C" w:rsidRDefault="00AB3057" w:rsidP="00BF59B2">
      <w:pPr>
        <w:pStyle w:val="Textpoznpodarou"/>
      </w:pPr>
      <w:r w:rsidRPr="00716D6C">
        <w:rPr>
          <w:rStyle w:val="Znakapoznpodarou"/>
        </w:rPr>
        <w:footnoteRef/>
      </w:r>
      <w:r w:rsidRPr="00716D6C">
        <w:t xml:space="preserve"> Zákon č. 11/1918 </w:t>
      </w:r>
      <w:proofErr w:type="gramStart"/>
      <w:r w:rsidRPr="00716D6C">
        <w:t>Sb. z. a n.</w:t>
      </w:r>
      <w:proofErr w:type="gramEnd"/>
      <w:r w:rsidRPr="00716D6C">
        <w:t xml:space="preserve">, </w:t>
      </w:r>
      <w:r>
        <w:t>jehož</w:t>
      </w:r>
      <w:r w:rsidRPr="00716D6C">
        <w:t xml:space="preserve"> autorem </w:t>
      </w:r>
      <w:r>
        <w:t xml:space="preserve">byl JUDr. </w:t>
      </w:r>
      <w:r w:rsidRPr="00716D6C">
        <w:t xml:space="preserve">Alois </w:t>
      </w:r>
      <w:proofErr w:type="spellStart"/>
      <w:r w:rsidRPr="00716D6C">
        <w:t>Rašín</w:t>
      </w:r>
      <w:proofErr w:type="spellEnd"/>
      <w:r w:rsidRPr="00716D6C">
        <w:t>.</w:t>
      </w:r>
    </w:p>
  </w:footnote>
  <w:footnote w:id="18">
    <w:p w:rsidR="00AB3057" w:rsidRDefault="00AB3057">
      <w:pPr>
        <w:pStyle w:val="Textpoznpodarou"/>
      </w:pPr>
      <w:r>
        <w:rPr>
          <w:rStyle w:val="Znakapoznpodarou"/>
        </w:rPr>
        <w:footnoteRef/>
      </w:r>
      <w:r>
        <w:t xml:space="preserve"> </w:t>
      </w:r>
      <w:r w:rsidR="00CF112B">
        <w:t xml:space="preserve">HORÁK, Ondřej. </w:t>
      </w:r>
      <w:r w:rsidRPr="005F7906">
        <w:rPr>
          <w:color w:val="000000"/>
          <w:shd w:val="clear" w:color="auto" w:fill="FFFFFF"/>
        </w:rPr>
        <w:t>Dějiny kodifikace soukromého práva v českých zemích. In MELZER, Filip, TÉGL, Petr (edd.).</w:t>
      </w:r>
      <w:r w:rsidRPr="005F7906">
        <w:rPr>
          <w:rStyle w:val="apple-converted-space"/>
          <w:color w:val="000000"/>
          <w:shd w:val="clear" w:color="auto" w:fill="FFFFFF"/>
        </w:rPr>
        <w:t> </w:t>
      </w:r>
      <w:r w:rsidRPr="005F7906">
        <w:rPr>
          <w:i/>
          <w:iCs/>
          <w:color w:val="000000"/>
          <w:shd w:val="clear" w:color="auto" w:fill="FFFFFF"/>
        </w:rPr>
        <w:t>Občanský zákoník</w:t>
      </w:r>
      <w:r w:rsidRPr="005F7906">
        <w:rPr>
          <w:rStyle w:val="apple-converted-space"/>
          <w:i/>
          <w:iCs/>
          <w:color w:val="000000"/>
          <w:shd w:val="clear" w:color="auto" w:fill="FFFFFF"/>
        </w:rPr>
        <w:t> </w:t>
      </w:r>
      <w:r w:rsidRPr="005F7906">
        <w:rPr>
          <w:i/>
          <w:iCs/>
          <w:color w:val="000000"/>
          <w:shd w:val="clear" w:color="auto" w:fill="FFFFFF"/>
        </w:rPr>
        <w:t>–</w:t>
      </w:r>
      <w:r w:rsidRPr="005F7906">
        <w:rPr>
          <w:rStyle w:val="apple-converted-space"/>
          <w:i/>
          <w:iCs/>
          <w:color w:val="000000"/>
          <w:shd w:val="clear" w:color="auto" w:fill="FFFFFF"/>
        </w:rPr>
        <w:t> </w:t>
      </w:r>
      <w:r w:rsidRPr="005F7906">
        <w:rPr>
          <w:i/>
          <w:iCs/>
          <w:color w:val="000000"/>
          <w:shd w:val="clear" w:color="auto" w:fill="FFFFFF"/>
        </w:rPr>
        <w:t>velký komentář. Svazek I</w:t>
      </w:r>
      <w:r w:rsidRPr="005F7906">
        <w:rPr>
          <w:rStyle w:val="apple-converted-space"/>
          <w:i/>
          <w:iCs/>
          <w:color w:val="000000"/>
          <w:shd w:val="clear" w:color="auto" w:fill="FFFFFF"/>
        </w:rPr>
        <w:t> </w:t>
      </w:r>
      <w:r w:rsidRPr="005F7906">
        <w:rPr>
          <w:i/>
          <w:iCs/>
          <w:color w:val="000000"/>
          <w:shd w:val="clear" w:color="auto" w:fill="FFFFFF"/>
        </w:rPr>
        <w:t>–</w:t>
      </w:r>
      <w:r w:rsidRPr="005F7906">
        <w:rPr>
          <w:rStyle w:val="apple-converted-space"/>
          <w:i/>
          <w:iCs/>
          <w:color w:val="000000"/>
          <w:shd w:val="clear" w:color="auto" w:fill="FFFFFF"/>
        </w:rPr>
        <w:t> </w:t>
      </w:r>
      <w:r w:rsidRPr="005F7906">
        <w:rPr>
          <w:i/>
          <w:iCs/>
          <w:color w:val="000000"/>
          <w:shd w:val="clear" w:color="auto" w:fill="FFFFFF"/>
        </w:rPr>
        <w:t>§ 1–117 Obecná ustanovení.</w:t>
      </w:r>
      <w:r w:rsidRPr="005F7906">
        <w:rPr>
          <w:rStyle w:val="apple-converted-space"/>
          <w:i/>
          <w:iCs/>
          <w:color w:val="000000"/>
          <w:shd w:val="clear" w:color="auto" w:fill="FFFFFF"/>
        </w:rPr>
        <w:t> </w:t>
      </w:r>
      <w:r w:rsidRPr="005F7906">
        <w:rPr>
          <w:color w:val="000000"/>
          <w:shd w:val="clear" w:color="auto" w:fill="FFFFFF"/>
        </w:rPr>
        <w:t xml:space="preserve">Praha: </w:t>
      </w:r>
      <w:proofErr w:type="spellStart"/>
      <w:r w:rsidRPr="005F7906">
        <w:rPr>
          <w:color w:val="000000"/>
          <w:shd w:val="clear" w:color="auto" w:fill="FFFFFF"/>
        </w:rPr>
        <w:t>Leges</w:t>
      </w:r>
      <w:proofErr w:type="spellEnd"/>
      <w:r w:rsidRPr="005F7906">
        <w:rPr>
          <w:color w:val="000000"/>
          <w:shd w:val="clear" w:color="auto" w:fill="FFFFFF"/>
        </w:rPr>
        <w:t xml:space="preserve">, 2013, </w:t>
      </w:r>
      <w:r w:rsidR="00022068">
        <w:rPr>
          <w:color w:val="000000"/>
          <w:shd w:val="clear" w:color="auto" w:fill="FFFFFF"/>
        </w:rPr>
        <w:br/>
      </w:r>
      <w:r w:rsidRPr="005F7906">
        <w:rPr>
          <w:color w:val="000000"/>
          <w:shd w:val="clear" w:color="auto" w:fill="FFFFFF"/>
        </w:rPr>
        <w:t xml:space="preserve">s. </w:t>
      </w:r>
      <w:r w:rsidR="003B434F">
        <w:rPr>
          <w:color w:val="000000"/>
          <w:shd w:val="clear" w:color="auto" w:fill="FFFFFF"/>
        </w:rPr>
        <w:t>1</w:t>
      </w:r>
      <w:r>
        <w:rPr>
          <w:color w:val="000000"/>
          <w:shd w:val="clear" w:color="auto" w:fill="FFFFFF"/>
        </w:rPr>
        <w:t>7</w:t>
      </w:r>
      <w:r w:rsidRPr="005F7906">
        <w:rPr>
          <w:color w:val="000000"/>
          <w:shd w:val="clear" w:color="auto" w:fill="FFFFFF"/>
        </w:rPr>
        <w:t>–</w:t>
      </w:r>
      <w:r>
        <w:rPr>
          <w:color w:val="000000"/>
          <w:shd w:val="clear" w:color="auto" w:fill="FFFFFF"/>
        </w:rPr>
        <w:t>57</w:t>
      </w:r>
      <w:r w:rsidRPr="005F7906">
        <w:rPr>
          <w:color w:val="000000"/>
          <w:shd w:val="clear" w:color="auto" w:fill="FFFFFF"/>
        </w:rPr>
        <w:t>.</w:t>
      </w:r>
      <w:r>
        <w:rPr>
          <w:rFonts w:ascii="Arial" w:hAnsi="Arial" w:cs="Arial"/>
          <w:color w:val="000000"/>
          <w:sz w:val="18"/>
          <w:szCs w:val="18"/>
          <w:shd w:val="clear" w:color="auto" w:fill="FFFFFF"/>
        </w:rPr>
        <w:t> </w:t>
      </w:r>
    </w:p>
  </w:footnote>
  <w:footnote w:id="19">
    <w:p w:rsidR="00AB3057" w:rsidRPr="00716D6C" w:rsidRDefault="00AB3057" w:rsidP="00BF59B2">
      <w:pPr>
        <w:pStyle w:val="Textpoznpodarou"/>
      </w:pPr>
      <w:r w:rsidRPr="00716D6C">
        <w:rPr>
          <w:rStyle w:val="Znakapoznpodarou"/>
        </w:rPr>
        <w:footnoteRef/>
      </w:r>
      <w:r w:rsidRPr="00716D6C">
        <w:t xml:space="preserve"> K</w:t>
      </w:r>
      <w:r>
        <w:t xml:space="preserve">UKLÍK, </w:t>
      </w:r>
      <w:r w:rsidRPr="00716D6C">
        <w:t>S</w:t>
      </w:r>
      <w:r>
        <w:t>KŘEJPKOVÁ:</w:t>
      </w:r>
      <w:r w:rsidRPr="00716D6C">
        <w:t xml:space="preserve"> </w:t>
      </w:r>
      <w:r w:rsidRPr="00716D6C">
        <w:rPr>
          <w:i/>
        </w:rPr>
        <w:t xml:space="preserve">Kořeny a </w:t>
      </w:r>
      <w:proofErr w:type="gramStart"/>
      <w:r w:rsidRPr="00716D6C">
        <w:rPr>
          <w:i/>
        </w:rPr>
        <w:t>inspirace</w:t>
      </w:r>
      <w:r>
        <w:rPr>
          <w:i/>
        </w:rPr>
        <w:t>...</w:t>
      </w:r>
      <w:r w:rsidRPr="00716D6C">
        <w:t>, s.</w:t>
      </w:r>
      <w:proofErr w:type="gramEnd"/>
      <w:r w:rsidRPr="00716D6C">
        <w:t xml:space="preserve"> 170.</w:t>
      </w:r>
    </w:p>
  </w:footnote>
  <w:footnote w:id="20">
    <w:p w:rsidR="00AB3057" w:rsidRPr="00716D6C" w:rsidRDefault="00AB3057" w:rsidP="00BF59B2">
      <w:pPr>
        <w:pStyle w:val="Textpoznpodarou"/>
      </w:pPr>
      <w:r w:rsidRPr="00716D6C">
        <w:rPr>
          <w:rStyle w:val="Znakapoznpodarou"/>
        </w:rPr>
        <w:footnoteRef/>
      </w:r>
      <w:r w:rsidRPr="00716D6C">
        <w:t xml:space="preserve"> V</w:t>
      </w:r>
      <w:r>
        <w:t xml:space="preserve">OJÁČEK, Ladislav a kol. </w:t>
      </w:r>
      <w:r w:rsidRPr="00716D6C">
        <w:rPr>
          <w:i/>
        </w:rPr>
        <w:t>Vývoj soukromého práva</w:t>
      </w:r>
      <w:r>
        <w:rPr>
          <w:i/>
        </w:rPr>
        <w:t xml:space="preserve"> na území českých zemí. I. díl. </w:t>
      </w:r>
      <w:r>
        <w:t>Brno: Masarykova univerzita, 2012</w:t>
      </w:r>
      <w:r w:rsidRPr="00716D6C">
        <w:t>, s. 319.</w:t>
      </w:r>
    </w:p>
  </w:footnote>
  <w:footnote w:id="21">
    <w:p w:rsidR="00AB3057" w:rsidRDefault="00AB3057" w:rsidP="00BF59B2">
      <w:pPr>
        <w:pStyle w:val="Textpoznpodarou"/>
      </w:pPr>
      <w:r w:rsidRPr="00716D6C">
        <w:rPr>
          <w:rStyle w:val="Znakapoznpodarou"/>
        </w:rPr>
        <w:footnoteRef/>
      </w:r>
      <w:r w:rsidRPr="00716D6C">
        <w:t xml:space="preserve"> K</w:t>
      </w:r>
      <w:r>
        <w:t>UKLÍK,</w:t>
      </w:r>
      <w:r w:rsidRPr="00716D6C">
        <w:t xml:space="preserve"> S</w:t>
      </w:r>
      <w:r>
        <w:t>KŘEJPKOVÁ:</w:t>
      </w:r>
      <w:r w:rsidRPr="00716D6C">
        <w:t xml:space="preserve"> </w:t>
      </w:r>
      <w:r w:rsidRPr="00716D6C">
        <w:rPr>
          <w:i/>
        </w:rPr>
        <w:t xml:space="preserve">Kořeny a </w:t>
      </w:r>
      <w:proofErr w:type="gramStart"/>
      <w:r w:rsidRPr="00716D6C">
        <w:rPr>
          <w:i/>
        </w:rPr>
        <w:t>inspirace</w:t>
      </w:r>
      <w:r>
        <w:rPr>
          <w:i/>
        </w:rPr>
        <w:t>...</w:t>
      </w:r>
      <w:r w:rsidRPr="00716D6C">
        <w:t>, s.</w:t>
      </w:r>
      <w:proofErr w:type="gramEnd"/>
      <w:r w:rsidRPr="00716D6C">
        <w:t xml:space="preserve"> 171.</w:t>
      </w:r>
    </w:p>
  </w:footnote>
  <w:footnote w:id="22">
    <w:p w:rsidR="003B434F" w:rsidRDefault="003B434F">
      <w:pPr>
        <w:pStyle w:val="Textpoznpodarou"/>
      </w:pPr>
      <w:r>
        <w:rPr>
          <w:rStyle w:val="Znakapoznpodarou"/>
        </w:rPr>
        <w:footnoteRef/>
      </w:r>
      <w:r>
        <w:t xml:space="preserve"> </w:t>
      </w:r>
      <w:r w:rsidR="00CF112B">
        <w:t xml:space="preserve">HORÁK: </w:t>
      </w:r>
      <w:r>
        <w:t xml:space="preserve">Dějiny kodifikace soukromého </w:t>
      </w:r>
      <w:proofErr w:type="gramStart"/>
      <w:r>
        <w:t>práva..., s.</w:t>
      </w:r>
      <w:proofErr w:type="gramEnd"/>
      <w:r>
        <w:t xml:space="preserve"> 20.</w:t>
      </w:r>
    </w:p>
  </w:footnote>
  <w:footnote w:id="23">
    <w:p w:rsidR="00AB3057" w:rsidRPr="00716D6C" w:rsidRDefault="00AB3057" w:rsidP="00BF59B2">
      <w:pPr>
        <w:pStyle w:val="Textpoznpodarou"/>
      </w:pPr>
      <w:r w:rsidRPr="00716D6C">
        <w:rPr>
          <w:rStyle w:val="Znakapoznpodarou"/>
        </w:rPr>
        <w:footnoteRef/>
      </w:r>
      <w:r w:rsidRPr="00716D6C">
        <w:t xml:space="preserve"> Tzv. </w:t>
      </w:r>
      <w:proofErr w:type="spellStart"/>
      <w:r w:rsidRPr="00716D6C">
        <w:t>superrevizní</w:t>
      </w:r>
      <w:proofErr w:type="spellEnd"/>
      <w:r w:rsidRPr="00716D6C">
        <w:t xml:space="preserve"> komise byla složena z devíti členů. Pěti subkomitétů , a dále dvou zástupců ministerstva spravedlnosti a dvou zástupců unifikačního ministerstva.</w:t>
      </w:r>
    </w:p>
  </w:footnote>
  <w:footnote w:id="24">
    <w:p w:rsidR="00AB3057" w:rsidRPr="003379B2" w:rsidRDefault="00AB3057">
      <w:pPr>
        <w:pStyle w:val="Textpoznpodarou"/>
      </w:pPr>
      <w:r>
        <w:rPr>
          <w:rStyle w:val="Znakapoznpodarou"/>
        </w:rPr>
        <w:footnoteRef/>
      </w:r>
      <w:r>
        <w:t xml:space="preserve"> KUKLÍK, Jan. Všeobecný zákoník občanský (ABGB) v československém právu 1918 – 1950. In HRUŠÁKOVÁ, Milana (</w:t>
      </w:r>
      <w:proofErr w:type="spellStart"/>
      <w:r>
        <w:t>ed</w:t>
      </w:r>
      <w:proofErr w:type="spellEnd"/>
      <w:r>
        <w:t xml:space="preserve">.). </w:t>
      </w:r>
      <w:r>
        <w:rPr>
          <w:i/>
        </w:rPr>
        <w:t>200 let ABGB – Od kodifikace k </w:t>
      </w:r>
      <w:proofErr w:type="spellStart"/>
      <w:r>
        <w:rPr>
          <w:i/>
        </w:rPr>
        <w:t>rekodifikaci</w:t>
      </w:r>
      <w:proofErr w:type="spellEnd"/>
      <w:r>
        <w:rPr>
          <w:i/>
        </w:rPr>
        <w:t xml:space="preserve"> českého občanského práva. </w:t>
      </w:r>
      <w:r>
        <w:t xml:space="preserve">Praha: </w:t>
      </w:r>
      <w:proofErr w:type="spellStart"/>
      <w:r>
        <w:t>Leges</w:t>
      </w:r>
      <w:proofErr w:type="spellEnd"/>
      <w:r>
        <w:t>, 2011, s. 103.</w:t>
      </w:r>
    </w:p>
  </w:footnote>
  <w:footnote w:id="25">
    <w:p w:rsidR="00AB3057" w:rsidRPr="00716D6C" w:rsidRDefault="00AB3057" w:rsidP="00BF59B2">
      <w:pPr>
        <w:pStyle w:val="Textpoznpodarou"/>
      </w:pPr>
      <w:r w:rsidRPr="00716D6C">
        <w:rPr>
          <w:rStyle w:val="Znakapoznpodarou"/>
        </w:rPr>
        <w:footnoteRef/>
      </w:r>
      <w:r w:rsidRPr="00716D6C">
        <w:t xml:space="preserve"> V</w:t>
      </w:r>
      <w:r>
        <w:t xml:space="preserve">OJÁČEK a kol.: </w:t>
      </w:r>
      <w:r w:rsidRPr="00716D6C">
        <w:rPr>
          <w:i/>
        </w:rPr>
        <w:t xml:space="preserve">Vývoj soukromého </w:t>
      </w:r>
      <w:proofErr w:type="gramStart"/>
      <w:r w:rsidRPr="00716D6C">
        <w:rPr>
          <w:i/>
        </w:rPr>
        <w:t>práva</w:t>
      </w:r>
      <w:r>
        <w:rPr>
          <w:i/>
        </w:rPr>
        <w:t>...</w:t>
      </w:r>
      <w:r w:rsidRPr="00716D6C">
        <w:t>, s.</w:t>
      </w:r>
      <w:proofErr w:type="gramEnd"/>
      <w:r w:rsidRPr="00716D6C">
        <w:t xml:space="preserve"> 321. </w:t>
      </w:r>
    </w:p>
  </w:footnote>
  <w:footnote w:id="26">
    <w:p w:rsidR="00AB3057" w:rsidRPr="00716D6C" w:rsidRDefault="00AB3057" w:rsidP="00BF59B2">
      <w:pPr>
        <w:pStyle w:val="Textpoznpodarou"/>
      </w:pPr>
      <w:r w:rsidRPr="00716D6C">
        <w:rPr>
          <w:rStyle w:val="Znakapoznpodarou"/>
        </w:rPr>
        <w:footnoteRef/>
      </w:r>
      <w:r w:rsidRPr="00716D6C">
        <w:t xml:space="preserve"> </w:t>
      </w:r>
      <w:r>
        <w:t>Tamtéž</w:t>
      </w:r>
      <w:r w:rsidRPr="00716D6C">
        <w:t>, s. 326.</w:t>
      </w:r>
    </w:p>
  </w:footnote>
  <w:footnote w:id="27">
    <w:p w:rsidR="00AB3057" w:rsidRDefault="00AB3057" w:rsidP="00BF59B2">
      <w:pPr>
        <w:pStyle w:val="Textpoznpodarou"/>
      </w:pPr>
      <w:r w:rsidRPr="00716D6C">
        <w:rPr>
          <w:rStyle w:val="Znakapoznpodarou"/>
        </w:rPr>
        <w:footnoteRef/>
      </w:r>
      <w:r w:rsidRPr="00716D6C">
        <w:t xml:space="preserve"> </w:t>
      </w:r>
      <w:r>
        <w:t>KUKLÍK, SKŘEJPKOVÁ:</w:t>
      </w:r>
      <w:r w:rsidRPr="00716D6C">
        <w:t xml:space="preserve"> </w:t>
      </w:r>
      <w:r w:rsidRPr="00716D6C">
        <w:rPr>
          <w:i/>
        </w:rPr>
        <w:t xml:space="preserve">Kořeny a </w:t>
      </w:r>
      <w:proofErr w:type="gramStart"/>
      <w:r w:rsidRPr="00716D6C">
        <w:rPr>
          <w:i/>
        </w:rPr>
        <w:t>inspirace</w:t>
      </w:r>
      <w:r>
        <w:rPr>
          <w:i/>
        </w:rPr>
        <w:t>...</w:t>
      </w:r>
      <w:r w:rsidRPr="00716D6C">
        <w:t>, s.</w:t>
      </w:r>
      <w:proofErr w:type="gramEnd"/>
      <w:r w:rsidRPr="00716D6C">
        <w:t xml:space="preserve"> 176.</w:t>
      </w:r>
    </w:p>
  </w:footnote>
  <w:footnote w:id="28">
    <w:p w:rsidR="00AB3057" w:rsidRDefault="00AB3057">
      <w:pPr>
        <w:pStyle w:val="Textpoznpodarou"/>
      </w:pPr>
      <w:r>
        <w:rPr>
          <w:rStyle w:val="Znakapoznpodarou"/>
        </w:rPr>
        <w:footnoteRef/>
      </w:r>
      <w:r>
        <w:t xml:space="preserve"> KUKLÍK: Všeobecný zákoník občanský (</w:t>
      </w:r>
      <w:proofErr w:type="gramStart"/>
      <w:r>
        <w:t>ABGB)..., s.</w:t>
      </w:r>
      <w:proofErr w:type="gramEnd"/>
      <w:r>
        <w:t xml:space="preserve"> 108.</w:t>
      </w:r>
    </w:p>
  </w:footnote>
  <w:footnote w:id="29">
    <w:p w:rsidR="00AB3057" w:rsidRPr="00AF6077" w:rsidRDefault="00AB3057">
      <w:pPr>
        <w:pStyle w:val="Textpoznpodarou"/>
      </w:pPr>
      <w:r w:rsidRPr="00AF6077">
        <w:rPr>
          <w:rStyle w:val="Znakapoznpodarou"/>
        </w:rPr>
        <w:footnoteRef/>
      </w:r>
      <w:r w:rsidRPr="00AF6077">
        <w:t xml:space="preserve"> Dostupná na internetových stránkách </w:t>
      </w:r>
      <w:hyperlink r:id="rId1" w:history="1">
        <w:r w:rsidRPr="00AF6077">
          <w:rPr>
            <w:rStyle w:val="Hypertextovodkaz"/>
          </w:rPr>
          <w:t>www.senat.cz</w:t>
        </w:r>
      </w:hyperlink>
      <w:r w:rsidRPr="00AF6077">
        <w:t xml:space="preserve"> i s Důvodovou zprávou</w:t>
      </w:r>
      <w:r>
        <w:t>.</w:t>
      </w:r>
    </w:p>
  </w:footnote>
  <w:footnote w:id="30">
    <w:p w:rsidR="00AB3057" w:rsidRDefault="00AB3057">
      <w:pPr>
        <w:pStyle w:val="Textpoznpodarou"/>
      </w:pPr>
      <w:r w:rsidRPr="00AF6077">
        <w:rPr>
          <w:rStyle w:val="Znakapoznpodarou"/>
        </w:rPr>
        <w:footnoteRef/>
      </w:r>
      <w:r w:rsidRPr="00AF6077">
        <w:t xml:space="preserve"> Důvodová zpráva dostupná na internetových stránkách </w:t>
      </w:r>
      <w:hyperlink r:id="rId2" w:history="1">
        <w:r w:rsidRPr="00ED795B">
          <w:rPr>
            <w:rStyle w:val="Hypertextovodkaz"/>
          </w:rPr>
          <w:t>www.obcanskyzakonik.justice.cz</w:t>
        </w:r>
      </w:hyperlink>
      <w:r>
        <w:t xml:space="preserve">. </w:t>
      </w:r>
    </w:p>
  </w:footnote>
  <w:footnote w:id="31">
    <w:p w:rsidR="00AB3057" w:rsidRDefault="00AB3057" w:rsidP="009304DC">
      <w:pPr>
        <w:pStyle w:val="Textpoznpodarou"/>
      </w:pPr>
      <w:r>
        <w:rPr>
          <w:rStyle w:val="Znakapoznpodarou"/>
        </w:rPr>
        <w:footnoteRef/>
      </w:r>
      <w:r>
        <w:t xml:space="preserve"> Podrobněji k NOZ: </w:t>
      </w:r>
      <w:r w:rsidRPr="00745200">
        <w:t xml:space="preserve">ŠVESTKA, Jiří a kol. </w:t>
      </w:r>
      <w:r w:rsidRPr="00745200">
        <w:rPr>
          <w:i/>
        </w:rPr>
        <w:t xml:space="preserve">Občanský zákoník: komentář. Svazek IV. (§ 1475 až 1720). </w:t>
      </w:r>
      <w:r w:rsidRPr="00745200">
        <w:t xml:space="preserve"> </w:t>
      </w:r>
      <w:r>
        <w:t xml:space="preserve">Praha: </w:t>
      </w:r>
      <w:proofErr w:type="spellStart"/>
      <w:r>
        <w:t>Wolters</w:t>
      </w:r>
      <w:proofErr w:type="spellEnd"/>
      <w:r>
        <w:t xml:space="preserve"> </w:t>
      </w:r>
      <w:proofErr w:type="spellStart"/>
      <w:r>
        <w:t>Kluwer</w:t>
      </w:r>
      <w:proofErr w:type="spellEnd"/>
      <w:r>
        <w:t>, 2014, s. 1-65.</w:t>
      </w:r>
    </w:p>
    <w:p w:rsidR="00AB3057" w:rsidRPr="00745200" w:rsidRDefault="00AB3057" w:rsidP="009304DC">
      <w:pPr>
        <w:pStyle w:val="Textpoznpodarou"/>
      </w:pPr>
    </w:p>
    <w:p w:rsidR="00AB3057" w:rsidRDefault="00AB3057">
      <w:pPr>
        <w:pStyle w:val="Textpoznpodarou"/>
      </w:pPr>
    </w:p>
  </w:footnote>
  <w:footnote w:id="32">
    <w:p w:rsidR="00AB3057" w:rsidRPr="00AF6077"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603.</w:t>
      </w:r>
    </w:p>
  </w:footnote>
  <w:footnote w:id="33">
    <w:p w:rsidR="00AB3057" w:rsidRPr="00802510" w:rsidRDefault="00AB3057">
      <w:pPr>
        <w:pStyle w:val="Textpoznpodarou"/>
      </w:pPr>
      <w:r>
        <w:rPr>
          <w:rStyle w:val="Znakapoznpodarou"/>
        </w:rPr>
        <w:footnoteRef/>
      </w:r>
      <w:r>
        <w:t xml:space="preserve"> ELIÁŠ, Karel. Základní pojetí návrhu úpravy dědického práva pro nový občanský zákoník. </w:t>
      </w:r>
      <w:r>
        <w:rPr>
          <w:i/>
        </w:rPr>
        <w:t xml:space="preserve">Ad </w:t>
      </w:r>
      <w:proofErr w:type="spellStart"/>
      <w:r>
        <w:rPr>
          <w:i/>
        </w:rPr>
        <w:t>Notam</w:t>
      </w:r>
      <w:proofErr w:type="spellEnd"/>
      <w:r>
        <w:rPr>
          <w:i/>
        </w:rPr>
        <w:t xml:space="preserve">, </w:t>
      </w:r>
      <w:proofErr w:type="spellStart"/>
      <w:r>
        <w:t>roč</w:t>
      </w:r>
      <w:proofErr w:type="spellEnd"/>
      <w:r>
        <w:t>. 9, č. 5, 2003, s. 103.</w:t>
      </w:r>
    </w:p>
  </w:footnote>
  <w:footnote w:id="34">
    <w:p w:rsidR="00AB3057" w:rsidRDefault="00AB3057">
      <w:pPr>
        <w:pStyle w:val="Textpoznpodarou"/>
      </w:pPr>
      <w:r>
        <w:rPr>
          <w:rStyle w:val="Znakapoznpodarou"/>
        </w:rPr>
        <w:footnoteRef/>
      </w:r>
      <w:r>
        <w:t xml:space="preserve"> </w:t>
      </w:r>
      <w:r w:rsidRPr="00441E54">
        <w:rPr>
          <w:szCs w:val="24"/>
        </w:rPr>
        <w:t>V meziválečném období platil na území Československa zákon č. 117/</w:t>
      </w:r>
      <w:r>
        <w:rPr>
          <w:szCs w:val="24"/>
        </w:rPr>
        <w:t xml:space="preserve"> </w:t>
      </w:r>
      <w:r w:rsidRPr="00441E54">
        <w:rPr>
          <w:szCs w:val="24"/>
        </w:rPr>
        <w:t xml:space="preserve">1852 </w:t>
      </w:r>
      <w:proofErr w:type="spellStart"/>
      <w:proofErr w:type="gramStart"/>
      <w:r w:rsidRPr="00441E54">
        <w:rPr>
          <w:szCs w:val="24"/>
        </w:rPr>
        <w:t>ř.z</w:t>
      </w:r>
      <w:proofErr w:type="spellEnd"/>
      <w:r w:rsidRPr="00441E54">
        <w:rPr>
          <w:szCs w:val="24"/>
        </w:rPr>
        <w:t>., trestní</w:t>
      </w:r>
      <w:proofErr w:type="gramEnd"/>
      <w:r w:rsidRPr="00441E54">
        <w:rPr>
          <w:szCs w:val="24"/>
        </w:rPr>
        <w:t xml:space="preserve"> zákon o zločinech a přečinech, recipovaný v roce 1918 po vzniku samostatného Československa.  Zákon č.117/1852 </w:t>
      </w:r>
      <w:proofErr w:type="spellStart"/>
      <w:r w:rsidRPr="00441E54">
        <w:rPr>
          <w:szCs w:val="24"/>
        </w:rPr>
        <w:t>ř</w:t>
      </w:r>
      <w:proofErr w:type="spellEnd"/>
      <w:r w:rsidRPr="00441E54">
        <w:rPr>
          <w:szCs w:val="24"/>
        </w:rPr>
        <w:t>.</w:t>
      </w:r>
      <w:r>
        <w:rPr>
          <w:szCs w:val="24"/>
        </w:rPr>
        <w:t xml:space="preserve"> </w:t>
      </w:r>
      <w:r w:rsidRPr="00441E54">
        <w:rPr>
          <w:szCs w:val="24"/>
        </w:rPr>
        <w:t xml:space="preserve">z. </w:t>
      </w:r>
      <w:proofErr w:type="gramStart"/>
      <w:r w:rsidRPr="00441E54">
        <w:rPr>
          <w:szCs w:val="24"/>
        </w:rPr>
        <w:t>uvádí</w:t>
      </w:r>
      <w:proofErr w:type="gramEnd"/>
      <w:r w:rsidRPr="00441E54">
        <w:rPr>
          <w:szCs w:val="24"/>
        </w:rPr>
        <w:t xml:space="preserve"> v §</w:t>
      </w:r>
      <w:r>
        <w:rPr>
          <w:szCs w:val="24"/>
        </w:rPr>
        <w:t xml:space="preserve"> </w:t>
      </w:r>
      <w:r w:rsidRPr="00441E54">
        <w:rPr>
          <w:szCs w:val="24"/>
        </w:rPr>
        <w:t xml:space="preserve">1, že </w:t>
      </w:r>
      <w:r w:rsidRPr="00441E54">
        <w:rPr>
          <w:i/>
          <w:szCs w:val="24"/>
        </w:rPr>
        <w:t>ke zločinu vyžaduje se zlého úmyslu. Zlý úmysl dává se však za vinu nejen tehda, když před tím, než se něco</w:t>
      </w:r>
      <w:r>
        <w:rPr>
          <w:i/>
          <w:szCs w:val="24"/>
        </w:rPr>
        <w:t xml:space="preserve"> </w:t>
      </w:r>
      <w:r w:rsidRPr="00441E54">
        <w:rPr>
          <w:i/>
          <w:szCs w:val="24"/>
        </w:rPr>
        <w:t xml:space="preserve">před se vzalo nebo opominulo, anebo když se to před </w:t>
      </w:r>
      <w:proofErr w:type="gramStart"/>
      <w:r w:rsidRPr="00441E54">
        <w:rPr>
          <w:i/>
          <w:szCs w:val="24"/>
        </w:rPr>
        <w:t>se</w:t>
      </w:r>
      <w:proofErr w:type="gramEnd"/>
      <w:r w:rsidRPr="00441E54">
        <w:rPr>
          <w:i/>
          <w:szCs w:val="24"/>
        </w:rPr>
        <w:t xml:space="preserve"> bralo nebo opomíjelo, zlo, jež se zločinem jest spojeno, přímo bylo rozváženo a umíněno; nýbrž i, když z nějakého jiného zlého úmyslu něco bylo před </w:t>
      </w:r>
      <w:proofErr w:type="gramStart"/>
      <w:r w:rsidRPr="00441E54">
        <w:rPr>
          <w:i/>
          <w:szCs w:val="24"/>
        </w:rPr>
        <w:t>se</w:t>
      </w:r>
      <w:proofErr w:type="gramEnd"/>
      <w:r w:rsidRPr="00441E54">
        <w:rPr>
          <w:i/>
          <w:szCs w:val="24"/>
        </w:rPr>
        <w:t xml:space="preserve"> vzato nebo opominuto, z čeho zlo, které tím povstalo, obyčejně povstává, anebo alespoň snadno </w:t>
      </w:r>
      <w:proofErr w:type="spellStart"/>
      <w:r w:rsidRPr="00441E54">
        <w:rPr>
          <w:i/>
          <w:szCs w:val="24"/>
        </w:rPr>
        <w:t>povstati</w:t>
      </w:r>
      <w:proofErr w:type="spellEnd"/>
      <w:r w:rsidRPr="00441E54">
        <w:rPr>
          <w:i/>
          <w:szCs w:val="24"/>
        </w:rPr>
        <w:t xml:space="preserve"> může.</w:t>
      </w:r>
    </w:p>
  </w:footnote>
  <w:footnote w:id="35">
    <w:p w:rsidR="00AB3057" w:rsidRPr="00AF6077" w:rsidRDefault="00AB3057">
      <w:pPr>
        <w:pStyle w:val="Textpoznpodarou"/>
      </w:pPr>
      <w:r w:rsidRPr="00AF6077">
        <w:rPr>
          <w:rStyle w:val="Znakapoznpodarou"/>
        </w:rPr>
        <w:footnoteRef/>
      </w:r>
      <w:r w:rsidRPr="00AF6077">
        <w:t xml:space="preserve"> Do uvedeného počtu nejsou započteny ustanovení upravující vzdání se dědictví, které VN neupravuje vůbec, a ustanovení upravující odmítnutí dědictví, které upravuje VN až v části o přechodu pozůstalosti na dědice. Jelikož se systematika srovnávací části práce řídí VN, budou ustanovení NOZ o odmítnutí dědictví započtena až do ustanovení o přechodu pozůstalosti.</w:t>
      </w:r>
    </w:p>
  </w:footnote>
  <w:footnote w:id="36">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67-221.</w:t>
      </w:r>
    </w:p>
  </w:footnote>
  <w:footnote w:id="37">
    <w:p w:rsidR="00AB3057" w:rsidRPr="00AF6077" w:rsidRDefault="00AB3057">
      <w:pPr>
        <w:pStyle w:val="Textpoznpodarou"/>
      </w:pPr>
      <w:r w:rsidRPr="00AF6077">
        <w:rPr>
          <w:rStyle w:val="Znakapoznpodarou"/>
        </w:rPr>
        <w:footnoteRef/>
      </w:r>
      <w:r w:rsidRPr="00AF6077">
        <w:t xml:space="preserve"> Nedospělým je dle §</w:t>
      </w:r>
      <w:r>
        <w:t xml:space="preserve"> </w:t>
      </w:r>
      <w:r w:rsidRPr="00AF6077">
        <w:t>66 VN osoba, která nedovršila věku čtrnácti let</w:t>
      </w:r>
      <w:r w:rsidRPr="00AF6077">
        <w:rPr>
          <w:sz w:val="24"/>
        </w:rPr>
        <w:t>.</w:t>
      </w:r>
    </w:p>
  </w:footnote>
  <w:footnote w:id="38">
    <w:p w:rsidR="00AB3057" w:rsidRPr="00AF6077" w:rsidRDefault="00AB3057">
      <w:pPr>
        <w:pStyle w:val="Textpoznpodarou"/>
      </w:pPr>
      <w:r w:rsidRPr="00AF6077">
        <w:rPr>
          <w:rStyle w:val="Znakapoznpodarou"/>
        </w:rPr>
        <w:footnoteRef/>
      </w:r>
      <w:r w:rsidRPr="00AF6077">
        <w:t xml:space="preserve"> Nezletilcem je dle §</w:t>
      </w:r>
      <w:r>
        <w:t xml:space="preserve"> </w:t>
      </w:r>
      <w:r w:rsidRPr="00AF6077">
        <w:t>66 VN osoba, která nedosáhla dvacátého prvního roku věku.</w:t>
      </w:r>
    </w:p>
  </w:footnote>
  <w:footnote w:id="39">
    <w:p w:rsidR="00AB3057" w:rsidRPr="00AF6077" w:rsidRDefault="00AB3057">
      <w:pPr>
        <w:pStyle w:val="Textpoznpodarou"/>
      </w:pPr>
      <w:r w:rsidRPr="00AF6077">
        <w:rPr>
          <w:rStyle w:val="Znakapoznpodarou"/>
        </w:rPr>
        <w:footnoteRef/>
      </w:r>
      <w:r w:rsidRPr="00AF6077">
        <w:t xml:space="preserve"> Důležité je tedy duševní zdraví v době testamentu, a platnosti posledního pořízení nevadí, že úplné zbavení svéprávnosti ještě trvalo. </w:t>
      </w:r>
      <w:r w:rsidR="00FD3D10">
        <w:t>In</w:t>
      </w:r>
      <w:r w:rsidRPr="00AF6077">
        <w:rPr>
          <w:i/>
        </w:rPr>
        <w:t xml:space="preserve"> Důvodová zpráva k vládnímu návrhu zákona, kterým se vydává občanský zákoník </w:t>
      </w:r>
      <w:r w:rsidRPr="00AF6077">
        <w:t xml:space="preserve">[online, cit. 17. prosince 2014]. Dostupné </w:t>
      </w:r>
      <w:proofErr w:type="gramStart"/>
      <w:r w:rsidRPr="00AF6077">
        <w:t>na</w:t>
      </w:r>
      <w:proofErr w:type="gramEnd"/>
      <w:r w:rsidRPr="00AF6077">
        <w:t xml:space="preserve">: &lt; </w:t>
      </w:r>
      <w:hyperlink r:id="rId3" w:history="1">
        <w:r w:rsidRPr="00AF6077">
          <w:rPr>
            <w:rStyle w:val="Hypertextovodkaz"/>
          </w:rPr>
          <w:t>http://www.senat.cz/informace/z_historie/tisky/4vo/tisky/T0425_22.htm</w:t>
        </w:r>
      </w:hyperlink>
      <w:r w:rsidRPr="00AF6077">
        <w:t xml:space="preserve">&gt;. </w:t>
      </w:r>
    </w:p>
  </w:footnote>
  <w:footnote w:id="40">
    <w:p w:rsidR="00AB3057" w:rsidRDefault="00AB3057">
      <w:pPr>
        <w:pStyle w:val="Textpoznpodarou"/>
      </w:pPr>
      <w:r w:rsidRPr="00AF6077">
        <w:rPr>
          <w:rStyle w:val="Znakapoznpodarou"/>
        </w:rPr>
        <w:footnoteRef/>
      </w:r>
      <w:r w:rsidRPr="00AF6077">
        <w:t xml:space="preserve"> NOZ na rozdíl od VN nezná možnost úplného zbavení svéprávnosti, ale pouhé omezení svéprávnosti.</w:t>
      </w:r>
      <w:r>
        <w:t xml:space="preserve"> </w:t>
      </w:r>
    </w:p>
  </w:footnote>
  <w:footnote w:id="41">
    <w:p w:rsidR="00AB3057" w:rsidRPr="00A95D64" w:rsidRDefault="00AB3057">
      <w:pPr>
        <w:pStyle w:val="Textpoznpodarou"/>
      </w:pPr>
      <w:r>
        <w:rPr>
          <w:rStyle w:val="Znakapoznpodarou"/>
        </w:rPr>
        <w:footnoteRef/>
      </w:r>
      <w:r>
        <w:t xml:space="preserve"> </w:t>
      </w:r>
      <w:r w:rsidRPr="00A95D64">
        <w:t xml:space="preserve">WAWERKA, Karel. Nový občanský zákoník z pohledu emeritního notáře. </w:t>
      </w:r>
      <w:r w:rsidRPr="00A95D64">
        <w:rPr>
          <w:i/>
        </w:rPr>
        <w:t xml:space="preserve">Bulletin advokacie, </w:t>
      </w:r>
      <w:r w:rsidRPr="00A95D64">
        <w:t xml:space="preserve">2014, č. 12, </w:t>
      </w:r>
      <w:r w:rsidR="001E07B3">
        <w:br/>
      </w:r>
      <w:r w:rsidRPr="00A95D64">
        <w:t>s. 29.</w:t>
      </w:r>
    </w:p>
  </w:footnote>
  <w:footnote w:id="42">
    <w:p w:rsidR="00AB3057" w:rsidRPr="00AF6077" w:rsidRDefault="00AB3057" w:rsidP="00341E9B">
      <w:pPr>
        <w:pStyle w:val="Textpoznpodarou"/>
      </w:pPr>
      <w:r w:rsidRPr="00AF6077">
        <w:rPr>
          <w:rStyle w:val="Znakapoznpodarou"/>
        </w:rPr>
        <w:footnoteRef/>
      </w:r>
      <w:r w:rsidRPr="00AF6077">
        <w:t xml:space="preserve"> Rozluka byla v československém právu možnost zániku manželství za života manželů. Dále byl vedle rozluky možný rozvod od stolu a lože, který však nezpůsoboval právní zánik manželství.</w:t>
      </w:r>
    </w:p>
  </w:footnote>
  <w:footnote w:id="43">
    <w:p w:rsidR="00AB3057" w:rsidRPr="00AF6077" w:rsidRDefault="00AB3057">
      <w:pPr>
        <w:pStyle w:val="Textpoznpodarou"/>
      </w:pPr>
      <w:r w:rsidRPr="00AF6077">
        <w:rPr>
          <w:rStyle w:val="Znakapoznpodarou"/>
        </w:rPr>
        <w:footnoteRef/>
      </w:r>
      <w:r w:rsidRPr="00AF6077">
        <w:t xml:space="preserve"> Nejsou zahrnuta ustanovení a vykonavateli závěti a správci pozůstalosti. VN řadí tuto úpravu do části upravující správu pozůstalosti. Příslušná ustanovení NOZ tak budou připočtena až u institutu správy pozůstalosti.</w:t>
      </w:r>
    </w:p>
  </w:footnote>
  <w:footnote w:id="44">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91-116.</w:t>
      </w:r>
    </w:p>
  </w:footnote>
  <w:footnote w:id="45">
    <w:p w:rsidR="00AB3057" w:rsidRPr="00AF6077" w:rsidRDefault="00AB3057">
      <w:pPr>
        <w:pStyle w:val="Textpoznpodarou"/>
      </w:pPr>
      <w:r w:rsidRPr="00AF6077">
        <w:rPr>
          <w:rStyle w:val="Znakapoznpodarou"/>
        </w:rPr>
        <w:footnoteRef/>
      </w:r>
      <w:r w:rsidRPr="00AF6077">
        <w:t xml:space="preserve"> Jinak označované také jako tzv. vulgární substituce.</w:t>
      </w:r>
    </w:p>
  </w:footnote>
  <w:footnote w:id="46">
    <w:p w:rsidR="00AB3057" w:rsidRPr="00AF6077" w:rsidRDefault="00AB3057">
      <w:pPr>
        <w:pStyle w:val="Textpoznpodarou"/>
      </w:pPr>
      <w:r w:rsidRPr="00AF6077">
        <w:rPr>
          <w:rStyle w:val="Znakapoznpodarou"/>
        </w:rPr>
        <w:footnoteRef/>
      </w:r>
      <w:r w:rsidRPr="00AF6077">
        <w:t xml:space="preserve"> Jinak označované také jako tzv. </w:t>
      </w:r>
      <w:proofErr w:type="spellStart"/>
      <w:r w:rsidRPr="00AF6077">
        <w:t>fideikomisární</w:t>
      </w:r>
      <w:proofErr w:type="spellEnd"/>
      <w:r w:rsidRPr="00AF6077">
        <w:t xml:space="preserve"> substituce.</w:t>
      </w:r>
    </w:p>
  </w:footnote>
  <w:footnote w:id="47">
    <w:p w:rsidR="00AB3057" w:rsidRPr="00C74213"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620.</w:t>
      </w:r>
    </w:p>
  </w:footnote>
  <w:footnote w:id="48">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223-327.</w:t>
      </w:r>
    </w:p>
  </w:footnote>
  <w:footnote w:id="49">
    <w:p w:rsidR="00AB3057" w:rsidRPr="00745200" w:rsidRDefault="00AB3057">
      <w:pPr>
        <w:pStyle w:val="Textpoznpodarou"/>
      </w:pPr>
      <w:r>
        <w:rPr>
          <w:rStyle w:val="Znakapoznpodarou"/>
        </w:rPr>
        <w:footnoteRef/>
      </w:r>
      <w:r>
        <w:t xml:space="preserve"> </w:t>
      </w:r>
      <w:r w:rsidRPr="00745200">
        <w:t>ŠVESTKA</w:t>
      </w:r>
      <w:r>
        <w:t>:</w:t>
      </w:r>
      <w:r w:rsidRPr="00745200">
        <w:t xml:space="preserve"> </w:t>
      </w:r>
      <w:r w:rsidRPr="00745200">
        <w:rPr>
          <w:i/>
        </w:rPr>
        <w:t xml:space="preserve">Občanský zákoník: </w:t>
      </w:r>
      <w:proofErr w:type="gramStart"/>
      <w:r w:rsidRPr="00745200">
        <w:rPr>
          <w:i/>
        </w:rPr>
        <w:t>komentář</w:t>
      </w:r>
      <w:r>
        <w:rPr>
          <w:i/>
        </w:rPr>
        <w:t>...</w:t>
      </w:r>
      <w:r>
        <w:t>, s.</w:t>
      </w:r>
      <w:proofErr w:type="gramEnd"/>
      <w:r>
        <w:t xml:space="preserve"> 250-</w:t>
      </w:r>
      <w:r w:rsidRPr="00745200">
        <w:t>251.</w:t>
      </w:r>
    </w:p>
  </w:footnote>
  <w:footnote w:id="50">
    <w:p w:rsidR="00AB3057" w:rsidRDefault="00AB3057">
      <w:pPr>
        <w:pStyle w:val="Textpoznpodarou"/>
      </w:pPr>
      <w:r>
        <w:rPr>
          <w:rStyle w:val="Znakapoznpodarou"/>
        </w:rPr>
        <w:footnoteRef/>
      </w:r>
      <w:r>
        <w:t xml:space="preserve"> Podrobněji k NOZ: </w:t>
      </w:r>
      <w:r w:rsidRPr="00745200">
        <w:t>ŠVESTKA</w:t>
      </w:r>
      <w:r>
        <w:t xml:space="preserve">: </w:t>
      </w:r>
      <w:r>
        <w:rPr>
          <w:i/>
        </w:rPr>
        <w:t xml:space="preserve">Občanský zákoník: </w:t>
      </w:r>
      <w:proofErr w:type="gramStart"/>
      <w:r>
        <w:rPr>
          <w:i/>
        </w:rPr>
        <w:t>komentář...</w:t>
      </w:r>
      <w:r>
        <w:t>, s.</w:t>
      </w:r>
      <w:proofErr w:type="gramEnd"/>
      <w:r>
        <w:t xml:space="preserve"> 172-202.</w:t>
      </w:r>
    </w:p>
  </w:footnote>
  <w:footnote w:id="51">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329-347.</w:t>
      </w:r>
    </w:p>
  </w:footnote>
  <w:footnote w:id="52">
    <w:p w:rsidR="00AB3057" w:rsidRPr="00AF6077" w:rsidRDefault="00AB3057">
      <w:pPr>
        <w:pStyle w:val="Textpoznpodarou"/>
      </w:pPr>
      <w:r w:rsidRPr="00AF6077">
        <w:rPr>
          <w:rStyle w:val="Znakapoznpodarou"/>
        </w:rPr>
        <w:footnoteRef/>
      </w:r>
      <w:r>
        <w:t xml:space="preserve"> Pod</w:t>
      </w:r>
      <w:r w:rsidRPr="00AF6077">
        <w:t>le § 563 nemanželské děti mají stejná práva s dětmi manželskými při zákonné posloupnosti po matce a jejich příbuzných.</w:t>
      </w:r>
    </w:p>
  </w:footnote>
  <w:footnote w:id="53">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349-403.</w:t>
      </w:r>
    </w:p>
  </w:footnote>
  <w:footnote w:id="54">
    <w:p w:rsidR="00AB3057" w:rsidRPr="000A7730" w:rsidRDefault="00AB3057">
      <w:pPr>
        <w:pStyle w:val="Textpoznpodarou"/>
      </w:pPr>
      <w:r>
        <w:rPr>
          <w:rStyle w:val="Znakapoznpodarou"/>
        </w:rPr>
        <w:footnoteRef/>
      </w:r>
      <w:r>
        <w:t xml:space="preserve"> TILSCH, Emanuel.  </w:t>
      </w:r>
      <w:r>
        <w:rPr>
          <w:i/>
        </w:rPr>
        <w:t xml:space="preserve">Dědické právo rakouské se </w:t>
      </w:r>
      <w:proofErr w:type="gramStart"/>
      <w:r>
        <w:rPr>
          <w:i/>
        </w:rPr>
        <w:t>stanoviska</w:t>
      </w:r>
      <w:proofErr w:type="gramEnd"/>
      <w:r>
        <w:rPr>
          <w:i/>
        </w:rPr>
        <w:t xml:space="preserve"> srovnávací právní vědy. </w:t>
      </w:r>
      <w:r>
        <w:t>Část 1. Praha: Bursík &amp; Kohout, 1905, s. 25.</w:t>
      </w:r>
    </w:p>
  </w:footnote>
  <w:footnote w:id="55">
    <w:p w:rsidR="00AB3057" w:rsidRPr="00715CD9" w:rsidRDefault="00AB3057">
      <w:pPr>
        <w:pStyle w:val="Textpoznpodarou"/>
      </w:pPr>
      <w:r>
        <w:rPr>
          <w:rStyle w:val="Znakapoznpodarou"/>
        </w:rPr>
        <w:footnoteRef/>
      </w:r>
      <w:r>
        <w:t xml:space="preserve"> Blíže k tématu například: BEDNÁŘ, Václav. Nepominutelný dědic. In </w:t>
      </w:r>
      <w:r>
        <w:rPr>
          <w:i/>
        </w:rPr>
        <w:t xml:space="preserve">Soukromé právo na cestě: eseje a jiné texty k jubileu Karla Eliáše. </w:t>
      </w:r>
      <w:r>
        <w:t>Plzeň: A. Čeněk, 2010, s. 17-28.</w:t>
      </w:r>
    </w:p>
  </w:footnote>
  <w:footnote w:id="56">
    <w:p w:rsidR="00AB3057" w:rsidRDefault="00AB3057">
      <w:pPr>
        <w:pStyle w:val="Textpoznpodarou"/>
      </w:pPr>
      <w:r>
        <w:rPr>
          <w:rStyle w:val="Znakapoznpodarou"/>
        </w:rPr>
        <w:footnoteRef/>
      </w:r>
      <w:r>
        <w:t xml:space="preserve"> OZ 1964</w:t>
      </w:r>
      <w:r w:rsidRPr="006348AC">
        <w:t xml:space="preserve"> v ustanovení § 479 stanovoval, že nezletilým potomkům se musí dostat tolik, kolik činí jejich zákonný dědický podíl a zletilým potomkům pak tolik, kolik činí polovina jejich zákonného dědického podílu.</w:t>
      </w:r>
    </w:p>
  </w:footnote>
  <w:footnote w:id="57">
    <w:p w:rsidR="00AB3057" w:rsidRPr="00AF6077" w:rsidRDefault="00AB3057">
      <w:pPr>
        <w:pStyle w:val="Textpoznpodarou"/>
      </w:pPr>
      <w:r w:rsidRPr="00AF6077">
        <w:rPr>
          <w:rStyle w:val="Znakapoznpodarou"/>
        </w:rPr>
        <w:footnoteRef/>
      </w:r>
      <w:r w:rsidRPr="00AF6077">
        <w:t xml:space="preserve"> </w:t>
      </w:r>
      <w:r>
        <w:t>BEDNÁŘ, Václav</w:t>
      </w:r>
      <w:r w:rsidRPr="00AF6077">
        <w:t xml:space="preserve">. </w:t>
      </w:r>
      <w:r w:rsidRPr="00AF6077">
        <w:rPr>
          <w:i/>
        </w:rPr>
        <w:t xml:space="preserve">Testamentární dědická posloupnost. </w:t>
      </w:r>
      <w:r w:rsidRPr="00AF6077">
        <w:t>Plzeň: Vydavatelství a nakladatelství Aleš Čeněk, s.r.o., 2011, s. 138.</w:t>
      </w:r>
    </w:p>
  </w:footnote>
  <w:footnote w:id="58">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404-406.</w:t>
      </w:r>
    </w:p>
  </w:footnote>
  <w:footnote w:id="59">
    <w:p w:rsidR="00AB3057" w:rsidRDefault="00AB3057">
      <w:pPr>
        <w:pStyle w:val="Textpoznpodarou"/>
      </w:pPr>
      <w:r>
        <w:rPr>
          <w:rStyle w:val="Znakapoznpodarou"/>
        </w:rPr>
        <w:footnoteRef/>
      </w:r>
      <w:r>
        <w:t xml:space="preserve"> Podrobněji k NOZ: Tamtéž, s. 407-418.</w:t>
      </w:r>
    </w:p>
  </w:footnote>
  <w:footnote w:id="60">
    <w:p w:rsidR="00AB3057" w:rsidRDefault="00AB3057">
      <w:pPr>
        <w:pStyle w:val="Textpoznpodarou"/>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419 -613.</w:t>
      </w:r>
    </w:p>
  </w:footnote>
  <w:footnote w:id="61">
    <w:p w:rsidR="00AB3057" w:rsidRDefault="00AB3057">
      <w:pPr>
        <w:pStyle w:val="Textpoznpodarou"/>
      </w:pPr>
      <w:r>
        <w:rPr>
          <w:rStyle w:val="Znakapoznpodarou"/>
        </w:rPr>
        <w:footnoteRef/>
      </w:r>
      <w:r>
        <w:t xml:space="preserve"> Řízení o pozůstalosti upravoval císařský patent č. 208/ 1854 </w:t>
      </w:r>
      <w:proofErr w:type="spellStart"/>
      <w:r>
        <w:t>ř</w:t>
      </w:r>
      <w:proofErr w:type="spellEnd"/>
      <w:r>
        <w:t>. z., kterým se zavádí nový zákon o soudním řízení v nesporných věcech.</w:t>
      </w:r>
    </w:p>
  </w:footnote>
  <w:footnote w:id="62">
    <w:p w:rsidR="00AB3057" w:rsidRPr="00CF5508" w:rsidRDefault="00AB3057">
      <w:pPr>
        <w:pStyle w:val="Textpoznpodarou"/>
      </w:pPr>
      <w:r>
        <w:rPr>
          <w:rStyle w:val="Znakapoznpodarou"/>
        </w:rPr>
        <w:footnoteRef/>
      </w:r>
      <w:r>
        <w:t xml:space="preserve"> BREJLOVÁ, Kateřina. Nové postavení věřitele v dědickém řízení a změna v odpovědnosti dědiců za dluhy zůstavitele.  </w:t>
      </w:r>
      <w:r>
        <w:rPr>
          <w:i/>
        </w:rPr>
        <w:t xml:space="preserve">Ad </w:t>
      </w:r>
      <w:proofErr w:type="spellStart"/>
      <w:r>
        <w:rPr>
          <w:i/>
        </w:rPr>
        <w:t>Notam</w:t>
      </w:r>
      <w:proofErr w:type="spellEnd"/>
      <w:r>
        <w:rPr>
          <w:i/>
        </w:rPr>
        <w:t xml:space="preserve">, </w:t>
      </w:r>
      <w:r>
        <w:t xml:space="preserve">2014, </w:t>
      </w:r>
      <w:proofErr w:type="spellStart"/>
      <w:r>
        <w:t>roč</w:t>
      </w:r>
      <w:proofErr w:type="spellEnd"/>
      <w:r>
        <w:t>. 20, č. 1, s. 15.</w:t>
      </w:r>
    </w:p>
  </w:footnote>
  <w:footnote w:id="63">
    <w:p w:rsidR="00AB3057" w:rsidRPr="00FC0FEC" w:rsidRDefault="00AB3057">
      <w:pPr>
        <w:pStyle w:val="Textpoznpodarou"/>
        <w:rPr>
          <w:sz w:val="22"/>
        </w:rPr>
      </w:pPr>
      <w:r>
        <w:rPr>
          <w:rStyle w:val="Znakapoznpodarou"/>
        </w:rPr>
        <w:footnoteRef/>
      </w:r>
      <w:r>
        <w:t xml:space="preserve"> Podrobněji k NOZ: </w:t>
      </w:r>
      <w:r w:rsidRPr="00745200">
        <w:t>ŠVESTKA</w:t>
      </w:r>
      <w:r>
        <w:t>:</w:t>
      </w:r>
      <w:r w:rsidRPr="00745200">
        <w:t xml:space="preserve"> </w:t>
      </w:r>
      <w:r>
        <w:rPr>
          <w:i/>
        </w:rPr>
        <w:t xml:space="preserve">Občanský zákoník: </w:t>
      </w:r>
      <w:proofErr w:type="gramStart"/>
      <w:r>
        <w:rPr>
          <w:i/>
        </w:rPr>
        <w:t>komentář...</w:t>
      </w:r>
      <w:r>
        <w:t>, s.</w:t>
      </w:r>
      <w:proofErr w:type="gramEnd"/>
      <w:r>
        <w:t xml:space="preserve"> 615-629.</w:t>
      </w:r>
    </w:p>
  </w:footnote>
  <w:footnote w:id="64">
    <w:p w:rsidR="00AB3057" w:rsidRPr="00AF6077" w:rsidRDefault="00AB3057" w:rsidP="00EF732D">
      <w:pPr>
        <w:pStyle w:val="Textpoznpodarou"/>
      </w:pPr>
      <w:r w:rsidRPr="00AF6077">
        <w:rPr>
          <w:rStyle w:val="Znakapoznpodarou"/>
        </w:rPr>
        <w:footnoteRef/>
      </w:r>
      <w:r w:rsidRPr="00AF6077">
        <w:t xml:space="preserve"> Institut zřeknutí se dědického práva byl upraven ještě v občanském zákoníku z roku 1950.</w:t>
      </w:r>
    </w:p>
  </w:footnote>
  <w:footnote w:id="65">
    <w:p w:rsidR="00AB3057" w:rsidRPr="00AF6077" w:rsidRDefault="00AB3057">
      <w:pPr>
        <w:pStyle w:val="Textpoznpodarou"/>
      </w:pPr>
      <w:r w:rsidRPr="00AF6077">
        <w:rPr>
          <w:rStyle w:val="Znakapoznpodarou"/>
        </w:rPr>
        <w:footnoteRef/>
      </w:r>
      <w:r w:rsidRPr="00AF6077">
        <w:t xml:space="preserve"> </w:t>
      </w:r>
      <w:r>
        <w:t>OZ 1950</w:t>
      </w:r>
      <w:r w:rsidRPr="00AF6077">
        <w:t xml:space="preserve"> v ustanovení §</w:t>
      </w:r>
      <w:r>
        <w:t xml:space="preserve"> </w:t>
      </w:r>
      <w:r w:rsidRPr="00AF6077">
        <w:t xml:space="preserve">551 a </w:t>
      </w:r>
      <w:r>
        <w:t>OZ 1964</w:t>
      </w:r>
      <w:r w:rsidRPr="00AF6077">
        <w:t xml:space="preserve"> v ustanovení §</w:t>
      </w:r>
      <w:r>
        <w:t xml:space="preserve"> </w:t>
      </w:r>
      <w:r w:rsidRPr="00AF6077">
        <w:t xml:space="preserve">479 pouze stanovují, že je závěť neplatná v případě, že se stanoveným osobám (nepominutelným dědicům) nedostane zákonem stanoveného podílu. </w:t>
      </w:r>
      <w:r>
        <w:t>OZ 1950</w:t>
      </w:r>
      <w:r w:rsidRPr="00AF6077">
        <w:t xml:space="preserve"> řadí mezi nepominutelné dědice ještě i rodiče a staré rodiče zůstavitele,</w:t>
      </w:r>
      <w:r>
        <w:t xml:space="preserve"> OZ 1964</w:t>
      </w:r>
      <w:r w:rsidRPr="00AF6077">
        <w:t xml:space="preserve"> mezi ně řadí už jen potomky zůstavitele.</w:t>
      </w:r>
    </w:p>
  </w:footnote>
  <w:footnote w:id="66">
    <w:p w:rsidR="00AB3057" w:rsidRPr="00AC2916"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669.</w:t>
      </w:r>
    </w:p>
  </w:footnote>
  <w:footnote w:id="67">
    <w:p w:rsidR="00AB3057" w:rsidRPr="00AF6077" w:rsidRDefault="00AB3057">
      <w:pPr>
        <w:pStyle w:val="Textpoznpodarou"/>
      </w:pPr>
      <w:r w:rsidRPr="00AF6077">
        <w:rPr>
          <w:rStyle w:val="Znakapoznpodarou"/>
        </w:rPr>
        <w:footnoteRef/>
      </w:r>
      <w:r w:rsidRPr="00AF6077">
        <w:t xml:space="preserve"> </w:t>
      </w:r>
      <w:r>
        <w:t>Tamtéž,</w:t>
      </w:r>
      <w:r w:rsidRPr="00AF6077">
        <w:t xml:space="preserve"> s. 670.</w:t>
      </w:r>
    </w:p>
  </w:footnote>
  <w:footnote w:id="68">
    <w:p w:rsidR="00AB3057" w:rsidRPr="00AF6077" w:rsidRDefault="00AB3057">
      <w:pPr>
        <w:pStyle w:val="Textpoznpodarou"/>
      </w:pPr>
      <w:r w:rsidRPr="00AF6077">
        <w:rPr>
          <w:rStyle w:val="Znakapoznpodarou"/>
        </w:rPr>
        <w:footnoteRef/>
      </w:r>
      <w:r w:rsidRPr="00AF6077">
        <w:t xml:space="preserve"> Při přípravě VN zazněly mnohé kritiky proti takovému ustanovení s odkazem na možné poškození nepominutelného dědice při poklesu hodnoty peněz. Nakonec však komise ponechala toto ustanovení s tím, že k poklesu hodnoty peněz nedochází často, a že takové ustanovení je vhodnější než stanovení, že má nepominutelný dědic právo na dědický podíl. </w:t>
      </w:r>
      <w:r>
        <w:t xml:space="preserve">In </w:t>
      </w:r>
      <w:r w:rsidRPr="00AF6077">
        <w:rPr>
          <w:i/>
        </w:rPr>
        <w:t xml:space="preserve">Důvodová zpráva k vládnímu návrhu zákona, kterým se vydává občanský zákoník </w:t>
      </w:r>
      <w:r w:rsidRPr="00AF6077">
        <w:t xml:space="preserve">[online, cit. 17. prosince 2014]. Dostupné </w:t>
      </w:r>
      <w:proofErr w:type="gramStart"/>
      <w:r w:rsidRPr="00AF6077">
        <w:t>na</w:t>
      </w:r>
      <w:proofErr w:type="gramEnd"/>
      <w:r w:rsidRPr="00AF6077">
        <w:t xml:space="preserve">: &lt; </w:t>
      </w:r>
      <w:hyperlink r:id="rId4" w:history="1">
        <w:r w:rsidRPr="00AF6077">
          <w:rPr>
            <w:rStyle w:val="Hypertextovodkaz"/>
          </w:rPr>
          <w:t>http://www.senat.cz/informace/z_historie/tisky/4vo/tisky/T0425_25.htm</w:t>
        </w:r>
      </w:hyperlink>
      <w:r w:rsidRPr="00AF6077">
        <w:t xml:space="preserve">&gt;. </w:t>
      </w:r>
    </w:p>
  </w:footnote>
  <w:footnote w:id="69">
    <w:p w:rsidR="00AB3057" w:rsidRPr="00AF6077" w:rsidRDefault="00AB3057">
      <w:pPr>
        <w:pStyle w:val="Textpoznpodarou"/>
      </w:pPr>
      <w:r w:rsidRPr="00AF6077">
        <w:rPr>
          <w:rStyle w:val="Znakapoznpodarou"/>
        </w:rPr>
        <w:footnoteRef/>
      </w:r>
      <w:r w:rsidRPr="00AF6077">
        <w:t xml:space="preserve"> </w:t>
      </w:r>
      <w:r>
        <w:t>SVOBODA, Emil.</w:t>
      </w:r>
      <w:r w:rsidRPr="00AF6077">
        <w:t xml:space="preserve"> </w:t>
      </w:r>
      <w:r w:rsidRPr="00AF6077">
        <w:rPr>
          <w:i/>
        </w:rPr>
        <w:t>Dědické právo</w:t>
      </w:r>
      <w:r>
        <w:rPr>
          <w:i/>
        </w:rPr>
        <w:t xml:space="preserve">. </w:t>
      </w:r>
      <w:r>
        <w:t>Karlín: Vesmír, 1921,</w:t>
      </w:r>
      <w:r w:rsidRPr="00AF6077">
        <w:t xml:space="preserve"> s. 72.</w:t>
      </w:r>
    </w:p>
  </w:footnote>
  <w:footnote w:id="70">
    <w:p w:rsidR="00AB3057" w:rsidRPr="00AF6077" w:rsidRDefault="00AB3057" w:rsidP="00F401A7">
      <w:pPr>
        <w:pStyle w:val="Textpoznpodarou"/>
      </w:pPr>
      <w:r w:rsidRPr="00AF6077">
        <w:rPr>
          <w:rStyle w:val="Znakapoznpodarou"/>
        </w:rPr>
        <w:footnoteRef/>
      </w:r>
      <w:r w:rsidRPr="00AF6077">
        <w:t xml:space="preserve"> </w:t>
      </w:r>
      <w:r>
        <w:t xml:space="preserve">ELIÁŠ a kol.: </w:t>
      </w:r>
      <w:r>
        <w:rPr>
          <w:i/>
        </w:rPr>
        <w:t xml:space="preserve">Nový občanský </w:t>
      </w:r>
      <w:proofErr w:type="gramStart"/>
      <w:r>
        <w:rPr>
          <w:i/>
        </w:rPr>
        <w:t>zákoník...</w:t>
      </w:r>
      <w:r w:rsidRPr="00AF6077">
        <w:t>, s.</w:t>
      </w:r>
      <w:proofErr w:type="gramEnd"/>
      <w:r w:rsidRPr="00AF6077">
        <w:t xml:space="preserve"> 677.</w:t>
      </w:r>
    </w:p>
    <w:p w:rsidR="00AB3057" w:rsidRDefault="00AB3057">
      <w:pPr>
        <w:pStyle w:val="Textpoznpodarou"/>
      </w:pPr>
    </w:p>
  </w:footnote>
  <w:footnote w:id="71">
    <w:p w:rsidR="00AB3057" w:rsidRPr="00AF6077" w:rsidRDefault="00AB3057">
      <w:pPr>
        <w:pStyle w:val="Textpoznpodarou"/>
      </w:pPr>
      <w:r w:rsidRPr="00AF6077">
        <w:rPr>
          <w:rStyle w:val="Znakapoznpodarou"/>
        </w:rPr>
        <w:footnoteRef/>
      </w:r>
      <w:r w:rsidRPr="00AF6077">
        <w:t xml:space="preserve"> </w:t>
      </w:r>
      <w:r>
        <w:t>In</w:t>
      </w:r>
      <w:r w:rsidRPr="00AF6077">
        <w:rPr>
          <w:i/>
        </w:rPr>
        <w:t xml:space="preserve"> Důvodová zpráva k vládnímu návrhu zákona, kterým se vydává občanský zákoník </w:t>
      </w:r>
      <w:r w:rsidRPr="00AF6077">
        <w:t xml:space="preserve">[online, cit. 17. prosince 2014]. Dostupné na </w:t>
      </w:r>
      <w:hyperlink r:id="rId5" w:history="1">
        <w:r w:rsidRPr="00AF6077">
          <w:rPr>
            <w:rStyle w:val="Hypertextovodkaz"/>
          </w:rPr>
          <w:t>http://www.senat.cz/informace/z_historie/tisky/4vo/tisky/T0425_24.htm</w:t>
        </w:r>
      </w:hyperlink>
      <w:r w:rsidRPr="00AF6077">
        <w:t>.</w:t>
      </w:r>
    </w:p>
  </w:footnote>
  <w:footnote w:id="72">
    <w:p w:rsidR="00AB3057" w:rsidRPr="00AF6077"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671.</w:t>
      </w:r>
    </w:p>
  </w:footnote>
  <w:footnote w:id="73">
    <w:p w:rsidR="00AB3057" w:rsidRPr="007F37C8" w:rsidRDefault="00AB3057">
      <w:pPr>
        <w:pStyle w:val="Textpoznpodarou"/>
      </w:pPr>
      <w:r w:rsidRPr="00AF6077">
        <w:rPr>
          <w:rStyle w:val="Znakapoznpodarou"/>
        </w:rPr>
        <w:footnoteRef/>
      </w:r>
      <w:r w:rsidRPr="00AF6077">
        <w:t xml:space="preserve"> </w:t>
      </w:r>
      <w:r>
        <w:t>SVOBODA, Emil.</w:t>
      </w:r>
      <w:r w:rsidRPr="00AF6077">
        <w:t xml:space="preserve"> </w:t>
      </w:r>
      <w:r w:rsidRPr="00AF6077">
        <w:rPr>
          <w:i/>
        </w:rPr>
        <w:t>Dědické právo: Návrh subkomitétu</w:t>
      </w:r>
      <w:r>
        <w:rPr>
          <w:i/>
        </w:rPr>
        <w:t xml:space="preserve"> pro revisi občanského zákoníku pro Československou republiku. </w:t>
      </w:r>
      <w:r>
        <w:t>2. vydání. Praha: Ministerstvo spravedlnosti, 1924</w:t>
      </w:r>
      <w:r w:rsidRPr="00AF6077">
        <w:t>, s. 67.</w:t>
      </w:r>
    </w:p>
  </w:footnote>
  <w:footnote w:id="74">
    <w:p w:rsidR="00AB3057" w:rsidRPr="00AF6077"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672.</w:t>
      </w:r>
    </w:p>
  </w:footnote>
  <w:footnote w:id="75">
    <w:p w:rsidR="00AB3057" w:rsidRDefault="00AB3057">
      <w:pPr>
        <w:pStyle w:val="Textpoznpodarou"/>
      </w:pPr>
      <w:r w:rsidRPr="00AF6077">
        <w:rPr>
          <w:rStyle w:val="Znakapoznpodarou"/>
        </w:rPr>
        <w:footnoteRef/>
      </w:r>
      <w:r>
        <w:t xml:space="preserve">ELIÁŠ, Karel a kol.: </w:t>
      </w:r>
      <w:r>
        <w:rPr>
          <w:i/>
        </w:rPr>
        <w:t xml:space="preserve">Nový občanský </w:t>
      </w:r>
      <w:proofErr w:type="gramStart"/>
      <w:r>
        <w:rPr>
          <w:i/>
        </w:rPr>
        <w:t>zákoník...</w:t>
      </w:r>
      <w:r w:rsidRPr="00AF6077">
        <w:t>, s.</w:t>
      </w:r>
      <w:proofErr w:type="gramEnd"/>
      <w:r w:rsidRPr="00AF6077">
        <w:t xml:space="preserve"> 675.</w:t>
      </w:r>
    </w:p>
  </w:footnote>
  <w:footnote w:id="76">
    <w:p w:rsidR="00AB3057" w:rsidRPr="00AF6077" w:rsidRDefault="00AB3057">
      <w:pPr>
        <w:pStyle w:val="Textpoznpodarou"/>
      </w:pPr>
      <w:r w:rsidRPr="00AF6077">
        <w:rPr>
          <w:rStyle w:val="Znakapoznpodarou"/>
        </w:rPr>
        <w:footnoteRef/>
      </w:r>
      <w:r w:rsidRPr="00AF6077">
        <w:t xml:space="preserve"> </w:t>
      </w:r>
      <w:r>
        <w:t>HORÁK, Ondřej</w:t>
      </w:r>
      <w:r w:rsidRPr="00AF6077">
        <w:t xml:space="preserve">. Tzv. nepominutelný dědic v novém občanském zákoníku. </w:t>
      </w:r>
      <w:r w:rsidRPr="00AF6077">
        <w:rPr>
          <w:i/>
        </w:rPr>
        <w:t xml:space="preserve">Právní rozhledy, </w:t>
      </w:r>
      <w:r>
        <w:t xml:space="preserve">2014, </w:t>
      </w:r>
      <w:proofErr w:type="spellStart"/>
      <w:r>
        <w:t>roč</w:t>
      </w:r>
      <w:proofErr w:type="spellEnd"/>
      <w:r>
        <w:t xml:space="preserve">. 22, </w:t>
      </w:r>
      <w:r w:rsidR="004C17A5">
        <w:br/>
      </w:r>
      <w:r>
        <w:t xml:space="preserve">č. 11, </w:t>
      </w:r>
      <w:r w:rsidRPr="00AF6077">
        <w:t>s. 381.</w:t>
      </w:r>
    </w:p>
  </w:footnote>
  <w:footnote w:id="77">
    <w:p w:rsidR="00AB3057" w:rsidRPr="007330E0" w:rsidRDefault="00AB3057">
      <w:pPr>
        <w:pStyle w:val="Textpoznpodarou"/>
      </w:pPr>
      <w:r w:rsidRPr="00AF6077">
        <w:rPr>
          <w:rStyle w:val="Znakapoznpodarou"/>
        </w:rPr>
        <w:footnoteRef/>
      </w:r>
      <w:r w:rsidRPr="00AF6077">
        <w:t xml:space="preserve"> </w:t>
      </w:r>
      <w:r>
        <w:t>Tamtéž</w:t>
      </w:r>
      <w:r w:rsidRPr="00AF6077">
        <w:t>, s. 381.</w:t>
      </w:r>
    </w:p>
  </w:footnote>
  <w:footnote w:id="78">
    <w:p w:rsidR="00AB3057" w:rsidRPr="00AF6077" w:rsidRDefault="00AB3057">
      <w:pPr>
        <w:pStyle w:val="Textpoznpodarou"/>
      </w:pPr>
      <w:r w:rsidRPr="00AF6077">
        <w:rPr>
          <w:rStyle w:val="Znakapoznpodarou"/>
        </w:rPr>
        <w:footnoteRef/>
      </w:r>
      <w:r w:rsidRPr="00AF6077">
        <w:t xml:space="preserve"> </w:t>
      </w:r>
      <w:r>
        <w:t>ROUČEK, SEDLÁČEK:</w:t>
      </w:r>
      <w:r w:rsidRPr="00AF6077">
        <w:t xml:space="preserve"> </w:t>
      </w:r>
      <w:r>
        <w:rPr>
          <w:i/>
        </w:rPr>
        <w:t>Komentář k</w:t>
      </w:r>
      <w:r w:rsidR="00C1290B">
        <w:rPr>
          <w:i/>
        </w:rPr>
        <w:t> </w:t>
      </w:r>
      <w:r>
        <w:rPr>
          <w:i/>
        </w:rPr>
        <w:t>československému</w:t>
      </w:r>
      <w:r w:rsidR="00C1290B">
        <w:rPr>
          <w:i/>
        </w:rPr>
        <w:t xml:space="preserve"> obecnému zákoníku občanskému a občanské právo platné na Slovensku a Podkarpatské Rusi. Díl třetí. </w:t>
      </w:r>
      <w:r w:rsidR="00C1290B">
        <w:t>Praha: V. Linhart, 1935,</w:t>
      </w:r>
      <w:r w:rsidRPr="00AF6077">
        <w:t xml:space="preserve"> s. 472.</w:t>
      </w:r>
    </w:p>
  </w:footnote>
  <w:footnote w:id="79">
    <w:p w:rsidR="00AB3057"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679.</w:t>
      </w:r>
    </w:p>
  </w:footnote>
  <w:footnote w:id="80">
    <w:p w:rsidR="00AB3057" w:rsidRPr="00AF6077" w:rsidRDefault="00AB3057">
      <w:pPr>
        <w:pStyle w:val="Textpoznpodarou"/>
      </w:pPr>
      <w:r w:rsidRPr="00AF6077">
        <w:rPr>
          <w:rStyle w:val="Znakapoznpodarou"/>
        </w:rPr>
        <w:footnoteRef/>
      </w:r>
      <w:r w:rsidRPr="00AF6077">
        <w:t xml:space="preserve"> Zde </w:t>
      </w:r>
      <w:r>
        <w:t xml:space="preserve">je </w:t>
      </w:r>
      <w:r w:rsidRPr="00AF6077">
        <w:t>na</w:t>
      </w:r>
      <w:r>
        <w:t xml:space="preserve"> </w:t>
      </w:r>
      <w:r w:rsidRPr="00AF6077">
        <w:t>rozdíl od VN stanoveno, že se započítává, co zůstavitel poskytl na uhrazení dluhů zletilého potomka. VN umožňuje započtení i toho, co bylo poskytnuto na uhrazení dluhů nezletilého potomka zůstavitele.</w:t>
      </w:r>
    </w:p>
  </w:footnote>
  <w:footnote w:id="81">
    <w:p w:rsidR="00AB3057" w:rsidRPr="00AF6077" w:rsidRDefault="00AB3057">
      <w:pPr>
        <w:pStyle w:val="Textpoznpodarou"/>
      </w:pPr>
      <w:r w:rsidRPr="00AF6077">
        <w:rPr>
          <w:rStyle w:val="Znakapoznpodarou"/>
        </w:rPr>
        <w:footnoteRef/>
      </w:r>
      <w:r w:rsidRPr="00AF6077">
        <w:t xml:space="preserve"> </w:t>
      </w:r>
      <w:r>
        <w:t>ROUČEK, SEDLÁČEK:</w:t>
      </w:r>
      <w:r w:rsidRPr="00AF6077">
        <w:t xml:space="preserve"> </w:t>
      </w:r>
      <w:r w:rsidRPr="00AF6077">
        <w:rPr>
          <w:i/>
        </w:rPr>
        <w:t>Komentář k</w:t>
      </w:r>
      <w:r>
        <w:rPr>
          <w:i/>
        </w:rPr>
        <w:t> </w:t>
      </w:r>
      <w:proofErr w:type="gramStart"/>
      <w:r w:rsidRPr="00AF6077">
        <w:rPr>
          <w:i/>
        </w:rPr>
        <w:t>československému</w:t>
      </w:r>
      <w:r>
        <w:rPr>
          <w:i/>
        </w:rPr>
        <w:t>...</w:t>
      </w:r>
      <w:r w:rsidRPr="00AF6077">
        <w:t>, s.</w:t>
      </w:r>
      <w:proofErr w:type="gramEnd"/>
      <w:r w:rsidRPr="00AF6077">
        <w:t xml:space="preserve"> 473.</w:t>
      </w:r>
    </w:p>
  </w:footnote>
  <w:footnote w:id="82">
    <w:p w:rsidR="00AB3057" w:rsidRPr="00AF6077" w:rsidRDefault="00AB3057">
      <w:pPr>
        <w:pStyle w:val="Textpoznpodarou"/>
      </w:pPr>
      <w:r w:rsidRPr="00AF6077">
        <w:rPr>
          <w:rStyle w:val="Znakapoznpodarou"/>
        </w:rPr>
        <w:footnoteRef/>
      </w:r>
      <w:r w:rsidRPr="00AF6077">
        <w:t xml:space="preserve"> </w:t>
      </w:r>
      <w:r>
        <w:t>Tamtéž</w:t>
      </w:r>
      <w:r w:rsidRPr="00AF6077">
        <w:t>, s. 479.</w:t>
      </w:r>
    </w:p>
  </w:footnote>
  <w:footnote w:id="83">
    <w:p w:rsidR="00AB3057" w:rsidRDefault="00AB3057">
      <w:pPr>
        <w:pStyle w:val="Textpoznpodarou"/>
      </w:pPr>
      <w:r w:rsidRPr="00AF6077">
        <w:rPr>
          <w:rStyle w:val="Znakapoznpodarou"/>
        </w:rPr>
        <w:footnoteRef/>
      </w:r>
      <w:r w:rsidRPr="00AF6077">
        <w:t xml:space="preserve"> </w:t>
      </w:r>
      <w:r>
        <w:t>ELIÁŠ a kol.:</w:t>
      </w:r>
      <w:r w:rsidRPr="00AF6077">
        <w:t xml:space="preserve"> </w:t>
      </w:r>
      <w:r w:rsidRPr="00AF6077">
        <w:rPr>
          <w:i/>
        </w:rPr>
        <w:t xml:space="preserve">Nový občanský </w:t>
      </w:r>
      <w:proofErr w:type="gramStart"/>
      <w:r w:rsidRPr="00AF6077">
        <w:rPr>
          <w:i/>
        </w:rPr>
        <w:t>zákoník</w:t>
      </w:r>
      <w:r>
        <w:rPr>
          <w:i/>
        </w:rPr>
        <w:t>...</w:t>
      </w:r>
      <w:r w:rsidRPr="00AF6077">
        <w:t>, s.</w:t>
      </w:r>
      <w:proofErr w:type="gramEnd"/>
      <w:r w:rsidRPr="00AF6077">
        <w:t xml:space="preserve"> 680.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F4D"/>
    <w:multiLevelType w:val="hybridMultilevel"/>
    <w:tmpl w:val="555E84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3A32E2"/>
    <w:multiLevelType w:val="hybridMultilevel"/>
    <w:tmpl w:val="9D9AAB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366CC4"/>
    <w:multiLevelType w:val="hybridMultilevel"/>
    <w:tmpl w:val="877C2D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587E16"/>
    <w:multiLevelType w:val="multilevel"/>
    <w:tmpl w:val="53EAA194"/>
    <w:lvl w:ilvl="0">
      <w:start w:val="4"/>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BC7AB5"/>
    <w:multiLevelType w:val="multilevel"/>
    <w:tmpl w:val="A18CE990"/>
    <w:lvl w:ilvl="0">
      <w:start w:val="3"/>
      <w:numFmt w:val="decimal"/>
      <w:lvlText w:val="%1."/>
      <w:lvlJc w:val="left"/>
      <w:pPr>
        <w:ind w:left="567" w:hanging="567"/>
      </w:pPr>
      <w:rPr>
        <w:rFonts w:hint="default"/>
      </w:rPr>
    </w:lvl>
    <w:lvl w:ilvl="1">
      <w:start w:val="7"/>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nsid w:val="21FC7727"/>
    <w:multiLevelType w:val="hybridMultilevel"/>
    <w:tmpl w:val="02C6D790"/>
    <w:lvl w:ilvl="0" w:tplc="54CC7452">
      <w:start w:val="1"/>
      <w:numFmt w:val="bullet"/>
      <w:lvlText w:val=""/>
      <w:lvlJc w:val="left"/>
      <w:pPr>
        <w:ind w:left="720" w:hanging="360"/>
      </w:pPr>
      <w:rPr>
        <w:rFonts w:ascii="Wingdings" w:hAnsi="Wingding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DB66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5318B2"/>
    <w:multiLevelType w:val="multilevel"/>
    <w:tmpl w:val="22465E1E"/>
    <w:lvl w:ilvl="0">
      <w:start w:val="3"/>
      <w:numFmt w:val="decimal"/>
      <w:lvlText w:val="%1."/>
      <w:lvlJc w:val="left"/>
      <w:pPr>
        <w:ind w:left="567" w:hanging="567"/>
      </w:pPr>
      <w:rPr>
        <w:rFonts w:hint="default"/>
      </w:rPr>
    </w:lvl>
    <w:lvl w:ilvl="1">
      <w:start w:val="5"/>
      <w:numFmt w:val="decimal"/>
      <w:lvlText w:val="%1.%2."/>
      <w:lvlJc w:val="left"/>
      <w:pPr>
        <w:ind w:left="567" w:hanging="567"/>
      </w:pPr>
      <w:rPr>
        <w:rFonts w:hint="default"/>
      </w:rPr>
    </w:lvl>
    <w:lvl w:ilvl="2">
      <w:start w:val="2"/>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nsid w:val="4B931D1F"/>
    <w:multiLevelType w:val="hybridMultilevel"/>
    <w:tmpl w:val="DE62D2C8"/>
    <w:lvl w:ilvl="0" w:tplc="04050005">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CA777CC"/>
    <w:multiLevelType w:val="multilevel"/>
    <w:tmpl w:val="A99AE47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nsid w:val="52567E0E"/>
    <w:multiLevelType w:val="hybridMultilevel"/>
    <w:tmpl w:val="780CD5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1F8006F"/>
    <w:multiLevelType w:val="hybridMultilevel"/>
    <w:tmpl w:val="BC6025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8"/>
  </w:num>
  <w:num w:numId="6">
    <w:abstractNumId w:val="2"/>
  </w:num>
  <w:num w:numId="7">
    <w:abstractNumId w:val="11"/>
  </w:num>
  <w:num w:numId="8">
    <w:abstractNumId w:val="5"/>
  </w:num>
  <w:num w:numId="9">
    <w:abstractNumId w:val="6"/>
  </w:num>
  <w:num w:numId="10">
    <w:abstractNumId w:val="10"/>
  </w:num>
  <w:num w:numId="11">
    <w:abstractNumId w:val="0"/>
  </w:num>
  <w:num w:numId="12">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149B0"/>
    <w:rsid w:val="000006FF"/>
    <w:rsid w:val="00004A12"/>
    <w:rsid w:val="0001060E"/>
    <w:rsid w:val="00011FFF"/>
    <w:rsid w:val="000134DA"/>
    <w:rsid w:val="000145B8"/>
    <w:rsid w:val="00014999"/>
    <w:rsid w:val="00015784"/>
    <w:rsid w:val="00015E62"/>
    <w:rsid w:val="000208DB"/>
    <w:rsid w:val="00021832"/>
    <w:rsid w:val="00022068"/>
    <w:rsid w:val="000220F1"/>
    <w:rsid w:val="00022FBE"/>
    <w:rsid w:val="000240EA"/>
    <w:rsid w:val="0002540B"/>
    <w:rsid w:val="0003001E"/>
    <w:rsid w:val="000308F3"/>
    <w:rsid w:val="000353A6"/>
    <w:rsid w:val="000360C2"/>
    <w:rsid w:val="00043822"/>
    <w:rsid w:val="0004585E"/>
    <w:rsid w:val="0004721A"/>
    <w:rsid w:val="000506BC"/>
    <w:rsid w:val="000515FB"/>
    <w:rsid w:val="00052431"/>
    <w:rsid w:val="000544AE"/>
    <w:rsid w:val="000550A5"/>
    <w:rsid w:val="00055127"/>
    <w:rsid w:val="00055EEE"/>
    <w:rsid w:val="000560E4"/>
    <w:rsid w:val="00057AB4"/>
    <w:rsid w:val="00060DB6"/>
    <w:rsid w:val="00061FF4"/>
    <w:rsid w:val="00062A4F"/>
    <w:rsid w:val="000638B7"/>
    <w:rsid w:val="00064222"/>
    <w:rsid w:val="00070789"/>
    <w:rsid w:val="00070F3C"/>
    <w:rsid w:val="00071421"/>
    <w:rsid w:val="000719A2"/>
    <w:rsid w:val="00071C09"/>
    <w:rsid w:val="00080AE6"/>
    <w:rsid w:val="000832DA"/>
    <w:rsid w:val="00084922"/>
    <w:rsid w:val="00085BDF"/>
    <w:rsid w:val="0008735D"/>
    <w:rsid w:val="00090C9D"/>
    <w:rsid w:val="00090CB8"/>
    <w:rsid w:val="0009250C"/>
    <w:rsid w:val="00095315"/>
    <w:rsid w:val="0009544F"/>
    <w:rsid w:val="000A0027"/>
    <w:rsid w:val="000A1383"/>
    <w:rsid w:val="000A7730"/>
    <w:rsid w:val="000A79D4"/>
    <w:rsid w:val="000B0E37"/>
    <w:rsid w:val="000B37B6"/>
    <w:rsid w:val="000B7275"/>
    <w:rsid w:val="000B7C2B"/>
    <w:rsid w:val="000C4C66"/>
    <w:rsid w:val="000C5B64"/>
    <w:rsid w:val="000D06AC"/>
    <w:rsid w:val="000D14B5"/>
    <w:rsid w:val="000D3262"/>
    <w:rsid w:val="000D7926"/>
    <w:rsid w:val="000E2E0C"/>
    <w:rsid w:val="000E3098"/>
    <w:rsid w:val="000E4DC0"/>
    <w:rsid w:val="000F20DA"/>
    <w:rsid w:val="000F20F4"/>
    <w:rsid w:val="000F28B8"/>
    <w:rsid w:val="000F30A0"/>
    <w:rsid w:val="000F3B32"/>
    <w:rsid w:val="000F5816"/>
    <w:rsid w:val="001027CA"/>
    <w:rsid w:val="001043EE"/>
    <w:rsid w:val="00107B0F"/>
    <w:rsid w:val="00110BA3"/>
    <w:rsid w:val="0011163F"/>
    <w:rsid w:val="001147EC"/>
    <w:rsid w:val="00114D59"/>
    <w:rsid w:val="00116D72"/>
    <w:rsid w:val="0011726B"/>
    <w:rsid w:val="001178F1"/>
    <w:rsid w:val="001250B3"/>
    <w:rsid w:val="00125B05"/>
    <w:rsid w:val="00126097"/>
    <w:rsid w:val="0012656B"/>
    <w:rsid w:val="00126DF0"/>
    <w:rsid w:val="0014531A"/>
    <w:rsid w:val="0015519A"/>
    <w:rsid w:val="00160457"/>
    <w:rsid w:val="001604F0"/>
    <w:rsid w:val="0016090C"/>
    <w:rsid w:val="0016398E"/>
    <w:rsid w:val="00165883"/>
    <w:rsid w:val="00174D55"/>
    <w:rsid w:val="00176DD9"/>
    <w:rsid w:val="00181DCD"/>
    <w:rsid w:val="001821AD"/>
    <w:rsid w:val="00182E4A"/>
    <w:rsid w:val="00183048"/>
    <w:rsid w:val="00184F45"/>
    <w:rsid w:val="001860C3"/>
    <w:rsid w:val="00195894"/>
    <w:rsid w:val="001A1120"/>
    <w:rsid w:val="001A22CB"/>
    <w:rsid w:val="001A2856"/>
    <w:rsid w:val="001A477C"/>
    <w:rsid w:val="001A59C2"/>
    <w:rsid w:val="001A6C38"/>
    <w:rsid w:val="001A73D4"/>
    <w:rsid w:val="001B4D4E"/>
    <w:rsid w:val="001B5247"/>
    <w:rsid w:val="001B562C"/>
    <w:rsid w:val="001B5857"/>
    <w:rsid w:val="001B692F"/>
    <w:rsid w:val="001B7260"/>
    <w:rsid w:val="001B7D2A"/>
    <w:rsid w:val="001C20D7"/>
    <w:rsid w:val="001C3ACF"/>
    <w:rsid w:val="001C5E32"/>
    <w:rsid w:val="001D30A6"/>
    <w:rsid w:val="001D44E6"/>
    <w:rsid w:val="001E02F5"/>
    <w:rsid w:val="001E071A"/>
    <w:rsid w:val="001E07B3"/>
    <w:rsid w:val="001E57E9"/>
    <w:rsid w:val="001E77B7"/>
    <w:rsid w:val="001E7BC0"/>
    <w:rsid w:val="001F1AFE"/>
    <w:rsid w:val="001F37D7"/>
    <w:rsid w:val="001F417E"/>
    <w:rsid w:val="001F7AA5"/>
    <w:rsid w:val="001F7AF5"/>
    <w:rsid w:val="001F7E11"/>
    <w:rsid w:val="0020071C"/>
    <w:rsid w:val="002015B2"/>
    <w:rsid w:val="00201B71"/>
    <w:rsid w:val="00204763"/>
    <w:rsid w:val="00206DF4"/>
    <w:rsid w:val="00207149"/>
    <w:rsid w:val="002075B3"/>
    <w:rsid w:val="002109B6"/>
    <w:rsid w:val="002167A7"/>
    <w:rsid w:val="00216B0C"/>
    <w:rsid w:val="002176E8"/>
    <w:rsid w:val="0022088C"/>
    <w:rsid w:val="00220BFE"/>
    <w:rsid w:val="002344A2"/>
    <w:rsid w:val="00237D8B"/>
    <w:rsid w:val="0024394E"/>
    <w:rsid w:val="002450CA"/>
    <w:rsid w:val="00247AF4"/>
    <w:rsid w:val="002506C2"/>
    <w:rsid w:val="002532DD"/>
    <w:rsid w:val="0025478A"/>
    <w:rsid w:val="00256CC5"/>
    <w:rsid w:val="00257E88"/>
    <w:rsid w:val="00261631"/>
    <w:rsid w:val="00261E0E"/>
    <w:rsid w:val="0026276A"/>
    <w:rsid w:val="0027182A"/>
    <w:rsid w:val="00273D43"/>
    <w:rsid w:val="00274A4D"/>
    <w:rsid w:val="00275C07"/>
    <w:rsid w:val="00276F07"/>
    <w:rsid w:val="0028042C"/>
    <w:rsid w:val="002819D2"/>
    <w:rsid w:val="00282862"/>
    <w:rsid w:val="00282B8A"/>
    <w:rsid w:val="00283582"/>
    <w:rsid w:val="002860F5"/>
    <w:rsid w:val="00292E48"/>
    <w:rsid w:val="002940C3"/>
    <w:rsid w:val="002957B3"/>
    <w:rsid w:val="002A12B6"/>
    <w:rsid w:val="002A1A2F"/>
    <w:rsid w:val="002A2605"/>
    <w:rsid w:val="002A5BA5"/>
    <w:rsid w:val="002B06AB"/>
    <w:rsid w:val="002C0FA0"/>
    <w:rsid w:val="002C4642"/>
    <w:rsid w:val="002D0A0E"/>
    <w:rsid w:val="002D1503"/>
    <w:rsid w:val="002D6E60"/>
    <w:rsid w:val="002E5DC0"/>
    <w:rsid w:val="002E5FA6"/>
    <w:rsid w:val="002F01EE"/>
    <w:rsid w:val="002F0862"/>
    <w:rsid w:val="002F1548"/>
    <w:rsid w:val="002F1E5E"/>
    <w:rsid w:val="002F6243"/>
    <w:rsid w:val="002F73C8"/>
    <w:rsid w:val="002F7478"/>
    <w:rsid w:val="002F7BAB"/>
    <w:rsid w:val="00300BE2"/>
    <w:rsid w:val="00300DDE"/>
    <w:rsid w:val="003056C0"/>
    <w:rsid w:val="00306568"/>
    <w:rsid w:val="00307514"/>
    <w:rsid w:val="003076AC"/>
    <w:rsid w:val="0030787F"/>
    <w:rsid w:val="00311915"/>
    <w:rsid w:val="0031492C"/>
    <w:rsid w:val="00320766"/>
    <w:rsid w:val="00322A75"/>
    <w:rsid w:val="00322EBB"/>
    <w:rsid w:val="00323480"/>
    <w:rsid w:val="00324BEE"/>
    <w:rsid w:val="0032740C"/>
    <w:rsid w:val="00334C5E"/>
    <w:rsid w:val="00336061"/>
    <w:rsid w:val="003379B2"/>
    <w:rsid w:val="00341E9B"/>
    <w:rsid w:val="00344927"/>
    <w:rsid w:val="003450EF"/>
    <w:rsid w:val="00351E63"/>
    <w:rsid w:val="00353574"/>
    <w:rsid w:val="003545FD"/>
    <w:rsid w:val="003577FB"/>
    <w:rsid w:val="003606F8"/>
    <w:rsid w:val="003627F0"/>
    <w:rsid w:val="00362837"/>
    <w:rsid w:val="00362DF8"/>
    <w:rsid w:val="003637D8"/>
    <w:rsid w:val="00363CA8"/>
    <w:rsid w:val="003677AA"/>
    <w:rsid w:val="00370906"/>
    <w:rsid w:val="0038093B"/>
    <w:rsid w:val="00381AE3"/>
    <w:rsid w:val="003844DE"/>
    <w:rsid w:val="00386C7A"/>
    <w:rsid w:val="00390125"/>
    <w:rsid w:val="00390668"/>
    <w:rsid w:val="00394255"/>
    <w:rsid w:val="00396288"/>
    <w:rsid w:val="003A001F"/>
    <w:rsid w:val="003A3201"/>
    <w:rsid w:val="003A563F"/>
    <w:rsid w:val="003A6440"/>
    <w:rsid w:val="003A6C0A"/>
    <w:rsid w:val="003B09A0"/>
    <w:rsid w:val="003B0E60"/>
    <w:rsid w:val="003B1078"/>
    <w:rsid w:val="003B3B57"/>
    <w:rsid w:val="003B434F"/>
    <w:rsid w:val="003B58E4"/>
    <w:rsid w:val="003B5CE7"/>
    <w:rsid w:val="003B5F33"/>
    <w:rsid w:val="003C75C3"/>
    <w:rsid w:val="003D030A"/>
    <w:rsid w:val="003D0851"/>
    <w:rsid w:val="003D1CE6"/>
    <w:rsid w:val="003D39A0"/>
    <w:rsid w:val="003D43C4"/>
    <w:rsid w:val="003D75ED"/>
    <w:rsid w:val="003E243F"/>
    <w:rsid w:val="003E2563"/>
    <w:rsid w:val="003E26B6"/>
    <w:rsid w:val="003E297E"/>
    <w:rsid w:val="003E4875"/>
    <w:rsid w:val="003E64D2"/>
    <w:rsid w:val="003E6F96"/>
    <w:rsid w:val="003E7F4F"/>
    <w:rsid w:val="003F1A7B"/>
    <w:rsid w:val="003F739E"/>
    <w:rsid w:val="003F7589"/>
    <w:rsid w:val="004001AD"/>
    <w:rsid w:val="00400F31"/>
    <w:rsid w:val="00401E1B"/>
    <w:rsid w:val="0040303A"/>
    <w:rsid w:val="00410A16"/>
    <w:rsid w:val="00412879"/>
    <w:rsid w:val="00415855"/>
    <w:rsid w:val="004161D6"/>
    <w:rsid w:val="00420625"/>
    <w:rsid w:val="00422E3A"/>
    <w:rsid w:val="00424A85"/>
    <w:rsid w:val="00426478"/>
    <w:rsid w:val="0043000A"/>
    <w:rsid w:val="00440F02"/>
    <w:rsid w:val="00441254"/>
    <w:rsid w:val="00441E54"/>
    <w:rsid w:val="00443FC1"/>
    <w:rsid w:val="00445A0C"/>
    <w:rsid w:val="00445E5E"/>
    <w:rsid w:val="00446C88"/>
    <w:rsid w:val="004521B2"/>
    <w:rsid w:val="00454803"/>
    <w:rsid w:val="004573A9"/>
    <w:rsid w:val="00457450"/>
    <w:rsid w:val="0046069C"/>
    <w:rsid w:val="00460CF4"/>
    <w:rsid w:val="00461DF6"/>
    <w:rsid w:val="004740DD"/>
    <w:rsid w:val="00476426"/>
    <w:rsid w:val="00480648"/>
    <w:rsid w:val="00481E27"/>
    <w:rsid w:val="0048484E"/>
    <w:rsid w:val="00485BC2"/>
    <w:rsid w:val="00485CC2"/>
    <w:rsid w:val="00486741"/>
    <w:rsid w:val="00486A37"/>
    <w:rsid w:val="004878D6"/>
    <w:rsid w:val="0049104E"/>
    <w:rsid w:val="004937CE"/>
    <w:rsid w:val="00494740"/>
    <w:rsid w:val="00496C6C"/>
    <w:rsid w:val="00496D9B"/>
    <w:rsid w:val="004975DA"/>
    <w:rsid w:val="004A26F4"/>
    <w:rsid w:val="004A2E74"/>
    <w:rsid w:val="004C04B7"/>
    <w:rsid w:val="004C1591"/>
    <w:rsid w:val="004C17A5"/>
    <w:rsid w:val="004C4F7B"/>
    <w:rsid w:val="004C529E"/>
    <w:rsid w:val="004D09C9"/>
    <w:rsid w:val="004D1E4E"/>
    <w:rsid w:val="004D2D46"/>
    <w:rsid w:val="004D4FE6"/>
    <w:rsid w:val="004D6443"/>
    <w:rsid w:val="004D7ACC"/>
    <w:rsid w:val="004E0CF9"/>
    <w:rsid w:val="004E0EBD"/>
    <w:rsid w:val="004E4A08"/>
    <w:rsid w:val="004E4B3A"/>
    <w:rsid w:val="004E5BD5"/>
    <w:rsid w:val="004E7514"/>
    <w:rsid w:val="00506DC3"/>
    <w:rsid w:val="005071AB"/>
    <w:rsid w:val="005078AC"/>
    <w:rsid w:val="00507B10"/>
    <w:rsid w:val="00511BAB"/>
    <w:rsid w:val="00513A5C"/>
    <w:rsid w:val="00514019"/>
    <w:rsid w:val="00514F9A"/>
    <w:rsid w:val="0051621E"/>
    <w:rsid w:val="00516DFC"/>
    <w:rsid w:val="00524051"/>
    <w:rsid w:val="005247FE"/>
    <w:rsid w:val="005253BB"/>
    <w:rsid w:val="005332B8"/>
    <w:rsid w:val="005368F7"/>
    <w:rsid w:val="0054038A"/>
    <w:rsid w:val="005444E2"/>
    <w:rsid w:val="00544F2B"/>
    <w:rsid w:val="00547A10"/>
    <w:rsid w:val="0055088A"/>
    <w:rsid w:val="00550B89"/>
    <w:rsid w:val="0055220C"/>
    <w:rsid w:val="00560179"/>
    <w:rsid w:val="0056023C"/>
    <w:rsid w:val="00560294"/>
    <w:rsid w:val="005619D6"/>
    <w:rsid w:val="00562269"/>
    <w:rsid w:val="00562443"/>
    <w:rsid w:val="005649F5"/>
    <w:rsid w:val="00566273"/>
    <w:rsid w:val="00566E51"/>
    <w:rsid w:val="005710E2"/>
    <w:rsid w:val="00573B9C"/>
    <w:rsid w:val="00574FF4"/>
    <w:rsid w:val="005763F8"/>
    <w:rsid w:val="00580842"/>
    <w:rsid w:val="00580ADE"/>
    <w:rsid w:val="005868BC"/>
    <w:rsid w:val="00587729"/>
    <w:rsid w:val="00587D1C"/>
    <w:rsid w:val="00590139"/>
    <w:rsid w:val="00590687"/>
    <w:rsid w:val="0059130D"/>
    <w:rsid w:val="005924DB"/>
    <w:rsid w:val="005955DD"/>
    <w:rsid w:val="005957DA"/>
    <w:rsid w:val="00596A76"/>
    <w:rsid w:val="00596F6A"/>
    <w:rsid w:val="005A47D8"/>
    <w:rsid w:val="005A6046"/>
    <w:rsid w:val="005A7502"/>
    <w:rsid w:val="005B0040"/>
    <w:rsid w:val="005B1903"/>
    <w:rsid w:val="005B1B4B"/>
    <w:rsid w:val="005B61FE"/>
    <w:rsid w:val="005B7B1B"/>
    <w:rsid w:val="005C2AAA"/>
    <w:rsid w:val="005C47C5"/>
    <w:rsid w:val="005C7DC7"/>
    <w:rsid w:val="005D08AE"/>
    <w:rsid w:val="005D0F64"/>
    <w:rsid w:val="005D13E6"/>
    <w:rsid w:val="005D6A1A"/>
    <w:rsid w:val="005D72D6"/>
    <w:rsid w:val="005E0850"/>
    <w:rsid w:val="005E471F"/>
    <w:rsid w:val="005E5AA1"/>
    <w:rsid w:val="005E5FFB"/>
    <w:rsid w:val="005E6F65"/>
    <w:rsid w:val="005F0719"/>
    <w:rsid w:val="005F15C0"/>
    <w:rsid w:val="005F1E55"/>
    <w:rsid w:val="005F2D4B"/>
    <w:rsid w:val="005F5D70"/>
    <w:rsid w:val="005F7906"/>
    <w:rsid w:val="00600ED4"/>
    <w:rsid w:val="00601091"/>
    <w:rsid w:val="006023D8"/>
    <w:rsid w:val="006023F3"/>
    <w:rsid w:val="00605C67"/>
    <w:rsid w:val="00610D68"/>
    <w:rsid w:val="00611883"/>
    <w:rsid w:val="006121D1"/>
    <w:rsid w:val="00614737"/>
    <w:rsid w:val="006179B8"/>
    <w:rsid w:val="00630A5A"/>
    <w:rsid w:val="00630E6F"/>
    <w:rsid w:val="0063107D"/>
    <w:rsid w:val="00631F32"/>
    <w:rsid w:val="0063260B"/>
    <w:rsid w:val="006340F9"/>
    <w:rsid w:val="00634366"/>
    <w:rsid w:val="006348AC"/>
    <w:rsid w:val="00644442"/>
    <w:rsid w:val="006453C8"/>
    <w:rsid w:val="00651443"/>
    <w:rsid w:val="00651A29"/>
    <w:rsid w:val="00652020"/>
    <w:rsid w:val="0065321F"/>
    <w:rsid w:val="0065333F"/>
    <w:rsid w:val="00661001"/>
    <w:rsid w:val="006653A0"/>
    <w:rsid w:val="00667F9A"/>
    <w:rsid w:val="006732D0"/>
    <w:rsid w:val="00673C2F"/>
    <w:rsid w:val="0067479B"/>
    <w:rsid w:val="006747A2"/>
    <w:rsid w:val="006809C0"/>
    <w:rsid w:val="0068141C"/>
    <w:rsid w:val="00681594"/>
    <w:rsid w:val="0068332A"/>
    <w:rsid w:val="00684E22"/>
    <w:rsid w:val="006901FC"/>
    <w:rsid w:val="0069692B"/>
    <w:rsid w:val="006A076E"/>
    <w:rsid w:val="006A319E"/>
    <w:rsid w:val="006A457E"/>
    <w:rsid w:val="006B2DA4"/>
    <w:rsid w:val="006B2EFB"/>
    <w:rsid w:val="006B6710"/>
    <w:rsid w:val="006C0F52"/>
    <w:rsid w:val="006C2500"/>
    <w:rsid w:val="006C62F8"/>
    <w:rsid w:val="006C66FE"/>
    <w:rsid w:val="006C6E0F"/>
    <w:rsid w:val="006D00F5"/>
    <w:rsid w:val="006E0979"/>
    <w:rsid w:val="006E5340"/>
    <w:rsid w:val="006E6CAC"/>
    <w:rsid w:val="006F14B6"/>
    <w:rsid w:val="0070145B"/>
    <w:rsid w:val="007030DB"/>
    <w:rsid w:val="0070403C"/>
    <w:rsid w:val="007131E0"/>
    <w:rsid w:val="00713699"/>
    <w:rsid w:val="007152A2"/>
    <w:rsid w:val="00715CD9"/>
    <w:rsid w:val="00721B35"/>
    <w:rsid w:val="00725A56"/>
    <w:rsid w:val="00725FE9"/>
    <w:rsid w:val="00726592"/>
    <w:rsid w:val="00732732"/>
    <w:rsid w:val="007330E0"/>
    <w:rsid w:val="00737211"/>
    <w:rsid w:val="0073780D"/>
    <w:rsid w:val="007408C9"/>
    <w:rsid w:val="007417E8"/>
    <w:rsid w:val="0074279F"/>
    <w:rsid w:val="007433DB"/>
    <w:rsid w:val="00744E25"/>
    <w:rsid w:val="00745200"/>
    <w:rsid w:val="0074730E"/>
    <w:rsid w:val="00751E5C"/>
    <w:rsid w:val="00752629"/>
    <w:rsid w:val="0075534C"/>
    <w:rsid w:val="00757E1B"/>
    <w:rsid w:val="0076118D"/>
    <w:rsid w:val="007621E3"/>
    <w:rsid w:val="00762955"/>
    <w:rsid w:val="00783479"/>
    <w:rsid w:val="007854B2"/>
    <w:rsid w:val="00785F5A"/>
    <w:rsid w:val="00787769"/>
    <w:rsid w:val="00791A77"/>
    <w:rsid w:val="00791DBB"/>
    <w:rsid w:val="00792A6E"/>
    <w:rsid w:val="00794C67"/>
    <w:rsid w:val="00796E9F"/>
    <w:rsid w:val="007A0BB1"/>
    <w:rsid w:val="007A227D"/>
    <w:rsid w:val="007B4063"/>
    <w:rsid w:val="007B519C"/>
    <w:rsid w:val="007B787E"/>
    <w:rsid w:val="007C0183"/>
    <w:rsid w:val="007C0362"/>
    <w:rsid w:val="007C19EF"/>
    <w:rsid w:val="007C2FBA"/>
    <w:rsid w:val="007C3EDA"/>
    <w:rsid w:val="007C5CB9"/>
    <w:rsid w:val="007C66BE"/>
    <w:rsid w:val="007D48A0"/>
    <w:rsid w:val="007D669A"/>
    <w:rsid w:val="007E239B"/>
    <w:rsid w:val="007E307F"/>
    <w:rsid w:val="007E45C0"/>
    <w:rsid w:val="007E5E21"/>
    <w:rsid w:val="007F1A61"/>
    <w:rsid w:val="007F37C8"/>
    <w:rsid w:val="007F3953"/>
    <w:rsid w:val="007F6632"/>
    <w:rsid w:val="007F68D3"/>
    <w:rsid w:val="007F7542"/>
    <w:rsid w:val="00800231"/>
    <w:rsid w:val="00800FAA"/>
    <w:rsid w:val="00802510"/>
    <w:rsid w:val="008027BB"/>
    <w:rsid w:val="00802893"/>
    <w:rsid w:val="008039DC"/>
    <w:rsid w:val="0080470B"/>
    <w:rsid w:val="0080610C"/>
    <w:rsid w:val="00810337"/>
    <w:rsid w:val="008113A7"/>
    <w:rsid w:val="00811468"/>
    <w:rsid w:val="00812889"/>
    <w:rsid w:val="00812F8E"/>
    <w:rsid w:val="00813198"/>
    <w:rsid w:val="00813487"/>
    <w:rsid w:val="00814DE5"/>
    <w:rsid w:val="008152CC"/>
    <w:rsid w:val="00821179"/>
    <w:rsid w:val="008229C2"/>
    <w:rsid w:val="00823C93"/>
    <w:rsid w:val="00825AA1"/>
    <w:rsid w:val="00830796"/>
    <w:rsid w:val="0083088C"/>
    <w:rsid w:val="0083471C"/>
    <w:rsid w:val="008423A2"/>
    <w:rsid w:val="00842627"/>
    <w:rsid w:val="0084303D"/>
    <w:rsid w:val="0084442C"/>
    <w:rsid w:val="00844C5D"/>
    <w:rsid w:val="008454E1"/>
    <w:rsid w:val="00850248"/>
    <w:rsid w:val="00853EFE"/>
    <w:rsid w:val="008602CD"/>
    <w:rsid w:val="0086386B"/>
    <w:rsid w:val="008650A1"/>
    <w:rsid w:val="00865803"/>
    <w:rsid w:val="0086785D"/>
    <w:rsid w:val="00871A3E"/>
    <w:rsid w:val="0087445C"/>
    <w:rsid w:val="00876B65"/>
    <w:rsid w:val="00885B95"/>
    <w:rsid w:val="00886DE9"/>
    <w:rsid w:val="00887BF6"/>
    <w:rsid w:val="00890446"/>
    <w:rsid w:val="008914F4"/>
    <w:rsid w:val="00891577"/>
    <w:rsid w:val="00893916"/>
    <w:rsid w:val="00894B81"/>
    <w:rsid w:val="008953B1"/>
    <w:rsid w:val="008A04FE"/>
    <w:rsid w:val="008A23E6"/>
    <w:rsid w:val="008A4559"/>
    <w:rsid w:val="008A5057"/>
    <w:rsid w:val="008A5CE5"/>
    <w:rsid w:val="008A649E"/>
    <w:rsid w:val="008A7863"/>
    <w:rsid w:val="008A7A62"/>
    <w:rsid w:val="008B4983"/>
    <w:rsid w:val="008B6DD1"/>
    <w:rsid w:val="008C408C"/>
    <w:rsid w:val="008C4525"/>
    <w:rsid w:val="008C5A80"/>
    <w:rsid w:val="008C617D"/>
    <w:rsid w:val="008C66C9"/>
    <w:rsid w:val="008C7C93"/>
    <w:rsid w:val="008D11B8"/>
    <w:rsid w:val="008D1232"/>
    <w:rsid w:val="008D3479"/>
    <w:rsid w:val="008D4253"/>
    <w:rsid w:val="008E5C8A"/>
    <w:rsid w:val="008E6885"/>
    <w:rsid w:val="008E6BB0"/>
    <w:rsid w:val="008F097B"/>
    <w:rsid w:val="008F3472"/>
    <w:rsid w:val="008F48F8"/>
    <w:rsid w:val="008F636C"/>
    <w:rsid w:val="008F717C"/>
    <w:rsid w:val="00901A42"/>
    <w:rsid w:val="0090591D"/>
    <w:rsid w:val="0091364A"/>
    <w:rsid w:val="0091592F"/>
    <w:rsid w:val="00915C49"/>
    <w:rsid w:val="0091640E"/>
    <w:rsid w:val="009164E1"/>
    <w:rsid w:val="009170BA"/>
    <w:rsid w:val="00920A60"/>
    <w:rsid w:val="00926300"/>
    <w:rsid w:val="009304DC"/>
    <w:rsid w:val="00930FBC"/>
    <w:rsid w:val="00931030"/>
    <w:rsid w:val="00932986"/>
    <w:rsid w:val="00934981"/>
    <w:rsid w:val="00934D9B"/>
    <w:rsid w:val="00936120"/>
    <w:rsid w:val="009433E2"/>
    <w:rsid w:val="009455F9"/>
    <w:rsid w:val="00950360"/>
    <w:rsid w:val="009506A0"/>
    <w:rsid w:val="009511E9"/>
    <w:rsid w:val="0095607E"/>
    <w:rsid w:val="009607A3"/>
    <w:rsid w:val="0096270D"/>
    <w:rsid w:val="00963CE9"/>
    <w:rsid w:val="00967046"/>
    <w:rsid w:val="00970AD5"/>
    <w:rsid w:val="00971A91"/>
    <w:rsid w:val="00977261"/>
    <w:rsid w:val="00980870"/>
    <w:rsid w:val="0098184C"/>
    <w:rsid w:val="00981BA5"/>
    <w:rsid w:val="00985C8D"/>
    <w:rsid w:val="009906A5"/>
    <w:rsid w:val="009925E2"/>
    <w:rsid w:val="009929AB"/>
    <w:rsid w:val="009950CD"/>
    <w:rsid w:val="0099561E"/>
    <w:rsid w:val="009964FC"/>
    <w:rsid w:val="00996622"/>
    <w:rsid w:val="00997BFF"/>
    <w:rsid w:val="009A20AD"/>
    <w:rsid w:val="009A33D3"/>
    <w:rsid w:val="009A3948"/>
    <w:rsid w:val="009A4898"/>
    <w:rsid w:val="009A50D1"/>
    <w:rsid w:val="009A58F8"/>
    <w:rsid w:val="009A7F59"/>
    <w:rsid w:val="009B005A"/>
    <w:rsid w:val="009B1A26"/>
    <w:rsid w:val="009B3A73"/>
    <w:rsid w:val="009B4920"/>
    <w:rsid w:val="009B5044"/>
    <w:rsid w:val="009B5E5D"/>
    <w:rsid w:val="009B6002"/>
    <w:rsid w:val="009B6063"/>
    <w:rsid w:val="009B723F"/>
    <w:rsid w:val="009C17BC"/>
    <w:rsid w:val="009C23A1"/>
    <w:rsid w:val="009C32D8"/>
    <w:rsid w:val="009D40D2"/>
    <w:rsid w:val="009D4BB4"/>
    <w:rsid w:val="009D6533"/>
    <w:rsid w:val="009D68AC"/>
    <w:rsid w:val="009D6B09"/>
    <w:rsid w:val="009D6C92"/>
    <w:rsid w:val="009D79AF"/>
    <w:rsid w:val="009E02CF"/>
    <w:rsid w:val="009E1B18"/>
    <w:rsid w:val="009E2AD9"/>
    <w:rsid w:val="009E7AD1"/>
    <w:rsid w:val="009F18A7"/>
    <w:rsid w:val="009F26A8"/>
    <w:rsid w:val="009F296E"/>
    <w:rsid w:val="009F3A9B"/>
    <w:rsid w:val="009F52C3"/>
    <w:rsid w:val="009F68EF"/>
    <w:rsid w:val="009F6FFF"/>
    <w:rsid w:val="009F7BAA"/>
    <w:rsid w:val="00A00682"/>
    <w:rsid w:val="00A016AA"/>
    <w:rsid w:val="00A02EA4"/>
    <w:rsid w:val="00A05CA0"/>
    <w:rsid w:val="00A06317"/>
    <w:rsid w:val="00A0728F"/>
    <w:rsid w:val="00A10A00"/>
    <w:rsid w:val="00A11413"/>
    <w:rsid w:val="00A1572E"/>
    <w:rsid w:val="00A313B8"/>
    <w:rsid w:val="00A31CAD"/>
    <w:rsid w:val="00A32D52"/>
    <w:rsid w:val="00A32EA1"/>
    <w:rsid w:val="00A3505C"/>
    <w:rsid w:val="00A356B5"/>
    <w:rsid w:val="00A41252"/>
    <w:rsid w:val="00A418CB"/>
    <w:rsid w:val="00A50F20"/>
    <w:rsid w:val="00A52038"/>
    <w:rsid w:val="00A539EF"/>
    <w:rsid w:val="00A53BFB"/>
    <w:rsid w:val="00A53F47"/>
    <w:rsid w:val="00A56EE2"/>
    <w:rsid w:val="00A57315"/>
    <w:rsid w:val="00A57398"/>
    <w:rsid w:val="00A57746"/>
    <w:rsid w:val="00A60CD7"/>
    <w:rsid w:val="00A60FC0"/>
    <w:rsid w:val="00A62EFC"/>
    <w:rsid w:val="00A66808"/>
    <w:rsid w:val="00A670BC"/>
    <w:rsid w:val="00A67ADB"/>
    <w:rsid w:val="00A71D23"/>
    <w:rsid w:val="00A76691"/>
    <w:rsid w:val="00A76876"/>
    <w:rsid w:val="00A76A98"/>
    <w:rsid w:val="00A837B9"/>
    <w:rsid w:val="00A85C2B"/>
    <w:rsid w:val="00A87126"/>
    <w:rsid w:val="00A92570"/>
    <w:rsid w:val="00A95D64"/>
    <w:rsid w:val="00AA2FEF"/>
    <w:rsid w:val="00AA4A41"/>
    <w:rsid w:val="00AA6E6B"/>
    <w:rsid w:val="00AB03C2"/>
    <w:rsid w:val="00AB04BA"/>
    <w:rsid w:val="00AB0557"/>
    <w:rsid w:val="00AB3057"/>
    <w:rsid w:val="00AB3581"/>
    <w:rsid w:val="00AB3E81"/>
    <w:rsid w:val="00AB3F3A"/>
    <w:rsid w:val="00AB54F2"/>
    <w:rsid w:val="00AB5553"/>
    <w:rsid w:val="00AB5C3E"/>
    <w:rsid w:val="00AC2916"/>
    <w:rsid w:val="00AD1FD4"/>
    <w:rsid w:val="00AD25F9"/>
    <w:rsid w:val="00AD559A"/>
    <w:rsid w:val="00AD5CBA"/>
    <w:rsid w:val="00AD6E4C"/>
    <w:rsid w:val="00AE3437"/>
    <w:rsid w:val="00AE3970"/>
    <w:rsid w:val="00AE3CBF"/>
    <w:rsid w:val="00AE5C96"/>
    <w:rsid w:val="00AE5CF4"/>
    <w:rsid w:val="00AE6FEC"/>
    <w:rsid w:val="00AF0769"/>
    <w:rsid w:val="00AF0C29"/>
    <w:rsid w:val="00AF21D2"/>
    <w:rsid w:val="00AF6077"/>
    <w:rsid w:val="00B031A2"/>
    <w:rsid w:val="00B031D2"/>
    <w:rsid w:val="00B05304"/>
    <w:rsid w:val="00B05604"/>
    <w:rsid w:val="00B06AF1"/>
    <w:rsid w:val="00B100ED"/>
    <w:rsid w:val="00B10691"/>
    <w:rsid w:val="00B12165"/>
    <w:rsid w:val="00B121E5"/>
    <w:rsid w:val="00B125BC"/>
    <w:rsid w:val="00B140FA"/>
    <w:rsid w:val="00B149C5"/>
    <w:rsid w:val="00B14D00"/>
    <w:rsid w:val="00B17637"/>
    <w:rsid w:val="00B22246"/>
    <w:rsid w:val="00B23171"/>
    <w:rsid w:val="00B23FD3"/>
    <w:rsid w:val="00B27DE4"/>
    <w:rsid w:val="00B31B83"/>
    <w:rsid w:val="00B33326"/>
    <w:rsid w:val="00B342FE"/>
    <w:rsid w:val="00B35A31"/>
    <w:rsid w:val="00B35DAB"/>
    <w:rsid w:val="00B424EC"/>
    <w:rsid w:val="00B43794"/>
    <w:rsid w:val="00B53674"/>
    <w:rsid w:val="00B55225"/>
    <w:rsid w:val="00B55AFE"/>
    <w:rsid w:val="00B64C85"/>
    <w:rsid w:val="00B65935"/>
    <w:rsid w:val="00B661BE"/>
    <w:rsid w:val="00B66DBF"/>
    <w:rsid w:val="00B67267"/>
    <w:rsid w:val="00B72DA7"/>
    <w:rsid w:val="00B73E07"/>
    <w:rsid w:val="00B75085"/>
    <w:rsid w:val="00B8098D"/>
    <w:rsid w:val="00B85756"/>
    <w:rsid w:val="00B86927"/>
    <w:rsid w:val="00B92D14"/>
    <w:rsid w:val="00B94164"/>
    <w:rsid w:val="00B956B6"/>
    <w:rsid w:val="00B95A29"/>
    <w:rsid w:val="00B95C17"/>
    <w:rsid w:val="00B97DED"/>
    <w:rsid w:val="00BA279C"/>
    <w:rsid w:val="00BA5ED0"/>
    <w:rsid w:val="00BA72A6"/>
    <w:rsid w:val="00BB0A30"/>
    <w:rsid w:val="00BB1F3B"/>
    <w:rsid w:val="00BB258B"/>
    <w:rsid w:val="00BB3FE2"/>
    <w:rsid w:val="00BC1FBC"/>
    <w:rsid w:val="00BC3CD0"/>
    <w:rsid w:val="00BC42CA"/>
    <w:rsid w:val="00BD2617"/>
    <w:rsid w:val="00BD4851"/>
    <w:rsid w:val="00BD4A18"/>
    <w:rsid w:val="00BD4B4D"/>
    <w:rsid w:val="00BD53B7"/>
    <w:rsid w:val="00BD5A29"/>
    <w:rsid w:val="00BE0C37"/>
    <w:rsid w:val="00BE1637"/>
    <w:rsid w:val="00BE1B32"/>
    <w:rsid w:val="00BE295E"/>
    <w:rsid w:val="00BF11FE"/>
    <w:rsid w:val="00BF4CDC"/>
    <w:rsid w:val="00BF58EA"/>
    <w:rsid w:val="00BF59B2"/>
    <w:rsid w:val="00BF5ADC"/>
    <w:rsid w:val="00BF5DA5"/>
    <w:rsid w:val="00BF760C"/>
    <w:rsid w:val="00BF77E2"/>
    <w:rsid w:val="00C02FF0"/>
    <w:rsid w:val="00C0318B"/>
    <w:rsid w:val="00C070D1"/>
    <w:rsid w:val="00C0762D"/>
    <w:rsid w:val="00C100FF"/>
    <w:rsid w:val="00C11BB0"/>
    <w:rsid w:val="00C1290B"/>
    <w:rsid w:val="00C1505F"/>
    <w:rsid w:val="00C1509D"/>
    <w:rsid w:val="00C203CC"/>
    <w:rsid w:val="00C21B7A"/>
    <w:rsid w:val="00C306A5"/>
    <w:rsid w:val="00C31141"/>
    <w:rsid w:val="00C365C7"/>
    <w:rsid w:val="00C37BF9"/>
    <w:rsid w:val="00C40AEF"/>
    <w:rsid w:val="00C40DD5"/>
    <w:rsid w:val="00C44A41"/>
    <w:rsid w:val="00C475A0"/>
    <w:rsid w:val="00C500D3"/>
    <w:rsid w:val="00C50E9F"/>
    <w:rsid w:val="00C51329"/>
    <w:rsid w:val="00C559AE"/>
    <w:rsid w:val="00C5691C"/>
    <w:rsid w:val="00C575C7"/>
    <w:rsid w:val="00C60CEA"/>
    <w:rsid w:val="00C61442"/>
    <w:rsid w:val="00C651AE"/>
    <w:rsid w:val="00C6570A"/>
    <w:rsid w:val="00C66BA0"/>
    <w:rsid w:val="00C74213"/>
    <w:rsid w:val="00C75EF9"/>
    <w:rsid w:val="00C82B05"/>
    <w:rsid w:val="00C8373C"/>
    <w:rsid w:val="00C8736C"/>
    <w:rsid w:val="00C906B4"/>
    <w:rsid w:val="00C927F0"/>
    <w:rsid w:val="00C938E4"/>
    <w:rsid w:val="00C94F37"/>
    <w:rsid w:val="00C95367"/>
    <w:rsid w:val="00C95C86"/>
    <w:rsid w:val="00CA11F8"/>
    <w:rsid w:val="00CA223E"/>
    <w:rsid w:val="00CA2E54"/>
    <w:rsid w:val="00CA3995"/>
    <w:rsid w:val="00CA3EC7"/>
    <w:rsid w:val="00CA7B6B"/>
    <w:rsid w:val="00CB1736"/>
    <w:rsid w:val="00CB2884"/>
    <w:rsid w:val="00CB3B57"/>
    <w:rsid w:val="00CB4780"/>
    <w:rsid w:val="00CB6638"/>
    <w:rsid w:val="00CC57C1"/>
    <w:rsid w:val="00CC6D87"/>
    <w:rsid w:val="00CC7E22"/>
    <w:rsid w:val="00CD4CAB"/>
    <w:rsid w:val="00CE11A9"/>
    <w:rsid w:val="00CE1D1E"/>
    <w:rsid w:val="00CE24AF"/>
    <w:rsid w:val="00CE2621"/>
    <w:rsid w:val="00CE2931"/>
    <w:rsid w:val="00CE2BDD"/>
    <w:rsid w:val="00CE7A31"/>
    <w:rsid w:val="00CF0C9B"/>
    <w:rsid w:val="00CF112B"/>
    <w:rsid w:val="00CF3624"/>
    <w:rsid w:val="00CF5508"/>
    <w:rsid w:val="00CF5B93"/>
    <w:rsid w:val="00CF7D3B"/>
    <w:rsid w:val="00D0016C"/>
    <w:rsid w:val="00D011FE"/>
    <w:rsid w:val="00D029CB"/>
    <w:rsid w:val="00D03CA7"/>
    <w:rsid w:val="00D03FBE"/>
    <w:rsid w:val="00D04BBA"/>
    <w:rsid w:val="00D05C42"/>
    <w:rsid w:val="00D10F5A"/>
    <w:rsid w:val="00D11B64"/>
    <w:rsid w:val="00D15DED"/>
    <w:rsid w:val="00D166EB"/>
    <w:rsid w:val="00D1734B"/>
    <w:rsid w:val="00D20773"/>
    <w:rsid w:val="00D21643"/>
    <w:rsid w:val="00D236C8"/>
    <w:rsid w:val="00D23D65"/>
    <w:rsid w:val="00D261EF"/>
    <w:rsid w:val="00D306E7"/>
    <w:rsid w:val="00D310CC"/>
    <w:rsid w:val="00D32367"/>
    <w:rsid w:val="00D351F9"/>
    <w:rsid w:val="00D35C35"/>
    <w:rsid w:val="00D36FEC"/>
    <w:rsid w:val="00D40C5A"/>
    <w:rsid w:val="00D40E64"/>
    <w:rsid w:val="00D41B74"/>
    <w:rsid w:val="00D428D9"/>
    <w:rsid w:val="00D43880"/>
    <w:rsid w:val="00D451F0"/>
    <w:rsid w:val="00D474C1"/>
    <w:rsid w:val="00D50643"/>
    <w:rsid w:val="00D55212"/>
    <w:rsid w:val="00D5644A"/>
    <w:rsid w:val="00D61544"/>
    <w:rsid w:val="00D61E35"/>
    <w:rsid w:val="00D62C04"/>
    <w:rsid w:val="00D6303E"/>
    <w:rsid w:val="00D63ADA"/>
    <w:rsid w:val="00D6492A"/>
    <w:rsid w:val="00D6692A"/>
    <w:rsid w:val="00D704AB"/>
    <w:rsid w:val="00D70758"/>
    <w:rsid w:val="00D71938"/>
    <w:rsid w:val="00D760C7"/>
    <w:rsid w:val="00D76C40"/>
    <w:rsid w:val="00D828A9"/>
    <w:rsid w:val="00D8294A"/>
    <w:rsid w:val="00D83D87"/>
    <w:rsid w:val="00D83DD4"/>
    <w:rsid w:val="00D8772A"/>
    <w:rsid w:val="00D87EEF"/>
    <w:rsid w:val="00D914C5"/>
    <w:rsid w:val="00D924C4"/>
    <w:rsid w:val="00D92959"/>
    <w:rsid w:val="00D93255"/>
    <w:rsid w:val="00D97FF5"/>
    <w:rsid w:val="00DA4C0B"/>
    <w:rsid w:val="00DA6C47"/>
    <w:rsid w:val="00DA7B55"/>
    <w:rsid w:val="00DB21CC"/>
    <w:rsid w:val="00DB4AA5"/>
    <w:rsid w:val="00DB5851"/>
    <w:rsid w:val="00DC0CC3"/>
    <w:rsid w:val="00DC1A31"/>
    <w:rsid w:val="00DC1C32"/>
    <w:rsid w:val="00DC3FAB"/>
    <w:rsid w:val="00DD2C86"/>
    <w:rsid w:val="00DD5D88"/>
    <w:rsid w:val="00DD6302"/>
    <w:rsid w:val="00DE1C6C"/>
    <w:rsid w:val="00DE4938"/>
    <w:rsid w:val="00DE642E"/>
    <w:rsid w:val="00DF08A7"/>
    <w:rsid w:val="00DF28A5"/>
    <w:rsid w:val="00DF63D9"/>
    <w:rsid w:val="00DF6BD1"/>
    <w:rsid w:val="00DF796C"/>
    <w:rsid w:val="00E041D5"/>
    <w:rsid w:val="00E10701"/>
    <w:rsid w:val="00E11885"/>
    <w:rsid w:val="00E175F1"/>
    <w:rsid w:val="00E20E9A"/>
    <w:rsid w:val="00E24544"/>
    <w:rsid w:val="00E30E42"/>
    <w:rsid w:val="00E31EBF"/>
    <w:rsid w:val="00E322C1"/>
    <w:rsid w:val="00E35AFA"/>
    <w:rsid w:val="00E3696D"/>
    <w:rsid w:val="00E36F05"/>
    <w:rsid w:val="00E402F6"/>
    <w:rsid w:val="00E40648"/>
    <w:rsid w:val="00E432A0"/>
    <w:rsid w:val="00E45075"/>
    <w:rsid w:val="00E46460"/>
    <w:rsid w:val="00E4660C"/>
    <w:rsid w:val="00E4747E"/>
    <w:rsid w:val="00E50426"/>
    <w:rsid w:val="00E5419A"/>
    <w:rsid w:val="00E55F84"/>
    <w:rsid w:val="00E56A3E"/>
    <w:rsid w:val="00E571D5"/>
    <w:rsid w:val="00E60D3F"/>
    <w:rsid w:val="00E61B15"/>
    <w:rsid w:val="00E63582"/>
    <w:rsid w:val="00E677F0"/>
    <w:rsid w:val="00E74497"/>
    <w:rsid w:val="00E755EA"/>
    <w:rsid w:val="00E76857"/>
    <w:rsid w:val="00E76950"/>
    <w:rsid w:val="00E778D8"/>
    <w:rsid w:val="00E80E6F"/>
    <w:rsid w:val="00E8464E"/>
    <w:rsid w:val="00E84733"/>
    <w:rsid w:val="00E87472"/>
    <w:rsid w:val="00E90C14"/>
    <w:rsid w:val="00E912F2"/>
    <w:rsid w:val="00E91FA6"/>
    <w:rsid w:val="00E93D67"/>
    <w:rsid w:val="00E97C48"/>
    <w:rsid w:val="00E97CAD"/>
    <w:rsid w:val="00EA026E"/>
    <w:rsid w:val="00EA1458"/>
    <w:rsid w:val="00EA3C91"/>
    <w:rsid w:val="00EA3DBF"/>
    <w:rsid w:val="00EB589C"/>
    <w:rsid w:val="00EB7E85"/>
    <w:rsid w:val="00EC715D"/>
    <w:rsid w:val="00ED1A43"/>
    <w:rsid w:val="00ED41C9"/>
    <w:rsid w:val="00ED48B4"/>
    <w:rsid w:val="00ED7B1C"/>
    <w:rsid w:val="00ED7F80"/>
    <w:rsid w:val="00EE4B80"/>
    <w:rsid w:val="00EE5C2B"/>
    <w:rsid w:val="00EE6587"/>
    <w:rsid w:val="00EF218A"/>
    <w:rsid w:val="00EF732D"/>
    <w:rsid w:val="00F022CD"/>
    <w:rsid w:val="00F0459E"/>
    <w:rsid w:val="00F045C2"/>
    <w:rsid w:val="00F131EC"/>
    <w:rsid w:val="00F149B0"/>
    <w:rsid w:val="00F15F8E"/>
    <w:rsid w:val="00F174AE"/>
    <w:rsid w:val="00F2723B"/>
    <w:rsid w:val="00F303B8"/>
    <w:rsid w:val="00F37EB9"/>
    <w:rsid w:val="00F401A7"/>
    <w:rsid w:val="00F411C7"/>
    <w:rsid w:val="00F42AB2"/>
    <w:rsid w:val="00F43CA5"/>
    <w:rsid w:val="00F479F3"/>
    <w:rsid w:val="00F56053"/>
    <w:rsid w:val="00F56B48"/>
    <w:rsid w:val="00F570B1"/>
    <w:rsid w:val="00F63282"/>
    <w:rsid w:val="00F63677"/>
    <w:rsid w:val="00F6752C"/>
    <w:rsid w:val="00F67EDF"/>
    <w:rsid w:val="00F71E52"/>
    <w:rsid w:val="00F737A5"/>
    <w:rsid w:val="00F74FCF"/>
    <w:rsid w:val="00F750AE"/>
    <w:rsid w:val="00F75DD2"/>
    <w:rsid w:val="00F76117"/>
    <w:rsid w:val="00F76819"/>
    <w:rsid w:val="00F77BE8"/>
    <w:rsid w:val="00F839E5"/>
    <w:rsid w:val="00F86D32"/>
    <w:rsid w:val="00F9048E"/>
    <w:rsid w:val="00F936CF"/>
    <w:rsid w:val="00F974C5"/>
    <w:rsid w:val="00FA2108"/>
    <w:rsid w:val="00FA40F6"/>
    <w:rsid w:val="00FA4EEE"/>
    <w:rsid w:val="00FA59DC"/>
    <w:rsid w:val="00FB0EDB"/>
    <w:rsid w:val="00FB4083"/>
    <w:rsid w:val="00FB47D3"/>
    <w:rsid w:val="00FB4F30"/>
    <w:rsid w:val="00FB64E2"/>
    <w:rsid w:val="00FB65C4"/>
    <w:rsid w:val="00FB6C99"/>
    <w:rsid w:val="00FC0FEC"/>
    <w:rsid w:val="00FC1238"/>
    <w:rsid w:val="00FC136D"/>
    <w:rsid w:val="00FC177D"/>
    <w:rsid w:val="00FC3B23"/>
    <w:rsid w:val="00FC483D"/>
    <w:rsid w:val="00FC4CCE"/>
    <w:rsid w:val="00FC6368"/>
    <w:rsid w:val="00FD06B1"/>
    <w:rsid w:val="00FD0FA2"/>
    <w:rsid w:val="00FD1B14"/>
    <w:rsid w:val="00FD30EA"/>
    <w:rsid w:val="00FD3D10"/>
    <w:rsid w:val="00FD486D"/>
    <w:rsid w:val="00FD587B"/>
    <w:rsid w:val="00FD5F85"/>
    <w:rsid w:val="00FD6F3F"/>
    <w:rsid w:val="00FE0638"/>
    <w:rsid w:val="00FE0AF3"/>
    <w:rsid w:val="00FE0BFE"/>
    <w:rsid w:val="00FE1789"/>
    <w:rsid w:val="00FE1D47"/>
    <w:rsid w:val="00FE2C7D"/>
    <w:rsid w:val="00FE3A5C"/>
    <w:rsid w:val="00FE5426"/>
    <w:rsid w:val="00FE72AF"/>
    <w:rsid w:val="00FE7957"/>
    <w:rsid w:val="00FF08CE"/>
    <w:rsid w:val="00FF0C3F"/>
    <w:rsid w:val="00FF16BB"/>
    <w:rsid w:val="00FF3086"/>
    <w:rsid w:val="00FF3F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3C4"/>
  </w:style>
  <w:style w:type="paragraph" w:styleId="Nadpis1">
    <w:name w:val="heading 1"/>
    <w:basedOn w:val="Normln"/>
    <w:next w:val="Normln"/>
    <w:link w:val="Nadpis1Char"/>
    <w:uiPriority w:val="9"/>
    <w:qFormat/>
    <w:rsid w:val="008D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D11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D11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49B0"/>
    <w:pPr>
      <w:ind w:left="720"/>
      <w:contextualSpacing/>
    </w:pPr>
  </w:style>
  <w:style w:type="paragraph" w:styleId="Textpoznpodarou">
    <w:name w:val="footnote text"/>
    <w:basedOn w:val="Normln"/>
    <w:link w:val="TextpoznpodarouChar"/>
    <w:uiPriority w:val="99"/>
    <w:semiHidden/>
    <w:unhideWhenUsed/>
    <w:rsid w:val="00681594"/>
    <w:pPr>
      <w:spacing w:after="0" w:line="240" w:lineRule="auto"/>
    </w:pPr>
  </w:style>
  <w:style w:type="character" w:customStyle="1" w:styleId="TextpoznpodarouChar">
    <w:name w:val="Text pozn. pod čarou Char"/>
    <w:basedOn w:val="Standardnpsmoodstavce"/>
    <w:link w:val="Textpoznpodarou"/>
    <w:uiPriority w:val="99"/>
    <w:semiHidden/>
    <w:rsid w:val="00681594"/>
    <w:rPr>
      <w:sz w:val="20"/>
      <w:szCs w:val="20"/>
    </w:rPr>
  </w:style>
  <w:style w:type="character" w:styleId="Znakapoznpodarou">
    <w:name w:val="footnote reference"/>
    <w:basedOn w:val="Standardnpsmoodstavce"/>
    <w:uiPriority w:val="99"/>
    <w:semiHidden/>
    <w:unhideWhenUsed/>
    <w:rsid w:val="00681594"/>
    <w:rPr>
      <w:vertAlign w:val="superscript"/>
    </w:rPr>
  </w:style>
  <w:style w:type="table" w:styleId="Mkatabulky">
    <w:name w:val="Table Grid"/>
    <w:basedOn w:val="Normlntabulka"/>
    <w:uiPriority w:val="59"/>
    <w:rsid w:val="00917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8915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1577"/>
    <w:rPr>
      <w:rFonts w:ascii="Tahoma" w:hAnsi="Tahoma" w:cs="Tahoma"/>
      <w:sz w:val="16"/>
      <w:szCs w:val="16"/>
    </w:rPr>
  </w:style>
  <w:style w:type="paragraph" w:styleId="Titulek">
    <w:name w:val="caption"/>
    <w:basedOn w:val="Normln"/>
    <w:next w:val="Normln"/>
    <w:uiPriority w:val="35"/>
    <w:unhideWhenUsed/>
    <w:qFormat/>
    <w:rsid w:val="001A477C"/>
    <w:pPr>
      <w:spacing w:line="240" w:lineRule="auto"/>
    </w:pPr>
    <w:rPr>
      <w:b/>
      <w:bCs/>
      <w:color w:val="4F81BD" w:themeColor="accent1"/>
      <w:sz w:val="18"/>
      <w:szCs w:val="18"/>
    </w:rPr>
  </w:style>
  <w:style w:type="character" w:styleId="Hypertextovodkaz">
    <w:name w:val="Hyperlink"/>
    <w:basedOn w:val="Standardnpsmoodstavce"/>
    <w:uiPriority w:val="99"/>
    <w:unhideWhenUsed/>
    <w:rsid w:val="00D23D65"/>
    <w:rPr>
      <w:color w:val="0000FF" w:themeColor="hyperlink"/>
      <w:u w:val="single"/>
    </w:rPr>
  </w:style>
  <w:style w:type="character" w:customStyle="1" w:styleId="Nadpis1Char">
    <w:name w:val="Nadpis 1 Char"/>
    <w:basedOn w:val="Standardnpsmoodstavce"/>
    <w:link w:val="Nadpis1"/>
    <w:uiPriority w:val="9"/>
    <w:rsid w:val="008D11B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D11B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D11B8"/>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9C32D8"/>
    <w:pPr>
      <w:outlineLvl w:val="9"/>
    </w:pPr>
  </w:style>
  <w:style w:type="paragraph" w:styleId="Obsah1">
    <w:name w:val="toc 1"/>
    <w:basedOn w:val="Normln"/>
    <w:next w:val="Normln"/>
    <w:autoRedefine/>
    <w:uiPriority w:val="39"/>
    <w:unhideWhenUsed/>
    <w:rsid w:val="009C32D8"/>
    <w:pPr>
      <w:spacing w:after="100"/>
    </w:pPr>
  </w:style>
  <w:style w:type="paragraph" w:styleId="Obsah2">
    <w:name w:val="toc 2"/>
    <w:basedOn w:val="Normln"/>
    <w:next w:val="Normln"/>
    <w:autoRedefine/>
    <w:uiPriority w:val="39"/>
    <w:unhideWhenUsed/>
    <w:rsid w:val="009C32D8"/>
    <w:pPr>
      <w:spacing w:after="100"/>
      <w:ind w:left="220"/>
    </w:pPr>
  </w:style>
  <w:style w:type="paragraph" w:styleId="Obsah3">
    <w:name w:val="toc 3"/>
    <w:basedOn w:val="Normln"/>
    <w:next w:val="Normln"/>
    <w:autoRedefine/>
    <w:uiPriority w:val="39"/>
    <w:unhideWhenUsed/>
    <w:rsid w:val="009C32D8"/>
    <w:pPr>
      <w:spacing w:after="100"/>
      <w:ind w:left="440"/>
    </w:pPr>
  </w:style>
  <w:style w:type="paragraph" w:styleId="Zhlav">
    <w:name w:val="header"/>
    <w:basedOn w:val="Normln"/>
    <w:link w:val="ZhlavChar"/>
    <w:uiPriority w:val="99"/>
    <w:semiHidden/>
    <w:unhideWhenUsed/>
    <w:rsid w:val="00587D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87D1C"/>
  </w:style>
  <w:style w:type="paragraph" w:styleId="Zpat">
    <w:name w:val="footer"/>
    <w:basedOn w:val="Normln"/>
    <w:link w:val="ZpatChar"/>
    <w:uiPriority w:val="99"/>
    <w:unhideWhenUsed/>
    <w:rsid w:val="00587D1C"/>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D1C"/>
  </w:style>
  <w:style w:type="character" w:customStyle="1" w:styleId="CharAttribute1">
    <w:name w:val="CharAttribute1"/>
    <w:rsid w:val="00F56B48"/>
    <w:rPr>
      <w:rFonts w:ascii="Calibri" w:eastAsia="Calibri" w:hAnsi="Calibri"/>
      <w:b/>
      <w:sz w:val="28"/>
    </w:rPr>
  </w:style>
  <w:style w:type="paragraph" w:customStyle="1" w:styleId="ParaAttribute0">
    <w:name w:val="ParaAttribute0"/>
    <w:rsid w:val="00F56B48"/>
    <w:pPr>
      <w:widowControl w:val="0"/>
      <w:wordWrap w:val="0"/>
      <w:spacing w:after="0" w:line="240" w:lineRule="auto"/>
    </w:pPr>
    <w:rPr>
      <w:rFonts w:eastAsia="바탕"/>
      <w:lang w:eastAsia="cs-CZ"/>
    </w:rPr>
  </w:style>
  <w:style w:type="paragraph" w:customStyle="1" w:styleId="ParaAttribute1">
    <w:name w:val="ParaAttribute1"/>
    <w:rsid w:val="00F56B48"/>
    <w:pPr>
      <w:widowControl w:val="0"/>
      <w:wordWrap w:val="0"/>
      <w:spacing w:line="240" w:lineRule="auto"/>
    </w:pPr>
    <w:rPr>
      <w:rFonts w:eastAsia="바탕"/>
      <w:lang w:eastAsia="cs-CZ"/>
    </w:rPr>
  </w:style>
  <w:style w:type="character" w:customStyle="1" w:styleId="CharAttribute2">
    <w:name w:val="CharAttribute2"/>
    <w:rsid w:val="00F56B48"/>
    <w:rPr>
      <w:rFonts w:ascii="Calibri" w:eastAsia="Calibri" w:hAnsi="Calibri"/>
      <w:sz w:val="22"/>
    </w:rPr>
  </w:style>
  <w:style w:type="character" w:customStyle="1" w:styleId="apple-converted-space">
    <w:name w:val="apple-converted-space"/>
    <w:basedOn w:val="Standardnpsmoodstavce"/>
    <w:rsid w:val="005F7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ir.netcentrum.cz/?noaudit&amp;url=http%3A%2F%2Fwww%2Esenat%2Ecz%2Finformace%2Fz%5Fhistorie%2Ftisky%2F4vo%2Ftisky%2FT0425%5F71%2Ehtm" TargetMode="External"/><Relationship Id="rId5" Type="http://schemas.openxmlformats.org/officeDocument/2006/relationships/webSettings" Target="webSettings.xml"/><Relationship Id="rId10" Type="http://schemas.openxmlformats.org/officeDocument/2006/relationships/hyperlink" Target="http://redir.netcentrum.cz/?noaudit&amp;url=http%3A%2F%2Fwww%2Epsp%2Ecz%2Feknih%2F1935ns%2Fps%2Ftisky%2Ft0844%5F55%2Ehtm" TargetMode="External"/><Relationship Id="rId4" Type="http://schemas.openxmlformats.org/officeDocument/2006/relationships/settings" Target="settings.xml"/><Relationship Id="rId9" Type="http://schemas.openxmlformats.org/officeDocument/2006/relationships/hyperlink" Target="http://obcanskyzakonik.justice.cz/fileadmin/Duvodova-zprava-NOZ-konsolidovana-verze.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nat.cz/informace/z_historie/tisky/4vo/tisky/T0425_22.htm" TargetMode="External"/><Relationship Id="rId2" Type="http://schemas.openxmlformats.org/officeDocument/2006/relationships/hyperlink" Target="http://www.obcanskyzakonik.justice.cz" TargetMode="External"/><Relationship Id="rId1" Type="http://schemas.openxmlformats.org/officeDocument/2006/relationships/hyperlink" Target="http://www.senat.cz" TargetMode="External"/><Relationship Id="rId5" Type="http://schemas.openxmlformats.org/officeDocument/2006/relationships/hyperlink" Target="http://www.senat.cz/informace/z_historie/tisky/4vo/tisky/T0425_24.htm" TargetMode="External"/><Relationship Id="rId4" Type="http://schemas.openxmlformats.org/officeDocument/2006/relationships/hyperlink" Target="http://www.senat.cz/informace/z_historie/tisky/4vo/tisky/T0425_25.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List1!$B$1</c:f>
              <c:strCache>
                <c:ptCount val="1"/>
                <c:pt idx="0">
                  <c:v>Zcela shodná </c:v>
                </c:pt>
              </c:strCache>
            </c:strRef>
          </c:tx>
          <c:cat>
            <c:strRef>
              <c:f>List1!$A$2:$A$3</c:f>
              <c:strCache>
                <c:ptCount val="1"/>
                <c:pt idx="0">
                  <c:v>NOZ</c:v>
                </c:pt>
              </c:strCache>
            </c:strRef>
          </c:cat>
          <c:val>
            <c:numRef>
              <c:f>List1!$B$2:$B$3</c:f>
              <c:numCache>
                <c:formatCode>General</c:formatCode>
                <c:ptCount val="2"/>
                <c:pt idx="0">
                  <c:v>132</c:v>
                </c:pt>
              </c:numCache>
            </c:numRef>
          </c:val>
        </c:ser>
        <c:ser>
          <c:idx val="1"/>
          <c:order val="1"/>
          <c:tx>
            <c:strRef>
              <c:f>List1!$C$1</c:f>
              <c:strCache>
                <c:ptCount val="1"/>
                <c:pt idx="0">
                  <c:v>Částečně shodná</c:v>
                </c:pt>
              </c:strCache>
            </c:strRef>
          </c:tx>
          <c:cat>
            <c:strRef>
              <c:f>List1!$A$2:$A$3</c:f>
              <c:strCache>
                <c:ptCount val="1"/>
                <c:pt idx="0">
                  <c:v>NOZ</c:v>
                </c:pt>
              </c:strCache>
            </c:strRef>
          </c:cat>
          <c:val>
            <c:numRef>
              <c:f>List1!$C$2:$C$3</c:f>
              <c:numCache>
                <c:formatCode>General</c:formatCode>
                <c:ptCount val="2"/>
                <c:pt idx="0">
                  <c:v>57</c:v>
                </c:pt>
              </c:numCache>
            </c:numRef>
          </c:val>
        </c:ser>
        <c:ser>
          <c:idx val="2"/>
          <c:order val="2"/>
          <c:tx>
            <c:strRef>
              <c:f>List1!$D$1</c:f>
              <c:strCache>
                <c:ptCount val="1"/>
                <c:pt idx="0">
                  <c:v>Rozdílná</c:v>
                </c:pt>
              </c:strCache>
            </c:strRef>
          </c:tx>
          <c:cat>
            <c:strRef>
              <c:f>List1!$A$2:$A$3</c:f>
              <c:strCache>
                <c:ptCount val="1"/>
                <c:pt idx="0">
                  <c:v>NOZ</c:v>
                </c:pt>
              </c:strCache>
            </c:strRef>
          </c:cat>
          <c:val>
            <c:numRef>
              <c:f>List1!$D$2:$D$3</c:f>
              <c:numCache>
                <c:formatCode>General</c:formatCode>
                <c:ptCount val="2"/>
                <c:pt idx="0">
                  <c:v>57</c:v>
                </c:pt>
              </c:numCache>
            </c:numRef>
          </c:val>
        </c:ser>
        <c:overlap val="100"/>
        <c:axId val="89290624"/>
        <c:axId val="89292160"/>
      </c:barChart>
      <c:catAx>
        <c:axId val="89290624"/>
        <c:scaling>
          <c:orientation val="minMax"/>
        </c:scaling>
        <c:axPos val="b"/>
        <c:tickLblPos val="nextTo"/>
        <c:crossAx val="89292160"/>
        <c:crosses val="autoZero"/>
        <c:auto val="1"/>
        <c:lblAlgn val="ctr"/>
        <c:lblOffset val="100"/>
      </c:catAx>
      <c:valAx>
        <c:axId val="89292160"/>
        <c:scaling>
          <c:orientation val="minMax"/>
        </c:scaling>
        <c:axPos val="l"/>
        <c:majorGridlines/>
        <c:minorGridlines/>
        <c:numFmt formatCode="General" sourceLinked="1"/>
        <c:tickLblPos val="nextTo"/>
        <c:crossAx val="89290624"/>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9129E-DF94-4ABC-BB83-4D3EBFEF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8220</TotalTime>
  <Pages>63</Pages>
  <Words>16369</Words>
  <Characters>96581</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780</cp:revision>
  <dcterms:created xsi:type="dcterms:W3CDTF">2014-10-10T07:52:00Z</dcterms:created>
  <dcterms:modified xsi:type="dcterms:W3CDTF">2015-01-21T18:31:00Z</dcterms:modified>
</cp:coreProperties>
</file>