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BB5" w:rsidRDefault="00362BB5" w:rsidP="00362BB5">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F972C0" w:rsidRDefault="00F972C0" w:rsidP="00F972C0">
      <w:pPr>
        <w:spacing w:after="0"/>
        <w:jc w:val="left"/>
        <w:rPr>
          <w:rFonts w:ascii="Verdana" w:hAnsi="Verdana" w:cs="Verdana"/>
          <w:b/>
          <w:bCs/>
          <w:color w:val="000000"/>
          <w:sz w:val="32"/>
          <w:szCs w:val="32"/>
        </w:rPr>
      </w:pPr>
    </w:p>
    <w:p w:rsidR="00F972C0" w:rsidRDefault="00F972C0" w:rsidP="00F972C0">
      <w:pPr>
        <w:spacing w:after="0"/>
        <w:jc w:val="left"/>
        <w:rPr>
          <w:rFonts w:ascii="Verdana" w:hAnsi="Verdana" w:cs="Verdana"/>
          <w:b/>
          <w:bCs/>
          <w:color w:val="000000"/>
          <w:sz w:val="32"/>
          <w:szCs w:val="32"/>
        </w:rPr>
      </w:pPr>
    </w:p>
    <w:p w:rsidR="00F972C0" w:rsidRDefault="00F972C0" w:rsidP="00F972C0">
      <w:pPr>
        <w:spacing w:after="0"/>
        <w:jc w:val="left"/>
        <w:rPr>
          <w:rFonts w:ascii="Verdana" w:hAnsi="Verdana" w:cs="Verdana"/>
          <w:b/>
          <w:bCs/>
          <w:color w:val="000000"/>
          <w:sz w:val="32"/>
          <w:szCs w:val="32"/>
        </w:rPr>
      </w:pPr>
    </w:p>
    <w:p w:rsidR="00F972C0" w:rsidRDefault="00F972C0" w:rsidP="00F972C0">
      <w:pPr>
        <w:spacing w:after="0"/>
        <w:jc w:val="left"/>
        <w:rPr>
          <w:rFonts w:ascii="Verdana" w:hAnsi="Verdana" w:cs="Verdana"/>
          <w:b/>
          <w:bCs/>
          <w:color w:val="000000"/>
          <w:sz w:val="32"/>
          <w:szCs w:val="32"/>
        </w:rPr>
      </w:pPr>
    </w:p>
    <w:p w:rsidR="00F972C0" w:rsidRDefault="00F972C0" w:rsidP="00F972C0">
      <w:pPr>
        <w:spacing w:after="0"/>
        <w:jc w:val="left"/>
        <w:rPr>
          <w:rFonts w:ascii="Verdana" w:hAnsi="Verdana" w:cs="Verdana"/>
          <w:b/>
          <w:bCs/>
          <w:color w:val="000000"/>
          <w:sz w:val="32"/>
          <w:szCs w:val="32"/>
        </w:rPr>
      </w:pPr>
    </w:p>
    <w:p w:rsidR="00F972C0" w:rsidRDefault="00F972C0" w:rsidP="00F972C0">
      <w:pPr>
        <w:spacing w:after="0"/>
        <w:jc w:val="left"/>
        <w:rPr>
          <w:rFonts w:ascii="Verdana" w:hAnsi="Verdana" w:cs="Verdana"/>
          <w:b/>
          <w:bCs/>
          <w:color w:val="000000"/>
          <w:sz w:val="32"/>
          <w:szCs w:val="32"/>
        </w:rPr>
      </w:pPr>
    </w:p>
    <w:p w:rsidR="00F972C0" w:rsidRDefault="00F972C0" w:rsidP="00F972C0">
      <w:pPr>
        <w:spacing w:after="0"/>
        <w:jc w:val="left"/>
        <w:rPr>
          <w:rFonts w:ascii="Verdana" w:hAnsi="Verdana" w:cs="Verdana"/>
          <w:b/>
          <w:bCs/>
          <w:color w:val="000000"/>
          <w:sz w:val="32"/>
          <w:szCs w:val="32"/>
        </w:rPr>
      </w:pPr>
    </w:p>
    <w:p w:rsidR="00F972C0" w:rsidRDefault="00F972C0" w:rsidP="00F972C0">
      <w:pPr>
        <w:spacing w:after="0"/>
        <w:jc w:val="left"/>
        <w:rPr>
          <w:rFonts w:ascii="Verdana" w:hAnsi="Verdana" w:cs="Verdana"/>
          <w:b/>
          <w:bCs/>
          <w:color w:val="000000"/>
          <w:sz w:val="32"/>
          <w:szCs w:val="32"/>
        </w:rPr>
      </w:pPr>
    </w:p>
    <w:p w:rsidR="00F972C0" w:rsidRDefault="00F972C0" w:rsidP="00F972C0">
      <w:pPr>
        <w:spacing w:after="0"/>
        <w:jc w:val="left"/>
        <w:rPr>
          <w:rFonts w:ascii="Verdana" w:hAnsi="Verdana" w:cs="Verdana"/>
          <w:b/>
          <w:bCs/>
          <w:color w:val="000000"/>
          <w:sz w:val="32"/>
          <w:szCs w:val="32"/>
        </w:rPr>
      </w:pPr>
    </w:p>
    <w:p w:rsidR="00F972C0" w:rsidRDefault="00F972C0" w:rsidP="00F972C0">
      <w:pPr>
        <w:spacing w:after="0"/>
        <w:jc w:val="left"/>
        <w:rPr>
          <w:b/>
          <w:sz w:val="32"/>
          <w:szCs w:val="32"/>
        </w:rPr>
      </w:pPr>
    </w:p>
    <w:p w:rsidR="00F972C0" w:rsidRPr="0026039B" w:rsidRDefault="004875E8" w:rsidP="00F972C0">
      <w:pPr>
        <w:spacing w:after="0"/>
        <w:jc w:val="center"/>
        <w:rPr>
          <w:rFonts w:ascii="Verdana" w:hAnsi="Verdana"/>
          <w:b/>
          <w:sz w:val="56"/>
          <w:szCs w:val="56"/>
        </w:rPr>
      </w:pPr>
      <w:r>
        <w:rPr>
          <w:rFonts w:ascii="Verdana" w:hAnsi="Verdana"/>
          <w:b/>
          <w:sz w:val="56"/>
          <w:szCs w:val="56"/>
        </w:rPr>
        <w:t>BAKALÁŘSKÁ</w:t>
      </w:r>
      <w:r w:rsidR="00F972C0" w:rsidRPr="0026039B">
        <w:rPr>
          <w:rFonts w:ascii="Verdana" w:hAnsi="Verdana"/>
          <w:b/>
          <w:sz w:val="56"/>
          <w:szCs w:val="56"/>
        </w:rPr>
        <w:t xml:space="preserve"> PRÁCE</w:t>
      </w:r>
    </w:p>
    <w:p w:rsidR="00F972C0" w:rsidRPr="00320E0F" w:rsidRDefault="00F972C0" w:rsidP="00F972C0">
      <w:pPr>
        <w:rPr>
          <w:sz w:val="32"/>
          <w:szCs w:val="32"/>
        </w:rPr>
      </w:pPr>
    </w:p>
    <w:p w:rsidR="00F972C0" w:rsidRDefault="00F972C0" w:rsidP="00F972C0">
      <w:pPr>
        <w:rPr>
          <w:sz w:val="32"/>
          <w:szCs w:val="32"/>
        </w:rPr>
      </w:pPr>
    </w:p>
    <w:p w:rsidR="00F972C0" w:rsidRPr="00320E0F" w:rsidRDefault="00F972C0" w:rsidP="00F972C0">
      <w:pPr>
        <w:rPr>
          <w:sz w:val="32"/>
          <w:szCs w:val="32"/>
        </w:rPr>
      </w:pPr>
    </w:p>
    <w:p w:rsidR="00F972C0" w:rsidRDefault="00F972C0" w:rsidP="00F972C0">
      <w:pPr>
        <w:rPr>
          <w:sz w:val="32"/>
          <w:szCs w:val="32"/>
        </w:rPr>
      </w:pPr>
    </w:p>
    <w:p w:rsidR="00F972C0" w:rsidRDefault="00F972C0" w:rsidP="00F972C0">
      <w:pPr>
        <w:tabs>
          <w:tab w:val="left" w:pos="3600"/>
        </w:tabs>
        <w:rPr>
          <w:sz w:val="32"/>
          <w:szCs w:val="32"/>
        </w:rPr>
      </w:pPr>
      <w:r>
        <w:rPr>
          <w:sz w:val="32"/>
          <w:szCs w:val="32"/>
        </w:rPr>
        <w:tab/>
      </w:r>
    </w:p>
    <w:p w:rsidR="00F972C0" w:rsidRDefault="00F972C0" w:rsidP="00F972C0">
      <w:pPr>
        <w:tabs>
          <w:tab w:val="left" w:pos="3600"/>
        </w:tabs>
        <w:rPr>
          <w:sz w:val="32"/>
          <w:szCs w:val="32"/>
        </w:rPr>
      </w:pPr>
    </w:p>
    <w:p w:rsidR="00F972C0" w:rsidRDefault="00AA15E6" w:rsidP="00F972C0">
      <w:pPr>
        <w:tabs>
          <w:tab w:val="left" w:pos="3600"/>
        </w:tabs>
        <w:rPr>
          <w:sz w:val="32"/>
          <w:szCs w:val="32"/>
        </w:rPr>
      </w:pPr>
      <w:r>
        <w:rPr>
          <w:noProof/>
          <w:sz w:val="32"/>
          <w:szCs w:val="32"/>
        </w:rPr>
        <mc:AlternateContent>
          <mc:Choice Requires="wps">
            <w:drawing>
              <wp:anchor distT="0" distB="0" distL="114300" distR="114300" simplePos="0" relativeHeight="251658240" behindDoc="0" locked="0" layoutInCell="1" allowOverlap="1" wp14:anchorId="51C01CF0" wp14:editId="5222FB61">
                <wp:simplePos x="0" y="0"/>
                <wp:positionH relativeFrom="column">
                  <wp:posOffset>1426845</wp:posOffset>
                </wp:positionH>
                <wp:positionV relativeFrom="paragraph">
                  <wp:posOffset>410845</wp:posOffset>
                </wp:positionV>
                <wp:extent cx="3971925" cy="390525"/>
                <wp:effectExtent l="7620" t="10795" r="11430" b="82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90525"/>
                        </a:xfrm>
                        <a:prstGeom prst="rect">
                          <a:avLst/>
                        </a:prstGeom>
                        <a:solidFill>
                          <a:srgbClr val="FFFFFF"/>
                        </a:solidFill>
                        <a:ln w="9525">
                          <a:solidFill>
                            <a:schemeClr val="bg1">
                              <a:lumMod val="100000"/>
                              <a:lumOff val="0"/>
                            </a:schemeClr>
                          </a:solidFill>
                          <a:miter lim="800000"/>
                          <a:headEnd/>
                          <a:tailEnd/>
                        </a:ln>
                      </wps:spPr>
                      <wps:txbx>
                        <w:txbxContent>
                          <w:sdt>
                            <w:sdtPr>
                              <w:id w:val="528793311"/>
                            </w:sdtPr>
                            <w:sdtEndPr/>
                            <w:sdtContent>
                              <w:p w:rsidR="002534BA" w:rsidRPr="00320E0F" w:rsidRDefault="002534BA" w:rsidP="00F972C0">
                                <w:pPr>
                                  <w:jc w:val="right"/>
                                </w:pPr>
                                <w:r>
                                  <w:rPr>
                                    <w:rFonts w:ascii="Verdana" w:hAnsi="Verdana"/>
                                    <w:b/>
                                    <w:caps/>
                                    <w:sz w:val="32"/>
                                  </w:rPr>
                                  <w:t>Marcela Vlkavcová</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2.35pt;margin-top:32.35pt;width:312.7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" strokecolor="white [3212]">
                <v:textbox>
                  <w:txbxContent>
                    <w:sdt>
                      <w:sdtPr>
                        <w:id w:val="528793311"/>
                      </w:sdtPr>
                      <w:sdtContent>
                        <w:p w:rsidR="002534BA" w:rsidRPr="00320E0F" w:rsidRDefault="002534BA" w:rsidP="00F972C0">
                          <w:pPr>
                            <w:jc w:val="right"/>
                          </w:pPr>
                          <w:r>
                            <w:rPr>
                              <w:rFonts w:ascii="Verdana" w:hAnsi="Verdana"/>
                              <w:b/>
                              <w:caps/>
                              <w:sz w:val="32"/>
                            </w:rPr>
                            <w:t>Marcela Vlkavcová</w:t>
                          </w:r>
                        </w:p>
                      </w:sdtContent>
                    </w:sdt>
                  </w:txbxContent>
                </v:textbox>
              </v:shape>
            </w:pict>
          </mc:Fallback>
        </mc:AlternateContent>
      </w:r>
    </w:p>
    <w:sdt>
      <w:sdtPr>
        <w:rPr>
          <w:rFonts w:ascii="Verdana" w:hAnsi="Verdana"/>
          <w:b/>
          <w:sz w:val="32"/>
          <w:szCs w:val="32"/>
        </w:rPr>
        <w:alias w:val="ROK"/>
        <w:tag w:val="ROK"/>
        <w:id w:val="528793251"/>
        <w:placeholder>
          <w:docPart w:val="43FAB95127344CBE86BAF7D133C7B42A"/>
        </w:placeholder>
        <w:comboBox>
          <w:listItem w:value="Zvolte položku."/>
          <w:listItem w:displayText="2010" w:value="2010"/>
          <w:listItem w:displayText="2011" w:value="2011"/>
          <w:listItem w:displayText="2012" w:value="2012"/>
          <w:listItem w:displayText="2013" w:value="2013"/>
          <w:listItem w:displayText="2014" w:value="2014"/>
        </w:comboBox>
      </w:sdtPr>
      <w:sdtEndPr/>
      <w:sdtContent>
        <w:p w:rsidR="00F972C0" w:rsidRDefault="004F604B" w:rsidP="00F972C0">
          <w:pPr>
            <w:tabs>
              <w:tab w:val="left" w:pos="1785"/>
            </w:tabs>
            <w:jc w:val="left"/>
            <w:rPr>
              <w:sz w:val="32"/>
              <w:szCs w:val="32"/>
            </w:rPr>
          </w:pPr>
          <w:r>
            <w:rPr>
              <w:rFonts w:ascii="Verdana" w:hAnsi="Verdana"/>
              <w:b/>
              <w:sz w:val="32"/>
              <w:szCs w:val="32"/>
            </w:rPr>
            <w:t>2013</w:t>
          </w:r>
          <w:r w:rsidR="00F972C0">
            <w:rPr>
              <w:rFonts w:ascii="Verdana" w:hAnsi="Verdana"/>
              <w:b/>
              <w:sz w:val="32"/>
              <w:szCs w:val="32"/>
            </w:rPr>
            <w:tab/>
          </w:r>
        </w:p>
      </w:sdtContent>
    </w:sdt>
    <w:p w:rsidR="00F972C0" w:rsidRDefault="00F972C0" w:rsidP="00F972C0">
      <w:pPr>
        <w:spacing w:after="0" w:line="240" w:lineRule="auto"/>
        <w:jc w:val="left"/>
        <w:rPr>
          <w:b/>
          <w:sz w:val="32"/>
          <w:szCs w:val="32"/>
        </w:rPr>
        <w:sectPr w:rsidR="00F972C0" w:rsidSect="00F972C0">
          <w:headerReference w:type="default" r:id="rId9"/>
          <w:footerReference w:type="even" r:id="rId10"/>
          <w:footerReference w:type="default" r:id="rId11"/>
          <w:pgSz w:w="11906" w:h="16838" w:code="9"/>
          <w:pgMar w:top="1418" w:right="1134" w:bottom="1418" w:left="2268" w:header="709" w:footer="709" w:gutter="0"/>
          <w:cols w:space="708"/>
          <w:titlePg/>
          <w:docGrid w:linePitch="326"/>
        </w:sectPr>
      </w:pPr>
    </w:p>
    <w:p w:rsidR="00F972C0" w:rsidRPr="00FC17B7" w:rsidRDefault="00F972C0" w:rsidP="00F972C0">
      <w:pPr>
        <w:pStyle w:val="Nzev"/>
        <w:rPr>
          <w:rFonts w:ascii="Verdana" w:hAnsi="Verdana"/>
          <w:b w:val="0"/>
          <w:sz w:val="28"/>
          <w:szCs w:val="28"/>
        </w:rPr>
      </w:pPr>
    </w:p>
    <w:p w:rsidR="00F972C0" w:rsidRDefault="00F972C0" w:rsidP="00F972C0">
      <w:pPr>
        <w:pStyle w:val="Nzev"/>
        <w:rPr>
          <w:rFonts w:ascii="Verdana" w:hAnsi="Verdana"/>
          <w:sz w:val="56"/>
          <w:szCs w:val="56"/>
        </w:rPr>
      </w:pPr>
    </w:p>
    <w:p w:rsidR="00F972C0" w:rsidRDefault="00F972C0" w:rsidP="00F972C0">
      <w:pPr>
        <w:pStyle w:val="Nzev"/>
        <w:rPr>
          <w:rFonts w:ascii="Verdana" w:hAnsi="Verdana"/>
          <w:sz w:val="56"/>
          <w:szCs w:val="56"/>
        </w:rPr>
      </w:pPr>
    </w:p>
    <w:p w:rsidR="00F972C0" w:rsidRDefault="00F972C0" w:rsidP="00F972C0">
      <w:pPr>
        <w:pStyle w:val="Nzev"/>
        <w:rPr>
          <w:rFonts w:ascii="Verdana" w:hAnsi="Verdana"/>
          <w:sz w:val="56"/>
          <w:szCs w:val="56"/>
        </w:rPr>
      </w:pPr>
    </w:p>
    <w:p w:rsidR="00F972C0" w:rsidRDefault="00F972C0" w:rsidP="00F972C0">
      <w:pPr>
        <w:pStyle w:val="Nzev"/>
        <w:rPr>
          <w:rFonts w:ascii="Verdana" w:hAnsi="Verdana"/>
          <w:sz w:val="56"/>
          <w:szCs w:val="56"/>
        </w:rPr>
      </w:pPr>
    </w:p>
    <w:p w:rsidR="00F972C0" w:rsidRDefault="004875E8" w:rsidP="00F972C0">
      <w:pPr>
        <w:spacing w:after="0"/>
        <w:jc w:val="center"/>
        <w:rPr>
          <w:rFonts w:ascii="Verdana" w:hAnsi="Verdana"/>
          <w:b/>
          <w:caps/>
          <w:sz w:val="56"/>
          <w:szCs w:val="56"/>
        </w:rPr>
      </w:pPr>
      <w:r>
        <w:rPr>
          <w:rFonts w:ascii="Verdana" w:hAnsi="Verdana"/>
          <w:b/>
          <w:caps/>
          <w:sz w:val="56"/>
          <w:szCs w:val="56"/>
        </w:rPr>
        <w:t>BAKALÁŘSKÁ</w:t>
      </w:r>
      <w:r w:rsidR="00F972C0">
        <w:rPr>
          <w:rFonts w:ascii="Verdana" w:hAnsi="Verdana"/>
          <w:b/>
          <w:caps/>
          <w:sz w:val="56"/>
          <w:szCs w:val="56"/>
        </w:rPr>
        <w:t xml:space="preserve"> práce</w:t>
      </w:r>
    </w:p>
    <w:p w:rsidR="00F972C0" w:rsidRPr="00FC17B7" w:rsidRDefault="00F972C0" w:rsidP="00F972C0">
      <w:pPr>
        <w:pStyle w:val="Nzev"/>
        <w:rPr>
          <w:rFonts w:ascii="Verdana" w:hAnsi="Verdana"/>
          <w:sz w:val="28"/>
          <w:szCs w:val="28"/>
        </w:rPr>
      </w:pPr>
    </w:p>
    <w:p w:rsidR="00F972C0" w:rsidRPr="00FC17B7" w:rsidRDefault="00F972C0" w:rsidP="00F972C0">
      <w:pPr>
        <w:pStyle w:val="Nzev"/>
        <w:rPr>
          <w:rFonts w:ascii="Verdana" w:hAnsi="Verdana"/>
          <w:sz w:val="28"/>
          <w:szCs w:val="28"/>
        </w:rPr>
      </w:pPr>
    </w:p>
    <w:p w:rsidR="00F972C0" w:rsidRPr="00FC17B7" w:rsidRDefault="00F972C0" w:rsidP="00F972C0">
      <w:pPr>
        <w:pStyle w:val="Nzev"/>
        <w:rPr>
          <w:rFonts w:ascii="Verdana" w:hAnsi="Verdana"/>
          <w:sz w:val="28"/>
          <w:szCs w:val="28"/>
        </w:rPr>
      </w:pPr>
    </w:p>
    <w:p w:rsidR="00F972C0" w:rsidRPr="00FC17B7" w:rsidRDefault="00F972C0" w:rsidP="00F972C0">
      <w:pPr>
        <w:pStyle w:val="Nzev"/>
        <w:rPr>
          <w:rFonts w:ascii="Verdana" w:hAnsi="Verdana"/>
          <w:sz w:val="28"/>
          <w:szCs w:val="28"/>
        </w:rPr>
      </w:pPr>
    </w:p>
    <w:p w:rsidR="00F972C0" w:rsidRPr="00FC17B7" w:rsidRDefault="00F972C0" w:rsidP="00F972C0">
      <w:pPr>
        <w:pStyle w:val="Nzev"/>
        <w:rPr>
          <w:rFonts w:ascii="Verdana" w:hAnsi="Verdana"/>
          <w:sz w:val="28"/>
          <w:szCs w:val="28"/>
        </w:rPr>
      </w:pPr>
    </w:p>
    <w:p w:rsidR="00F972C0" w:rsidRPr="00FC17B7" w:rsidRDefault="00F972C0" w:rsidP="00F972C0">
      <w:pPr>
        <w:pStyle w:val="Nzev"/>
        <w:rPr>
          <w:rFonts w:ascii="Verdana" w:hAnsi="Verdana"/>
          <w:sz w:val="28"/>
          <w:szCs w:val="28"/>
        </w:rPr>
      </w:pPr>
    </w:p>
    <w:p w:rsidR="00F972C0" w:rsidRPr="00FC17B7" w:rsidRDefault="00F972C0" w:rsidP="00F972C0">
      <w:pPr>
        <w:pStyle w:val="Nzev"/>
        <w:rPr>
          <w:rFonts w:ascii="Verdana" w:hAnsi="Verdana"/>
          <w:sz w:val="28"/>
          <w:szCs w:val="28"/>
        </w:rPr>
      </w:pPr>
    </w:p>
    <w:p w:rsidR="00F972C0" w:rsidRDefault="00F972C0" w:rsidP="00F972C0">
      <w:pPr>
        <w:pStyle w:val="Nzev"/>
        <w:rPr>
          <w:rFonts w:ascii="Verdana" w:hAnsi="Verdana"/>
          <w:sz w:val="36"/>
          <w:szCs w:val="36"/>
        </w:rPr>
      </w:pPr>
    </w:p>
    <w:p w:rsidR="00F972C0" w:rsidRDefault="00F972C0" w:rsidP="00F972C0">
      <w:pPr>
        <w:pStyle w:val="Nzev"/>
        <w:rPr>
          <w:rFonts w:ascii="Verdana" w:hAnsi="Verdana"/>
          <w:sz w:val="36"/>
          <w:szCs w:val="36"/>
        </w:rPr>
      </w:pPr>
    </w:p>
    <w:p w:rsidR="00F972C0" w:rsidRDefault="00F972C0" w:rsidP="00F972C0">
      <w:pPr>
        <w:pStyle w:val="Nzev"/>
        <w:rPr>
          <w:rFonts w:ascii="Verdana" w:hAnsi="Verdana"/>
          <w:sz w:val="36"/>
          <w:szCs w:val="36"/>
        </w:rPr>
      </w:pPr>
    </w:p>
    <w:p w:rsidR="00F972C0" w:rsidRDefault="00F972C0" w:rsidP="00F972C0">
      <w:pPr>
        <w:pStyle w:val="Nzev"/>
        <w:rPr>
          <w:rFonts w:ascii="Verdana" w:hAnsi="Verdana"/>
          <w:sz w:val="36"/>
          <w:szCs w:val="36"/>
        </w:rPr>
      </w:pPr>
    </w:p>
    <w:p w:rsidR="00F972C0" w:rsidRDefault="00F972C0" w:rsidP="00F972C0">
      <w:pPr>
        <w:pStyle w:val="Nzev"/>
        <w:rPr>
          <w:rFonts w:ascii="Verdana" w:hAnsi="Verdana"/>
          <w:sz w:val="36"/>
          <w:szCs w:val="36"/>
        </w:rPr>
      </w:pPr>
    </w:p>
    <w:p w:rsidR="00F972C0" w:rsidRDefault="00F972C0" w:rsidP="00F972C0">
      <w:pPr>
        <w:pStyle w:val="Nzev"/>
        <w:rPr>
          <w:rFonts w:ascii="Verdana" w:hAnsi="Verdana"/>
          <w:sz w:val="36"/>
          <w:szCs w:val="36"/>
        </w:rPr>
      </w:pPr>
    </w:p>
    <w:p w:rsidR="00F972C0" w:rsidRDefault="00F972C0" w:rsidP="00F972C0">
      <w:pPr>
        <w:pStyle w:val="Nzev"/>
        <w:rPr>
          <w:rFonts w:ascii="Verdana" w:hAnsi="Verdana"/>
          <w:sz w:val="36"/>
          <w:szCs w:val="36"/>
        </w:rPr>
      </w:pPr>
    </w:p>
    <w:p w:rsidR="00F972C0" w:rsidRDefault="00F972C0" w:rsidP="00F972C0">
      <w:pPr>
        <w:pStyle w:val="Nzev"/>
        <w:rPr>
          <w:rFonts w:ascii="Verdana" w:hAnsi="Verdana"/>
          <w:sz w:val="36"/>
          <w:szCs w:val="36"/>
        </w:rPr>
      </w:pPr>
    </w:p>
    <w:p w:rsidR="00F972C0" w:rsidRDefault="00F972C0" w:rsidP="00F972C0">
      <w:pPr>
        <w:pStyle w:val="Nzev"/>
        <w:rPr>
          <w:rFonts w:ascii="Verdana" w:hAnsi="Verdana"/>
          <w:sz w:val="36"/>
          <w:szCs w:val="36"/>
        </w:rPr>
      </w:pPr>
    </w:p>
    <w:sdt>
      <w:sdtPr>
        <w:rPr>
          <w:rFonts w:ascii="Verdana" w:hAnsi="Verdana"/>
          <w:sz w:val="36"/>
          <w:szCs w:val="36"/>
        </w:rPr>
        <w:id w:val="4309169"/>
        <w:placeholder>
          <w:docPart w:val="4B39AF3D862B40878E705597795E2659"/>
        </w:placeholder>
        <w:comboBox>
          <w:listItem w:value="Zvolte položku."/>
          <w:listItem w:displayText="EKONOMICKÁ ANALÝZA A KONKURENČNÍ STRATEGIE" w:value="EKONOMICKÁ ANALÝZA A KONKURENČNÍ STRATEGIE"/>
          <w:listItem w:displayText="MANAGEMENT FIREM" w:value="MANAGEMENT FIREM"/>
          <w:listItem w:displayText="MASTER OF BUSINESS ADMINISTRATION" w:value="MASTER OF BUSINESS ADMINISTRATION"/>
        </w:comboBox>
      </w:sdtPr>
      <w:sdtEndPr/>
      <w:sdtContent>
        <w:p w:rsidR="00F972C0" w:rsidRDefault="000B34CC" w:rsidP="00F972C0">
          <w:pPr>
            <w:pStyle w:val="Nzev"/>
            <w:rPr>
              <w:rFonts w:ascii="Verdana" w:hAnsi="Verdana"/>
              <w:sz w:val="36"/>
              <w:szCs w:val="36"/>
            </w:rPr>
          </w:pPr>
          <w:r>
            <w:rPr>
              <w:rFonts w:ascii="Verdana" w:hAnsi="Verdana"/>
              <w:sz w:val="36"/>
              <w:szCs w:val="36"/>
            </w:rPr>
            <w:t>Podniková ekonomika</w:t>
          </w:r>
        </w:p>
      </w:sdtContent>
    </w:sdt>
    <w:p w:rsidR="00F972C0" w:rsidRPr="00FC17B7" w:rsidRDefault="00F972C0" w:rsidP="00F972C0">
      <w:pPr>
        <w:pStyle w:val="Nzev"/>
        <w:rPr>
          <w:rFonts w:ascii="Verdana" w:hAnsi="Verdana"/>
          <w:b w:val="0"/>
          <w:sz w:val="28"/>
          <w:szCs w:val="28"/>
        </w:rPr>
      </w:pPr>
    </w:p>
    <w:p w:rsidR="00F972C0" w:rsidRPr="00FC17B7" w:rsidRDefault="00F972C0" w:rsidP="00F972C0">
      <w:pPr>
        <w:pStyle w:val="Nzev"/>
        <w:rPr>
          <w:rFonts w:ascii="Verdana" w:hAnsi="Verdana"/>
          <w:b w:val="0"/>
          <w:sz w:val="28"/>
          <w:szCs w:val="28"/>
        </w:rPr>
      </w:pPr>
    </w:p>
    <w:p w:rsidR="00F972C0" w:rsidRDefault="00F972C0" w:rsidP="00F972C0">
      <w:pPr>
        <w:pStyle w:val="Nzev"/>
        <w:jc w:val="both"/>
        <w:rPr>
          <w:rFonts w:ascii="Verdana" w:hAnsi="Verdana"/>
          <w:b w:val="0"/>
          <w:sz w:val="28"/>
          <w:szCs w:val="28"/>
        </w:rPr>
      </w:pPr>
    </w:p>
    <w:p w:rsidR="00F972C0" w:rsidRDefault="00F972C0" w:rsidP="00F972C0">
      <w:pPr>
        <w:pStyle w:val="Nzev"/>
        <w:jc w:val="both"/>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F972C0" w:rsidRPr="004D09F5" w:rsidTr="00C67850">
        <w:tc>
          <w:tcPr>
            <w:tcW w:w="9212" w:type="dxa"/>
            <w:shd w:val="clear" w:color="auto" w:fill="F3F3F3"/>
          </w:tcPr>
          <w:p w:rsidR="00F972C0" w:rsidRPr="00B55AB9" w:rsidRDefault="00F972C0" w:rsidP="004875E8">
            <w:pPr>
              <w:pStyle w:val="Formul"/>
            </w:pPr>
            <w:r w:rsidRPr="00B55AB9">
              <w:lastRenderedPageBreak/>
              <w:t xml:space="preserve">Název </w:t>
            </w:r>
            <w:r w:rsidR="004875E8">
              <w:t>BAKALÁŘSKÉ</w:t>
            </w:r>
            <w:r w:rsidRPr="00B55AB9">
              <w:t xml:space="preserve"> práce</w:t>
            </w:r>
          </w:p>
        </w:tc>
      </w:tr>
      <w:tr w:rsidR="00F972C0" w:rsidRPr="004D09F5" w:rsidTr="00C67850">
        <w:tc>
          <w:tcPr>
            <w:tcW w:w="9212" w:type="dxa"/>
          </w:tcPr>
          <w:p w:rsidR="00F972C0" w:rsidRDefault="00F972C0" w:rsidP="00C67850">
            <w:pPr>
              <w:spacing w:after="0" w:line="240" w:lineRule="auto"/>
              <w:jc w:val="left"/>
              <w:rPr>
                <w:rFonts w:ascii="Verdana" w:hAnsi="Verdana"/>
              </w:rPr>
            </w:pPr>
          </w:p>
          <w:sdt>
            <w:sdtPr>
              <w:rPr>
                <w:rFonts w:ascii="Verdana" w:hAnsi="Verdana"/>
              </w:rPr>
              <w:id w:val="528793342"/>
              <w:placeholder>
                <w:docPart w:val="58376A89A48741889FFD3E6F92FB8653"/>
              </w:placeholder>
              <w:text/>
            </w:sdtPr>
            <w:sdtEndPr/>
            <w:sdtContent>
              <w:p w:rsidR="00F972C0" w:rsidRDefault="000B34CC" w:rsidP="00F96DFD">
                <w:pPr>
                  <w:spacing w:after="0" w:line="240" w:lineRule="auto"/>
                  <w:rPr>
                    <w:rFonts w:ascii="Verdana" w:hAnsi="Verdana"/>
                  </w:rPr>
                </w:pPr>
                <w:r w:rsidRPr="00581F8D">
                  <w:rPr>
                    <w:rFonts w:ascii="Verdana" w:hAnsi="Verdana"/>
                  </w:rPr>
                  <w:t xml:space="preserve">Majetek podniku a jeho struktura – </w:t>
                </w:r>
                <w:r w:rsidR="00781BFB">
                  <w:rPr>
                    <w:rFonts w:ascii="Verdana" w:hAnsi="Verdana"/>
                  </w:rPr>
                  <w:t>rozbor, komparace a vyhodnocení</w:t>
                </w:r>
                <w:r w:rsidRPr="00581F8D">
                  <w:rPr>
                    <w:rFonts w:ascii="Verdana" w:hAnsi="Verdana"/>
                  </w:rPr>
                  <w:t xml:space="preserve"> </w:t>
                </w:r>
                <w:r w:rsidR="00DA04A8">
                  <w:rPr>
                    <w:rFonts w:ascii="Verdana" w:hAnsi="Verdana"/>
                  </w:rPr>
                  <w:t xml:space="preserve">majetkové struktury společnosti KOVOVÝROBA s. r. o. </w:t>
                </w:r>
                <w:r w:rsidR="0098736A">
                  <w:rPr>
                    <w:rFonts w:ascii="Verdana" w:hAnsi="Verdana"/>
                  </w:rPr>
                  <w:t xml:space="preserve">a </w:t>
                </w:r>
                <w:proofErr w:type="gramStart"/>
                <w:r w:rsidR="0098736A">
                  <w:rPr>
                    <w:rFonts w:ascii="Verdana" w:hAnsi="Verdana"/>
                  </w:rPr>
                  <w:t xml:space="preserve">společnosti </w:t>
                </w:r>
                <w:r w:rsidR="00DA04A8">
                  <w:rPr>
                    <w:rFonts w:ascii="Verdana" w:hAnsi="Verdana"/>
                  </w:rPr>
                  <w:t xml:space="preserve"> </w:t>
                </w:r>
                <w:r w:rsidR="00781BFB">
                  <w:rPr>
                    <w:rFonts w:ascii="Verdana" w:hAnsi="Verdana"/>
                  </w:rPr>
                  <w:t xml:space="preserve">      </w:t>
                </w:r>
                <w:r w:rsidR="00DA04A8">
                  <w:rPr>
                    <w:rFonts w:ascii="Verdana" w:hAnsi="Verdana"/>
                  </w:rPr>
                  <w:t>Q – MONT</w:t>
                </w:r>
                <w:proofErr w:type="gramEnd"/>
                <w:r w:rsidR="00DA04A8">
                  <w:rPr>
                    <w:rFonts w:ascii="Verdana" w:hAnsi="Verdana"/>
                  </w:rPr>
                  <w:t xml:space="preserve"> s. r. o.</w:t>
                </w:r>
              </w:p>
            </w:sdtContent>
          </w:sdt>
          <w:p w:rsidR="00F972C0" w:rsidRPr="004D09F5" w:rsidRDefault="00F972C0" w:rsidP="00C67850">
            <w:pPr>
              <w:spacing w:after="0" w:line="240" w:lineRule="auto"/>
              <w:jc w:val="left"/>
              <w:rPr>
                <w:rFonts w:ascii="Verdana" w:hAnsi="Verdana"/>
              </w:rPr>
            </w:pPr>
          </w:p>
        </w:tc>
      </w:tr>
    </w:tbl>
    <w:p w:rsidR="00F972C0" w:rsidRPr="004D09F5" w:rsidRDefault="00F972C0" w:rsidP="00F972C0">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F972C0" w:rsidRPr="004D09F5" w:rsidTr="00C67850">
        <w:tc>
          <w:tcPr>
            <w:tcW w:w="9212" w:type="dxa"/>
            <w:shd w:val="clear" w:color="auto" w:fill="F3F3F3"/>
          </w:tcPr>
          <w:p w:rsidR="00F972C0" w:rsidRPr="004D09F5" w:rsidRDefault="00F972C0" w:rsidP="00C67850">
            <w:pPr>
              <w:pStyle w:val="Formul"/>
            </w:pPr>
            <w:r>
              <w:t>TERMÍN UKONČENÍ STUDIA A OBHAJOBA (MĚSÍC/ROK)</w:t>
            </w:r>
          </w:p>
        </w:tc>
      </w:tr>
      <w:tr w:rsidR="00F972C0" w:rsidRPr="004D09F5" w:rsidTr="00C67850">
        <w:tc>
          <w:tcPr>
            <w:tcW w:w="9212" w:type="dxa"/>
          </w:tcPr>
          <w:p w:rsidR="00F972C0" w:rsidRDefault="00F972C0" w:rsidP="00C67850">
            <w:pPr>
              <w:spacing w:after="0" w:line="240" w:lineRule="auto"/>
              <w:jc w:val="left"/>
              <w:rPr>
                <w:rFonts w:ascii="Verdana" w:hAnsi="Verdana"/>
              </w:rPr>
            </w:pPr>
          </w:p>
          <w:sdt>
            <w:sdtPr>
              <w:rPr>
                <w:rFonts w:ascii="Verdana" w:hAnsi="Verdana"/>
              </w:rPr>
              <w:id w:val="528793341"/>
              <w:placeholder>
                <w:docPart w:val="97FA625E81544527ACDFB76CA36C22EA"/>
              </w:placeholder>
              <w:text/>
            </w:sdtPr>
            <w:sdtEndPr/>
            <w:sdtContent>
              <w:p w:rsidR="00F972C0" w:rsidRDefault="000B34CC" w:rsidP="00C67850">
                <w:pPr>
                  <w:spacing w:after="0" w:line="240" w:lineRule="auto"/>
                  <w:jc w:val="left"/>
                  <w:rPr>
                    <w:rFonts w:ascii="Verdana" w:hAnsi="Verdana"/>
                  </w:rPr>
                </w:pPr>
                <w:r>
                  <w:rPr>
                    <w:rFonts w:ascii="Verdana" w:hAnsi="Verdana"/>
                  </w:rPr>
                  <w:t>06/2013</w:t>
                </w:r>
              </w:p>
            </w:sdtContent>
          </w:sdt>
          <w:p w:rsidR="00F972C0" w:rsidRPr="004D09F5" w:rsidRDefault="00F972C0" w:rsidP="00C67850">
            <w:pPr>
              <w:spacing w:after="0" w:line="240" w:lineRule="auto"/>
              <w:jc w:val="left"/>
              <w:rPr>
                <w:rFonts w:ascii="Verdana" w:hAnsi="Verdana"/>
              </w:rPr>
            </w:pPr>
          </w:p>
        </w:tc>
      </w:tr>
    </w:tbl>
    <w:p w:rsidR="00F972C0" w:rsidRPr="004D09F5" w:rsidRDefault="00F972C0" w:rsidP="00F972C0">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F972C0" w:rsidRPr="004D09F5" w:rsidTr="00C67850">
        <w:tc>
          <w:tcPr>
            <w:tcW w:w="9212" w:type="dxa"/>
            <w:shd w:val="clear" w:color="auto" w:fill="F3F3F3"/>
          </w:tcPr>
          <w:p w:rsidR="00F972C0" w:rsidRPr="004D09F5" w:rsidRDefault="00F972C0" w:rsidP="00C67850">
            <w:pPr>
              <w:pStyle w:val="Formul"/>
            </w:pPr>
            <w:r w:rsidRPr="004D09F5">
              <w:t xml:space="preserve">jméno </w:t>
            </w:r>
            <w:r>
              <w:t>a příjmení</w:t>
            </w:r>
            <w:r w:rsidRPr="004D09F5">
              <w:t xml:space="preserve"> / studijní skupina</w:t>
            </w:r>
          </w:p>
        </w:tc>
      </w:tr>
      <w:tr w:rsidR="00F972C0" w:rsidRPr="004D09F5" w:rsidTr="00C67850">
        <w:tc>
          <w:tcPr>
            <w:tcW w:w="9212" w:type="dxa"/>
          </w:tcPr>
          <w:p w:rsidR="00F972C0" w:rsidRDefault="00F972C0" w:rsidP="00C67850">
            <w:pPr>
              <w:spacing w:after="0" w:line="240" w:lineRule="auto"/>
              <w:jc w:val="left"/>
              <w:rPr>
                <w:rFonts w:ascii="Verdana" w:hAnsi="Verdana"/>
              </w:rPr>
            </w:pPr>
          </w:p>
          <w:p w:rsidR="00F972C0" w:rsidRDefault="00C96C2B" w:rsidP="00C67850">
            <w:pPr>
              <w:spacing w:after="0" w:line="240" w:lineRule="auto"/>
              <w:jc w:val="left"/>
              <w:rPr>
                <w:rFonts w:ascii="Verdana" w:hAnsi="Verdana"/>
              </w:rPr>
            </w:pPr>
            <w:sdt>
              <w:sdtPr>
                <w:rPr>
                  <w:rFonts w:ascii="Verdana" w:hAnsi="Verdana"/>
                </w:rPr>
                <w:id w:val="528793340"/>
                <w:placeholder>
                  <w:docPart w:val="8BCD149CE2E544A59AA385BC52DF618C"/>
                </w:placeholder>
                <w:text/>
              </w:sdtPr>
              <w:sdtEndPr/>
              <w:sdtContent>
                <w:r w:rsidR="000B34CC">
                  <w:rPr>
                    <w:rFonts w:ascii="Verdana" w:hAnsi="Verdana"/>
                  </w:rPr>
                  <w:t xml:space="preserve">Marcela </w:t>
                </w:r>
                <w:proofErr w:type="spellStart"/>
                <w:r w:rsidR="000B34CC">
                  <w:rPr>
                    <w:rFonts w:ascii="Verdana" w:hAnsi="Verdana"/>
                  </w:rPr>
                  <w:t>Vlkavcová</w:t>
                </w:r>
                <w:proofErr w:type="spellEnd"/>
                <w:r w:rsidR="000B34CC">
                  <w:rPr>
                    <w:rFonts w:ascii="Verdana" w:hAnsi="Verdana"/>
                  </w:rPr>
                  <w:t xml:space="preserve"> / PE 36</w:t>
                </w:r>
              </w:sdtContent>
            </w:sdt>
          </w:p>
          <w:p w:rsidR="00F972C0" w:rsidRPr="004D09F5" w:rsidRDefault="00F972C0" w:rsidP="00C67850">
            <w:pPr>
              <w:spacing w:after="0" w:line="240" w:lineRule="auto"/>
              <w:jc w:val="left"/>
              <w:rPr>
                <w:rFonts w:ascii="Verdana" w:hAnsi="Verdana"/>
              </w:rPr>
            </w:pPr>
            <w:r w:rsidRPr="004D09F5">
              <w:rPr>
                <w:rFonts w:ascii="Verdana" w:hAnsi="Verdana"/>
              </w:rPr>
              <w:t xml:space="preserve"> </w:t>
            </w:r>
          </w:p>
        </w:tc>
      </w:tr>
    </w:tbl>
    <w:p w:rsidR="00F972C0" w:rsidRPr="004D09F5" w:rsidRDefault="00F972C0" w:rsidP="00F972C0">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F972C0" w:rsidRPr="004D09F5" w:rsidTr="00C67850">
        <w:tc>
          <w:tcPr>
            <w:tcW w:w="9212" w:type="dxa"/>
            <w:shd w:val="clear" w:color="auto" w:fill="F3F3F3"/>
          </w:tcPr>
          <w:p w:rsidR="00F972C0" w:rsidRPr="004D09F5" w:rsidRDefault="00F972C0" w:rsidP="004875E8">
            <w:pPr>
              <w:pStyle w:val="Formul"/>
            </w:pPr>
            <w:r w:rsidRPr="004D09F5">
              <w:t xml:space="preserve">jméno vedoucího </w:t>
            </w:r>
            <w:r w:rsidR="004875E8">
              <w:t>BAKALÁŘSKÉ</w:t>
            </w:r>
            <w:r>
              <w:t xml:space="preserve"> PRÁCE</w:t>
            </w:r>
          </w:p>
        </w:tc>
      </w:tr>
      <w:tr w:rsidR="00F972C0" w:rsidRPr="004D09F5" w:rsidTr="00C67850">
        <w:tc>
          <w:tcPr>
            <w:tcW w:w="9212" w:type="dxa"/>
          </w:tcPr>
          <w:p w:rsidR="00F972C0" w:rsidRDefault="00F972C0" w:rsidP="00C67850">
            <w:pPr>
              <w:spacing w:after="0" w:line="240" w:lineRule="auto"/>
              <w:jc w:val="left"/>
              <w:rPr>
                <w:rFonts w:ascii="Verdana" w:hAnsi="Verdana"/>
              </w:rPr>
            </w:pPr>
          </w:p>
          <w:p w:rsidR="00F972C0" w:rsidRDefault="00C96C2B" w:rsidP="00C67850">
            <w:pPr>
              <w:spacing w:after="0" w:line="240" w:lineRule="auto"/>
              <w:jc w:val="left"/>
              <w:rPr>
                <w:rFonts w:ascii="Verdana" w:hAnsi="Verdana"/>
              </w:rPr>
            </w:pPr>
            <w:sdt>
              <w:sdtPr>
                <w:rPr>
                  <w:rFonts w:ascii="Verdana" w:hAnsi="Verdana"/>
                </w:rPr>
                <w:id w:val="7516487"/>
                <w:placeholder>
                  <w:docPart w:val="F33F60ECD24C4AEEA26ED375F3CCCFEA"/>
                </w:placeholder>
                <w:text/>
              </w:sdtPr>
              <w:sdtEndPr/>
              <w:sdtContent>
                <w:r w:rsidR="000B34CC">
                  <w:rPr>
                    <w:rFonts w:ascii="Verdana" w:hAnsi="Verdana"/>
                  </w:rPr>
                  <w:t>Ing</w:t>
                </w:r>
                <w:r w:rsidR="00230695">
                  <w:rPr>
                    <w:rFonts w:ascii="Verdana" w:hAnsi="Verdana"/>
                  </w:rPr>
                  <w:t>.</w:t>
                </w:r>
                <w:r w:rsidR="000B34CC">
                  <w:rPr>
                    <w:rFonts w:ascii="Verdana" w:hAnsi="Verdana"/>
                  </w:rPr>
                  <w:t xml:space="preserve"> Lenka Holečková</w:t>
                </w:r>
              </w:sdtContent>
            </w:sdt>
          </w:p>
          <w:p w:rsidR="00F972C0" w:rsidRPr="004D09F5" w:rsidRDefault="00F972C0" w:rsidP="00C67850">
            <w:pPr>
              <w:spacing w:after="0" w:line="240" w:lineRule="auto"/>
              <w:jc w:val="left"/>
              <w:rPr>
                <w:rFonts w:ascii="Verdana" w:hAnsi="Verdana"/>
              </w:rPr>
            </w:pPr>
            <w:r w:rsidRPr="004D09F5">
              <w:rPr>
                <w:rFonts w:ascii="Verdana" w:hAnsi="Verdana"/>
              </w:rPr>
              <w:t xml:space="preserve"> </w:t>
            </w:r>
          </w:p>
        </w:tc>
      </w:tr>
    </w:tbl>
    <w:p w:rsidR="00F972C0" w:rsidRPr="004D09F5" w:rsidRDefault="00F972C0" w:rsidP="00F972C0">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F972C0" w:rsidRPr="004D09F5" w:rsidTr="00C67850">
        <w:tc>
          <w:tcPr>
            <w:tcW w:w="9212" w:type="dxa"/>
            <w:shd w:val="clear" w:color="auto" w:fill="F3F3F3"/>
          </w:tcPr>
          <w:p w:rsidR="00F972C0" w:rsidRPr="00663BAA" w:rsidRDefault="00F972C0" w:rsidP="00C67850">
            <w:pPr>
              <w:pStyle w:val="Formul"/>
            </w:pPr>
            <w:r w:rsidRPr="00663BAA">
              <w:t>prohlášení studenta</w:t>
            </w:r>
          </w:p>
        </w:tc>
      </w:tr>
      <w:tr w:rsidR="00F972C0" w:rsidRPr="004D09F5" w:rsidTr="00C67850">
        <w:tc>
          <w:tcPr>
            <w:tcW w:w="9212" w:type="dxa"/>
          </w:tcPr>
          <w:p w:rsidR="00F972C0" w:rsidRDefault="00F972C0" w:rsidP="00C67850">
            <w:pPr>
              <w:spacing w:after="0" w:line="240" w:lineRule="auto"/>
              <w:jc w:val="left"/>
              <w:rPr>
                <w:rFonts w:ascii="Verdana" w:hAnsi="Verdana"/>
                <w:sz w:val="20"/>
              </w:rPr>
            </w:pPr>
          </w:p>
          <w:p w:rsidR="00F972C0" w:rsidRDefault="00F972C0" w:rsidP="00C67850">
            <w:pPr>
              <w:spacing w:after="0" w:line="240" w:lineRule="auto"/>
              <w:rPr>
                <w:rFonts w:ascii="Verdana" w:hAnsi="Verdana"/>
                <w:sz w:val="20"/>
              </w:rPr>
            </w:pPr>
            <w:r w:rsidRPr="00E906D8">
              <w:rPr>
                <w:rFonts w:ascii="Verdana" w:hAnsi="Verdana"/>
                <w:sz w:val="20"/>
              </w:rPr>
              <w:t xml:space="preserve">Prohlašuji tímto, že jsem zadanou </w:t>
            </w:r>
            <w:r w:rsidR="004875E8">
              <w:rPr>
                <w:rFonts w:ascii="Verdana" w:hAnsi="Verdana"/>
                <w:sz w:val="20"/>
              </w:rPr>
              <w:t>bakalářskou</w:t>
            </w:r>
            <w:r w:rsidRPr="00E906D8">
              <w:rPr>
                <w:rFonts w:ascii="Verdana" w:hAnsi="Verdana"/>
                <w:sz w:val="20"/>
              </w:rPr>
              <w:t xml:space="preserve"> práci na uvedené téma</w:t>
            </w:r>
            <w:r>
              <w:rPr>
                <w:rFonts w:ascii="Verdana" w:hAnsi="Verdana"/>
                <w:sz w:val="20"/>
              </w:rPr>
              <w:t xml:space="preserve"> </w:t>
            </w:r>
            <w:r w:rsidRPr="00E906D8">
              <w:rPr>
                <w:rFonts w:ascii="Verdana" w:hAnsi="Verdana"/>
                <w:sz w:val="20"/>
              </w:rPr>
              <w:t>vypracoval</w:t>
            </w:r>
            <w:r>
              <w:rPr>
                <w:rFonts w:ascii="Verdana" w:hAnsi="Verdana"/>
                <w:sz w:val="20"/>
              </w:rPr>
              <w:t>a</w:t>
            </w:r>
            <w:r w:rsidRPr="00E906D8">
              <w:rPr>
                <w:rFonts w:ascii="Verdana" w:hAnsi="Verdana"/>
                <w:sz w:val="20"/>
              </w:rPr>
              <w:t xml:space="preserve"> samostatně a že jsem ke zpracování této </w:t>
            </w:r>
            <w:r w:rsidR="004875E8">
              <w:rPr>
                <w:rFonts w:ascii="Verdana" w:hAnsi="Verdana"/>
                <w:sz w:val="20"/>
              </w:rPr>
              <w:t>bakalářské</w:t>
            </w:r>
            <w:r w:rsidRPr="00E906D8">
              <w:rPr>
                <w:rFonts w:ascii="Verdana" w:hAnsi="Verdana"/>
                <w:sz w:val="20"/>
              </w:rPr>
              <w:t xml:space="preserve"> práce použila pouze literární prameny v práci uvedené.</w:t>
            </w:r>
          </w:p>
          <w:p w:rsidR="00F972C0" w:rsidRPr="00E906D8" w:rsidRDefault="00F972C0" w:rsidP="00C67850">
            <w:pPr>
              <w:spacing w:after="0" w:line="240" w:lineRule="auto"/>
              <w:jc w:val="left"/>
              <w:rPr>
                <w:rFonts w:ascii="Verdana" w:hAnsi="Verdana"/>
                <w:sz w:val="20"/>
              </w:rPr>
            </w:pPr>
          </w:p>
          <w:p w:rsidR="00F972C0" w:rsidRPr="00E906D8" w:rsidRDefault="00230695" w:rsidP="00C67850">
            <w:pPr>
              <w:spacing w:line="240" w:lineRule="auto"/>
              <w:rPr>
                <w:rFonts w:ascii="Verdana" w:hAnsi="Verdana"/>
                <w:sz w:val="20"/>
              </w:rPr>
            </w:pPr>
            <w:r>
              <w:rPr>
                <w:rFonts w:ascii="Verdana" w:hAnsi="Verdana"/>
                <w:sz w:val="20"/>
              </w:rPr>
              <w:t xml:space="preserve">Datum a místo: </w:t>
            </w:r>
            <w:r w:rsidR="00F96DFD">
              <w:rPr>
                <w:rFonts w:ascii="Verdana" w:hAnsi="Verdana"/>
                <w:sz w:val="20"/>
              </w:rPr>
              <w:t>10. 4. 2013, Česká Lípa</w:t>
            </w:r>
          </w:p>
          <w:p w:rsidR="00F972C0" w:rsidRPr="00E906D8" w:rsidRDefault="00F972C0" w:rsidP="00C67850">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F972C0" w:rsidRPr="00663BAA" w:rsidRDefault="00F972C0" w:rsidP="00C67850">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F96DFD" w:rsidRDefault="00F96DFD">
      <w:pPr>
        <w:spacing w:after="200" w:line="276" w:lineRule="auto"/>
        <w:jc w:val="left"/>
        <w:rPr>
          <w:rFonts w:ascii="Verdana" w:hAnsi="Verdana"/>
        </w:rPr>
      </w:pPr>
      <w:r>
        <w:rPr>
          <w:rFonts w:ascii="Verdana" w:hAnsi="Verdan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F972C0" w:rsidRPr="004D09F5" w:rsidTr="00C67850">
        <w:tc>
          <w:tcPr>
            <w:tcW w:w="9212" w:type="dxa"/>
            <w:shd w:val="clear" w:color="auto" w:fill="F3F3F3"/>
          </w:tcPr>
          <w:p w:rsidR="00F972C0" w:rsidRPr="004D09F5" w:rsidRDefault="00F972C0" w:rsidP="00C67850">
            <w:pPr>
              <w:pStyle w:val="Formul"/>
            </w:pPr>
            <w:r>
              <w:lastRenderedPageBreak/>
              <w:t>poděkování</w:t>
            </w:r>
          </w:p>
        </w:tc>
      </w:tr>
      <w:tr w:rsidR="00F972C0" w:rsidRPr="004D09F5" w:rsidTr="00C67850">
        <w:tc>
          <w:tcPr>
            <w:tcW w:w="9212" w:type="dxa"/>
          </w:tcPr>
          <w:p w:rsidR="00F972C0" w:rsidRDefault="00F972C0" w:rsidP="00C67850">
            <w:pPr>
              <w:spacing w:after="0" w:line="240" w:lineRule="auto"/>
              <w:jc w:val="left"/>
              <w:rPr>
                <w:rFonts w:ascii="Verdana" w:hAnsi="Verdana"/>
                <w:sz w:val="20"/>
              </w:rPr>
            </w:pPr>
          </w:p>
          <w:p w:rsidR="00F96DFD" w:rsidRDefault="00F972C0" w:rsidP="00F96DFD">
            <w:pPr>
              <w:spacing w:after="0" w:line="240" w:lineRule="auto"/>
              <w:rPr>
                <w:rFonts w:ascii="Verdana" w:hAnsi="Verdana"/>
                <w:sz w:val="20"/>
              </w:rPr>
            </w:pPr>
            <w:r w:rsidRPr="00E906D8">
              <w:rPr>
                <w:rFonts w:ascii="Verdana" w:hAnsi="Verdana"/>
                <w:sz w:val="20"/>
              </w:rPr>
              <w:t>Rád</w:t>
            </w:r>
            <w:r>
              <w:rPr>
                <w:rFonts w:ascii="Verdana" w:hAnsi="Verdana"/>
                <w:sz w:val="20"/>
              </w:rPr>
              <w:t>a</w:t>
            </w:r>
            <w:r w:rsidRPr="00E906D8">
              <w:rPr>
                <w:rFonts w:ascii="Verdana" w:hAnsi="Verdana"/>
                <w:sz w:val="20"/>
              </w:rPr>
              <w:t xml:space="preserve"> bych tímto poděkoval</w:t>
            </w:r>
            <w:r>
              <w:rPr>
                <w:rFonts w:ascii="Verdana" w:hAnsi="Verdana"/>
                <w:sz w:val="20"/>
              </w:rPr>
              <w:t>a</w:t>
            </w:r>
            <w:r w:rsidR="00F96DFD">
              <w:rPr>
                <w:rFonts w:ascii="Verdana" w:hAnsi="Verdana"/>
                <w:sz w:val="20"/>
              </w:rPr>
              <w:t xml:space="preserve"> vedoucí</w:t>
            </w:r>
            <w:r>
              <w:rPr>
                <w:rFonts w:ascii="Verdana" w:hAnsi="Verdana"/>
                <w:sz w:val="20"/>
              </w:rPr>
              <w:t xml:space="preserve"> </w:t>
            </w:r>
            <w:r w:rsidR="004875E8">
              <w:rPr>
                <w:rFonts w:ascii="Verdana" w:hAnsi="Verdana"/>
                <w:sz w:val="20"/>
              </w:rPr>
              <w:t>bakalářské</w:t>
            </w:r>
            <w:r>
              <w:rPr>
                <w:rFonts w:ascii="Verdana" w:hAnsi="Verdana"/>
                <w:sz w:val="20"/>
              </w:rPr>
              <w:t xml:space="preserve"> práce</w:t>
            </w:r>
            <w:r w:rsidR="00F96DFD">
              <w:rPr>
                <w:rFonts w:ascii="Verdana" w:hAnsi="Verdana"/>
                <w:sz w:val="20"/>
              </w:rPr>
              <w:t xml:space="preserve"> Ing. Lence Holečkové</w:t>
            </w:r>
            <w:r w:rsidRPr="00E906D8">
              <w:rPr>
                <w:rFonts w:ascii="Verdana" w:hAnsi="Verdana"/>
                <w:sz w:val="20"/>
              </w:rPr>
              <w:t>,</w:t>
            </w:r>
            <w:r w:rsidR="00F96DFD">
              <w:rPr>
                <w:rFonts w:ascii="Verdana" w:hAnsi="Verdana"/>
                <w:sz w:val="20"/>
              </w:rPr>
              <w:br/>
            </w:r>
            <w:r w:rsidRPr="00E906D8">
              <w:rPr>
                <w:rFonts w:ascii="Verdana" w:hAnsi="Verdana"/>
                <w:sz w:val="20"/>
              </w:rPr>
              <w:t>za metodické vedení a odborné konzultace, které mi poskytl</w:t>
            </w:r>
            <w:r>
              <w:rPr>
                <w:rFonts w:ascii="Verdana" w:hAnsi="Verdana"/>
                <w:sz w:val="20"/>
              </w:rPr>
              <w:t>a</w:t>
            </w:r>
            <w:r w:rsidRPr="00E906D8">
              <w:rPr>
                <w:rFonts w:ascii="Verdana" w:hAnsi="Verdana"/>
                <w:sz w:val="20"/>
              </w:rPr>
              <w:t xml:space="preserve"> při zpracování mé </w:t>
            </w:r>
            <w:r w:rsidR="004875E8">
              <w:rPr>
                <w:rFonts w:ascii="Verdana" w:hAnsi="Verdana"/>
                <w:sz w:val="20"/>
              </w:rPr>
              <w:t>bakalářské</w:t>
            </w:r>
            <w:r w:rsidRPr="00E906D8">
              <w:rPr>
                <w:rFonts w:ascii="Verdana" w:hAnsi="Verdana"/>
                <w:sz w:val="20"/>
              </w:rPr>
              <w:t xml:space="preserve"> práce.</w:t>
            </w:r>
          </w:p>
          <w:p w:rsidR="00F972C0" w:rsidRPr="004D09F5" w:rsidRDefault="00F972C0" w:rsidP="00F96DFD">
            <w:pPr>
              <w:spacing w:after="0" w:line="240" w:lineRule="auto"/>
              <w:rPr>
                <w:rFonts w:ascii="Verdana" w:hAnsi="Verdana"/>
              </w:rPr>
            </w:pPr>
          </w:p>
        </w:tc>
      </w:tr>
    </w:tbl>
    <w:p w:rsidR="004510C0" w:rsidRDefault="004510C0">
      <w:pPr>
        <w:sectPr w:rsidR="004510C0" w:rsidSect="000602C8">
          <w:pgSz w:w="11906" w:h="16838"/>
          <w:pgMar w:top="1417" w:right="1417" w:bottom="1417" w:left="1417" w:header="708" w:footer="708" w:gutter="0"/>
          <w:cols w:space="708"/>
          <w:docGrid w:linePitch="360"/>
        </w:sectPr>
      </w:pPr>
    </w:p>
    <w:p w:rsidR="0051796E" w:rsidRDefault="0051796E">
      <w:pPr>
        <w:spacing w:after="200" w:line="276" w:lineRule="auto"/>
        <w:jc w:val="left"/>
      </w:pPr>
    </w:p>
    <w:p w:rsidR="00A41B48" w:rsidRDefault="00A41B48">
      <w:pPr>
        <w:spacing w:after="200" w:line="276" w:lineRule="auto"/>
        <w:jc w:val="left"/>
      </w:pPr>
    </w:p>
    <w:p w:rsidR="00A41B48" w:rsidRDefault="00A41B48">
      <w:pPr>
        <w:spacing w:after="200" w:line="276" w:lineRule="auto"/>
        <w:jc w:val="left"/>
        <w:sectPr w:rsidR="00A41B48" w:rsidSect="00FA319B">
          <w:footerReference w:type="default" r:id="rId12"/>
          <w:type w:val="continuous"/>
          <w:pgSz w:w="11906" w:h="16838"/>
          <w:pgMar w:top="1418" w:right="1134" w:bottom="1418" w:left="2268" w:header="709" w:footer="709" w:gutter="0"/>
          <w:cols w:space="708"/>
          <w:docGrid w:linePitch="360"/>
        </w:sectPr>
      </w:pPr>
    </w:p>
    <w:p w:rsidR="002F19BA" w:rsidRDefault="00234B8E" w:rsidP="0086787A">
      <w:pPr>
        <w:pStyle w:val="Odstavecnormln"/>
      </w:pPr>
      <w:r>
        <w:lastRenderedPageBreak/>
        <w:t>NÁZEV PRÁCE</w:t>
      </w:r>
    </w:p>
    <w:p w:rsidR="00026F8A" w:rsidRDefault="00026F8A" w:rsidP="00BA1E8F">
      <w:pPr>
        <w:spacing w:after="120"/>
      </w:pPr>
      <w:r>
        <w:t>Majetek podniku a jeho struktura – rozbor, komparace a vyhodnocení majetkové struktury společnosti KOVOVÝROBA s. r. o. a společnosti Q – MONT s. r. o.</w:t>
      </w:r>
    </w:p>
    <w:p w:rsidR="002F19BA" w:rsidRDefault="00234B8E" w:rsidP="0086787A">
      <w:pPr>
        <w:pStyle w:val="Odstavecnormln"/>
      </w:pPr>
      <w:r>
        <w:t>TITLE OF THESIS</w:t>
      </w:r>
    </w:p>
    <w:p w:rsidR="002F19BA" w:rsidRDefault="002F19BA" w:rsidP="00BA1E8F">
      <w:pPr>
        <w:pStyle w:val="Odstavecnormln"/>
      </w:pPr>
      <w:proofErr w:type="spellStart"/>
      <w:r w:rsidRPr="002F19BA">
        <w:t>Assets</w:t>
      </w:r>
      <w:proofErr w:type="spellEnd"/>
      <w:r w:rsidRPr="002F19BA">
        <w:t xml:space="preserve"> </w:t>
      </w:r>
      <w:proofErr w:type="spellStart"/>
      <w:r w:rsidRPr="002F19BA">
        <w:t>of</w:t>
      </w:r>
      <w:proofErr w:type="spellEnd"/>
      <w:r w:rsidRPr="002F19BA">
        <w:t xml:space="preserve"> </w:t>
      </w:r>
      <w:proofErr w:type="spellStart"/>
      <w:r w:rsidRPr="002F19BA">
        <w:t>the</w:t>
      </w:r>
      <w:proofErr w:type="spellEnd"/>
      <w:r w:rsidRPr="002F19BA">
        <w:t xml:space="preserve"> </w:t>
      </w:r>
      <w:proofErr w:type="spellStart"/>
      <w:r w:rsidRPr="002F19BA">
        <w:t>company</w:t>
      </w:r>
      <w:proofErr w:type="spellEnd"/>
      <w:r w:rsidRPr="002F19BA">
        <w:t xml:space="preserve"> and </w:t>
      </w:r>
      <w:proofErr w:type="spellStart"/>
      <w:r w:rsidRPr="002F19BA">
        <w:t>its</w:t>
      </w:r>
      <w:proofErr w:type="spellEnd"/>
      <w:r w:rsidRPr="002F19BA">
        <w:t xml:space="preserve"> </w:t>
      </w:r>
      <w:proofErr w:type="spellStart"/>
      <w:r w:rsidRPr="002F19BA">
        <w:t>structure</w:t>
      </w:r>
      <w:proofErr w:type="spellEnd"/>
      <w:r w:rsidRPr="002F19BA">
        <w:t xml:space="preserve"> - </w:t>
      </w:r>
      <w:proofErr w:type="spellStart"/>
      <w:r w:rsidRPr="002F19BA">
        <w:t>analysis</w:t>
      </w:r>
      <w:proofErr w:type="spellEnd"/>
      <w:r w:rsidRPr="002F19BA">
        <w:t xml:space="preserve">, </w:t>
      </w:r>
      <w:proofErr w:type="spellStart"/>
      <w:r w:rsidRPr="002F19BA">
        <w:t>comparison</w:t>
      </w:r>
      <w:proofErr w:type="spellEnd"/>
      <w:r w:rsidRPr="002F19BA">
        <w:t xml:space="preserve"> and </w:t>
      </w:r>
      <w:proofErr w:type="spellStart"/>
      <w:r w:rsidRPr="002F19BA">
        <w:t>evaluation</w:t>
      </w:r>
      <w:proofErr w:type="spellEnd"/>
      <w:r w:rsidRPr="002F19BA">
        <w:t xml:space="preserve"> </w:t>
      </w:r>
      <w:proofErr w:type="spellStart"/>
      <w:r w:rsidRPr="002F19BA">
        <w:t>structure</w:t>
      </w:r>
      <w:proofErr w:type="spellEnd"/>
      <w:r w:rsidRPr="002F19BA">
        <w:t xml:space="preserve"> </w:t>
      </w:r>
      <w:proofErr w:type="spellStart"/>
      <w:r w:rsidRPr="002F19BA">
        <w:t>of</w:t>
      </w:r>
      <w:proofErr w:type="spellEnd"/>
      <w:r w:rsidRPr="002F19BA">
        <w:t xml:space="preserve"> </w:t>
      </w:r>
      <w:proofErr w:type="spellStart"/>
      <w:r w:rsidRPr="002F19BA">
        <w:t>the</w:t>
      </w:r>
      <w:proofErr w:type="spellEnd"/>
      <w:r w:rsidRPr="002F19BA">
        <w:t xml:space="preserve"> </w:t>
      </w:r>
      <w:proofErr w:type="spellStart"/>
      <w:r w:rsidRPr="002F19BA">
        <w:t>assets</w:t>
      </w:r>
      <w:proofErr w:type="spellEnd"/>
      <w:r w:rsidRPr="002F19BA">
        <w:t xml:space="preserve"> </w:t>
      </w:r>
      <w:proofErr w:type="spellStart"/>
      <w:r w:rsidRPr="002F19BA">
        <w:t>company</w:t>
      </w:r>
      <w:proofErr w:type="spellEnd"/>
      <w:r w:rsidRPr="002F19BA">
        <w:t xml:space="preserve"> KOVOVÝROBA s. r. o. and </w:t>
      </w:r>
      <w:proofErr w:type="spellStart"/>
      <w:r w:rsidRPr="002F19BA">
        <w:t>company</w:t>
      </w:r>
      <w:proofErr w:type="spellEnd"/>
      <w:r w:rsidRPr="002F19BA">
        <w:t xml:space="preserve"> Q - MONT s. r. o.</w:t>
      </w:r>
    </w:p>
    <w:p w:rsidR="002F19BA" w:rsidRDefault="00B67D4B" w:rsidP="0086787A">
      <w:pPr>
        <w:pStyle w:val="Odstavecnormln"/>
      </w:pPr>
      <w:r>
        <w:t>SOUHRN</w:t>
      </w:r>
    </w:p>
    <w:p w:rsidR="002F19BA" w:rsidRDefault="00D04503" w:rsidP="00BA1E8F">
      <w:pPr>
        <w:pStyle w:val="Odstavecnormln"/>
      </w:pPr>
      <w:r>
        <w:t>Tématem bakalářské práce je majetek podniku a jeho struktura. Majet</w:t>
      </w:r>
      <w:r w:rsidR="009C66FD">
        <w:t>ek je nezbytný pro každý ekonomický subjekt a ž</w:t>
      </w:r>
      <w:r>
        <w:t xml:space="preserve">ádná společnost nemůže vykonávat svou činnost bez majetku. Cílem bakalářské práce je na základě teoretické definice majetku, popisu jeho struktury a definice základních ukazatelů finančního zdraví, tj. likvidity, čistého pracovního kapitálu a ukazatelů aktivity, tj. obratu zásob, doby obratu závazků, doby obratu pohledávek a ukazatele věřitelského rizika, provést rozbor, porovnání a vyhodnocení struktury majetku společnosti KOVOVÝROBA s. r. o. a společnosti </w:t>
      </w:r>
      <w:r w:rsidR="009C66FD">
        <w:br/>
      </w:r>
      <w:r>
        <w:t>Q – MONT s. r. o. v období roku 2009 – 2011. Ačkoli obě společnosti provozují stejnou ekonomickou činnost, tj. kovoobrábění, struktu</w:t>
      </w:r>
      <w:r w:rsidR="000305E9">
        <w:t xml:space="preserve">ra jejich majetku není totožná, neboť </w:t>
      </w:r>
      <w:r w:rsidR="009C66FD">
        <w:t>struktura</w:t>
      </w:r>
      <w:r w:rsidR="000305E9">
        <w:t xml:space="preserve"> a </w:t>
      </w:r>
      <w:r w:rsidR="009C66FD">
        <w:t>hodnota</w:t>
      </w:r>
      <w:r w:rsidR="000305E9">
        <w:t xml:space="preserve"> majetku je dána individuálními potřebami každého ekonomického subjektu.</w:t>
      </w:r>
    </w:p>
    <w:p w:rsidR="002F19BA" w:rsidRDefault="00B67D4B" w:rsidP="0086787A">
      <w:pPr>
        <w:pStyle w:val="Odstavecnormln"/>
      </w:pPr>
      <w:r>
        <w:t>SUMMARY</w:t>
      </w:r>
    </w:p>
    <w:p w:rsidR="002F19BA" w:rsidRPr="00034806" w:rsidRDefault="002F19BA" w:rsidP="00BA1E8F">
      <w:pPr>
        <w:pStyle w:val="Odstavecnormln"/>
      </w:pPr>
      <w:proofErr w:type="spellStart"/>
      <w:r w:rsidRPr="00034806">
        <w:t>Theme</w:t>
      </w:r>
      <w:proofErr w:type="spellEnd"/>
      <w:r w:rsidRPr="00034806">
        <w:t xml:space="preserve"> </w:t>
      </w:r>
      <w:proofErr w:type="spellStart"/>
      <w:r w:rsidRPr="00034806">
        <w:t>of</w:t>
      </w:r>
      <w:proofErr w:type="spellEnd"/>
      <w:r w:rsidRPr="00034806">
        <w:t xml:space="preserve"> </w:t>
      </w:r>
      <w:proofErr w:type="spellStart"/>
      <w:r w:rsidRPr="00034806">
        <w:t>bachelor</w:t>
      </w:r>
      <w:proofErr w:type="spellEnd"/>
      <w:r w:rsidRPr="00034806">
        <w:t xml:space="preserve"> thesis </w:t>
      </w:r>
      <w:proofErr w:type="spellStart"/>
      <w:r w:rsidR="00D04503">
        <w:t>is</w:t>
      </w:r>
      <w:proofErr w:type="spellEnd"/>
      <w:r w:rsidRPr="00034806">
        <w:t xml:space="preserve"> </w:t>
      </w:r>
      <w:proofErr w:type="spellStart"/>
      <w:r w:rsidRPr="00034806">
        <w:t>assets</w:t>
      </w:r>
      <w:proofErr w:type="spellEnd"/>
      <w:r w:rsidRPr="00034806">
        <w:t xml:space="preserve"> </w:t>
      </w:r>
      <w:proofErr w:type="spellStart"/>
      <w:r w:rsidRPr="00034806">
        <w:t>of</w:t>
      </w:r>
      <w:proofErr w:type="spellEnd"/>
      <w:r w:rsidRPr="00034806">
        <w:t xml:space="preserve"> </w:t>
      </w:r>
      <w:proofErr w:type="spellStart"/>
      <w:r w:rsidRPr="00034806">
        <w:t>the</w:t>
      </w:r>
      <w:proofErr w:type="spellEnd"/>
      <w:r w:rsidRPr="00034806">
        <w:t xml:space="preserve"> </w:t>
      </w:r>
      <w:proofErr w:type="spellStart"/>
      <w:r w:rsidRPr="00034806">
        <w:t>company</w:t>
      </w:r>
      <w:proofErr w:type="spellEnd"/>
      <w:r w:rsidRPr="00034806">
        <w:t xml:space="preserve"> and </w:t>
      </w:r>
      <w:proofErr w:type="spellStart"/>
      <w:r w:rsidR="00D04503">
        <w:t>its</w:t>
      </w:r>
      <w:proofErr w:type="spellEnd"/>
      <w:r w:rsidRPr="00034806">
        <w:t xml:space="preserve"> </w:t>
      </w:r>
      <w:proofErr w:type="spellStart"/>
      <w:r w:rsidRPr="00034806">
        <w:t>structure</w:t>
      </w:r>
      <w:proofErr w:type="spellEnd"/>
      <w:r w:rsidRPr="00034806">
        <w:t xml:space="preserve">. </w:t>
      </w:r>
      <w:proofErr w:type="spellStart"/>
      <w:r w:rsidRPr="00034806">
        <w:t>The</w:t>
      </w:r>
      <w:proofErr w:type="spellEnd"/>
      <w:r w:rsidRPr="00034806">
        <w:t xml:space="preserve"> </w:t>
      </w:r>
      <w:proofErr w:type="spellStart"/>
      <w:r w:rsidRPr="00034806">
        <w:t>assets</w:t>
      </w:r>
      <w:proofErr w:type="spellEnd"/>
      <w:r w:rsidRPr="00034806">
        <w:t xml:space="preserve"> </w:t>
      </w:r>
      <w:proofErr w:type="spellStart"/>
      <w:r w:rsidR="00234B8E">
        <w:t>is</w:t>
      </w:r>
      <w:proofErr w:type="spellEnd"/>
      <w:r w:rsidRPr="00034806">
        <w:t xml:space="preserve"> </w:t>
      </w:r>
      <w:proofErr w:type="spellStart"/>
      <w:r w:rsidRPr="00034806">
        <w:t>necessary</w:t>
      </w:r>
      <w:proofErr w:type="spellEnd"/>
      <w:r w:rsidRPr="00034806">
        <w:t xml:space="preserve"> </w:t>
      </w:r>
      <w:proofErr w:type="spellStart"/>
      <w:r w:rsidRPr="00034806">
        <w:t>for</w:t>
      </w:r>
      <w:proofErr w:type="spellEnd"/>
      <w:r w:rsidRPr="00034806">
        <w:t xml:space="preserve"> </w:t>
      </w:r>
      <w:proofErr w:type="spellStart"/>
      <w:r w:rsidRPr="00034806">
        <w:t>all</w:t>
      </w:r>
      <w:proofErr w:type="spellEnd"/>
      <w:r w:rsidRPr="00034806">
        <w:t xml:space="preserve"> business entity. No </w:t>
      </w:r>
      <w:proofErr w:type="spellStart"/>
      <w:r w:rsidRPr="00034806">
        <w:t>company</w:t>
      </w:r>
      <w:proofErr w:type="spellEnd"/>
      <w:r w:rsidRPr="00034806">
        <w:t xml:space="preserve"> </w:t>
      </w:r>
      <w:proofErr w:type="spellStart"/>
      <w:r w:rsidRPr="00034806">
        <w:t>can</w:t>
      </w:r>
      <w:proofErr w:type="spellEnd"/>
      <w:r w:rsidRPr="00034806">
        <w:t xml:space="preserve"> not </w:t>
      </w:r>
      <w:proofErr w:type="spellStart"/>
      <w:r w:rsidRPr="00034806">
        <w:t>operate</w:t>
      </w:r>
      <w:proofErr w:type="spellEnd"/>
      <w:r w:rsidRPr="00034806">
        <w:t xml:space="preserve"> </w:t>
      </w:r>
      <w:proofErr w:type="spellStart"/>
      <w:r w:rsidRPr="00034806">
        <w:t>without</w:t>
      </w:r>
      <w:proofErr w:type="spellEnd"/>
      <w:r w:rsidRPr="00034806">
        <w:t xml:space="preserve"> </w:t>
      </w:r>
      <w:proofErr w:type="spellStart"/>
      <w:r w:rsidRPr="00034806">
        <w:t>assets</w:t>
      </w:r>
      <w:proofErr w:type="spellEnd"/>
      <w:r w:rsidRPr="00034806">
        <w:t xml:space="preserve">. </w:t>
      </w:r>
      <w:proofErr w:type="spellStart"/>
      <w:r w:rsidRPr="00034806">
        <w:t>The</w:t>
      </w:r>
      <w:proofErr w:type="spellEnd"/>
      <w:r w:rsidRPr="00034806">
        <w:t xml:space="preserve"> </w:t>
      </w:r>
      <w:proofErr w:type="spellStart"/>
      <w:r w:rsidRPr="00034806">
        <w:t>aim</w:t>
      </w:r>
      <w:proofErr w:type="spellEnd"/>
      <w:r w:rsidRPr="00034806">
        <w:t xml:space="preserve"> </w:t>
      </w:r>
      <w:proofErr w:type="spellStart"/>
      <w:r w:rsidRPr="00034806">
        <w:t>of</w:t>
      </w:r>
      <w:proofErr w:type="spellEnd"/>
      <w:r w:rsidRPr="00034806">
        <w:t xml:space="preserve"> </w:t>
      </w:r>
      <w:proofErr w:type="spellStart"/>
      <w:r w:rsidRPr="00034806">
        <w:t>the</w:t>
      </w:r>
      <w:proofErr w:type="spellEnd"/>
      <w:r w:rsidRPr="00034806">
        <w:t xml:space="preserve"> study </w:t>
      </w:r>
      <w:proofErr w:type="spellStart"/>
      <w:r w:rsidR="00D04503">
        <w:t>is</w:t>
      </w:r>
      <w:proofErr w:type="spellEnd"/>
      <w:r w:rsidRPr="00034806">
        <w:t xml:space="preserve"> on </w:t>
      </w:r>
      <w:proofErr w:type="spellStart"/>
      <w:r w:rsidRPr="00034806">
        <w:t>the</w:t>
      </w:r>
      <w:proofErr w:type="spellEnd"/>
      <w:r w:rsidRPr="00034806">
        <w:t xml:space="preserve"> </w:t>
      </w:r>
      <w:proofErr w:type="spellStart"/>
      <w:r w:rsidRPr="00034806">
        <w:t>basis</w:t>
      </w:r>
      <w:proofErr w:type="spellEnd"/>
      <w:r w:rsidRPr="00034806">
        <w:t xml:space="preserve"> </w:t>
      </w:r>
      <w:proofErr w:type="spellStart"/>
      <w:r w:rsidRPr="00034806">
        <w:t>the</w:t>
      </w:r>
      <w:proofErr w:type="spellEnd"/>
      <w:r w:rsidRPr="00034806">
        <w:t xml:space="preserve"> </w:t>
      </w:r>
      <w:proofErr w:type="spellStart"/>
      <w:r w:rsidRPr="00034806">
        <w:t>teoretical</w:t>
      </w:r>
      <w:proofErr w:type="spellEnd"/>
      <w:r w:rsidRPr="00034806">
        <w:t xml:space="preserve"> </w:t>
      </w:r>
      <w:proofErr w:type="spellStart"/>
      <w:r w:rsidRPr="00034806">
        <w:t>definition</w:t>
      </w:r>
      <w:proofErr w:type="spellEnd"/>
      <w:r w:rsidRPr="00034806">
        <w:t xml:space="preserve"> </w:t>
      </w:r>
      <w:proofErr w:type="spellStart"/>
      <w:r w:rsidRPr="00034806">
        <w:t>assets</w:t>
      </w:r>
      <w:proofErr w:type="spellEnd"/>
      <w:r w:rsidRPr="00034806">
        <w:t xml:space="preserve">, </w:t>
      </w:r>
      <w:proofErr w:type="spellStart"/>
      <w:r w:rsidRPr="00034806">
        <w:t>description</w:t>
      </w:r>
      <w:proofErr w:type="spellEnd"/>
      <w:r w:rsidRPr="00034806">
        <w:t xml:space="preserve"> </w:t>
      </w:r>
      <w:proofErr w:type="spellStart"/>
      <w:r w:rsidRPr="00034806">
        <w:t>the</w:t>
      </w:r>
      <w:proofErr w:type="spellEnd"/>
      <w:r w:rsidRPr="00034806">
        <w:t xml:space="preserve"> </w:t>
      </w:r>
      <w:proofErr w:type="spellStart"/>
      <w:r w:rsidRPr="00034806">
        <w:t>structure</w:t>
      </w:r>
      <w:proofErr w:type="spellEnd"/>
      <w:r w:rsidRPr="00034806">
        <w:t xml:space="preserve"> </w:t>
      </w:r>
      <w:proofErr w:type="spellStart"/>
      <w:r w:rsidRPr="00034806">
        <w:t>of</w:t>
      </w:r>
      <w:proofErr w:type="spellEnd"/>
      <w:r w:rsidRPr="00034806">
        <w:t xml:space="preserve"> </w:t>
      </w:r>
      <w:proofErr w:type="spellStart"/>
      <w:r w:rsidRPr="00034806">
        <w:t>the</w:t>
      </w:r>
      <w:proofErr w:type="spellEnd"/>
      <w:r w:rsidRPr="00034806">
        <w:t xml:space="preserve"> </w:t>
      </w:r>
      <w:proofErr w:type="spellStart"/>
      <w:r w:rsidRPr="00034806">
        <w:t>assets</w:t>
      </w:r>
      <w:proofErr w:type="spellEnd"/>
      <w:r w:rsidRPr="00034806">
        <w:t xml:space="preserve"> and </w:t>
      </w:r>
      <w:proofErr w:type="spellStart"/>
      <w:r w:rsidRPr="00034806">
        <w:t>defining</w:t>
      </w:r>
      <w:proofErr w:type="spellEnd"/>
      <w:r w:rsidRPr="00034806">
        <w:t xml:space="preserve"> basic </w:t>
      </w:r>
      <w:proofErr w:type="spellStart"/>
      <w:r w:rsidRPr="00034806">
        <w:t>indi</w:t>
      </w:r>
      <w:r>
        <w:t>cators</w:t>
      </w:r>
      <w:proofErr w:type="spellEnd"/>
      <w:r>
        <w:t xml:space="preserve"> </w:t>
      </w:r>
      <w:proofErr w:type="spellStart"/>
      <w:r>
        <w:t>of</w:t>
      </w:r>
      <w:proofErr w:type="spellEnd"/>
      <w:r>
        <w:t xml:space="preserve"> </w:t>
      </w:r>
      <w:proofErr w:type="spellStart"/>
      <w:r>
        <w:t>financial</w:t>
      </w:r>
      <w:proofErr w:type="spellEnd"/>
      <w:r>
        <w:t xml:space="preserve"> </w:t>
      </w:r>
      <w:proofErr w:type="spellStart"/>
      <w:proofErr w:type="gramStart"/>
      <w:r>
        <w:t>health</w:t>
      </w:r>
      <w:proofErr w:type="spellEnd"/>
      <w:r>
        <w:t>, e. g</w:t>
      </w:r>
      <w:r w:rsidRPr="00034806">
        <w:t xml:space="preserve">. </w:t>
      </w:r>
      <w:proofErr w:type="spellStart"/>
      <w:r w:rsidRPr="00034806">
        <w:t>liquidity</w:t>
      </w:r>
      <w:proofErr w:type="spellEnd"/>
      <w:proofErr w:type="gramEnd"/>
      <w:r w:rsidRPr="00034806">
        <w:t xml:space="preserve">, </w:t>
      </w:r>
      <w:proofErr w:type="spellStart"/>
      <w:r w:rsidRPr="00034806">
        <w:t>net</w:t>
      </w:r>
      <w:proofErr w:type="spellEnd"/>
      <w:r w:rsidRPr="00034806">
        <w:t xml:space="preserve"> </w:t>
      </w:r>
      <w:proofErr w:type="spellStart"/>
      <w:r w:rsidRPr="00034806">
        <w:t>working</w:t>
      </w:r>
      <w:proofErr w:type="spellEnd"/>
      <w:r w:rsidRPr="00034806">
        <w:t xml:space="preserve"> </w:t>
      </w:r>
      <w:proofErr w:type="spellStart"/>
      <w:r w:rsidRPr="00034806">
        <w:t>capital</w:t>
      </w:r>
      <w:proofErr w:type="spellEnd"/>
      <w:r w:rsidRPr="00034806">
        <w:t xml:space="preserve"> </w:t>
      </w:r>
      <w:r>
        <w:t xml:space="preserve">and </w:t>
      </w:r>
      <w:proofErr w:type="spellStart"/>
      <w:r>
        <w:t>indicators</w:t>
      </w:r>
      <w:proofErr w:type="spellEnd"/>
      <w:r>
        <w:t xml:space="preserve"> </w:t>
      </w:r>
      <w:proofErr w:type="spellStart"/>
      <w:r>
        <w:t>of</w:t>
      </w:r>
      <w:proofErr w:type="spellEnd"/>
      <w:r>
        <w:t xml:space="preserve"> </w:t>
      </w:r>
      <w:proofErr w:type="spellStart"/>
      <w:r>
        <w:t>activity</w:t>
      </w:r>
      <w:proofErr w:type="spellEnd"/>
      <w:r>
        <w:t>, e. g</w:t>
      </w:r>
      <w:r w:rsidRPr="00034806">
        <w:t xml:space="preserve">. </w:t>
      </w:r>
      <w:proofErr w:type="spellStart"/>
      <w:r w:rsidRPr="00034806">
        <w:t>inventory</w:t>
      </w:r>
      <w:proofErr w:type="spellEnd"/>
      <w:r w:rsidRPr="00034806">
        <w:t xml:space="preserve"> </w:t>
      </w:r>
      <w:proofErr w:type="spellStart"/>
      <w:r w:rsidRPr="00034806">
        <w:t>turnover</w:t>
      </w:r>
      <w:proofErr w:type="spellEnd"/>
      <w:r w:rsidRPr="00034806">
        <w:t xml:space="preserve"> ratio, </w:t>
      </w:r>
      <w:proofErr w:type="spellStart"/>
      <w:r w:rsidRPr="00034806">
        <w:t>creditors</w:t>
      </w:r>
      <w:proofErr w:type="spellEnd"/>
      <w:r w:rsidRPr="00034806">
        <w:t xml:space="preserve"> </w:t>
      </w:r>
      <w:proofErr w:type="spellStart"/>
      <w:r w:rsidRPr="00034806">
        <w:t>payment</w:t>
      </w:r>
      <w:proofErr w:type="spellEnd"/>
      <w:r w:rsidRPr="00034806">
        <w:t xml:space="preserve"> period, </w:t>
      </w:r>
      <w:proofErr w:type="spellStart"/>
      <w:r w:rsidRPr="00034806">
        <w:t>average</w:t>
      </w:r>
      <w:proofErr w:type="spellEnd"/>
      <w:r w:rsidRPr="00034806">
        <w:t xml:space="preserve"> </w:t>
      </w:r>
      <w:proofErr w:type="spellStart"/>
      <w:r w:rsidRPr="00034806">
        <w:t>collection</w:t>
      </w:r>
      <w:proofErr w:type="spellEnd"/>
      <w:r w:rsidRPr="00034806">
        <w:t xml:space="preserve"> period and </w:t>
      </w:r>
      <w:proofErr w:type="spellStart"/>
      <w:r w:rsidRPr="00034806">
        <w:t>debt</w:t>
      </w:r>
      <w:proofErr w:type="spellEnd"/>
      <w:r w:rsidRPr="00034806">
        <w:t xml:space="preserve"> ratio, analyse, </w:t>
      </w:r>
      <w:proofErr w:type="spellStart"/>
      <w:r w:rsidRPr="00034806">
        <w:t>compare</w:t>
      </w:r>
      <w:proofErr w:type="spellEnd"/>
      <w:r w:rsidRPr="00034806">
        <w:t xml:space="preserve"> and </w:t>
      </w:r>
      <w:proofErr w:type="spellStart"/>
      <w:r w:rsidRPr="00034806">
        <w:t>evaluate</w:t>
      </w:r>
      <w:proofErr w:type="spellEnd"/>
      <w:r w:rsidRPr="00034806">
        <w:t xml:space="preserve"> </w:t>
      </w:r>
      <w:proofErr w:type="spellStart"/>
      <w:r w:rsidRPr="00034806">
        <w:t>structure</w:t>
      </w:r>
      <w:proofErr w:type="spellEnd"/>
      <w:r w:rsidRPr="00034806">
        <w:t xml:space="preserve"> </w:t>
      </w:r>
      <w:proofErr w:type="spellStart"/>
      <w:r w:rsidRPr="00034806">
        <w:t>of</w:t>
      </w:r>
      <w:proofErr w:type="spellEnd"/>
      <w:r w:rsidRPr="00034806">
        <w:t xml:space="preserve"> </w:t>
      </w:r>
      <w:proofErr w:type="spellStart"/>
      <w:r w:rsidRPr="00034806">
        <w:t>the</w:t>
      </w:r>
      <w:proofErr w:type="spellEnd"/>
      <w:r w:rsidRPr="00034806">
        <w:t xml:space="preserve"> </w:t>
      </w:r>
      <w:proofErr w:type="spellStart"/>
      <w:r w:rsidRPr="00034806">
        <w:t>assets</w:t>
      </w:r>
      <w:proofErr w:type="spellEnd"/>
      <w:r w:rsidRPr="00034806">
        <w:t xml:space="preserve"> </w:t>
      </w:r>
      <w:proofErr w:type="spellStart"/>
      <w:r w:rsidRPr="00034806">
        <w:t>the</w:t>
      </w:r>
      <w:proofErr w:type="spellEnd"/>
      <w:r w:rsidRPr="00034806">
        <w:t xml:space="preserve"> </w:t>
      </w:r>
      <w:proofErr w:type="spellStart"/>
      <w:r w:rsidRPr="00034806">
        <w:t>company</w:t>
      </w:r>
      <w:proofErr w:type="spellEnd"/>
      <w:r w:rsidRPr="00034806">
        <w:t xml:space="preserve"> KOVOVÝROBA s. r. o. and </w:t>
      </w:r>
      <w:proofErr w:type="spellStart"/>
      <w:r w:rsidRPr="00034806">
        <w:t>the</w:t>
      </w:r>
      <w:proofErr w:type="spellEnd"/>
      <w:r w:rsidRPr="00034806">
        <w:t xml:space="preserve"> </w:t>
      </w:r>
      <w:proofErr w:type="spellStart"/>
      <w:r w:rsidRPr="00034806">
        <w:t>company</w:t>
      </w:r>
      <w:proofErr w:type="spellEnd"/>
      <w:r w:rsidRPr="00034806">
        <w:t xml:space="preserve"> </w:t>
      </w:r>
      <w:r>
        <w:br/>
      </w:r>
      <w:r w:rsidRPr="00034806">
        <w:t xml:space="preserve">Q – MONT s. r. o. in </w:t>
      </w:r>
      <w:proofErr w:type="spellStart"/>
      <w:r w:rsidRPr="00034806">
        <w:t>the</w:t>
      </w:r>
      <w:proofErr w:type="spellEnd"/>
      <w:r w:rsidRPr="00034806">
        <w:t xml:space="preserve"> period 2009 – 2011. </w:t>
      </w:r>
      <w:proofErr w:type="spellStart"/>
      <w:r w:rsidRPr="00034806">
        <w:t>Although</w:t>
      </w:r>
      <w:proofErr w:type="spellEnd"/>
      <w:r w:rsidRPr="00034806">
        <w:t xml:space="preserve"> </w:t>
      </w:r>
      <w:proofErr w:type="spellStart"/>
      <w:r w:rsidRPr="00034806">
        <w:t>companies</w:t>
      </w:r>
      <w:proofErr w:type="spellEnd"/>
      <w:r w:rsidRPr="00034806">
        <w:t xml:space="preserve"> </w:t>
      </w:r>
      <w:proofErr w:type="spellStart"/>
      <w:r w:rsidRPr="00034806">
        <w:t>exert</w:t>
      </w:r>
      <w:proofErr w:type="spellEnd"/>
      <w:r w:rsidRPr="00034806">
        <w:t xml:space="preserve"> </w:t>
      </w:r>
      <w:proofErr w:type="spellStart"/>
      <w:r w:rsidRPr="00034806">
        <w:t>t</w:t>
      </w:r>
      <w:r>
        <w:t>he</w:t>
      </w:r>
      <w:proofErr w:type="spellEnd"/>
      <w:r>
        <w:t xml:space="preserve"> </w:t>
      </w:r>
      <w:proofErr w:type="spellStart"/>
      <w:r>
        <w:t>same</w:t>
      </w:r>
      <w:proofErr w:type="spellEnd"/>
      <w:r>
        <w:t xml:space="preserve"> </w:t>
      </w:r>
      <w:proofErr w:type="spellStart"/>
      <w:r>
        <w:lastRenderedPageBreak/>
        <w:t>ecomomic</w:t>
      </w:r>
      <w:proofErr w:type="spellEnd"/>
      <w:r>
        <w:t xml:space="preserve"> aktivity -</w:t>
      </w:r>
      <w:r w:rsidRPr="00034806">
        <w:t xml:space="preserve"> </w:t>
      </w:r>
      <w:proofErr w:type="spellStart"/>
      <w:r w:rsidRPr="00034806">
        <w:t>metalworking</w:t>
      </w:r>
      <w:proofErr w:type="spellEnd"/>
      <w:r w:rsidRPr="00034806">
        <w:t xml:space="preserve">, </w:t>
      </w:r>
      <w:proofErr w:type="spellStart"/>
      <w:r w:rsidRPr="00034806">
        <w:t>their</w:t>
      </w:r>
      <w:proofErr w:type="spellEnd"/>
      <w:r w:rsidRPr="00034806">
        <w:t xml:space="preserve"> </w:t>
      </w:r>
      <w:proofErr w:type="spellStart"/>
      <w:r w:rsidRPr="00034806">
        <w:t>structure</w:t>
      </w:r>
      <w:proofErr w:type="spellEnd"/>
      <w:r w:rsidRPr="00034806">
        <w:t xml:space="preserve"> </w:t>
      </w:r>
      <w:proofErr w:type="spellStart"/>
      <w:r w:rsidRPr="00034806">
        <w:t>of</w:t>
      </w:r>
      <w:proofErr w:type="spellEnd"/>
      <w:r w:rsidRPr="00034806">
        <w:t xml:space="preserve"> </w:t>
      </w:r>
      <w:proofErr w:type="spellStart"/>
      <w:r w:rsidRPr="00034806">
        <w:t>the</w:t>
      </w:r>
      <w:proofErr w:type="spellEnd"/>
      <w:r w:rsidRPr="00034806">
        <w:t xml:space="preserve"> </w:t>
      </w:r>
      <w:proofErr w:type="spellStart"/>
      <w:r w:rsidRPr="00034806">
        <w:t>assets</w:t>
      </w:r>
      <w:proofErr w:type="spellEnd"/>
      <w:r w:rsidRPr="00034806">
        <w:t xml:space="preserve"> </w:t>
      </w:r>
      <w:proofErr w:type="spellStart"/>
      <w:r w:rsidRPr="00034806">
        <w:t>is</w:t>
      </w:r>
      <w:proofErr w:type="spellEnd"/>
      <w:r w:rsidRPr="00034806">
        <w:t xml:space="preserve"> not </w:t>
      </w:r>
      <w:proofErr w:type="spellStart"/>
      <w:r w:rsidRPr="00034806">
        <w:t>quite</w:t>
      </w:r>
      <w:proofErr w:type="spellEnd"/>
      <w:r w:rsidRPr="00034806">
        <w:t xml:space="preserve"> </w:t>
      </w:r>
      <w:proofErr w:type="spellStart"/>
      <w:r w:rsidRPr="00034806">
        <w:t>identical</w:t>
      </w:r>
      <w:proofErr w:type="spellEnd"/>
      <w:r w:rsidRPr="00034806">
        <w:t xml:space="preserve">, </w:t>
      </w:r>
      <w:proofErr w:type="spellStart"/>
      <w:r w:rsidRPr="00034806">
        <w:t>because</w:t>
      </w:r>
      <w:proofErr w:type="spellEnd"/>
      <w:r w:rsidRPr="00034806">
        <w:t xml:space="preserve"> </w:t>
      </w:r>
      <w:proofErr w:type="spellStart"/>
      <w:r w:rsidRPr="00034806">
        <w:t>form</w:t>
      </w:r>
      <w:proofErr w:type="spellEnd"/>
      <w:r w:rsidRPr="00034806">
        <w:t xml:space="preserve"> and </w:t>
      </w:r>
      <w:proofErr w:type="spellStart"/>
      <w:r w:rsidRPr="00034806">
        <w:t>value</w:t>
      </w:r>
      <w:proofErr w:type="spellEnd"/>
      <w:r w:rsidRPr="00034806">
        <w:t xml:space="preserve"> </w:t>
      </w:r>
      <w:proofErr w:type="spellStart"/>
      <w:r w:rsidRPr="00034806">
        <w:t>of</w:t>
      </w:r>
      <w:proofErr w:type="spellEnd"/>
      <w:r w:rsidRPr="00034806">
        <w:t xml:space="preserve"> </w:t>
      </w:r>
      <w:proofErr w:type="spellStart"/>
      <w:r w:rsidRPr="00034806">
        <w:t>the</w:t>
      </w:r>
      <w:proofErr w:type="spellEnd"/>
      <w:r w:rsidRPr="00034806">
        <w:t xml:space="preserve"> </w:t>
      </w:r>
      <w:proofErr w:type="spellStart"/>
      <w:r w:rsidRPr="00034806">
        <w:t>assets</w:t>
      </w:r>
      <w:proofErr w:type="spellEnd"/>
      <w:r w:rsidRPr="00034806">
        <w:t xml:space="preserve"> </w:t>
      </w:r>
      <w:proofErr w:type="spellStart"/>
      <w:r w:rsidRPr="00034806">
        <w:t>is</w:t>
      </w:r>
      <w:proofErr w:type="spellEnd"/>
      <w:r w:rsidRPr="00034806">
        <w:t xml:space="preserve"> </w:t>
      </w:r>
      <w:proofErr w:type="spellStart"/>
      <w:r w:rsidRPr="00034806">
        <w:t>depended</w:t>
      </w:r>
      <w:proofErr w:type="spellEnd"/>
      <w:r w:rsidRPr="00034806">
        <w:t xml:space="preserve"> on </w:t>
      </w:r>
      <w:proofErr w:type="spellStart"/>
      <w:r w:rsidRPr="00034806">
        <w:t>individual</w:t>
      </w:r>
      <w:proofErr w:type="spellEnd"/>
      <w:r w:rsidRPr="00034806">
        <w:t xml:space="preserve"> </w:t>
      </w:r>
      <w:proofErr w:type="spellStart"/>
      <w:r w:rsidRPr="00034806">
        <w:t>needs</w:t>
      </w:r>
      <w:proofErr w:type="spellEnd"/>
      <w:r w:rsidRPr="00034806">
        <w:t xml:space="preserve"> </w:t>
      </w:r>
      <w:proofErr w:type="spellStart"/>
      <w:r w:rsidRPr="00034806">
        <w:t>every</w:t>
      </w:r>
      <w:proofErr w:type="spellEnd"/>
      <w:r w:rsidRPr="00034806">
        <w:t xml:space="preserve"> business </w:t>
      </w:r>
      <w:proofErr w:type="spellStart"/>
      <w:r w:rsidRPr="00034806">
        <w:t>company</w:t>
      </w:r>
      <w:proofErr w:type="spellEnd"/>
      <w:r w:rsidRPr="00034806">
        <w:t xml:space="preserve">. In </w:t>
      </w:r>
      <w:proofErr w:type="spellStart"/>
      <w:r w:rsidRPr="00034806">
        <w:t>this</w:t>
      </w:r>
      <w:proofErr w:type="spellEnd"/>
      <w:r w:rsidRPr="00034806">
        <w:t xml:space="preserve"> thesis </w:t>
      </w:r>
      <w:proofErr w:type="spellStart"/>
      <w:proofErr w:type="gramStart"/>
      <w:r w:rsidRPr="00034806">
        <w:t>is</w:t>
      </w:r>
      <w:proofErr w:type="spellEnd"/>
      <w:r w:rsidRPr="00034806">
        <w:t xml:space="preserve"> </w:t>
      </w:r>
      <w:proofErr w:type="spellStart"/>
      <w:r w:rsidRPr="00034806">
        <w:t>used</w:t>
      </w:r>
      <w:proofErr w:type="spellEnd"/>
      <w:proofErr w:type="gramEnd"/>
      <w:r w:rsidRPr="00034806">
        <w:t xml:space="preserve"> </w:t>
      </w:r>
      <w:proofErr w:type="spellStart"/>
      <w:r w:rsidRPr="00034806">
        <w:t>comparison</w:t>
      </w:r>
      <w:proofErr w:type="spellEnd"/>
      <w:r w:rsidRPr="00034806">
        <w:t xml:space="preserve">, </w:t>
      </w:r>
      <w:proofErr w:type="spellStart"/>
      <w:r w:rsidRPr="00034806">
        <w:t>analysis</w:t>
      </w:r>
      <w:proofErr w:type="spellEnd"/>
      <w:r w:rsidRPr="00034806">
        <w:t xml:space="preserve"> </w:t>
      </w:r>
      <w:proofErr w:type="spellStart"/>
      <w:r w:rsidRPr="00034806">
        <w:t>of</w:t>
      </w:r>
      <w:proofErr w:type="spellEnd"/>
      <w:r w:rsidRPr="00034806">
        <w:t xml:space="preserve"> </w:t>
      </w:r>
      <w:proofErr w:type="spellStart"/>
      <w:r w:rsidRPr="00034806">
        <w:t>financial</w:t>
      </w:r>
      <w:proofErr w:type="spellEnd"/>
      <w:r w:rsidRPr="00034806">
        <w:t xml:space="preserve"> </w:t>
      </w:r>
      <w:proofErr w:type="spellStart"/>
      <w:r w:rsidRPr="00034806">
        <w:t>ratios</w:t>
      </w:r>
      <w:proofErr w:type="spellEnd"/>
      <w:r w:rsidRPr="00034806">
        <w:t xml:space="preserve"> and </w:t>
      </w:r>
      <w:proofErr w:type="spellStart"/>
      <w:r w:rsidRPr="00034806">
        <w:t>analysis</w:t>
      </w:r>
      <w:proofErr w:type="spellEnd"/>
      <w:r w:rsidRPr="00034806">
        <w:t xml:space="preserve"> </w:t>
      </w:r>
      <w:proofErr w:type="spellStart"/>
      <w:r w:rsidRPr="00034806">
        <w:t>of</w:t>
      </w:r>
      <w:proofErr w:type="spellEnd"/>
      <w:r w:rsidRPr="00034806">
        <w:t xml:space="preserve"> </w:t>
      </w:r>
      <w:proofErr w:type="spellStart"/>
      <w:r w:rsidRPr="00034806">
        <w:t>differential</w:t>
      </w:r>
      <w:proofErr w:type="spellEnd"/>
      <w:r w:rsidRPr="00034806">
        <w:t xml:space="preserve"> </w:t>
      </w:r>
      <w:proofErr w:type="spellStart"/>
      <w:r w:rsidRPr="00034806">
        <w:t>indicators</w:t>
      </w:r>
      <w:proofErr w:type="spellEnd"/>
      <w:r w:rsidRPr="00034806">
        <w:t>.</w:t>
      </w:r>
    </w:p>
    <w:p w:rsidR="002F19BA" w:rsidRDefault="00B67D4B" w:rsidP="0086787A">
      <w:pPr>
        <w:pStyle w:val="Odstavecnormln"/>
      </w:pPr>
      <w:r>
        <w:t>KLÍČOVÁ SLOVA</w:t>
      </w:r>
    </w:p>
    <w:p w:rsidR="00E52217" w:rsidRDefault="004001A5" w:rsidP="00BA1E8F">
      <w:pPr>
        <w:pStyle w:val="Odstavecnormln"/>
      </w:pPr>
      <w:r>
        <w:t>Insolvence, majetek podniku, oběžná aktiva, stálá aktiva, struktura majetku, u</w:t>
      </w:r>
      <w:r w:rsidR="00E52217">
        <w:t>kazatele aktivity, ukazatele finančního zdraví.</w:t>
      </w:r>
    </w:p>
    <w:p w:rsidR="00E52217" w:rsidRDefault="00B67D4B" w:rsidP="0086787A">
      <w:pPr>
        <w:pStyle w:val="Odstavecnormln"/>
      </w:pPr>
      <w:r>
        <w:t>KEYWORDS</w:t>
      </w:r>
    </w:p>
    <w:p w:rsidR="00947FE9" w:rsidRDefault="00E52217" w:rsidP="00BA1E8F">
      <w:pPr>
        <w:pStyle w:val="Odstavecnormln"/>
        <w:rPr>
          <w:lang w:val="en"/>
        </w:rPr>
      </w:pPr>
      <w:proofErr w:type="spellStart"/>
      <w:r w:rsidRPr="002F08BE">
        <w:rPr>
          <w:bCs/>
        </w:rPr>
        <w:t>Activity</w:t>
      </w:r>
      <w:proofErr w:type="spellEnd"/>
      <w:r w:rsidRPr="002F08BE">
        <w:rPr>
          <w:bCs/>
        </w:rPr>
        <w:t xml:space="preserve"> </w:t>
      </w:r>
      <w:proofErr w:type="spellStart"/>
      <w:r w:rsidRPr="002F08BE">
        <w:rPr>
          <w:bCs/>
        </w:rPr>
        <w:t>Ratios</w:t>
      </w:r>
      <w:proofErr w:type="spellEnd"/>
      <w:r w:rsidRPr="002F08BE">
        <w:rPr>
          <w:bCs/>
        </w:rPr>
        <w:t>,</w:t>
      </w:r>
      <w:r>
        <w:rPr>
          <w:bCs/>
        </w:rPr>
        <w:t xml:space="preserve"> </w:t>
      </w:r>
      <w:proofErr w:type="spellStart"/>
      <w:r w:rsidRPr="002F08BE">
        <w:t>Assets</w:t>
      </w:r>
      <w:proofErr w:type="spellEnd"/>
      <w:r w:rsidRPr="002F08BE">
        <w:t xml:space="preserve"> </w:t>
      </w:r>
      <w:proofErr w:type="spellStart"/>
      <w:r w:rsidRPr="002F08BE">
        <w:t>of</w:t>
      </w:r>
      <w:proofErr w:type="spellEnd"/>
      <w:r w:rsidRPr="002F08BE">
        <w:t xml:space="preserve"> </w:t>
      </w:r>
      <w:proofErr w:type="spellStart"/>
      <w:r w:rsidRPr="002F08BE">
        <w:t>the</w:t>
      </w:r>
      <w:proofErr w:type="spellEnd"/>
      <w:r w:rsidRPr="002F08BE">
        <w:t xml:space="preserve"> </w:t>
      </w:r>
      <w:proofErr w:type="spellStart"/>
      <w:r w:rsidRPr="002F08BE">
        <w:t>company</w:t>
      </w:r>
      <w:proofErr w:type="spellEnd"/>
      <w:r w:rsidRPr="002F08BE">
        <w:t>,</w:t>
      </w:r>
      <w:r>
        <w:t xml:space="preserve"> </w:t>
      </w:r>
      <w:proofErr w:type="spellStart"/>
      <w:r>
        <w:rPr>
          <w:bCs/>
        </w:rPr>
        <w:t>Current</w:t>
      </w:r>
      <w:proofErr w:type="spellEnd"/>
      <w:r>
        <w:rPr>
          <w:bCs/>
        </w:rPr>
        <w:t xml:space="preserve"> </w:t>
      </w:r>
      <w:proofErr w:type="spellStart"/>
      <w:r>
        <w:rPr>
          <w:bCs/>
        </w:rPr>
        <w:t>Assets</w:t>
      </w:r>
      <w:proofErr w:type="spellEnd"/>
      <w:r>
        <w:rPr>
          <w:bCs/>
        </w:rPr>
        <w:t xml:space="preserve">, </w:t>
      </w:r>
      <w:proofErr w:type="spellStart"/>
      <w:r>
        <w:rPr>
          <w:bCs/>
        </w:rPr>
        <w:t>Fixed</w:t>
      </w:r>
      <w:proofErr w:type="spellEnd"/>
      <w:r>
        <w:rPr>
          <w:bCs/>
        </w:rPr>
        <w:t xml:space="preserve"> </w:t>
      </w:r>
      <w:proofErr w:type="spellStart"/>
      <w:r>
        <w:rPr>
          <w:bCs/>
        </w:rPr>
        <w:t>assets</w:t>
      </w:r>
      <w:proofErr w:type="spellEnd"/>
      <w:r>
        <w:rPr>
          <w:bCs/>
        </w:rPr>
        <w:t xml:space="preserve">, </w:t>
      </w:r>
      <w:proofErr w:type="spellStart"/>
      <w:r>
        <w:t>I</w:t>
      </w:r>
      <w:r w:rsidRPr="00034806">
        <w:t>ndi</w:t>
      </w:r>
      <w:r>
        <w:t>cators</w:t>
      </w:r>
      <w:proofErr w:type="spellEnd"/>
      <w:r>
        <w:t xml:space="preserve"> </w:t>
      </w:r>
      <w:proofErr w:type="spellStart"/>
      <w:r>
        <w:t>of</w:t>
      </w:r>
      <w:proofErr w:type="spellEnd"/>
      <w:r>
        <w:t xml:space="preserve"> </w:t>
      </w:r>
      <w:proofErr w:type="spellStart"/>
      <w:r>
        <w:t>financial</w:t>
      </w:r>
      <w:proofErr w:type="spellEnd"/>
      <w:r>
        <w:t xml:space="preserve"> </w:t>
      </w:r>
      <w:proofErr w:type="spellStart"/>
      <w:r>
        <w:t>health</w:t>
      </w:r>
      <w:proofErr w:type="spellEnd"/>
      <w:r>
        <w:t xml:space="preserve">, </w:t>
      </w:r>
      <w:proofErr w:type="spellStart"/>
      <w:r>
        <w:rPr>
          <w:bCs/>
        </w:rPr>
        <w:t>Insolvency</w:t>
      </w:r>
      <w:proofErr w:type="spellEnd"/>
      <w:r>
        <w:rPr>
          <w:bCs/>
        </w:rPr>
        <w:t xml:space="preserve">, </w:t>
      </w:r>
      <w:r w:rsidRPr="002F08BE">
        <w:rPr>
          <w:lang w:val="en"/>
        </w:rPr>
        <w:t>St</w:t>
      </w:r>
      <w:r>
        <w:rPr>
          <w:lang w:val="en"/>
        </w:rPr>
        <w:t>ructure of the assets.</w:t>
      </w:r>
    </w:p>
    <w:p w:rsidR="00947FE9" w:rsidRPr="00295795" w:rsidRDefault="00947FE9" w:rsidP="0086787A">
      <w:pPr>
        <w:pStyle w:val="Odstavecnormln"/>
      </w:pPr>
      <w:r w:rsidRPr="00947FE9">
        <w:t xml:space="preserve">JEL </w:t>
      </w:r>
      <w:r w:rsidR="00B67D4B">
        <w:t>CLASSIFICATION</w:t>
      </w:r>
    </w:p>
    <w:p w:rsidR="00947FE9" w:rsidRPr="000C0237" w:rsidRDefault="00947FE9" w:rsidP="00BA1E8F">
      <w:pPr>
        <w:pStyle w:val="Odstavecnormln"/>
      </w:pPr>
      <w:r>
        <w:t xml:space="preserve">M21 – Business </w:t>
      </w:r>
      <w:proofErr w:type="spellStart"/>
      <w:r>
        <w:t>economics</w:t>
      </w:r>
      <w:proofErr w:type="spellEnd"/>
      <w:r>
        <w:t xml:space="preserve">, M41 - </w:t>
      </w:r>
      <w:proofErr w:type="spellStart"/>
      <w:r>
        <w:t>Accounting</w:t>
      </w:r>
      <w:proofErr w:type="spellEnd"/>
    </w:p>
    <w:p w:rsidR="00AA4018" w:rsidRDefault="00AA4018">
      <w:pPr>
        <w:spacing w:after="200" w:line="276" w:lineRule="auto"/>
        <w:jc w:val="left"/>
      </w:pPr>
      <w:r>
        <w:br w:type="page"/>
      </w:r>
    </w:p>
    <w:p w:rsidR="009F3871" w:rsidRDefault="008A3433" w:rsidP="004334CB">
      <w:pPr>
        <w:spacing w:after="200"/>
        <w:jc w:val="center"/>
      </w:pPr>
      <w:r>
        <w:rPr>
          <w:noProof/>
        </w:rPr>
        <w:lastRenderedPageBreak/>
        <w:drawing>
          <wp:anchor distT="0" distB="0" distL="114300" distR="114300" simplePos="0" relativeHeight="251660288" behindDoc="0" locked="0" layoutInCell="1" allowOverlap="1">
            <wp:simplePos x="0" y="0"/>
            <wp:positionH relativeFrom="column">
              <wp:posOffset>-401955</wp:posOffset>
            </wp:positionH>
            <wp:positionV relativeFrom="paragraph">
              <wp:posOffset>635</wp:posOffset>
            </wp:positionV>
            <wp:extent cx="6115050" cy="8052250"/>
            <wp:effectExtent l="0" t="0" r="0" b="635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ghf.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5050" cy="8052250"/>
                    </a:xfrm>
                    <a:prstGeom prst="rect">
                      <a:avLst/>
                    </a:prstGeom>
                  </pic:spPr>
                </pic:pic>
              </a:graphicData>
            </a:graphic>
            <wp14:sizeRelH relativeFrom="page">
              <wp14:pctWidth>0</wp14:pctWidth>
            </wp14:sizeRelH>
            <wp14:sizeRelV relativeFrom="page">
              <wp14:pctHeight>0</wp14:pctHeight>
            </wp14:sizeRelV>
          </wp:anchor>
        </w:drawing>
      </w:r>
      <w:r w:rsidR="009F3871">
        <w:br w:type="page"/>
      </w:r>
    </w:p>
    <w:sdt>
      <w:sdtPr>
        <w:rPr>
          <w:b w:val="0"/>
          <w:bCs w:val="0"/>
          <w:color w:val="auto"/>
          <w:sz w:val="24"/>
          <w:szCs w:val="20"/>
          <w:lang w:eastAsia="cs-CZ"/>
        </w:rPr>
        <w:id w:val="-22635008"/>
        <w:docPartObj>
          <w:docPartGallery w:val="Table of Contents"/>
          <w:docPartUnique/>
        </w:docPartObj>
      </w:sdtPr>
      <w:sdtEndPr/>
      <w:sdtContent>
        <w:p w:rsidR="00777A32" w:rsidRDefault="00777A32">
          <w:pPr>
            <w:pStyle w:val="Nadpisobsahu"/>
          </w:pPr>
          <w:r>
            <w:t>Obsah</w:t>
          </w:r>
        </w:p>
        <w:p w:rsidR="008052DB" w:rsidRDefault="00777A32">
          <w:pPr>
            <w:pStyle w:val="Obsah1"/>
            <w:rPr>
              <w:rFonts w:asciiTheme="minorHAnsi" w:eastAsiaTheme="minorEastAsia" w:hAnsiTheme="minorHAnsi" w:cstheme="minorBidi"/>
              <w:noProof/>
              <w:sz w:val="22"/>
              <w:lang w:eastAsia="cs-CZ"/>
            </w:rPr>
          </w:pPr>
          <w:r>
            <w:fldChar w:fldCharType="begin"/>
          </w:r>
          <w:r>
            <w:instrText xml:space="preserve"> TOC \o "1-3" \h \z \u </w:instrText>
          </w:r>
          <w:r>
            <w:fldChar w:fldCharType="separate"/>
          </w:r>
          <w:hyperlink w:anchor="_Toc353439344" w:history="1">
            <w:r w:rsidR="008052DB" w:rsidRPr="000363C9">
              <w:rPr>
                <w:rStyle w:val="Hypertextovodkaz"/>
                <w:noProof/>
              </w:rPr>
              <w:t>1</w:t>
            </w:r>
            <w:r w:rsidR="008052DB">
              <w:rPr>
                <w:rFonts w:asciiTheme="minorHAnsi" w:eastAsiaTheme="minorEastAsia" w:hAnsiTheme="minorHAnsi" w:cstheme="minorBidi"/>
                <w:noProof/>
                <w:sz w:val="22"/>
                <w:lang w:eastAsia="cs-CZ"/>
              </w:rPr>
              <w:tab/>
            </w:r>
            <w:r w:rsidR="008052DB" w:rsidRPr="000363C9">
              <w:rPr>
                <w:rStyle w:val="Hypertextovodkaz"/>
                <w:noProof/>
              </w:rPr>
              <w:t>ÚVOD</w:t>
            </w:r>
            <w:r w:rsidR="008052DB">
              <w:rPr>
                <w:noProof/>
                <w:webHidden/>
              </w:rPr>
              <w:tab/>
            </w:r>
            <w:r w:rsidR="008052DB">
              <w:rPr>
                <w:noProof/>
                <w:webHidden/>
              </w:rPr>
              <w:fldChar w:fldCharType="begin"/>
            </w:r>
            <w:r w:rsidR="008052DB">
              <w:rPr>
                <w:noProof/>
                <w:webHidden/>
              </w:rPr>
              <w:instrText xml:space="preserve"> PAGEREF _Toc353439344 \h </w:instrText>
            </w:r>
            <w:r w:rsidR="008052DB">
              <w:rPr>
                <w:noProof/>
                <w:webHidden/>
              </w:rPr>
            </w:r>
            <w:r w:rsidR="008052DB">
              <w:rPr>
                <w:noProof/>
                <w:webHidden/>
              </w:rPr>
              <w:fldChar w:fldCharType="separate"/>
            </w:r>
            <w:r w:rsidR="002534BA">
              <w:rPr>
                <w:noProof/>
                <w:webHidden/>
              </w:rPr>
              <w:t>1</w:t>
            </w:r>
            <w:r w:rsidR="008052DB">
              <w:rPr>
                <w:noProof/>
                <w:webHidden/>
              </w:rPr>
              <w:fldChar w:fldCharType="end"/>
            </w:r>
          </w:hyperlink>
        </w:p>
        <w:p w:rsidR="008052DB" w:rsidRDefault="00C96C2B">
          <w:pPr>
            <w:pStyle w:val="Obsah1"/>
            <w:rPr>
              <w:rFonts w:asciiTheme="minorHAnsi" w:eastAsiaTheme="minorEastAsia" w:hAnsiTheme="minorHAnsi" w:cstheme="minorBidi"/>
              <w:noProof/>
              <w:sz w:val="22"/>
              <w:lang w:eastAsia="cs-CZ"/>
            </w:rPr>
          </w:pPr>
          <w:hyperlink w:anchor="_Toc353439345" w:history="1">
            <w:r w:rsidR="008052DB" w:rsidRPr="000363C9">
              <w:rPr>
                <w:rStyle w:val="Hypertextovodkaz"/>
                <w:noProof/>
              </w:rPr>
              <w:t>2</w:t>
            </w:r>
            <w:r w:rsidR="008052DB">
              <w:rPr>
                <w:rFonts w:asciiTheme="minorHAnsi" w:eastAsiaTheme="minorEastAsia" w:hAnsiTheme="minorHAnsi" w:cstheme="minorBidi"/>
                <w:noProof/>
                <w:sz w:val="22"/>
                <w:lang w:eastAsia="cs-CZ"/>
              </w:rPr>
              <w:tab/>
            </w:r>
            <w:r w:rsidR="008052DB" w:rsidRPr="000363C9">
              <w:rPr>
                <w:rStyle w:val="Hypertextovodkaz"/>
                <w:noProof/>
              </w:rPr>
              <w:t>POUŽITÉ METODY A TECHNIKY</w:t>
            </w:r>
            <w:r w:rsidR="008052DB">
              <w:rPr>
                <w:noProof/>
                <w:webHidden/>
              </w:rPr>
              <w:tab/>
            </w:r>
            <w:r w:rsidR="008052DB">
              <w:rPr>
                <w:noProof/>
                <w:webHidden/>
              </w:rPr>
              <w:fldChar w:fldCharType="begin"/>
            </w:r>
            <w:r w:rsidR="008052DB">
              <w:rPr>
                <w:noProof/>
                <w:webHidden/>
              </w:rPr>
              <w:instrText xml:space="preserve"> PAGEREF _Toc353439345 \h </w:instrText>
            </w:r>
            <w:r w:rsidR="008052DB">
              <w:rPr>
                <w:noProof/>
                <w:webHidden/>
              </w:rPr>
            </w:r>
            <w:r w:rsidR="008052DB">
              <w:rPr>
                <w:noProof/>
                <w:webHidden/>
              </w:rPr>
              <w:fldChar w:fldCharType="separate"/>
            </w:r>
            <w:r w:rsidR="002534BA">
              <w:rPr>
                <w:noProof/>
                <w:webHidden/>
              </w:rPr>
              <w:t>3</w:t>
            </w:r>
            <w:r w:rsidR="008052DB">
              <w:rPr>
                <w:noProof/>
                <w:webHidden/>
              </w:rPr>
              <w:fldChar w:fldCharType="end"/>
            </w:r>
          </w:hyperlink>
        </w:p>
        <w:p w:rsidR="008052DB" w:rsidRDefault="00C96C2B">
          <w:pPr>
            <w:pStyle w:val="Obsah1"/>
            <w:rPr>
              <w:rFonts w:asciiTheme="minorHAnsi" w:eastAsiaTheme="minorEastAsia" w:hAnsiTheme="minorHAnsi" w:cstheme="minorBidi"/>
              <w:noProof/>
              <w:sz w:val="22"/>
              <w:lang w:eastAsia="cs-CZ"/>
            </w:rPr>
          </w:pPr>
          <w:hyperlink w:anchor="_Toc353439346" w:history="1">
            <w:r w:rsidR="008052DB" w:rsidRPr="000363C9">
              <w:rPr>
                <w:rStyle w:val="Hypertextovodkaz"/>
                <w:noProof/>
              </w:rPr>
              <w:t>3</w:t>
            </w:r>
            <w:r w:rsidR="008052DB">
              <w:rPr>
                <w:rFonts w:asciiTheme="minorHAnsi" w:eastAsiaTheme="minorEastAsia" w:hAnsiTheme="minorHAnsi" w:cstheme="minorBidi"/>
                <w:noProof/>
                <w:sz w:val="22"/>
                <w:lang w:eastAsia="cs-CZ"/>
              </w:rPr>
              <w:tab/>
            </w:r>
            <w:r w:rsidR="008052DB" w:rsidRPr="000363C9">
              <w:rPr>
                <w:rStyle w:val="Hypertextovodkaz"/>
                <w:noProof/>
              </w:rPr>
              <w:t>MAJETEK PODNIKU</w:t>
            </w:r>
            <w:r w:rsidR="008052DB">
              <w:rPr>
                <w:noProof/>
                <w:webHidden/>
              </w:rPr>
              <w:tab/>
            </w:r>
            <w:r w:rsidR="008052DB">
              <w:rPr>
                <w:noProof/>
                <w:webHidden/>
              </w:rPr>
              <w:fldChar w:fldCharType="begin"/>
            </w:r>
            <w:r w:rsidR="008052DB">
              <w:rPr>
                <w:noProof/>
                <w:webHidden/>
              </w:rPr>
              <w:instrText xml:space="preserve"> PAGEREF _Toc353439346 \h </w:instrText>
            </w:r>
            <w:r w:rsidR="008052DB">
              <w:rPr>
                <w:noProof/>
                <w:webHidden/>
              </w:rPr>
            </w:r>
            <w:r w:rsidR="008052DB">
              <w:rPr>
                <w:noProof/>
                <w:webHidden/>
              </w:rPr>
              <w:fldChar w:fldCharType="separate"/>
            </w:r>
            <w:r w:rsidR="002534BA">
              <w:rPr>
                <w:noProof/>
                <w:webHidden/>
              </w:rPr>
              <w:t>4</w:t>
            </w:r>
            <w:r w:rsidR="008052DB">
              <w:rPr>
                <w:noProof/>
                <w:webHidden/>
              </w:rPr>
              <w:fldChar w:fldCharType="end"/>
            </w:r>
          </w:hyperlink>
        </w:p>
        <w:p w:rsidR="008052DB" w:rsidRDefault="00C96C2B">
          <w:pPr>
            <w:pStyle w:val="Obsah2"/>
            <w:rPr>
              <w:rFonts w:asciiTheme="minorHAnsi" w:eastAsiaTheme="minorEastAsia" w:hAnsiTheme="minorHAnsi" w:cstheme="minorBidi"/>
              <w:lang w:eastAsia="cs-CZ"/>
            </w:rPr>
          </w:pPr>
          <w:hyperlink w:anchor="_Toc353439347" w:history="1">
            <w:r w:rsidR="008052DB" w:rsidRPr="000363C9">
              <w:rPr>
                <w:rStyle w:val="Hypertextovodkaz"/>
              </w:rPr>
              <w:t>3.1</w:t>
            </w:r>
            <w:r w:rsidR="008052DB">
              <w:rPr>
                <w:rFonts w:asciiTheme="minorHAnsi" w:eastAsiaTheme="minorEastAsia" w:hAnsiTheme="minorHAnsi" w:cstheme="minorBidi"/>
                <w:lang w:eastAsia="cs-CZ"/>
              </w:rPr>
              <w:tab/>
            </w:r>
            <w:r w:rsidR="008052DB" w:rsidRPr="000363C9">
              <w:rPr>
                <w:rStyle w:val="Hypertextovodkaz"/>
              </w:rPr>
              <w:t>STRUKTURA MAJETKU PODNIKU</w:t>
            </w:r>
            <w:r w:rsidR="008052DB">
              <w:rPr>
                <w:webHidden/>
              </w:rPr>
              <w:tab/>
            </w:r>
            <w:r w:rsidR="008052DB">
              <w:rPr>
                <w:webHidden/>
              </w:rPr>
              <w:fldChar w:fldCharType="begin"/>
            </w:r>
            <w:r w:rsidR="008052DB">
              <w:rPr>
                <w:webHidden/>
              </w:rPr>
              <w:instrText xml:space="preserve"> PAGEREF _Toc353439347 \h </w:instrText>
            </w:r>
            <w:r w:rsidR="008052DB">
              <w:rPr>
                <w:webHidden/>
              </w:rPr>
            </w:r>
            <w:r w:rsidR="008052DB">
              <w:rPr>
                <w:webHidden/>
              </w:rPr>
              <w:fldChar w:fldCharType="separate"/>
            </w:r>
            <w:r w:rsidR="002534BA">
              <w:rPr>
                <w:webHidden/>
              </w:rPr>
              <w:t>4</w:t>
            </w:r>
            <w:r w:rsidR="008052DB">
              <w:rPr>
                <w:webHidden/>
              </w:rPr>
              <w:fldChar w:fldCharType="end"/>
            </w:r>
          </w:hyperlink>
        </w:p>
        <w:p w:rsidR="008052DB" w:rsidRDefault="00C96C2B">
          <w:pPr>
            <w:pStyle w:val="Obsah3"/>
            <w:rPr>
              <w:rFonts w:asciiTheme="minorHAnsi" w:eastAsiaTheme="minorEastAsia" w:hAnsiTheme="minorHAnsi" w:cstheme="minorBidi"/>
              <w:noProof/>
              <w:lang w:eastAsia="cs-CZ"/>
            </w:rPr>
          </w:pPr>
          <w:hyperlink w:anchor="_Toc353439348" w:history="1">
            <w:r w:rsidR="008052DB" w:rsidRPr="000363C9">
              <w:rPr>
                <w:rStyle w:val="Hypertextovodkaz"/>
                <w:noProof/>
              </w:rPr>
              <w:t>3.1.1</w:t>
            </w:r>
            <w:r w:rsidR="008052DB">
              <w:rPr>
                <w:rFonts w:asciiTheme="minorHAnsi" w:eastAsiaTheme="minorEastAsia" w:hAnsiTheme="minorHAnsi" w:cstheme="minorBidi"/>
                <w:noProof/>
                <w:lang w:eastAsia="cs-CZ"/>
              </w:rPr>
              <w:tab/>
            </w:r>
            <w:r w:rsidR="008052DB" w:rsidRPr="000363C9">
              <w:rPr>
                <w:rStyle w:val="Hypertextovodkaz"/>
                <w:noProof/>
              </w:rPr>
              <w:t>Dlouhodobý majetek</w:t>
            </w:r>
            <w:r w:rsidR="008052DB">
              <w:rPr>
                <w:noProof/>
                <w:webHidden/>
              </w:rPr>
              <w:tab/>
            </w:r>
            <w:r w:rsidR="008052DB">
              <w:rPr>
                <w:noProof/>
                <w:webHidden/>
              </w:rPr>
              <w:fldChar w:fldCharType="begin"/>
            </w:r>
            <w:r w:rsidR="008052DB">
              <w:rPr>
                <w:noProof/>
                <w:webHidden/>
              </w:rPr>
              <w:instrText xml:space="preserve"> PAGEREF _Toc353439348 \h </w:instrText>
            </w:r>
            <w:r w:rsidR="008052DB">
              <w:rPr>
                <w:noProof/>
                <w:webHidden/>
              </w:rPr>
            </w:r>
            <w:r w:rsidR="008052DB">
              <w:rPr>
                <w:noProof/>
                <w:webHidden/>
              </w:rPr>
              <w:fldChar w:fldCharType="separate"/>
            </w:r>
            <w:r w:rsidR="002534BA">
              <w:rPr>
                <w:noProof/>
                <w:webHidden/>
              </w:rPr>
              <w:t>6</w:t>
            </w:r>
            <w:r w:rsidR="008052DB">
              <w:rPr>
                <w:noProof/>
                <w:webHidden/>
              </w:rPr>
              <w:fldChar w:fldCharType="end"/>
            </w:r>
          </w:hyperlink>
        </w:p>
        <w:p w:rsidR="008052DB" w:rsidRDefault="00C96C2B">
          <w:pPr>
            <w:pStyle w:val="Obsah3"/>
            <w:rPr>
              <w:rFonts w:asciiTheme="minorHAnsi" w:eastAsiaTheme="minorEastAsia" w:hAnsiTheme="minorHAnsi" w:cstheme="minorBidi"/>
              <w:noProof/>
              <w:lang w:eastAsia="cs-CZ"/>
            </w:rPr>
          </w:pPr>
          <w:hyperlink w:anchor="_Toc353439349" w:history="1">
            <w:r w:rsidR="008052DB" w:rsidRPr="000363C9">
              <w:rPr>
                <w:rStyle w:val="Hypertextovodkaz"/>
                <w:noProof/>
              </w:rPr>
              <w:t>3.1.2</w:t>
            </w:r>
            <w:r w:rsidR="008052DB">
              <w:rPr>
                <w:rFonts w:asciiTheme="minorHAnsi" w:eastAsiaTheme="minorEastAsia" w:hAnsiTheme="minorHAnsi" w:cstheme="minorBidi"/>
                <w:noProof/>
                <w:lang w:eastAsia="cs-CZ"/>
              </w:rPr>
              <w:tab/>
            </w:r>
            <w:r w:rsidR="008052DB" w:rsidRPr="000363C9">
              <w:rPr>
                <w:rStyle w:val="Hypertextovodkaz"/>
                <w:noProof/>
              </w:rPr>
              <w:t>Oběžný majetek</w:t>
            </w:r>
            <w:r w:rsidR="008052DB">
              <w:rPr>
                <w:noProof/>
                <w:webHidden/>
              </w:rPr>
              <w:tab/>
            </w:r>
            <w:r w:rsidR="008052DB">
              <w:rPr>
                <w:noProof/>
                <w:webHidden/>
              </w:rPr>
              <w:fldChar w:fldCharType="begin"/>
            </w:r>
            <w:r w:rsidR="008052DB">
              <w:rPr>
                <w:noProof/>
                <w:webHidden/>
              </w:rPr>
              <w:instrText xml:space="preserve"> PAGEREF _Toc353439349 \h </w:instrText>
            </w:r>
            <w:r w:rsidR="008052DB">
              <w:rPr>
                <w:noProof/>
                <w:webHidden/>
              </w:rPr>
            </w:r>
            <w:r w:rsidR="008052DB">
              <w:rPr>
                <w:noProof/>
                <w:webHidden/>
              </w:rPr>
              <w:fldChar w:fldCharType="separate"/>
            </w:r>
            <w:r w:rsidR="002534BA">
              <w:rPr>
                <w:noProof/>
                <w:webHidden/>
              </w:rPr>
              <w:t>7</w:t>
            </w:r>
            <w:r w:rsidR="008052DB">
              <w:rPr>
                <w:noProof/>
                <w:webHidden/>
              </w:rPr>
              <w:fldChar w:fldCharType="end"/>
            </w:r>
          </w:hyperlink>
        </w:p>
        <w:p w:rsidR="008052DB" w:rsidRDefault="00C96C2B">
          <w:pPr>
            <w:pStyle w:val="Obsah2"/>
            <w:rPr>
              <w:rFonts w:asciiTheme="minorHAnsi" w:eastAsiaTheme="minorEastAsia" w:hAnsiTheme="minorHAnsi" w:cstheme="minorBidi"/>
              <w:lang w:eastAsia="cs-CZ"/>
            </w:rPr>
          </w:pPr>
          <w:hyperlink w:anchor="_Toc353439350" w:history="1">
            <w:r w:rsidR="008052DB" w:rsidRPr="000363C9">
              <w:rPr>
                <w:rStyle w:val="Hypertextovodkaz"/>
              </w:rPr>
              <w:t>3.2</w:t>
            </w:r>
            <w:r w:rsidR="008052DB">
              <w:rPr>
                <w:rFonts w:asciiTheme="minorHAnsi" w:eastAsiaTheme="minorEastAsia" w:hAnsiTheme="minorHAnsi" w:cstheme="minorBidi"/>
                <w:lang w:eastAsia="cs-CZ"/>
              </w:rPr>
              <w:tab/>
            </w:r>
            <w:r w:rsidR="008052DB" w:rsidRPr="000363C9">
              <w:rPr>
                <w:rStyle w:val="Hypertextovodkaz"/>
              </w:rPr>
              <w:t>ANALÝZA POMĚROVÝCH UKAZATELŮ</w:t>
            </w:r>
            <w:r w:rsidR="008052DB">
              <w:rPr>
                <w:webHidden/>
              </w:rPr>
              <w:tab/>
            </w:r>
            <w:r w:rsidR="008052DB">
              <w:rPr>
                <w:webHidden/>
              </w:rPr>
              <w:fldChar w:fldCharType="begin"/>
            </w:r>
            <w:r w:rsidR="008052DB">
              <w:rPr>
                <w:webHidden/>
              </w:rPr>
              <w:instrText xml:space="preserve"> PAGEREF _Toc353439350 \h </w:instrText>
            </w:r>
            <w:r w:rsidR="008052DB">
              <w:rPr>
                <w:webHidden/>
              </w:rPr>
            </w:r>
            <w:r w:rsidR="008052DB">
              <w:rPr>
                <w:webHidden/>
              </w:rPr>
              <w:fldChar w:fldCharType="separate"/>
            </w:r>
            <w:r w:rsidR="002534BA">
              <w:rPr>
                <w:webHidden/>
              </w:rPr>
              <w:t>9</w:t>
            </w:r>
            <w:r w:rsidR="008052DB">
              <w:rPr>
                <w:webHidden/>
              </w:rPr>
              <w:fldChar w:fldCharType="end"/>
            </w:r>
          </w:hyperlink>
        </w:p>
        <w:p w:rsidR="008052DB" w:rsidRDefault="00C96C2B">
          <w:pPr>
            <w:pStyle w:val="Obsah3"/>
            <w:rPr>
              <w:rFonts w:asciiTheme="minorHAnsi" w:eastAsiaTheme="minorEastAsia" w:hAnsiTheme="minorHAnsi" w:cstheme="minorBidi"/>
              <w:noProof/>
              <w:lang w:eastAsia="cs-CZ"/>
            </w:rPr>
          </w:pPr>
          <w:hyperlink w:anchor="_Toc353439351" w:history="1">
            <w:r w:rsidR="008052DB" w:rsidRPr="000363C9">
              <w:rPr>
                <w:rStyle w:val="Hypertextovodkaz"/>
                <w:noProof/>
              </w:rPr>
              <w:t>3.2.1</w:t>
            </w:r>
            <w:r w:rsidR="008052DB">
              <w:rPr>
                <w:rFonts w:asciiTheme="minorHAnsi" w:eastAsiaTheme="minorEastAsia" w:hAnsiTheme="minorHAnsi" w:cstheme="minorBidi"/>
                <w:noProof/>
                <w:lang w:eastAsia="cs-CZ"/>
              </w:rPr>
              <w:tab/>
            </w:r>
            <w:r w:rsidR="008052DB" w:rsidRPr="000363C9">
              <w:rPr>
                <w:rStyle w:val="Hypertextovodkaz"/>
                <w:noProof/>
              </w:rPr>
              <w:t>Ukazatele likvidity</w:t>
            </w:r>
            <w:r w:rsidR="008052DB">
              <w:rPr>
                <w:noProof/>
                <w:webHidden/>
              </w:rPr>
              <w:tab/>
            </w:r>
            <w:r w:rsidR="008052DB">
              <w:rPr>
                <w:noProof/>
                <w:webHidden/>
              </w:rPr>
              <w:fldChar w:fldCharType="begin"/>
            </w:r>
            <w:r w:rsidR="008052DB">
              <w:rPr>
                <w:noProof/>
                <w:webHidden/>
              </w:rPr>
              <w:instrText xml:space="preserve"> PAGEREF _Toc353439351 \h </w:instrText>
            </w:r>
            <w:r w:rsidR="008052DB">
              <w:rPr>
                <w:noProof/>
                <w:webHidden/>
              </w:rPr>
            </w:r>
            <w:r w:rsidR="008052DB">
              <w:rPr>
                <w:noProof/>
                <w:webHidden/>
              </w:rPr>
              <w:fldChar w:fldCharType="separate"/>
            </w:r>
            <w:r w:rsidR="002534BA">
              <w:rPr>
                <w:noProof/>
                <w:webHidden/>
              </w:rPr>
              <w:t>9</w:t>
            </w:r>
            <w:r w:rsidR="008052DB">
              <w:rPr>
                <w:noProof/>
                <w:webHidden/>
              </w:rPr>
              <w:fldChar w:fldCharType="end"/>
            </w:r>
          </w:hyperlink>
        </w:p>
        <w:p w:rsidR="008052DB" w:rsidRDefault="00C96C2B">
          <w:pPr>
            <w:pStyle w:val="Obsah3"/>
            <w:rPr>
              <w:rFonts w:asciiTheme="minorHAnsi" w:eastAsiaTheme="minorEastAsia" w:hAnsiTheme="minorHAnsi" w:cstheme="minorBidi"/>
              <w:noProof/>
              <w:lang w:eastAsia="cs-CZ"/>
            </w:rPr>
          </w:pPr>
          <w:hyperlink w:anchor="_Toc353439352" w:history="1">
            <w:r w:rsidR="008052DB" w:rsidRPr="000363C9">
              <w:rPr>
                <w:rStyle w:val="Hypertextovodkaz"/>
                <w:noProof/>
              </w:rPr>
              <w:t>3.2.2</w:t>
            </w:r>
            <w:r w:rsidR="008052DB">
              <w:rPr>
                <w:rFonts w:asciiTheme="minorHAnsi" w:eastAsiaTheme="minorEastAsia" w:hAnsiTheme="minorHAnsi" w:cstheme="minorBidi"/>
                <w:noProof/>
                <w:lang w:eastAsia="cs-CZ"/>
              </w:rPr>
              <w:tab/>
            </w:r>
            <w:r w:rsidR="008052DB" w:rsidRPr="000363C9">
              <w:rPr>
                <w:rStyle w:val="Hypertextovodkaz"/>
                <w:noProof/>
              </w:rPr>
              <w:t>Ukazatele aktivity</w:t>
            </w:r>
            <w:r w:rsidR="008052DB">
              <w:rPr>
                <w:noProof/>
                <w:webHidden/>
              </w:rPr>
              <w:tab/>
            </w:r>
            <w:r w:rsidR="008052DB">
              <w:rPr>
                <w:noProof/>
                <w:webHidden/>
              </w:rPr>
              <w:fldChar w:fldCharType="begin"/>
            </w:r>
            <w:r w:rsidR="008052DB">
              <w:rPr>
                <w:noProof/>
                <w:webHidden/>
              </w:rPr>
              <w:instrText xml:space="preserve"> PAGEREF _Toc353439352 \h </w:instrText>
            </w:r>
            <w:r w:rsidR="008052DB">
              <w:rPr>
                <w:noProof/>
                <w:webHidden/>
              </w:rPr>
            </w:r>
            <w:r w:rsidR="008052DB">
              <w:rPr>
                <w:noProof/>
                <w:webHidden/>
              </w:rPr>
              <w:fldChar w:fldCharType="separate"/>
            </w:r>
            <w:r w:rsidR="002534BA">
              <w:rPr>
                <w:noProof/>
                <w:webHidden/>
              </w:rPr>
              <w:t>11</w:t>
            </w:r>
            <w:r w:rsidR="008052DB">
              <w:rPr>
                <w:noProof/>
                <w:webHidden/>
              </w:rPr>
              <w:fldChar w:fldCharType="end"/>
            </w:r>
          </w:hyperlink>
        </w:p>
        <w:p w:rsidR="008052DB" w:rsidRDefault="00C96C2B">
          <w:pPr>
            <w:pStyle w:val="Obsah3"/>
            <w:rPr>
              <w:rFonts w:asciiTheme="minorHAnsi" w:eastAsiaTheme="minorEastAsia" w:hAnsiTheme="minorHAnsi" w:cstheme="minorBidi"/>
              <w:noProof/>
              <w:lang w:eastAsia="cs-CZ"/>
            </w:rPr>
          </w:pPr>
          <w:hyperlink w:anchor="_Toc353439353" w:history="1">
            <w:r w:rsidR="008052DB" w:rsidRPr="000363C9">
              <w:rPr>
                <w:rStyle w:val="Hypertextovodkaz"/>
                <w:noProof/>
              </w:rPr>
              <w:t>3.2.3</w:t>
            </w:r>
            <w:r w:rsidR="008052DB">
              <w:rPr>
                <w:rFonts w:asciiTheme="minorHAnsi" w:eastAsiaTheme="minorEastAsia" w:hAnsiTheme="minorHAnsi" w:cstheme="minorBidi"/>
                <w:noProof/>
                <w:lang w:eastAsia="cs-CZ"/>
              </w:rPr>
              <w:tab/>
            </w:r>
            <w:r w:rsidR="008052DB" w:rsidRPr="000363C9">
              <w:rPr>
                <w:rStyle w:val="Hypertextovodkaz"/>
                <w:noProof/>
              </w:rPr>
              <w:t>Ukazatele zadluženosti</w:t>
            </w:r>
            <w:r w:rsidR="008052DB">
              <w:rPr>
                <w:noProof/>
                <w:webHidden/>
              </w:rPr>
              <w:tab/>
            </w:r>
            <w:r w:rsidR="008052DB">
              <w:rPr>
                <w:noProof/>
                <w:webHidden/>
              </w:rPr>
              <w:fldChar w:fldCharType="begin"/>
            </w:r>
            <w:r w:rsidR="008052DB">
              <w:rPr>
                <w:noProof/>
                <w:webHidden/>
              </w:rPr>
              <w:instrText xml:space="preserve"> PAGEREF _Toc353439353 \h </w:instrText>
            </w:r>
            <w:r w:rsidR="008052DB">
              <w:rPr>
                <w:noProof/>
                <w:webHidden/>
              </w:rPr>
            </w:r>
            <w:r w:rsidR="008052DB">
              <w:rPr>
                <w:noProof/>
                <w:webHidden/>
              </w:rPr>
              <w:fldChar w:fldCharType="separate"/>
            </w:r>
            <w:r w:rsidR="002534BA">
              <w:rPr>
                <w:noProof/>
                <w:webHidden/>
              </w:rPr>
              <w:t>12</w:t>
            </w:r>
            <w:r w:rsidR="008052DB">
              <w:rPr>
                <w:noProof/>
                <w:webHidden/>
              </w:rPr>
              <w:fldChar w:fldCharType="end"/>
            </w:r>
          </w:hyperlink>
        </w:p>
        <w:p w:rsidR="008052DB" w:rsidRDefault="00C96C2B">
          <w:pPr>
            <w:pStyle w:val="Obsah3"/>
            <w:rPr>
              <w:rFonts w:asciiTheme="minorHAnsi" w:eastAsiaTheme="minorEastAsia" w:hAnsiTheme="minorHAnsi" w:cstheme="minorBidi"/>
              <w:noProof/>
              <w:lang w:eastAsia="cs-CZ"/>
            </w:rPr>
          </w:pPr>
          <w:hyperlink w:anchor="_Toc353439354" w:history="1">
            <w:r w:rsidR="008052DB" w:rsidRPr="000363C9">
              <w:rPr>
                <w:rStyle w:val="Hypertextovodkaz"/>
                <w:noProof/>
              </w:rPr>
              <w:t>3.2.4</w:t>
            </w:r>
            <w:r w:rsidR="008052DB">
              <w:rPr>
                <w:rFonts w:asciiTheme="minorHAnsi" w:eastAsiaTheme="minorEastAsia" w:hAnsiTheme="minorHAnsi" w:cstheme="minorBidi"/>
                <w:noProof/>
                <w:lang w:eastAsia="cs-CZ"/>
              </w:rPr>
              <w:tab/>
            </w:r>
            <w:r w:rsidR="008052DB" w:rsidRPr="000363C9">
              <w:rPr>
                <w:rStyle w:val="Hypertextovodkaz"/>
                <w:noProof/>
              </w:rPr>
              <w:t>Řízení pohledávek</w:t>
            </w:r>
            <w:r w:rsidR="008052DB">
              <w:rPr>
                <w:noProof/>
                <w:webHidden/>
              </w:rPr>
              <w:tab/>
            </w:r>
            <w:r w:rsidR="008052DB">
              <w:rPr>
                <w:noProof/>
                <w:webHidden/>
              </w:rPr>
              <w:fldChar w:fldCharType="begin"/>
            </w:r>
            <w:r w:rsidR="008052DB">
              <w:rPr>
                <w:noProof/>
                <w:webHidden/>
              </w:rPr>
              <w:instrText xml:space="preserve"> PAGEREF _Toc353439354 \h </w:instrText>
            </w:r>
            <w:r w:rsidR="008052DB">
              <w:rPr>
                <w:noProof/>
                <w:webHidden/>
              </w:rPr>
            </w:r>
            <w:r w:rsidR="008052DB">
              <w:rPr>
                <w:noProof/>
                <w:webHidden/>
              </w:rPr>
              <w:fldChar w:fldCharType="separate"/>
            </w:r>
            <w:r w:rsidR="002534BA">
              <w:rPr>
                <w:noProof/>
                <w:webHidden/>
              </w:rPr>
              <w:t>13</w:t>
            </w:r>
            <w:r w:rsidR="008052DB">
              <w:rPr>
                <w:noProof/>
                <w:webHidden/>
              </w:rPr>
              <w:fldChar w:fldCharType="end"/>
            </w:r>
          </w:hyperlink>
        </w:p>
        <w:p w:rsidR="008052DB" w:rsidRDefault="00C96C2B">
          <w:pPr>
            <w:pStyle w:val="Obsah2"/>
            <w:rPr>
              <w:rFonts w:asciiTheme="minorHAnsi" w:eastAsiaTheme="minorEastAsia" w:hAnsiTheme="minorHAnsi" w:cstheme="minorBidi"/>
              <w:lang w:eastAsia="cs-CZ"/>
            </w:rPr>
          </w:pPr>
          <w:hyperlink w:anchor="_Toc353439355" w:history="1">
            <w:r w:rsidR="008052DB" w:rsidRPr="000363C9">
              <w:rPr>
                <w:rStyle w:val="Hypertextovodkaz"/>
              </w:rPr>
              <w:t>3.3</w:t>
            </w:r>
            <w:r w:rsidR="008052DB">
              <w:rPr>
                <w:rFonts w:asciiTheme="minorHAnsi" w:eastAsiaTheme="minorEastAsia" w:hAnsiTheme="minorHAnsi" w:cstheme="minorBidi"/>
                <w:lang w:eastAsia="cs-CZ"/>
              </w:rPr>
              <w:tab/>
            </w:r>
            <w:r w:rsidR="008052DB" w:rsidRPr="000363C9">
              <w:rPr>
                <w:rStyle w:val="Hypertextovodkaz"/>
              </w:rPr>
              <w:t>ČISTÝ PRACOVNÍ KAPITÁL</w:t>
            </w:r>
            <w:r w:rsidR="008052DB">
              <w:rPr>
                <w:webHidden/>
              </w:rPr>
              <w:tab/>
            </w:r>
            <w:r w:rsidR="008052DB">
              <w:rPr>
                <w:webHidden/>
              </w:rPr>
              <w:fldChar w:fldCharType="begin"/>
            </w:r>
            <w:r w:rsidR="008052DB">
              <w:rPr>
                <w:webHidden/>
              </w:rPr>
              <w:instrText xml:space="preserve"> PAGEREF _Toc353439355 \h </w:instrText>
            </w:r>
            <w:r w:rsidR="008052DB">
              <w:rPr>
                <w:webHidden/>
              </w:rPr>
            </w:r>
            <w:r w:rsidR="008052DB">
              <w:rPr>
                <w:webHidden/>
              </w:rPr>
              <w:fldChar w:fldCharType="separate"/>
            </w:r>
            <w:r w:rsidR="002534BA">
              <w:rPr>
                <w:webHidden/>
              </w:rPr>
              <w:t>14</w:t>
            </w:r>
            <w:r w:rsidR="008052DB">
              <w:rPr>
                <w:webHidden/>
              </w:rPr>
              <w:fldChar w:fldCharType="end"/>
            </w:r>
          </w:hyperlink>
        </w:p>
        <w:p w:rsidR="008052DB" w:rsidRDefault="00C96C2B">
          <w:pPr>
            <w:pStyle w:val="Obsah2"/>
            <w:rPr>
              <w:rFonts w:asciiTheme="minorHAnsi" w:eastAsiaTheme="minorEastAsia" w:hAnsiTheme="minorHAnsi" w:cstheme="minorBidi"/>
              <w:lang w:eastAsia="cs-CZ"/>
            </w:rPr>
          </w:pPr>
          <w:hyperlink w:anchor="_Toc353439356" w:history="1">
            <w:r w:rsidR="008052DB" w:rsidRPr="000363C9">
              <w:rPr>
                <w:rStyle w:val="Hypertextovodkaz"/>
              </w:rPr>
              <w:t>3.4</w:t>
            </w:r>
            <w:r w:rsidR="008052DB">
              <w:rPr>
                <w:rFonts w:asciiTheme="minorHAnsi" w:eastAsiaTheme="minorEastAsia" w:hAnsiTheme="minorHAnsi" w:cstheme="minorBidi"/>
                <w:lang w:eastAsia="cs-CZ"/>
              </w:rPr>
              <w:tab/>
            </w:r>
            <w:r w:rsidR="008052DB" w:rsidRPr="000363C9">
              <w:rPr>
                <w:rStyle w:val="Hypertextovodkaz"/>
              </w:rPr>
              <w:t>FAKTORY, KTERÉ OVLIVŇUJÍ MAJETKOVOU STRUKTURU PODNIKU</w:t>
            </w:r>
            <w:r w:rsidR="008052DB">
              <w:rPr>
                <w:webHidden/>
              </w:rPr>
              <w:tab/>
            </w:r>
            <w:r w:rsidR="008052DB">
              <w:rPr>
                <w:webHidden/>
              </w:rPr>
              <w:fldChar w:fldCharType="begin"/>
            </w:r>
            <w:r w:rsidR="008052DB">
              <w:rPr>
                <w:webHidden/>
              </w:rPr>
              <w:instrText xml:space="preserve"> PAGEREF _Toc353439356 \h </w:instrText>
            </w:r>
            <w:r w:rsidR="008052DB">
              <w:rPr>
                <w:webHidden/>
              </w:rPr>
            </w:r>
            <w:r w:rsidR="008052DB">
              <w:rPr>
                <w:webHidden/>
              </w:rPr>
              <w:fldChar w:fldCharType="separate"/>
            </w:r>
            <w:r w:rsidR="002534BA">
              <w:rPr>
                <w:webHidden/>
              </w:rPr>
              <w:t>15</w:t>
            </w:r>
            <w:r w:rsidR="008052DB">
              <w:rPr>
                <w:webHidden/>
              </w:rPr>
              <w:fldChar w:fldCharType="end"/>
            </w:r>
          </w:hyperlink>
        </w:p>
        <w:p w:rsidR="008052DB" w:rsidRDefault="00C96C2B">
          <w:pPr>
            <w:pStyle w:val="Obsah3"/>
            <w:rPr>
              <w:rFonts w:asciiTheme="minorHAnsi" w:eastAsiaTheme="minorEastAsia" w:hAnsiTheme="minorHAnsi" w:cstheme="minorBidi"/>
              <w:noProof/>
              <w:lang w:eastAsia="cs-CZ"/>
            </w:rPr>
          </w:pPr>
          <w:hyperlink w:anchor="_Toc353439357" w:history="1">
            <w:r w:rsidR="008052DB" w:rsidRPr="000363C9">
              <w:rPr>
                <w:rStyle w:val="Hypertextovodkaz"/>
                <w:noProof/>
              </w:rPr>
              <w:t>3.4.1</w:t>
            </w:r>
            <w:r w:rsidR="008052DB">
              <w:rPr>
                <w:rFonts w:asciiTheme="minorHAnsi" w:eastAsiaTheme="minorEastAsia" w:hAnsiTheme="minorHAnsi" w:cstheme="minorBidi"/>
                <w:noProof/>
                <w:lang w:eastAsia="cs-CZ"/>
              </w:rPr>
              <w:tab/>
            </w:r>
            <w:r w:rsidR="008052DB" w:rsidRPr="000363C9">
              <w:rPr>
                <w:rStyle w:val="Hypertextovodkaz"/>
                <w:noProof/>
              </w:rPr>
              <w:t>Oceňování a odpisování majetku</w:t>
            </w:r>
            <w:r w:rsidR="008052DB">
              <w:rPr>
                <w:noProof/>
                <w:webHidden/>
              </w:rPr>
              <w:tab/>
            </w:r>
            <w:r w:rsidR="008052DB">
              <w:rPr>
                <w:noProof/>
                <w:webHidden/>
              </w:rPr>
              <w:fldChar w:fldCharType="begin"/>
            </w:r>
            <w:r w:rsidR="008052DB">
              <w:rPr>
                <w:noProof/>
                <w:webHidden/>
              </w:rPr>
              <w:instrText xml:space="preserve"> PAGEREF _Toc353439357 \h </w:instrText>
            </w:r>
            <w:r w:rsidR="008052DB">
              <w:rPr>
                <w:noProof/>
                <w:webHidden/>
              </w:rPr>
            </w:r>
            <w:r w:rsidR="008052DB">
              <w:rPr>
                <w:noProof/>
                <w:webHidden/>
              </w:rPr>
              <w:fldChar w:fldCharType="separate"/>
            </w:r>
            <w:r w:rsidR="002534BA">
              <w:rPr>
                <w:noProof/>
                <w:webHidden/>
              </w:rPr>
              <w:t>15</w:t>
            </w:r>
            <w:r w:rsidR="008052DB">
              <w:rPr>
                <w:noProof/>
                <w:webHidden/>
              </w:rPr>
              <w:fldChar w:fldCharType="end"/>
            </w:r>
          </w:hyperlink>
        </w:p>
        <w:p w:rsidR="008052DB" w:rsidRDefault="00C96C2B">
          <w:pPr>
            <w:pStyle w:val="Obsah3"/>
            <w:rPr>
              <w:rFonts w:asciiTheme="minorHAnsi" w:eastAsiaTheme="minorEastAsia" w:hAnsiTheme="minorHAnsi" w:cstheme="minorBidi"/>
              <w:noProof/>
              <w:lang w:eastAsia="cs-CZ"/>
            </w:rPr>
          </w:pPr>
          <w:hyperlink w:anchor="_Toc353439358" w:history="1">
            <w:r w:rsidR="008052DB" w:rsidRPr="000363C9">
              <w:rPr>
                <w:rStyle w:val="Hypertextovodkaz"/>
                <w:noProof/>
              </w:rPr>
              <w:t>3.4.2</w:t>
            </w:r>
            <w:r w:rsidR="008052DB">
              <w:rPr>
                <w:rFonts w:asciiTheme="minorHAnsi" w:eastAsiaTheme="minorEastAsia" w:hAnsiTheme="minorHAnsi" w:cstheme="minorBidi"/>
                <w:noProof/>
                <w:lang w:eastAsia="cs-CZ"/>
              </w:rPr>
              <w:tab/>
            </w:r>
            <w:r w:rsidR="008052DB" w:rsidRPr="000363C9">
              <w:rPr>
                <w:rStyle w:val="Hypertextovodkaz"/>
                <w:noProof/>
              </w:rPr>
              <w:t>Způsob pořizování majetku</w:t>
            </w:r>
            <w:r w:rsidR="008052DB">
              <w:rPr>
                <w:noProof/>
                <w:webHidden/>
              </w:rPr>
              <w:tab/>
            </w:r>
            <w:r w:rsidR="008052DB">
              <w:rPr>
                <w:noProof/>
                <w:webHidden/>
              </w:rPr>
              <w:fldChar w:fldCharType="begin"/>
            </w:r>
            <w:r w:rsidR="008052DB">
              <w:rPr>
                <w:noProof/>
                <w:webHidden/>
              </w:rPr>
              <w:instrText xml:space="preserve"> PAGEREF _Toc353439358 \h </w:instrText>
            </w:r>
            <w:r w:rsidR="008052DB">
              <w:rPr>
                <w:noProof/>
                <w:webHidden/>
              </w:rPr>
            </w:r>
            <w:r w:rsidR="008052DB">
              <w:rPr>
                <w:noProof/>
                <w:webHidden/>
              </w:rPr>
              <w:fldChar w:fldCharType="separate"/>
            </w:r>
            <w:r w:rsidR="002534BA">
              <w:rPr>
                <w:noProof/>
                <w:webHidden/>
              </w:rPr>
              <w:t>16</w:t>
            </w:r>
            <w:r w:rsidR="008052DB">
              <w:rPr>
                <w:noProof/>
                <w:webHidden/>
              </w:rPr>
              <w:fldChar w:fldCharType="end"/>
            </w:r>
          </w:hyperlink>
        </w:p>
        <w:p w:rsidR="008052DB" w:rsidRDefault="00C96C2B">
          <w:pPr>
            <w:pStyle w:val="Obsah3"/>
            <w:rPr>
              <w:rFonts w:asciiTheme="minorHAnsi" w:eastAsiaTheme="minorEastAsia" w:hAnsiTheme="minorHAnsi" w:cstheme="minorBidi"/>
              <w:noProof/>
              <w:lang w:eastAsia="cs-CZ"/>
            </w:rPr>
          </w:pPr>
          <w:hyperlink w:anchor="_Toc353439359" w:history="1">
            <w:r w:rsidR="008052DB" w:rsidRPr="000363C9">
              <w:rPr>
                <w:rStyle w:val="Hypertextovodkaz"/>
                <w:noProof/>
              </w:rPr>
              <w:t>3.4.3</w:t>
            </w:r>
            <w:r w:rsidR="008052DB">
              <w:rPr>
                <w:rFonts w:asciiTheme="minorHAnsi" w:eastAsiaTheme="minorEastAsia" w:hAnsiTheme="minorHAnsi" w:cstheme="minorBidi"/>
                <w:noProof/>
                <w:lang w:eastAsia="cs-CZ"/>
              </w:rPr>
              <w:tab/>
            </w:r>
            <w:r w:rsidR="008052DB" w:rsidRPr="000363C9">
              <w:rPr>
                <w:rStyle w:val="Hypertextovodkaz"/>
                <w:noProof/>
              </w:rPr>
              <w:t>Technická náročnost výroby</w:t>
            </w:r>
            <w:r w:rsidR="008052DB">
              <w:rPr>
                <w:noProof/>
                <w:webHidden/>
              </w:rPr>
              <w:tab/>
            </w:r>
            <w:r w:rsidR="008052DB">
              <w:rPr>
                <w:noProof/>
                <w:webHidden/>
              </w:rPr>
              <w:fldChar w:fldCharType="begin"/>
            </w:r>
            <w:r w:rsidR="008052DB">
              <w:rPr>
                <w:noProof/>
                <w:webHidden/>
              </w:rPr>
              <w:instrText xml:space="preserve"> PAGEREF _Toc353439359 \h </w:instrText>
            </w:r>
            <w:r w:rsidR="008052DB">
              <w:rPr>
                <w:noProof/>
                <w:webHidden/>
              </w:rPr>
            </w:r>
            <w:r w:rsidR="008052DB">
              <w:rPr>
                <w:noProof/>
                <w:webHidden/>
              </w:rPr>
              <w:fldChar w:fldCharType="separate"/>
            </w:r>
            <w:r w:rsidR="002534BA">
              <w:rPr>
                <w:noProof/>
                <w:webHidden/>
              </w:rPr>
              <w:t>17</w:t>
            </w:r>
            <w:r w:rsidR="008052DB">
              <w:rPr>
                <w:noProof/>
                <w:webHidden/>
              </w:rPr>
              <w:fldChar w:fldCharType="end"/>
            </w:r>
          </w:hyperlink>
        </w:p>
        <w:p w:rsidR="008052DB" w:rsidRDefault="00C96C2B">
          <w:pPr>
            <w:pStyle w:val="Obsah3"/>
            <w:rPr>
              <w:rFonts w:asciiTheme="minorHAnsi" w:eastAsiaTheme="minorEastAsia" w:hAnsiTheme="minorHAnsi" w:cstheme="minorBidi"/>
              <w:noProof/>
              <w:lang w:eastAsia="cs-CZ"/>
            </w:rPr>
          </w:pPr>
          <w:hyperlink w:anchor="_Toc353439360" w:history="1">
            <w:r w:rsidR="008052DB" w:rsidRPr="000363C9">
              <w:rPr>
                <w:rStyle w:val="Hypertextovodkaz"/>
                <w:noProof/>
              </w:rPr>
              <w:t>3.4.4</w:t>
            </w:r>
            <w:r w:rsidR="008052DB">
              <w:rPr>
                <w:rFonts w:asciiTheme="minorHAnsi" w:eastAsiaTheme="minorEastAsia" w:hAnsiTheme="minorHAnsi" w:cstheme="minorBidi"/>
                <w:noProof/>
                <w:lang w:eastAsia="cs-CZ"/>
              </w:rPr>
              <w:tab/>
            </w:r>
            <w:r w:rsidR="008052DB" w:rsidRPr="000363C9">
              <w:rPr>
                <w:rStyle w:val="Hypertextovodkaz"/>
                <w:noProof/>
              </w:rPr>
              <w:t>Doba inkasa pohledávek a doba splácení závazků</w:t>
            </w:r>
            <w:r w:rsidR="008052DB">
              <w:rPr>
                <w:noProof/>
                <w:webHidden/>
              </w:rPr>
              <w:tab/>
            </w:r>
            <w:r w:rsidR="008052DB">
              <w:rPr>
                <w:noProof/>
                <w:webHidden/>
              </w:rPr>
              <w:fldChar w:fldCharType="begin"/>
            </w:r>
            <w:r w:rsidR="008052DB">
              <w:rPr>
                <w:noProof/>
                <w:webHidden/>
              </w:rPr>
              <w:instrText xml:space="preserve"> PAGEREF _Toc353439360 \h </w:instrText>
            </w:r>
            <w:r w:rsidR="008052DB">
              <w:rPr>
                <w:noProof/>
                <w:webHidden/>
              </w:rPr>
            </w:r>
            <w:r w:rsidR="008052DB">
              <w:rPr>
                <w:noProof/>
                <w:webHidden/>
              </w:rPr>
              <w:fldChar w:fldCharType="separate"/>
            </w:r>
            <w:r w:rsidR="002534BA">
              <w:rPr>
                <w:noProof/>
                <w:webHidden/>
              </w:rPr>
              <w:t>17</w:t>
            </w:r>
            <w:r w:rsidR="008052DB">
              <w:rPr>
                <w:noProof/>
                <w:webHidden/>
              </w:rPr>
              <w:fldChar w:fldCharType="end"/>
            </w:r>
          </w:hyperlink>
        </w:p>
        <w:p w:rsidR="008052DB" w:rsidRDefault="00C96C2B">
          <w:pPr>
            <w:pStyle w:val="Obsah1"/>
            <w:rPr>
              <w:rFonts w:asciiTheme="minorHAnsi" w:eastAsiaTheme="minorEastAsia" w:hAnsiTheme="minorHAnsi" w:cstheme="minorBidi"/>
              <w:noProof/>
              <w:sz w:val="22"/>
              <w:lang w:eastAsia="cs-CZ"/>
            </w:rPr>
          </w:pPr>
          <w:hyperlink w:anchor="_Toc353439361" w:history="1">
            <w:r w:rsidR="008052DB" w:rsidRPr="000363C9">
              <w:rPr>
                <w:rStyle w:val="Hypertextovodkaz"/>
                <w:noProof/>
              </w:rPr>
              <w:t>4</w:t>
            </w:r>
            <w:r w:rsidR="008052DB">
              <w:rPr>
                <w:rFonts w:asciiTheme="minorHAnsi" w:eastAsiaTheme="minorEastAsia" w:hAnsiTheme="minorHAnsi" w:cstheme="minorBidi"/>
                <w:noProof/>
                <w:sz w:val="22"/>
                <w:lang w:eastAsia="cs-CZ"/>
              </w:rPr>
              <w:tab/>
            </w:r>
            <w:r w:rsidR="008052DB" w:rsidRPr="000363C9">
              <w:rPr>
                <w:rStyle w:val="Hypertextovodkaz"/>
                <w:noProof/>
              </w:rPr>
              <w:t>ROZBOR A KOMPARACE MAJEKOVÉ STRUKTURY SPOLEČNOSTI KOVOVÝROBA s. r. o. a SPOLEČNOSTI Q – MONT s. r. o.</w:t>
            </w:r>
            <w:r w:rsidR="008052DB">
              <w:rPr>
                <w:noProof/>
                <w:webHidden/>
              </w:rPr>
              <w:tab/>
            </w:r>
            <w:r w:rsidR="008052DB">
              <w:rPr>
                <w:noProof/>
                <w:webHidden/>
              </w:rPr>
              <w:fldChar w:fldCharType="begin"/>
            </w:r>
            <w:r w:rsidR="008052DB">
              <w:rPr>
                <w:noProof/>
                <w:webHidden/>
              </w:rPr>
              <w:instrText xml:space="preserve"> PAGEREF _Toc353439361 \h </w:instrText>
            </w:r>
            <w:r w:rsidR="008052DB">
              <w:rPr>
                <w:noProof/>
                <w:webHidden/>
              </w:rPr>
            </w:r>
            <w:r w:rsidR="008052DB">
              <w:rPr>
                <w:noProof/>
                <w:webHidden/>
              </w:rPr>
              <w:fldChar w:fldCharType="separate"/>
            </w:r>
            <w:r w:rsidR="002534BA">
              <w:rPr>
                <w:noProof/>
                <w:webHidden/>
              </w:rPr>
              <w:t>19</w:t>
            </w:r>
            <w:r w:rsidR="008052DB">
              <w:rPr>
                <w:noProof/>
                <w:webHidden/>
              </w:rPr>
              <w:fldChar w:fldCharType="end"/>
            </w:r>
          </w:hyperlink>
        </w:p>
        <w:p w:rsidR="008052DB" w:rsidRDefault="00C96C2B">
          <w:pPr>
            <w:pStyle w:val="Obsah2"/>
            <w:rPr>
              <w:rFonts w:asciiTheme="minorHAnsi" w:eastAsiaTheme="minorEastAsia" w:hAnsiTheme="minorHAnsi" w:cstheme="minorBidi"/>
              <w:lang w:eastAsia="cs-CZ"/>
            </w:rPr>
          </w:pPr>
          <w:hyperlink w:anchor="_Toc353439362" w:history="1">
            <w:r w:rsidR="008052DB" w:rsidRPr="000363C9">
              <w:rPr>
                <w:rStyle w:val="Hypertextovodkaz"/>
              </w:rPr>
              <w:t>4.1</w:t>
            </w:r>
            <w:r w:rsidR="008052DB">
              <w:rPr>
                <w:rFonts w:asciiTheme="minorHAnsi" w:eastAsiaTheme="minorEastAsia" w:hAnsiTheme="minorHAnsi" w:cstheme="minorBidi"/>
                <w:lang w:eastAsia="cs-CZ"/>
              </w:rPr>
              <w:tab/>
            </w:r>
            <w:r w:rsidR="008052DB" w:rsidRPr="000363C9">
              <w:rPr>
                <w:rStyle w:val="Hypertextovodkaz"/>
              </w:rPr>
              <w:t>SPOLEČNOST KOVOVÝROBA s. r. o.</w:t>
            </w:r>
            <w:r w:rsidR="008052DB">
              <w:rPr>
                <w:webHidden/>
              </w:rPr>
              <w:tab/>
            </w:r>
            <w:r w:rsidR="008052DB">
              <w:rPr>
                <w:webHidden/>
              </w:rPr>
              <w:fldChar w:fldCharType="begin"/>
            </w:r>
            <w:r w:rsidR="008052DB">
              <w:rPr>
                <w:webHidden/>
              </w:rPr>
              <w:instrText xml:space="preserve"> PAGEREF _Toc353439362 \h </w:instrText>
            </w:r>
            <w:r w:rsidR="008052DB">
              <w:rPr>
                <w:webHidden/>
              </w:rPr>
            </w:r>
            <w:r w:rsidR="008052DB">
              <w:rPr>
                <w:webHidden/>
              </w:rPr>
              <w:fldChar w:fldCharType="separate"/>
            </w:r>
            <w:r w:rsidR="002534BA">
              <w:rPr>
                <w:webHidden/>
              </w:rPr>
              <w:t>19</w:t>
            </w:r>
            <w:r w:rsidR="008052DB">
              <w:rPr>
                <w:webHidden/>
              </w:rPr>
              <w:fldChar w:fldCharType="end"/>
            </w:r>
          </w:hyperlink>
        </w:p>
        <w:p w:rsidR="008052DB" w:rsidRDefault="00C96C2B">
          <w:pPr>
            <w:pStyle w:val="Obsah3"/>
            <w:rPr>
              <w:rFonts w:asciiTheme="minorHAnsi" w:eastAsiaTheme="minorEastAsia" w:hAnsiTheme="minorHAnsi" w:cstheme="minorBidi"/>
              <w:noProof/>
              <w:lang w:eastAsia="cs-CZ"/>
            </w:rPr>
          </w:pPr>
          <w:hyperlink w:anchor="_Toc353439363" w:history="1">
            <w:r w:rsidR="008052DB" w:rsidRPr="000363C9">
              <w:rPr>
                <w:rStyle w:val="Hypertextovodkaz"/>
                <w:noProof/>
              </w:rPr>
              <w:t>4.1.1</w:t>
            </w:r>
            <w:r w:rsidR="008052DB">
              <w:rPr>
                <w:rFonts w:asciiTheme="minorHAnsi" w:eastAsiaTheme="minorEastAsia" w:hAnsiTheme="minorHAnsi" w:cstheme="minorBidi"/>
                <w:noProof/>
                <w:lang w:eastAsia="cs-CZ"/>
              </w:rPr>
              <w:tab/>
            </w:r>
            <w:r w:rsidR="008052DB" w:rsidRPr="000363C9">
              <w:rPr>
                <w:rStyle w:val="Hypertextovodkaz"/>
                <w:noProof/>
              </w:rPr>
              <w:t>Rozbor složek majetku</w:t>
            </w:r>
            <w:r w:rsidR="008052DB">
              <w:rPr>
                <w:noProof/>
                <w:webHidden/>
              </w:rPr>
              <w:tab/>
            </w:r>
            <w:r w:rsidR="008052DB">
              <w:rPr>
                <w:noProof/>
                <w:webHidden/>
              </w:rPr>
              <w:fldChar w:fldCharType="begin"/>
            </w:r>
            <w:r w:rsidR="008052DB">
              <w:rPr>
                <w:noProof/>
                <w:webHidden/>
              </w:rPr>
              <w:instrText xml:space="preserve"> PAGEREF _Toc353439363 \h </w:instrText>
            </w:r>
            <w:r w:rsidR="008052DB">
              <w:rPr>
                <w:noProof/>
                <w:webHidden/>
              </w:rPr>
            </w:r>
            <w:r w:rsidR="008052DB">
              <w:rPr>
                <w:noProof/>
                <w:webHidden/>
              </w:rPr>
              <w:fldChar w:fldCharType="separate"/>
            </w:r>
            <w:r w:rsidR="002534BA">
              <w:rPr>
                <w:noProof/>
                <w:webHidden/>
              </w:rPr>
              <w:t>20</w:t>
            </w:r>
            <w:r w:rsidR="008052DB">
              <w:rPr>
                <w:noProof/>
                <w:webHidden/>
              </w:rPr>
              <w:fldChar w:fldCharType="end"/>
            </w:r>
          </w:hyperlink>
        </w:p>
        <w:p w:rsidR="008052DB" w:rsidRDefault="00C96C2B">
          <w:pPr>
            <w:pStyle w:val="Obsah3"/>
            <w:rPr>
              <w:rFonts w:asciiTheme="minorHAnsi" w:eastAsiaTheme="minorEastAsia" w:hAnsiTheme="minorHAnsi" w:cstheme="minorBidi"/>
              <w:noProof/>
              <w:lang w:eastAsia="cs-CZ"/>
            </w:rPr>
          </w:pPr>
          <w:hyperlink w:anchor="_Toc353439364" w:history="1">
            <w:r w:rsidR="008052DB" w:rsidRPr="000363C9">
              <w:rPr>
                <w:rStyle w:val="Hypertextovodkaz"/>
                <w:noProof/>
              </w:rPr>
              <w:t>4.1.2</w:t>
            </w:r>
            <w:r w:rsidR="008052DB">
              <w:rPr>
                <w:rFonts w:asciiTheme="minorHAnsi" w:eastAsiaTheme="minorEastAsia" w:hAnsiTheme="minorHAnsi" w:cstheme="minorBidi"/>
                <w:noProof/>
                <w:lang w:eastAsia="cs-CZ"/>
              </w:rPr>
              <w:tab/>
            </w:r>
            <w:r w:rsidR="008052DB" w:rsidRPr="000363C9">
              <w:rPr>
                <w:rStyle w:val="Hypertextovodkaz"/>
                <w:noProof/>
              </w:rPr>
              <w:t>Ukazatele likvidity</w:t>
            </w:r>
            <w:r w:rsidR="008052DB">
              <w:rPr>
                <w:noProof/>
                <w:webHidden/>
              </w:rPr>
              <w:tab/>
            </w:r>
            <w:r w:rsidR="008052DB">
              <w:rPr>
                <w:noProof/>
                <w:webHidden/>
              </w:rPr>
              <w:fldChar w:fldCharType="begin"/>
            </w:r>
            <w:r w:rsidR="008052DB">
              <w:rPr>
                <w:noProof/>
                <w:webHidden/>
              </w:rPr>
              <w:instrText xml:space="preserve"> PAGEREF _Toc353439364 \h </w:instrText>
            </w:r>
            <w:r w:rsidR="008052DB">
              <w:rPr>
                <w:noProof/>
                <w:webHidden/>
              </w:rPr>
            </w:r>
            <w:r w:rsidR="008052DB">
              <w:rPr>
                <w:noProof/>
                <w:webHidden/>
              </w:rPr>
              <w:fldChar w:fldCharType="separate"/>
            </w:r>
            <w:r w:rsidR="002534BA">
              <w:rPr>
                <w:noProof/>
                <w:webHidden/>
              </w:rPr>
              <w:t>24</w:t>
            </w:r>
            <w:r w:rsidR="008052DB">
              <w:rPr>
                <w:noProof/>
                <w:webHidden/>
              </w:rPr>
              <w:fldChar w:fldCharType="end"/>
            </w:r>
          </w:hyperlink>
        </w:p>
        <w:p w:rsidR="008052DB" w:rsidRDefault="00C96C2B">
          <w:pPr>
            <w:pStyle w:val="Obsah3"/>
            <w:rPr>
              <w:rFonts w:asciiTheme="minorHAnsi" w:eastAsiaTheme="minorEastAsia" w:hAnsiTheme="minorHAnsi" w:cstheme="minorBidi"/>
              <w:noProof/>
              <w:lang w:eastAsia="cs-CZ"/>
            </w:rPr>
          </w:pPr>
          <w:hyperlink w:anchor="_Toc353439365" w:history="1">
            <w:r w:rsidR="008052DB" w:rsidRPr="000363C9">
              <w:rPr>
                <w:rStyle w:val="Hypertextovodkaz"/>
                <w:noProof/>
              </w:rPr>
              <w:t>4.1.3</w:t>
            </w:r>
            <w:r w:rsidR="008052DB">
              <w:rPr>
                <w:rFonts w:asciiTheme="minorHAnsi" w:eastAsiaTheme="minorEastAsia" w:hAnsiTheme="minorHAnsi" w:cstheme="minorBidi"/>
                <w:noProof/>
                <w:lang w:eastAsia="cs-CZ"/>
              </w:rPr>
              <w:tab/>
            </w:r>
            <w:r w:rsidR="008052DB" w:rsidRPr="000363C9">
              <w:rPr>
                <w:rStyle w:val="Hypertextovodkaz"/>
                <w:noProof/>
              </w:rPr>
              <w:t>Ukazatele aktivity</w:t>
            </w:r>
            <w:r w:rsidR="008052DB">
              <w:rPr>
                <w:noProof/>
                <w:webHidden/>
              </w:rPr>
              <w:tab/>
            </w:r>
            <w:r w:rsidR="008052DB">
              <w:rPr>
                <w:noProof/>
                <w:webHidden/>
              </w:rPr>
              <w:fldChar w:fldCharType="begin"/>
            </w:r>
            <w:r w:rsidR="008052DB">
              <w:rPr>
                <w:noProof/>
                <w:webHidden/>
              </w:rPr>
              <w:instrText xml:space="preserve"> PAGEREF _Toc353439365 \h </w:instrText>
            </w:r>
            <w:r w:rsidR="008052DB">
              <w:rPr>
                <w:noProof/>
                <w:webHidden/>
              </w:rPr>
            </w:r>
            <w:r w:rsidR="008052DB">
              <w:rPr>
                <w:noProof/>
                <w:webHidden/>
              </w:rPr>
              <w:fldChar w:fldCharType="separate"/>
            </w:r>
            <w:r w:rsidR="002534BA">
              <w:rPr>
                <w:noProof/>
                <w:webHidden/>
              </w:rPr>
              <w:t>27</w:t>
            </w:r>
            <w:r w:rsidR="008052DB">
              <w:rPr>
                <w:noProof/>
                <w:webHidden/>
              </w:rPr>
              <w:fldChar w:fldCharType="end"/>
            </w:r>
          </w:hyperlink>
        </w:p>
        <w:p w:rsidR="008052DB" w:rsidRDefault="00C96C2B">
          <w:pPr>
            <w:pStyle w:val="Obsah3"/>
            <w:rPr>
              <w:rFonts w:asciiTheme="minorHAnsi" w:eastAsiaTheme="minorEastAsia" w:hAnsiTheme="minorHAnsi" w:cstheme="minorBidi"/>
              <w:noProof/>
              <w:lang w:eastAsia="cs-CZ"/>
            </w:rPr>
          </w:pPr>
          <w:hyperlink w:anchor="_Toc353439366" w:history="1">
            <w:r w:rsidR="008052DB" w:rsidRPr="000363C9">
              <w:rPr>
                <w:rStyle w:val="Hypertextovodkaz"/>
                <w:noProof/>
              </w:rPr>
              <w:t>4.1.4</w:t>
            </w:r>
            <w:r w:rsidR="008052DB">
              <w:rPr>
                <w:rFonts w:asciiTheme="minorHAnsi" w:eastAsiaTheme="minorEastAsia" w:hAnsiTheme="minorHAnsi" w:cstheme="minorBidi"/>
                <w:noProof/>
                <w:lang w:eastAsia="cs-CZ"/>
              </w:rPr>
              <w:tab/>
            </w:r>
            <w:r w:rsidR="008052DB" w:rsidRPr="000363C9">
              <w:rPr>
                <w:rStyle w:val="Hypertextovodkaz"/>
                <w:noProof/>
              </w:rPr>
              <w:t>Ukazatele zadluženosti</w:t>
            </w:r>
            <w:r w:rsidR="008052DB">
              <w:rPr>
                <w:noProof/>
                <w:webHidden/>
              </w:rPr>
              <w:tab/>
            </w:r>
            <w:r w:rsidR="008052DB">
              <w:rPr>
                <w:noProof/>
                <w:webHidden/>
              </w:rPr>
              <w:fldChar w:fldCharType="begin"/>
            </w:r>
            <w:r w:rsidR="008052DB">
              <w:rPr>
                <w:noProof/>
                <w:webHidden/>
              </w:rPr>
              <w:instrText xml:space="preserve"> PAGEREF _Toc353439366 \h </w:instrText>
            </w:r>
            <w:r w:rsidR="008052DB">
              <w:rPr>
                <w:noProof/>
                <w:webHidden/>
              </w:rPr>
            </w:r>
            <w:r w:rsidR="008052DB">
              <w:rPr>
                <w:noProof/>
                <w:webHidden/>
              </w:rPr>
              <w:fldChar w:fldCharType="separate"/>
            </w:r>
            <w:r w:rsidR="002534BA">
              <w:rPr>
                <w:noProof/>
                <w:webHidden/>
              </w:rPr>
              <w:t>30</w:t>
            </w:r>
            <w:r w:rsidR="008052DB">
              <w:rPr>
                <w:noProof/>
                <w:webHidden/>
              </w:rPr>
              <w:fldChar w:fldCharType="end"/>
            </w:r>
          </w:hyperlink>
        </w:p>
        <w:p w:rsidR="008052DB" w:rsidRDefault="00C96C2B">
          <w:pPr>
            <w:pStyle w:val="Obsah3"/>
            <w:rPr>
              <w:rFonts w:asciiTheme="minorHAnsi" w:eastAsiaTheme="minorEastAsia" w:hAnsiTheme="minorHAnsi" w:cstheme="minorBidi"/>
              <w:noProof/>
              <w:lang w:eastAsia="cs-CZ"/>
            </w:rPr>
          </w:pPr>
          <w:hyperlink w:anchor="_Toc353439367" w:history="1">
            <w:r w:rsidR="008052DB" w:rsidRPr="000363C9">
              <w:rPr>
                <w:rStyle w:val="Hypertextovodkaz"/>
                <w:noProof/>
              </w:rPr>
              <w:t>4.1.5</w:t>
            </w:r>
            <w:r w:rsidR="008052DB">
              <w:rPr>
                <w:rFonts w:asciiTheme="minorHAnsi" w:eastAsiaTheme="minorEastAsia" w:hAnsiTheme="minorHAnsi" w:cstheme="minorBidi"/>
                <w:noProof/>
                <w:lang w:eastAsia="cs-CZ"/>
              </w:rPr>
              <w:tab/>
            </w:r>
            <w:r w:rsidR="008052DB" w:rsidRPr="000363C9">
              <w:rPr>
                <w:rStyle w:val="Hypertextovodkaz"/>
                <w:noProof/>
              </w:rPr>
              <w:t>SHRNUTÍ – SPOLEČNOST KOVOVÝROBA s. r. o.</w:t>
            </w:r>
            <w:r w:rsidR="008052DB">
              <w:rPr>
                <w:noProof/>
                <w:webHidden/>
              </w:rPr>
              <w:tab/>
            </w:r>
            <w:r w:rsidR="008052DB">
              <w:rPr>
                <w:noProof/>
                <w:webHidden/>
              </w:rPr>
              <w:fldChar w:fldCharType="begin"/>
            </w:r>
            <w:r w:rsidR="008052DB">
              <w:rPr>
                <w:noProof/>
                <w:webHidden/>
              </w:rPr>
              <w:instrText xml:space="preserve"> PAGEREF _Toc353439367 \h </w:instrText>
            </w:r>
            <w:r w:rsidR="008052DB">
              <w:rPr>
                <w:noProof/>
                <w:webHidden/>
              </w:rPr>
            </w:r>
            <w:r w:rsidR="008052DB">
              <w:rPr>
                <w:noProof/>
                <w:webHidden/>
              </w:rPr>
              <w:fldChar w:fldCharType="separate"/>
            </w:r>
            <w:r w:rsidR="002534BA">
              <w:rPr>
                <w:noProof/>
                <w:webHidden/>
              </w:rPr>
              <w:t>31</w:t>
            </w:r>
            <w:r w:rsidR="008052DB">
              <w:rPr>
                <w:noProof/>
                <w:webHidden/>
              </w:rPr>
              <w:fldChar w:fldCharType="end"/>
            </w:r>
          </w:hyperlink>
        </w:p>
        <w:p w:rsidR="008052DB" w:rsidRDefault="00C96C2B">
          <w:pPr>
            <w:pStyle w:val="Obsah2"/>
            <w:rPr>
              <w:rFonts w:asciiTheme="minorHAnsi" w:eastAsiaTheme="minorEastAsia" w:hAnsiTheme="minorHAnsi" w:cstheme="minorBidi"/>
              <w:lang w:eastAsia="cs-CZ"/>
            </w:rPr>
          </w:pPr>
          <w:hyperlink w:anchor="_Toc353439368" w:history="1">
            <w:r w:rsidR="008052DB" w:rsidRPr="000363C9">
              <w:rPr>
                <w:rStyle w:val="Hypertextovodkaz"/>
              </w:rPr>
              <w:t>4.2</w:t>
            </w:r>
            <w:r w:rsidR="008052DB">
              <w:rPr>
                <w:rFonts w:asciiTheme="minorHAnsi" w:eastAsiaTheme="minorEastAsia" w:hAnsiTheme="minorHAnsi" w:cstheme="minorBidi"/>
                <w:lang w:eastAsia="cs-CZ"/>
              </w:rPr>
              <w:tab/>
            </w:r>
            <w:r w:rsidR="008052DB" w:rsidRPr="000363C9">
              <w:rPr>
                <w:rStyle w:val="Hypertextovodkaz"/>
              </w:rPr>
              <w:t>SPOLEČNOST Q – MONT s. r. o.</w:t>
            </w:r>
            <w:r w:rsidR="008052DB">
              <w:rPr>
                <w:webHidden/>
              </w:rPr>
              <w:tab/>
            </w:r>
            <w:r w:rsidR="008052DB">
              <w:rPr>
                <w:webHidden/>
              </w:rPr>
              <w:fldChar w:fldCharType="begin"/>
            </w:r>
            <w:r w:rsidR="008052DB">
              <w:rPr>
                <w:webHidden/>
              </w:rPr>
              <w:instrText xml:space="preserve"> PAGEREF _Toc353439368 \h </w:instrText>
            </w:r>
            <w:r w:rsidR="008052DB">
              <w:rPr>
                <w:webHidden/>
              </w:rPr>
            </w:r>
            <w:r w:rsidR="008052DB">
              <w:rPr>
                <w:webHidden/>
              </w:rPr>
              <w:fldChar w:fldCharType="separate"/>
            </w:r>
            <w:r w:rsidR="002534BA">
              <w:rPr>
                <w:webHidden/>
              </w:rPr>
              <w:t>32</w:t>
            </w:r>
            <w:r w:rsidR="008052DB">
              <w:rPr>
                <w:webHidden/>
              </w:rPr>
              <w:fldChar w:fldCharType="end"/>
            </w:r>
          </w:hyperlink>
        </w:p>
        <w:p w:rsidR="008052DB" w:rsidRDefault="00C96C2B">
          <w:pPr>
            <w:pStyle w:val="Obsah3"/>
            <w:rPr>
              <w:rFonts w:asciiTheme="minorHAnsi" w:eastAsiaTheme="minorEastAsia" w:hAnsiTheme="minorHAnsi" w:cstheme="minorBidi"/>
              <w:noProof/>
              <w:lang w:eastAsia="cs-CZ"/>
            </w:rPr>
          </w:pPr>
          <w:hyperlink w:anchor="_Toc353439369" w:history="1">
            <w:r w:rsidR="008052DB" w:rsidRPr="000363C9">
              <w:rPr>
                <w:rStyle w:val="Hypertextovodkaz"/>
                <w:noProof/>
              </w:rPr>
              <w:t>4.2.1</w:t>
            </w:r>
            <w:r w:rsidR="008052DB">
              <w:rPr>
                <w:rFonts w:asciiTheme="minorHAnsi" w:eastAsiaTheme="minorEastAsia" w:hAnsiTheme="minorHAnsi" w:cstheme="minorBidi"/>
                <w:noProof/>
                <w:lang w:eastAsia="cs-CZ"/>
              </w:rPr>
              <w:tab/>
            </w:r>
            <w:r w:rsidR="008052DB" w:rsidRPr="000363C9">
              <w:rPr>
                <w:rStyle w:val="Hypertextovodkaz"/>
                <w:noProof/>
              </w:rPr>
              <w:t>Rozbor složek majetku</w:t>
            </w:r>
            <w:r w:rsidR="008052DB">
              <w:rPr>
                <w:noProof/>
                <w:webHidden/>
              </w:rPr>
              <w:tab/>
            </w:r>
            <w:r w:rsidR="008052DB">
              <w:rPr>
                <w:noProof/>
                <w:webHidden/>
              </w:rPr>
              <w:fldChar w:fldCharType="begin"/>
            </w:r>
            <w:r w:rsidR="008052DB">
              <w:rPr>
                <w:noProof/>
                <w:webHidden/>
              </w:rPr>
              <w:instrText xml:space="preserve"> PAGEREF _Toc353439369 \h </w:instrText>
            </w:r>
            <w:r w:rsidR="008052DB">
              <w:rPr>
                <w:noProof/>
                <w:webHidden/>
              </w:rPr>
            </w:r>
            <w:r w:rsidR="008052DB">
              <w:rPr>
                <w:noProof/>
                <w:webHidden/>
              </w:rPr>
              <w:fldChar w:fldCharType="separate"/>
            </w:r>
            <w:r w:rsidR="002534BA">
              <w:rPr>
                <w:noProof/>
                <w:webHidden/>
              </w:rPr>
              <w:t>32</w:t>
            </w:r>
            <w:r w:rsidR="008052DB">
              <w:rPr>
                <w:noProof/>
                <w:webHidden/>
              </w:rPr>
              <w:fldChar w:fldCharType="end"/>
            </w:r>
          </w:hyperlink>
        </w:p>
        <w:p w:rsidR="008052DB" w:rsidRDefault="00C96C2B">
          <w:pPr>
            <w:pStyle w:val="Obsah3"/>
            <w:rPr>
              <w:rFonts w:asciiTheme="minorHAnsi" w:eastAsiaTheme="minorEastAsia" w:hAnsiTheme="minorHAnsi" w:cstheme="minorBidi"/>
              <w:noProof/>
              <w:lang w:eastAsia="cs-CZ"/>
            </w:rPr>
          </w:pPr>
          <w:hyperlink w:anchor="_Toc353439370" w:history="1">
            <w:r w:rsidR="008052DB" w:rsidRPr="000363C9">
              <w:rPr>
                <w:rStyle w:val="Hypertextovodkaz"/>
                <w:noProof/>
              </w:rPr>
              <w:t>4.2.2</w:t>
            </w:r>
            <w:r w:rsidR="008052DB">
              <w:rPr>
                <w:rFonts w:asciiTheme="minorHAnsi" w:eastAsiaTheme="minorEastAsia" w:hAnsiTheme="minorHAnsi" w:cstheme="minorBidi"/>
                <w:noProof/>
                <w:lang w:eastAsia="cs-CZ"/>
              </w:rPr>
              <w:tab/>
            </w:r>
            <w:r w:rsidR="008052DB" w:rsidRPr="000363C9">
              <w:rPr>
                <w:rStyle w:val="Hypertextovodkaz"/>
                <w:noProof/>
              </w:rPr>
              <w:t>Ukazatele likvidity</w:t>
            </w:r>
            <w:r w:rsidR="008052DB">
              <w:rPr>
                <w:noProof/>
                <w:webHidden/>
              </w:rPr>
              <w:tab/>
            </w:r>
            <w:r w:rsidR="008052DB">
              <w:rPr>
                <w:noProof/>
                <w:webHidden/>
              </w:rPr>
              <w:fldChar w:fldCharType="begin"/>
            </w:r>
            <w:r w:rsidR="008052DB">
              <w:rPr>
                <w:noProof/>
                <w:webHidden/>
              </w:rPr>
              <w:instrText xml:space="preserve"> PAGEREF _Toc353439370 \h </w:instrText>
            </w:r>
            <w:r w:rsidR="008052DB">
              <w:rPr>
                <w:noProof/>
                <w:webHidden/>
              </w:rPr>
            </w:r>
            <w:r w:rsidR="008052DB">
              <w:rPr>
                <w:noProof/>
                <w:webHidden/>
              </w:rPr>
              <w:fldChar w:fldCharType="separate"/>
            </w:r>
            <w:r w:rsidR="002534BA">
              <w:rPr>
                <w:noProof/>
                <w:webHidden/>
              </w:rPr>
              <w:t>35</w:t>
            </w:r>
            <w:r w:rsidR="008052DB">
              <w:rPr>
                <w:noProof/>
                <w:webHidden/>
              </w:rPr>
              <w:fldChar w:fldCharType="end"/>
            </w:r>
          </w:hyperlink>
        </w:p>
        <w:p w:rsidR="008052DB" w:rsidRDefault="00C96C2B">
          <w:pPr>
            <w:pStyle w:val="Obsah3"/>
            <w:rPr>
              <w:rFonts w:asciiTheme="minorHAnsi" w:eastAsiaTheme="minorEastAsia" w:hAnsiTheme="minorHAnsi" w:cstheme="minorBidi"/>
              <w:noProof/>
              <w:lang w:eastAsia="cs-CZ"/>
            </w:rPr>
          </w:pPr>
          <w:hyperlink w:anchor="_Toc353439371" w:history="1">
            <w:r w:rsidR="008052DB" w:rsidRPr="000363C9">
              <w:rPr>
                <w:rStyle w:val="Hypertextovodkaz"/>
                <w:noProof/>
              </w:rPr>
              <w:t>4.2.3</w:t>
            </w:r>
            <w:r w:rsidR="008052DB">
              <w:rPr>
                <w:rFonts w:asciiTheme="minorHAnsi" w:eastAsiaTheme="minorEastAsia" w:hAnsiTheme="minorHAnsi" w:cstheme="minorBidi"/>
                <w:noProof/>
                <w:lang w:eastAsia="cs-CZ"/>
              </w:rPr>
              <w:tab/>
            </w:r>
            <w:r w:rsidR="008052DB" w:rsidRPr="000363C9">
              <w:rPr>
                <w:rStyle w:val="Hypertextovodkaz"/>
                <w:noProof/>
              </w:rPr>
              <w:t>Ukazatele aktivity</w:t>
            </w:r>
            <w:r w:rsidR="008052DB">
              <w:rPr>
                <w:noProof/>
                <w:webHidden/>
              </w:rPr>
              <w:tab/>
            </w:r>
            <w:r w:rsidR="008052DB">
              <w:rPr>
                <w:noProof/>
                <w:webHidden/>
              </w:rPr>
              <w:fldChar w:fldCharType="begin"/>
            </w:r>
            <w:r w:rsidR="008052DB">
              <w:rPr>
                <w:noProof/>
                <w:webHidden/>
              </w:rPr>
              <w:instrText xml:space="preserve"> PAGEREF _Toc353439371 \h </w:instrText>
            </w:r>
            <w:r w:rsidR="008052DB">
              <w:rPr>
                <w:noProof/>
                <w:webHidden/>
              </w:rPr>
            </w:r>
            <w:r w:rsidR="008052DB">
              <w:rPr>
                <w:noProof/>
                <w:webHidden/>
              </w:rPr>
              <w:fldChar w:fldCharType="separate"/>
            </w:r>
            <w:r w:rsidR="002534BA">
              <w:rPr>
                <w:noProof/>
                <w:webHidden/>
              </w:rPr>
              <w:t>39</w:t>
            </w:r>
            <w:r w:rsidR="008052DB">
              <w:rPr>
                <w:noProof/>
                <w:webHidden/>
              </w:rPr>
              <w:fldChar w:fldCharType="end"/>
            </w:r>
          </w:hyperlink>
        </w:p>
        <w:p w:rsidR="008052DB" w:rsidRDefault="00C96C2B">
          <w:pPr>
            <w:pStyle w:val="Obsah3"/>
            <w:rPr>
              <w:rFonts w:asciiTheme="minorHAnsi" w:eastAsiaTheme="minorEastAsia" w:hAnsiTheme="minorHAnsi" w:cstheme="minorBidi"/>
              <w:noProof/>
              <w:lang w:eastAsia="cs-CZ"/>
            </w:rPr>
          </w:pPr>
          <w:hyperlink w:anchor="_Toc353439372" w:history="1">
            <w:r w:rsidR="008052DB" w:rsidRPr="000363C9">
              <w:rPr>
                <w:rStyle w:val="Hypertextovodkaz"/>
                <w:noProof/>
              </w:rPr>
              <w:t>4.2.4</w:t>
            </w:r>
            <w:r w:rsidR="008052DB">
              <w:rPr>
                <w:rFonts w:asciiTheme="minorHAnsi" w:eastAsiaTheme="minorEastAsia" w:hAnsiTheme="minorHAnsi" w:cstheme="minorBidi"/>
                <w:noProof/>
                <w:lang w:eastAsia="cs-CZ"/>
              </w:rPr>
              <w:tab/>
            </w:r>
            <w:r w:rsidR="008052DB" w:rsidRPr="000363C9">
              <w:rPr>
                <w:rStyle w:val="Hypertextovodkaz"/>
                <w:noProof/>
              </w:rPr>
              <w:t>Ukazatele zadluženosti</w:t>
            </w:r>
            <w:r w:rsidR="008052DB">
              <w:rPr>
                <w:noProof/>
                <w:webHidden/>
              </w:rPr>
              <w:tab/>
            </w:r>
            <w:r w:rsidR="008052DB">
              <w:rPr>
                <w:noProof/>
                <w:webHidden/>
              </w:rPr>
              <w:fldChar w:fldCharType="begin"/>
            </w:r>
            <w:r w:rsidR="008052DB">
              <w:rPr>
                <w:noProof/>
                <w:webHidden/>
              </w:rPr>
              <w:instrText xml:space="preserve"> PAGEREF _Toc353439372 \h </w:instrText>
            </w:r>
            <w:r w:rsidR="008052DB">
              <w:rPr>
                <w:noProof/>
                <w:webHidden/>
              </w:rPr>
            </w:r>
            <w:r w:rsidR="008052DB">
              <w:rPr>
                <w:noProof/>
                <w:webHidden/>
              </w:rPr>
              <w:fldChar w:fldCharType="separate"/>
            </w:r>
            <w:r w:rsidR="002534BA">
              <w:rPr>
                <w:noProof/>
                <w:webHidden/>
              </w:rPr>
              <w:t>41</w:t>
            </w:r>
            <w:r w:rsidR="008052DB">
              <w:rPr>
                <w:noProof/>
                <w:webHidden/>
              </w:rPr>
              <w:fldChar w:fldCharType="end"/>
            </w:r>
          </w:hyperlink>
        </w:p>
        <w:p w:rsidR="008052DB" w:rsidRDefault="00C96C2B">
          <w:pPr>
            <w:pStyle w:val="Obsah3"/>
            <w:rPr>
              <w:rFonts w:asciiTheme="minorHAnsi" w:eastAsiaTheme="minorEastAsia" w:hAnsiTheme="minorHAnsi" w:cstheme="minorBidi"/>
              <w:noProof/>
              <w:lang w:eastAsia="cs-CZ"/>
            </w:rPr>
          </w:pPr>
          <w:hyperlink w:anchor="_Toc353439373" w:history="1">
            <w:r w:rsidR="008052DB" w:rsidRPr="000363C9">
              <w:rPr>
                <w:rStyle w:val="Hypertextovodkaz"/>
                <w:noProof/>
              </w:rPr>
              <w:t>4.2.5</w:t>
            </w:r>
            <w:r w:rsidR="008052DB">
              <w:rPr>
                <w:rFonts w:asciiTheme="minorHAnsi" w:eastAsiaTheme="minorEastAsia" w:hAnsiTheme="minorHAnsi" w:cstheme="minorBidi"/>
                <w:noProof/>
                <w:lang w:eastAsia="cs-CZ"/>
              </w:rPr>
              <w:tab/>
            </w:r>
            <w:r w:rsidR="008052DB" w:rsidRPr="000363C9">
              <w:rPr>
                <w:rStyle w:val="Hypertextovodkaz"/>
                <w:noProof/>
              </w:rPr>
              <w:t>SHRNUTÍ – SPOLEČNOST Q – MONT s. r. o.</w:t>
            </w:r>
            <w:r w:rsidR="008052DB">
              <w:rPr>
                <w:noProof/>
                <w:webHidden/>
              </w:rPr>
              <w:tab/>
            </w:r>
            <w:r w:rsidR="008052DB">
              <w:rPr>
                <w:noProof/>
                <w:webHidden/>
              </w:rPr>
              <w:fldChar w:fldCharType="begin"/>
            </w:r>
            <w:r w:rsidR="008052DB">
              <w:rPr>
                <w:noProof/>
                <w:webHidden/>
              </w:rPr>
              <w:instrText xml:space="preserve"> PAGEREF _Toc353439373 \h </w:instrText>
            </w:r>
            <w:r w:rsidR="008052DB">
              <w:rPr>
                <w:noProof/>
                <w:webHidden/>
              </w:rPr>
            </w:r>
            <w:r w:rsidR="008052DB">
              <w:rPr>
                <w:noProof/>
                <w:webHidden/>
              </w:rPr>
              <w:fldChar w:fldCharType="separate"/>
            </w:r>
            <w:r w:rsidR="002534BA">
              <w:rPr>
                <w:noProof/>
                <w:webHidden/>
              </w:rPr>
              <w:t>42</w:t>
            </w:r>
            <w:r w:rsidR="008052DB">
              <w:rPr>
                <w:noProof/>
                <w:webHidden/>
              </w:rPr>
              <w:fldChar w:fldCharType="end"/>
            </w:r>
          </w:hyperlink>
        </w:p>
        <w:p w:rsidR="008052DB" w:rsidRDefault="00C96C2B">
          <w:pPr>
            <w:pStyle w:val="Obsah2"/>
            <w:rPr>
              <w:rFonts w:asciiTheme="minorHAnsi" w:eastAsiaTheme="minorEastAsia" w:hAnsiTheme="minorHAnsi" w:cstheme="minorBidi"/>
              <w:lang w:eastAsia="cs-CZ"/>
            </w:rPr>
          </w:pPr>
          <w:hyperlink w:anchor="_Toc353439374" w:history="1">
            <w:r w:rsidR="008052DB" w:rsidRPr="000363C9">
              <w:rPr>
                <w:rStyle w:val="Hypertextovodkaz"/>
              </w:rPr>
              <w:t>4.3</w:t>
            </w:r>
            <w:r w:rsidR="008052DB">
              <w:rPr>
                <w:rFonts w:asciiTheme="minorHAnsi" w:eastAsiaTheme="minorEastAsia" w:hAnsiTheme="minorHAnsi" w:cstheme="minorBidi"/>
                <w:lang w:eastAsia="cs-CZ"/>
              </w:rPr>
              <w:tab/>
            </w:r>
            <w:r w:rsidR="008052DB" w:rsidRPr="000363C9">
              <w:rPr>
                <w:rStyle w:val="Hypertextovodkaz"/>
              </w:rPr>
              <w:t>KOMPARACE MAJETKOVÉ STRUKTURY SPOLEČNOSTI KOVOVÝROBA s. r. o. a Q – MONT s. r. o.</w:t>
            </w:r>
            <w:r w:rsidR="008052DB">
              <w:rPr>
                <w:webHidden/>
              </w:rPr>
              <w:tab/>
            </w:r>
            <w:r w:rsidR="008052DB">
              <w:rPr>
                <w:webHidden/>
              </w:rPr>
              <w:fldChar w:fldCharType="begin"/>
            </w:r>
            <w:r w:rsidR="008052DB">
              <w:rPr>
                <w:webHidden/>
              </w:rPr>
              <w:instrText xml:space="preserve"> PAGEREF _Toc353439374 \h </w:instrText>
            </w:r>
            <w:r w:rsidR="008052DB">
              <w:rPr>
                <w:webHidden/>
              </w:rPr>
            </w:r>
            <w:r w:rsidR="008052DB">
              <w:rPr>
                <w:webHidden/>
              </w:rPr>
              <w:fldChar w:fldCharType="separate"/>
            </w:r>
            <w:r w:rsidR="002534BA">
              <w:rPr>
                <w:webHidden/>
              </w:rPr>
              <w:t>44</w:t>
            </w:r>
            <w:r w:rsidR="008052DB">
              <w:rPr>
                <w:webHidden/>
              </w:rPr>
              <w:fldChar w:fldCharType="end"/>
            </w:r>
          </w:hyperlink>
        </w:p>
        <w:p w:rsidR="008052DB" w:rsidRDefault="00C96C2B">
          <w:pPr>
            <w:pStyle w:val="Obsah1"/>
            <w:rPr>
              <w:rFonts w:asciiTheme="minorHAnsi" w:eastAsiaTheme="minorEastAsia" w:hAnsiTheme="minorHAnsi" w:cstheme="minorBidi"/>
              <w:noProof/>
              <w:sz w:val="22"/>
              <w:lang w:eastAsia="cs-CZ"/>
            </w:rPr>
          </w:pPr>
          <w:hyperlink w:anchor="_Toc353439375" w:history="1">
            <w:r w:rsidR="008052DB" w:rsidRPr="000363C9">
              <w:rPr>
                <w:rStyle w:val="Hypertextovodkaz"/>
                <w:noProof/>
              </w:rPr>
              <w:t>5</w:t>
            </w:r>
            <w:r w:rsidR="008052DB">
              <w:rPr>
                <w:rFonts w:asciiTheme="minorHAnsi" w:eastAsiaTheme="minorEastAsia" w:hAnsiTheme="minorHAnsi" w:cstheme="minorBidi"/>
                <w:noProof/>
                <w:sz w:val="22"/>
                <w:lang w:eastAsia="cs-CZ"/>
              </w:rPr>
              <w:tab/>
            </w:r>
            <w:r w:rsidR="008052DB" w:rsidRPr="000363C9">
              <w:rPr>
                <w:rStyle w:val="Hypertextovodkaz"/>
                <w:noProof/>
              </w:rPr>
              <w:t>ZÁVĚR</w:t>
            </w:r>
            <w:r w:rsidR="008052DB">
              <w:rPr>
                <w:noProof/>
                <w:webHidden/>
              </w:rPr>
              <w:tab/>
            </w:r>
            <w:r w:rsidR="008052DB">
              <w:rPr>
                <w:noProof/>
                <w:webHidden/>
              </w:rPr>
              <w:fldChar w:fldCharType="begin"/>
            </w:r>
            <w:r w:rsidR="008052DB">
              <w:rPr>
                <w:noProof/>
                <w:webHidden/>
              </w:rPr>
              <w:instrText xml:space="preserve"> PAGEREF _Toc353439375 \h </w:instrText>
            </w:r>
            <w:r w:rsidR="008052DB">
              <w:rPr>
                <w:noProof/>
                <w:webHidden/>
              </w:rPr>
            </w:r>
            <w:r w:rsidR="008052DB">
              <w:rPr>
                <w:noProof/>
                <w:webHidden/>
              </w:rPr>
              <w:fldChar w:fldCharType="separate"/>
            </w:r>
            <w:r w:rsidR="002534BA">
              <w:rPr>
                <w:noProof/>
                <w:webHidden/>
              </w:rPr>
              <w:t>48</w:t>
            </w:r>
            <w:r w:rsidR="008052DB">
              <w:rPr>
                <w:noProof/>
                <w:webHidden/>
              </w:rPr>
              <w:fldChar w:fldCharType="end"/>
            </w:r>
          </w:hyperlink>
        </w:p>
        <w:p w:rsidR="008052DB" w:rsidRDefault="00C96C2B">
          <w:pPr>
            <w:pStyle w:val="Obsah1"/>
            <w:rPr>
              <w:rFonts w:asciiTheme="minorHAnsi" w:eastAsiaTheme="minorEastAsia" w:hAnsiTheme="minorHAnsi" w:cstheme="minorBidi"/>
              <w:noProof/>
              <w:sz w:val="22"/>
              <w:lang w:eastAsia="cs-CZ"/>
            </w:rPr>
          </w:pPr>
          <w:hyperlink w:anchor="_Toc353439376" w:history="1">
            <w:r w:rsidR="008052DB" w:rsidRPr="000363C9">
              <w:rPr>
                <w:rStyle w:val="Hypertextovodkaz"/>
                <w:noProof/>
              </w:rPr>
              <w:t>LITERATURA</w:t>
            </w:r>
            <w:r w:rsidR="008052DB">
              <w:rPr>
                <w:noProof/>
                <w:webHidden/>
              </w:rPr>
              <w:tab/>
            </w:r>
            <w:r w:rsidR="008052DB">
              <w:rPr>
                <w:noProof/>
                <w:webHidden/>
              </w:rPr>
              <w:fldChar w:fldCharType="begin"/>
            </w:r>
            <w:r w:rsidR="008052DB">
              <w:rPr>
                <w:noProof/>
                <w:webHidden/>
              </w:rPr>
              <w:instrText xml:space="preserve"> PAGEREF _Toc353439376 \h </w:instrText>
            </w:r>
            <w:r w:rsidR="008052DB">
              <w:rPr>
                <w:noProof/>
                <w:webHidden/>
              </w:rPr>
            </w:r>
            <w:r w:rsidR="008052DB">
              <w:rPr>
                <w:noProof/>
                <w:webHidden/>
              </w:rPr>
              <w:fldChar w:fldCharType="separate"/>
            </w:r>
            <w:r w:rsidR="002534BA">
              <w:rPr>
                <w:noProof/>
                <w:webHidden/>
              </w:rPr>
              <w:t>51</w:t>
            </w:r>
            <w:r w:rsidR="008052DB">
              <w:rPr>
                <w:noProof/>
                <w:webHidden/>
              </w:rPr>
              <w:fldChar w:fldCharType="end"/>
            </w:r>
          </w:hyperlink>
        </w:p>
        <w:p w:rsidR="008052DB" w:rsidRDefault="00C96C2B">
          <w:pPr>
            <w:pStyle w:val="Obsah1"/>
            <w:rPr>
              <w:rFonts w:asciiTheme="minorHAnsi" w:eastAsiaTheme="minorEastAsia" w:hAnsiTheme="minorHAnsi" w:cstheme="minorBidi"/>
              <w:noProof/>
              <w:sz w:val="22"/>
              <w:lang w:eastAsia="cs-CZ"/>
            </w:rPr>
          </w:pPr>
          <w:hyperlink w:anchor="_Toc353439377" w:history="1">
            <w:r w:rsidR="008052DB" w:rsidRPr="000363C9">
              <w:rPr>
                <w:rStyle w:val="Hypertextovodkaz"/>
                <w:noProof/>
              </w:rPr>
              <w:t>PŘÍLOHY</w:t>
            </w:r>
            <w:r w:rsidR="008052DB">
              <w:rPr>
                <w:noProof/>
                <w:webHidden/>
              </w:rPr>
              <w:tab/>
            </w:r>
            <w:r w:rsidR="008052DB">
              <w:rPr>
                <w:noProof/>
                <w:webHidden/>
              </w:rPr>
              <w:fldChar w:fldCharType="begin"/>
            </w:r>
            <w:r w:rsidR="008052DB">
              <w:rPr>
                <w:noProof/>
                <w:webHidden/>
              </w:rPr>
              <w:instrText xml:space="preserve"> PAGEREF _Toc353439377 \h </w:instrText>
            </w:r>
            <w:r w:rsidR="008052DB">
              <w:rPr>
                <w:noProof/>
                <w:webHidden/>
              </w:rPr>
            </w:r>
            <w:r w:rsidR="008052DB">
              <w:rPr>
                <w:noProof/>
                <w:webHidden/>
              </w:rPr>
              <w:fldChar w:fldCharType="separate"/>
            </w:r>
            <w:r w:rsidR="002534BA">
              <w:rPr>
                <w:noProof/>
                <w:webHidden/>
              </w:rPr>
              <w:t>53</w:t>
            </w:r>
            <w:r w:rsidR="008052DB">
              <w:rPr>
                <w:noProof/>
                <w:webHidden/>
              </w:rPr>
              <w:fldChar w:fldCharType="end"/>
            </w:r>
          </w:hyperlink>
        </w:p>
        <w:p w:rsidR="008052DB" w:rsidRDefault="00C96C2B">
          <w:pPr>
            <w:pStyle w:val="Obsah2"/>
            <w:rPr>
              <w:rFonts w:asciiTheme="minorHAnsi" w:eastAsiaTheme="minorEastAsia" w:hAnsiTheme="minorHAnsi" w:cstheme="minorBidi"/>
              <w:lang w:eastAsia="cs-CZ"/>
            </w:rPr>
          </w:pPr>
          <w:hyperlink w:anchor="_Toc353439378" w:history="1">
            <w:r w:rsidR="008052DB" w:rsidRPr="000363C9">
              <w:rPr>
                <w:rStyle w:val="Hypertextovodkaz"/>
              </w:rPr>
              <w:t>Přílohy ke kapitole 4.1 Společnost KOVOVÝROBA s. r. o.</w:t>
            </w:r>
            <w:r w:rsidR="008052DB">
              <w:rPr>
                <w:webHidden/>
              </w:rPr>
              <w:tab/>
            </w:r>
            <w:r w:rsidR="008052DB">
              <w:rPr>
                <w:webHidden/>
              </w:rPr>
              <w:fldChar w:fldCharType="begin"/>
            </w:r>
            <w:r w:rsidR="008052DB">
              <w:rPr>
                <w:webHidden/>
              </w:rPr>
              <w:instrText xml:space="preserve"> PAGEREF _Toc353439378 \h </w:instrText>
            </w:r>
            <w:r w:rsidR="008052DB">
              <w:rPr>
                <w:webHidden/>
              </w:rPr>
            </w:r>
            <w:r w:rsidR="008052DB">
              <w:rPr>
                <w:webHidden/>
              </w:rPr>
              <w:fldChar w:fldCharType="separate"/>
            </w:r>
            <w:r w:rsidR="002534BA">
              <w:rPr>
                <w:webHidden/>
              </w:rPr>
              <w:t>54</w:t>
            </w:r>
            <w:r w:rsidR="008052DB">
              <w:rPr>
                <w:webHidden/>
              </w:rPr>
              <w:fldChar w:fldCharType="end"/>
            </w:r>
          </w:hyperlink>
        </w:p>
        <w:p w:rsidR="008052DB" w:rsidRDefault="00C96C2B">
          <w:pPr>
            <w:pStyle w:val="Obsah2"/>
            <w:rPr>
              <w:rFonts w:asciiTheme="minorHAnsi" w:eastAsiaTheme="minorEastAsia" w:hAnsiTheme="minorHAnsi" w:cstheme="minorBidi"/>
              <w:lang w:eastAsia="cs-CZ"/>
            </w:rPr>
          </w:pPr>
          <w:hyperlink w:anchor="_Toc353439379" w:history="1">
            <w:r w:rsidR="008052DB" w:rsidRPr="000363C9">
              <w:rPr>
                <w:rStyle w:val="Hypertextovodkaz"/>
              </w:rPr>
              <w:t>Přílohy ke kapitole 4.2 Společnost Q – MONT s. r. o.</w:t>
            </w:r>
            <w:r w:rsidR="008052DB">
              <w:rPr>
                <w:webHidden/>
              </w:rPr>
              <w:tab/>
            </w:r>
            <w:r w:rsidR="008052DB">
              <w:rPr>
                <w:webHidden/>
              </w:rPr>
              <w:fldChar w:fldCharType="begin"/>
            </w:r>
            <w:r w:rsidR="008052DB">
              <w:rPr>
                <w:webHidden/>
              </w:rPr>
              <w:instrText xml:space="preserve"> PAGEREF _Toc353439379 \h </w:instrText>
            </w:r>
            <w:r w:rsidR="008052DB">
              <w:rPr>
                <w:webHidden/>
              </w:rPr>
            </w:r>
            <w:r w:rsidR="008052DB">
              <w:rPr>
                <w:webHidden/>
              </w:rPr>
              <w:fldChar w:fldCharType="separate"/>
            </w:r>
            <w:r w:rsidR="002534BA">
              <w:rPr>
                <w:webHidden/>
              </w:rPr>
              <w:t>70</w:t>
            </w:r>
            <w:r w:rsidR="008052DB">
              <w:rPr>
                <w:webHidden/>
              </w:rPr>
              <w:fldChar w:fldCharType="end"/>
            </w:r>
          </w:hyperlink>
        </w:p>
        <w:p w:rsidR="00777A32" w:rsidRDefault="00777A32">
          <w:r>
            <w:rPr>
              <w:b/>
              <w:bCs/>
            </w:rPr>
            <w:fldChar w:fldCharType="end"/>
          </w:r>
        </w:p>
      </w:sdtContent>
    </w:sdt>
    <w:p w:rsidR="00777A32" w:rsidRDefault="00777A32" w:rsidP="001A0982"/>
    <w:p w:rsidR="00777A32" w:rsidRDefault="00777A32">
      <w:pPr>
        <w:spacing w:after="200" w:line="276" w:lineRule="auto"/>
        <w:jc w:val="left"/>
      </w:pPr>
      <w:r>
        <w:br w:type="page"/>
      </w:r>
    </w:p>
    <w:p w:rsidR="001A0982" w:rsidRDefault="001A0982" w:rsidP="001A0982">
      <w:r>
        <w:lastRenderedPageBreak/>
        <w:t>SEZNAM TABULEK</w:t>
      </w:r>
    </w:p>
    <w:p w:rsidR="00746650" w:rsidRDefault="001A0982">
      <w:pPr>
        <w:pStyle w:val="Seznamobrzk"/>
        <w:tabs>
          <w:tab w:val="right" w:leader="dot" w:pos="8494"/>
        </w:tabs>
        <w:rPr>
          <w:rFonts w:asciiTheme="minorHAnsi" w:eastAsiaTheme="minorEastAsia" w:hAnsiTheme="minorHAnsi" w:cstheme="minorBidi"/>
          <w:noProof/>
          <w:sz w:val="22"/>
          <w:szCs w:val="22"/>
        </w:rPr>
      </w:pPr>
      <w:r>
        <w:fldChar w:fldCharType="begin"/>
      </w:r>
      <w:r>
        <w:instrText xml:space="preserve"> TOC \h \z \c "Tabulka" </w:instrText>
      </w:r>
      <w:r>
        <w:fldChar w:fldCharType="separate"/>
      </w:r>
      <w:hyperlink w:anchor="_Toc353125940" w:history="1">
        <w:r w:rsidR="00746650" w:rsidRPr="00F668C9">
          <w:rPr>
            <w:rStyle w:val="Hypertextovodkaz"/>
            <w:noProof/>
          </w:rPr>
          <w:t>Tabulka 1 Stálá aktiva – KOVOVÝROBA s. r. o.</w:t>
        </w:r>
        <w:r w:rsidR="00746650">
          <w:rPr>
            <w:noProof/>
            <w:webHidden/>
          </w:rPr>
          <w:tab/>
        </w:r>
        <w:r w:rsidR="00746650">
          <w:rPr>
            <w:noProof/>
            <w:webHidden/>
          </w:rPr>
          <w:fldChar w:fldCharType="begin"/>
        </w:r>
        <w:r w:rsidR="00746650">
          <w:rPr>
            <w:noProof/>
            <w:webHidden/>
          </w:rPr>
          <w:instrText xml:space="preserve"> PAGEREF _Toc353125940 \h </w:instrText>
        </w:r>
        <w:r w:rsidR="00746650">
          <w:rPr>
            <w:noProof/>
            <w:webHidden/>
          </w:rPr>
        </w:r>
        <w:r w:rsidR="00746650">
          <w:rPr>
            <w:noProof/>
            <w:webHidden/>
          </w:rPr>
          <w:fldChar w:fldCharType="separate"/>
        </w:r>
        <w:r w:rsidR="002534BA">
          <w:rPr>
            <w:noProof/>
            <w:webHidden/>
          </w:rPr>
          <w:t>20</w:t>
        </w:r>
        <w:r w:rsidR="00746650">
          <w:rPr>
            <w:noProof/>
            <w:webHidden/>
          </w:rPr>
          <w:fldChar w:fldCharType="end"/>
        </w:r>
      </w:hyperlink>
    </w:p>
    <w:p w:rsidR="00746650" w:rsidRDefault="00C96C2B" w:rsidP="00746650">
      <w:pPr>
        <w:pStyle w:val="Seznamobrzk"/>
        <w:tabs>
          <w:tab w:val="right" w:leader="dot" w:pos="8494"/>
        </w:tabs>
        <w:jc w:val="left"/>
        <w:rPr>
          <w:rFonts w:asciiTheme="minorHAnsi" w:eastAsiaTheme="minorEastAsia" w:hAnsiTheme="minorHAnsi" w:cstheme="minorBidi"/>
          <w:noProof/>
          <w:sz w:val="22"/>
          <w:szCs w:val="22"/>
        </w:rPr>
      </w:pPr>
      <w:hyperlink w:anchor="_Toc353125941" w:history="1">
        <w:r w:rsidR="00746650" w:rsidRPr="00F668C9">
          <w:rPr>
            <w:rStyle w:val="Hypertextovodkaz"/>
            <w:noProof/>
          </w:rPr>
          <w:t xml:space="preserve">Tabulka 2 Samostatné věci movité a soubory věcí movitých </w:t>
        </w:r>
        <w:r w:rsidR="00746650">
          <w:rPr>
            <w:rStyle w:val="Hypertextovodkaz"/>
            <w:noProof/>
          </w:rPr>
          <w:br/>
        </w:r>
        <w:r w:rsidR="00746650" w:rsidRPr="00F668C9">
          <w:rPr>
            <w:rStyle w:val="Hypertextovodkaz"/>
            <w:noProof/>
          </w:rPr>
          <w:t>– KOVOVÝROBA s. r. o.</w:t>
        </w:r>
        <w:r w:rsidR="00746650">
          <w:rPr>
            <w:noProof/>
            <w:webHidden/>
          </w:rPr>
          <w:tab/>
        </w:r>
        <w:r w:rsidR="00746650">
          <w:rPr>
            <w:noProof/>
            <w:webHidden/>
          </w:rPr>
          <w:fldChar w:fldCharType="begin"/>
        </w:r>
        <w:r w:rsidR="00746650">
          <w:rPr>
            <w:noProof/>
            <w:webHidden/>
          </w:rPr>
          <w:instrText xml:space="preserve"> PAGEREF _Toc353125941 \h </w:instrText>
        </w:r>
        <w:r w:rsidR="00746650">
          <w:rPr>
            <w:noProof/>
            <w:webHidden/>
          </w:rPr>
        </w:r>
        <w:r w:rsidR="00746650">
          <w:rPr>
            <w:noProof/>
            <w:webHidden/>
          </w:rPr>
          <w:fldChar w:fldCharType="separate"/>
        </w:r>
        <w:r w:rsidR="002534BA">
          <w:rPr>
            <w:noProof/>
            <w:webHidden/>
          </w:rPr>
          <w:t>21</w:t>
        </w:r>
        <w:r w:rsidR="00746650">
          <w:rPr>
            <w:noProof/>
            <w:webHidden/>
          </w:rPr>
          <w:fldChar w:fldCharType="end"/>
        </w:r>
      </w:hyperlink>
    </w:p>
    <w:p w:rsidR="00746650" w:rsidRDefault="00C96C2B">
      <w:pPr>
        <w:pStyle w:val="Seznamobrzk"/>
        <w:tabs>
          <w:tab w:val="right" w:leader="dot" w:pos="8494"/>
        </w:tabs>
        <w:rPr>
          <w:rFonts w:asciiTheme="minorHAnsi" w:eastAsiaTheme="minorEastAsia" w:hAnsiTheme="minorHAnsi" w:cstheme="minorBidi"/>
          <w:noProof/>
          <w:sz w:val="22"/>
          <w:szCs w:val="22"/>
        </w:rPr>
      </w:pPr>
      <w:hyperlink w:anchor="_Toc353125942" w:history="1">
        <w:r w:rsidR="00746650" w:rsidRPr="00F668C9">
          <w:rPr>
            <w:rStyle w:val="Hypertextovodkaz"/>
            <w:noProof/>
          </w:rPr>
          <w:t>Tabulka 3 Oběžná aktiva - KOVOVÝROBA s. r. o.</w:t>
        </w:r>
        <w:r w:rsidR="00746650">
          <w:rPr>
            <w:noProof/>
            <w:webHidden/>
          </w:rPr>
          <w:tab/>
        </w:r>
        <w:r w:rsidR="00746650">
          <w:rPr>
            <w:noProof/>
            <w:webHidden/>
          </w:rPr>
          <w:fldChar w:fldCharType="begin"/>
        </w:r>
        <w:r w:rsidR="00746650">
          <w:rPr>
            <w:noProof/>
            <w:webHidden/>
          </w:rPr>
          <w:instrText xml:space="preserve"> PAGEREF _Toc353125942 \h </w:instrText>
        </w:r>
        <w:r w:rsidR="00746650">
          <w:rPr>
            <w:noProof/>
            <w:webHidden/>
          </w:rPr>
        </w:r>
        <w:r w:rsidR="00746650">
          <w:rPr>
            <w:noProof/>
            <w:webHidden/>
          </w:rPr>
          <w:fldChar w:fldCharType="separate"/>
        </w:r>
        <w:r w:rsidR="002534BA">
          <w:rPr>
            <w:noProof/>
            <w:webHidden/>
          </w:rPr>
          <w:t>22</w:t>
        </w:r>
        <w:r w:rsidR="00746650">
          <w:rPr>
            <w:noProof/>
            <w:webHidden/>
          </w:rPr>
          <w:fldChar w:fldCharType="end"/>
        </w:r>
      </w:hyperlink>
    </w:p>
    <w:p w:rsidR="00746650" w:rsidRDefault="00C96C2B">
      <w:pPr>
        <w:pStyle w:val="Seznamobrzk"/>
        <w:tabs>
          <w:tab w:val="right" w:leader="dot" w:pos="8494"/>
        </w:tabs>
        <w:rPr>
          <w:rFonts w:asciiTheme="minorHAnsi" w:eastAsiaTheme="minorEastAsia" w:hAnsiTheme="minorHAnsi" w:cstheme="minorBidi"/>
          <w:noProof/>
          <w:sz w:val="22"/>
          <w:szCs w:val="22"/>
        </w:rPr>
      </w:pPr>
      <w:hyperlink w:anchor="_Toc353125943" w:history="1">
        <w:r w:rsidR="00746650" w:rsidRPr="00F668C9">
          <w:rPr>
            <w:rStyle w:val="Hypertextovodkaz"/>
            <w:noProof/>
          </w:rPr>
          <w:t>Tabulka 4 Vybrané hodnoty aktiv a pasiv - KOVOVÝROBA s. r. o.</w:t>
        </w:r>
        <w:r w:rsidR="00746650">
          <w:rPr>
            <w:noProof/>
            <w:webHidden/>
          </w:rPr>
          <w:tab/>
        </w:r>
        <w:r w:rsidR="00746650">
          <w:rPr>
            <w:noProof/>
            <w:webHidden/>
          </w:rPr>
          <w:fldChar w:fldCharType="begin"/>
        </w:r>
        <w:r w:rsidR="00746650">
          <w:rPr>
            <w:noProof/>
            <w:webHidden/>
          </w:rPr>
          <w:instrText xml:space="preserve"> PAGEREF _Toc353125943 \h </w:instrText>
        </w:r>
        <w:r w:rsidR="00746650">
          <w:rPr>
            <w:noProof/>
            <w:webHidden/>
          </w:rPr>
        </w:r>
        <w:r w:rsidR="00746650">
          <w:rPr>
            <w:noProof/>
            <w:webHidden/>
          </w:rPr>
          <w:fldChar w:fldCharType="separate"/>
        </w:r>
        <w:r w:rsidR="002534BA">
          <w:rPr>
            <w:noProof/>
            <w:webHidden/>
          </w:rPr>
          <w:t>24</w:t>
        </w:r>
        <w:r w:rsidR="00746650">
          <w:rPr>
            <w:noProof/>
            <w:webHidden/>
          </w:rPr>
          <w:fldChar w:fldCharType="end"/>
        </w:r>
      </w:hyperlink>
    </w:p>
    <w:p w:rsidR="00746650" w:rsidRDefault="00C96C2B">
      <w:pPr>
        <w:pStyle w:val="Seznamobrzk"/>
        <w:tabs>
          <w:tab w:val="right" w:leader="dot" w:pos="8494"/>
        </w:tabs>
        <w:rPr>
          <w:rFonts w:asciiTheme="minorHAnsi" w:eastAsiaTheme="minorEastAsia" w:hAnsiTheme="minorHAnsi" w:cstheme="minorBidi"/>
          <w:noProof/>
          <w:sz w:val="22"/>
          <w:szCs w:val="22"/>
        </w:rPr>
      </w:pPr>
      <w:hyperlink w:anchor="_Toc353125944" w:history="1">
        <w:r w:rsidR="00746650" w:rsidRPr="00F668C9">
          <w:rPr>
            <w:rStyle w:val="Hypertextovodkaz"/>
            <w:noProof/>
          </w:rPr>
          <w:t>Tabulka 5 Ukazatele likvidity - KOVOVÝROBA s. r. o.</w:t>
        </w:r>
        <w:r w:rsidR="00746650">
          <w:rPr>
            <w:noProof/>
            <w:webHidden/>
          </w:rPr>
          <w:tab/>
        </w:r>
        <w:r w:rsidR="00746650">
          <w:rPr>
            <w:noProof/>
            <w:webHidden/>
          </w:rPr>
          <w:fldChar w:fldCharType="begin"/>
        </w:r>
        <w:r w:rsidR="00746650">
          <w:rPr>
            <w:noProof/>
            <w:webHidden/>
          </w:rPr>
          <w:instrText xml:space="preserve"> PAGEREF _Toc353125944 \h </w:instrText>
        </w:r>
        <w:r w:rsidR="00746650">
          <w:rPr>
            <w:noProof/>
            <w:webHidden/>
          </w:rPr>
        </w:r>
        <w:r w:rsidR="00746650">
          <w:rPr>
            <w:noProof/>
            <w:webHidden/>
          </w:rPr>
          <w:fldChar w:fldCharType="separate"/>
        </w:r>
        <w:r w:rsidR="002534BA">
          <w:rPr>
            <w:noProof/>
            <w:webHidden/>
          </w:rPr>
          <w:t>25</w:t>
        </w:r>
        <w:r w:rsidR="00746650">
          <w:rPr>
            <w:noProof/>
            <w:webHidden/>
          </w:rPr>
          <w:fldChar w:fldCharType="end"/>
        </w:r>
      </w:hyperlink>
    </w:p>
    <w:p w:rsidR="00746650" w:rsidRDefault="00C96C2B">
      <w:pPr>
        <w:pStyle w:val="Seznamobrzk"/>
        <w:tabs>
          <w:tab w:val="right" w:leader="dot" w:pos="8494"/>
        </w:tabs>
        <w:rPr>
          <w:rFonts w:asciiTheme="minorHAnsi" w:eastAsiaTheme="minorEastAsia" w:hAnsiTheme="minorHAnsi" w:cstheme="minorBidi"/>
          <w:noProof/>
          <w:sz w:val="22"/>
          <w:szCs w:val="22"/>
        </w:rPr>
      </w:pPr>
      <w:hyperlink w:anchor="_Toc353125945" w:history="1">
        <w:r w:rsidR="00746650" w:rsidRPr="00F668C9">
          <w:rPr>
            <w:rStyle w:val="Hypertextovodkaz"/>
            <w:noProof/>
          </w:rPr>
          <w:t>Tabulka 6 Čistý pracovní kapitál - KOVOVÝROBA s. r. o.</w:t>
        </w:r>
        <w:r w:rsidR="00746650">
          <w:rPr>
            <w:noProof/>
            <w:webHidden/>
          </w:rPr>
          <w:tab/>
        </w:r>
        <w:r w:rsidR="00746650">
          <w:rPr>
            <w:noProof/>
            <w:webHidden/>
          </w:rPr>
          <w:fldChar w:fldCharType="begin"/>
        </w:r>
        <w:r w:rsidR="00746650">
          <w:rPr>
            <w:noProof/>
            <w:webHidden/>
          </w:rPr>
          <w:instrText xml:space="preserve"> PAGEREF _Toc353125945 \h </w:instrText>
        </w:r>
        <w:r w:rsidR="00746650">
          <w:rPr>
            <w:noProof/>
            <w:webHidden/>
          </w:rPr>
        </w:r>
        <w:r w:rsidR="00746650">
          <w:rPr>
            <w:noProof/>
            <w:webHidden/>
          </w:rPr>
          <w:fldChar w:fldCharType="separate"/>
        </w:r>
        <w:r w:rsidR="002534BA">
          <w:rPr>
            <w:noProof/>
            <w:webHidden/>
          </w:rPr>
          <w:t>26</w:t>
        </w:r>
        <w:r w:rsidR="00746650">
          <w:rPr>
            <w:noProof/>
            <w:webHidden/>
          </w:rPr>
          <w:fldChar w:fldCharType="end"/>
        </w:r>
      </w:hyperlink>
    </w:p>
    <w:p w:rsidR="00746650" w:rsidRDefault="00C96C2B">
      <w:pPr>
        <w:pStyle w:val="Seznamobrzk"/>
        <w:tabs>
          <w:tab w:val="right" w:leader="dot" w:pos="8494"/>
        </w:tabs>
        <w:rPr>
          <w:rFonts w:asciiTheme="minorHAnsi" w:eastAsiaTheme="minorEastAsia" w:hAnsiTheme="minorHAnsi" w:cstheme="minorBidi"/>
          <w:noProof/>
          <w:sz w:val="22"/>
          <w:szCs w:val="22"/>
        </w:rPr>
      </w:pPr>
      <w:hyperlink w:anchor="_Toc353125946" w:history="1">
        <w:r w:rsidR="00746650" w:rsidRPr="00F668C9">
          <w:rPr>
            <w:rStyle w:val="Hypertextovodkaz"/>
            <w:noProof/>
          </w:rPr>
          <w:t>Tabulka 7 Vybrané hodnoty z účetnictví a výkazu rozvah - KOVOVÝROBA s. r. o.</w:t>
        </w:r>
        <w:r w:rsidR="00746650">
          <w:rPr>
            <w:noProof/>
            <w:webHidden/>
          </w:rPr>
          <w:tab/>
        </w:r>
        <w:r w:rsidR="00746650">
          <w:rPr>
            <w:noProof/>
            <w:webHidden/>
          </w:rPr>
          <w:fldChar w:fldCharType="begin"/>
        </w:r>
        <w:r w:rsidR="00746650">
          <w:rPr>
            <w:noProof/>
            <w:webHidden/>
          </w:rPr>
          <w:instrText xml:space="preserve"> PAGEREF _Toc353125946 \h </w:instrText>
        </w:r>
        <w:r w:rsidR="00746650">
          <w:rPr>
            <w:noProof/>
            <w:webHidden/>
          </w:rPr>
        </w:r>
        <w:r w:rsidR="00746650">
          <w:rPr>
            <w:noProof/>
            <w:webHidden/>
          </w:rPr>
          <w:fldChar w:fldCharType="separate"/>
        </w:r>
        <w:r w:rsidR="002534BA">
          <w:rPr>
            <w:noProof/>
            <w:webHidden/>
          </w:rPr>
          <w:t>27</w:t>
        </w:r>
        <w:r w:rsidR="00746650">
          <w:rPr>
            <w:noProof/>
            <w:webHidden/>
          </w:rPr>
          <w:fldChar w:fldCharType="end"/>
        </w:r>
      </w:hyperlink>
    </w:p>
    <w:p w:rsidR="00746650" w:rsidRDefault="00C96C2B" w:rsidP="00746650">
      <w:pPr>
        <w:pStyle w:val="Seznamobrzk"/>
        <w:tabs>
          <w:tab w:val="right" w:leader="dot" w:pos="8494"/>
        </w:tabs>
        <w:jc w:val="left"/>
        <w:rPr>
          <w:rFonts w:asciiTheme="minorHAnsi" w:eastAsiaTheme="minorEastAsia" w:hAnsiTheme="minorHAnsi" w:cstheme="minorBidi"/>
          <w:noProof/>
          <w:sz w:val="22"/>
          <w:szCs w:val="22"/>
        </w:rPr>
      </w:pPr>
      <w:hyperlink w:anchor="_Toc353125947" w:history="1">
        <w:r w:rsidR="00746650" w:rsidRPr="00F668C9">
          <w:rPr>
            <w:rStyle w:val="Hypertextovodkaz"/>
            <w:noProof/>
          </w:rPr>
          <w:t xml:space="preserve">Tabulka 8 Ukazatel rychlosti obratu zásob a doba obratu zásob </w:t>
        </w:r>
        <w:r w:rsidR="00746650">
          <w:rPr>
            <w:rStyle w:val="Hypertextovodkaz"/>
            <w:noProof/>
          </w:rPr>
          <w:br/>
          <w:t>–</w:t>
        </w:r>
        <w:r w:rsidR="00746650" w:rsidRPr="00F668C9">
          <w:rPr>
            <w:rStyle w:val="Hypertextovodkaz"/>
            <w:noProof/>
          </w:rPr>
          <w:t xml:space="preserve"> KOVOVÝROBA s. r. o.</w:t>
        </w:r>
        <w:r w:rsidR="00746650">
          <w:rPr>
            <w:noProof/>
            <w:webHidden/>
          </w:rPr>
          <w:tab/>
        </w:r>
        <w:r w:rsidR="00746650">
          <w:rPr>
            <w:noProof/>
            <w:webHidden/>
          </w:rPr>
          <w:fldChar w:fldCharType="begin"/>
        </w:r>
        <w:r w:rsidR="00746650">
          <w:rPr>
            <w:noProof/>
            <w:webHidden/>
          </w:rPr>
          <w:instrText xml:space="preserve"> PAGEREF _Toc353125947 \h </w:instrText>
        </w:r>
        <w:r w:rsidR="00746650">
          <w:rPr>
            <w:noProof/>
            <w:webHidden/>
          </w:rPr>
        </w:r>
        <w:r w:rsidR="00746650">
          <w:rPr>
            <w:noProof/>
            <w:webHidden/>
          </w:rPr>
          <w:fldChar w:fldCharType="separate"/>
        </w:r>
        <w:r w:rsidR="002534BA">
          <w:rPr>
            <w:noProof/>
            <w:webHidden/>
          </w:rPr>
          <w:t>28</w:t>
        </w:r>
        <w:r w:rsidR="00746650">
          <w:rPr>
            <w:noProof/>
            <w:webHidden/>
          </w:rPr>
          <w:fldChar w:fldCharType="end"/>
        </w:r>
      </w:hyperlink>
    </w:p>
    <w:p w:rsidR="00746650" w:rsidRDefault="00C96C2B">
      <w:pPr>
        <w:pStyle w:val="Seznamobrzk"/>
        <w:tabs>
          <w:tab w:val="right" w:leader="dot" w:pos="8494"/>
        </w:tabs>
        <w:rPr>
          <w:rFonts w:asciiTheme="minorHAnsi" w:eastAsiaTheme="minorEastAsia" w:hAnsiTheme="minorHAnsi" w:cstheme="minorBidi"/>
          <w:noProof/>
          <w:sz w:val="22"/>
          <w:szCs w:val="22"/>
        </w:rPr>
      </w:pPr>
      <w:hyperlink w:anchor="_Toc353125948" w:history="1">
        <w:r w:rsidR="00746650" w:rsidRPr="00F668C9">
          <w:rPr>
            <w:rStyle w:val="Hypertextovodkaz"/>
            <w:noProof/>
          </w:rPr>
          <w:t>Tabulka 9 Doba obratu pohledávek a doba obratu závazků</w:t>
        </w:r>
        <w:r w:rsidR="00746650">
          <w:rPr>
            <w:noProof/>
            <w:webHidden/>
          </w:rPr>
          <w:tab/>
        </w:r>
        <w:r w:rsidR="00746650">
          <w:rPr>
            <w:noProof/>
            <w:webHidden/>
          </w:rPr>
          <w:fldChar w:fldCharType="begin"/>
        </w:r>
        <w:r w:rsidR="00746650">
          <w:rPr>
            <w:noProof/>
            <w:webHidden/>
          </w:rPr>
          <w:instrText xml:space="preserve"> PAGEREF _Toc353125948 \h </w:instrText>
        </w:r>
        <w:r w:rsidR="00746650">
          <w:rPr>
            <w:noProof/>
            <w:webHidden/>
          </w:rPr>
        </w:r>
        <w:r w:rsidR="00746650">
          <w:rPr>
            <w:noProof/>
            <w:webHidden/>
          </w:rPr>
          <w:fldChar w:fldCharType="separate"/>
        </w:r>
        <w:r w:rsidR="002534BA">
          <w:rPr>
            <w:noProof/>
            <w:webHidden/>
          </w:rPr>
          <w:t>28</w:t>
        </w:r>
        <w:r w:rsidR="00746650">
          <w:rPr>
            <w:noProof/>
            <w:webHidden/>
          </w:rPr>
          <w:fldChar w:fldCharType="end"/>
        </w:r>
      </w:hyperlink>
    </w:p>
    <w:p w:rsidR="00746650" w:rsidRDefault="00C96C2B">
      <w:pPr>
        <w:pStyle w:val="Seznamobrzk"/>
        <w:tabs>
          <w:tab w:val="right" w:leader="dot" w:pos="8494"/>
        </w:tabs>
        <w:rPr>
          <w:rFonts w:asciiTheme="minorHAnsi" w:eastAsiaTheme="minorEastAsia" w:hAnsiTheme="minorHAnsi" w:cstheme="minorBidi"/>
          <w:noProof/>
          <w:sz w:val="22"/>
          <w:szCs w:val="22"/>
        </w:rPr>
      </w:pPr>
      <w:hyperlink w:anchor="_Toc353125949" w:history="1">
        <w:r w:rsidR="00746650" w:rsidRPr="00F668C9">
          <w:rPr>
            <w:rStyle w:val="Hypertextovodkaz"/>
            <w:noProof/>
          </w:rPr>
          <w:t>Tabulka 10 Porovnání celkových aktiv a cizích zdrojů - KOVOVÝROBA s. r. o.</w:t>
        </w:r>
        <w:r w:rsidR="00746650">
          <w:rPr>
            <w:noProof/>
            <w:webHidden/>
          </w:rPr>
          <w:tab/>
        </w:r>
        <w:r w:rsidR="00746650">
          <w:rPr>
            <w:noProof/>
            <w:webHidden/>
          </w:rPr>
          <w:fldChar w:fldCharType="begin"/>
        </w:r>
        <w:r w:rsidR="00746650">
          <w:rPr>
            <w:noProof/>
            <w:webHidden/>
          </w:rPr>
          <w:instrText xml:space="preserve"> PAGEREF _Toc353125949 \h </w:instrText>
        </w:r>
        <w:r w:rsidR="00746650">
          <w:rPr>
            <w:noProof/>
            <w:webHidden/>
          </w:rPr>
        </w:r>
        <w:r w:rsidR="00746650">
          <w:rPr>
            <w:noProof/>
            <w:webHidden/>
          </w:rPr>
          <w:fldChar w:fldCharType="separate"/>
        </w:r>
        <w:r w:rsidR="002534BA">
          <w:rPr>
            <w:noProof/>
            <w:webHidden/>
          </w:rPr>
          <w:t>29</w:t>
        </w:r>
        <w:r w:rsidR="00746650">
          <w:rPr>
            <w:noProof/>
            <w:webHidden/>
          </w:rPr>
          <w:fldChar w:fldCharType="end"/>
        </w:r>
      </w:hyperlink>
    </w:p>
    <w:p w:rsidR="00746650" w:rsidRDefault="00C96C2B">
      <w:pPr>
        <w:pStyle w:val="Seznamobrzk"/>
        <w:tabs>
          <w:tab w:val="right" w:leader="dot" w:pos="8494"/>
        </w:tabs>
        <w:rPr>
          <w:rFonts w:asciiTheme="minorHAnsi" w:eastAsiaTheme="minorEastAsia" w:hAnsiTheme="minorHAnsi" w:cstheme="minorBidi"/>
          <w:noProof/>
          <w:sz w:val="22"/>
          <w:szCs w:val="22"/>
        </w:rPr>
      </w:pPr>
      <w:hyperlink w:anchor="_Toc353125950" w:history="1">
        <w:r w:rsidR="00746650" w:rsidRPr="00F668C9">
          <w:rPr>
            <w:rStyle w:val="Hypertextovodkaz"/>
            <w:noProof/>
          </w:rPr>
          <w:t>Tabulka 11 Ukazatel věřitelského rizika - KOVOVÝROBA s. r. o.</w:t>
        </w:r>
        <w:r w:rsidR="00746650">
          <w:rPr>
            <w:noProof/>
            <w:webHidden/>
          </w:rPr>
          <w:tab/>
        </w:r>
        <w:r w:rsidR="00746650">
          <w:rPr>
            <w:noProof/>
            <w:webHidden/>
          </w:rPr>
          <w:fldChar w:fldCharType="begin"/>
        </w:r>
        <w:r w:rsidR="00746650">
          <w:rPr>
            <w:noProof/>
            <w:webHidden/>
          </w:rPr>
          <w:instrText xml:space="preserve"> PAGEREF _Toc353125950 \h </w:instrText>
        </w:r>
        <w:r w:rsidR="00746650">
          <w:rPr>
            <w:noProof/>
            <w:webHidden/>
          </w:rPr>
        </w:r>
        <w:r w:rsidR="00746650">
          <w:rPr>
            <w:noProof/>
            <w:webHidden/>
          </w:rPr>
          <w:fldChar w:fldCharType="separate"/>
        </w:r>
        <w:r w:rsidR="002534BA">
          <w:rPr>
            <w:noProof/>
            <w:webHidden/>
          </w:rPr>
          <w:t>30</w:t>
        </w:r>
        <w:r w:rsidR="00746650">
          <w:rPr>
            <w:noProof/>
            <w:webHidden/>
          </w:rPr>
          <w:fldChar w:fldCharType="end"/>
        </w:r>
      </w:hyperlink>
    </w:p>
    <w:p w:rsidR="00746650" w:rsidRDefault="00C96C2B">
      <w:pPr>
        <w:pStyle w:val="Seznamobrzk"/>
        <w:tabs>
          <w:tab w:val="right" w:leader="dot" w:pos="8494"/>
        </w:tabs>
        <w:rPr>
          <w:rFonts w:asciiTheme="minorHAnsi" w:eastAsiaTheme="minorEastAsia" w:hAnsiTheme="minorHAnsi" w:cstheme="minorBidi"/>
          <w:noProof/>
          <w:sz w:val="22"/>
          <w:szCs w:val="22"/>
        </w:rPr>
      </w:pPr>
      <w:hyperlink w:anchor="_Toc353125951" w:history="1">
        <w:r w:rsidR="00746650" w:rsidRPr="00F668C9">
          <w:rPr>
            <w:rStyle w:val="Hypertextovodkaz"/>
            <w:noProof/>
          </w:rPr>
          <w:t>Tabulka 12 Stálá aktiva: Q – MONT s. r. o.</w:t>
        </w:r>
        <w:r w:rsidR="00746650">
          <w:rPr>
            <w:noProof/>
            <w:webHidden/>
          </w:rPr>
          <w:tab/>
        </w:r>
        <w:r w:rsidR="00746650">
          <w:rPr>
            <w:noProof/>
            <w:webHidden/>
          </w:rPr>
          <w:fldChar w:fldCharType="begin"/>
        </w:r>
        <w:r w:rsidR="00746650">
          <w:rPr>
            <w:noProof/>
            <w:webHidden/>
          </w:rPr>
          <w:instrText xml:space="preserve"> PAGEREF _Toc353125951 \h </w:instrText>
        </w:r>
        <w:r w:rsidR="00746650">
          <w:rPr>
            <w:noProof/>
            <w:webHidden/>
          </w:rPr>
        </w:r>
        <w:r w:rsidR="00746650">
          <w:rPr>
            <w:noProof/>
            <w:webHidden/>
          </w:rPr>
          <w:fldChar w:fldCharType="separate"/>
        </w:r>
        <w:r w:rsidR="002534BA">
          <w:rPr>
            <w:noProof/>
            <w:webHidden/>
          </w:rPr>
          <w:t>32</w:t>
        </w:r>
        <w:r w:rsidR="00746650">
          <w:rPr>
            <w:noProof/>
            <w:webHidden/>
          </w:rPr>
          <w:fldChar w:fldCharType="end"/>
        </w:r>
      </w:hyperlink>
    </w:p>
    <w:p w:rsidR="00746650" w:rsidRDefault="00C96C2B">
      <w:pPr>
        <w:pStyle w:val="Seznamobrzk"/>
        <w:tabs>
          <w:tab w:val="right" w:leader="dot" w:pos="8494"/>
        </w:tabs>
        <w:rPr>
          <w:rFonts w:asciiTheme="minorHAnsi" w:eastAsiaTheme="minorEastAsia" w:hAnsiTheme="minorHAnsi" w:cstheme="minorBidi"/>
          <w:noProof/>
          <w:sz w:val="22"/>
          <w:szCs w:val="22"/>
        </w:rPr>
      </w:pPr>
      <w:hyperlink w:anchor="_Toc353125952" w:history="1">
        <w:r w:rsidR="00746650" w:rsidRPr="00F668C9">
          <w:rPr>
            <w:rStyle w:val="Hypertextovodkaz"/>
            <w:noProof/>
          </w:rPr>
          <w:t>Tabulka 13 Oběžná aktiva společnosti: Q – MONT s. r. o.</w:t>
        </w:r>
        <w:r w:rsidR="00746650">
          <w:rPr>
            <w:noProof/>
            <w:webHidden/>
          </w:rPr>
          <w:tab/>
        </w:r>
        <w:r w:rsidR="00746650">
          <w:rPr>
            <w:noProof/>
            <w:webHidden/>
          </w:rPr>
          <w:fldChar w:fldCharType="begin"/>
        </w:r>
        <w:r w:rsidR="00746650">
          <w:rPr>
            <w:noProof/>
            <w:webHidden/>
          </w:rPr>
          <w:instrText xml:space="preserve"> PAGEREF _Toc353125952 \h </w:instrText>
        </w:r>
        <w:r w:rsidR="00746650">
          <w:rPr>
            <w:noProof/>
            <w:webHidden/>
          </w:rPr>
        </w:r>
        <w:r w:rsidR="00746650">
          <w:rPr>
            <w:noProof/>
            <w:webHidden/>
          </w:rPr>
          <w:fldChar w:fldCharType="separate"/>
        </w:r>
        <w:r w:rsidR="002534BA">
          <w:rPr>
            <w:noProof/>
            <w:webHidden/>
          </w:rPr>
          <w:t>33</w:t>
        </w:r>
        <w:r w:rsidR="00746650">
          <w:rPr>
            <w:noProof/>
            <w:webHidden/>
          </w:rPr>
          <w:fldChar w:fldCharType="end"/>
        </w:r>
      </w:hyperlink>
    </w:p>
    <w:p w:rsidR="00746650" w:rsidRDefault="00C96C2B">
      <w:pPr>
        <w:pStyle w:val="Seznamobrzk"/>
        <w:tabs>
          <w:tab w:val="right" w:leader="dot" w:pos="8494"/>
        </w:tabs>
        <w:rPr>
          <w:rFonts w:asciiTheme="minorHAnsi" w:eastAsiaTheme="minorEastAsia" w:hAnsiTheme="minorHAnsi" w:cstheme="minorBidi"/>
          <w:noProof/>
          <w:sz w:val="22"/>
          <w:szCs w:val="22"/>
        </w:rPr>
      </w:pPr>
      <w:hyperlink w:anchor="_Toc353125953" w:history="1">
        <w:r w:rsidR="00746650" w:rsidRPr="00F668C9">
          <w:rPr>
            <w:rStyle w:val="Hypertextovodkaz"/>
            <w:noProof/>
          </w:rPr>
          <w:t>Tabulka 14 Nedobytné pohledávky k 31. 12. 2011: Q – MONT s. r. o.</w:t>
        </w:r>
        <w:r w:rsidR="00746650">
          <w:rPr>
            <w:noProof/>
            <w:webHidden/>
          </w:rPr>
          <w:tab/>
        </w:r>
        <w:r w:rsidR="00746650">
          <w:rPr>
            <w:noProof/>
            <w:webHidden/>
          </w:rPr>
          <w:fldChar w:fldCharType="begin"/>
        </w:r>
        <w:r w:rsidR="00746650">
          <w:rPr>
            <w:noProof/>
            <w:webHidden/>
          </w:rPr>
          <w:instrText xml:space="preserve"> PAGEREF _Toc353125953 \h </w:instrText>
        </w:r>
        <w:r w:rsidR="00746650">
          <w:rPr>
            <w:noProof/>
            <w:webHidden/>
          </w:rPr>
        </w:r>
        <w:r w:rsidR="00746650">
          <w:rPr>
            <w:noProof/>
            <w:webHidden/>
          </w:rPr>
          <w:fldChar w:fldCharType="separate"/>
        </w:r>
        <w:r w:rsidR="002534BA">
          <w:rPr>
            <w:noProof/>
            <w:webHidden/>
          </w:rPr>
          <w:t>34</w:t>
        </w:r>
        <w:r w:rsidR="00746650">
          <w:rPr>
            <w:noProof/>
            <w:webHidden/>
          </w:rPr>
          <w:fldChar w:fldCharType="end"/>
        </w:r>
      </w:hyperlink>
    </w:p>
    <w:p w:rsidR="00746650" w:rsidRDefault="00C96C2B">
      <w:pPr>
        <w:pStyle w:val="Seznamobrzk"/>
        <w:tabs>
          <w:tab w:val="right" w:leader="dot" w:pos="8494"/>
        </w:tabs>
        <w:rPr>
          <w:rFonts w:asciiTheme="minorHAnsi" w:eastAsiaTheme="minorEastAsia" w:hAnsiTheme="minorHAnsi" w:cstheme="minorBidi"/>
          <w:noProof/>
          <w:sz w:val="22"/>
          <w:szCs w:val="22"/>
        </w:rPr>
      </w:pPr>
      <w:hyperlink w:anchor="_Toc353125954" w:history="1">
        <w:r w:rsidR="00746650" w:rsidRPr="00F668C9">
          <w:rPr>
            <w:rStyle w:val="Hypertextovodkaz"/>
            <w:noProof/>
          </w:rPr>
          <w:t>Tabulka 15 Vybrané hodnoty aktiv a pasiv: Q – MONT s. r. o.</w:t>
        </w:r>
        <w:r w:rsidR="00746650">
          <w:rPr>
            <w:noProof/>
            <w:webHidden/>
          </w:rPr>
          <w:tab/>
        </w:r>
        <w:r w:rsidR="00746650">
          <w:rPr>
            <w:noProof/>
            <w:webHidden/>
          </w:rPr>
          <w:fldChar w:fldCharType="begin"/>
        </w:r>
        <w:r w:rsidR="00746650">
          <w:rPr>
            <w:noProof/>
            <w:webHidden/>
          </w:rPr>
          <w:instrText xml:space="preserve"> PAGEREF _Toc353125954 \h </w:instrText>
        </w:r>
        <w:r w:rsidR="00746650">
          <w:rPr>
            <w:noProof/>
            <w:webHidden/>
          </w:rPr>
        </w:r>
        <w:r w:rsidR="00746650">
          <w:rPr>
            <w:noProof/>
            <w:webHidden/>
          </w:rPr>
          <w:fldChar w:fldCharType="separate"/>
        </w:r>
        <w:r w:rsidR="002534BA">
          <w:rPr>
            <w:noProof/>
            <w:webHidden/>
          </w:rPr>
          <w:t>36</w:t>
        </w:r>
        <w:r w:rsidR="00746650">
          <w:rPr>
            <w:noProof/>
            <w:webHidden/>
          </w:rPr>
          <w:fldChar w:fldCharType="end"/>
        </w:r>
      </w:hyperlink>
    </w:p>
    <w:p w:rsidR="00746650" w:rsidRDefault="00C96C2B">
      <w:pPr>
        <w:pStyle w:val="Seznamobrzk"/>
        <w:tabs>
          <w:tab w:val="right" w:leader="dot" w:pos="8494"/>
        </w:tabs>
        <w:rPr>
          <w:rFonts w:asciiTheme="minorHAnsi" w:eastAsiaTheme="minorEastAsia" w:hAnsiTheme="minorHAnsi" w:cstheme="minorBidi"/>
          <w:noProof/>
          <w:sz w:val="22"/>
          <w:szCs w:val="22"/>
        </w:rPr>
      </w:pPr>
      <w:hyperlink w:anchor="_Toc353125955" w:history="1">
        <w:r w:rsidR="00746650" w:rsidRPr="00F668C9">
          <w:rPr>
            <w:rStyle w:val="Hypertextovodkaz"/>
            <w:noProof/>
          </w:rPr>
          <w:t>Tabulka 16 Ukazatele likvidity: Q – MONT s. r. o.</w:t>
        </w:r>
        <w:r w:rsidR="00746650">
          <w:rPr>
            <w:noProof/>
            <w:webHidden/>
          </w:rPr>
          <w:tab/>
        </w:r>
        <w:r w:rsidR="00746650">
          <w:rPr>
            <w:noProof/>
            <w:webHidden/>
          </w:rPr>
          <w:fldChar w:fldCharType="begin"/>
        </w:r>
        <w:r w:rsidR="00746650">
          <w:rPr>
            <w:noProof/>
            <w:webHidden/>
          </w:rPr>
          <w:instrText xml:space="preserve"> PAGEREF _Toc353125955 \h </w:instrText>
        </w:r>
        <w:r w:rsidR="00746650">
          <w:rPr>
            <w:noProof/>
            <w:webHidden/>
          </w:rPr>
        </w:r>
        <w:r w:rsidR="00746650">
          <w:rPr>
            <w:noProof/>
            <w:webHidden/>
          </w:rPr>
          <w:fldChar w:fldCharType="separate"/>
        </w:r>
        <w:r w:rsidR="002534BA">
          <w:rPr>
            <w:noProof/>
            <w:webHidden/>
          </w:rPr>
          <w:t>37</w:t>
        </w:r>
        <w:r w:rsidR="00746650">
          <w:rPr>
            <w:noProof/>
            <w:webHidden/>
          </w:rPr>
          <w:fldChar w:fldCharType="end"/>
        </w:r>
      </w:hyperlink>
    </w:p>
    <w:p w:rsidR="00746650" w:rsidRDefault="00C96C2B" w:rsidP="00746650">
      <w:pPr>
        <w:pStyle w:val="Seznamobrzk"/>
        <w:tabs>
          <w:tab w:val="right" w:leader="dot" w:pos="8494"/>
        </w:tabs>
        <w:jc w:val="left"/>
        <w:rPr>
          <w:rFonts w:asciiTheme="minorHAnsi" w:eastAsiaTheme="minorEastAsia" w:hAnsiTheme="minorHAnsi" w:cstheme="minorBidi"/>
          <w:noProof/>
          <w:sz w:val="22"/>
          <w:szCs w:val="22"/>
        </w:rPr>
      </w:pPr>
      <w:hyperlink w:anchor="_Toc353125956" w:history="1">
        <w:r w:rsidR="00746650" w:rsidRPr="00F668C9">
          <w:rPr>
            <w:rStyle w:val="Hypertextovodkaz"/>
            <w:noProof/>
          </w:rPr>
          <w:t xml:space="preserve">Tabulka 17 Vybrané hodnoty pro stanovení čistého pracovního kapitálu: </w:t>
        </w:r>
        <w:r w:rsidR="00746650">
          <w:rPr>
            <w:rStyle w:val="Hypertextovodkaz"/>
            <w:noProof/>
          </w:rPr>
          <w:br/>
        </w:r>
        <w:r w:rsidR="00746650" w:rsidRPr="00F668C9">
          <w:rPr>
            <w:rStyle w:val="Hypertextovodkaz"/>
            <w:noProof/>
          </w:rPr>
          <w:t>Q – MONT s. r. o.</w:t>
        </w:r>
        <w:r w:rsidR="00746650">
          <w:rPr>
            <w:noProof/>
            <w:webHidden/>
          </w:rPr>
          <w:tab/>
        </w:r>
        <w:r w:rsidR="00746650">
          <w:rPr>
            <w:noProof/>
            <w:webHidden/>
          </w:rPr>
          <w:fldChar w:fldCharType="begin"/>
        </w:r>
        <w:r w:rsidR="00746650">
          <w:rPr>
            <w:noProof/>
            <w:webHidden/>
          </w:rPr>
          <w:instrText xml:space="preserve"> PAGEREF _Toc353125956 \h </w:instrText>
        </w:r>
        <w:r w:rsidR="00746650">
          <w:rPr>
            <w:noProof/>
            <w:webHidden/>
          </w:rPr>
        </w:r>
        <w:r w:rsidR="00746650">
          <w:rPr>
            <w:noProof/>
            <w:webHidden/>
          </w:rPr>
          <w:fldChar w:fldCharType="separate"/>
        </w:r>
        <w:r w:rsidR="002534BA">
          <w:rPr>
            <w:noProof/>
            <w:webHidden/>
          </w:rPr>
          <w:t>38</w:t>
        </w:r>
        <w:r w:rsidR="00746650">
          <w:rPr>
            <w:noProof/>
            <w:webHidden/>
          </w:rPr>
          <w:fldChar w:fldCharType="end"/>
        </w:r>
      </w:hyperlink>
    </w:p>
    <w:p w:rsidR="00746650" w:rsidRDefault="00C96C2B">
      <w:pPr>
        <w:pStyle w:val="Seznamobrzk"/>
        <w:tabs>
          <w:tab w:val="right" w:leader="dot" w:pos="8494"/>
        </w:tabs>
        <w:rPr>
          <w:rFonts w:asciiTheme="minorHAnsi" w:eastAsiaTheme="minorEastAsia" w:hAnsiTheme="minorHAnsi" w:cstheme="minorBidi"/>
          <w:noProof/>
          <w:sz w:val="22"/>
          <w:szCs w:val="22"/>
        </w:rPr>
      </w:pPr>
      <w:hyperlink w:anchor="_Toc353125957" w:history="1">
        <w:r w:rsidR="00746650" w:rsidRPr="00F668C9">
          <w:rPr>
            <w:rStyle w:val="Hypertextovodkaz"/>
            <w:noProof/>
          </w:rPr>
          <w:t>Tabulka 18 Čistý pracovní kapitál: Q – MONT s. r. o.</w:t>
        </w:r>
        <w:r w:rsidR="00746650">
          <w:rPr>
            <w:noProof/>
            <w:webHidden/>
          </w:rPr>
          <w:tab/>
        </w:r>
        <w:r w:rsidR="00746650">
          <w:rPr>
            <w:noProof/>
            <w:webHidden/>
          </w:rPr>
          <w:fldChar w:fldCharType="begin"/>
        </w:r>
        <w:r w:rsidR="00746650">
          <w:rPr>
            <w:noProof/>
            <w:webHidden/>
          </w:rPr>
          <w:instrText xml:space="preserve"> PAGEREF _Toc353125957 \h </w:instrText>
        </w:r>
        <w:r w:rsidR="00746650">
          <w:rPr>
            <w:noProof/>
            <w:webHidden/>
          </w:rPr>
        </w:r>
        <w:r w:rsidR="00746650">
          <w:rPr>
            <w:noProof/>
            <w:webHidden/>
          </w:rPr>
          <w:fldChar w:fldCharType="separate"/>
        </w:r>
        <w:r w:rsidR="002534BA">
          <w:rPr>
            <w:noProof/>
            <w:webHidden/>
          </w:rPr>
          <w:t>38</w:t>
        </w:r>
        <w:r w:rsidR="00746650">
          <w:rPr>
            <w:noProof/>
            <w:webHidden/>
          </w:rPr>
          <w:fldChar w:fldCharType="end"/>
        </w:r>
      </w:hyperlink>
    </w:p>
    <w:p w:rsidR="00746650" w:rsidRDefault="00C96C2B">
      <w:pPr>
        <w:pStyle w:val="Seznamobrzk"/>
        <w:tabs>
          <w:tab w:val="right" w:leader="dot" w:pos="8494"/>
        </w:tabs>
        <w:rPr>
          <w:rFonts w:asciiTheme="minorHAnsi" w:eastAsiaTheme="minorEastAsia" w:hAnsiTheme="minorHAnsi" w:cstheme="minorBidi"/>
          <w:noProof/>
          <w:sz w:val="22"/>
          <w:szCs w:val="22"/>
        </w:rPr>
      </w:pPr>
      <w:hyperlink w:anchor="_Toc353125958" w:history="1">
        <w:r w:rsidR="00746650" w:rsidRPr="00F668C9">
          <w:rPr>
            <w:rStyle w:val="Hypertextovodkaz"/>
            <w:noProof/>
          </w:rPr>
          <w:t>Tabulka 19 Vybrané hodnoty z účetnictví a výkazů rozvah: Q – MONT s. r. o.</w:t>
        </w:r>
        <w:r w:rsidR="00746650">
          <w:rPr>
            <w:noProof/>
            <w:webHidden/>
          </w:rPr>
          <w:tab/>
        </w:r>
        <w:r w:rsidR="00746650">
          <w:rPr>
            <w:noProof/>
            <w:webHidden/>
          </w:rPr>
          <w:fldChar w:fldCharType="begin"/>
        </w:r>
        <w:r w:rsidR="00746650">
          <w:rPr>
            <w:noProof/>
            <w:webHidden/>
          </w:rPr>
          <w:instrText xml:space="preserve"> PAGEREF _Toc353125958 \h </w:instrText>
        </w:r>
        <w:r w:rsidR="00746650">
          <w:rPr>
            <w:noProof/>
            <w:webHidden/>
          </w:rPr>
        </w:r>
        <w:r w:rsidR="00746650">
          <w:rPr>
            <w:noProof/>
            <w:webHidden/>
          </w:rPr>
          <w:fldChar w:fldCharType="separate"/>
        </w:r>
        <w:r w:rsidR="002534BA">
          <w:rPr>
            <w:noProof/>
            <w:webHidden/>
          </w:rPr>
          <w:t>39</w:t>
        </w:r>
        <w:r w:rsidR="00746650">
          <w:rPr>
            <w:noProof/>
            <w:webHidden/>
          </w:rPr>
          <w:fldChar w:fldCharType="end"/>
        </w:r>
      </w:hyperlink>
    </w:p>
    <w:p w:rsidR="00746650" w:rsidRDefault="00C96C2B">
      <w:pPr>
        <w:pStyle w:val="Seznamobrzk"/>
        <w:tabs>
          <w:tab w:val="right" w:leader="dot" w:pos="8494"/>
        </w:tabs>
        <w:rPr>
          <w:rFonts w:asciiTheme="minorHAnsi" w:eastAsiaTheme="minorEastAsia" w:hAnsiTheme="minorHAnsi" w:cstheme="minorBidi"/>
          <w:noProof/>
          <w:sz w:val="22"/>
          <w:szCs w:val="22"/>
        </w:rPr>
      </w:pPr>
      <w:hyperlink w:anchor="_Toc353125959" w:history="1">
        <w:r w:rsidR="00746650" w:rsidRPr="00F668C9">
          <w:rPr>
            <w:rStyle w:val="Hypertextovodkaz"/>
            <w:noProof/>
          </w:rPr>
          <w:t>Tabulka 20 Ukazatele doby obratu závazků a pohledávek: Q – MONT s. r. o.</w:t>
        </w:r>
        <w:r w:rsidR="00746650">
          <w:rPr>
            <w:noProof/>
            <w:webHidden/>
          </w:rPr>
          <w:tab/>
        </w:r>
        <w:r w:rsidR="00746650">
          <w:rPr>
            <w:noProof/>
            <w:webHidden/>
          </w:rPr>
          <w:fldChar w:fldCharType="begin"/>
        </w:r>
        <w:r w:rsidR="00746650">
          <w:rPr>
            <w:noProof/>
            <w:webHidden/>
          </w:rPr>
          <w:instrText xml:space="preserve"> PAGEREF _Toc353125959 \h </w:instrText>
        </w:r>
        <w:r w:rsidR="00746650">
          <w:rPr>
            <w:noProof/>
            <w:webHidden/>
          </w:rPr>
        </w:r>
        <w:r w:rsidR="00746650">
          <w:rPr>
            <w:noProof/>
            <w:webHidden/>
          </w:rPr>
          <w:fldChar w:fldCharType="separate"/>
        </w:r>
        <w:r w:rsidR="002534BA">
          <w:rPr>
            <w:noProof/>
            <w:webHidden/>
          </w:rPr>
          <w:t>39</w:t>
        </w:r>
        <w:r w:rsidR="00746650">
          <w:rPr>
            <w:noProof/>
            <w:webHidden/>
          </w:rPr>
          <w:fldChar w:fldCharType="end"/>
        </w:r>
      </w:hyperlink>
    </w:p>
    <w:p w:rsidR="00746650" w:rsidRDefault="00C96C2B">
      <w:pPr>
        <w:pStyle w:val="Seznamobrzk"/>
        <w:tabs>
          <w:tab w:val="right" w:leader="dot" w:pos="8494"/>
        </w:tabs>
        <w:rPr>
          <w:rFonts w:asciiTheme="minorHAnsi" w:eastAsiaTheme="minorEastAsia" w:hAnsiTheme="minorHAnsi" w:cstheme="minorBidi"/>
          <w:noProof/>
          <w:sz w:val="22"/>
          <w:szCs w:val="22"/>
        </w:rPr>
      </w:pPr>
      <w:hyperlink w:anchor="_Toc353125960" w:history="1">
        <w:r w:rsidR="00746650" w:rsidRPr="00F668C9">
          <w:rPr>
            <w:rStyle w:val="Hypertextovodkaz"/>
            <w:noProof/>
          </w:rPr>
          <w:t>Tabulka 21 Vybrané hodnoty pro zjištění ukazatele zadluženosti: Q – MONT s. r. o.</w:t>
        </w:r>
        <w:r w:rsidR="00746650">
          <w:rPr>
            <w:noProof/>
            <w:webHidden/>
          </w:rPr>
          <w:tab/>
        </w:r>
        <w:r w:rsidR="00746650">
          <w:rPr>
            <w:noProof/>
            <w:webHidden/>
          </w:rPr>
          <w:fldChar w:fldCharType="begin"/>
        </w:r>
        <w:r w:rsidR="00746650">
          <w:rPr>
            <w:noProof/>
            <w:webHidden/>
          </w:rPr>
          <w:instrText xml:space="preserve"> PAGEREF _Toc353125960 \h </w:instrText>
        </w:r>
        <w:r w:rsidR="00746650">
          <w:rPr>
            <w:noProof/>
            <w:webHidden/>
          </w:rPr>
        </w:r>
        <w:r w:rsidR="00746650">
          <w:rPr>
            <w:noProof/>
            <w:webHidden/>
          </w:rPr>
          <w:fldChar w:fldCharType="separate"/>
        </w:r>
        <w:r w:rsidR="002534BA">
          <w:rPr>
            <w:noProof/>
            <w:webHidden/>
          </w:rPr>
          <w:t>41</w:t>
        </w:r>
        <w:r w:rsidR="00746650">
          <w:rPr>
            <w:noProof/>
            <w:webHidden/>
          </w:rPr>
          <w:fldChar w:fldCharType="end"/>
        </w:r>
      </w:hyperlink>
    </w:p>
    <w:p w:rsidR="00746650" w:rsidRDefault="00C96C2B" w:rsidP="00746650">
      <w:pPr>
        <w:pStyle w:val="Seznamobrzk"/>
        <w:tabs>
          <w:tab w:val="right" w:leader="dot" w:pos="8494"/>
        </w:tabs>
        <w:jc w:val="left"/>
        <w:rPr>
          <w:rFonts w:asciiTheme="minorHAnsi" w:eastAsiaTheme="minorEastAsia" w:hAnsiTheme="minorHAnsi" w:cstheme="minorBidi"/>
          <w:noProof/>
          <w:sz w:val="22"/>
          <w:szCs w:val="22"/>
        </w:rPr>
      </w:pPr>
      <w:hyperlink w:anchor="_Toc353125961" w:history="1">
        <w:r w:rsidR="00746650" w:rsidRPr="00F668C9">
          <w:rPr>
            <w:rStyle w:val="Hypertextovodkaz"/>
            <w:noProof/>
          </w:rPr>
          <w:t xml:space="preserve">Tabulka 22 Ukazatel věřitelského rizika a koeficient samofinancování: </w:t>
        </w:r>
        <w:r w:rsidR="00746650">
          <w:rPr>
            <w:rStyle w:val="Hypertextovodkaz"/>
            <w:noProof/>
          </w:rPr>
          <w:br/>
        </w:r>
        <w:r w:rsidR="00746650" w:rsidRPr="00F668C9">
          <w:rPr>
            <w:rStyle w:val="Hypertextovodkaz"/>
            <w:noProof/>
          </w:rPr>
          <w:t>Q – MONT s. r. o.</w:t>
        </w:r>
        <w:r w:rsidR="00746650">
          <w:rPr>
            <w:noProof/>
            <w:webHidden/>
          </w:rPr>
          <w:tab/>
        </w:r>
        <w:r w:rsidR="00746650">
          <w:rPr>
            <w:noProof/>
            <w:webHidden/>
          </w:rPr>
          <w:fldChar w:fldCharType="begin"/>
        </w:r>
        <w:r w:rsidR="00746650">
          <w:rPr>
            <w:noProof/>
            <w:webHidden/>
          </w:rPr>
          <w:instrText xml:space="preserve"> PAGEREF _Toc353125961 \h </w:instrText>
        </w:r>
        <w:r w:rsidR="00746650">
          <w:rPr>
            <w:noProof/>
            <w:webHidden/>
          </w:rPr>
        </w:r>
        <w:r w:rsidR="00746650">
          <w:rPr>
            <w:noProof/>
            <w:webHidden/>
          </w:rPr>
          <w:fldChar w:fldCharType="separate"/>
        </w:r>
        <w:r w:rsidR="002534BA">
          <w:rPr>
            <w:noProof/>
            <w:webHidden/>
          </w:rPr>
          <w:t>41</w:t>
        </w:r>
        <w:r w:rsidR="00746650">
          <w:rPr>
            <w:noProof/>
            <w:webHidden/>
          </w:rPr>
          <w:fldChar w:fldCharType="end"/>
        </w:r>
      </w:hyperlink>
    </w:p>
    <w:p w:rsidR="004510C0" w:rsidRPr="008C1BA9" w:rsidRDefault="001A0982" w:rsidP="004510C0">
      <w:pPr>
        <w:jc w:val="left"/>
      </w:pPr>
      <w:r>
        <w:fldChar w:fldCharType="end"/>
      </w:r>
      <w:r w:rsidR="000B7D9A">
        <w:br w:type="page"/>
      </w:r>
      <w:r w:rsidR="00816C32">
        <w:lastRenderedPageBreak/>
        <w:t>SEZNAM OBRÁZKŮ</w:t>
      </w:r>
    </w:p>
    <w:p w:rsidR="000B7D9A" w:rsidRPr="008C1BA9" w:rsidRDefault="000B7D9A" w:rsidP="001A573D">
      <w:pPr>
        <w:pStyle w:val="Seznamobrzk"/>
        <w:tabs>
          <w:tab w:val="right" w:leader="dot" w:pos="8494"/>
        </w:tabs>
        <w:spacing w:after="120"/>
        <w:jc w:val="left"/>
        <w:rPr>
          <w:rStyle w:val="Hypertextovodkaz"/>
          <w:noProof/>
          <w:color w:val="auto"/>
        </w:rPr>
      </w:pPr>
      <w:r w:rsidRPr="008C1BA9">
        <w:fldChar w:fldCharType="begin"/>
      </w:r>
      <w:r w:rsidRPr="008C1BA9">
        <w:instrText xml:space="preserve"> TOC \h \z \c "Obrázek" </w:instrText>
      </w:r>
      <w:r w:rsidRPr="008C1BA9">
        <w:fldChar w:fldCharType="separate"/>
      </w:r>
      <w:hyperlink w:anchor="_Toc351999917" w:history="1">
        <w:r w:rsidRPr="008C1BA9">
          <w:rPr>
            <w:rStyle w:val="Hypertextovodkaz"/>
            <w:noProof/>
            <w:color w:val="auto"/>
          </w:rPr>
          <w:t>Obrázek 1 Struktura aktiv a pasiv v rozvaze (bilanci)</w:t>
        </w:r>
        <w:r w:rsidRPr="008C1BA9">
          <w:rPr>
            <w:noProof/>
            <w:webHidden/>
          </w:rPr>
          <w:tab/>
        </w:r>
        <w:r w:rsidRPr="008C1BA9">
          <w:rPr>
            <w:noProof/>
            <w:webHidden/>
          </w:rPr>
          <w:fldChar w:fldCharType="begin"/>
        </w:r>
        <w:r w:rsidRPr="008C1BA9">
          <w:rPr>
            <w:noProof/>
            <w:webHidden/>
          </w:rPr>
          <w:instrText xml:space="preserve"> PAGEREF _Toc351999917 \h </w:instrText>
        </w:r>
        <w:r w:rsidRPr="008C1BA9">
          <w:rPr>
            <w:noProof/>
            <w:webHidden/>
          </w:rPr>
        </w:r>
        <w:r w:rsidRPr="008C1BA9">
          <w:rPr>
            <w:noProof/>
            <w:webHidden/>
          </w:rPr>
          <w:fldChar w:fldCharType="separate"/>
        </w:r>
        <w:r w:rsidR="002534BA">
          <w:rPr>
            <w:noProof/>
            <w:webHidden/>
          </w:rPr>
          <w:t>6</w:t>
        </w:r>
        <w:r w:rsidRPr="008C1BA9">
          <w:rPr>
            <w:noProof/>
            <w:webHidden/>
          </w:rPr>
          <w:fldChar w:fldCharType="end"/>
        </w:r>
      </w:hyperlink>
    </w:p>
    <w:p w:rsidR="000B7D9A" w:rsidRPr="008C1BA9" w:rsidRDefault="00C96C2B" w:rsidP="001A573D">
      <w:pPr>
        <w:pStyle w:val="Seznamobrzk"/>
        <w:tabs>
          <w:tab w:val="right" w:leader="dot" w:pos="8494"/>
        </w:tabs>
        <w:spacing w:after="120"/>
        <w:jc w:val="left"/>
        <w:rPr>
          <w:rFonts w:asciiTheme="minorHAnsi" w:eastAsiaTheme="minorEastAsia" w:hAnsiTheme="minorHAnsi" w:cstheme="minorBidi"/>
          <w:noProof/>
          <w:sz w:val="22"/>
          <w:szCs w:val="22"/>
        </w:rPr>
      </w:pPr>
      <w:hyperlink w:anchor="_Toc351999918" w:history="1">
        <w:r w:rsidR="000B7D9A" w:rsidRPr="008C1BA9">
          <w:rPr>
            <w:rStyle w:val="Hypertextovodkaz"/>
            <w:noProof/>
            <w:color w:val="auto"/>
          </w:rPr>
          <w:t xml:space="preserve">Obrázek 2 Komparace struktury aktiv společnosti KOVOVÝROBA s. r. o. </w:t>
        </w:r>
        <w:r w:rsidR="000B7D9A" w:rsidRPr="008C1BA9">
          <w:rPr>
            <w:rStyle w:val="Hypertextovodkaz"/>
            <w:noProof/>
            <w:color w:val="auto"/>
          </w:rPr>
          <w:br/>
          <w:t>a společnosti Q – MONT s. r. o.</w:t>
        </w:r>
        <w:r w:rsidR="000B7D9A" w:rsidRPr="008C1BA9">
          <w:rPr>
            <w:noProof/>
            <w:webHidden/>
          </w:rPr>
          <w:tab/>
        </w:r>
        <w:r w:rsidR="000B7D9A" w:rsidRPr="008C1BA9">
          <w:rPr>
            <w:noProof/>
            <w:webHidden/>
          </w:rPr>
          <w:fldChar w:fldCharType="begin"/>
        </w:r>
        <w:r w:rsidR="000B7D9A" w:rsidRPr="008C1BA9">
          <w:rPr>
            <w:noProof/>
            <w:webHidden/>
          </w:rPr>
          <w:instrText xml:space="preserve"> PAGEREF _Toc351999918 \h </w:instrText>
        </w:r>
        <w:r w:rsidR="000B7D9A" w:rsidRPr="008C1BA9">
          <w:rPr>
            <w:noProof/>
            <w:webHidden/>
          </w:rPr>
        </w:r>
        <w:r w:rsidR="000B7D9A" w:rsidRPr="008C1BA9">
          <w:rPr>
            <w:noProof/>
            <w:webHidden/>
          </w:rPr>
          <w:fldChar w:fldCharType="separate"/>
        </w:r>
        <w:r w:rsidR="002534BA">
          <w:rPr>
            <w:noProof/>
            <w:webHidden/>
          </w:rPr>
          <w:t>44</w:t>
        </w:r>
        <w:r w:rsidR="000B7D9A" w:rsidRPr="008C1BA9">
          <w:rPr>
            <w:noProof/>
            <w:webHidden/>
          </w:rPr>
          <w:fldChar w:fldCharType="end"/>
        </w:r>
      </w:hyperlink>
    </w:p>
    <w:p w:rsidR="000B7D9A" w:rsidRPr="008C1BA9" w:rsidRDefault="00C96C2B" w:rsidP="001A573D">
      <w:pPr>
        <w:pStyle w:val="Seznamobrzk"/>
        <w:tabs>
          <w:tab w:val="right" w:leader="dot" w:pos="8494"/>
        </w:tabs>
        <w:spacing w:after="120"/>
        <w:jc w:val="left"/>
        <w:rPr>
          <w:rFonts w:asciiTheme="minorHAnsi" w:eastAsiaTheme="minorEastAsia" w:hAnsiTheme="minorHAnsi" w:cstheme="minorBidi"/>
          <w:noProof/>
          <w:sz w:val="22"/>
          <w:szCs w:val="22"/>
        </w:rPr>
      </w:pPr>
      <w:hyperlink w:anchor="_Toc351999919" w:history="1">
        <w:r w:rsidR="000B7D9A" w:rsidRPr="008C1BA9">
          <w:rPr>
            <w:rStyle w:val="Hypertextovodkaz"/>
            <w:noProof/>
            <w:color w:val="auto"/>
          </w:rPr>
          <w:t xml:space="preserve">Obrázek 3 Komparace celkových aktiv a cizích zdrojů společnosti </w:t>
        </w:r>
        <w:r w:rsidR="000B7D9A" w:rsidRPr="008C1BA9">
          <w:rPr>
            <w:rStyle w:val="Hypertextovodkaz"/>
            <w:noProof/>
            <w:color w:val="auto"/>
          </w:rPr>
          <w:br/>
          <w:t>KOVOVÝROBA s. r. o. a společnosti Q – MONT s. r. o.</w:t>
        </w:r>
        <w:r w:rsidR="000B7D9A" w:rsidRPr="008C1BA9">
          <w:rPr>
            <w:noProof/>
            <w:webHidden/>
          </w:rPr>
          <w:tab/>
        </w:r>
        <w:r w:rsidR="000B7D9A" w:rsidRPr="008C1BA9">
          <w:rPr>
            <w:noProof/>
            <w:webHidden/>
          </w:rPr>
          <w:fldChar w:fldCharType="begin"/>
        </w:r>
        <w:r w:rsidR="000B7D9A" w:rsidRPr="008C1BA9">
          <w:rPr>
            <w:noProof/>
            <w:webHidden/>
          </w:rPr>
          <w:instrText xml:space="preserve"> PAGEREF _Toc351999919 \h </w:instrText>
        </w:r>
        <w:r w:rsidR="000B7D9A" w:rsidRPr="008C1BA9">
          <w:rPr>
            <w:noProof/>
            <w:webHidden/>
          </w:rPr>
        </w:r>
        <w:r w:rsidR="000B7D9A" w:rsidRPr="008C1BA9">
          <w:rPr>
            <w:noProof/>
            <w:webHidden/>
          </w:rPr>
          <w:fldChar w:fldCharType="separate"/>
        </w:r>
        <w:r w:rsidR="002534BA">
          <w:rPr>
            <w:noProof/>
            <w:webHidden/>
          </w:rPr>
          <w:t>45</w:t>
        </w:r>
        <w:r w:rsidR="000B7D9A" w:rsidRPr="008C1BA9">
          <w:rPr>
            <w:noProof/>
            <w:webHidden/>
          </w:rPr>
          <w:fldChar w:fldCharType="end"/>
        </w:r>
      </w:hyperlink>
    </w:p>
    <w:p w:rsidR="000B7D9A" w:rsidRDefault="00C96C2B" w:rsidP="001A573D">
      <w:pPr>
        <w:pStyle w:val="Seznamobrzk"/>
        <w:tabs>
          <w:tab w:val="right" w:leader="dot" w:pos="8494"/>
        </w:tabs>
        <w:spacing w:after="120"/>
        <w:jc w:val="left"/>
        <w:rPr>
          <w:noProof/>
        </w:rPr>
      </w:pPr>
      <w:hyperlink w:anchor="_Toc351999920" w:history="1">
        <w:r w:rsidR="000B7D9A" w:rsidRPr="008C1BA9">
          <w:rPr>
            <w:rStyle w:val="Hypertextovodkaz"/>
            <w:noProof/>
            <w:color w:val="auto"/>
          </w:rPr>
          <w:t>Obrázek 4 Rentabilita aktiv společnosti KOVOVÝROBA s. r. o.</w:t>
        </w:r>
        <w:r w:rsidR="000B7D9A" w:rsidRPr="008C1BA9">
          <w:rPr>
            <w:rStyle w:val="Hypertextovodkaz"/>
            <w:noProof/>
            <w:color w:val="auto"/>
          </w:rPr>
          <w:br/>
          <w:t>a společnosti  Q – MONT s. r. o.</w:t>
        </w:r>
        <w:r w:rsidR="000B7D9A" w:rsidRPr="008C1BA9">
          <w:rPr>
            <w:noProof/>
            <w:webHidden/>
          </w:rPr>
          <w:tab/>
        </w:r>
        <w:r w:rsidR="000B7D9A" w:rsidRPr="008C1BA9">
          <w:rPr>
            <w:noProof/>
            <w:webHidden/>
          </w:rPr>
          <w:fldChar w:fldCharType="begin"/>
        </w:r>
        <w:r w:rsidR="000B7D9A" w:rsidRPr="008C1BA9">
          <w:rPr>
            <w:noProof/>
            <w:webHidden/>
          </w:rPr>
          <w:instrText xml:space="preserve"> PAGEREF _Toc351999920 \h </w:instrText>
        </w:r>
        <w:r w:rsidR="000B7D9A" w:rsidRPr="008C1BA9">
          <w:rPr>
            <w:noProof/>
            <w:webHidden/>
          </w:rPr>
        </w:r>
        <w:r w:rsidR="000B7D9A" w:rsidRPr="008C1BA9">
          <w:rPr>
            <w:noProof/>
            <w:webHidden/>
          </w:rPr>
          <w:fldChar w:fldCharType="separate"/>
        </w:r>
        <w:r w:rsidR="002534BA">
          <w:rPr>
            <w:noProof/>
            <w:webHidden/>
          </w:rPr>
          <w:t>46</w:t>
        </w:r>
        <w:r w:rsidR="000B7D9A" w:rsidRPr="008C1BA9">
          <w:rPr>
            <w:noProof/>
            <w:webHidden/>
          </w:rPr>
          <w:fldChar w:fldCharType="end"/>
        </w:r>
      </w:hyperlink>
    </w:p>
    <w:p w:rsidR="0051796E" w:rsidRDefault="000B7D9A" w:rsidP="001A573D">
      <w:pPr>
        <w:pStyle w:val="Zkladntext"/>
        <w:spacing w:after="120" w:line="360" w:lineRule="auto"/>
        <w:jc w:val="left"/>
      </w:pPr>
      <w:r w:rsidRPr="008C1BA9">
        <w:fldChar w:fldCharType="end"/>
      </w:r>
    </w:p>
    <w:p w:rsidR="000602C8" w:rsidRDefault="000602C8" w:rsidP="001A573D">
      <w:pPr>
        <w:pStyle w:val="Zkladntext"/>
        <w:spacing w:after="120" w:line="360" w:lineRule="auto"/>
        <w:jc w:val="left"/>
      </w:pPr>
    </w:p>
    <w:p w:rsidR="000602C8" w:rsidRDefault="000602C8" w:rsidP="001A573D">
      <w:pPr>
        <w:pStyle w:val="Zkladntext"/>
        <w:spacing w:after="120" w:line="360" w:lineRule="auto"/>
        <w:jc w:val="left"/>
        <w:sectPr w:rsidR="000602C8" w:rsidSect="00A41B48">
          <w:pgSz w:w="11906" w:h="16838"/>
          <w:pgMar w:top="1418" w:right="1134" w:bottom="1418" w:left="2268" w:header="709" w:footer="709" w:gutter="0"/>
          <w:cols w:space="708"/>
          <w:docGrid w:linePitch="360"/>
        </w:sectPr>
      </w:pPr>
    </w:p>
    <w:p w:rsidR="004510C0" w:rsidRPr="007979E3" w:rsidRDefault="004510C0" w:rsidP="00FE6E53">
      <w:pPr>
        <w:pStyle w:val="Nadpis1"/>
      </w:pPr>
      <w:bookmarkStart w:id="0" w:name="_Ref276628549"/>
      <w:bookmarkStart w:id="1" w:name="_Toc353126152"/>
      <w:bookmarkStart w:id="2" w:name="_Toc353439344"/>
      <w:r w:rsidRPr="007979E3">
        <w:lastRenderedPageBreak/>
        <w:t>ÚVOD</w:t>
      </w:r>
      <w:bookmarkEnd w:id="0"/>
      <w:bookmarkEnd w:id="1"/>
      <w:bookmarkEnd w:id="2"/>
    </w:p>
    <w:p w:rsidR="00C64A3F" w:rsidRDefault="004510C0" w:rsidP="00BA1E8F">
      <w:pPr>
        <w:pStyle w:val="Odstavecnormln"/>
      </w:pPr>
      <w:r>
        <w:t xml:space="preserve">Hospodářský úspěch podniku závisí na mnoha faktorech a jejich vzájemném souladu. Mezi tyto faktory patří např. cenová politika, dobrá orientace na trhu, orientace </w:t>
      </w:r>
      <w:r w:rsidR="00A15F38">
        <w:br/>
      </w:r>
      <w:r>
        <w:t>v prostředí, ve kterém se podnik nachází, předcházení rizikům podnikání, výběr zaměstnanců apod. Dalším důležitým faktorem je udržení majetkové a finanční stability podniku, tzn. schopnost podniku udržet správný vztah mezi majetkem a kapi</w:t>
      </w:r>
      <w:r w:rsidR="00C64A3F">
        <w:t>tálem.</w:t>
      </w:r>
    </w:p>
    <w:p w:rsidR="00D44AD6" w:rsidRDefault="00C94336" w:rsidP="00BA1E8F">
      <w:pPr>
        <w:spacing w:after="120"/>
      </w:pPr>
      <w:r w:rsidRPr="00801F35">
        <w:rPr>
          <w:b/>
          <w:bCs/>
        </w:rPr>
        <w:t>Hlavním cílem bakalářské práce je, na základě teoretic</w:t>
      </w:r>
      <w:r w:rsidR="00B762BB" w:rsidRPr="00801F35">
        <w:rPr>
          <w:b/>
          <w:bCs/>
        </w:rPr>
        <w:t>kých poznatků o majetku podniku analyzovaných v teoretické části práce</w:t>
      </w:r>
      <w:r w:rsidR="00F202C7" w:rsidRPr="00801F35">
        <w:rPr>
          <w:b/>
          <w:bCs/>
        </w:rPr>
        <w:t>,</w:t>
      </w:r>
      <w:r w:rsidRPr="00801F35">
        <w:rPr>
          <w:b/>
          <w:bCs/>
        </w:rPr>
        <w:t xml:space="preserve"> provést </w:t>
      </w:r>
      <w:r w:rsidR="00AA2C64" w:rsidRPr="00801F35">
        <w:rPr>
          <w:b/>
          <w:bCs/>
        </w:rPr>
        <w:t xml:space="preserve">rozbor, komparaci </w:t>
      </w:r>
      <w:r w:rsidR="00EE7CF3">
        <w:rPr>
          <w:b/>
          <w:bCs/>
        </w:rPr>
        <w:br/>
      </w:r>
      <w:r w:rsidR="00AA2C64" w:rsidRPr="00801F35">
        <w:rPr>
          <w:b/>
          <w:bCs/>
        </w:rPr>
        <w:t xml:space="preserve">a vyhodnocení struktury majetku dvou vybraných společností </w:t>
      </w:r>
      <w:r w:rsidR="001118A1" w:rsidRPr="00801F35">
        <w:rPr>
          <w:b/>
          <w:bCs/>
        </w:rPr>
        <w:t xml:space="preserve">Q – MONT s. r. o. </w:t>
      </w:r>
      <w:r w:rsidR="00992719">
        <w:rPr>
          <w:b/>
          <w:bCs/>
        </w:rPr>
        <w:br/>
      </w:r>
      <w:r w:rsidR="001118A1" w:rsidRPr="00801F35">
        <w:rPr>
          <w:b/>
          <w:bCs/>
        </w:rPr>
        <w:t xml:space="preserve">a </w:t>
      </w:r>
      <w:r w:rsidR="00AA2C64" w:rsidRPr="00801F35">
        <w:rPr>
          <w:b/>
          <w:bCs/>
        </w:rPr>
        <w:t xml:space="preserve">KOVOVÝROBA s. r. o. </w:t>
      </w:r>
      <w:r w:rsidR="00F418BF" w:rsidRPr="00801F35">
        <w:rPr>
          <w:b/>
          <w:bCs/>
        </w:rPr>
        <w:t>v období roků 2009 – 2011</w:t>
      </w:r>
      <w:r w:rsidR="004D79AC">
        <w:rPr>
          <w:rStyle w:val="Znakapoznpodarou"/>
          <w:bCs/>
        </w:rPr>
        <w:footnoteReference w:id="1"/>
      </w:r>
      <w:r w:rsidR="00F418BF">
        <w:rPr>
          <w:bCs/>
        </w:rPr>
        <w:t>.</w:t>
      </w:r>
      <w:r w:rsidR="004D2A9D">
        <w:rPr>
          <w:bCs/>
        </w:rPr>
        <w:t xml:space="preserve"> </w:t>
      </w:r>
      <w:r w:rsidR="00B11726">
        <w:rPr>
          <w:bCs/>
        </w:rPr>
        <w:t xml:space="preserve">Společnosti jsou srovnatelné z hlediska předmětu, místa podnikání, počtu zaměstnanců a ročního obratu. </w:t>
      </w:r>
      <w:r w:rsidR="001118A1">
        <w:rPr>
          <w:bCs/>
        </w:rPr>
        <w:t xml:space="preserve">Společnost Q – MONT s. r. o. byla založena v roce 2000 a její ekonomická situace je po celé období její existence stabilní. </w:t>
      </w:r>
      <w:r w:rsidR="004D2A9D" w:rsidRPr="00560FC6">
        <w:rPr>
          <w:bCs/>
        </w:rPr>
        <w:t xml:space="preserve">Společnost </w:t>
      </w:r>
      <w:r w:rsidR="004D2A9D">
        <w:rPr>
          <w:bCs/>
        </w:rPr>
        <w:t xml:space="preserve">KOVOVÝROBA s. r. o. </w:t>
      </w:r>
      <w:r w:rsidR="004D2A9D" w:rsidRPr="00560FC6">
        <w:rPr>
          <w:bCs/>
        </w:rPr>
        <w:t>zahájila činnost v srpnu roku 2009 a již od počátku roku 2010</w:t>
      </w:r>
      <w:r w:rsidR="004D2A9D">
        <w:rPr>
          <w:bCs/>
        </w:rPr>
        <w:t xml:space="preserve"> </w:t>
      </w:r>
      <w:r w:rsidR="004D2A9D" w:rsidRPr="00560FC6">
        <w:rPr>
          <w:bCs/>
        </w:rPr>
        <w:t xml:space="preserve">není její ekonomická situace příznivá </w:t>
      </w:r>
      <w:r w:rsidR="00EE7CF3">
        <w:rPr>
          <w:bCs/>
        </w:rPr>
        <w:br/>
      </w:r>
      <w:r w:rsidR="004D2A9D" w:rsidRPr="00560FC6">
        <w:rPr>
          <w:bCs/>
        </w:rPr>
        <w:t xml:space="preserve">a v současné době lze konstatovat, že se společnost nachází nejen ve finanční, </w:t>
      </w:r>
      <w:r w:rsidR="00984563">
        <w:rPr>
          <w:bCs/>
        </w:rPr>
        <w:br/>
      </w:r>
      <w:r w:rsidR="004D2A9D" w:rsidRPr="00560FC6">
        <w:rPr>
          <w:bCs/>
        </w:rPr>
        <w:t>a</w:t>
      </w:r>
      <w:r w:rsidR="00F418BF">
        <w:rPr>
          <w:bCs/>
        </w:rPr>
        <w:t xml:space="preserve">le i v celkové ekonomické krizi. </w:t>
      </w:r>
      <w:r w:rsidR="005C3692">
        <w:rPr>
          <w:bCs/>
        </w:rPr>
        <w:t xml:space="preserve">Společnost </w:t>
      </w:r>
      <w:r w:rsidR="00BA7078">
        <w:rPr>
          <w:bCs/>
        </w:rPr>
        <w:t xml:space="preserve">po celé období své </w:t>
      </w:r>
      <w:r w:rsidR="00C44300">
        <w:rPr>
          <w:bCs/>
        </w:rPr>
        <w:t>existence</w:t>
      </w:r>
      <w:r w:rsidR="00BA7078">
        <w:rPr>
          <w:bCs/>
        </w:rPr>
        <w:t xml:space="preserve"> hospodaří </w:t>
      </w:r>
      <w:r w:rsidR="00984563">
        <w:rPr>
          <w:bCs/>
        </w:rPr>
        <w:br/>
      </w:r>
      <w:r w:rsidR="00BA7078">
        <w:rPr>
          <w:bCs/>
        </w:rPr>
        <w:t xml:space="preserve">se ztrátou a </w:t>
      </w:r>
      <w:r w:rsidR="005C3692">
        <w:rPr>
          <w:bCs/>
        </w:rPr>
        <w:t>má vážné problémy s úhradou splatných závazků. Finanční zdraví podniku je jednou ze zásad</w:t>
      </w:r>
      <w:r w:rsidR="00F50C48">
        <w:rPr>
          <w:bCs/>
        </w:rPr>
        <w:t xml:space="preserve">ních podmínek existence podniku, proto </w:t>
      </w:r>
      <w:r w:rsidR="00F50C48" w:rsidRPr="00801F35">
        <w:rPr>
          <w:b/>
          <w:bCs/>
        </w:rPr>
        <w:t xml:space="preserve">dílčím </w:t>
      </w:r>
      <w:r w:rsidR="00723D06" w:rsidRPr="00801F35">
        <w:rPr>
          <w:b/>
          <w:bCs/>
        </w:rPr>
        <w:t xml:space="preserve">cílem práce </w:t>
      </w:r>
      <w:r w:rsidR="00F50C48" w:rsidRPr="00801F35">
        <w:rPr>
          <w:b/>
          <w:bCs/>
        </w:rPr>
        <w:t xml:space="preserve">je </w:t>
      </w:r>
      <w:r w:rsidR="00F90CE1" w:rsidRPr="00801F35">
        <w:rPr>
          <w:b/>
          <w:bCs/>
        </w:rPr>
        <w:t xml:space="preserve">na základě </w:t>
      </w:r>
      <w:r w:rsidR="00E86221" w:rsidRPr="00801F35">
        <w:rPr>
          <w:b/>
          <w:bCs/>
        </w:rPr>
        <w:t>teoretického definování</w:t>
      </w:r>
      <w:r w:rsidR="00F90CE1" w:rsidRPr="00801F35">
        <w:rPr>
          <w:b/>
          <w:bCs/>
        </w:rPr>
        <w:t xml:space="preserve"> a výpočtu základních ukaz</w:t>
      </w:r>
      <w:r w:rsidR="00E86221" w:rsidRPr="00801F35">
        <w:rPr>
          <w:b/>
          <w:bCs/>
        </w:rPr>
        <w:t>atelů analýzy finančního zdraví</w:t>
      </w:r>
      <w:r w:rsidR="00F90CE1" w:rsidRPr="00801F35">
        <w:rPr>
          <w:b/>
          <w:bCs/>
        </w:rPr>
        <w:t xml:space="preserve">, tj. likvidity, čistého pracovního kapitálu, ukazatelů aktivity, </w:t>
      </w:r>
      <w:r w:rsidR="00A764E2">
        <w:rPr>
          <w:b/>
          <w:bCs/>
        </w:rPr>
        <w:br/>
      </w:r>
      <w:r w:rsidR="00F90CE1" w:rsidRPr="00801F35">
        <w:rPr>
          <w:b/>
          <w:bCs/>
        </w:rPr>
        <w:t>tj. obrat</w:t>
      </w:r>
      <w:r w:rsidR="00E86221" w:rsidRPr="00801F35">
        <w:rPr>
          <w:b/>
          <w:bCs/>
        </w:rPr>
        <w:t>u</w:t>
      </w:r>
      <w:r w:rsidR="00F90CE1" w:rsidRPr="00801F35">
        <w:rPr>
          <w:b/>
          <w:bCs/>
        </w:rPr>
        <w:t xml:space="preserve"> zásob, pohledávek a závazků a ukazatele věřitelského rizika</w:t>
      </w:r>
      <w:r w:rsidR="00E86221" w:rsidRPr="00801F35">
        <w:rPr>
          <w:b/>
          <w:bCs/>
        </w:rPr>
        <w:t>, určit možné příčiny problémů s platební schopností společnosti KOVOVÝROBA s. r. o.</w:t>
      </w:r>
      <w:r w:rsidR="00E86221">
        <w:rPr>
          <w:bCs/>
        </w:rPr>
        <w:t xml:space="preserve"> </w:t>
      </w:r>
      <w:r w:rsidR="00D44AD6">
        <w:rPr>
          <w:bCs/>
        </w:rPr>
        <w:t xml:space="preserve">Výše uvedené ukazatele byly vybrány z důvodu zjištění skutečnosti, jaký je ve společnosti poměr majetku a jeho financování (krytí). </w:t>
      </w:r>
      <w:r w:rsidR="00B30F21">
        <w:rPr>
          <w:bCs/>
        </w:rPr>
        <w:t>Důvodem tohoto</w:t>
      </w:r>
      <w:r w:rsidR="00D44AD6">
        <w:rPr>
          <w:bCs/>
        </w:rPr>
        <w:t xml:space="preserve"> zjištění</w:t>
      </w:r>
      <w:r w:rsidR="00B30F21">
        <w:rPr>
          <w:bCs/>
        </w:rPr>
        <w:t xml:space="preserve"> je,</w:t>
      </w:r>
      <w:r w:rsidR="00D44AD6">
        <w:rPr>
          <w:bCs/>
        </w:rPr>
        <w:t xml:space="preserve"> zda </w:t>
      </w:r>
      <w:r w:rsidR="00B30F21">
        <w:rPr>
          <w:bCs/>
        </w:rPr>
        <w:t xml:space="preserve">jsou současné finanční problémy společnosti </w:t>
      </w:r>
      <w:r w:rsidR="00701F76">
        <w:rPr>
          <w:bCs/>
        </w:rPr>
        <w:t xml:space="preserve">KOVOVÝROBA s. r. o. </w:t>
      </w:r>
      <w:r w:rsidR="00B30F21">
        <w:rPr>
          <w:bCs/>
        </w:rPr>
        <w:t>závažné</w:t>
      </w:r>
      <w:r w:rsidR="00064252">
        <w:rPr>
          <w:bCs/>
        </w:rPr>
        <w:t xml:space="preserve"> a nezvratné</w:t>
      </w:r>
      <w:r w:rsidR="00B30F21">
        <w:rPr>
          <w:bCs/>
        </w:rPr>
        <w:t xml:space="preserve"> </w:t>
      </w:r>
      <w:r w:rsidR="00B30F21">
        <w:rPr>
          <w:bCs/>
        </w:rPr>
        <w:lastRenderedPageBreak/>
        <w:t>nebo</w:t>
      </w:r>
      <w:r w:rsidR="00D44AD6">
        <w:rPr>
          <w:bCs/>
        </w:rPr>
        <w:t xml:space="preserve"> zda by bylo možné v průběhu </w:t>
      </w:r>
      <w:r w:rsidR="007555DC">
        <w:rPr>
          <w:bCs/>
        </w:rPr>
        <w:t>následujícího</w:t>
      </w:r>
      <w:r w:rsidR="00D44AD6">
        <w:rPr>
          <w:bCs/>
        </w:rPr>
        <w:t xml:space="preserve"> období její finanční situaci zlepšit a dosáhnout finanční stability, neboť</w:t>
      </w:r>
      <w:r w:rsidR="00D44AD6">
        <w:t xml:space="preserve"> má – </w:t>
      </w:r>
      <w:proofErr w:type="spellStart"/>
      <w:r w:rsidR="00D44AD6">
        <w:t>li</w:t>
      </w:r>
      <w:proofErr w:type="spellEnd"/>
      <w:r w:rsidR="00D44AD6">
        <w:t xml:space="preserve"> podnik oběžná aktiva vyšší než krátkodobé závazky, existuje naděje, že se mu podaří z těchto aktiv vyprodukovat dostatek peněžních prostředků k uhrazení svých krátkodobých závazků (</w:t>
      </w:r>
      <w:r w:rsidR="0093552E">
        <w:t>MRKVIČKA</w:t>
      </w:r>
      <w:r w:rsidR="00D44AD6">
        <w:t xml:space="preserve">, </w:t>
      </w:r>
      <w:r w:rsidR="0093552E">
        <w:t>KOLÁŘ</w:t>
      </w:r>
      <w:r w:rsidR="00D44AD6">
        <w:t>, 2006</w:t>
      </w:r>
      <w:r w:rsidR="00522850">
        <w:t>, s. 75)</w:t>
      </w:r>
      <w:r w:rsidR="00A951D3">
        <w:t>.</w:t>
      </w:r>
    </w:p>
    <w:p w:rsidR="00E86221" w:rsidRDefault="00316DB6" w:rsidP="00BA1E8F">
      <w:pPr>
        <w:pStyle w:val="Odstavecnormln"/>
      </w:pPr>
      <w:r>
        <w:t xml:space="preserve">Z výše uvedených důvodů se teoretická část bakalářské práce zabývá definicí majetku, vybraných ukazatelů likvidity, aktivity a zadluženosti. Dále jsou v teoretické části zmíněny faktory, které ovlivňují strukturu a výši majetku podniku. </w:t>
      </w:r>
      <w:r w:rsidR="00F50C48">
        <w:t>Z faktorů, které ovlivňují majetkovou strukturu</w:t>
      </w:r>
      <w:r w:rsidR="00652727">
        <w:t>,</w:t>
      </w:r>
      <w:r w:rsidR="00F50C48">
        <w:t xml:space="preserve"> je v teoretické části </w:t>
      </w:r>
      <w:r w:rsidR="00652727">
        <w:t xml:space="preserve">práce </w:t>
      </w:r>
      <w:r w:rsidR="00F50C48">
        <w:t xml:space="preserve">největší pozornost věnována oceňování majetku, neboť </w:t>
      </w:r>
      <w:r w:rsidR="00652727">
        <w:t>k veškerým</w:t>
      </w:r>
      <w:r w:rsidR="00F34DB0">
        <w:t xml:space="preserve"> výpočt</w:t>
      </w:r>
      <w:r w:rsidR="00652727">
        <w:t>ům</w:t>
      </w:r>
      <w:r w:rsidR="00F34DB0">
        <w:t xml:space="preserve"> finančních ukazatelů </w:t>
      </w:r>
      <w:r w:rsidR="00652727">
        <w:t>použitých v této práci byly získány hodnoty z účetních výkazů, tj. např. z</w:t>
      </w:r>
      <w:r w:rsidR="00F34DB0">
        <w:t xml:space="preserve"> rozvahy, kde je majetek vykázán v položkách aktiv a musel být </w:t>
      </w:r>
      <w:r w:rsidR="001D22F7">
        <w:t xml:space="preserve">podnikem </w:t>
      </w:r>
      <w:r w:rsidR="00F34DB0">
        <w:t>oceněn</w:t>
      </w:r>
      <w:r w:rsidR="00652727">
        <w:t>.</w:t>
      </w:r>
      <w:r w:rsidR="00F34DB0">
        <w:t xml:space="preserve"> V dalším textu jsou pro úplnost pouze stručně </w:t>
      </w:r>
      <w:r w:rsidR="00DF291A">
        <w:t>uvedeny</w:t>
      </w:r>
      <w:r w:rsidR="00F34DB0">
        <w:t xml:space="preserve"> další základní faktory, které ovlivňují majetkovou strukturu jakéhokoli podniku.</w:t>
      </w:r>
    </w:p>
    <w:p w:rsidR="00537BCB" w:rsidRDefault="00724533" w:rsidP="00BA1E8F">
      <w:pPr>
        <w:pStyle w:val="Odstavecnormln"/>
      </w:pPr>
      <w:r>
        <w:t>V </w:t>
      </w:r>
      <w:r w:rsidR="00F222AE">
        <w:t>praktické</w:t>
      </w:r>
      <w:r>
        <w:t xml:space="preserve"> části jsou podrobněji popsány sledované obchodní společnosti a jsou stanoveny </w:t>
      </w:r>
      <w:r w:rsidR="00992719">
        <w:t xml:space="preserve">a interpretovány </w:t>
      </w:r>
      <w:r>
        <w:t xml:space="preserve">hodnoty vybraných finančních ukazatelů </w:t>
      </w:r>
      <w:r w:rsidR="00992719">
        <w:t>obou výše uvedených</w:t>
      </w:r>
      <w:r>
        <w:t xml:space="preserve"> společností.</w:t>
      </w:r>
    </w:p>
    <w:p w:rsidR="00537BCB" w:rsidRDefault="00537BCB" w:rsidP="00537BCB">
      <w:r>
        <w:br w:type="page"/>
      </w:r>
    </w:p>
    <w:p w:rsidR="00742B9A" w:rsidRDefault="00742B9A" w:rsidP="00742B9A">
      <w:pPr>
        <w:pStyle w:val="Nadpis1"/>
      </w:pPr>
      <w:bookmarkStart w:id="3" w:name="_Toc353126153"/>
      <w:bookmarkStart w:id="4" w:name="_Toc353439345"/>
      <w:r>
        <w:lastRenderedPageBreak/>
        <w:t>POUŽITÉ METODY A TECHNIKY</w:t>
      </w:r>
      <w:bookmarkEnd w:id="3"/>
      <w:bookmarkEnd w:id="4"/>
    </w:p>
    <w:p w:rsidR="00560FC6" w:rsidRPr="00560FC6" w:rsidRDefault="00560FC6" w:rsidP="00BA1E8F">
      <w:pPr>
        <w:pStyle w:val="Odstavecnormln"/>
      </w:pPr>
      <w:r w:rsidRPr="00560FC6">
        <w:t>Práce vznikla na základě primárních a sekundárních zdrojů.</w:t>
      </w:r>
    </w:p>
    <w:p w:rsidR="00560FC6" w:rsidRPr="00560FC6" w:rsidRDefault="00560FC6" w:rsidP="00BA1E8F">
      <w:pPr>
        <w:pStyle w:val="Odstavecnormln"/>
      </w:pPr>
      <w:r w:rsidRPr="00560FC6">
        <w:t>V teoretické části bakalářské práce jsou jako primární zdroje použity vybrané zákony České republiky získané od společnosti SAGIT, nakladatelství ekonomické a právní literatury Ostrava. Ze sekundárních zdrojů byla použita odborná literatura zajištěná v Městské knihovně v České Lípě, knihovně CERGE v Praze a knihovně Vysoké školy ekonomie a managementu v Praze. Použitá literatura je</w:t>
      </w:r>
      <w:r w:rsidR="0054257D">
        <w:t xml:space="preserve"> uvedena</w:t>
      </w:r>
      <w:r w:rsidRPr="00560FC6">
        <w:t xml:space="preserve"> na str. </w:t>
      </w:r>
      <w:r w:rsidR="00B35AC3">
        <w:fldChar w:fldCharType="begin"/>
      </w:r>
      <w:r w:rsidR="00B35AC3">
        <w:instrText xml:space="preserve"> PAGEREF _Ref353440783 \h </w:instrText>
      </w:r>
      <w:r w:rsidR="00B35AC3">
        <w:fldChar w:fldCharType="separate"/>
      </w:r>
      <w:r w:rsidR="002534BA">
        <w:rPr>
          <w:noProof/>
        </w:rPr>
        <w:t>51</w:t>
      </w:r>
      <w:r w:rsidR="00B35AC3">
        <w:fldChar w:fldCharType="end"/>
      </w:r>
      <w:r w:rsidRPr="00560FC6">
        <w:t>.</w:t>
      </w:r>
    </w:p>
    <w:p w:rsidR="00560FC6" w:rsidRPr="00560FC6" w:rsidRDefault="00560FC6" w:rsidP="00BA1E8F">
      <w:pPr>
        <w:pStyle w:val="Odstavecnormln"/>
      </w:pPr>
      <w:r w:rsidRPr="00560FC6">
        <w:t xml:space="preserve">Pro zpracování praktické části byly společností KOVOVÝROBA, s. r. o., Liberec </w:t>
      </w:r>
      <w:r w:rsidR="00537BCB">
        <w:br/>
      </w:r>
      <w:r w:rsidRPr="00560FC6">
        <w:t>a společností Q – MON</w:t>
      </w:r>
      <w:r w:rsidR="00A951D3">
        <w:t>T s. r. o., Liberec poskytnuty rozvahy, v</w:t>
      </w:r>
      <w:r w:rsidRPr="00560FC6">
        <w:t>ýkazy zisků a ztrát za období roku 2009, 2010 a 2011 a účetnictví společností zpracovávané v programu STEREO od společnosti Ježek software s. r. o., Česká Lípa (</w:t>
      </w:r>
      <w:hyperlink r:id="rId14" w:history="1">
        <w:r w:rsidRPr="00560FC6">
          <w:rPr>
            <w:rStyle w:val="Hypertextovodkaz"/>
            <w:bCs/>
          </w:rPr>
          <w:t>http://www.jezeksw.cz/</w:t>
        </w:r>
      </w:hyperlink>
      <w:r w:rsidRPr="00560FC6">
        <w:t xml:space="preserve">). STEREO je program pro vedení kompletní </w:t>
      </w:r>
      <w:r w:rsidR="00294D68">
        <w:t xml:space="preserve">účetní a </w:t>
      </w:r>
      <w:r w:rsidRPr="00560FC6">
        <w:t xml:space="preserve">administrativní agendy malých </w:t>
      </w:r>
      <w:r w:rsidR="00294D68">
        <w:br/>
      </w:r>
      <w:r w:rsidRPr="00560FC6">
        <w:t xml:space="preserve">a středních firem. Je určen </w:t>
      </w:r>
      <w:r w:rsidR="00294D68">
        <w:t>především</w:t>
      </w:r>
      <w:r w:rsidRPr="00560FC6">
        <w:t xml:space="preserve"> pro podnikatelské subjekty.</w:t>
      </w:r>
    </w:p>
    <w:p w:rsidR="00F954C2" w:rsidRDefault="00560FC6" w:rsidP="00BA1E8F">
      <w:pPr>
        <w:pStyle w:val="Odstavecnormln"/>
      </w:pPr>
      <w:r w:rsidRPr="00560FC6">
        <w:t>Data z účetních výkazů a účetnictví jsou uspořádána do výběrových tabulek, uvedených v bakalářské práci a dále zpracována v analýze intenzivních ukazatelů (analýza poměrových ukazatelů) pro zjištění likvidity, akti</w:t>
      </w:r>
      <w:r w:rsidR="008B099E">
        <w:t xml:space="preserve">vity a zadluženosti společnosti </w:t>
      </w:r>
      <w:r w:rsidR="00294D68">
        <w:br/>
      </w:r>
      <w:r w:rsidR="008B099E">
        <w:t xml:space="preserve">a analýze rozdílových ukazatelů pro </w:t>
      </w:r>
      <w:r w:rsidRPr="00560FC6">
        <w:t>zjištění čistého pracovního kapitálu</w:t>
      </w:r>
      <w:r w:rsidR="00435F00">
        <w:t xml:space="preserve"> (jedná se </w:t>
      </w:r>
      <w:r w:rsidR="00294D68">
        <w:br/>
      </w:r>
      <w:r w:rsidR="00435F00">
        <w:t>o technickou analýzu podniku se zaměřením na majetek)</w:t>
      </w:r>
      <w:r w:rsidRPr="00560FC6">
        <w:t xml:space="preserve">. </w:t>
      </w:r>
      <w:r w:rsidR="008B099E">
        <w:t>V bakalářské práci je použita komparace dvou vybraných společností zaměřená na strukturu majetku</w:t>
      </w:r>
      <w:r w:rsidR="00816CD3">
        <w:t>.</w:t>
      </w:r>
      <w:r w:rsidR="008B099E">
        <w:t xml:space="preserve"> </w:t>
      </w:r>
      <w:r w:rsidRPr="00560FC6">
        <w:t>Hodnoty ukazatelů jsou interpretovány a v závěru práce jsou shrnuty poznatky vyplývající ze zjištěných informací. Veškeré tabulky a výpočty jsou provedeny v programu Microsoft EXCEL 2010. Text je upraven v programu Microsoft WORD 2010.</w:t>
      </w:r>
    </w:p>
    <w:p w:rsidR="00F954C2" w:rsidRDefault="00F954C2">
      <w:pPr>
        <w:spacing w:after="200" w:line="276" w:lineRule="auto"/>
        <w:jc w:val="left"/>
        <w:rPr>
          <w:bCs/>
        </w:rPr>
      </w:pPr>
      <w:r>
        <w:rPr>
          <w:bCs/>
        </w:rPr>
        <w:br w:type="page"/>
      </w:r>
    </w:p>
    <w:p w:rsidR="00560FC6" w:rsidRPr="00D23AB1" w:rsidRDefault="00F954C2" w:rsidP="00560FC6">
      <w:pPr>
        <w:rPr>
          <w:b/>
          <w:bCs/>
          <w:sz w:val="32"/>
          <w:szCs w:val="32"/>
        </w:rPr>
      </w:pPr>
      <w:r w:rsidRPr="00D23AB1">
        <w:rPr>
          <w:b/>
          <w:bCs/>
          <w:sz w:val="32"/>
          <w:szCs w:val="32"/>
        </w:rPr>
        <w:lastRenderedPageBreak/>
        <w:t>TEORETICKO –</w:t>
      </w:r>
      <w:r w:rsidR="00294D68">
        <w:rPr>
          <w:b/>
          <w:bCs/>
          <w:sz w:val="32"/>
          <w:szCs w:val="32"/>
        </w:rPr>
        <w:t xml:space="preserve"> </w:t>
      </w:r>
      <w:r w:rsidRPr="00D23AB1">
        <w:rPr>
          <w:b/>
          <w:bCs/>
          <w:sz w:val="32"/>
          <w:szCs w:val="32"/>
        </w:rPr>
        <w:t>METODOLOGICKÁ ČÁST PRÁCE</w:t>
      </w:r>
    </w:p>
    <w:p w:rsidR="00DE135F" w:rsidRDefault="00F843F3" w:rsidP="00FE6E53">
      <w:pPr>
        <w:pStyle w:val="Nadpis1"/>
      </w:pPr>
      <w:bookmarkStart w:id="5" w:name="_Ref350700011"/>
      <w:bookmarkStart w:id="6" w:name="_Ref350700021"/>
      <w:bookmarkStart w:id="7" w:name="_Ref351998154"/>
      <w:bookmarkStart w:id="8" w:name="_Ref351998165"/>
      <w:bookmarkStart w:id="9" w:name="_Toc353126154"/>
      <w:bookmarkStart w:id="10" w:name="_Toc353439346"/>
      <w:r>
        <w:t>MAJETEK PODNIKU</w:t>
      </w:r>
      <w:bookmarkEnd w:id="5"/>
      <w:bookmarkEnd w:id="6"/>
      <w:bookmarkEnd w:id="7"/>
      <w:bookmarkEnd w:id="8"/>
      <w:bookmarkEnd w:id="9"/>
      <w:bookmarkEnd w:id="10"/>
    </w:p>
    <w:p w:rsidR="00F96262" w:rsidRDefault="00F96262" w:rsidP="00BA1E8F">
      <w:pPr>
        <w:pStyle w:val="Odstavecnormln"/>
      </w:pPr>
      <w:r>
        <w:t>Majetek (</w:t>
      </w:r>
      <w:r w:rsidRPr="00723F8E">
        <w:t>aktiva</w:t>
      </w:r>
      <w:r>
        <w:t>)</w:t>
      </w:r>
      <w:r w:rsidRPr="00723F8E">
        <w:t xml:space="preserve"> jsou nezbytná pro každý podnik k uskutečňování jeho ekonomické činnosti. Majetek představuje pro podnik prostředky, které jsou nezbytné k dosahování ekonomických výsledků. Tyto prostředky jsou kryty zdroji – pasivy. Aktiva a</w:t>
      </w:r>
      <w:r>
        <w:t xml:space="preserve"> pasiva musí být v rovnováze</w:t>
      </w:r>
      <w:r w:rsidRPr="00723F8E">
        <w:t>.</w:t>
      </w:r>
    </w:p>
    <w:p w:rsidR="00F96262" w:rsidRPr="00723F8E" w:rsidRDefault="00F96262" w:rsidP="00BA1E8F">
      <w:pPr>
        <w:pStyle w:val="Odstavecnormln"/>
      </w:pPr>
      <w:r w:rsidRPr="00676804">
        <w:t xml:space="preserve">Na majetek podniku se díváme ze dvou základních hledisek. Jednak z hlediska konkrétní formy, ve které se nachází, a jednak z hlediska původu majetku, tj. z jakých zdrojů byl tento majetek získán (HRDÝ, HOROVÁ, 2009, </w:t>
      </w:r>
      <w:r>
        <w:t>s. 31</w:t>
      </w:r>
      <w:r w:rsidRPr="00676804">
        <w:t>).</w:t>
      </w:r>
      <w:r w:rsidRPr="00723F8E">
        <w:rPr>
          <w:i/>
        </w:rPr>
        <w:t xml:space="preserve"> </w:t>
      </w:r>
      <w:r w:rsidRPr="00723F8E">
        <w:t>Údaje o majetku z hlediska konkrétní formy poskytuje</w:t>
      </w:r>
      <w:r w:rsidR="0028216A">
        <w:t xml:space="preserve"> strana aktiv rozvahy (bilance)</w:t>
      </w:r>
      <w:r w:rsidR="00B42752">
        <w:t>, tzn.,</w:t>
      </w:r>
      <w:r w:rsidR="0028216A">
        <w:t xml:space="preserve"> </w:t>
      </w:r>
      <w:r w:rsidR="00B42752">
        <w:t xml:space="preserve">je zde zachycena </w:t>
      </w:r>
      <w:r w:rsidR="0028216A">
        <w:t xml:space="preserve">struktura majetku </w:t>
      </w:r>
      <w:r w:rsidR="00B42752">
        <w:t xml:space="preserve">konkrétního </w:t>
      </w:r>
      <w:r w:rsidR="0028216A">
        <w:t>podniku.</w:t>
      </w:r>
      <w:r w:rsidRPr="00723F8E">
        <w:t xml:space="preserve"> Údaje o původu majetku nebo zdrojích, z kterých byl majetek pořízen, udává</w:t>
      </w:r>
      <w:r w:rsidR="0028216A">
        <w:t xml:space="preserve"> strana pasiv rozvahy (bilance), tzn., </w:t>
      </w:r>
      <w:r w:rsidR="00B42752">
        <w:t xml:space="preserve">jsou </w:t>
      </w:r>
      <w:r w:rsidR="0028216A">
        <w:t>zde zachyceny zdroje financování (krytí) majetku</w:t>
      </w:r>
      <w:r w:rsidR="00D53716">
        <w:rPr>
          <w:rStyle w:val="Znakapoznpodarou"/>
        </w:rPr>
        <w:footnoteReference w:id="2"/>
      </w:r>
      <w:r w:rsidR="0028216A">
        <w:t>.</w:t>
      </w:r>
      <w:r w:rsidR="00851344">
        <w:t xml:space="preserve"> Struktuře majetku podniku je věnována následující kapitola.</w:t>
      </w:r>
    </w:p>
    <w:p w:rsidR="00C94336" w:rsidRDefault="008F2150" w:rsidP="00FE6E53">
      <w:pPr>
        <w:pStyle w:val="Nadpis2"/>
      </w:pPr>
      <w:bookmarkStart w:id="11" w:name="_Ref350529304"/>
      <w:bookmarkStart w:id="12" w:name="_Ref350529315"/>
      <w:bookmarkStart w:id="13" w:name="_Toc353126155"/>
      <w:bookmarkStart w:id="14" w:name="_Toc353439347"/>
      <w:r>
        <w:t>STRUKTURA MAJETKU PODNIKU</w:t>
      </w:r>
      <w:bookmarkEnd w:id="11"/>
      <w:bookmarkEnd w:id="12"/>
      <w:bookmarkEnd w:id="13"/>
      <w:bookmarkEnd w:id="14"/>
    </w:p>
    <w:p w:rsidR="00F96262" w:rsidRDefault="00F96262" w:rsidP="00BA1E8F">
      <w:pPr>
        <w:spacing w:after="120"/>
      </w:pPr>
      <w:r w:rsidRPr="009A1B18">
        <w:t>Majetek podniku lze charakterizovat také jako souhrn věcí, peněz, pohledávek a jiných majetkových hodnot, které podnik vlastní. Tento souhrn hodnot bude v budoucnu podniku přinášet ekonomický prospěch</w:t>
      </w:r>
      <w:r w:rsidRPr="009A1B18">
        <w:rPr>
          <w:vertAlign w:val="superscript"/>
        </w:rPr>
        <w:footnoteReference w:id="3"/>
      </w:r>
      <w:r w:rsidR="002E7B5D">
        <w:t xml:space="preserve"> - </w:t>
      </w:r>
      <w:r w:rsidRPr="009A1B18">
        <w:t xml:space="preserve">např. hmotný majetek je pro podnik výrobních prostředkem, bez kterého by nemohly být vyrobeny výrobky. Vyrobené výrobky budou v budoucnu prodány. Prodejem výrobků vzniká podniku užitek v podobě tržeb, vzniká také pohledávka. Vyrovnáním pohledávky dochází ke zvýšení finančních prostředků. Peníze představují pro podnik další aktivum, které bude sloužit </w:t>
      </w:r>
      <w:r w:rsidRPr="009A1B18">
        <w:lastRenderedPageBreak/>
        <w:t>k zaplacení závazků.</w:t>
      </w:r>
      <w:r w:rsidR="00395507">
        <w:t xml:space="preserve"> </w:t>
      </w:r>
      <w:r w:rsidR="00395507" w:rsidRPr="001B0FFF">
        <w:rPr>
          <w:b/>
        </w:rPr>
        <w:t>Konkrétní formy, v kterých se majetek podniku nachází</w:t>
      </w:r>
      <w:r w:rsidR="004B6FBE" w:rsidRPr="001B0FFF">
        <w:rPr>
          <w:b/>
        </w:rPr>
        <w:t>,</w:t>
      </w:r>
      <w:r w:rsidR="00395507" w:rsidRPr="001B0FFF">
        <w:rPr>
          <w:b/>
        </w:rPr>
        <w:t xml:space="preserve"> tvoří strukturu majetku podniku.</w:t>
      </w:r>
      <w:r w:rsidR="004B6FBE">
        <w:t xml:space="preserve"> Struktura a hodnota majetku podniku se během života podniku může měnit. To zále</w:t>
      </w:r>
      <w:r w:rsidR="00E221DD">
        <w:t>ží na mnoha faktorech. Některým</w:t>
      </w:r>
      <w:r w:rsidR="004B6FBE">
        <w:t xml:space="preserve"> z nich </w:t>
      </w:r>
      <w:r w:rsidR="00E221DD">
        <w:t>je</w:t>
      </w:r>
      <w:r w:rsidR="004B6FBE">
        <w:t xml:space="preserve"> podrobněji </w:t>
      </w:r>
      <w:r w:rsidR="00E221DD">
        <w:t>věnována</w:t>
      </w:r>
      <w:r w:rsidR="004B6FBE">
        <w:t xml:space="preserve"> </w:t>
      </w:r>
      <w:proofErr w:type="gramStart"/>
      <w:r w:rsidR="004B6FBE">
        <w:t xml:space="preserve">kapitola </w:t>
      </w:r>
      <w:r w:rsidR="00673BBA">
        <w:fldChar w:fldCharType="begin"/>
      </w:r>
      <w:r w:rsidR="00673BBA">
        <w:instrText xml:space="preserve"> REF _Ref348555951 \r \h </w:instrText>
      </w:r>
      <w:r w:rsidR="00673BBA">
        <w:fldChar w:fldCharType="separate"/>
      </w:r>
      <w:r w:rsidR="002534BA">
        <w:t>3.4</w:t>
      </w:r>
      <w:r w:rsidR="00673BBA">
        <w:fldChar w:fldCharType="end"/>
      </w:r>
      <w:r w:rsidR="00673BBA">
        <w:t xml:space="preserve"> </w:t>
      </w:r>
      <w:r w:rsidR="00EA28BE">
        <w:t>na</w:t>
      </w:r>
      <w:proofErr w:type="gramEnd"/>
      <w:r w:rsidR="00EA28BE">
        <w:t xml:space="preserve"> str</w:t>
      </w:r>
      <w:r w:rsidR="004B6FBE">
        <w:t>.</w:t>
      </w:r>
      <w:r w:rsidR="00EA28BE">
        <w:t xml:space="preserve"> </w:t>
      </w:r>
      <w:r w:rsidR="00EA28BE">
        <w:fldChar w:fldCharType="begin"/>
      </w:r>
      <w:r w:rsidR="00EA28BE">
        <w:instrText xml:space="preserve"> PAGEREF _Ref348555951 \h </w:instrText>
      </w:r>
      <w:r w:rsidR="00EA28BE">
        <w:fldChar w:fldCharType="separate"/>
      </w:r>
      <w:r w:rsidR="002534BA">
        <w:rPr>
          <w:noProof/>
        </w:rPr>
        <w:t>15</w:t>
      </w:r>
      <w:r w:rsidR="00EA28BE">
        <w:fldChar w:fldCharType="end"/>
      </w:r>
      <w:r w:rsidR="004B6FBE">
        <w:t>.</w:t>
      </w:r>
      <w:r w:rsidR="00644217">
        <w:t xml:space="preserve"> </w:t>
      </w:r>
    </w:p>
    <w:p w:rsidR="00C64A3F" w:rsidRDefault="00C64A3F" w:rsidP="00BA1E8F">
      <w:pPr>
        <w:pStyle w:val="Odstavecnormln"/>
      </w:pPr>
      <w:r w:rsidRPr="00957765">
        <w:t>Pohled na výši majetku a kapitálu podniku podává výkaz rozvaha (bilance). Rozvaha</w:t>
      </w:r>
      <w:r w:rsidR="00584DE9">
        <w:rPr>
          <w:rStyle w:val="Znakapoznpodarou"/>
        </w:rPr>
        <w:footnoteReference w:id="4"/>
      </w:r>
      <w:r w:rsidRPr="00957765">
        <w:t xml:space="preserve"> podává informace o podrobnějším členění </w:t>
      </w:r>
      <w:r w:rsidR="00584DE9">
        <w:t>aktiv (znázornění struktury</w:t>
      </w:r>
      <w:r w:rsidR="00644217">
        <w:t xml:space="preserve"> majetku) </w:t>
      </w:r>
      <w:r w:rsidRPr="00957765">
        <w:t>a pasiv</w:t>
      </w:r>
      <w:r w:rsidR="00644217">
        <w:t xml:space="preserve"> (</w:t>
      </w:r>
      <w:r w:rsidR="00584DE9">
        <w:t>znázornění</w:t>
      </w:r>
      <w:r w:rsidR="00644217">
        <w:t xml:space="preserve"> struktu</w:t>
      </w:r>
      <w:r w:rsidR="00584DE9">
        <w:t>ry</w:t>
      </w:r>
      <w:r w:rsidR="0073394F">
        <w:t xml:space="preserve"> financování nebo krytí aktiv</w:t>
      </w:r>
      <w:r w:rsidR="00644217">
        <w:t xml:space="preserve"> </w:t>
      </w:r>
      <w:r w:rsidR="0073394F">
        <w:t xml:space="preserve">– viz </w:t>
      </w:r>
      <w:r w:rsidR="00673BBA">
        <w:fldChar w:fldCharType="begin"/>
      </w:r>
      <w:r w:rsidR="00673BBA">
        <w:instrText xml:space="preserve"> REF _Ref348718542 \h </w:instrText>
      </w:r>
      <w:r w:rsidR="00673BBA">
        <w:fldChar w:fldCharType="separate"/>
      </w:r>
      <w:r w:rsidR="002534BA" w:rsidRPr="00897452">
        <w:t xml:space="preserve">Obrázek </w:t>
      </w:r>
      <w:r w:rsidR="002534BA">
        <w:rPr>
          <w:noProof/>
        </w:rPr>
        <w:t>1</w:t>
      </w:r>
      <w:r w:rsidR="00673BBA">
        <w:fldChar w:fldCharType="end"/>
      </w:r>
      <w:r w:rsidR="00644217">
        <w:t>)</w:t>
      </w:r>
      <w:r w:rsidRPr="00957765">
        <w:t>. Mezi zdroje podniku patří také výsledek hospodaření. V rozvaze však není zachycena tvorba výsledku hospodařen</w:t>
      </w:r>
      <w:r w:rsidR="0081694C">
        <w:t>í. Ta je uvedena ve výkazu zisků</w:t>
      </w:r>
      <w:r w:rsidR="008E58AD">
        <w:t xml:space="preserve"> a ztrá</w:t>
      </w:r>
      <w:r w:rsidR="00714D32">
        <w:t>t</w:t>
      </w:r>
      <w:r w:rsidR="00A951D3">
        <w:rPr>
          <w:rStyle w:val="Znakapoznpodarou"/>
          <w:szCs w:val="24"/>
        </w:rPr>
        <w:footnoteReference w:id="5"/>
      </w:r>
      <w:r w:rsidR="00E32ABA">
        <w:t>.</w:t>
      </w:r>
    </w:p>
    <w:p w:rsidR="00CD4762" w:rsidRDefault="00673BBA" w:rsidP="00BA1E8F">
      <w:pPr>
        <w:pStyle w:val="Odstavecnormln"/>
      </w:pPr>
      <w:r>
        <w:t>Níže je uveden obrázek, který zachycuje základní strukturu aktiv (majetku) a pasiv (zdrojů) podniku.</w:t>
      </w:r>
    </w:p>
    <w:p w:rsidR="00CD4762" w:rsidRDefault="00CD4762">
      <w:pPr>
        <w:spacing w:after="200" w:line="276" w:lineRule="auto"/>
        <w:jc w:val="left"/>
      </w:pPr>
      <w:r>
        <w:br w:type="page"/>
      </w:r>
    </w:p>
    <w:p w:rsidR="0073394F" w:rsidRPr="00897452" w:rsidRDefault="0073394F" w:rsidP="00897452">
      <w:pPr>
        <w:pStyle w:val="Titulek"/>
      </w:pPr>
      <w:bookmarkStart w:id="15" w:name="_Ref348718542"/>
      <w:bookmarkStart w:id="16" w:name="_Ref348556045"/>
      <w:bookmarkStart w:id="17" w:name="_Toc351999917"/>
      <w:r w:rsidRPr="00897452">
        <w:lastRenderedPageBreak/>
        <w:t xml:space="preserve">Obrázek </w:t>
      </w:r>
      <w:r w:rsidR="00C96C2B">
        <w:fldChar w:fldCharType="begin"/>
      </w:r>
      <w:r w:rsidR="00C96C2B">
        <w:instrText xml:space="preserve"> S</w:instrText>
      </w:r>
      <w:r w:rsidR="00C96C2B">
        <w:instrText xml:space="preserve">EQ Obrázek \* ARABIC </w:instrText>
      </w:r>
      <w:r w:rsidR="00C96C2B">
        <w:fldChar w:fldCharType="separate"/>
      </w:r>
      <w:r w:rsidR="002534BA">
        <w:rPr>
          <w:noProof/>
        </w:rPr>
        <w:t>1</w:t>
      </w:r>
      <w:r w:rsidR="00C96C2B">
        <w:rPr>
          <w:noProof/>
        </w:rPr>
        <w:fldChar w:fldCharType="end"/>
      </w:r>
      <w:bookmarkEnd w:id="15"/>
      <w:r w:rsidRPr="00897452">
        <w:t xml:space="preserve"> Struktura aktiv a pasiv v rozvaze (bilanci)</w:t>
      </w:r>
      <w:bookmarkEnd w:id="16"/>
      <w:r w:rsidR="00702D2F">
        <w:rPr>
          <w:rStyle w:val="Znakapoznpodarou"/>
        </w:rPr>
        <w:footnoteReference w:id="6"/>
      </w:r>
      <w:bookmarkEnd w:id="17"/>
    </w:p>
    <w:p w:rsidR="00644217" w:rsidRPr="00162EDA" w:rsidRDefault="00644217" w:rsidP="00611B2C">
      <w:pPr>
        <w:pStyle w:val="dajepodtabulkou"/>
        <w:ind w:left="1276"/>
      </w:pPr>
      <w:r>
        <w:rPr>
          <w:noProof/>
        </w:rPr>
        <w:drawing>
          <wp:anchor distT="0" distB="0" distL="114300" distR="114300" simplePos="0" relativeHeight="251659264" behindDoc="0" locked="0" layoutInCell="1" allowOverlap="1" wp14:anchorId="23128A10" wp14:editId="194748C7">
            <wp:simplePos x="0" y="0"/>
            <wp:positionH relativeFrom="column">
              <wp:posOffset>763905</wp:posOffset>
            </wp:positionH>
            <wp:positionV relativeFrom="paragraph">
              <wp:posOffset>635</wp:posOffset>
            </wp:positionV>
            <wp:extent cx="3875405" cy="2376170"/>
            <wp:effectExtent l="0" t="0" r="0" b="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iva pasiv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75405" cy="2376170"/>
                    </a:xfrm>
                    <a:prstGeom prst="rect">
                      <a:avLst/>
                    </a:prstGeom>
                  </pic:spPr>
                </pic:pic>
              </a:graphicData>
            </a:graphic>
            <wp14:sizeRelH relativeFrom="page">
              <wp14:pctWidth>0</wp14:pctWidth>
            </wp14:sizeRelH>
            <wp14:sizeRelV relativeFrom="page">
              <wp14:pctHeight>0</wp14:pctHeight>
            </wp14:sizeRelV>
          </wp:anchor>
        </w:drawing>
      </w:r>
      <w:r w:rsidRPr="00162EDA">
        <w:t>Zdroj: vlastní</w:t>
      </w:r>
      <w:r w:rsidR="001303A2">
        <w:t xml:space="preserve"> zpracování</w:t>
      </w:r>
    </w:p>
    <w:p w:rsidR="00673BBA" w:rsidRDefault="00673BBA" w:rsidP="00BA1E8F">
      <w:pPr>
        <w:pStyle w:val="Odstavecnormln"/>
      </w:pPr>
      <w:bookmarkStart w:id="18" w:name="_Toc339528864"/>
      <w:r>
        <w:t>Na obrázku 1 je zachycena struktura majetku (aktiv), kde je znázorněno, že majetek (aktiva) podniku jsou tvořena čtyřmi základními celky. Jsou to pohledávky za upsaný základní kapitál</w:t>
      </w:r>
      <w:r>
        <w:rPr>
          <w:rStyle w:val="Znakapoznpodarou"/>
        </w:rPr>
        <w:footnoteReference w:id="7"/>
      </w:r>
      <w:r>
        <w:t>, dlouhodobý majetek, oběžná aktiva a časové rozlišení.</w:t>
      </w:r>
      <w:r>
        <w:rPr>
          <w:rStyle w:val="Znakapoznpodarou"/>
        </w:rPr>
        <w:footnoteReference w:id="8"/>
      </w:r>
      <w:r>
        <w:t xml:space="preserve"> </w:t>
      </w:r>
    </w:p>
    <w:p w:rsidR="00B36171" w:rsidRDefault="00B36171" w:rsidP="00BA1E8F">
      <w:pPr>
        <w:pStyle w:val="Odstavecnormln"/>
      </w:pPr>
      <w:r>
        <w:t xml:space="preserve">Další kapitoly jsou podrobněji </w:t>
      </w:r>
      <w:r w:rsidR="006959AC">
        <w:t xml:space="preserve">věnovány </w:t>
      </w:r>
      <w:r>
        <w:t>dlouhodobému a oběžnému majetku.</w:t>
      </w:r>
    </w:p>
    <w:p w:rsidR="00BC350F" w:rsidRDefault="00BC350F" w:rsidP="00B36171">
      <w:pPr>
        <w:pStyle w:val="Nadpis3"/>
      </w:pPr>
      <w:bookmarkStart w:id="19" w:name="_Toc353126156"/>
      <w:bookmarkStart w:id="20" w:name="_Toc353439348"/>
      <w:r>
        <w:t>Dlouhodobý majetek</w:t>
      </w:r>
      <w:bookmarkEnd w:id="19"/>
      <w:bookmarkEnd w:id="20"/>
    </w:p>
    <w:p w:rsidR="00CC0BF8" w:rsidRDefault="00366DDA" w:rsidP="00BA1E8F">
      <w:pPr>
        <w:pStyle w:val="Odstavecnormln"/>
      </w:pPr>
      <w:r>
        <w:t>Dlouhodobý majetek slouží podniku dlouhodobě, tzn.</w:t>
      </w:r>
      <w:r w:rsidR="00102AE9">
        <w:t>,</w:t>
      </w:r>
      <w:r>
        <w:t xml:space="preserve"> není spotřebováván okamžitě jako např. zásoby na skladě (zásoby bývají okamžitě použity k výrobě nebo prodeji), ale jeho spotřeba (opotřebení) probíhá postupně.</w:t>
      </w:r>
    </w:p>
    <w:p w:rsidR="00CC0BF8" w:rsidRDefault="00CC0BF8" w:rsidP="00BA1E8F">
      <w:pPr>
        <w:pStyle w:val="Odstavecnormln"/>
      </w:pPr>
      <w:r>
        <w:lastRenderedPageBreak/>
        <w:t>Dlouhodobý majetek je členěn na nehmotný, hmotný a finanční. Mezi nehmotný majetek jsou řazeny zřizovací výdaje, nehmotné výsledky výzkumu a vývoje, software, ocenitelná práva, goodwill</w:t>
      </w:r>
      <w:r w:rsidR="00A51E27">
        <w:rPr>
          <w:rStyle w:val="Znakapoznpodarou"/>
        </w:rPr>
        <w:footnoteReference w:id="9"/>
      </w:r>
      <w:r>
        <w:t xml:space="preserve"> a nedokončený dlouhodobý nehmotný majetek.</w:t>
      </w:r>
    </w:p>
    <w:p w:rsidR="00F9437D" w:rsidRDefault="00F9437D" w:rsidP="00BA1E8F">
      <w:pPr>
        <w:pStyle w:val="Odstavecnormln"/>
      </w:pPr>
      <w:r>
        <w:t xml:space="preserve">Hmotným majetkem (dále jen HM) se dle zákona o dani z příjmu č. 586/1992 Sb. rozumí pozemky, stavby, samostatné movité věci nebo soubory věcí movitých, jejichž vstupní hodnota je vyšší než 40.000 Kč a mají provozně technické funkce delší než </w:t>
      </w:r>
      <w:r w:rsidR="001634B3">
        <w:br/>
      </w:r>
      <w:r>
        <w:t>1 rok, pěstitelské celky trvalých porostů, dospělá zvířata a jiný dlouhodobý majetek.</w:t>
      </w:r>
    </w:p>
    <w:p w:rsidR="00366DDA" w:rsidRPr="00366DDA" w:rsidRDefault="00366DDA" w:rsidP="00BA1E8F">
      <w:pPr>
        <w:pStyle w:val="Odstavecnormln"/>
      </w:pPr>
      <w:r>
        <w:t xml:space="preserve">Jako prostředek k určení hodnoty spotřeby (opotřebení) dlouhodobého </w:t>
      </w:r>
      <w:r w:rsidR="00F9437D">
        <w:t>HM</w:t>
      </w:r>
      <w:r>
        <w:t xml:space="preserve"> slouží odpisy. Právní úprava odpisů </w:t>
      </w:r>
      <w:r w:rsidR="00F9437D">
        <w:t>HM</w:t>
      </w:r>
      <w:r w:rsidR="00905A2F">
        <w:t xml:space="preserve"> </w:t>
      </w:r>
      <w:r>
        <w:t>je zakotvena v </w:t>
      </w:r>
      <w:r w:rsidR="00905A2F">
        <w:t>§ 26 –</w:t>
      </w:r>
      <w:r w:rsidR="00EC0E27">
        <w:t xml:space="preserve"> 32 a nehmotného majetku </w:t>
      </w:r>
      <w:r w:rsidR="00F9437D">
        <w:br/>
      </w:r>
      <w:r w:rsidR="00EC0E27">
        <w:t>v §</w:t>
      </w:r>
      <w:r w:rsidR="00905A2F">
        <w:t xml:space="preserve"> 32a) </w:t>
      </w:r>
      <w:r w:rsidR="00EC0E27">
        <w:t>zákona</w:t>
      </w:r>
      <w:r>
        <w:t xml:space="preserve"> </w:t>
      </w:r>
      <w:r w:rsidR="00905A2F">
        <w:t>o dani z příjmu č. 58</w:t>
      </w:r>
      <w:r w:rsidR="00102AE9">
        <w:t xml:space="preserve">6/1992 Sb. Dlouhodobý </w:t>
      </w:r>
      <w:r w:rsidR="00F9437D">
        <w:t>HM</w:t>
      </w:r>
      <w:r w:rsidR="00102AE9">
        <w:t xml:space="preserve"> může být také z odpisování vyloučen. Jde především o majetek, u kterého nedochází k opotřebení,</w:t>
      </w:r>
      <w:r w:rsidR="00E6655D">
        <w:t xml:space="preserve"> </w:t>
      </w:r>
      <w:r w:rsidR="00537BCB">
        <w:br/>
      </w:r>
      <w:r w:rsidR="00E6655D">
        <w:t>ba</w:t>
      </w:r>
      <w:r w:rsidR="00102AE9">
        <w:t xml:space="preserve"> naopak jeho hodnota může růst (např. pozemky, umělecká díla a sbírky)</w:t>
      </w:r>
      <w:r w:rsidR="00A30D49">
        <w:t>. Takový majetek je uveden v § 27 zákona o dani z příjmu.</w:t>
      </w:r>
      <w:r w:rsidR="007B301F">
        <w:t xml:space="preserve"> Odpisování majetku úzce souvisí s jeho oceněním. Této problematice se podrobněji věnuje </w:t>
      </w:r>
      <w:proofErr w:type="gramStart"/>
      <w:r w:rsidR="007B301F">
        <w:t xml:space="preserve">kapitola </w:t>
      </w:r>
      <w:r w:rsidR="001724DC">
        <w:fldChar w:fldCharType="begin"/>
      </w:r>
      <w:r w:rsidR="001724DC">
        <w:instrText xml:space="preserve"> REF _Ref348556157 \r \h </w:instrText>
      </w:r>
      <w:r w:rsidR="001724DC">
        <w:fldChar w:fldCharType="separate"/>
      </w:r>
      <w:r w:rsidR="002534BA">
        <w:t>3.4.1</w:t>
      </w:r>
      <w:proofErr w:type="gramEnd"/>
      <w:r w:rsidR="001724DC">
        <w:fldChar w:fldCharType="end"/>
      </w:r>
      <w:r w:rsidR="001724DC">
        <w:t xml:space="preserve"> </w:t>
      </w:r>
      <w:r w:rsidR="007B301F">
        <w:t xml:space="preserve">Oceňování </w:t>
      </w:r>
      <w:r w:rsidR="00537BCB">
        <w:br/>
      </w:r>
      <w:r w:rsidR="007B301F">
        <w:t>a odpisování majetku na str.</w:t>
      </w:r>
      <w:r w:rsidR="0071671E">
        <w:t xml:space="preserve"> </w:t>
      </w:r>
      <w:r w:rsidR="001C0760">
        <w:fldChar w:fldCharType="begin"/>
      </w:r>
      <w:r w:rsidR="001C0760">
        <w:instrText xml:space="preserve"> PAGEREF _Ref348556157 \h </w:instrText>
      </w:r>
      <w:r w:rsidR="001C0760">
        <w:fldChar w:fldCharType="separate"/>
      </w:r>
      <w:r w:rsidR="002534BA">
        <w:rPr>
          <w:noProof/>
        </w:rPr>
        <w:t>15</w:t>
      </w:r>
      <w:r w:rsidR="001C0760">
        <w:fldChar w:fldCharType="end"/>
      </w:r>
      <w:r w:rsidR="001C0760">
        <w:t>.</w:t>
      </w:r>
    </w:p>
    <w:p w:rsidR="00446201" w:rsidRDefault="00446201" w:rsidP="00BA1E8F">
      <w:pPr>
        <w:pStyle w:val="Odstavecnormln"/>
      </w:pPr>
      <w:r>
        <w:t xml:space="preserve">Dlouhodobý finanční majetek zahrnuje podíly v účetních jednotkách, dlouhodobé cenné papíry a podíly, půjčky a úvěry </w:t>
      </w:r>
      <w:r w:rsidR="00E6655D">
        <w:t>(se splatností delší než 1</w:t>
      </w:r>
      <w:r w:rsidR="001724DC">
        <w:t xml:space="preserve"> </w:t>
      </w:r>
      <w:r w:rsidR="00E6655D">
        <w:t>rok).</w:t>
      </w:r>
    </w:p>
    <w:p w:rsidR="00C46A94" w:rsidRPr="00E6655D" w:rsidRDefault="00C46A94" w:rsidP="00BA1E8F">
      <w:pPr>
        <w:pStyle w:val="Odstavecnormln"/>
      </w:pPr>
      <w:r>
        <w:t>Vedle dlouhodobého majetku tvoří další větší celek aktiv rozvahy</w:t>
      </w:r>
      <w:r w:rsidR="0072771E">
        <w:t xml:space="preserve"> oběžný</w:t>
      </w:r>
      <w:r>
        <w:t xml:space="preserve"> </w:t>
      </w:r>
      <w:r w:rsidR="0072771E">
        <w:t>majetek</w:t>
      </w:r>
      <w:r>
        <w:t>.</w:t>
      </w:r>
    </w:p>
    <w:p w:rsidR="00BC350F" w:rsidRDefault="00BC350F" w:rsidP="00BC350F">
      <w:pPr>
        <w:pStyle w:val="Nadpis3"/>
        <w:spacing w:line="360" w:lineRule="auto"/>
      </w:pPr>
      <w:bookmarkStart w:id="21" w:name="_Toc353126157"/>
      <w:bookmarkStart w:id="22" w:name="_Toc353439349"/>
      <w:r>
        <w:t>Oběžný majetek</w:t>
      </w:r>
      <w:bookmarkEnd w:id="21"/>
      <w:bookmarkEnd w:id="22"/>
    </w:p>
    <w:p w:rsidR="00BC350F" w:rsidRDefault="00A725B9" w:rsidP="00BA1E8F">
      <w:pPr>
        <w:pStyle w:val="Odstavecnormln"/>
      </w:pPr>
      <w:r>
        <w:t>Oběžný majetek je takový majetek, který podnik spotřebovává okamžitě, tzn., jeho přeměna netrvá déle než 1 rok. Patří sem</w:t>
      </w:r>
      <w:r w:rsidR="00BC350F">
        <w:t xml:space="preserve"> zásoby (materiál, zboží, výrobky, apod.), pohledávky (dlouhodobé a krátkod</w:t>
      </w:r>
      <w:r w:rsidR="001E7023">
        <w:t>obé) a</w:t>
      </w:r>
      <w:r w:rsidR="00BC350F">
        <w:t xml:space="preserve"> krátkodobý finanční majetek (peníze, účty v b</w:t>
      </w:r>
      <w:r w:rsidR="001E7023">
        <w:t>ankách apod.)</w:t>
      </w:r>
      <w:r w:rsidR="00BC350F">
        <w:t xml:space="preserve">. Jedná se o majetek, který zabezpečuje nebo by měl zabezpečovat úspěšnou činnost podniku, </w:t>
      </w:r>
      <w:r w:rsidR="00552105">
        <w:t>tj. mimo jiné také</w:t>
      </w:r>
      <w:r w:rsidR="00BC350F">
        <w:t xml:space="preserve"> platební schopnost. Na oběžný majetek </w:t>
      </w:r>
      <w:r w:rsidR="00BC350F">
        <w:lastRenderedPageBreak/>
        <w:t>podniku se lze také dívat jako na finanční situaci podniku a měl by být v takové výši, aby byl podnik schopen zajistit předpokládaný výkon.</w:t>
      </w:r>
    </w:p>
    <w:bookmarkEnd w:id="18"/>
    <w:p w:rsidR="00D00C4A" w:rsidRDefault="001502DC" w:rsidP="00BA1E8F">
      <w:pPr>
        <w:spacing w:after="120"/>
      </w:pPr>
      <w:r w:rsidRPr="00611A55">
        <w:rPr>
          <w:b/>
        </w:rPr>
        <w:t xml:space="preserve">Uspořádání aktiv v rozvaze není náhodné. </w:t>
      </w:r>
      <w:r w:rsidR="00D00C4A" w:rsidRPr="00611A55">
        <w:rPr>
          <w:b/>
        </w:rPr>
        <w:t>Aktiva jsou členěna dle míry likvidnosti od nejméně likvidních k nejlikvidnějším.</w:t>
      </w:r>
      <w:r w:rsidR="00D00C4A" w:rsidRPr="00017612">
        <w:t xml:space="preserve"> Likvidnost představuje schopnost majetku být proměněn na hotové peníze. Čím vyšší je hodnota likvidnosti, tím rychleji lze majetek proměnit na hotové peníze</w:t>
      </w:r>
      <w:r w:rsidR="00D00C4A">
        <w:t xml:space="preserve">. </w:t>
      </w:r>
      <w:r w:rsidR="00D00C4A" w:rsidRPr="00017612">
        <w:t>Likvidnost lze zjistit pomocí ukazatelů likvidity.</w:t>
      </w:r>
    </w:p>
    <w:p w:rsidR="00286DD1" w:rsidRDefault="00D00C4A" w:rsidP="00BA1E8F">
      <w:pPr>
        <w:spacing w:after="120"/>
      </w:pPr>
      <w:r w:rsidRPr="00017612">
        <w:t xml:space="preserve">Likvidita představuje </w:t>
      </w:r>
      <w:r w:rsidRPr="00F81C91">
        <w:t xml:space="preserve">schopnost ekonomického subjektu platit své závazky prostřednictvím svého majetku. Likvidita úzce souvisí s ukazateli finanční závislosti </w:t>
      </w:r>
      <w:r w:rsidR="0075004E">
        <w:br/>
      </w:r>
      <w:r w:rsidRPr="00F81C91">
        <w:t xml:space="preserve">a solventnosti podniku. </w:t>
      </w:r>
      <w:r w:rsidR="00C26F6A" w:rsidRPr="00864DF5">
        <w:rPr>
          <w:b/>
          <w:i/>
        </w:rPr>
        <w:t>„</w:t>
      </w:r>
      <w:r w:rsidRPr="00864DF5">
        <w:rPr>
          <w:b/>
          <w:i/>
        </w:rPr>
        <w:t>Solventnost se definuje jako připravenost hradit své dluhy, když nastala jejich splatnost, a je tedy jednou ze základních podmínek existence podniku. Aby byl podnik schopen hradit své závazky, musí mít část majetku vázánu ve formě peněz. Podmínkou solventnosti je likvidita“</w:t>
      </w:r>
      <w:r w:rsidRPr="00F81C91">
        <w:t xml:space="preserve"> (SEDLÁČEK, 2009, s. 66).</w:t>
      </w:r>
      <w:r w:rsidRPr="00017612">
        <w:t xml:space="preserve"> Peníze jsou krátkodobým finančním majetkem a jsou nejlikvidnější položkou aktiv. </w:t>
      </w:r>
      <w:r w:rsidR="0075004E">
        <w:br/>
      </w:r>
      <w:r w:rsidRPr="00017612">
        <w:t>U ekonomických subjektů lze likviditu hodnotit pomocí pomě</w:t>
      </w:r>
      <w:r w:rsidR="00AA3897">
        <w:t xml:space="preserve">rových ukazatelů, kterým je věnována </w:t>
      </w:r>
      <w:r w:rsidR="00047E67">
        <w:t>následující kapitola</w:t>
      </w:r>
      <w:r w:rsidR="00793441">
        <w:t>.</w:t>
      </w:r>
    </w:p>
    <w:p w:rsidR="00286DD1" w:rsidRDefault="00286DD1">
      <w:pPr>
        <w:spacing w:after="200" w:line="276" w:lineRule="auto"/>
        <w:jc w:val="left"/>
      </w:pPr>
      <w:r>
        <w:br w:type="page"/>
      </w:r>
    </w:p>
    <w:p w:rsidR="004510C0" w:rsidRDefault="008F2150" w:rsidP="00FE6E53">
      <w:pPr>
        <w:pStyle w:val="Nadpis2"/>
      </w:pPr>
      <w:bookmarkStart w:id="23" w:name="_Ref348556202"/>
      <w:bookmarkStart w:id="24" w:name="_Toc353126158"/>
      <w:bookmarkStart w:id="25" w:name="_Toc353439350"/>
      <w:r>
        <w:lastRenderedPageBreak/>
        <w:t>ANALÝZA POMĚROVÝCH UKAZATELŮ</w:t>
      </w:r>
      <w:bookmarkEnd w:id="23"/>
      <w:bookmarkEnd w:id="24"/>
      <w:bookmarkEnd w:id="25"/>
    </w:p>
    <w:p w:rsidR="00851702" w:rsidRPr="00110DD3" w:rsidRDefault="00851702" w:rsidP="00BA1E8F">
      <w:pPr>
        <w:spacing w:after="120"/>
      </w:pPr>
      <w:r w:rsidRPr="00851702">
        <w:rPr>
          <w:i/>
        </w:rPr>
        <w:t>„Poměrové ukazatele jsou nejrozšířenější metodou finanční analýzy, neboť umožňují získat rychlý a nenákladný obraz o základních finančních charakteristikách podniku. Můžeme je chápat jako určité síto, jež zachytí ob</w:t>
      </w:r>
      <w:r w:rsidR="00A80CCB">
        <w:rPr>
          <w:i/>
        </w:rPr>
        <w:t>lasti vyžadující hlubší analýzu</w:t>
      </w:r>
      <w:r w:rsidRPr="00851702">
        <w:rPr>
          <w:i/>
        </w:rPr>
        <w:t>“</w:t>
      </w:r>
      <w:r w:rsidR="00A80CCB">
        <w:rPr>
          <w:i/>
        </w:rPr>
        <w:t xml:space="preserve"> </w:t>
      </w:r>
      <w:r w:rsidR="00E17586" w:rsidRPr="00E17586">
        <w:t>(SEDLÁČEK, 2009, s. 55)</w:t>
      </w:r>
      <w:r w:rsidR="0027753B">
        <w:t>. Pro potřeby této práce</w:t>
      </w:r>
      <w:r w:rsidR="00A80CCB">
        <w:t xml:space="preserve"> byly z </w:t>
      </w:r>
      <w:r w:rsidR="00793441">
        <w:t xml:space="preserve">důvodů uvedených v úvodu na str. </w:t>
      </w:r>
      <w:r w:rsidR="00793441">
        <w:fldChar w:fldCharType="begin"/>
      </w:r>
      <w:r w:rsidR="00793441">
        <w:instrText xml:space="preserve"> PAGEREF _Ref276628549 \h </w:instrText>
      </w:r>
      <w:r w:rsidR="00793441">
        <w:fldChar w:fldCharType="separate"/>
      </w:r>
      <w:r w:rsidR="002534BA">
        <w:rPr>
          <w:noProof/>
        </w:rPr>
        <w:t>1</w:t>
      </w:r>
      <w:r w:rsidR="00793441">
        <w:fldChar w:fldCharType="end"/>
      </w:r>
      <w:r w:rsidR="00A80CCB">
        <w:t xml:space="preserve"> vybrány</w:t>
      </w:r>
      <w:r w:rsidR="00110DD3">
        <w:t xml:space="preserve"> ukazatele likvidity, aktivity a zadluženosti</w:t>
      </w:r>
      <w:r w:rsidR="00E15789">
        <w:t xml:space="preserve"> (dalšími poměrovými ukazateli jsou </w:t>
      </w:r>
      <w:r w:rsidR="00A80CCB">
        <w:t xml:space="preserve">např. </w:t>
      </w:r>
      <w:r w:rsidR="00E15789">
        <w:t>ukazatel ren</w:t>
      </w:r>
      <w:r w:rsidR="00793441">
        <w:t>tability, tržní hodnoty a další</w:t>
      </w:r>
      <w:r w:rsidR="00E15789">
        <w:t>)</w:t>
      </w:r>
      <w:r w:rsidR="00793441">
        <w:t>.</w:t>
      </w:r>
    </w:p>
    <w:p w:rsidR="004510C0" w:rsidRDefault="00B57CF8" w:rsidP="00B57CF8">
      <w:pPr>
        <w:pStyle w:val="Nadpis3"/>
      </w:pPr>
      <w:bookmarkStart w:id="26" w:name="_Toc353126159"/>
      <w:bookmarkStart w:id="27" w:name="_Toc353439351"/>
      <w:r>
        <w:t>Ukazatele likvidity</w:t>
      </w:r>
      <w:bookmarkEnd w:id="26"/>
      <w:bookmarkEnd w:id="27"/>
    </w:p>
    <w:p w:rsidR="004510C0" w:rsidRPr="00C50F86" w:rsidRDefault="00C50F86" w:rsidP="00BA1E8F">
      <w:pPr>
        <w:pStyle w:val="Odstavecnormln"/>
      </w:pPr>
      <w:r w:rsidRPr="00C50F86">
        <w:t xml:space="preserve">Dle </w:t>
      </w:r>
      <w:proofErr w:type="spellStart"/>
      <w:r w:rsidRPr="00C50F86">
        <w:t>Kleinebeckela</w:t>
      </w:r>
      <w:proofErr w:type="spellEnd"/>
      <w:r w:rsidRPr="00C50F86">
        <w:t xml:space="preserve"> je l</w:t>
      </w:r>
      <w:r w:rsidR="004510C0" w:rsidRPr="00C50F86">
        <w:t>ikvidita</w:t>
      </w:r>
      <w:r w:rsidR="00FE297B">
        <w:rPr>
          <w:rStyle w:val="Znakapoznpodarou"/>
        </w:rPr>
        <w:footnoteReference w:id="10"/>
      </w:r>
      <w:r w:rsidR="004510C0" w:rsidRPr="00C50F86">
        <w:t xml:space="preserve"> nejdůležitějším předpokladem zajištění existence podniku. </w:t>
      </w:r>
      <w:r w:rsidR="0027753B">
        <w:t>Dále upozorňuje, že a</w:t>
      </w:r>
      <w:r w:rsidR="004510C0" w:rsidRPr="00C50F86">
        <w:t>ni výrazný růst obratu, ani dynamická ko</w:t>
      </w:r>
      <w:r w:rsidR="00D61750" w:rsidRPr="00C50F86">
        <w:t>ncepce marketingu, ani příkladný</w:t>
      </w:r>
      <w:r w:rsidR="004510C0" w:rsidRPr="00C50F86">
        <w:t xml:space="preserve"> Portfolio – Management, stejně tak, jako žádná nejmodernější výrobní technologie nemohou zabránit úpadku podniku, jakmile není schopen dos</w:t>
      </w:r>
      <w:r w:rsidR="00FE297B">
        <w:t xml:space="preserve">tát svým platebním povinnostem </w:t>
      </w:r>
      <w:r w:rsidRPr="00C50F86">
        <w:t>(KLEINEBECKEL, 1993, s. 7).</w:t>
      </w:r>
      <w:r w:rsidR="006B5A2F">
        <w:t xml:space="preserve"> </w:t>
      </w:r>
      <w:r w:rsidR="001D484A">
        <w:t>Mezi ukazatele likvidity patří</w:t>
      </w:r>
      <w:r w:rsidR="006B5A2F">
        <w:t xml:space="preserve"> běžná, pohotová a okamžitá likvidita.</w:t>
      </w:r>
    </w:p>
    <w:p w:rsidR="004510C0" w:rsidRPr="008F2150" w:rsidRDefault="004510C0" w:rsidP="008F2150">
      <w:pPr>
        <w:rPr>
          <w:u w:val="single"/>
        </w:rPr>
      </w:pPr>
      <w:r w:rsidRPr="008F2150">
        <w:rPr>
          <w:u w:val="single"/>
        </w:rPr>
        <w:t>Běžná likvidita</w:t>
      </w:r>
    </w:p>
    <w:p w:rsidR="00CD7FAF" w:rsidRDefault="004510C0" w:rsidP="00BA1E8F">
      <w:pPr>
        <w:pStyle w:val="Odstavecnormln"/>
      </w:pPr>
      <w:r w:rsidRPr="000D0941">
        <w:t xml:space="preserve">Ukazatel je měřítkem </w:t>
      </w:r>
      <w:r w:rsidRPr="000D0941">
        <w:rPr>
          <w:u w:val="single"/>
        </w:rPr>
        <w:t xml:space="preserve">budoucí </w:t>
      </w:r>
      <w:r w:rsidRPr="000D0941">
        <w:t>solventnosti podniku a je postač</w:t>
      </w:r>
      <w:r w:rsidR="00AB603C">
        <w:t>ující pro hodnotu vyšší než 1,5</w:t>
      </w:r>
      <w:r w:rsidR="000D0941" w:rsidRPr="000D0941">
        <w:t xml:space="preserve"> (SEDLÁČEK, 2009, s. 66).</w:t>
      </w:r>
      <w:r w:rsidRPr="001D6159">
        <w:t xml:space="preserve"> </w:t>
      </w:r>
      <w:r w:rsidR="00AB603C">
        <w:t>Pro stanovení ukazatele j</w:t>
      </w:r>
      <w:r w:rsidRPr="001D6159">
        <w:t xml:space="preserve">e velmi důležité, aby oběžná aktiva byla správně oceněna, neboť jejich vyšší hodnota bude ukazatel běžné likvidity zvyšovat. </w:t>
      </w:r>
      <w:r w:rsidR="00AB603C">
        <w:t>Dále j</w:t>
      </w:r>
      <w:r w:rsidRPr="001D6159">
        <w:t>e nutné znát strukturu zásob a strukturu pohledávek. V zásobách podniku mohou být zahrnuty zásoby, které již není možné spotřebovat nebo jinak využít. V pohledávkách mohou být vykázány pohledávky, které jsou nedobytné. Takové hodnoty zvyšují celkovou výši oběžných aktiv a zvyšují hodnotu ukazatele běžné likvidity, a tím zkreslují jeho vypovídající schopnost.</w:t>
      </w:r>
    </w:p>
    <w:p w:rsidR="00CD7FAF" w:rsidRDefault="00CD7FAF">
      <w:pPr>
        <w:spacing w:after="200" w:line="276" w:lineRule="auto"/>
        <w:jc w:val="left"/>
      </w:pPr>
      <w:r>
        <w:br w:type="page"/>
      </w:r>
    </w:p>
    <w:p w:rsidR="004510C0" w:rsidRPr="001D6159" w:rsidRDefault="006F21FD" w:rsidP="00BA1E8F">
      <w:pPr>
        <w:pStyle w:val="Odstavecnormln"/>
      </w:pPr>
      <w:r>
        <w:lastRenderedPageBreak/>
        <w:t>Dle Sedláčka je běžná likvidita dána poměrem oběžných aktiv a krátkodobých závazků</w:t>
      </w:r>
      <w:r w:rsidR="00DC577B">
        <w:t xml:space="preserve"> (SEDLÁČEK, 2009, s. 66)</w:t>
      </w:r>
      <w:r>
        <w:t>.</w:t>
      </w:r>
    </w:p>
    <w:p w:rsidR="004510C0" w:rsidRPr="00255FA5" w:rsidRDefault="00417EDD" w:rsidP="004510C0">
      <w:pPr>
        <w:rPr>
          <w:szCs w:val="24"/>
          <w:oMath/>
        </w:rPr>
      </w:pPr>
      <m:oMathPara>
        <m:oMath>
          <m:r>
            <m:rPr>
              <m:nor/>
            </m:rPr>
            <w:rPr>
              <w:szCs w:val="24"/>
            </w:rPr>
            <m:t>Běžná likvidita =</m:t>
          </m:r>
          <m:f>
            <m:fPr>
              <m:ctrlPr>
                <w:rPr>
                  <w:rFonts w:ascii="Cambria Math" w:hAnsi="Cambria Math"/>
                  <w:szCs w:val="24"/>
                </w:rPr>
              </m:ctrlPr>
            </m:fPr>
            <m:num>
              <m:r>
                <m:rPr>
                  <m:nor/>
                </m:rPr>
                <w:rPr>
                  <w:szCs w:val="24"/>
                </w:rPr>
                <m:t>oběžná aktiva</m:t>
              </m:r>
            </m:num>
            <m:den>
              <m:r>
                <m:rPr>
                  <m:nor/>
                </m:rPr>
                <w:rPr>
                  <w:szCs w:val="24"/>
                </w:rPr>
                <m:t>krátkodobé závazky</m:t>
              </m:r>
            </m:den>
          </m:f>
        </m:oMath>
      </m:oMathPara>
    </w:p>
    <w:p w:rsidR="004510C0" w:rsidRPr="008F2150" w:rsidRDefault="004510C0" w:rsidP="008F2150">
      <w:pPr>
        <w:rPr>
          <w:u w:val="single"/>
        </w:rPr>
      </w:pPr>
      <w:r w:rsidRPr="008F2150">
        <w:rPr>
          <w:u w:val="single"/>
        </w:rPr>
        <w:t>Pohotová likvidita</w:t>
      </w:r>
    </w:p>
    <w:p w:rsidR="004510C0" w:rsidRPr="00B94DA0" w:rsidRDefault="004510C0" w:rsidP="00BA1E8F">
      <w:pPr>
        <w:pStyle w:val="Odstavecnormln"/>
      </w:pPr>
      <w:r w:rsidRPr="001D6159">
        <w:t xml:space="preserve">U pohotové likvidity jsou z výpočtu odstraněny zásoby a pohledávky jsou upravené </w:t>
      </w:r>
      <w:r w:rsidR="0075004E">
        <w:br/>
      </w:r>
      <w:r w:rsidRPr="001D6159">
        <w:t>o nedobytné nebo obtížně vymahatelné pohledávky. Nevýhody běžné likvidity jsou v tomto ukazateli odstraněny.</w:t>
      </w:r>
      <w:r w:rsidRPr="00A10108">
        <w:rPr>
          <w:i/>
        </w:rPr>
        <w:t xml:space="preserve"> </w:t>
      </w:r>
      <w:r w:rsidRPr="00A10108">
        <w:t>Podle literatury by pro zachování likvidity podniku neměla h</w:t>
      </w:r>
      <w:r w:rsidR="0092788B" w:rsidRPr="00A10108">
        <w:t>odnota ukazatele klesnout pod 1 (SEDLÁČEK, 2009, s. 67)</w:t>
      </w:r>
      <w:r w:rsidR="00A10108" w:rsidRPr="00A10108">
        <w:t xml:space="preserve">. </w:t>
      </w:r>
      <w:r w:rsidRPr="00A10108">
        <w:t>Ideálním poměrem oběžných aktiv upravených</w:t>
      </w:r>
      <w:r w:rsidRPr="001D6159">
        <w:t xml:space="preserve"> o závazky a nedobytné pohledávky </w:t>
      </w:r>
      <w:r w:rsidR="0075004E">
        <w:br/>
      </w:r>
      <w:r w:rsidRPr="001D6159">
        <w:t xml:space="preserve">a krátkodobých závazků je 1:1. V tomto případě, je podnik schopen hradit své závazky z oběžných aktiv, tj. z pohledávek a finančního majetku. </w:t>
      </w:r>
      <w:r w:rsidRPr="00B94DA0">
        <w:t>Vyšší hodnota ukazatele znamená, že značný objem oběžných aktiv je vázán ve formě pohotových prostředků, které při</w:t>
      </w:r>
      <w:r w:rsidR="002276B8" w:rsidRPr="00B94DA0">
        <w:t>nášejí jen malý nebo žádný úrok (VALACH, 1997, s. 91).</w:t>
      </w:r>
      <w:r w:rsidR="00673BBA">
        <w:t xml:space="preserve"> Dle Valacha je pohotová likvidity dána vzorcem:</w:t>
      </w:r>
    </w:p>
    <w:p w:rsidR="004510C0" w:rsidRPr="00255FA5" w:rsidRDefault="00A1547F" w:rsidP="004510C0">
      <w:pPr>
        <w:rPr>
          <w:szCs w:val="24"/>
          <w:oMath/>
        </w:rPr>
      </w:pPr>
      <m:oMathPara>
        <m:oMath>
          <m:r>
            <m:rPr>
              <m:nor/>
            </m:rPr>
            <w:rPr>
              <w:szCs w:val="24"/>
            </w:rPr>
            <m:t>Pohotová likvidita=</m:t>
          </m:r>
          <m:f>
            <m:fPr>
              <m:ctrlPr>
                <w:rPr>
                  <w:rFonts w:ascii="Cambria Math" w:hAnsi="Cambria Math"/>
                  <w:szCs w:val="24"/>
                </w:rPr>
              </m:ctrlPr>
            </m:fPr>
            <m:num>
              <m:r>
                <m:rPr>
                  <m:nor/>
                </m:rPr>
                <w:rPr>
                  <w:szCs w:val="24"/>
                </w:rPr>
                <m:t>oběžná aktiva-zásoby</m:t>
              </m:r>
            </m:num>
            <m:den>
              <m:r>
                <m:rPr>
                  <m:nor/>
                </m:rPr>
                <w:rPr>
                  <w:szCs w:val="24"/>
                </w:rPr>
                <m:t>krátkodobé závazky</m:t>
              </m:r>
            </m:den>
          </m:f>
        </m:oMath>
      </m:oMathPara>
    </w:p>
    <w:p w:rsidR="004510C0" w:rsidRPr="008F2150" w:rsidRDefault="004510C0" w:rsidP="008F2150">
      <w:pPr>
        <w:rPr>
          <w:u w:val="single"/>
        </w:rPr>
      </w:pPr>
      <w:r w:rsidRPr="008F2150">
        <w:rPr>
          <w:u w:val="single"/>
        </w:rPr>
        <w:t>Okamžitá likvidita</w:t>
      </w:r>
    </w:p>
    <w:p w:rsidR="004510C0" w:rsidRPr="001D6159" w:rsidRDefault="004510C0" w:rsidP="00BA1E8F">
      <w:pPr>
        <w:pStyle w:val="Odstavecnormln"/>
      </w:pPr>
      <w:r w:rsidRPr="001D6159">
        <w:t>Představuje schopnost podniku hradit právě splatné závazky. V čitateli jsou finanční prostředky, které zahrnují peníze v hotovosti, peníze na běžných účtech a krátkodobý finanční majetek</w:t>
      </w:r>
      <w:r w:rsidRPr="00891F16">
        <w:t>. Likvidita je zajištěna př</w:t>
      </w:r>
      <w:r w:rsidR="00891F16" w:rsidRPr="00891F16">
        <w:t>i hodnotě ukazatele alespoň 0,2 (SEDLÁČEK, 2009, s. 67</w:t>
      </w:r>
      <w:r w:rsidR="00891F16">
        <w:t>)</w:t>
      </w:r>
      <w:r w:rsidR="00891F16">
        <w:rPr>
          <w:i/>
        </w:rPr>
        <w:t>.</w:t>
      </w:r>
      <w:r w:rsidRPr="001D6159">
        <w:t xml:space="preserve"> Okamž</w:t>
      </w:r>
      <w:r w:rsidR="00246EB1">
        <w:t>itě</w:t>
      </w:r>
      <w:r w:rsidRPr="001D6159">
        <w:t xml:space="preserve"> splatné závazky jsou všechny závazky, jejichž doba splatnosti je k aktuálnímu datu a starší.</w:t>
      </w:r>
      <w:r w:rsidR="00673BBA">
        <w:t xml:space="preserve"> Dle Sedláčka je okamžitá hodnota vyjádřena:</w:t>
      </w:r>
    </w:p>
    <w:p w:rsidR="004510C0" w:rsidRPr="00255FA5" w:rsidRDefault="00A1547F" w:rsidP="004510C0">
      <w:pPr>
        <w:rPr>
          <w:szCs w:val="24"/>
          <w:oMath/>
        </w:rPr>
      </w:pPr>
      <m:oMathPara>
        <m:oMath>
          <m:r>
            <m:rPr>
              <m:nor/>
            </m:rPr>
            <w:rPr>
              <w:szCs w:val="24"/>
            </w:rPr>
            <m:t>Okamžitá likvidita=</m:t>
          </m:r>
          <m:f>
            <m:fPr>
              <m:ctrlPr>
                <w:rPr>
                  <w:rFonts w:ascii="Cambria Math" w:hAnsi="Cambria Math"/>
                  <w:bCs/>
                  <w:szCs w:val="24"/>
                </w:rPr>
              </m:ctrlPr>
            </m:fPr>
            <m:num>
              <m:r>
                <m:rPr>
                  <m:nor/>
                </m:rPr>
                <w:rPr>
                  <w:szCs w:val="24"/>
                </w:rPr>
                <m:t>finanční prostředky</m:t>
              </m:r>
            </m:num>
            <m:den>
              <m:r>
                <m:rPr>
                  <m:nor/>
                </m:rPr>
                <w:rPr>
                  <w:szCs w:val="24"/>
                </w:rPr>
                <m:t>okamžité splatné závazky</m:t>
              </m:r>
            </m:den>
          </m:f>
        </m:oMath>
      </m:oMathPara>
    </w:p>
    <w:p w:rsidR="006B5A2F" w:rsidRDefault="006B5A2F" w:rsidP="00BA1E8F">
      <w:pPr>
        <w:pStyle w:val="Odstavecnormln"/>
      </w:pPr>
      <w:r>
        <w:lastRenderedPageBreak/>
        <w:t>Zajištění likvidity může být jednoduše charakterizováno jako: „nevydávej víc, než máš.“</w:t>
      </w:r>
      <w:r w:rsidR="00486D43">
        <w:t xml:space="preserve"> </w:t>
      </w:r>
      <w:r w:rsidR="00486D43" w:rsidRPr="00C50F86">
        <w:t>(KLEINEBECKEL, 1993, s. 7)</w:t>
      </w:r>
      <w:r w:rsidR="00486D43">
        <w:t>.</w:t>
      </w:r>
      <w:r>
        <w:t xml:space="preserve"> </w:t>
      </w:r>
    </w:p>
    <w:p w:rsidR="00745D9A" w:rsidRPr="00E20894" w:rsidRDefault="00745D9A" w:rsidP="00BA1E8F">
      <w:pPr>
        <w:pStyle w:val="Odstavecnormln"/>
      </w:pPr>
      <w:r>
        <w:t>S likviditou úzce souvisí pojem aktivita, kterou Sedláček charakterizuje jako ukazatel, který měří, jak efektivně podni</w:t>
      </w:r>
      <w:r w:rsidR="00246EB1">
        <w:t xml:space="preserve">k hospodaří se svými aktivy. Má – </w:t>
      </w:r>
      <w:proofErr w:type="spellStart"/>
      <w:r>
        <w:t>li</w:t>
      </w:r>
      <w:proofErr w:type="spellEnd"/>
      <w:r>
        <w:t xml:space="preserve"> podnik aktiv více, než je účelné, vznikají mu zbytečné náklady a tím i nízký zisk, má – </w:t>
      </w:r>
      <w:proofErr w:type="spellStart"/>
      <w:r>
        <w:t>li</w:t>
      </w:r>
      <w:proofErr w:type="spellEnd"/>
      <w:r>
        <w:t xml:space="preserve"> jich nedostatek, pak se musí vzdát některých podnikatelsky výhodných příležitostí a tím přichází </w:t>
      </w:r>
      <w:r w:rsidR="0075004E">
        <w:br/>
      </w:r>
      <w:r>
        <w:t xml:space="preserve">o výnosy (SEDLÁČEK, 2009, s. 60). Pro tuto práci byly vybrány a níže popsány ukazatele obratovosti zásob, pohledávek a </w:t>
      </w:r>
      <w:r w:rsidR="00246EB1">
        <w:t>závazků</w:t>
      </w:r>
      <w:r>
        <w:t>.</w:t>
      </w:r>
    </w:p>
    <w:p w:rsidR="004510C0" w:rsidRDefault="004510C0" w:rsidP="008F2150">
      <w:pPr>
        <w:pStyle w:val="Nadpis3"/>
      </w:pPr>
      <w:bookmarkStart w:id="28" w:name="_Toc353126160"/>
      <w:bookmarkStart w:id="29" w:name="_Toc353439352"/>
      <w:r>
        <w:t>Ukazatele aktivity</w:t>
      </w:r>
      <w:bookmarkEnd w:id="28"/>
      <w:bookmarkEnd w:id="29"/>
    </w:p>
    <w:p w:rsidR="009C27BE" w:rsidRDefault="004510C0" w:rsidP="00BA1E8F">
      <w:pPr>
        <w:pStyle w:val="Odstavecnormln"/>
      </w:pPr>
      <w:r>
        <w:t>Ukazatele aktivity vypovídají o vázanosti kapitálu (</w:t>
      </w:r>
      <w:r w:rsidR="009E000D">
        <w:t>rychlost obratu a doba obratu).</w:t>
      </w:r>
      <w:r w:rsidR="00645827">
        <w:t xml:space="preserve"> </w:t>
      </w:r>
      <w:r w:rsidR="001152BE">
        <w:t>Níže jsou popsány</w:t>
      </w:r>
      <w:r w:rsidR="00645827">
        <w:t xml:space="preserve"> ukazatele rychlosti a doby obratu zásob, doby obratu pohledávek a doby obratu závazků.</w:t>
      </w:r>
    </w:p>
    <w:p w:rsidR="004510C0" w:rsidRPr="008F2150" w:rsidRDefault="004510C0" w:rsidP="008F2150">
      <w:pPr>
        <w:rPr>
          <w:u w:val="single"/>
        </w:rPr>
      </w:pPr>
      <w:r w:rsidRPr="008F2150">
        <w:rPr>
          <w:u w:val="single"/>
        </w:rPr>
        <w:t>Rychlost obratu zásob</w:t>
      </w:r>
    </w:p>
    <w:p w:rsidR="004510C0" w:rsidRDefault="00796083" w:rsidP="00BA1E8F">
      <w:pPr>
        <w:pStyle w:val="Odstavecnormln"/>
      </w:pPr>
      <w:r>
        <w:t xml:space="preserve">Sedláček rychlost obratu zásob definuje </w:t>
      </w:r>
      <w:r w:rsidR="004510C0">
        <w:t>jako poměr tržeb a zásob a udává, kolikrát se přemění zásoby až do momentu prodeje hotových výrobků</w:t>
      </w:r>
      <w:r w:rsidR="009E000D">
        <w:t xml:space="preserve"> (SEDLÁČEK, 2009, s. 62)</w:t>
      </w:r>
      <w:r w:rsidR="004510C0">
        <w:t>.</w:t>
      </w:r>
    </w:p>
    <w:p w:rsidR="004510C0" w:rsidRPr="00255FA5" w:rsidRDefault="00A1547F" w:rsidP="004510C0">
      <w:pPr>
        <w:rPr>
          <w:szCs w:val="24"/>
          <w:oMath/>
        </w:rPr>
      </w:pPr>
      <m:oMathPara>
        <m:oMath>
          <m:r>
            <m:rPr>
              <m:nor/>
            </m:rPr>
            <w:rPr>
              <w:szCs w:val="24"/>
            </w:rPr>
            <m:t>rychlost obratu zásob =</m:t>
          </m:r>
          <m:r>
            <w:rPr>
              <w:rFonts w:ascii="Cambria Math" w:hAnsi="Cambria Math"/>
              <w:szCs w:val="24"/>
            </w:rPr>
            <m:t xml:space="preserve"> </m:t>
          </m:r>
          <m:f>
            <m:fPr>
              <m:ctrlPr>
                <w:rPr>
                  <w:rFonts w:ascii="Cambria Math" w:hAnsi="Cambria Math"/>
                  <w:i/>
                  <w:szCs w:val="24"/>
                </w:rPr>
              </m:ctrlPr>
            </m:fPr>
            <m:num>
              <m:r>
                <m:rPr>
                  <m:nor/>
                </m:rPr>
                <w:rPr>
                  <w:szCs w:val="24"/>
                </w:rPr>
                <m:t>tržby</m:t>
              </m:r>
            </m:num>
            <m:den>
              <m:r>
                <m:rPr>
                  <m:nor/>
                </m:rPr>
                <w:rPr>
                  <w:szCs w:val="24"/>
                </w:rPr>
                <m:t>zásoby</m:t>
              </m:r>
            </m:den>
          </m:f>
        </m:oMath>
      </m:oMathPara>
    </w:p>
    <w:p w:rsidR="004510C0" w:rsidRPr="008F2150" w:rsidRDefault="004510C0" w:rsidP="008F2150">
      <w:pPr>
        <w:rPr>
          <w:u w:val="single"/>
        </w:rPr>
      </w:pPr>
      <w:r w:rsidRPr="008F2150">
        <w:rPr>
          <w:u w:val="single"/>
        </w:rPr>
        <w:t>Doba obratu zásob</w:t>
      </w:r>
    </w:p>
    <w:p w:rsidR="004510C0" w:rsidRDefault="009E000D" w:rsidP="00BA1E8F">
      <w:pPr>
        <w:pStyle w:val="Odstavecnormln"/>
      </w:pPr>
      <w:r>
        <w:t>Sedláček</w:t>
      </w:r>
      <w:r w:rsidR="00796083">
        <w:t xml:space="preserve"> charakterizuje dobu obratu zásob jako poměr</w:t>
      </w:r>
      <w:r w:rsidR="004510C0">
        <w:t xml:space="preserve"> průměrného stavu zásob </w:t>
      </w:r>
      <w:r w:rsidR="0075004E">
        <w:br/>
      </w:r>
      <w:r w:rsidR="004510C0">
        <w:t>a průměrných denních nákladů a vypovídá o vázanosti záso</w:t>
      </w:r>
      <w:r>
        <w:t>b v oběžných aktivech, ve dnech (SEDLÁČEK, 2009, s. 62).</w:t>
      </w:r>
    </w:p>
    <w:p w:rsidR="004510C0" w:rsidRPr="00255FA5" w:rsidRDefault="00A1547F" w:rsidP="004510C0">
      <w:pPr>
        <w:rPr>
          <w:szCs w:val="24"/>
          <w:oMath/>
        </w:rPr>
      </w:pPr>
      <m:oMathPara>
        <m:oMath>
          <m:r>
            <m:rPr>
              <m:nor/>
            </m:rPr>
            <w:rPr>
              <w:szCs w:val="24"/>
            </w:rPr>
            <m:t>doba obratu zásob=</m:t>
          </m:r>
          <m:r>
            <w:rPr>
              <w:rFonts w:ascii="Cambria Math" w:hAnsi="Cambria Math"/>
              <w:szCs w:val="24"/>
            </w:rPr>
            <m:t xml:space="preserve"> </m:t>
          </m:r>
          <m:f>
            <m:fPr>
              <m:ctrlPr>
                <w:rPr>
                  <w:rFonts w:ascii="Cambria Math" w:hAnsi="Cambria Math"/>
                  <w:i/>
                  <w:szCs w:val="24"/>
                </w:rPr>
              </m:ctrlPr>
            </m:fPr>
            <m:num>
              <m:r>
                <m:rPr>
                  <m:nor/>
                </m:rPr>
                <w:rPr>
                  <w:szCs w:val="24"/>
                </w:rPr>
                <m:t>zásoby</m:t>
              </m:r>
            </m:num>
            <m:den>
              <m:r>
                <m:rPr>
                  <m:nor/>
                </m:rPr>
                <w:rPr>
                  <w:szCs w:val="24"/>
                </w:rPr>
                <m:t>celkové náklady/365</m:t>
              </m:r>
            </m:den>
          </m:f>
        </m:oMath>
      </m:oMathPara>
    </w:p>
    <w:p w:rsidR="004510C0" w:rsidRDefault="00DD09E8" w:rsidP="00BA1E8F">
      <w:pPr>
        <w:pStyle w:val="Odstavecnormln"/>
      </w:pPr>
      <w:r w:rsidRPr="0014074C">
        <w:t xml:space="preserve">Podle Valacha </w:t>
      </w:r>
      <w:r w:rsidR="004510C0" w:rsidRPr="0014074C">
        <w:t xml:space="preserve">platí, že čím vyšší je obratovost zásob a kratší doba obratu zásob, tím lépe, avšak až do určité míry, kdy zásoby materiálu zajišťují plynulou výrobu a jsou </w:t>
      </w:r>
      <w:r w:rsidR="004510C0" w:rsidRPr="0014074C">
        <w:lastRenderedPageBreak/>
        <w:t>zajištěny dostatečně zásoby hotových výrobků, aby byl podnik schopen reagovat na poptávku a neztrácel záka</w:t>
      </w:r>
      <w:r w:rsidRPr="0014074C">
        <w:t>zníky</w:t>
      </w:r>
      <w:r w:rsidR="0014074C" w:rsidRPr="0014074C">
        <w:t xml:space="preserve"> (VALACH, 1997, s. 85).</w:t>
      </w:r>
    </w:p>
    <w:p w:rsidR="004510C0" w:rsidRPr="008F2150" w:rsidRDefault="004510C0" w:rsidP="008F2150">
      <w:pPr>
        <w:rPr>
          <w:u w:val="single"/>
        </w:rPr>
      </w:pPr>
      <w:r w:rsidRPr="008F2150">
        <w:rPr>
          <w:u w:val="single"/>
        </w:rPr>
        <w:t>Doba obratu pohledávek</w:t>
      </w:r>
    </w:p>
    <w:p w:rsidR="004510C0" w:rsidRDefault="00642BDA" w:rsidP="00BA1E8F">
      <w:pPr>
        <w:pStyle w:val="Odstavecnormln"/>
      </w:pPr>
      <w:r>
        <w:t xml:space="preserve">Dle </w:t>
      </w:r>
      <w:r w:rsidR="0083792D">
        <w:t>Sedláčka</w:t>
      </w:r>
      <w:r>
        <w:t xml:space="preserve"> je doba obratu pohledávek v</w:t>
      </w:r>
      <w:r w:rsidR="004510C0" w:rsidRPr="00AB0882">
        <w:t>yjádřena jako poměr průměrného stavu pohledávek a průměrných denních tržeb a ukazuje, jak dlouho se majetek podniku vyskytuje ve formě pohledávek</w:t>
      </w:r>
      <w:r w:rsidR="001152BE">
        <w:t xml:space="preserve">, tzn., </w:t>
      </w:r>
      <w:r w:rsidR="004510C0" w:rsidRPr="00AB0882">
        <w:t>za jak dlouho jso</w:t>
      </w:r>
      <w:r w:rsidR="001152BE">
        <w:t>u pohledávky v průměru spláceny</w:t>
      </w:r>
      <w:r w:rsidR="004510C0" w:rsidRPr="00AB0882">
        <w:t>.</w:t>
      </w:r>
      <w:r w:rsidR="0083792D">
        <w:t xml:space="preserve"> Sedláček dobu obratu pohledávek vyjadřuje:</w:t>
      </w:r>
    </w:p>
    <w:p w:rsidR="004510C0" w:rsidRPr="00255FA5" w:rsidRDefault="00A1547F" w:rsidP="004510C0">
      <w:pPr>
        <w:rPr>
          <w:szCs w:val="24"/>
          <w:oMath/>
        </w:rPr>
      </w:pPr>
      <m:oMathPara>
        <m:oMath>
          <m:r>
            <m:rPr>
              <m:nor/>
            </m:rPr>
            <w:rPr>
              <w:szCs w:val="24"/>
            </w:rPr>
            <m:t>Doba obratu pohledávek=</m:t>
          </m:r>
          <m:r>
            <w:rPr>
              <w:rFonts w:ascii="Cambria Math" w:hAnsi="Cambria Math"/>
              <w:szCs w:val="24"/>
            </w:rPr>
            <m:t xml:space="preserve"> </m:t>
          </m:r>
          <m:f>
            <m:fPr>
              <m:ctrlPr>
                <w:rPr>
                  <w:rFonts w:ascii="Cambria Math" w:hAnsi="Cambria Math"/>
                  <w:i/>
                  <w:szCs w:val="24"/>
                </w:rPr>
              </m:ctrlPr>
            </m:fPr>
            <m:num>
              <m:r>
                <m:rPr>
                  <m:nor/>
                </m:rPr>
                <w:rPr>
                  <w:szCs w:val="24"/>
                </w:rPr>
                <m:t>pohledávky</m:t>
              </m:r>
            </m:num>
            <m:den>
              <m:r>
                <m:rPr>
                  <m:nor/>
                </m:rPr>
                <w:rPr>
                  <w:szCs w:val="24"/>
                </w:rPr>
                <m:t>tržby/365</m:t>
              </m:r>
            </m:den>
          </m:f>
        </m:oMath>
      </m:oMathPara>
    </w:p>
    <w:p w:rsidR="00FC1AAC" w:rsidRDefault="00417EDD" w:rsidP="00BA1E8F">
      <w:pPr>
        <w:pStyle w:val="Odstavecnormln"/>
      </w:pPr>
      <w:r>
        <w:t>Aby ukazatel</w:t>
      </w:r>
      <w:r w:rsidR="00FC1AAC">
        <w:t xml:space="preserve"> </w:t>
      </w:r>
      <w:r>
        <w:t>doby obratu pohledávek měl</w:t>
      </w:r>
      <w:r w:rsidR="00FC1AAC">
        <w:t xml:space="preserve"> správnou vypovídací schopnost, je nutné do výpočtu zahrnout pohledávky upravené, např. o nedostupné nebo </w:t>
      </w:r>
      <w:r w:rsidR="00441121">
        <w:t>obtížně vymahatelné pohledávky.</w:t>
      </w:r>
    </w:p>
    <w:p w:rsidR="004510C0" w:rsidRPr="008F2150" w:rsidRDefault="00490A67" w:rsidP="008F2150">
      <w:pPr>
        <w:rPr>
          <w:u w:val="single"/>
        </w:rPr>
      </w:pPr>
      <w:r>
        <w:rPr>
          <w:u w:val="single"/>
        </w:rPr>
        <w:t>Doba obratu závazků</w:t>
      </w:r>
    </w:p>
    <w:p w:rsidR="003D7AEE" w:rsidRDefault="00490A67" w:rsidP="00BA1E8F">
      <w:pPr>
        <w:pStyle w:val="Odstavecnormln"/>
      </w:pPr>
      <w:r>
        <w:t>Sedláček konstatuje, že je dobré, v souvislosti s dobou inkasa pohledávek, zjistit, jaká je platební morálka firmy vůči jejím dodavatelům (SEDLÁČEK, 2009, s. 63). Odpověď poskytuje ukazatel doby obratu závazků, který je dle Sedláčka vyjádřen:</w:t>
      </w:r>
    </w:p>
    <w:p w:rsidR="004510C0" w:rsidRPr="00255FA5" w:rsidRDefault="00490A67" w:rsidP="004510C0">
      <w:pPr>
        <w:rPr>
          <w:rFonts w:ascii="Cambria Math" w:hAnsi="Cambria Math"/>
          <w:szCs w:val="24"/>
          <w:oMath/>
        </w:rPr>
      </w:pPr>
      <m:oMathPara>
        <m:oMath>
          <m:r>
            <m:rPr>
              <m:nor/>
            </m:rPr>
            <w:rPr>
              <w:szCs w:val="24"/>
            </w:rPr>
            <m:t>Doba obratu závazků =</m:t>
          </m:r>
          <m:r>
            <w:rPr>
              <w:rFonts w:ascii="Cambria Math" w:hAnsi="Cambria Math"/>
              <w:szCs w:val="24"/>
            </w:rPr>
            <m:t xml:space="preserve"> </m:t>
          </m:r>
          <m:f>
            <m:fPr>
              <m:ctrlPr>
                <w:rPr>
                  <w:rFonts w:ascii="Cambria Math" w:hAnsi="Cambria Math"/>
                  <w:i/>
                  <w:szCs w:val="24"/>
                </w:rPr>
              </m:ctrlPr>
            </m:fPr>
            <m:num>
              <m:r>
                <m:rPr>
                  <m:nor/>
                </m:rPr>
                <w:rPr>
                  <w:szCs w:val="24"/>
                </w:rPr>
                <m:t>závazky vůči dodavatelům</m:t>
              </m:r>
            </m:num>
            <m:den>
              <m:r>
                <m:rPr>
                  <m:nor/>
                </m:rPr>
                <w:rPr>
                  <w:szCs w:val="24"/>
                </w:rPr>
                <m:t>tržby /365</m:t>
              </m:r>
            </m:den>
          </m:f>
        </m:oMath>
      </m:oMathPara>
    </w:p>
    <w:p w:rsidR="003D7AEE" w:rsidRDefault="003D7AEE" w:rsidP="00BA1E8F">
      <w:pPr>
        <w:pStyle w:val="Odstavecnormln"/>
      </w:pPr>
      <w:r>
        <w:t>Výše byly uvedeny základní uk</w:t>
      </w:r>
      <w:r w:rsidR="00255FC3">
        <w:t>azatele</w:t>
      </w:r>
      <w:r>
        <w:t xml:space="preserve"> vypovídající o vázanosti aktiv (ukazatele likvidity), a ukazatele, které udávají, jak podnik hospodaří se svými aktivy (ukazatele aktivity). Mezi další základní ukazatele patří zadluženost.</w:t>
      </w:r>
    </w:p>
    <w:p w:rsidR="004510C0" w:rsidRPr="008F2150" w:rsidRDefault="008F2150" w:rsidP="008F2150">
      <w:pPr>
        <w:pStyle w:val="Nadpis3"/>
      </w:pPr>
      <w:bookmarkStart w:id="30" w:name="_Toc353126161"/>
      <w:bookmarkStart w:id="31" w:name="_Toc353439353"/>
      <w:r>
        <w:t>Ukazatele</w:t>
      </w:r>
      <w:r w:rsidR="004510C0" w:rsidRPr="008F2150">
        <w:t xml:space="preserve"> zadluženosti</w:t>
      </w:r>
      <w:bookmarkEnd w:id="30"/>
      <w:bookmarkEnd w:id="31"/>
    </w:p>
    <w:p w:rsidR="002F7CF6" w:rsidRDefault="004510C0" w:rsidP="00255FC3">
      <w:pPr>
        <w:pStyle w:val="Odstavecnormln"/>
      </w:pPr>
      <w:r>
        <w:t>Zadluženost znamená, že podnik využívá k financování svých aktiv (majetku) cizí zdroje. Základním ukazatelem zadluženosti je ukazatel věřitelského rizika</w:t>
      </w:r>
      <w:r w:rsidR="00EB7985">
        <w:t xml:space="preserve"> (celková zadluženost</w:t>
      </w:r>
    </w:p>
    <w:p w:rsidR="008F2150" w:rsidRDefault="008F2150" w:rsidP="004510C0">
      <w:pPr>
        <w:rPr>
          <w:u w:val="single"/>
        </w:rPr>
      </w:pPr>
      <w:r w:rsidRPr="008F2150">
        <w:rPr>
          <w:u w:val="single"/>
        </w:rPr>
        <w:lastRenderedPageBreak/>
        <w:t>Ukazatel věřitelského rizika</w:t>
      </w:r>
    </w:p>
    <w:p w:rsidR="00A94091" w:rsidRDefault="00A94091" w:rsidP="00255FC3">
      <w:pPr>
        <w:pStyle w:val="Odstavecnormln"/>
      </w:pPr>
      <w:r>
        <w:t xml:space="preserve">Ukazatel věřitelského rizika je Sedláčkem charakterizován jako podíl </w:t>
      </w:r>
      <w:r w:rsidR="00063A6D">
        <w:t>cizího kapitálu</w:t>
      </w:r>
      <w:r>
        <w:t xml:space="preserve"> </w:t>
      </w:r>
      <w:r w:rsidR="00063A6D">
        <w:br/>
      </w:r>
      <w:r>
        <w:t>a celkových aktiv</w:t>
      </w:r>
      <w:r w:rsidR="00063A6D">
        <w:t xml:space="preserve"> (SEDLÁČEK, 2009, s. 64).</w:t>
      </w:r>
    </w:p>
    <w:p w:rsidR="004510C0" w:rsidRPr="00255FA5" w:rsidRDefault="00A1547F" w:rsidP="004510C0">
      <w:pPr>
        <w:rPr>
          <w:szCs w:val="24"/>
          <w:oMath/>
        </w:rPr>
      </w:pPr>
      <m:oMathPara>
        <m:oMath>
          <m:r>
            <m:rPr>
              <m:nor/>
            </m:rPr>
            <w:rPr>
              <w:szCs w:val="24"/>
            </w:rPr>
            <m:t>Ukazatel věřitelského rizika=</m:t>
          </m:r>
          <m:r>
            <w:rPr>
              <w:rFonts w:ascii="Cambria Math" w:hAnsi="Cambria Math"/>
              <w:szCs w:val="24"/>
            </w:rPr>
            <m:t xml:space="preserve"> </m:t>
          </m:r>
          <m:f>
            <m:fPr>
              <m:ctrlPr>
                <w:rPr>
                  <w:rFonts w:ascii="Cambria Math" w:hAnsi="Cambria Math"/>
                  <w:i/>
                  <w:szCs w:val="24"/>
                </w:rPr>
              </m:ctrlPr>
            </m:fPr>
            <m:num>
              <m:r>
                <m:rPr>
                  <m:nor/>
                </m:rPr>
                <w:rPr>
                  <w:szCs w:val="24"/>
                </w:rPr>
                <m:t>cizí kapitál</m:t>
              </m:r>
            </m:num>
            <m:den>
              <m:r>
                <m:rPr>
                  <m:nor/>
                </m:rPr>
                <w:rPr>
                  <w:szCs w:val="24"/>
                </w:rPr>
                <m:t>celková aktiva</m:t>
              </m:r>
            </m:den>
          </m:f>
        </m:oMath>
      </m:oMathPara>
    </w:p>
    <w:p w:rsidR="004510C0" w:rsidRDefault="004510C0" w:rsidP="00255FC3">
      <w:pPr>
        <w:pStyle w:val="Odstavecnormln"/>
      </w:pPr>
      <w:r>
        <w:t>Obecně platí, že čím vyšší je hodnota ukazatele věřitelského rizika, tím vyšší je zadluženost podniku a tím vyšší je i riziko věřitelů</w:t>
      </w:r>
      <w:r w:rsidR="00141B3E">
        <w:t xml:space="preserve"> (VALACH, 1997, s. 87).</w:t>
      </w:r>
    </w:p>
    <w:p w:rsidR="009B2C61" w:rsidRDefault="009B2C61" w:rsidP="00255FC3">
      <w:pPr>
        <w:pStyle w:val="Odstavecnormln"/>
      </w:pPr>
      <w:r>
        <w:t>Výše uvedené vybrané ukazatele finanční analýzy podniku vychází z účetn</w:t>
      </w:r>
      <w:r w:rsidR="00732BC2">
        <w:t>ictví, převážně z výkazu rozvahy a výkazu zisků a ztrát</w:t>
      </w:r>
      <w:r>
        <w:t>. Tyto výkazy v běžné praxi často obsahují chyby a nepřesné informace (např. z </w:t>
      </w:r>
      <w:r w:rsidR="002E442C">
        <w:t>výkazů</w:t>
      </w:r>
      <w:r>
        <w:t xml:space="preserve"> není možné zjistit, zda jsou v položkách pohledávek a závazků zahrnuty pouze ty pohledávky nebo závazky, které jsou vymahatelné. Nebo zda zásoby, které podnik vlastní nejsou např. neprodejné. Pro externího uživatele </w:t>
      </w:r>
      <w:r w:rsidR="002E442C">
        <w:t xml:space="preserve">informace poskytnuté výkazy mohou být často omezené a nepřesné. Pro interní uživatele těchto informací je nutné znát přesnou strukturu svého majetku </w:t>
      </w:r>
      <w:r w:rsidR="0075004E">
        <w:br/>
      </w:r>
      <w:r w:rsidR="002E442C">
        <w:t>a jeho krytí. S tím souvisí další pojmy jako např. řízení pohledávek.</w:t>
      </w:r>
    </w:p>
    <w:p w:rsidR="004510C0" w:rsidRPr="00D051CF" w:rsidRDefault="004510C0" w:rsidP="008B70B1">
      <w:pPr>
        <w:pStyle w:val="Nadpis3"/>
      </w:pPr>
      <w:bookmarkStart w:id="32" w:name="_Ref348556323"/>
      <w:bookmarkStart w:id="33" w:name="_Toc353126162"/>
      <w:bookmarkStart w:id="34" w:name="_Toc353439354"/>
      <w:r w:rsidRPr="00D051CF">
        <w:t>Řízení pohledávek</w:t>
      </w:r>
      <w:bookmarkEnd w:id="32"/>
      <w:bookmarkEnd w:id="33"/>
      <w:bookmarkEnd w:id="34"/>
    </w:p>
    <w:p w:rsidR="004510C0" w:rsidRDefault="004510C0" w:rsidP="00255FC3">
      <w:pPr>
        <w:pStyle w:val="Odstavecnormln"/>
      </w:pPr>
      <w:r>
        <w:t>Pohledávky představují právo podniku na peněžní prostředky z dodaných služeb, materiálu, zboží, výrobků atd. Pohledávky mají úvěrový charakter. Vznikají z obchodního styku, z nároků na dotace, odpočtů daní, půjček jiným subjektům apod.</w:t>
      </w:r>
    </w:p>
    <w:p w:rsidR="004510C0" w:rsidRDefault="004510C0" w:rsidP="00255FC3">
      <w:pPr>
        <w:pStyle w:val="Odstavecnormln"/>
      </w:pPr>
      <w:r>
        <w:t>Řízení pohledávek z obchodního styku představuje mimo jiné třídění pohledávek dle doby splácení, jejich likvidnosti – tzn., zda jde o pohledávky v době splatnosti, s prošlou dobou splatnosti, sporné nebo nedobytné.</w:t>
      </w:r>
    </w:p>
    <w:p w:rsidR="00133409" w:rsidRDefault="004506E1" w:rsidP="00255FC3">
      <w:pPr>
        <w:pStyle w:val="Odstavecnormln"/>
      </w:pPr>
      <w:r>
        <w:t xml:space="preserve">Protože hlavním tématem této práce je rozbor struktury majetku a majetek slouží jako prostředek k dosahování zisku, avšak nemůže v podniku existovat, aniž by byl pořízen </w:t>
      </w:r>
      <w:r w:rsidR="00774FDD">
        <w:t>z nějakých zdrojů (tzn.</w:t>
      </w:r>
      <w:r w:rsidR="0079138D">
        <w:t>,</w:t>
      </w:r>
      <w:r w:rsidR="00774FDD">
        <w:t xml:space="preserve"> </w:t>
      </w:r>
      <w:r w:rsidR="0079138D">
        <w:t xml:space="preserve">že </w:t>
      </w:r>
      <w:r w:rsidR="00774FDD">
        <w:t xml:space="preserve">podnik k pořízení aktiv potřebuje finanční prostředky) </w:t>
      </w:r>
      <w:r>
        <w:t xml:space="preserve">je dalším důležitým </w:t>
      </w:r>
      <w:r w:rsidR="00133409">
        <w:t>ukazatelem čistý pracovní kapitál.</w:t>
      </w:r>
      <w:bookmarkStart w:id="35" w:name="_Toc339528870"/>
      <w:bookmarkStart w:id="36" w:name="_Toc347166976"/>
      <w:r w:rsidR="00713ADB">
        <w:t xml:space="preserve"> Čistému pracovnímu kapitálu je věnována další kapitola, která byla do práce zařazena z důvodu teoretického vymezení </w:t>
      </w:r>
      <w:r w:rsidR="00713ADB">
        <w:lastRenderedPageBreak/>
        <w:t>tohoto pojmu, který bude dále použit v praktické části. Tento ukazatel je dle Mrkvičky indikátorem platební schopnosti podniku (MRKVIČKA,</w:t>
      </w:r>
      <w:r w:rsidR="0093552E">
        <w:t xml:space="preserve"> KOLÁŘ,</w:t>
      </w:r>
      <w:r w:rsidR="00713ADB">
        <w:t xml:space="preserve"> 2006, s. 60).</w:t>
      </w:r>
    </w:p>
    <w:p w:rsidR="008F2150" w:rsidRDefault="00133409" w:rsidP="0031203F">
      <w:pPr>
        <w:pStyle w:val="Nadpis2"/>
      </w:pPr>
      <w:r>
        <w:t xml:space="preserve"> </w:t>
      </w:r>
      <w:bookmarkStart w:id="37" w:name="_Ref350529496"/>
      <w:bookmarkStart w:id="38" w:name="_Toc353126163"/>
      <w:bookmarkStart w:id="39" w:name="_Toc353439355"/>
      <w:r w:rsidR="008F2150">
        <w:t>ČISTÝ PRACOVNÍ KAPITÁL</w:t>
      </w:r>
      <w:bookmarkEnd w:id="35"/>
      <w:bookmarkEnd w:id="36"/>
      <w:bookmarkEnd w:id="37"/>
      <w:bookmarkEnd w:id="38"/>
      <w:bookmarkEnd w:id="39"/>
    </w:p>
    <w:p w:rsidR="008F2150" w:rsidRPr="00723680" w:rsidRDefault="005B30AD" w:rsidP="00255FC3">
      <w:pPr>
        <w:spacing w:after="120"/>
        <w:rPr>
          <w:i/>
        </w:rPr>
      </w:pPr>
      <w:r w:rsidRPr="00715753">
        <w:rPr>
          <w:b/>
        </w:rPr>
        <w:t xml:space="preserve">Podle Sedláčka představuje čistý pracovní kapitál </w:t>
      </w:r>
      <w:r w:rsidR="00A94091" w:rsidRPr="00715753">
        <w:rPr>
          <w:b/>
        </w:rPr>
        <w:t xml:space="preserve">(dále jen ČPK) </w:t>
      </w:r>
      <w:r w:rsidR="002846E2" w:rsidRPr="00715753">
        <w:rPr>
          <w:b/>
        </w:rPr>
        <w:t>relativně volný</w:t>
      </w:r>
      <w:r w:rsidR="002846E2" w:rsidRPr="005B30AD">
        <w:t xml:space="preserve"> </w:t>
      </w:r>
      <w:r w:rsidR="002846E2" w:rsidRPr="00C22900">
        <w:rPr>
          <w:b/>
        </w:rPr>
        <w:t>kapitál, který je využíván k zajištění hladkého průběhu hospodářské činnosti</w:t>
      </w:r>
      <w:r w:rsidRPr="005B30AD">
        <w:t xml:space="preserve"> (SEDLÁČEK, 2009, s. 35).</w:t>
      </w:r>
      <w:r w:rsidR="002846E2">
        <w:t xml:space="preserve"> Jedná se o fond finančních prostřed</w:t>
      </w:r>
      <w:r w:rsidR="00A801AB">
        <w:t xml:space="preserve">ků. </w:t>
      </w:r>
      <w:r w:rsidR="00A801AB" w:rsidRPr="005B30AD">
        <w:t xml:space="preserve">Ukazatel </w:t>
      </w:r>
      <w:r w:rsidR="00A94091">
        <w:t>ČPK</w:t>
      </w:r>
      <w:r w:rsidR="00A801AB" w:rsidRPr="005B30AD">
        <w:t xml:space="preserve"> má významný vliv na solventnost podniku</w:t>
      </w:r>
      <w:r w:rsidR="002846E2" w:rsidRPr="005B30AD">
        <w:t>.</w:t>
      </w:r>
      <w:r w:rsidR="00A801AB" w:rsidRPr="005B30AD">
        <w:t xml:space="preserve"> Přebytek krátkodobých aktiv nad krátkodobými dluhy opravňuje k úsudku, že podnik má dobré finanční zázemí. ČPK představuje finanční polštář, který podniku umožní pokračovat ve svých aktivitách i v případě, že by ho potkala nějaká nepříznivá událost, jež by vyž</w:t>
      </w:r>
      <w:r w:rsidR="00723680" w:rsidRPr="005B30AD">
        <w:t>adovala vys</w:t>
      </w:r>
      <w:r w:rsidRPr="005B30AD">
        <w:t>oký výdej peněžních prostředků (SEDLÁČEK, 2009, s. 36).</w:t>
      </w:r>
    </w:p>
    <w:p w:rsidR="008F2150" w:rsidRPr="001D6159" w:rsidRDefault="00C93C3C" w:rsidP="00F43398">
      <w:r>
        <w:t>ČPK v</w:t>
      </w:r>
      <w:r w:rsidR="008F2150" w:rsidRPr="001D6159">
        <w:t>yjadřuje disponibilitu majetku, jeho pružnost a pohyblivost využitelnou pro činnost podniku. Představuje tzv. volný finanční fond</w:t>
      </w:r>
      <w:r w:rsidR="00F43398">
        <w:t xml:space="preserve">. </w:t>
      </w:r>
      <w:r w:rsidR="00A94091">
        <w:t>ČPK je vyjádřen rozdílem celkových oběžných aktiv a</w:t>
      </w:r>
      <w:r w:rsidR="0079138D">
        <w:t xml:space="preserve"> celkových krátkodobých závazků</w:t>
      </w:r>
      <w:r w:rsidR="00A94091">
        <w:t xml:space="preserve"> (</w:t>
      </w:r>
      <w:r w:rsidR="0093552E">
        <w:t>MRKVIČKA</w:t>
      </w:r>
      <w:r w:rsidR="00A94091">
        <w:t>,</w:t>
      </w:r>
      <w:r w:rsidR="0093552E">
        <w:t xml:space="preserve"> KOLÁŘ,</w:t>
      </w:r>
      <w:r w:rsidR="00A94091">
        <w:t xml:space="preserve"> 2006, s. 80)</w:t>
      </w:r>
      <w:r w:rsidR="0079138D">
        <w:t>.</w:t>
      </w:r>
    </w:p>
    <w:p w:rsidR="008F2150" w:rsidRPr="00A1547F" w:rsidRDefault="00A1547F" w:rsidP="008F2150">
      <w:pPr>
        <w:rPr>
          <w:oMath/>
        </w:rPr>
      </w:pPr>
      <m:oMathPara>
        <m:oMath>
          <m:r>
            <m:rPr>
              <m:nor/>
            </m:rPr>
            <m:t>ČPK =</m:t>
          </m:r>
          <m:r>
            <m:rPr>
              <m:nor/>
            </m:rPr>
            <w:rPr>
              <w:rFonts w:ascii="Cambria Math"/>
            </w:rPr>
            <m:t xml:space="preserve"> </m:t>
          </m:r>
          <m:r>
            <m:rPr>
              <m:nor/>
            </m:rPr>
            <m:t>Celková oběžná aktiva-celkové krátkodobé závazky</m:t>
          </m:r>
        </m:oMath>
      </m:oMathPara>
    </w:p>
    <w:p w:rsidR="008F2150" w:rsidRDefault="008F2150" w:rsidP="00255FC3">
      <w:pPr>
        <w:pStyle w:val="Odstavecnormln"/>
      </w:pPr>
      <w:r w:rsidRPr="001D6159">
        <w:t>Platební schopnost je jedním z nejdůležitějších předpokladů úspěšné existence podniku a jedním z ukazatelů finančního zdraví podniku. Vypovídá a o schopnosti podniku platit včas své krátkodobé záv</w:t>
      </w:r>
      <w:r w:rsidR="009D1977">
        <w:t>a</w:t>
      </w:r>
      <w:r w:rsidRPr="001D6159">
        <w:t>zky</w:t>
      </w:r>
      <w:r>
        <w:t>.</w:t>
      </w:r>
    </w:p>
    <w:p w:rsidR="00021872" w:rsidRPr="001D6159" w:rsidRDefault="00021872" w:rsidP="00255FC3">
      <w:pPr>
        <w:pStyle w:val="Odstavecnormln"/>
      </w:pPr>
      <w:r>
        <w:t xml:space="preserve">Výše byly popsány základní ukazatele finanční analýzy, jejichž hodnoty vypovídají </w:t>
      </w:r>
      <w:r w:rsidR="002E0B1C">
        <w:br/>
      </w:r>
      <w:r>
        <w:t xml:space="preserve">o platební a finanční situaci podniku a mohou přispět ke správnému rozhodování </w:t>
      </w:r>
      <w:r w:rsidR="002E0B1C">
        <w:br/>
      </w:r>
      <w:r>
        <w:t>o dalších krocích podniku. Podnik však není izolovaná jednotka, ale je částí určitého trhu a řetězce faktorů, které ho ovlivňují. Další kapitola je věnována některým faktorům, které ovlivňují majetkovou strukturu podniku.</w:t>
      </w:r>
    </w:p>
    <w:p w:rsidR="004510C0" w:rsidRPr="001D6159" w:rsidRDefault="007354C3" w:rsidP="00FE6E53">
      <w:pPr>
        <w:pStyle w:val="Nadpis2"/>
      </w:pPr>
      <w:bookmarkStart w:id="40" w:name="_Ref348555951"/>
      <w:bookmarkStart w:id="41" w:name="_Toc353126164"/>
      <w:bookmarkStart w:id="42" w:name="_Toc353439356"/>
      <w:r w:rsidRPr="00FE6E53">
        <w:rPr>
          <w:rStyle w:val="Nadpis2Char"/>
          <w:b/>
        </w:rPr>
        <w:lastRenderedPageBreak/>
        <w:t>FAKTORY, KTERÉ OVLIVŇUJÍ MAJETKOVOU STRUKTURU</w:t>
      </w:r>
      <w:r>
        <w:t xml:space="preserve"> PODNIKU</w:t>
      </w:r>
      <w:bookmarkEnd w:id="40"/>
      <w:bookmarkEnd w:id="41"/>
      <w:bookmarkEnd w:id="42"/>
    </w:p>
    <w:p w:rsidR="004B4A77" w:rsidRDefault="004510C0" w:rsidP="00255FC3">
      <w:pPr>
        <w:pStyle w:val="Odstavecnormln"/>
      </w:pPr>
      <w:r w:rsidRPr="001D6159">
        <w:t>Majetková struktura podniku</w:t>
      </w:r>
      <w:r w:rsidR="0033307F">
        <w:t xml:space="preserve"> závisí na typu podniku,</w:t>
      </w:r>
      <w:r w:rsidR="0033307F" w:rsidRPr="001D6159">
        <w:t xml:space="preserve"> odvětví,</w:t>
      </w:r>
      <w:r w:rsidR="0033307F">
        <w:t xml:space="preserve"> ve kterém se podnik nachází, technické náročnosti výroby, </w:t>
      </w:r>
      <w:r w:rsidRPr="001D6159">
        <w:t>finanční politice podniku</w:t>
      </w:r>
      <w:r w:rsidR="0033307F">
        <w:t xml:space="preserve"> nebo</w:t>
      </w:r>
      <w:r w:rsidRPr="001D6159">
        <w:t xml:space="preserve"> stanovení optimální výše oběžného majetku.</w:t>
      </w:r>
      <w:r w:rsidR="00A03E1B">
        <w:t xml:space="preserve"> </w:t>
      </w:r>
      <w:r w:rsidR="004C7AE8">
        <w:t>Faktorů, které ovlivňují majetkovou strukturu podniku</w:t>
      </w:r>
      <w:r w:rsidR="00232D4A">
        <w:t>,</w:t>
      </w:r>
      <w:r w:rsidR="004C7AE8">
        <w:t xml:space="preserve"> je mnoho. Pro tuto práci bylo vybráno oceňování a odpisování majetku, neboť majetek je zachycen </w:t>
      </w:r>
      <w:r w:rsidR="004B4A77">
        <w:t>v aktivech</w:t>
      </w:r>
      <w:r w:rsidR="004C7AE8">
        <w:t xml:space="preserve"> výkazu rozvahy. Rozvaha je jedním ze základních výkazů, který podává informace všem uživatelům o majetkové a finanční struktuře podniku.</w:t>
      </w:r>
      <w:r w:rsidR="004B4A77">
        <w:t xml:space="preserve"> </w:t>
      </w:r>
      <w:r w:rsidR="004C7AE8">
        <w:t>Účetní výkazy bývají někdy také jediným podkladem pro zpracování externích analýz. Z toho důvodu je nutné, aby účetnictví, které je základem pro sestavení účetních výkazů poskytovalo spolehlivé, úplné a správné informace.</w:t>
      </w:r>
      <w:bookmarkStart w:id="43" w:name="_Toc339528872"/>
      <w:bookmarkStart w:id="44" w:name="_Toc347166978"/>
    </w:p>
    <w:p w:rsidR="005A70BE" w:rsidRDefault="005A70BE" w:rsidP="00255FC3">
      <w:pPr>
        <w:pStyle w:val="Odstavecnormln"/>
      </w:pPr>
      <w:r>
        <w:t>Dalším faktorem, který ovlivňuje majetkovou strukturu podniku, popsaným v této práci je způsob pořízení majetku, technická náročnosti výroby</w:t>
      </w:r>
      <w:r w:rsidR="00732BC2">
        <w:t>,</w:t>
      </w:r>
      <w:r>
        <w:t xml:space="preserve"> doba inkasa pohledávek </w:t>
      </w:r>
      <w:r w:rsidR="002E0B1C">
        <w:br/>
      </w:r>
      <w:r>
        <w:t xml:space="preserve">a doba splácení závazků. </w:t>
      </w:r>
      <w:r w:rsidR="00442D2A">
        <w:t xml:space="preserve">Tyto faktory byly zařazeny do bakalářské práce z důvodu, </w:t>
      </w:r>
      <w:r w:rsidR="002E0B1C">
        <w:br/>
      </w:r>
      <w:r w:rsidR="00442D2A">
        <w:t>že se jedná</w:t>
      </w:r>
      <w:r>
        <w:t xml:space="preserve"> o základní faktory ovlivňující strukturu majetku každého podniku. Každý podnik potřebuje k uskutečňování své ekonomické činnosti určitý majetek, který musí pořídit. Technická náročnost výroby je dána odvětvím, ve kterém se podnik pohybuje </w:t>
      </w:r>
      <w:r w:rsidR="002E0B1C">
        <w:br/>
      </w:r>
      <w:r>
        <w:t>a doba inkasa pohledávek a splácení závazků se týká ka</w:t>
      </w:r>
      <w:r w:rsidR="00442D2A">
        <w:t>ždého podnikatelského subjektu. Velké rozdíly mezi dobou inkasa pohledávek a dobou splácení závazků mohou v některých případech vést k vážným problémům podniku s platební schopností.</w:t>
      </w:r>
    </w:p>
    <w:p w:rsidR="00457E7E" w:rsidRDefault="00457E7E" w:rsidP="005A70BE">
      <w:pPr>
        <w:pStyle w:val="Nadpis3"/>
      </w:pPr>
      <w:bookmarkStart w:id="45" w:name="_Ref348556157"/>
      <w:bookmarkStart w:id="46" w:name="_Toc353126165"/>
      <w:bookmarkStart w:id="47" w:name="_Toc353439357"/>
      <w:r>
        <w:t>Oceňování a odpisování majetku</w:t>
      </w:r>
      <w:bookmarkEnd w:id="43"/>
      <w:bookmarkEnd w:id="44"/>
      <w:bookmarkEnd w:id="45"/>
      <w:bookmarkEnd w:id="46"/>
      <w:bookmarkEnd w:id="47"/>
    </w:p>
    <w:p w:rsidR="00D00723" w:rsidRDefault="00A03E1B" w:rsidP="00255FC3">
      <w:pPr>
        <w:pStyle w:val="Odstavecnormln"/>
      </w:pPr>
      <w:r>
        <w:t>Ocenění znamená vyjádření hodnoty majetku v penězích. Podniky (účetní jednotky) jsou povinny dle § 24 zákona o účetnictví č. 563/1991 Sb. oceňovat</w:t>
      </w:r>
      <w:r w:rsidR="00A808D2">
        <w:t xml:space="preserve"> majetek </w:t>
      </w:r>
      <w:r w:rsidR="00D00723">
        <w:t>k okamžiku uskutečnění účetního případu a ke konci rozvahového dne nebo jinému okamžiku, ke kterému se sestavuje účetní závěrka.</w:t>
      </w:r>
    </w:p>
    <w:p w:rsidR="00A03E1B" w:rsidRDefault="00D00723" w:rsidP="00255FC3">
      <w:pPr>
        <w:pStyle w:val="Odstavecnormln"/>
        <w:rPr>
          <w:i/>
        </w:rPr>
      </w:pPr>
      <w:r w:rsidRPr="00871713">
        <w:t xml:space="preserve">Při oceňování majetku </w:t>
      </w:r>
      <w:r w:rsidR="00221228" w:rsidRPr="00871713">
        <w:t xml:space="preserve">je </w:t>
      </w:r>
      <w:r w:rsidRPr="00871713">
        <w:t xml:space="preserve">vhodné dodržovat zásadu opatrnosti. </w:t>
      </w:r>
      <w:r w:rsidR="00871713" w:rsidRPr="00871713">
        <w:t>Dle Novotného platí</w:t>
      </w:r>
      <w:r w:rsidRPr="00871713">
        <w:t xml:space="preserve"> nenadhodnocovat aktiva, nepodhodnocovat dluhy</w:t>
      </w:r>
      <w:r w:rsidR="00871713" w:rsidRPr="00871713">
        <w:t xml:space="preserve"> (NOVOTNÝ, 2007, s. 97</w:t>
      </w:r>
      <w:r w:rsidR="00871713" w:rsidRPr="009D6A13">
        <w:t>)</w:t>
      </w:r>
      <w:r w:rsidR="009D6A13">
        <w:t>.</w:t>
      </w:r>
    </w:p>
    <w:p w:rsidR="00457E7E" w:rsidRPr="00F77329" w:rsidRDefault="00457E7E" w:rsidP="00255FC3">
      <w:pPr>
        <w:pStyle w:val="Odstavecnormln"/>
      </w:pPr>
      <w:r w:rsidRPr="00F77329">
        <w:lastRenderedPageBreak/>
        <w:t>Platné účetní předpisy v ČR rozlišují tyto druhy cen:</w:t>
      </w:r>
    </w:p>
    <w:p w:rsidR="00457E7E" w:rsidRPr="00F77329" w:rsidRDefault="00457E7E" w:rsidP="00255FC3">
      <w:pPr>
        <w:pStyle w:val="Odstavecseseznamem"/>
        <w:numPr>
          <w:ilvl w:val="0"/>
          <w:numId w:val="8"/>
        </w:numPr>
        <w:spacing w:line="360" w:lineRule="auto"/>
        <w:ind w:left="714" w:hanging="357"/>
      </w:pPr>
      <w:r w:rsidRPr="00F77329">
        <w:t>pořizovací cenu (zahrnuje cenu pořízení a vedlejší náklady spojené s pořízením); tyto ceny převládají,</w:t>
      </w:r>
    </w:p>
    <w:p w:rsidR="00457E7E" w:rsidRPr="00F77329" w:rsidRDefault="00457E7E" w:rsidP="00255FC3">
      <w:pPr>
        <w:pStyle w:val="Odstavecseseznamem"/>
        <w:numPr>
          <w:ilvl w:val="0"/>
          <w:numId w:val="8"/>
        </w:numPr>
        <w:spacing w:line="360" w:lineRule="auto"/>
        <w:ind w:left="714" w:hanging="357"/>
      </w:pPr>
      <w:r w:rsidRPr="00F77329">
        <w:t>cenu pořízení (cenu, za kterou byl majetek nakoupen bez nákladů spojených s jeho pořízením; většinou pro ocenění finančního majetku),</w:t>
      </w:r>
    </w:p>
    <w:p w:rsidR="00457E7E" w:rsidRPr="00F77329" w:rsidRDefault="00457E7E" w:rsidP="00457E7E">
      <w:pPr>
        <w:pStyle w:val="Odstavecseseznamem"/>
        <w:numPr>
          <w:ilvl w:val="0"/>
          <w:numId w:val="8"/>
        </w:numPr>
        <w:spacing w:line="360" w:lineRule="auto"/>
      </w:pPr>
      <w:r w:rsidRPr="00F77329">
        <w:t>vlastními náklady (nebo jejich část; pro ocenění majetku vyrobeného vlastní činností),</w:t>
      </w:r>
    </w:p>
    <w:p w:rsidR="00457E7E" w:rsidRPr="00F77329" w:rsidRDefault="00DF3B8B" w:rsidP="00457E7E">
      <w:pPr>
        <w:pStyle w:val="Odstavecseseznamem"/>
        <w:numPr>
          <w:ilvl w:val="0"/>
          <w:numId w:val="8"/>
        </w:numPr>
        <w:spacing w:line="360" w:lineRule="auto"/>
      </w:pPr>
      <w:r w:rsidRPr="00F77329">
        <w:t xml:space="preserve">reprodukční pořizovací cenu, tj. </w:t>
      </w:r>
      <w:r w:rsidR="00457E7E" w:rsidRPr="00F77329">
        <w:t>cenu, za kterou by se daný ma</w:t>
      </w:r>
      <w:r w:rsidRPr="00F77329">
        <w:t>jetek pořídil v době oceňování (SYNEK, KYSLINGEROVÁ, 2010, s. 142).</w:t>
      </w:r>
    </w:p>
    <w:p w:rsidR="00A808D2" w:rsidRDefault="00A808D2" w:rsidP="00255FC3">
      <w:pPr>
        <w:pStyle w:val="Odstavecnormln"/>
      </w:pPr>
      <w:r w:rsidRPr="00A808D2">
        <w:t>Dle § 25</w:t>
      </w:r>
      <w:r>
        <w:t xml:space="preserve"> zákona č. 563/1991 Sb. se z jednotlivých složek majetku oceňují:</w:t>
      </w:r>
    </w:p>
    <w:p w:rsidR="00A808D2" w:rsidRDefault="00A808D2" w:rsidP="00255FC3">
      <w:pPr>
        <w:pStyle w:val="Odstavecseseznamem"/>
        <w:numPr>
          <w:ilvl w:val="0"/>
          <w:numId w:val="8"/>
        </w:numPr>
        <w:spacing w:line="360" w:lineRule="auto"/>
        <w:ind w:left="714" w:hanging="357"/>
      </w:pPr>
      <w:r>
        <w:t xml:space="preserve">pořizovacími cenami hmotný a nehmotný majetek, zásoby (s výjimkou </w:t>
      </w:r>
      <w:r w:rsidR="002E0B1C">
        <w:br/>
      </w:r>
      <w:r>
        <w:t>a hmotného a nehmotného majetku a zásob vytvořených vlastní činností), podíly, cenné papíry a deriváty, pohledávky (v případě nabytí za úplatu nebo vkladem),</w:t>
      </w:r>
    </w:p>
    <w:p w:rsidR="00A808D2" w:rsidRDefault="00A808D2" w:rsidP="00A808D2">
      <w:pPr>
        <w:pStyle w:val="Odstavecseseznamem"/>
        <w:numPr>
          <w:ilvl w:val="0"/>
          <w:numId w:val="8"/>
        </w:numPr>
        <w:spacing w:line="360" w:lineRule="auto"/>
      </w:pPr>
      <w:r>
        <w:t>vlastními náklady hmotný a nehmotný majetek a zásoby vytvořené vlastní činností, dále příchovky zvířat,</w:t>
      </w:r>
    </w:p>
    <w:p w:rsidR="00A808D2" w:rsidRDefault="00A808D2" w:rsidP="00A808D2">
      <w:pPr>
        <w:pStyle w:val="Odstavecseseznamem"/>
        <w:numPr>
          <w:ilvl w:val="0"/>
          <w:numId w:val="8"/>
        </w:numPr>
        <w:spacing w:line="360" w:lineRule="auto"/>
      </w:pPr>
      <w:r>
        <w:t>jmenovitou hodnotou peněžní prostředky, ceniny a pohledávky (při vzniku),</w:t>
      </w:r>
    </w:p>
    <w:p w:rsidR="00A808D2" w:rsidRDefault="00A808D2" w:rsidP="00A808D2">
      <w:pPr>
        <w:pStyle w:val="Odstavecseseznamem"/>
        <w:numPr>
          <w:ilvl w:val="0"/>
          <w:numId w:val="8"/>
        </w:numPr>
        <w:spacing w:line="360" w:lineRule="auto"/>
      </w:pPr>
      <w:r>
        <w:t>reprodukční cenou majetek v případě bezúplatného nabytí</w:t>
      </w:r>
      <w:r w:rsidR="00F4616A">
        <w:t xml:space="preserve"> nebo vytvořeného vlastní činností, kdy vlastní náklady není možné zjistit.</w:t>
      </w:r>
    </w:p>
    <w:p w:rsidR="00732BC2" w:rsidRPr="00A808D2" w:rsidRDefault="00732BC2" w:rsidP="00255FC3">
      <w:pPr>
        <w:pStyle w:val="Odstavecnormln"/>
      </w:pPr>
      <w:r w:rsidRPr="00732BC2">
        <w:t>Hodnota majetku zachyceného v účetnictví je ovlivněna způsobem jeho pořízení.</w:t>
      </w:r>
    </w:p>
    <w:p w:rsidR="004510C0" w:rsidRDefault="004510C0" w:rsidP="00EE68CF">
      <w:pPr>
        <w:pStyle w:val="Nadpis3"/>
      </w:pPr>
      <w:bookmarkStart w:id="48" w:name="_Toc353126166"/>
      <w:bookmarkStart w:id="49" w:name="_Toc353439358"/>
      <w:r>
        <w:t xml:space="preserve">Způsob pořizování </w:t>
      </w:r>
      <w:r w:rsidR="00EE68CF">
        <w:t>majetku</w:t>
      </w:r>
      <w:bookmarkEnd w:id="48"/>
      <w:bookmarkEnd w:id="49"/>
    </w:p>
    <w:p w:rsidR="00EE68CF" w:rsidRDefault="00EE68CF" w:rsidP="00255FC3">
      <w:pPr>
        <w:pStyle w:val="Odstavecnormln"/>
      </w:pPr>
      <w:r>
        <w:t>Majetek může být pořízen nákupem od dodavatele</w:t>
      </w:r>
      <w:r w:rsidR="00006744">
        <w:t xml:space="preserve"> (ocenění pořizovací cenou)</w:t>
      </w:r>
      <w:r>
        <w:t>, vlastní výrobou</w:t>
      </w:r>
      <w:r w:rsidR="00006744">
        <w:t xml:space="preserve"> (ocenění vlastními náklady)</w:t>
      </w:r>
      <w:r>
        <w:t>, darováním</w:t>
      </w:r>
      <w:r w:rsidR="00006744">
        <w:t xml:space="preserve"> (ocenění reprodukční cenou – v praxi bývá využívána cena stanovená pro účely daně darovací)</w:t>
      </w:r>
      <w:r>
        <w:t>, převodem z osobního majetku podnikat</w:t>
      </w:r>
      <w:r w:rsidR="00584360">
        <w:t>e</w:t>
      </w:r>
      <w:r>
        <w:t>le</w:t>
      </w:r>
      <w:r w:rsidR="00006744">
        <w:t xml:space="preserve"> (ocenění reprodukční cenou na základě znaleckého posudku)</w:t>
      </w:r>
      <w:r w:rsidR="00584360">
        <w:t>, vkladem majetku společníky</w:t>
      </w:r>
      <w:r w:rsidR="00006744">
        <w:t xml:space="preserve"> (ocenění reprodukční cenou)</w:t>
      </w:r>
      <w:r w:rsidR="00584360">
        <w:t>, finančním leasingem</w:t>
      </w:r>
      <w:r w:rsidR="00006744">
        <w:t xml:space="preserve"> (v případě </w:t>
      </w:r>
      <w:r w:rsidR="00006744">
        <w:lastRenderedPageBreak/>
        <w:t xml:space="preserve">finančního leasingu je </w:t>
      </w:r>
      <w:r w:rsidR="003156B3">
        <w:t xml:space="preserve">takový </w:t>
      </w:r>
      <w:r w:rsidR="00006744">
        <w:t>majetek v účetnictví zachycen v aktivech v časovém rozlišení</w:t>
      </w:r>
      <w:r w:rsidR="003156B3">
        <w:t xml:space="preserve"> - jedná se o náklady příštích období).</w:t>
      </w:r>
    </w:p>
    <w:p w:rsidR="00087743" w:rsidRPr="00EE68CF" w:rsidRDefault="00087743" w:rsidP="00255FC3">
      <w:pPr>
        <w:pStyle w:val="Odstavecnormln"/>
      </w:pPr>
      <w:r>
        <w:t>Způsob pořizování majetku může být mimo jiné závislý na technické náročnosti výroby.</w:t>
      </w:r>
    </w:p>
    <w:p w:rsidR="004510C0" w:rsidRDefault="004510C0" w:rsidP="00070956">
      <w:pPr>
        <w:pStyle w:val="Nadpis3"/>
      </w:pPr>
      <w:bookmarkStart w:id="50" w:name="_Toc353126167"/>
      <w:bookmarkStart w:id="51" w:name="_Toc353439359"/>
      <w:r>
        <w:t>Technická náročnost výroby</w:t>
      </w:r>
      <w:bookmarkEnd w:id="50"/>
      <w:bookmarkEnd w:id="51"/>
    </w:p>
    <w:p w:rsidR="00070956" w:rsidRDefault="00070956" w:rsidP="00255FC3">
      <w:pPr>
        <w:pStyle w:val="Odstavecnormln"/>
      </w:pPr>
      <w:r>
        <w:t>Technická náročnost výroby je obecným faktorem ovlivňujícím výši majetku. Pro ilustraci může být uvedeno srovnání např. výrobního podniku</w:t>
      </w:r>
      <w:r w:rsidR="00F91F2B">
        <w:t xml:space="preserve"> zabývajícího se výrobou automobilů</w:t>
      </w:r>
      <w:r>
        <w:t xml:space="preserve">, který k uskutečňování ekonomické činnosti potřebuje nákladné strojní vybavení, haly, pozemky a materiál s podnikem zabývajícím se prodejem </w:t>
      </w:r>
      <w:r w:rsidR="00F91F2B">
        <w:t xml:space="preserve">ekonomických </w:t>
      </w:r>
      <w:r>
        <w:t xml:space="preserve">služeb, kterému ke své ekonomické činnosti bude stačit vybavení informačními technologiemi, popř. stavbou. Výrobní podnik by na straně aktiv vykazoval </w:t>
      </w:r>
      <w:r w:rsidR="00F91F2B">
        <w:t>zcela jistě výrazně vyšší položky hmotného majetku než podnik zaměřený na služby. Lišila by se také struktura oběžného majetku.</w:t>
      </w:r>
    </w:p>
    <w:p w:rsidR="00746EE4" w:rsidRPr="00070956" w:rsidRDefault="00746EE4" w:rsidP="00255FC3">
      <w:pPr>
        <w:pStyle w:val="Odstavecnormln"/>
      </w:pPr>
      <w:r>
        <w:t>Posledním faktorem ovlivňujícím majetkovou strukturu podniku zmíněným v této práci je doba inkasa pohledávek a doba splácení závazků.</w:t>
      </w:r>
    </w:p>
    <w:p w:rsidR="004510C0" w:rsidRDefault="004510C0" w:rsidP="00070956">
      <w:pPr>
        <w:pStyle w:val="Nadpis3"/>
      </w:pPr>
      <w:bookmarkStart w:id="52" w:name="_Toc353126168"/>
      <w:bookmarkStart w:id="53" w:name="_Toc353439360"/>
      <w:r>
        <w:t>Doba inkasa pohledávek a doba splácení závazků</w:t>
      </w:r>
      <w:bookmarkEnd w:id="52"/>
      <w:bookmarkEnd w:id="53"/>
    </w:p>
    <w:p w:rsidR="003711C4" w:rsidRDefault="003A3EAC" w:rsidP="00255FC3">
      <w:pPr>
        <w:pStyle w:val="Odstavecnormln"/>
      </w:pPr>
      <w:r>
        <w:t xml:space="preserve">Dobou inkasa pohledávek se rozumí doba od vzniku pohledávky (tj. okamžik prodeje zboží nebo služby) až po její vyrovnání (zaplacení). Doba splácení závazků znamená dobu od vzniku závazku po jeho úhradu. Pro podnik je dlouhá doba inkasa pohledávek nevýhodná, protože v pohledávkách </w:t>
      </w:r>
      <w:r w:rsidR="00AD4793">
        <w:t xml:space="preserve">jsou </w:t>
      </w:r>
      <w:r>
        <w:t xml:space="preserve">vázány </w:t>
      </w:r>
      <w:r w:rsidR="00AD4793">
        <w:t>peněžní</w:t>
      </w:r>
      <w:r>
        <w:t xml:space="preserve"> prostředky</w:t>
      </w:r>
      <w:r w:rsidR="00AD4793">
        <w:t>, které by mohly být využity. Někdy mohou být pohledávky obtížně vymahatelné nebo nevymahatelné</w:t>
      </w:r>
      <w:r>
        <w:t xml:space="preserve">. </w:t>
      </w:r>
      <w:r w:rsidR="002E0B1C">
        <w:br/>
      </w:r>
      <w:r>
        <w:t xml:space="preserve">Na druhou stranu delší doba splácení závazků je pro podnik výhodná, protože </w:t>
      </w:r>
      <w:r w:rsidR="00AD4793">
        <w:t>tím si podnik udrží delší dobu peněžní prostředky.</w:t>
      </w:r>
    </w:p>
    <w:p w:rsidR="00CD7FAF" w:rsidRDefault="00CD7FAF">
      <w:pPr>
        <w:spacing w:after="200" w:line="276" w:lineRule="auto"/>
        <w:jc w:val="left"/>
      </w:pPr>
      <w:r>
        <w:br w:type="page"/>
      </w:r>
    </w:p>
    <w:p w:rsidR="00201D4C" w:rsidRPr="007228DF" w:rsidRDefault="00201D4C" w:rsidP="00C31022">
      <w:pPr>
        <w:spacing w:after="120"/>
        <w:rPr>
          <w:b/>
        </w:rPr>
      </w:pPr>
      <w:r w:rsidRPr="007228DF">
        <w:rPr>
          <w:b/>
        </w:rPr>
        <w:lastRenderedPageBreak/>
        <w:t>SHRNUTÍ</w:t>
      </w:r>
    </w:p>
    <w:p w:rsidR="00201D4C" w:rsidRDefault="00201D4C" w:rsidP="00255FC3">
      <w:pPr>
        <w:pStyle w:val="Odstavecnormln"/>
      </w:pPr>
      <w:r>
        <w:t>Majetek je součástí každého podniku. Žádný podnik nemůže provozovat svou podnikatelskou činnost, aniž by nevlastnil majetek. Pojem majetek podniku zahrnuje velmi širokou oblast. Jedná se o věci hmotné i nehmotné povahy a pohledávky. Aby podnik mohl svůj majetek zachytit, a vykázat v účetnictví je nutné, aby byl oceněn</w:t>
      </w:r>
      <w:r w:rsidR="007228DF">
        <w:t xml:space="preserve"> </w:t>
      </w:r>
      <w:r w:rsidR="002E0B1C">
        <w:br/>
      </w:r>
      <w:r w:rsidR="007228DF">
        <w:t>v penězích</w:t>
      </w:r>
      <w:r>
        <w:t xml:space="preserve">. Oceňování majetku pro potřeby účetnictví je </w:t>
      </w:r>
      <w:r w:rsidR="002E0B1C">
        <w:t>ustanoveno v §</w:t>
      </w:r>
      <w:r w:rsidR="007228DF">
        <w:t xml:space="preserve"> 24 – 28 zákona o účetnictví č. 563/1991 Sb. Na majetek zachycený v účetnictví podniku se lze dívat ze dvou hledisek. Z hlediska jeho formy, v jaké se v podniku vyskytuje nebo z hlediska jeho financování, tzn., z jakých zdrojů byl pořízen. To, v jaké formě se majetek v podniku vyskytuje nebo z jakých zdrojů byl pořízen</w:t>
      </w:r>
      <w:r w:rsidR="002E4AD4">
        <w:t>,</w:t>
      </w:r>
      <w:r w:rsidR="007228DF">
        <w:t xml:space="preserve"> je ovlivňováno mnoha faktory. Asi největší vliv na strukturu majetku podniku má oblast (obor) podnikání. Některý podnik ke své hospodářské činnosti potřebuje méně nákladný hmotný majetek, jiný se bez nákladného strojního nebo jiného vybavení neobejde.</w:t>
      </w:r>
      <w:r w:rsidR="002E4AD4">
        <w:t xml:space="preserve"> Dalšími faktory, které ovlivňují strukturu majetku</w:t>
      </w:r>
      <w:r w:rsidR="00A30994">
        <w:t>,</w:t>
      </w:r>
      <w:r w:rsidR="002E4AD4">
        <w:t xml:space="preserve"> </w:t>
      </w:r>
      <w:r w:rsidR="0012154A">
        <w:t>jsou</w:t>
      </w:r>
      <w:r w:rsidR="002E4AD4">
        <w:t xml:space="preserve"> způsob jeho pořízení</w:t>
      </w:r>
      <w:r w:rsidR="0012154A">
        <w:t xml:space="preserve"> nebo</w:t>
      </w:r>
      <w:r w:rsidR="002E4AD4">
        <w:t xml:space="preserve"> doba inkasa pohledávek apod.</w:t>
      </w:r>
    </w:p>
    <w:p w:rsidR="00486D43" w:rsidRDefault="00486D43">
      <w:pPr>
        <w:spacing w:after="200" w:line="276" w:lineRule="auto"/>
        <w:jc w:val="left"/>
      </w:pPr>
      <w:r>
        <w:br w:type="page"/>
      </w:r>
    </w:p>
    <w:p w:rsidR="00232D4A" w:rsidRPr="00E33FBB" w:rsidRDefault="00232D4A" w:rsidP="00232D4A">
      <w:pPr>
        <w:rPr>
          <w:b/>
          <w:sz w:val="32"/>
          <w:szCs w:val="32"/>
        </w:rPr>
      </w:pPr>
      <w:r w:rsidRPr="00E33FBB">
        <w:rPr>
          <w:b/>
          <w:sz w:val="32"/>
          <w:szCs w:val="32"/>
        </w:rPr>
        <w:lastRenderedPageBreak/>
        <w:t>ANALYTICKÁ ČÁST PRÁCE</w:t>
      </w:r>
    </w:p>
    <w:p w:rsidR="005B5E23" w:rsidRDefault="00AE6AB9" w:rsidP="00971AA7">
      <w:pPr>
        <w:pStyle w:val="Nadpis1"/>
      </w:pPr>
      <w:bookmarkStart w:id="54" w:name="_Ref351995898"/>
      <w:bookmarkStart w:id="55" w:name="_Ref351995917"/>
      <w:bookmarkStart w:id="56" w:name="_Ref351995933"/>
      <w:bookmarkStart w:id="57" w:name="_Toc353126169"/>
      <w:bookmarkStart w:id="58" w:name="_Toc353439361"/>
      <w:r>
        <w:t>ROZBOR A</w:t>
      </w:r>
      <w:r w:rsidR="00971AA7">
        <w:t xml:space="preserve"> KOMPARACE MAJEKOVÉ STRUKTURY SPOLEČNOSTI KOVOVÝROBA s. r. o.</w:t>
      </w:r>
      <w:r>
        <w:br/>
        <w:t xml:space="preserve">a </w:t>
      </w:r>
      <w:r w:rsidR="00971AA7">
        <w:t>SPOLEČNOSTI Q – MONT s. r. o.</w:t>
      </w:r>
      <w:bookmarkEnd w:id="54"/>
      <w:bookmarkEnd w:id="55"/>
      <w:bookmarkEnd w:id="56"/>
      <w:bookmarkEnd w:id="57"/>
      <w:bookmarkEnd w:id="58"/>
    </w:p>
    <w:p w:rsidR="00DC77D9" w:rsidRDefault="0081591A" w:rsidP="00255FC3">
      <w:pPr>
        <w:pStyle w:val="Odstavecnormln"/>
      </w:pPr>
      <w:r w:rsidRPr="00560FC6">
        <w:t xml:space="preserve">Pro zpracování </w:t>
      </w:r>
      <w:r w:rsidR="00980AEF">
        <w:t>analytické</w:t>
      </w:r>
      <w:r w:rsidRPr="00560FC6">
        <w:t xml:space="preserve"> části</w:t>
      </w:r>
      <w:r w:rsidR="00A64333">
        <w:t xml:space="preserve"> bakalářské práce</w:t>
      </w:r>
      <w:r w:rsidRPr="00560FC6">
        <w:t xml:space="preserve"> byly vybrány dvě společnosti s ručením omezeným</w:t>
      </w:r>
      <w:r w:rsidR="00572ABA">
        <w:t xml:space="preserve">, které jsou srovnatelné z hlediska </w:t>
      </w:r>
      <w:r w:rsidR="00A64333">
        <w:t>předmětu, místa podnikání, počt</w:t>
      </w:r>
      <w:r w:rsidR="00C63650">
        <w:t>u zaměstnanců a ročního obratu.</w:t>
      </w:r>
    </w:p>
    <w:p w:rsidR="00C63650" w:rsidRPr="004A2F73" w:rsidRDefault="00C63650" w:rsidP="00255FC3">
      <w:pPr>
        <w:spacing w:after="120"/>
      </w:pPr>
      <w:r w:rsidRPr="00C57D06">
        <w:rPr>
          <w:b/>
        </w:rPr>
        <w:t>Cílem</w:t>
      </w:r>
      <w:r>
        <w:rPr>
          <w:b/>
        </w:rPr>
        <w:t xml:space="preserve"> </w:t>
      </w:r>
      <w:r w:rsidR="00AE6AB9">
        <w:rPr>
          <w:b/>
        </w:rPr>
        <w:t>této kapitoly je provést rozbor a</w:t>
      </w:r>
      <w:r>
        <w:rPr>
          <w:b/>
        </w:rPr>
        <w:t xml:space="preserve"> komparaci</w:t>
      </w:r>
      <w:r w:rsidRPr="00C57D06">
        <w:rPr>
          <w:b/>
        </w:rPr>
        <w:t xml:space="preserve"> struktury majetku </w:t>
      </w:r>
      <w:r>
        <w:rPr>
          <w:b/>
        </w:rPr>
        <w:t>obou společností</w:t>
      </w:r>
      <w:r w:rsidRPr="00C57D06">
        <w:rPr>
          <w:b/>
        </w:rPr>
        <w:t xml:space="preserve">, za účelem zjištění výše a konkrétních forem aktiv evidovaných </w:t>
      </w:r>
      <w:r>
        <w:rPr>
          <w:b/>
        </w:rPr>
        <w:t>v obou společnostech</w:t>
      </w:r>
      <w:r w:rsidRPr="00C57D06">
        <w:rPr>
          <w:b/>
        </w:rPr>
        <w:t xml:space="preserve"> a dále na základě </w:t>
      </w:r>
      <w:r>
        <w:rPr>
          <w:b/>
        </w:rPr>
        <w:t>stanovení základních ukazatelů finančního zdraví, tj.</w:t>
      </w:r>
      <w:r w:rsidRPr="00C57D06">
        <w:rPr>
          <w:b/>
        </w:rPr>
        <w:t xml:space="preserve"> likvidity, čistého pracovního kapitálu, aktivity a zadluženosti</w:t>
      </w:r>
      <w:r w:rsidR="004A2F73">
        <w:rPr>
          <w:b/>
        </w:rPr>
        <w:t>,</w:t>
      </w:r>
      <w:r w:rsidRPr="00C57D06">
        <w:rPr>
          <w:b/>
        </w:rPr>
        <w:t xml:space="preserve"> </w:t>
      </w:r>
      <w:r>
        <w:rPr>
          <w:b/>
        </w:rPr>
        <w:t>zjisti</w:t>
      </w:r>
      <w:r w:rsidR="00A452E2">
        <w:rPr>
          <w:b/>
        </w:rPr>
        <w:t>t</w:t>
      </w:r>
      <w:r>
        <w:rPr>
          <w:b/>
        </w:rPr>
        <w:t xml:space="preserve"> </w:t>
      </w:r>
      <w:r w:rsidRPr="00C57D06">
        <w:rPr>
          <w:b/>
        </w:rPr>
        <w:t xml:space="preserve">jaká byla </w:t>
      </w:r>
      <w:r>
        <w:rPr>
          <w:b/>
        </w:rPr>
        <w:t xml:space="preserve">jejich </w:t>
      </w:r>
      <w:r w:rsidRPr="00C57D06">
        <w:rPr>
          <w:b/>
        </w:rPr>
        <w:t>finanční a platební situace</w:t>
      </w:r>
      <w:r>
        <w:rPr>
          <w:b/>
        </w:rPr>
        <w:t xml:space="preserve"> v</w:t>
      </w:r>
      <w:r w:rsidRPr="00C57D06">
        <w:rPr>
          <w:b/>
        </w:rPr>
        <w:t> období roku</w:t>
      </w:r>
      <w:r>
        <w:rPr>
          <w:b/>
        </w:rPr>
        <w:t xml:space="preserve"> </w:t>
      </w:r>
      <w:r w:rsidRPr="00C57D06">
        <w:rPr>
          <w:b/>
        </w:rPr>
        <w:t>2009 – 2011.</w:t>
      </w:r>
    </w:p>
    <w:p w:rsidR="00C63650" w:rsidRPr="00C63650" w:rsidRDefault="00C63650" w:rsidP="00255FC3">
      <w:pPr>
        <w:pStyle w:val="Odstavecnormln"/>
      </w:pPr>
      <w:r w:rsidRPr="00C63650">
        <w:t>Další kapitoly jsou</w:t>
      </w:r>
      <w:r w:rsidR="004B24BF">
        <w:t xml:space="preserve"> věnovány </w:t>
      </w:r>
      <w:r w:rsidR="00980AEF">
        <w:t>společnosti</w:t>
      </w:r>
      <w:r w:rsidR="001660E0">
        <w:t xml:space="preserve"> KOVOVÝROBA s. r. o. a </w:t>
      </w:r>
      <w:r w:rsidR="00980AEF">
        <w:t xml:space="preserve">společnosti </w:t>
      </w:r>
      <w:r w:rsidR="00980AEF">
        <w:br/>
      </w:r>
      <w:r w:rsidR="001660E0">
        <w:t xml:space="preserve">Q </w:t>
      </w:r>
      <w:r w:rsidR="00980AEF">
        <w:t xml:space="preserve">- </w:t>
      </w:r>
      <w:r w:rsidR="001660E0">
        <w:t>MONT s. r. o.</w:t>
      </w:r>
    </w:p>
    <w:p w:rsidR="005B5E23" w:rsidRDefault="005B5E23" w:rsidP="00FE6E53">
      <w:pPr>
        <w:pStyle w:val="Nadpis2"/>
      </w:pPr>
      <w:bookmarkStart w:id="59" w:name="_Toc339528877"/>
      <w:bookmarkStart w:id="60" w:name="_Toc347166983"/>
      <w:bookmarkStart w:id="61" w:name="_Toc353126170"/>
      <w:bookmarkStart w:id="62" w:name="_Toc353439362"/>
      <w:r w:rsidRPr="00FE6E53">
        <w:t xml:space="preserve">SPOLEČNOST </w:t>
      </w:r>
      <w:r w:rsidR="00C00FA3" w:rsidRPr="00FE6E53">
        <w:t>KOVOVÝROBA</w:t>
      </w:r>
      <w:r w:rsidRPr="00FE6E53">
        <w:t> s. r. o.</w:t>
      </w:r>
      <w:bookmarkEnd w:id="59"/>
      <w:bookmarkEnd w:id="60"/>
      <w:bookmarkEnd w:id="61"/>
      <w:bookmarkEnd w:id="62"/>
    </w:p>
    <w:p w:rsidR="00096BB9" w:rsidRDefault="00DF45BF" w:rsidP="00255FC3">
      <w:pPr>
        <w:pStyle w:val="Odstavecnormln"/>
      </w:pPr>
      <w:r>
        <w:t xml:space="preserve">Předmětem společnosti </w:t>
      </w:r>
      <w:r w:rsidR="00EE5448" w:rsidRPr="00560FC6">
        <w:t>KO</w:t>
      </w:r>
      <w:r>
        <w:t>VOVÝROBA s. r. o., Liberec</w:t>
      </w:r>
      <w:r w:rsidR="00EE5448" w:rsidRPr="00560FC6">
        <w:t xml:space="preserve"> je zámečnictví a kovovýroba. Místem podnikání je Liberecký kraj. Společnost je plátce DPH a zaměstnává </w:t>
      </w:r>
      <w:r w:rsidR="00D311DB">
        <w:br/>
      </w:r>
      <w:r w:rsidR="00EE5448" w:rsidRPr="00560FC6">
        <w:t>4 zaměstnance. Tržby tvoří převážně služby bez materiálových nákladů (m</w:t>
      </w:r>
      <w:r w:rsidR="00EE5448">
        <w:t>ateriál bývá ve vě</w:t>
      </w:r>
      <w:r w:rsidR="00EE5448" w:rsidRPr="00560FC6">
        <w:t>tšině případů dodáván objednatelem). Společnost zahájila činnost v srpnu roku 2009 a již od počátku roku 2010, kdy uzavřela pracovní poměry se zaměstnanci, není její ekonomická situace příznivá</w:t>
      </w:r>
      <w:r w:rsidR="00096BB9">
        <w:t>.</w:t>
      </w:r>
    </w:p>
    <w:p w:rsidR="00BB3EE6" w:rsidRDefault="00BB3EE6" w:rsidP="00255FC3">
      <w:pPr>
        <w:pStyle w:val="Odstavecnormln"/>
      </w:pPr>
      <w:r>
        <w:t xml:space="preserve">V dalších kapitolách je proveden rozbor složek majetku, který společnost evidovala v účetnictví v období roku 2009 – 2011. </w:t>
      </w:r>
    </w:p>
    <w:p w:rsidR="005B5E23" w:rsidRDefault="005B5E23" w:rsidP="005B5E23">
      <w:pPr>
        <w:pStyle w:val="Nadpis3"/>
        <w:spacing w:line="360" w:lineRule="auto"/>
      </w:pPr>
      <w:bookmarkStart w:id="63" w:name="_Toc339528879"/>
      <w:bookmarkStart w:id="64" w:name="_Toc347166985"/>
      <w:bookmarkStart w:id="65" w:name="_Ref348637718"/>
      <w:bookmarkStart w:id="66" w:name="_Ref348637738"/>
      <w:bookmarkStart w:id="67" w:name="_Ref348637754"/>
      <w:bookmarkStart w:id="68" w:name="_Ref348637770"/>
      <w:bookmarkStart w:id="69" w:name="_Ref350700275"/>
      <w:bookmarkStart w:id="70" w:name="_Ref350700286"/>
      <w:bookmarkStart w:id="71" w:name="_Ref351917812"/>
      <w:bookmarkStart w:id="72" w:name="_Ref351917830"/>
      <w:bookmarkStart w:id="73" w:name="_Toc353126171"/>
      <w:bookmarkStart w:id="74" w:name="_Toc353439363"/>
      <w:r>
        <w:lastRenderedPageBreak/>
        <w:t>Rozbor složek majetku</w:t>
      </w:r>
      <w:bookmarkEnd w:id="63"/>
      <w:bookmarkEnd w:id="64"/>
      <w:bookmarkEnd w:id="65"/>
      <w:bookmarkEnd w:id="66"/>
      <w:bookmarkEnd w:id="67"/>
      <w:bookmarkEnd w:id="68"/>
      <w:bookmarkEnd w:id="69"/>
      <w:bookmarkEnd w:id="70"/>
      <w:bookmarkEnd w:id="71"/>
      <w:bookmarkEnd w:id="72"/>
      <w:bookmarkEnd w:id="73"/>
      <w:bookmarkEnd w:id="74"/>
    </w:p>
    <w:p w:rsidR="00664436" w:rsidRDefault="00C679A8" w:rsidP="00255FC3">
      <w:pPr>
        <w:pStyle w:val="Odstavecnormln"/>
      </w:pPr>
      <w:r>
        <w:t xml:space="preserve">Pro zpracování rozboru složek majetku byly použity výkazy </w:t>
      </w:r>
      <w:r w:rsidR="004F2778">
        <w:t>rozvah</w:t>
      </w:r>
      <w:r>
        <w:t xml:space="preserve"> za období roku 2009 – 2011 v plném rozsahu (viz </w:t>
      </w:r>
      <w:r w:rsidR="00EE12CC">
        <w:t xml:space="preserve">příloha 1 </w:t>
      </w:r>
      <w:r w:rsidR="00096BB9">
        <w:t xml:space="preserve">na </w:t>
      </w:r>
      <w:r w:rsidR="00096BB9">
        <w:fldChar w:fldCharType="begin"/>
      </w:r>
      <w:r w:rsidR="00096BB9">
        <w:instrText xml:space="preserve"> PAGEREF _Ref348554803 \h </w:instrText>
      </w:r>
      <w:r w:rsidR="00096BB9">
        <w:fldChar w:fldCharType="separate"/>
      </w:r>
      <w:r w:rsidR="002534BA">
        <w:rPr>
          <w:noProof/>
        </w:rPr>
        <w:t>54</w:t>
      </w:r>
      <w:r w:rsidR="00096BB9">
        <w:fldChar w:fldCharType="end"/>
      </w:r>
      <w:r>
        <w:t xml:space="preserve">) a údaje </w:t>
      </w:r>
      <w:r w:rsidR="0046274A">
        <w:t xml:space="preserve">zjištěné </w:t>
      </w:r>
      <w:r>
        <w:t>z</w:t>
      </w:r>
      <w:r w:rsidR="00937094">
        <w:t> </w:t>
      </w:r>
      <w:r w:rsidR="0046274A">
        <w:t>účetnictví</w:t>
      </w:r>
      <w:r w:rsidR="00937094">
        <w:t xml:space="preserve"> společnosti</w:t>
      </w:r>
      <w:r w:rsidR="0046274A">
        <w:t>. Z výkazu rozvah je patrné, že majetek společnosti KOVOVÝROBA s. r. o. tvoří dlouhodobý a oběžný majetek</w:t>
      </w:r>
      <w:r w:rsidR="00C464D1">
        <w:t>, z toho důvodu</w:t>
      </w:r>
      <w:r w:rsidR="0046274A">
        <w:t xml:space="preserve"> byl </w:t>
      </w:r>
      <w:r w:rsidR="00C464D1">
        <w:t>z</w:t>
      </w:r>
      <w:r w:rsidR="0046274A">
        <w:t>pracován přehled stálých aktiv (viz</w:t>
      </w:r>
      <w:r w:rsidR="00E03ABF">
        <w:t xml:space="preserve"> tabulka 1</w:t>
      </w:r>
      <w:r w:rsidR="0046274A">
        <w:t>) a přehled oběžných aktiv (viz</w:t>
      </w:r>
      <w:r w:rsidR="00EE12CC">
        <w:t xml:space="preserve"> tabulka 3</w:t>
      </w:r>
      <w:r w:rsidR="00C85B93">
        <w:t xml:space="preserve"> </w:t>
      </w:r>
      <w:r w:rsidR="00E2398D">
        <w:t>na str</w:t>
      </w:r>
      <w:r w:rsidR="0046274A">
        <w:t>.</w:t>
      </w:r>
      <w:r w:rsidR="000A608A">
        <w:t xml:space="preserve"> </w:t>
      </w:r>
      <w:r w:rsidR="000A608A">
        <w:fldChar w:fldCharType="begin"/>
      </w:r>
      <w:r w:rsidR="000A608A">
        <w:instrText xml:space="preserve"> PAGEREF _Ref348551689 \h </w:instrText>
      </w:r>
      <w:r w:rsidR="000A608A">
        <w:fldChar w:fldCharType="separate"/>
      </w:r>
      <w:r w:rsidR="002534BA">
        <w:rPr>
          <w:noProof/>
        </w:rPr>
        <w:t>22</w:t>
      </w:r>
      <w:r w:rsidR="000A608A">
        <w:fldChar w:fldCharType="end"/>
      </w:r>
      <w:r w:rsidR="0046274A">
        <w:t>).</w:t>
      </w:r>
    </w:p>
    <w:p w:rsidR="00BF2BAA" w:rsidRDefault="00BF2BAA" w:rsidP="00255FC3">
      <w:pPr>
        <w:pStyle w:val="Odstavecnormln"/>
      </w:pPr>
      <w:r>
        <w:t xml:space="preserve">Do tabulky stálých aktiv </w:t>
      </w:r>
      <w:r w:rsidR="00FB4116">
        <w:t>byl zahrnut dlouhodobý majetek v netto hodnotě</w:t>
      </w:r>
      <w:r w:rsidR="00555740">
        <w:t xml:space="preserve"> </w:t>
      </w:r>
      <w:r w:rsidR="00FB4116">
        <w:t xml:space="preserve">zjištěný </w:t>
      </w:r>
      <w:r w:rsidR="00FB4116">
        <w:br/>
      </w:r>
      <w:r w:rsidR="00E72F94">
        <w:t>z</w:t>
      </w:r>
      <w:r w:rsidR="00555740">
        <w:t xml:space="preserve"> rozvah společnosti</w:t>
      </w:r>
      <w:r>
        <w:t>. Označení a číslo řádku odpovídá označení položk</w:t>
      </w:r>
      <w:r w:rsidR="00D516B4">
        <w:t xml:space="preserve">y aktiv v rozvaze (viz </w:t>
      </w:r>
      <w:r w:rsidR="00EE12CC">
        <w:t>příloha 1</w:t>
      </w:r>
      <w:r w:rsidR="0029506C">
        <w:t xml:space="preserve"> </w:t>
      </w:r>
      <w:r w:rsidR="00C74E75">
        <w:t xml:space="preserve">na str. </w:t>
      </w:r>
      <w:r w:rsidR="00C74E75">
        <w:fldChar w:fldCharType="begin"/>
      </w:r>
      <w:r w:rsidR="00C74E75">
        <w:instrText xml:space="preserve"> PAGEREF _Ref348554803 \h </w:instrText>
      </w:r>
      <w:r w:rsidR="00C74E75">
        <w:fldChar w:fldCharType="separate"/>
      </w:r>
      <w:r w:rsidR="002534BA">
        <w:rPr>
          <w:noProof/>
        </w:rPr>
        <w:t>54</w:t>
      </w:r>
      <w:r w:rsidR="00C74E75">
        <w:fldChar w:fldCharType="end"/>
      </w:r>
      <w:r>
        <w:t>).</w:t>
      </w:r>
    </w:p>
    <w:p w:rsidR="00885884" w:rsidRPr="00885884" w:rsidRDefault="00885884" w:rsidP="00897452">
      <w:pPr>
        <w:pStyle w:val="Titulek"/>
      </w:pPr>
      <w:bookmarkStart w:id="75" w:name="_Ref348551466"/>
      <w:bookmarkStart w:id="76" w:name="_Ref348551628"/>
      <w:bookmarkStart w:id="77" w:name="_Toc353125940"/>
      <w:bookmarkStart w:id="78" w:name="_Ref353440875"/>
      <w:r w:rsidRPr="00885884">
        <w:t xml:space="preserve">Tabulka </w:t>
      </w:r>
      <w:r w:rsidR="00C96C2B">
        <w:fldChar w:fldCharType="begin"/>
      </w:r>
      <w:r w:rsidR="00C96C2B">
        <w:instrText xml:space="preserve"> SEQ Tabulka \* ARABIC </w:instrText>
      </w:r>
      <w:r w:rsidR="00C96C2B">
        <w:fldChar w:fldCharType="separate"/>
      </w:r>
      <w:r w:rsidR="002534BA">
        <w:rPr>
          <w:noProof/>
        </w:rPr>
        <w:t>1</w:t>
      </w:r>
      <w:r w:rsidR="00C96C2B">
        <w:rPr>
          <w:noProof/>
        </w:rPr>
        <w:fldChar w:fldCharType="end"/>
      </w:r>
      <w:bookmarkEnd w:id="75"/>
      <w:r>
        <w:t xml:space="preserve"> Stálá aktiva</w:t>
      </w:r>
      <w:bookmarkEnd w:id="76"/>
      <w:r w:rsidR="007E4FA9">
        <w:t xml:space="preserve"> – KOVOVÝROBA s. r. o.</w:t>
      </w:r>
      <w:bookmarkEnd w:id="77"/>
      <w:bookmarkEnd w:id="78"/>
    </w:p>
    <w:p w:rsidR="00BF2BAA" w:rsidRPr="00671C37" w:rsidRDefault="00FB4116" w:rsidP="00671C37">
      <w:pPr>
        <w:pStyle w:val="dajenadtabulkouazdroj"/>
      </w:pPr>
      <w:r>
        <w:t>Údaje jsou uvedeny v celý</w:t>
      </w:r>
      <w:r w:rsidR="00BF2BAA" w:rsidRPr="00671C37">
        <w:t>ch Kč</w:t>
      </w:r>
    </w:p>
    <w:tbl>
      <w:tblPr>
        <w:tblW w:w="8540" w:type="dxa"/>
        <w:tblInd w:w="55" w:type="dxa"/>
        <w:tblCellMar>
          <w:left w:w="70" w:type="dxa"/>
          <w:right w:w="70" w:type="dxa"/>
        </w:tblCellMar>
        <w:tblLook w:val="04A0" w:firstRow="1" w:lastRow="0" w:firstColumn="1" w:lastColumn="0" w:noHBand="0" w:noVBand="1"/>
      </w:tblPr>
      <w:tblGrid>
        <w:gridCol w:w="680"/>
        <w:gridCol w:w="4412"/>
        <w:gridCol w:w="568"/>
        <w:gridCol w:w="960"/>
        <w:gridCol w:w="960"/>
        <w:gridCol w:w="960"/>
      </w:tblGrid>
      <w:tr w:rsidR="00BF2BAA" w:rsidRPr="00BF2BAA" w:rsidTr="00E51D06">
        <w:trPr>
          <w:trHeight w:val="342"/>
        </w:trPr>
        <w:tc>
          <w:tcPr>
            <w:tcW w:w="680" w:type="dxa"/>
            <w:vMerge w:val="restart"/>
            <w:tcBorders>
              <w:top w:val="single" w:sz="12" w:space="0" w:color="auto"/>
              <w:left w:val="single" w:sz="12" w:space="0" w:color="auto"/>
              <w:bottom w:val="double" w:sz="6" w:space="0" w:color="000000"/>
              <w:right w:val="single" w:sz="4" w:space="0" w:color="auto"/>
            </w:tcBorders>
            <w:shd w:val="clear" w:color="auto" w:fill="E5DFEC" w:themeFill="accent4" w:themeFillTint="33"/>
            <w:vAlign w:val="center"/>
            <w:hideMark/>
          </w:tcPr>
          <w:p w:rsidR="00BF2BAA" w:rsidRPr="00BF2BAA" w:rsidRDefault="00BF2BAA" w:rsidP="00BF2BAA">
            <w:pPr>
              <w:spacing w:after="0" w:line="240" w:lineRule="auto"/>
              <w:jc w:val="center"/>
              <w:rPr>
                <w:b/>
                <w:bCs/>
                <w:color w:val="000000"/>
                <w:szCs w:val="22"/>
              </w:rPr>
            </w:pPr>
            <w:r w:rsidRPr="00BF2BAA">
              <w:rPr>
                <w:b/>
                <w:bCs/>
                <w:color w:val="000000"/>
                <w:sz w:val="22"/>
                <w:szCs w:val="22"/>
              </w:rPr>
              <w:t>OZN.</w:t>
            </w:r>
          </w:p>
        </w:tc>
        <w:tc>
          <w:tcPr>
            <w:tcW w:w="4420" w:type="dxa"/>
            <w:vMerge w:val="restart"/>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BF2BAA" w:rsidRPr="00BF2BAA" w:rsidRDefault="00BF2BAA" w:rsidP="00BF2BAA">
            <w:pPr>
              <w:spacing w:after="0" w:line="240" w:lineRule="auto"/>
              <w:jc w:val="center"/>
              <w:rPr>
                <w:b/>
                <w:bCs/>
                <w:color w:val="000000"/>
                <w:szCs w:val="22"/>
              </w:rPr>
            </w:pPr>
            <w:r w:rsidRPr="00BF2BAA">
              <w:rPr>
                <w:b/>
                <w:bCs/>
                <w:color w:val="000000"/>
                <w:sz w:val="22"/>
                <w:szCs w:val="22"/>
              </w:rPr>
              <w:t>TEXT</w:t>
            </w:r>
          </w:p>
        </w:tc>
        <w:tc>
          <w:tcPr>
            <w:tcW w:w="560" w:type="dxa"/>
            <w:vMerge w:val="restart"/>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BF2BAA" w:rsidRPr="00BF2BAA" w:rsidRDefault="00BF2BAA" w:rsidP="00BF2BAA">
            <w:pPr>
              <w:spacing w:after="0" w:line="240" w:lineRule="auto"/>
              <w:jc w:val="center"/>
              <w:rPr>
                <w:b/>
                <w:bCs/>
                <w:color w:val="000000"/>
                <w:szCs w:val="22"/>
              </w:rPr>
            </w:pPr>
            <w:proofErr w:type="gramStart"/>
            <w:r w:rsidRPr="00BF2BAA">
              <w:rPr>
                <w:b/>
                <w:bCs/>
                <w:color w:val="000000"/>
                <w:sz w:val="22"/>
                <w:szCs w:val="22"/>
              </w:rPr>
              <w:t>Č.Ř.</w:t>
            </w:r>
            <w:proofErr w:type="gramEnd"/>
          </w:p>
        </w:tc>
        <w:tc>
          <w:tcPr>
            <w:tcW w:w="960" w:type="dxa"/>
            <w:tcBorders>
              <w:top w:val="single" w:sz="12" w:space="0" w:color="auto"/>
              <w:left w:val="nil"/>
              <w:bottom w:val="single" w:sz="4" w:space="0" w:color="auto"/>
              <w:right w:val="nil"/>
            </w:tcBorders>
            <w:shd w:val="clear" w:color="auto" w:fill="E5DFEC" w:themeFill="accent4" w:themeFillTint="33"/>
            <w:vAlign w:val="center"/>
            <w:hideMark/>
          </w:tcPr>
          <w:p w:rsidR="00BF2BAA" w:rsidRPr="00BF2BAA" w:rsidRDefault="00BF2BAA" w:rsidP="00BF2BAA">
            <w:pPr>
              <w:spacing w:after="0" w:line="240" w:lineRule="auto"/>
              <w:jc w:val="center"/>
              <w:rPr>
                <w:b/>
                <w:bCs/>
                <w:color w:val="000000"/>
                <w:szCs w:val="22"/>
              </w:rPr>
            </w:pPr>
            <w:r w:rsidRPr="00BF2BAA">
              <w:rPr>
                <w:b/>
                <w:bCs/>
                <w:color w:val="000000"/>
                <w:sz w:val="22"/>
                <w:szCs w:val="22"/>
              </w:rPr>
              <w:t>2009</w:t>
            </w:r>
          </w:p>
        </w:tc>
        <w:tc>
          <w:tcPr>
            <w:tcW w:w="960" w:type="dxa"/>
            <w:tcBorders>
              <w:top w:val="single" w:sz="12" w:space="0" w:color="auto"/>
              <w:left w:val="single" w:sz="4" w:space="0" w:color="auto"/>
              <w:bottom w:val="single" w:sz="4" w:space="0" w:color="auto"/>
              <w:right w:val="single" w:sz="4" w:space="0" w:color="auto"/>
            </w:tcBorders>
            <w:shd w:val="clear" w:color="auto" w:fill="E5DFEC" w:themeFill="accent4" w:themeFillTint="33"/>
            <w:vAlign w:val="center"/>
            <w:hideMark/>
          </w:tcPr>
          <w:p w:rsidR="00BF2BAA" w:rsidRPr="00BF2BAA" w:rsidRDefault="00BF2BAA" w:rsidP="00BF2BAA">
            <w:pPr>
              <w:spacing w:after="0" w:line="240" w:lineRule="auto"/>
              <w:jc w:val="center"/>
              <w:rPr>
                <w:b/>
                <w:bCs/>
                <w:color w:val="000000"/>
                <w:szCs w:val="22"/>
              </w:rPr>
            </w:pPr>
            <w:r w:rsidRPr="00BF2BAA">
              <w:rPr>
                <w:b/>
                <w:bCs/>
                <w:color w:val="000000"/>
                <w:sz w:val="22"/>
                <w:szCs w:val="22"/>
              </w:rPr>
              <w:t>2010</w:t>
            </w:r>
          </w:p>
        </w:tc>
        <w:tc>
          <w:tcPr>
            <w:tcW w:w="960" w:type="dxa"/>
            <w:tcBorders>
              <w:top w:val="single" w:sz="12" w:space="0" w:color="auto"/>
              <w:left w:val="nil"/>
              <w:bottom w:val="single" w:sz="4" w:space="0" w:color="auto"/>
              <w:right w:val="single" w:sz="12" w:space="0" w:color="auto"/>
            </w:tcBorders>
            <w:shd w:val="clear" w:color="auto" w:fill="E5DFEC" w:themeFill="accent4" w:themeFillTint="33"/>
            <w:vAlign w:val="center"/>
            <w:hideMark/>
          </w:tcPr>
          <w:p w:rsidR="00BF2BAA" w:rsidRPr="00BF2BAA" w:rsidRDefault="00BF2BAA" w:rsidP="00BF2BAA">
            <w:pPr>
              <w:spacing w:after="0" w:line="240" w:lineRule="auto"/>
              <w:jc w:val="center"/>
              <w:rPr>
                <w:b/>
                <w:bCs/>
                <w:color w:val="000000"/>
                <w:szCs w:val="22"/>
              </w:rPr>
            </w:pPr>
            <w:r w:rsidRPr="00BF2BAA">
              <w:rPr>
                <w:b/>
                <w:bCs/>
                <w:color w:val="000000"/>
                <w:sz w:val="22"/>
                <w:szCs w:val="22"/>
              </w:rPr>
              <w:t>2011</w:t>
            </w:r>
          </w:p>
        </w:tc>
      </w:tr>
      <w:tr w:rsidR="00BF2BAA" w:rsidRPr="00BF2BAA" w:rsidTr="00E51D06">
        <w:trPr>
          <w:trHeight w:val="342"/>
        </w:trPr>
        <w:tc>
          <w:tcPr>
            <w:tcW w:w="680" w:type="dxa"/>
            <w:vMerge/>
            <w:tcBorders>
              <w:top w:val="single" w:sz="12" w:space="0" w:color="auto"/>
              <w:left w:val="single" w:sz="12" w:space="0" w:color="auto"/>
              <w:bottom w:val="double" w:sz="6" w:space="0" w:color="000000"/>
              <w:right w:val="single" w:sz="4" w:space="0" w:color="auto"/>
            </w:tcBorders>
            <w:shd w:val="clear" w:color="auto" w:fill="E5DFEC" w:themeFill="accent4" w:themeFillTint="33"/>
            <w:vAlign w:val="center"/>
            <w:hideMark/>
          </w:tcPr>
          <w:p w:rsidR="00BF2BAA" w:rsidRPr="00BF2BAA" w:rsidRDefault="00BF2BAA" w:rsidP="00BF2BAA">
            <w:pPr>
              <w:spacing w:after="0" w:line="240" w:lineRule="auto"/>
              <w:jc w:val="left"/>
              <w:rPr>
                <w:b/>
                <w:bCs/>
                <w:color w:val="000000"/>
                <w:szCs w:val="22"/>
              </w:rPr>
            </w:pPr>
          </w:p>
        </w:tc>
        <w:tc>
          <w:tcPr>
            <w:tcW w:w="4420" w:type="dxa"/>
            <w:vMerge/>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BF2BAA" w:rsidRPr="00BF2BAA" w:rsidRDefault="00BF2BAA" w:rsidP="00BF2BAA">
            <w:pPr>
              <w:spacing w:after="0" w:line="240" w:lineRule="auto"/>
              <w:jc w:val="left"/>
              <w:rPr>
                <w:b/>
                <w:bCs/>
                <w:color w:val="000000"/>
                <w:szCs w:val="22"/>
              </w:rPr>
            </w:pPr>
          </w:p>
        </w:tc>
        <w:tc>
          <w:tcPr>
            <w:tcW w:w="560" w:type="dxa"/>
            <w:vMerge/>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BF2BAA" w:rsidRPr="00BF2BAA" w:rsidRDefault="00BF2BAA" w:rsidP="00BF2BAA">
            <w:pPr>
              <w:spacing w:after="0" w:line="240" w:lineRule="auto"/>
              <w:jc w:val="left"/>
              <w:rPr>
                <w:b/>
                <w:bCs/>
                <w:color w:val="000000"/>
                <w:szCs w:val="22"/>
              </w:rPr>
            </w:pPr>
          </w:p>
        </w:tc>
        <w:tc>
          <w:tcPr>
            <w:tcW w:w="960" w:type="dxa"/>
            <w:tcBorders>
              <w:top w:val="nil"/>
              <w:left w:val="nil"/>
              <w:bottom w:val="double" w:sz="6" w:space="0" w:color="auto"/>
              <w:right w:val="single" w:sz="4" w:space="0" w:color="auto"/>
            </w:tcBorders>
            <w:shd w:val="clear" w:color="auto" w:fill="E5DFEC" w:themeFill="accent4" w:themeFillTint="33"/>
            <w:vAlign w:val="center"/>
            <w:hideMark/>
          </w:tcPr>
          <w:p w:rsidR="00BF2BAA" w:rsidRPr="00BF2BAA" w:rsidRDefault="0042739B" w:rsidP="00BF2BAA">
            <w:pPr>
              <w:spacing w:after="0" w:line="240" w:lineRule="auto"/>
              <w:jc w:val="center"/>
              <w:rPr>
                <w:b/>
                <w:bCs/>
                <w:color w:val="000000"/>
                <w:szCs w:val="22"/>
              </w:rPr>
            </w:pPr>
            <w:r>
              <w:rPr>
                <w:b/>
                <w:bCs/>
                <w:color w:val="000000"/>
                <w:sz w:val="22"/>
                <w:szCs w:val="22"/>
              </w:rPr>
              <w:t>NETTO</w:t>
            </w:r>
          </w:p>
        </w:tc>
        <w:tc>
          <w:tcPr>
            <w:tcW w:w="960" w:type="dxa"/>
            <w:tcBorders>
              <w:top w:val="nil"/>
              <w:left w:val="nil"/>
              <w:bottom w:val="double" w:sz="6" w:space="0" w:color="auto"/>
              <w:right w:val="single" w:sz="4" w:space="0" w:color="auto"/>
            </w:tcBorders>
            <w:shd w:val="clear" w:color="auto" w:fill="E5DFEC" w:themeFill="accent4" w:themeFillTint="33"/>
            <w:vAlign w:val="center"/>
            <w:hideMark/>
          </w:tcPr>
          <w:p w:rsidR="00BF2BAA" w:rsidRPr="00BF2BAA" w:rsidRDefault="0042739B" w:rsidP="00BF2BAA">
            <w:pPr>
              <w:spacing w:after="0" w:line="240" w:lineRule="auto"/>
              <w:jc w:val="center"/>
              <w:rPr>
                <w:b/>
                <w:bCs/>
                <w:color w:val="000000"/>
                <w:szCs w:val="22"/>
              </w:rPr>
            </w:pPr>
            <w:r>
              <w:rPr>
                <w:b/>
                <w:bCs/>
                <w:color w:val="000000"/>
                <w:sz w:val="22"/>
                <w:szCs w:val="22"/>
              </w:rPr>
              <w:t>NETTO</w:t>
            </w:r>
          </w:p>
        </w:tc>
        <w:tc>
          <w:tcPr>
            <w:tcW w:w="960" w:type="dxa"/>
            <w:tcBorders>
              <w:top w:val="nil"/>
              <w:left w:val="nil"/>
              <w:bottom w:val="double" w:sz="6" w:space="0" w:color="auto"/>
              <w:right w:val="single" w:sz="12" w:space="0" w:color="auto"/>
            </w:tcBorders>
            <w:shd w:val="clear" w:color="auto" w:fill="E5DFEC" w:themeFill="accent4" w:themeFillTint="33"/>
            <w:vAlign w:val="center"/>
            <w:hideMark/>
          </w:tcPr>
          <w:p w:rsidR="00BF2BAA" w:rsidRPr="00BF2BAA" w:rsidRDefault="0042739B" w:rsidP="00BF2BAA">
            <w:pPr>
              <w:spacing w:after="0" w:line="240" w:lineRule="auto"/>
              <w:jc w:val="center"/>
              <w:rPr>
                <w:b/>
                <w:bCs/>
                <w:color w:val="000000"/>
                <w:szCs w:val="22"/>
              </w:rPr>
            </w:pPr>
            <w:r>
              <w:rPr>
                <w:b/>
                <w:bCs/>
                <w:color w:val="000000"/>
                <w:sz w:val="22"/>
                <w:szCs w:val="22"/>
              </w:rPr>
              <w:t>NETTO</w:t>
            </w:r>
          </w:p>
        </w:tc>
      </w:tr>
      <w:tr w:rsidR="00BF2BAA" w:rsidRPr="00BF2BAA" w:rsidTr="00BF2BAA">
        <w:trPr>
          <w:trHeight w:val="342"/>
        </w:trPr>
        <w:tc>
          <w:tcPr>
            <w:tcW w:w="68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BF2BAA" w:rsidRPr="00BF2BAA" w:rsidRDefault="00BF2BAA" w:rsidP="00BF2BAA">
            <w:pPr>
              <w:spacing w:after="0" w:line="240" w:lineRule="auto"/>
              <w:jc w:val="left"/>
              <w:rPr>
                <w:color w:val="000000"/>
                <w:szCs w:val="22"/>
              </w:rPr>
            </w:pPr>
            <w:r w:rsidRPr="00BF2BAA">
              <w:rPr>
                <w:color w:val="000000"/>
                <w:sz w:val="22"/>
                <w:szCs w:val="22"/>
              </w:rPr>
              <w:t>B.</w:t>
            </w:r>
          </w:p>
        </w:tc>
        <w:tc>
          <w:tcPr>
            <w:tcW w:w="4420" w:type="dxa"/>
            <w:tcBorders>
              <w:top w:val="single" w:sz="4" w:space="0" w:color="auto"/>
              <w:left w:val="nil"/>
              <w:bottom w:val="single" w:sz="4" w:space="0" w:color="auto"/>
              <w:right w:val="single" w:sz="4" w:space="0" w:color="auto"/>
            </w:tcBorders>
            <w:shd w:val="clear" w:color="auto" w:fill="auto"/>
            <w:vAlign w:val="center"/>
            <w:hideMark/>
          </w:tcPr>
          <w:p w:rsidR="00BF2BAA" w:rsidRPr="00BF2BAA" w:rsidRDefault="00BF2BAA" w:rsidP="00BF2BAA">
            <w:pPr>
              <w:spacing w:after="0" w:line="240" w:lineRule="auto"/>
              <w:jc w:val="left"/>
              <w:rPr>
                <w:color w:val="000000"/>
                <w:szCs w:val="22"/>
              </w:rPr>
            </w:pPr>
            <w:r w:rsidRPr="00BF2BAA">
              <w:rPr>
                <w:color w:val="000000"/>
                <w:sz w:val="22"/>
                <w:szCs w:val="22"/>
              </w:rPr>
              <w:t>Dlouhodobý majetek</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BF2BAA" w:rsidRPr="00BF2BAA" w:rsidRDefault="00BF2BAA" w:rsidP="00BF2BAA">
            <w:pPr>
              <w:spacing w:after="0" w:line="240" w:lineRule="auto"/>
              <w:jc w:val="center"/>
              <w:rPr>
                <w:color w:val="000000"/>
                <w:szCs w:val="22"/>
              </w:rPr>
            </w:pPr>
            <w:r w:rsidRPr="00BF2BAA">
              <w:rPr>
                <w:color w:val="000000"/>
                <w:sz w:val="22"/>
                <w:szCs w:val="22"/>
              </w:rPr>
              <w:t>003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F2BAA" w:rsidRPr="00BF2BAA" w:rsidRDefault="00BF2BAA" w:rsidP="00BF2BAA">
            <w:pPr>
              <w:spacing w:after="0" w:line="240" w:lineRule="auto"/>
              <w:jc w:val="right"/>
              <w:rPr>
                <w:color w:val="000000"/>
                <w:szCs w:val="22"/>
              </w:rPr>
            </w:pPr>
            <w:r w:rsidRPr="00BF2BAA">
              <w:rPr>
                <w:color w:val="000000"/>
                <w:sz w:val="22"/>
                <w:szCs w:val="22"/>
              </w:rPr>
              <w:t>57 300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F2BAA" w:rsidRPr="00BF2BAA" w:rsidRDefault="00BF2BAA" w:rsidP="00BF2BAA">
            <w:pPr>
              <w:spacing w:after="0" w:line="240" w:lineRule="auto"/>
              <w:jc w:val="right"/>
              <w:rPr>
                <w:color w:val="000000"/>
                <w:szCs w:val="22"/>
              </w:rPr>
            </w:pPr>
            <w:r w:rsidRPr="00BF2BAA">
              <w:rPr>
                <w:color w:val="000000"/>
                <w:sz w:val="22"/>
                <w:szCs w:val="22"/>
              </w:rPr>
              <w:t>170 129</w:t>
            </w:r>
          </w:p>
        </w:tc>
        <w:tc>
          <w:tcPr>
            <w:tcW w:w="960" w:type="dxa"/>
            <w:tcBorders>
              <w:top w:val="single" w:sz="4" w:space="0" w:color="auto"/>
              <w:left w:val="nil"/>
              <w:bottom w:val="single" w:sz="4" w:space="0" w:color="auto"/>
              <w:right w:val="single" w:sz="12" w:space="0" w:color="auto"/>
            </w:tcBorders>
            <w:shd w:val="clear" w:color="auto" w:fill="auto"/>
            <w:vAlign w:val="center"/>
            <w:hideMark/>
          </w:tcPr>
          <w:p w:rsidR="00BF2BAA" w:rsidRPr="00BF2BAA" w:rsidRDefault="00BF2BAA" w:rsidP="00BF2BAA">
            <w:pPr>
              <w:spacing w:after="0" w:line="240" w:lineRule="auto"/>
              <w:jc w:val="right"/>
              <w:rPr>
                <w:color w:val="000000"/>
                <w:szCs w:val="22"/>
              </w:rPr>
            </w:pPr>
            <w:r w:rsidRPr="00BF2BAA">
              <w:rPr>
                <w:color w:val="000000"/>
                <w:sz w:val="22"/>
                <w:szCs w:val="22"/>
              </w:rPr>
              <w:t>119 000</w:t>
            </w:r>
          </w:p>
        </w:tc>
      </w:tr>
      <w:tr w:rsidR="00BF2BAA" w:rsidRPr="00BF2BAA" w:rsidTr="00BF2BAA">
        <w:trPr>
          <w:trHeight w:val="342"/>
        </w:trPr>
        <w:tc>
          <w:tcPr>
            <w:tcW w:w="680" w:type="dxa"/>
            <w:tcBorders>
              <w:top w:val="nil"/>
              <w:left w:val="single" w:sz="12" w:space="0" w:color="auto"/>
              <w:bottom w:val="single" w:sz="4" w:space="0" w:color="auto"/>
              <w:right w:val="single" w:sz="4" w:space="0" w:color="auto"/>
            </w:tcBorders>
            <w:shd w:val="clear" w:color="auto" w:fill="auto"/>
            <w:vAlign w:val="center"/>
            <w:hideMark/>
          </w:tcPr>
          <w:p w:rsidR="00BF2BAA" w:rsidRPr="00BF2BAA" w:rsidRDefault="00BF2BAA" w:rsidP="00BF2BAA">
            <w:pPr>
              <w:spacing w:after="0" w:line="240" w:lineRule="auto"/>
              <w:jc w:val="left"/>
              <w:rPr>
                <w:color w:val="000000"/>
                <w:szCs w:val="22"/>
              </w:rPr>
            </w:pPr>
            <w:proofErr w:type="gramStart"/>
            <w:r w:rsidRPr="00BF2BAA">
              <w:rPr>
                <w:color w:val="000000"/>
                <w:sz w:val="22"/>
                <w:szCs w:val="22"/>
              </w:rPr>
              <w:t>B.  I.</w:t>
            </w:r>
            <w:proofErr w:type="gramEnd"/>
          </w:p>
        </w:tc>
        <w:tc>
          <w:tcPr>
            <w:tcW w:w="4420" w:type="dxa"/>
            <w:tcBorders>
              <w:top w:val="nil"/>
              <w:left w:val="nil"/>
              <w:bottom w:val="single" w:sz="4" w:space="0" w:color="auto"/>
              <w:right w:val="single" w:sz="4" w:space="0" w:color="auto"/>
            </w:tcBorders>
            <w:shd w:val="clear" w:color="auto" w:fill="auto"/>
            <w:vAlign w:val="center"/>
            <w:hideMark/>
          </w:tcPr>
          <w:p w:rsidR="00BF2BAA" w:rsidRPr="00BF2BAA" w:rsidRDefault="00BF2BAA" w:rsidP="00BF2BAA">
            <w:pPr>
              <w:spacing w:after="0" w:line="240" w:lineRule="auto"/>
              <w:jc w:val="left"/>
              <w:rPr>
                <w:color w:val="000000"/>
                <w:szCs w:val="22"/>
              </w:rPr>
            </w:pPr>
            <w:r w:rsidRPr="00BF2BAA">
              <w:rPr>
                <w:color w:val="000000"/>
                <w:sz w:val="22"/>
                <w:szCs w:val="22"/>
              </w:rPr>
              <w:t>Dlouhodobý nehmotný majetek</w:t>
            </w:r>
          </w:p>
        </w:tc>
        <w:tc>
          <w:tcPr>
            <w:tcW w:w="560" w:type="dxa"/>
            <w:tcBorders>
              <w:top w:val="nil"/>
              <w:left w:val="nil"/>
              <w:bottom w:val="single" w:sz="4" w:space="0" w:color="auto"/>
              <w:right w:val="single" w:sz="4" w:space="0" w:color="auto"/>
            </w:tcBorders>
            <w:shd w:val="clear" w:color="auto" w:fill="auto"/>
            <w:vAlign w:val="center"/>
            <w:hideMark/>
          </w:tcPr>
          <w:p w:rsidR="00BF2BAA" w:rsidRPr="00BF2BAA" w:rsidRDefault="00BF2BAA" w:rsidP="00BF2BAA">
            <w:pPr>
              <w:spacing w:after="0" w:line="240" w:lineRule="auto"/>
              <w:jc w:val="center"/>
              <w:rPr>
                <w:color w:val="000000"/>
                <w:szCs w:val="22"/>
              </w:rPr>
            </w:pPr>
            <w:r w:rsidRPr="00BF2BAA">
              <w:rPr>
                <w:color w:val="000000"/>
                <w:sz w:val="22"/>
                <w:szCs w:val="22"/>
              </w:rPr>
              <w:t>004</w:t>
            </w:r>
          </w:p>
        </w:tc>
        <w:tc>
          <w:tcPr>
            <w:tcW w:w="960" w:type="dxa"/>
            <w:tcBorders>
              <w:top w:val="nil"/>
              <w:left w:val="nil"/>
              <w:bottom w:val="single" w:sz="4" w:space="0" w:color="auto"/>
              <w:right w:val="single" w:sz="4" w:space="0" w:color="auto"/>
            </w:tcBorders>
            <w:shd w:val="clear" w:color="auto" w:fill="auto"/>
            <w:vAlign w:val="center"/>
            <w:hideMark/>
          </w:tcPr>
          <w:p w:rsidR="00BF2BAA" w:rsidRPr="00BF2BAA" w:rsidRDefault="00BF2BAA" w:rsidP="00BF2BAA">
            <w:pPr>
              <w:spacing w:after="0" w:line="240" w:lineRule="auto"/>
              <w:jc w:val="left"/>
              <w:rPr>
                <w:color w:val="000000"/>
                <w:szCs w:val="22"/>
              </w:rPr>
            </w:pPr>
            <w:r w:rsidRPr="00BF2BAA">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rsidR="00BF2BAA" w:rsidRPr="00BF2BAA" w:rsidRDefault="00BF2BAA" w:rsidP="00BF2BAA">
            <w:pPr>
              <w:spacing w:after="0" w:line="240" w:lineRule="auto"/>
              <w:jc w:val="left"/>
              <w:rPr>
                <w:color w:val="000000"/>
                <w:szCs w:val="22"/>
              </w:rPr>
            </w:pPr>
            <w:r w:rsidRPr="00BF2BAA">
              <w:rPr>
                <w:color w:val="000000"/>
                <w:sz w:val="22"/>
                <w:szCs w:val="22"/>
              </w:rPr>
              <w:t> </w:t>
            </w:r>
          </w:p>
        </w:tc>
        <w:tc>
          <w:tcPr>
            <w:tcW w:w="960" w:type="dxa"/>
            <w:tcBorders>
              <w:top w:val="nil"/>
              <w:left w:val="nil"/>
              <w:bottom w:val="single" w:sz="4" w:space="0" w:color="auto"/>
              <w:right w:val="single" w:sz="12" w:space="0" w:color="auto"/>
            </w:tcBorders>
            <w:shd w:val="clear" w:color="auto" w:fill="auto"/>
            <w:vAlign w:val="center"/>
            <w:hideMark/>
          </w:tcPr>
          <w:p w:rsidR="00BF2BAA" w:rsidRPr="00BF2BAA" w:rsidRDefault="00BF2BAA" w:rsidP="00BF2BAA">
            <w:pPr>
              <w:spacing w:after="0" w:line="240" w:lineRule="auto"/>
              <w:jc w:val="left"/>
              <w:rPr>
                <w:color w:val="000000"/>
                <w:szCs w:val="22"/>
              </w:rPr>
            </w:pPr>
            <w:r w:rsidRPr="00BF2BAA">
              <w:rPr>
                <w:color w:val="000000"/>
                <w:sz w:val="22"/>
                <w:szCs w:val="22"/>
              </w:rPr>
              <w:t> </w:t>
            </w:r>
          </w:p>
        </w:tc>
      </w:tr>
      <w:tr w:rsidR="00BF2BAA" w:rsidRPr="00BF2BAA" w:rsidTr="00BF2BAA">
        <w:trPr>
          <w:trHeight w:val="342"/>
        </w:trPr>
        <w:tc>
          <w:tcPr>
            <w:tcW w:w="680" w:type="dxa"/>
            <w:tcBorders>
              <w:top w:val="nil"/>
              <w:left w:val="single" w:sz="12" w:space="0" w:color="auto"/>
              <w:bottom w:val="single" w:sz="4" w:space="0" w:color="auto"/>
              <w:right w:val="single" w:sz="4" w:space="0" w:color="auto"/>
            </w:tcBorders>
            <w:shd w:val="clear" w:color="auto" w:fill="auto"/>
            <w:vAlign w:val="center"/>
            <w:hideMark/>
          </w:tcPr>
          <w:p w:rsidR="00BF2BAA" w:rsidRPr="00BF2BAA" w:rsidRDefault="00BF2BAA" w:rsidP="00BF2BAA">
            <w:pPr>
              <w:spacing w:after="0" w:line="240" w:lineRule="auto"/>
              <w:jc w:val="left"/>
              <w:rPr>
                <w:color w:val="000000"/>
                <w:szCs w:val="22"/>
              </w:rPr>
            </w:pPr>
            <w:r w:rsidRPr="00BF2BAA">
              <w:rPr>
                <w:color w:val="000000"/>
                <w:sz w:val="22"/>
                <w:szCs w:val="22"/>
              </w:rPr>
              <w:t>B. II.</w:t>
            </w:r>
          </w:p>
        </w:tc>
        <w:tc>
          <w:tcPr>
            <w:tcW w:w="4420" w:type="dxa"/>
            <w:tcBorders>
              <w:top w:val="nil"/>
              <w:left w:val="nil"/>
              <w:bottom w:val="single" w:sz="4" w:space="0" w:color="auto"/>
              <w:right w:val="single" w:sz="4" w:space="0" w:color="auto"/>
            </w:tcBorders>
            <w:shd w:val="clear" w:color="auto" w:fill="auto"/>
            <w:vAlign w:val="center"/>
            <w:hideMark/>
          </w:tcPr>
          <w:p w:rsidR="00BF2BAA" w:rsidRPr="00BF2BAA" w:rsidRDefault="00BF2BAA" w:rsidP="00BF2BAA">
            <w:pPr>
              <w:spacing w:after="0" w:line="240" w:lineRule="auto"/>
              <w:jc w:val="left"/>
              <w:rPr>
                <w:color w:val="000000"/>
                <w:szCs w:val="22"/>
              </w:rPr>
            </w:pPr>
            <w:r w:rsidRPr="00BF2BAA">
              <w:rPr>
                <w:color w:val="000000"/>
                <w:sz w:val="22"/>
                <w:szCs w:val="22"/>
              </w:rPr>
              <w:t>Dlouhodobý hmotný majetek</w:t>
            </w:r>
          </w:p>
        </w:tc>
        <w:tc>
          <w:tcPr>
            <w:tcW w:w="560" w:type="dxa"/>
            <w:tcBorders>
              <w:top w:val="nil"/>
              <w:left w:val="nil"/>
              <w:bottom w:val="single" w:sz="4" w:space="0" w:color="auto"/>
              <w:right w:val="single" w:sz="4" w:space="0" w:color="auto"/>
            </w:tcBorders>
            <w:shd w:val="clear" w:color="auto" w:fill="auto"/>
            <w:vAlign w:val="center"/>
            <w:hideMark/>
          </w:tcPr>
          <w:p w:rsidR="00BF2BAA" w:rsidRPr="00BF2BAA" w:rsidRDefault="00BF2BAA" w:rsidP="00BF2BAA">
            <w:pPr>
              <w:spacing w:after="0" w:line="240" w:lineRule="auto"/>
              <w:jc w:val="center"/>
              <w:rPr>
                <w:color w:val="000000"/>
                <w:szCs w:val="22"/>
              </w:rPr>
            </w:pPr>
            <w:r w:rsidRPr="00BF2BAA">
              <w:rPr>
                <w:color w:val="000000"/>
                <w:sz w:val="22"/>
                <w:szCs w:val="22"/>
              </w:rPr>
              <w:t>013</w:t>
            </w:r>
          </w:p>
        </w:tc>
        <w:tc>
          <w:tcPr>
            <w:tcW w:w="960" w:type="dxa"/>
            <w:tcBorders>
              <w:top w:val="nil"/>
              <w:left w:val="nil"/>
              <w:bottom w:val="single" w:sz="4" w:space="0" w:color="auto"/>
              <w:right w:val="single" w:sz="4" w:space="0" w:color="auto"/>
            </w:tcBorders>
            <w:shd w:val="clear" w:color="auto" w:fill="auto"/>
            <w:vAlign w:val="center"/>
            <w:hideMark/>
          </w:tcPr>
          <w:p w:rsidR="00BF2BAA" w:rsidRPr="00BF2BAA" w:rsidRDefault="00BF2BAA" w:rsidP="00BF2BAA">
            <w:pPr>
              <w:spacing w:after="0" w:line="240" w:lineRule="auto"/>
              <w:jc w:val="right"/>
              <w:rPr>
                <w:color w:val="000000"/>
                <w:szCs w:val="22"/>
              </w:rPr>
            </w:pPr>
            <w:r w:rsidRPr="00BF2BAA">
              <w:rPr>
                <w:color w:val="000000"/>
                <w:sz w:val="22"/>
                <w:szCs w:val="22"/>
              </w:rPr>
              <w:t>57 300</w:t>
            </w:r>
          </w:p>
        </w:tc>
        <w:tc>
          <w:tcPr>
            <w:tcW w:w="960" w:type="dxa"/>
            <w:tcBorders>
              <w:top w:val="nil"/>
              <w:left w:val="nil"/>
              <w:bottom w:val="single" w:sz="4" w:space="0" w:color="auto"/>
              <w:right w:val="single" w:sz="4" w:space="0" w:color="auto"/>
            </w:tcBorders>
            <w:shd w:val="clear" w:color="auto" w:fill="auto"/>
            <w:vAlign w:val="center"/>
            <w:hideMark/>
          </w:tcPr>
          <w:p w:rsidR="00BF2BAA" w:rsidRPr="00BF2BAA" w:rsidRDefault="00BF2BAA" w:rsidP="00BF2BAA">
            <w:pPr>
              <w:spacing w:after="0" w:line="240" w:lineRule="auto"/>
              <w:jc w:val="right"/>
              <w:rPr>
                <w:color w:val="000000"/>
                <w:szCs w:val="22"/>
              </w:rPr>
            </w:pPr>
            <w:r w:rsidRPr="00BF2BAA">
              <w:rPr>
                <w:color w:val="000000"/>
                <w:sz w:val="22"/>
                <w:szCs w:val="22"/>
              </w:rPr>
              <w:t>170 129</w:t>
            </w:r>
          </w:p>
        </w:tc>
        <w:tc>
          <w:tcPr>
            <w:tcW w:w="960" w:type="dxa"/>
            <w:tcBorders>
              <w:top w:val="nil"/>
              <w:left w:val="nil"/>
              <w:bottom w:val="single" w:sz="4" w:space="0" w:color="auto"/>
              <w:right w:val="single" w:sz="12" w:space="0" w:color="auto"/>
            </w:tcBorders>
            <w:shd w:val="clear" w:color="auto" w:fill="auto"/>
            <w:vAlign w:val="center"/>
            <w:hideMark/>
          </w:tcPr>
          <w:p w:rsidR="00BF2BAA" w:rsidRPr="00BF2BAA" w:rsidRDefault="00BF2BAA" w:rsidP="00BF2BAA">
            <w:pPr>
              <w:spacing w:after="0" w:line="240" w:lineRule="auto"/>
              <w:jc w:val="right"/>
              <w:rPr>
                <w:color w:val="000000"/>
                <w:szCs w:val="22"/>
              </w:rPr>
            </w:pPr>
            <w:r w:rsidRPr="00BF2BAA">
              <w:rPr>
                <w:color w:val="000000"/>
                <w:sz w:val="22"/>
                <w:szCs w:val="22"/>
              </w:rPr>
              <w:t>119 000</w:t>
            </w:r>
          </w:p>
        </w:tc>
      </w:tr>
      <w:tr w:rsidR="00BF2BAA" w:rsidRPr="00BF2BAA" w:rsidTr="00BF2BAA">
        <w:trPr>
          <w:trHeight w:val="342"/>
        </w:trPr>
        <w:tc>
          <w:tcPr>
            <w:tcW w:w="680" w:type="dxa"/>
            <w:tcBorders>
              <w:top w:val="nil"/>
              <w:left w:val="single" w:sz="12" w:space="0" w:color="auto"/>
              <w:bottom w:val="single" w:sz="4" w:space="0" w:color="auto"/>
              <w:right w:val="single" w:sz="4" w:space="0" w:color="auto"/>
            </w:tcBorders>
            <w:shd w:val="clear" w:color="auto" w:fill="auto"/>
            <w:vAlign w:val="center"/>
            <w:hideMark/>
          </w:tcPr>
          <w:p w:rsidR="00BF2BAA" w:rsidRPr="00BF2BAA" w:rsidRDefault="00BF2BAA" w:rsidP="00BF2BAA">
            <w:pPr>
              <w:spacing w:after="0" w:line="240" w:lineRule="auto"/>
              <w:jc w:val="left"/>
              <w:rPr>
                <w:color w:val="000000"/>
                <w:szCs w:val="22"/>
              </w:rPr>
            </w:pPr>
            <w:r w:rsidRPr="00BF2BAA">
              <w:rPr>
                <w:color w:val="000000"/>
                <w:sz w:val="22"/>
                <w:szCs w:val="22"/>
              </w:rPr>
              <w:t xml:space="preserve">      3.</w:t>
            </w:r>
          </w:p>
        </w:tc>
        <w:tc>
          <w:tcPr>
            <w:tcW w:w="4420" w:type="dxa"/>
            <w:tcBorders>
              <w:top w:val="nil"/>
              <w:left w:val="nil"/>
              <w:bottom w:val="single" w:sz="4" w:space="0" w:color="auto"/>
              <w:right w:val="single" w:sz="4" w:space="0" w:color="auto"/>
            </w:tcBorders>
            <w:shd w:val="clear" w:color="auto" w:fill="auto"/>
            <w:vAlign w:val="center"/>
            <w:hideMark/>
          </w:tcPr>
          <w:p w:rsidR="00BF2BAA" w:rsidRPr="00BF2BAA" w:rsidRDefault="00BF2BAA" w:rsidP="00BF2BAA">
            <w:pPr>
              <w:spacing w:after="0" w:line="240" w:lineRule="auto"/>
              <w:jc w:val="left"/>
              <w:rPr>
                <w:color w:val="000000"/>
                <w:szCs w:val="22"/>
              </w:rPr>
            </w:pPr>
            <w:r w:rsidRPr="00BF2BAA">
              <w:rPr>
                <w:color w:val="000000"/>
                <w:sz w:val="22"/>
                <w:szCs w:val="22"/>
              </w:rPr>
              <w:t>Samostatné movité věci a soubory movitých věcí</w:t>
            </w:r>
          </w:p>
        </w:tc>
        <w:tc>
          <w:tcPr>
            <w:tcW w:w="560" w:type="dxa"/>
            <w:tcBorders>
              <w:top w:val="nil"/>
              <w:left w:val="nil"/>
              <w:bottom w:val="single" w:sz="4" w:space="0" w:color="auto"/>
              <w:right w:val="single" w:sz="4" w:space="0" w:color="auto"/>
            </w:tcBorders>
            <w:shd w:val="clear" w:color="auto" w:fill="auto"/>
            <w:vAlign w:val="center"/>
            <w:hideMark/>
          </w:tcPr>
          <w:p w:rsidR="00BF2BAA" w:rsidRPr="00BF2BAA" w:rsidRDefault="00BF2BAA" w:rsidP="00BF2BAA">
            <w:pPr>
              <w:spacing w:after="0" w:line="240" w:lineRule="auto"/>
              <w:jc w:val="center"/>
              <w:rPr>
                <w:color w:val="000000"/>
                <w:szCs w:val="22"/>
              </w:rPr>
            </w:pPr>
            <w:r w:rsidRPr="00BF2BAA">
              <w:rPr>
                <w:color w:val="000000"/>
                <w:sz w:val="22"/>
                <w:szCs w:val="22"/>
              </w:rPr>
              <w:t>016</w:t>
            </w:r>
          </w:p>
        </w:tc>
        <w:tc>
          <w:tcPr>
            <w:tcW w:w="960" w:type="dxa"/>
            <w:tcBorders>
              <w:top w:val="nil"/>
              <w:left w:val="nil"/>
              <w:bottom w:val="single" w:sz="4" w:space="0" w:color="auto"/>
              <w:right w:val="single" w:sz="4" w:space="0" w:color="auto"/>
            </w:tcBorders>
            <w:shd w:val="clear" w:color="auto" w:fill="auto"/>
            <w:vAlign w:val="center"/>
            <w:hideMark/>
          </w:tcPr>
          <w:p w:rsidR="00BF2BAA" w:rsidRPr="00BF2BAA" w:rsidRDefault="00BF2BAA" w:rsidP="00BF2BAA">
            <w:pPr>
              <w:spacing w:after="0" w:line="240" w:lineRule="auto"/>
              <w:jc w:val="right"/>
              <w:rPr>
                <w:color w:val="000000"/>
                <w:szCs w:val="22"/>
              </w:rPr>
            </w:pPr>
            <w:r w:rsidRPr="00BF2BAA">
              <w:rPr>
                <w:color w:val="000000"/>
                <w:sz w:val="22"/>
                <w:szCs w:val="22"/>
              </w:rPr>
              <w:t>57 300</w:t>
            </w:r>
          </w:p>
        </w:tc>
        <w:tc>
          <w:tcPr>
            <w:tcW w:w="960" w:type="dxa"/>
            <w:tcBorders>
              <w:top w:val="nil"/>
              <w:left w:val="nil"/>
              <w:bottom w:val="single" w:sz="4" w:space="0" w:color="auto"/>
              <w:right w:val="single" w:sz="4" w:space="0" w:color="auto"/>
            </w:tcBorders>
            <w:shd w:val="clear" w:color="auto" w:fill="auto"/>
            <w:vAlign w:val="center"/>
            <w:hideMark/>
          </w:tcPr>
          <w:p w:rsidR="00BF2BAA" w:rsidRPr="00BF2BAA" w:rsidRDefault="00BF2BAA" w:rsidP="00BF2BAA">
            <w:pPr>
              <w:spacing w:after="0" w:line="240" w:lineRule="auto"/>
              <w:jc w:val="right"/>
              <w:rPr>
                <w:color w:val="000000"/>
                <w:szCs w:val="22"/>
              </w:rPr>
            </w:pPr>
            <w:r w:rsidRPr="00BF2BAA">
              <w:rPr>
                <w:color w:val="000000"/>
                <w:sz w:val="22"/>
                <w:szCs w:val="22"/>
              </w:rPr>
              <w:t>170 129</w:t>
            </w:r>
          </w:p>
        </w:tc>
        <w:tc>
          <w:tcPr>
            <w:tcW w:w="960" w:type="dxa"/>
            <w:tcBorders>
              <w:top w:val="nil"/>
              <w:left w:val="nil"/>
              <w:bottom w:val="single" w:sz="4" w:space="0" w:color="auto"/>
              <w:right w:val="single" w:sz="12" w:space="0" w:color="auto"/>
            </w:tcBorders>
            <w:shd w:val="clear" w:color="auto" w:fill="auto"/>
            <w:vAlign w:val="center"/>
            <w:hideMark/>
          </w:tcPr>
          <w:p w:rsidR="00BF2BAA" w:rsidRPr="00BF2BAA" w:rsidRDefault="00BF2BAA" w:rsidP="00BF2BAA">
            <w:pPr>
              <w:spacing w:after="0" w:line="240" w:lineRule="auto"/>
              <w:jc w:val="right"/>
              <w:rPr>
                <w:color w:val="000000"/>
                <w:szCs w:val="22"/>
              </w:rPr>
            </w:pPr>
            <w:r w:rsidRPr="00BF2BAA">
              <w:rPr>
                <w:color w:val="000000"/>
                <w:sz w:val="22"/>
                <w:szCs w:val="22"/>
              </w:rPr>
              <w:t>119 000</w:t>
            </w:r>
          </w:p>
        </w:tc>
      </w:tr>
      <w:tr w:rsidR="00BF2BAA" w:rsidRPr="00BF2BAA" w:rsidTr="00BF2BAA">
        <w:trPr>
          <w:trHeight w:val="342"/>
        </w:trPr>
        <w:tc>
          <w:tcPr>
            <w:tcW w:w="680" w:type="dxa"/>
            <w:tcBorders>
              <w:top w:val="nil"/>
              <w:left w:val="single" w:sz="12" w:space="0" w:color="auto"/>
              <w:bottom w:val="single" w:sz="12" w:space="0" w:color="auto"/>
              <w:right w:val="single" w:sz="4" w:space="0" w:color="auto"/>
            </w:tcBorders>
            <w:shd w:val="clear" w:color="auto" w:fill="auto"/>
            <w:vAlign w:val="center"/>
            <w:hideMark/>
          </w:tcPr>
          <w:p w:rsidR="00BF2BAA" w:rsidRPr="00BF2BAA" w:rsidRDefault="00BF2BAA" w:rsidP="00BF2BAA">
            <w:pPr>
              <w:spacing w:after="0" w:line="240" w:lineRule="auto"/>
              <w:jc w:val="left"/>
              <w:rPr>
                <w:color w:val="000000"/>
                <w:szCs w:val="22"/>
              </w:rPr>
            </w:pPr>
            <w:proofErr w:type="gramStart"/>
            <w:r w:rsidRPr="00BF2BAA">
              <w:rPr>
                <w:color w:val="000000"/>
                <w:sz w:val="22"/>
                <w:szCs w:val="22"/>
              </w:rPr>
              <w:t>B.III</w:t>
            </w:r>
            <w:proofErr w:type="gramEnd"/>
            <w:r w:rsidRPr="00BF2BAA">
              <w:rPr>
                <w:color w:val="000000"/>
                <w:sz w:val="22"/>
                <w:szCs w:val="22"/>
              </w:rPr>
              <w:t>.</w:t>
            </w:r>
          </w:p>
        </w:tc>
        <w:tc>
          <w:tcPr>
            <w:tcW w:w="4420" w:type="dxa"/>
            <w:tcBorders>
              <w:top w:val="nil"/>
              <w:left w:val="nil"/>
              <w:bottom w:val="single" w:sz="12" w:space="0" w:color="auto"/>
              <w:right w:val="single" w:sz="4" w:space="0" w:color="auto"/>
            </w:tcBorders>
            <w:shd w:val="clear" w:color="auto" w:fill="auto"/>
            <w:vAlign w:val="center"/>
            <w:hideMark/>
          </w:tcPr>
          <w:p w:rsidR="00BF2BAA" w:rsidRPr="00BF2BAA" w:rsidRDefault="00BF2BAA" w:rsidP="00BF2BAA">
            <w:pPr>
              <w:spacing w:after="0" w:line="240" w:lineRule="auto"/>
              <w:jc w:val="left"/>
              <w:rPr>
                <w:color w:val="000000"/>
                <w:szCs w:val="22"/>
              </w:rPr>
            </w:pPr>
            <w:r w:rsidRPr="00BF2BAA">
              <w:rPr>
                <w:color w:val="000000"/>
                <w:sz w:val="22"/>
                <w:szCs w:val="22"/>
              </w:rPr>
              <w:t>Dlouhodobý finanční majetek</w:t>
            </w:r>
          </w:p>
        </w:tc>
        <w:tc>
          <w:tcPr>
            <w:tcW w:w="560" w:type="dxa"/>
            <w:tcBorders>
              <w:top w:val="nil"/>
              <w:left w:val="nil"/>
              <w:bottom w:val="single" w:sz="12" w:space="0" w:color="auto"/>
              <w:right w:val="single" w:sz="4" w:space="0" w:color="auto"/>
            </w:tcBorders>
            <w:shd w:val="clear" w:color="auto" w:fill="auto"/>
            <w:vAlign w:val="center"/>
            <w:hideMark/>
          </w:tcPr>
          <w:p w:rsidR="00BF2BAA" w:rsidRPr="00BF2BAA" w:rsidRDefault="00BF2BAA" w:rsidP="00BF2BAA">
            <w:pPr>
              <w:spacing w:after="0" w:line="240" w:lineRule="auto"/>
              <w:jc w:val="center"/>
              <w:rPr>
                <w:color w:val="000000"/>
                <w:szCs w:val="22"/>
              </w:rPr>
            </w:pPr>
            <w:r w:rsidRPr="00BF2BAA">
              <w:rPr>
                <w:color w:val="000000"/>
                <w:sz w:val="22"/>
                <w:szCs w:val="22"/>
              </w:rPr>
              <w:t>023</w:t>
            </w:r>
          </w:p>
        </w:tc>
        <w:tc>
          <w:tcPr>
            <w:tcW w:w="960" w:type="dxa"/>
            <w:tcBorders>
              <w:top w:val="nil"/>
              <w:left w:val="nil"/>
              <w:bottom w:val="single" w:sz="12" w:space="0" w:color="auto"/>
              <w:right w:val="single" w:sz="4" w:space="0" w:color="auto"/>
            </w:tcBorders>
            <w:shd w:val="clear" w:color="auto" w:fill="auto"/>
            <w:vAlign w:val="center"/>
            <w:hideMark/>
          </w:tcPr>
          <w:p w:rsidR="00BF2BAA" w:rsidRPr="00BF2BAA" w:rsidRDefault="00BF2BAA" w:rsidP="00BF2BAA">
            <w:pPr>
              <w:spacing w:after="0" w:line="240" w:lineRule="auto"/>
              <w:jc w:val="left"/>
              <w:rPr>
                <w:color w:val="000000"/>
                <w:szCs w:val="22"/>
              </w:rPr>
            </w:pPr>
            <w:r w:rsidRPr="00BF2BAA">
              <w:rPr>
                <w:color w:val="000000"/>
                <w:sz w:val="22"/>
                <w:szCs w:val="22"/>
              </w:rPr>
              <w:t> </w:t>
            </w:r>
          </w:p>
        </w:tc>
        <w:tc>
          <w:tcPr>
            <w:tcW w:w="960" w:type="dxa"/>
            <w:tcBorders>
              <w:top w:val="nil"/>
              <w:left w:val="nil"/>
              <w:bottom w:val="single" w:sz="12" w:space="0" w:color="auto"/>
              <w:right w:val="single" w:sz="4" w:space="0" w:color="auto"/>
            </w:tcBorders>
            <w:shd w:val="clear" w:color="auto" w:fill="auto"/>
            <w:vAlign w:val="center"/>
            <w:hideMark/>
          </w:tcPr>
          <w:p w:rsidR="00BF2BAA" w:rsidRPr="00BF2BAA" w:rsidRDefault="00BF2BAA" w:rsidP="00BF2BAA">
            <w:pPr>
              <w:spacing w:after="0" w:line="240" w:lineRule="auto"/>
              <w:jc w:val="left"/>
              <w:rPr>
                <w:color w:val="000000"/>
                <w:szCs w:val="22"/>
              </w:rPr>
            </w:pPr>
            <w:r w:rsidRPr="00BF2BAA">
              <w:rPr>
                <w:color w:val="000000"/>
                <w:sz w:val="22"/>
                <w:szCs w:val="22"/>
              </w:rPr>
              <w:t> </w:t>
            </w:r>
          </w:p>
        </w:tc>
        <w:tc>
          <w:tcPr>
            <w:tcW w:w="960" w:type="dxa"/>
            <w:tcBorders>
              <w:top w:val="nil"/>
              <w:left w:val="nil"/>
              <w:bottom w:val="single" w:sz="12" w:space="0" w:color="auto"/>
              <w:right w:val="single" w:sz="12" w:space="0" w:color="auto"/>
            </w:tcBorders>
            <w:shd w:val="clear" w:color="auto" w:fill="auto"/>
            <w:vAlign w:val="center"/>
            <w:hideMark/>
          </w:tcPr>
          <w:p w:rsidR="00BF2BAA" w:rsidRPr="00BF2BAA" w:rsidRDefault="00BF2BAA" w:rsidP="00BF2BAA">
            <w:pPr>
              <w:spacing w:after="0" w:line="240" w:lineRule="auto"/>
              <w:jc w:val="left"/>
              <w:rPr>
                <w:color w:val="000000"/>
                <w:szCs w:val="22"/>
              </w:rPr>
            </w:pPr>
            <w:r w:rsidRPr="00BF2BAA">
              <w:rPr>
                <w:color w:val="000000"/>
                <w:sz w:val="22"/>
                <w:szCs w:val="22"/>
              </w:rPr>
              <w:t> </w:t>
            </w:r>
          </w:p>
        </w:tc>
      </w:tr>
    </w:tbl>
    <w:p w:rsidR="00BF2BAA" w:rsidRPr="00671C37" w:rsidRDefault="00BF2BAA" w:rsidP="00C95146">
      <w:pPr>
        <w:pStyle w:val="dajepodtabulkou"/>
        <w:ind w:left="0"/>
      </w:pPr>
      <w:r w:rsidRPr="00671C37">
        <w:t xml:space="preserve">Zdroj: </w:t>
      </w:r>
      <w:r w:rsidR="00671C37" w:rsidRPr="00671C37">
        <w:t>KOVOVÝROBA s. r. o.</w:t>
      </w:r>
    </w:p>
    <w:p w:rsidR="00BF2BAA" w:rsidRDefault="00BF2BAA" w:rsidP="00255FC3">
      <w:pPr>
        <w:pStyle w:val="Odstavecnormln"/>
      </w:pPr>
      <w:r>
        <w:t xml:space="preserve">Z tabulky je patrné, že veškerý dlouhodobý majetek tvoří pouze samostatné věci movité a soubory věcí movitých. Společnost podniká v pronajatých prostorech, nevlastní žádné budovy ani pozemky. Dlouhodobý nehmotný a finanční majetek společnost neeviduje. Pro úplnost </w:t>
      </w:r>
      <w:r w:rsidR="00375771">
        <w:t>je níže</w:t>
      </w:r>
      <w:r>
        <w:t xml:space="preserve"> zpracován přehled hmotného majetku, ve kterém jsou uvedeny jednotlivé položky majetku vykázaného v </w:t>
      </w:r>
      <w:r w:rsidR="000A608A">
        <w:t xml:space="preserve"> </w:t>
      </w:r>
      <w:r>
        <w:t>na řádku 016</w:t>
      </w:r>
      <w:r w:rsidR="00A60412">
        <w:t xml:space="preserve"> tabulky 1 </w:t>
      </w:r>
      <w:r w:rsidR="00D06E82">
        <w:t>n</w:t>
      </w:r>
      <w:r w:rsidR="000A608A">
        <w:t xml:space="preserve">a str. </w:t>
      </w:r>
      <w:r w:rsidR="00B35AC3">
        <w:fldChar w:fldCharType="begin"/>
      </w:r>
      <w:r w:rsidR="00B35AC3">
        <w:instrText xml:space="preserve"> PAGEREF _Ref353440875 \h </w:instrText>
      </w:r>
      <w:r w:rsidR="00B35AC3">
        <w:fldChar w:fldCharType="separate"/>
      </w:r>
      <w:r w:rsidR="002534BA">
        <w:rPr>
          <w:noProof/>
        </w:rPr>
        <w:t>20</w:t>
      </w:r>
      <w:r w:rsidR="00B35AC3">
        <w:fldChar w:fldCharType="end"/>
      </w:r>
      <w:r w:rsidR="000A608A">
        <w:t>).</w:t>
      </w:r>
    </w:p>
    <w:p w:rsidR="001A42A2" w:rsidRDefault="001A42A2" w:rsidP="00255FC3">
      <w:pPr>
        <w:pStyle w:val="Odstavecnormln"/>
      </w:pPr>
      <w:r>
        <w:lastRenderedPageBreak/>
        <w:t xml:space="preserve">Tabulka 2 Samostatné věci movité a soubory věcí movitých byla sestavena za účelem zjištění, jaký majetek je ve společnosti evidován ke konci zkoumaného období, </w:t>
      </w:r>
      <w:r>
        <w:br/>
        <w:t>tj. k 31. 12. 2011</w:t>
      </w:r>
      <w:r w:rsidR="00E33FBB">
        <w:rPr>
          <w:rStyle w:val="Znakapoznpodarou"/>
        </w:rPr>
        <w:footnoteReference w:id="11"/>
      </w:r>
      <w:r w:rsidR="00E33FBB">
        <w:t>.</w:t>
      </w:r>
    </w:p>
    <w:p w:rsidR="002A313D" w:rsidRPr="003D548E" w:rsidRDefault="002A313D" w:rsidP="002A313D">
      <w:pPr>
        <w:pStyle w:val="Tabulky"/>
      </w:pPr>
      <w:bookmarkStart w:id="79" w:name="_Ref350449668"/>
      <w:bookmarkStart w:id="80" w:name="_Ref350625546"/>
      <w:bookmarkStart w:id="81" w:name="_Toc353125941"/>
      <w:r w:rsidRPr="003D548E">
        <w:t xml:space="preserve">Tabulka </w:t>
      </w:r>
      <w:r w:rsidR="00C96C2B">
        <w:fldChar w:fldCharType="begin"/>
      </w:r>
      <w:r w:rsidR="00C96C2B">
        <w:instrText xml:space="preserve"> SEQ Tabulka \* ARABIC </w:instrText>
      </w:r>
      <w:r w:rsidR="00C96C2B">
        <w:fldChar w:fldCharType="separate"/>
      </w:r>
      <w:r w:rsidR="002534BA">
        <w:rPr>
          <w:noProof/>
        </w:rPr>
        <w:t>2</w:t>
      </w:r>
      <w:r w:rsidR="00C96C2B">
        <w:rPr>
          <w:noProof/>
        </w:rPr>
        <w:fldChar w:fldCharType="end"/>
      </w:r>
      <w:bookmarkEnd w:id="79"/>
      <w:r w:rsidRPr="003D548E">
        <w:t xml:space="preserve"> Samostatné věci movité a soubory věcí movitých</w:t>
      </w:r>
      <w:bookmarkEnd w:id="80"/>
      <w:r w:rsidR="007E4FA9">
        <w:t xml:space="preserve"> – KOVOVÝROBA s. r. o.</w:t>
      </w:r>
      <w:bookmarkEnd w:id="81"/>
    </w:p>
    <w:p w:rsidR="002A313D" w:rsidRDefault="002A313D" w:rsidP="002A313D">
      <w:pPr>
        <w:pStyle w:val="dajenadtabulkouazdroj"/>
      </w:pPr>
      <w:r w:rsidRPr="00CB2336">
        <w:t>Údaje jsou uvedeny v celých Kč</w:t>
      </w:r>
    </w:p>
    <w:tbl>
      <w:tblPr>
        <w:tblW w:w="8848" w:type="dxa"/>
        <w:jc w:val="center"/>
        <w:tblInd w:w="55" w:type="dxa"/>
        <w:tblCellMar>
          <w:left w:w="70" w:type="dxa"/>
          <w:right w:w="70" w:type="dxa"/>
        </w:tblCellMar>
        <w:tblLook w:val="04A0" w:firstRow="1" w:lastRow="0" w:firstColumn="1" w:lastColumn="0" w:noHBand="0" w:noVBand="1"/>
      </w:tblPr>
      <w:tblGrid>
        <w:gridCol w:w="2140"/>
        <w:gridCol w:w="880"/>
        <w:gridCol w:w="1400"/>
        <w:gridCol w:w="1400"/>
        <w:gridCol w:w="880"/>
        <w:gridCol w:w="880"/>
        <w:gridCol w:w="1268"/>
      </w:tblGrid>
      <w:tr w:rsidR="002A313D" w:rsidRPr="002A313D" w:rsidTr="00BD5E0B">
        <w:trPr>
          <w:trHeight w:val="1935"/>
          <w:jc w:val="center"/>
        </w:trPr>
        <w:tc>
          <w:tcPr>
            <w:tcW w:w="2140" w:type="dxa"/>
            <w:tcBorders>
              <w:top w:val="single" w:sz="12" w:space="0" w:color="auto"/>
              <w:left w:val="single" w:sz="12" w:space="0" w:color="auto"/>
              <w:bottom w:val="double" w:sz="6" w:space="0" w:color="auto"/>
              <w:right w:val="single" w:sz="4" w:space="0" w:color="auto"/>
            </w:tcBorders>
            <w:shd w:val="clear" w:color="auto" w:fill="E5DFEC" w:themeFill="accent4" w:themeFillTint="33"/>
            <w:textDirection w:val="btLr"/>
            <w:vAlign w:val="center"/>
            <w:hideMark/>
          </w:tcPr>
          <w:p w:rsidR="002A313D" w:rsidRPr="002A313D" w:rsidRDefault="002A313D" w:rsidP="002A313D">
            <w:pPr>
              <w:spacing w:after="0" w:line="240" w:lineRule="auto"/>
              <w:jc w:val="center"/>
              <w:rPr>
                <w:b/>
                <w:bCs/>
                <w:color w:val="000000"/>
                <w:szCs w:val="22"/>
              </w:rPr>
            </w:pPr>
            <w:r w:rsidRPr="002A313D">
              <w:rPr>
                <w:b/>
                <w:bCs/>
                <w:color w:val="000000"/>
                <w:sz w:val="22"/>
                <w:szCs w:val="22"/>
              </w:rPr>
              <w:t>MAJETEK</w:t>
            </w:r>
          </w:p>
        </w:tc>
        <w:tc>
          <w:tcPr>
            <w:tcW w:w="880" w:type="dxa"/>
            <w:tcBorders>
              <w:top w:val="single" w:sz="12" w:space="0" w:color="auto"/>
              <w:left w:val="nil"/>
              <w:bottom w:val="double" w:sz="6" w:space="0" w:color="auto"/>
              <w:right w:val="single" w:sz="4" w:space="0" w:color="auto"/>
            </w:tcBorders>
            <w:shd w:val="clear" w:color="auto" w:fill="E5DFEC" w:themeFill="accent4" w:themeFillTint="33"/>
            <w:textDirection w:val="btLr"/>
            <w:vAlign w:val="center"/>
            <w:hideMark/>
          </w:tcPr>
          <w:p w:rsidR="002A313D" w:rsidRPr="002A313D" w:rsidRDefault="002A313D" w:rsidP="002A313D">
            <w:pPr>
              <w:spacing w:after="0" w:line="240" w:lineRule="auto"/>
              <w:jc w:val="center"/>
              <w:rPr>
                <w:b/>
                <w:bCs/>
                <w:color w:val="000000"/>
                <w:szCs w:val="22"/>
              </w:rPr>
            </w:pPr>
            <w:r w:rsidRPr="002A313D">
              <w:rPr>
                <w:b/>
                <w:bCs/>
                <w:color w:val="000000"/>
                <w:sz w:val="22"/>
                <w:szCs w:val="22"/>
              </w:rPr>
              <w:t>POŘIZOVACÍ CENA</w:t>
            </w:r>
          </w:p>
        </w:tc>
        <w:tc>
          <w:tcPr>
            <w:tcW w:w="1400" w:type="dxa"/>
            <w:tcBorders>
              <w:top w:val="single" w:sz="12" w:space="0" w:color="auto"/>
              <w:left w:val="nil"/>
              <w:bottom w:val="double" w:sz="6" w:space="0" w:color="auto"/>
              <w:right w:val="single" w:sz="4" w:space="0" w:color="auto"/>
            </w:tcBorders>
            <w:shd w:val="clear" w:color="auto" w:fill="E5DFEC" w:themeFill="accent4" w:themeFillTint="33"/>
            <w:textDirection w:val="btLr"/>
            <w:vAlign w:val="center"/>
            <w:hideMark/>
          </w:tcPr>
          <w:p w:rsidR="002A313D" w:rsidRPr="002A313D" w:rsidRDefault="002A313D" w:rsidP="002A313D">
            <w:pPr>
              <w:spacing w:after="0" w:line="240" w:lineRule="auto"/>
              <w:jc w:val="center"/>
              <w:rPr>
                <w:b/>
                <w:bCs/>
                <w:color w:val="000000"/>
                <w:szCs w:val="22"/>
              </w:rPr>
            </w:pPr>
            <w:r w:rsidRPr="002A313D">
              <w:rPr>
                <w:b/>
                <w:bCs/>
                <w:color w:val="000000"/>
                <w:sz w:val="22"/>
                <w:szCs w:val="22"/>
              </w:rPr>
              <w:t>DATUM POŘÍZENÍ</w:t>
            </w:r>
          </w:p>
        </w:tc>
        <w:tc>
          <w:tcPr>
            <w:tcW w:w="1400" w:type="dxa"/>
            <w:tcBorders>
              <w:top w:val="single" w:sz="12" w:space="0" w:color="auto"/>
              <w:left w:val="nil"/>
              <w:bottom w:val="double" w:sz="6" w:space="0" w:color="auto"/>
              <w:right w:val="single" w:sz="4" w:space="0" w:color="auto"/>
            </w:tcBorders>
            <w:shd w:val="clear" w:color="auto" w:fill="E5DFEC" w:themeFill="accent4" w:themeFillTint="33"/>
            <w:textDirection w:val="btLr"/>
            <w:vAlign w:val="center"/>
            <w:hideMark/>
          </w:tcPr>
          <w:p w:rsidR="002A313D" w:rsidRPr="002A313D" w:rsidRDefault="002A313D" w:rsidP="002A313D">
            <w:pPr>
              <w:spacing w:after="0" w:line="240" w:lineRule="auto"/>
              <w:jc w:val="center"/>
              <w:rPr>
                <w:b/>
                <w:bCs/>
                <w:color w:val="000000"/>
                <w:szCs w:val="22"/>
              </w:rPr>
            </w:pPr>
            <w:r w:rsidRPr="002A313D">
              <w:rPr>
                <w:b/>
                <w:bCs/>
                <w:color w:val="000000"/>
                <w:sz w:val="22"/>
                <w:szCs w:val="22"/>
              </w:rPr>
              <w:t>DATUM VYŘAZENÍ</w:t>
            </w:r>
          </w:p>
        </w:tc>
        <w:tc>
          <w:tcPr>
            <w:tcW w:w="880" w:type="dxa"/>
            <w:tcBorders>
              <w:top w:val="single" w:sz="12" w:space="0" w:color="auto"/>
              <w:left w:val="nil"/>
              <w:bottom w:val="double" w:sz="6" w:space="0" w:color="auto"/>
              <w:right w:val="single" w:sz="4" w:space="0" w:color="auto"/>
            </w:tcBorders>
            <w:shd w:val="clear" w:color="auto" w:fill="E5DFEC" w:themeFill="accent4" w:themeFillTint="33"/>
            <w:textDirection w:val="btLr"/>
            <w:vAlign w:val="center"/>
            <w:hideMark/>
          </w:tcPr>
          <w:p w:rsidR="002A313D" w:rsidRPr="002A313D" w:rsidRDefault="002A313D" w:rsidP="002A313D">
            <w:pPr>
              <w:spacing w:after="0" w:line="240" w:lineRule="auto"/>
              <w:jc w:val="center"/>
              <w:rPr>
                <w:b/>
                <w:bCs/>
                <w:color w:val="000000"/>
                <w:szCs w:val="22"/>
              </w:rPr>
            </w:pPr>
            <w:r w:rsidRPr="002A313D">
              <w:rPr>
                <w:b/>
                <w:bCs/>
                <w:color w:val="000000"/>
                <w:sz w:val="22"/>
                <w:szCs w:val="22"/>
              </w:rPr>
              <w:t>HODNOTA VYŘAZENÉHO MAJETKU</w:t>
            </w:r>
          </w:p>
        </w:tc>
        <w:tc>
          <w:tcPr>
            <w:tcW w:w="880" w:type="dxa"/>
            <w:tcBorders>
              <w:top w:val="single" w:sz="12" w:space="0" w:color="auto"/>
              <w:left w:val="nil"/>
              <w:bottom w:val="double" w:sz="6" w:space="0" w:color="auto"/>
              <w:right w:val="single" w:sz="4" w:space="0" w:color="auto"/>
            </w:tcBorders>
            <w:shd w:val="clear" w:color="auto" w:fill="E5DFEC" w:themeFill="accent4" w:themeFillTint="33"/>
            <w:textDirection w:val="btLr"/>
            <w:vAlign w:val="center"/>
            <w:hideMark/>
          </w:tcPr>
          <w:p w:rsidR="002A313D" w:rsidRPr="002A313D" w:rsidRDefault="002A313D" w:rsidP="002A313D">
            <w:pPr>
              <w:spacing w:after="0" w:line="240" w:lineRule="auto"/>
              <w:jc w:val="center"/>
              <w:rPr>
                <w:b/>
                <w:bCs/>
                <w:color w:val="000000"/>
                <w:szCs w:val="22"/>
              </w:rPr>
            </w:pPr>
            <w:r w:rsidRPr="002A313D">
              <w:rPr>
                <w:b/>
                <w:bCs/>
                <w:color w:val="000000"/>
                <w:sz w:val="22"/>
                <w:szCs w:val="22"/>
              </w:rPr>
              <w:t>HODNOTA ODPISU</w:t>
            </w:r>
          </w:p>
        </w:tc>
        <w:tc>
          <w:tcPr>
            <w:tcW w:w="1268" w:type="dxa"/>
            <w:tcBorders>
              <w:top w:val="single" w:sz="12" w:space="0" w:color="auto"/>
              <w:left w:val="nil"/>
              <w:bottom w:val="double" w:sz="6" w:space="0" w:color="auto"/>
              <w:right w:val="single" w:sz="12" w:space="0" w:color="auto"/>
            </w:tcBorders>
            <w:shd w:val="clear" w:color="auto" w:fill="E5DFEC" w:themeFill="accent4" w:themeFillTint="33"/>
            <w:textDirection w:val="btLr"/>
            <w:vAlign w:val="center"/>
            <w:hideMark/>
          </w:tcPr>
          <w:p w:rsidR="002A313D" w:rsidRPr="002A313D" w:rsidRDefault="002A313D" w:rsidP="002A313D">
            <w:pPr>
              <w:spacing w:after="0" w:line="240" w:lineRule="auto"/>
              <w:jc w:val="center"/>
              <w:rPr>
                <w:b/>
                <w:bCs/>
                <w:color w:val="000000"/>
                <w:szCs w:val="22"/>
              </w:rPr>
            </w:pPr>
            <w:r w:rsidRPr="002A313D">
              <w:rPr>
                <w:b/>
                <w:bCs/>
                <w:color w:val="000000"/>
                <w:sz w:val="22"/>
                <w:szCs w:val="22"/>
              </w:rPr>
              <w:t>ZŮSTAKOVÁ HODNOTA EVID.</w:t>
            </w:r>
            <w:proofErr w:type="gramStart"/>
            <w:r w:rsidRPr="002A313D">
              <w:rPr>
                <w:b/>
                <w:bCs/>
                <w:color w:val="000000"/>
                <w:sz w:val="22"/>
                <w:szCs w:val="22"/>
              </w:rPr>
              <w:t>MAJETKU        K 31</w:t>
            </w:r>
            <w:proofErr w:type="gramEnd"/>
            <w:r w:rsidRPr="002A313D">
              <w:rPr>
                <w:b/>
                <w:bCs/>
                <w:color w:val="000000"/>
                <w:sz w:val="22"/>
                <w:szCs w:val="22"/>
              </w:rPr>
              <w:t>. 12. 2011</w:t>
            </w:r>
          </w:p>
        </w:tc>
      </w:tr>
      <w:tr w:rsidR="002A313D" w:rsidRPr="002A313D" w:rsidTr="00BD5E0B">
        <w:trPr>
          <w:trHeight w:val="315"/>
          <w:jc w:val="center"/>
        </w:trPr>
        <w:tc>
          <w:tcPr>
            <w:tcW w:w="2140" w:type="dxa"/>
            <w:tcBorders>
              <w:top w:val="nil"/>
              <w:left w:val="single" w:sz="12" w:space="0" w:color="auto"/>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left"/>
              <w:rPr>
                <w:color w:val="000000"/>
                <w:szCs w:val="22"/>
              </w:rPr>
            </w:pPr>
            <w:r w:rsidRPr="002A313D">
              <w:rPr>
                <w:color w:val="000000"/>
                <w:sz w:val="22"/>
                <w:szCs w:val="22"/>
              </w:rPr>
              <w:t>Drobné nástroje</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15 900</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24. 08. 2009</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31. 12. 2011</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15 900</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c>
          <w:tcPr>
            <w:tcW w:w="1268" w:type="dxa"/>
            <w:tcBorders>
              <w:top w:val="nil"/>
              <w:left w:val="nil"/>
              <w:bottom w:val="single" w:sz="4" w:space="0" w:color="auto"/>
              <w:right w:val="single" w:sz="12"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r>
      <w:tr w:rsidR="002A313D" w:rsidRPr="002A313D" w:rsidTr="00BD5E0B">
        <w:trPr>
          <w:trHeight w:val="300"/>
          <w:jc w:val="center"/>
        </w:trPr>
        <w:tc>
          <w:tcPr>
            <w:tcW w:w="2140" w:type="dxa"/>
            <w:tcBorders>
              <w:top w:val="nil"/>
              <w:left w:val="single" w:sz="12" w:space="0" w:color="auto"/>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left"/>
              <w:rPr>
                <w:color w:val="000000"/>
                <w:szCs w:val="22"/>
              </w:rPr>
            </w:pPr>
            <w:r w:rsidRPr="002A313D">
              <w:rPr>
                <w:color w:val="000000"/>
                <w:sz w:val="22"/>
                <w:szCs w:val="22"/>
              </w:rPr>
              <w:t>Kompresor</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9 000</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01. 10. 2009</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0</w:t>
            </w:r>
          </w:p>
        </w:tc>
        <w:tc>
          <w:tcPr>
            <w:tcW w:w="1268" w:type="dxa"/>
            <w:tcBorders>
              <w:top w:val="nil"/>
              <w:left w:val="nil"/>
              <w:bottom w:val="single" w:sz="4" w:space="0" w:color="auto"/>
              <w:right w:val="single" w:sz="12"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9 000</w:t>
            </w:r>
          </w:p>
        </w:tc>
      </w:tr>
      <w:tr w:rsidR="002A313D" w:rsidRPr="002A313D" w:rsidTr="00BD5E0B">
        <w:trPr>
          <w:trHeight w:val="300"/>
          <w:jc w:val="center"/>
        </w:trPr>
        <w:tc>
          <w:tcPr>
            <w:tcW w:w="2140" w:type="dxa"/>
            <w:tcBorders>
              <w:top w:val="nil"/>
              <w:left w:val="single" w:sz="12" w:space="0" w:color="auto"/>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left"/>
              <w:rPr>
                <w:color w:val="000000"/>
                <w:szCs w:val="22"/>
              </w:rPr>
            </w:pPr>
            <w:r w:rsidRPr="002A313D">
              <w:rPr>
                <w:color w:val="000000"/>
                <w:sz w:val="22"/>
                <w:szCs w:val="22"/>
              </w:rPr>
              <w:t>Vybavení kanceláře</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16 400</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23. 10. 2009</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31. 12. 2011</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16 400</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c>
          <w:tcPr>
            <w:tcW w:w="1268" w:type="dxa"/>
            <w:tcBorders>
              <w:top w:val="nil"/>
              <w:left w:val="nil"/>
              <w:bottom w:val="single" w:sz="4" w:space="0" w:color="auto"/>
              <w:right w:val="single" w:sz="12"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r>
      <w:tr w:rsidR="002A313D" w:rsidRPr="002A313D" w:rsidTr="00BD5E0B">
        <w:trPr>
          <w:trHeight w:val="300"/>
          <w:jc w:val="center"/>
        </w:trPr>
        <w:tc>
          <w:tcPr>
            <w:tcW w:w="2140" w:type="dxa"/>
            <w:tcBorders>
              <w:top w:val="nil"/>
              <w:left w:val="single" w:sz="12" w:space="0" w:color="auto"/>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left"/>
              <w:rPr>
                <w:color w:val="000000"/>
                <w:szCs w:val="22"/>
              </w:rPr>
            </w:pPr>
            <w:r w:rsidRPr="002A313D">
              <w:rPr>
                <w:color w:val="000000"/>
                <w:sz w:val="22"/>
                <w:szCs w:val="22"/>
              </w:rPr>
              <w:t>Profilové nůžky</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10 000</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14. 12. 2009</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0</w:t>
            </w:r>
          </w:p>
        </w:tc>
        <w:tc>
          <w:tcPr>
            <w:tcW w:w="1268" w:type="dxa"/>
            <w:tcBorders>
              <w:top w:val="nil"/>
              <w:left w:val="nil"/>
              <w:bottom w:val="single" w:sz="4" w:space="0" w:color="auto"/>
              <w:right w:val="single" w:sz="12"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10 000</w:t>
            </w:r>
          </w:p>
        </w:tc>
      </w:tr>
      <w:tr w:rsidR="002A313D" w:rsidRPr="002A313D" w:rsidTr="00BD5E0B">
        <w:trPr>
          <w:trHeight w:val="600"/>
          <w:jc w:val="center"/>
        </w:trPr>
        <w:tc>
          <w:tcPr>
            <w:tcW w:w="2140" w:type="dxa"/>
            <w:tcBorders>
              <w:top w:val="nil"/>
              <w:left w:val="single" w:sz="12" w:space="0" w:color="auto"/>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left"/>
              <w:rPr>
                <w:color w:val="000000"/>
                <w:szCs w:val="22"/>
              </w:rPr>
            </w:pPr>
            <w:r w:rsidRPr="002A313D">
              <w:rPr>
                <w:color w:val="000000"/>
                <w:sz w:val="22"/>
                <w:szCs w:val="22"/>
              </w:rPr>
              <w:t>Osobní auto FORMAN</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6 000</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31. 12. 2009</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31. 12. 2011</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6 000</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c>
          <w:tcPr>
            <w:tcW w:w="1268" w:type="dxa"/>
            <w:tcBorders>
              <w:top w:val="nil"/>
              <w:left w:val="nil"/>
              <w:bottom w:val="single" w:sz="4" w:space="0" w:color="auto"/>
              <w:right w:val="single" w:sz="12"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r>
      <w:tr w:rsidR="002A313D" w:rsidRPr="002A313D" w:rsidTr="00BD5E0B">
        <w:trPr>
          <w:trHeight w:val="600"/>
          <w:jc w:val="center"/>
        </w:trPr>
        <w:tc>
          <w:tcPr>
            <w:tcW w:w="2140" w:type="dxa"/>
            <w:tcBorders>
              <w:top w:val="nil"/>
              <w:left w:val="single" w:sz="12" w:space="0" w:color="auto"/>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left"/>
              <w:rPr>
                <w:color w:val="000000"/>
                <w:szCs w:val="22"/>
              </w:rPr>
            </w:pPr>
            <w:r w:rsidRPr="002A313D">
              <w:rPr>
                <w:color w:val="000000"/>
                <w:sz w:val="22"/>
                <w:szCs w:val="22"/>
              </w:rPr>
              <w:t>PC sestava + vybavení</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11 829</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31. 03. 2010</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31. 12. 2011</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11 829</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c>
          <w:tcPr>
            <w:tcW w:w="1268" w:type="dxa"/>
            <w:tcBorders>
              <w:top w:val="nil"/>
              <w:left w:val="nil"/>
              <w:bottom w:val="single" w:sz="4" w:space="0" w:color="auto"/>
              <w:right w:val="single" w:sz="12"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r>
      <w:tr w:rsidR="002A313D" w:rsidRPr="002A313D" w:rsidTr="00BD5E0B">
        <w:trPr>
          <w:trHeight w:val="300"/>
          <w:jc w:val="center"/>
        </w:trPr>
        <w:tc>
          <w:tcPr>
            <w:tcW w:w="2140" w:type="dxa"/>
            <w:tcBorders>
              <w:top w:val="nil"/>
              <w:left w:val="single" w:sz="12" w:space="0" w:color="auto"/>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left"/>
              <w:rPr>
                <w:color w:val="000000"/>
                <w:szCs w:val="22"/>
              </w:rPr>
            </w:pPr>
            <w:r w:rsidRPr="002A313D">
              <w:rPr>
                <w:color w:val="000000"/>
                <w:sz w:val="22"/>
                <w:szCs w:val="22"/>
              </w:rPr>
              <w:t>Řezací stroj</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1 000</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25. 08. 2010</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31. 12. 2011</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1 000</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c>
          <w:tcPr>
            <w:tcW w:w="1268" w:type="dxa"/>
            <w:tcBorders>
              <w:top w:val="nil"/>
              <w:left w:val="nil"/>
              <w:bottom w:val="single" w:sz="4" w:space="0" w:color="auto"/>
              <w:right w:val="single" w:sz="12"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r>
      <w:tr w:rsidR="002A313D" w:rsidRPr="002A313D" w:rsidTr="00BD5E0B">
        <w:trPr>
          <w:trHeight w:val="600"/>
          <w:jc w:val="center"/>
        </w:trPr>
        <w:tc>
          <w:tcPr>
            <w:tcW w:w="2140" w:type="dxa"/>
            <w:tcBorders>
              <w:top w:val="nil"/>
              <w:left w:val="single" w:sz="12" w:space="0" w:color="auto"/>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left"/>
              <w:rPr>
                <w:color w:val="000000"/>
                <w:szCs w:val="22"/>
              </w:rPr>
            </w:pPr>
            <w:r w:rsidRPr="002A313D">
              <w:rPr>
                <w:color w:val="000000"/>
                <w:sz w:val="22"/>
                <w:szCs w:val="22"/>
              </w:rPr>
              <w:t>Pálicí stroj + PC sestava</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100 000</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31. 12. 2010</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0</w:t>
            </w:r>
          </w:p>
        </w:tc>
        <w:tc>
          <w:tcPr>
            <w:tcW w:w="1268" w:type="dxa"/>
            <w:tcBorders>
              <w:top w:val="nil"/>
              <w:left w:val="nil"/>
              <w:bottom w:val="single" w:sz="4" w:space="0" w:color="auto"/>
              <w:right w:val="single" w:sz="12"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100 000</w:t>
            </w:r>
          </w:p>
        </w:tc>
      </w:tr>
      <w:tr w:rsidR="002A313D" w:rsidRPr="002A313D" w:rsidTr="00BD5E0B">
        <w:trPr>
          <w:trHeight w:val="300"/>
          <w:jc w:val="center"/>
        </w:trPr>
        <w:tc>
          <w:tcPr>
            <w:tcW w:w="2140" w:type="dxa"/>
            <w:tcBorders>
              <w:top w:val="nil"/>
              <w:left w:val="single" w:sz="12" w:space="0" w:color="auto"/>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left"/>
              <w:rPr>
                <w:color w:val="000000"/>
                <w:szCs w:val="22"/>
              </w:rPr>
            </w:pPr>
            <w:r w:rsidRPr="002A313D">
              <w:rPr>
                <w:color w:val="000000"/>
                <w:sz w:val="22"/>
                <w:szCs w:val="22"/>
              </w:rPr>
              <w:t>Traktor ZETOR</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32 500</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01. 01. 2011</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32 500</w:t>
            </w:r>
          </w:p>
        </w:tc>
        <w:tc>
          <w:tcPr>
            <w:tcW w:w="1268" w:type="dxa"/>
            <w:tcBorders>
              <w:top w:val="nil"/>
              <w:left w:val="nil"/>
              <w:bottom w:val="single" w:sz="4" w:space="0" w:color="auto"/>
              <w:right w:val="single" w:sz="12"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0</w:t>
            </w:r>
          </w:p>
        </w:tc>
      </w:tr>
      <w:tr w:rsidR="002A313D" w:rsidRPr="002A313D" w:rsidTr="00BD5E0B">
        <w:trPr>
          <w:trHeight w:val="300"/>
          <w:jc w:val="center"/>
        </w:trPr>
        <w:tc>
          <w:tcPr>
            <w:tcW w:w="2140" w:type="dxa"/>
            <w:tcBorders>
              <w:top w:val="nil"/>
              <w:left w:val="single" w:sz="12" w:space="0" w:color="auto"/>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left"/>
              <w:rPr>
                <w:color w:val="000000"/>
                <w:szCs w:val="22"/>
              </w:rPr>
            </w:pPr>
            <w:r w:rsidRPr="002A313D">
              <w:rPr>
                <w:color w:val="000000"/>
                <w:sz w:val="22"/>
                <w:szCs w:val="22"/>
              </w:rPr>
              <w:t>Tlaková nádoba</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12 000</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01. 01. 2011</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12 000</w:t>
            </w:r>
          </w:p>
        </w:tc>
        <w:tc>
          <w:tcPr>
            <w:tcW w:w="1268" w:type="dxa"/>
            <w:tcBorders>
              <w:top w:val="nil"/>
              <w:left w:val="nil"/>
              <w:bottom w:val="single" w:sz="4" w:space="0" w:color="auto"/>
              <w:right w:val="single" w:sz="12"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0</w:t>
            </w:r>
          </w:p>
        </w:tc>
      </w:tr>
      <w:tr w:rsidR="002A313D" w:rsidRPr="002A313D" w:rsidTr="00BD5E0B">
        <w:trPr>
          <w:trHeight w:val="300"/>
          <w:jc w:val="center"/>
        </w:trPr>
        <w:tc>
          <w:tcPr>
            <w:tcW w:w="2140" w:type="dxa"/>
            <w:tcBorders>
              <w:top w:val="nil"/>
              <w:left w:val="single" w:sz="12" w:space="0" w:color="auto"/>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left"/>
              <w:rPr>
                <w:color w:val="000000"/>
                <w:szCs w:val="22"/>
              </w:rPr>
            </w:pPr>
            <w:r w:rsidRPr="002A313D">
              <w:rPr>
                <w:color w:val="000000"/>
                <w:sz w:val="22"/>
                <w:szCs w:val="22"/>
              </w:rPr>
              <w:t>Drobné nástroje</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4 911</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31. 12. 2011</w:t>
            </w:r>
          </w:p>
        </w:tc>
        <w:tc>
          <w:tcPr>
            <w:tcW w:w="140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31. 12. 2011</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4 911</w:t>
            </w:r>
          </w:p>
        </w:tc>
        <w:tc>
          <w:tcPr>
            <w:tcW w:w="880" w:type="dxa"/>
            <w:tcBorders>
              <w:top w:val="nil"/>
              <w:left w:val="nil"/>
              <w:bottom w:val="single" w:sz="4"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c>
          <w:tcPr>
            <w:tcW w:w="1268" w:type="dxa"/>
            <w:tcBorders>
              <w:top w:val="nil"/>
              <w:left w:val="nil"/>
              <w:bottom w:val="single" w:sz="4" w:space="0" w:color="auto"/>
              <w:right w:val="single" w:sz="12"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r>
      <w:tr w:rsidR="002A313D" w:rsidRPr="002A313D" w:rsidTr="00BD5E0B">
        <w:trPr>
          <w:trHeight w:val="405"/>
          <w:jc w:val="center"/>
        </w:trPr>
        <w:tc>
          <w:tcPr>
            <w:tcW w:w="2140" w:type="dxa"/>
            <w:tcBorders>
              <w:top w:val="nil"/>
              <w:left w:val="single" w:sz="12" w:space="0" w:color="auto"/>
              <w:bottom w:val="single" w:sz="12" w:space="0" w:color="auto"/>
              <w:right w:val="single" w:sz="4" w:space="0" w:color="auto"/>
            </w:tcBorders>
            <w:shd w:val="clear" w:color="auto" w:fill="auto"/>
            <w:vAlign w:val="center"/>
            <w:hideMark/>
          </w:tcPr>
          <w:p w:rsidR="002A313D" w:rsidRPr="002A313D" w:rsidRDefault="002A313D" w:rsidP="002A313D">
            <w:pPr>
              <w:spacing w:after="0" w:line="240" w:lineRule="auto"/>
              <w:jc w:val="left"/>
              <w:rPr>
                <w:color w:val="000000"/>
                <w:szCs w:val="22"/>
              </w:rPr>
            </w:pPr>
            <w:r w:rsidRPr="002A313D">
              <w:rPr>
                <w:color w:val="000000"/>
                <w:sz w:val="22"/>
                <w:szCs w:val="22"/>
              </w:rPr>
              <w:t>CELKEM</w:t>
            </w:r>
          </w:p>
        </w:tc>
        <w:tc>
          <w:tcPr>
            <w:tcW w:w="880" w:type="dxa"/>
            <w:tcBorders>
              <w:top w:val="nil"/>
              <w:left w:val="nil"/>
              <w:bottom w:val="single" w:sz="12"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219 540</w:t>
            </w:r>
          </w:p>
        </w:tc>
        <w:tc>
          <w:tcPr>
            <w:tcW w:w="1400" w:type="dxa"/>
            <w:tcBorders>
              <w:top w:val="nil"/>
              <w:left w:val="nil"/>
              <w:bottom w:val="single" w:sz="12"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c>
          <w:tcPr>
            <w:tcW w:w="1400" w:type="dxa"/>
            <w:tcBorders>
              <w:top w:val="nil"/>
              <w:left w:val="nil"/>
              <w:bottom w:val="single" w:sz="12" w:space="0" w:color="auto"/>
              <w:right w:val="single" w:sz="4" w:space="0" w:color="auto"/>
            </w:tcBorders>
            <w:shd w:val="clear" w:color="auto" w:fill="auto"/>
            <w:vAlign w:val="center"/>
            <w:hideMark/>
          </w:tcPr>
          <w:p w:rsidR="002A313D" w:rsidRPr="002A313D" w:rsidRDefault="002A313D" w:rsidP="002A313D">
            <w:pPr>
              <w:spacing w:after="0" w:line="240" w:lineRule="auto"/>
              <w:jc w:val="center"/>
              <w:rPr>
                <w:color w:val="000000"/>
                <w:szCs w:val="22"/>
              </w:rPr>
            </w:pPr>
            <w:r w:rsidRPr="002A313D">
              <w:rPr>
                <w:color w:val="000000"/>
                <w:sz w:val="22"/>
                <w:szCs w:val="22"/>
              </w:rPr>
              <w:t>x</w:t>
            </w:r>
          </w:p>
        </w:tc>
        <w:tc>
          <w:tcPr>
            <w:tcW w:w="880" w:type="dxa"/>
            <w:tcBorders>
              <w:top w:val="nil"/>
              <w:left w:val="nil"/>
              <w:bottom w:val="single" w:sz="12"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56 040</w:t>
            </w:r>
          </w:p>
        </w:tc>
        <w:tc>
          <w:tcPr>
            <w:tcW w:w="880" w:type="dxa"/>
            <w:tcBorders>
              <w:top w:val="nil"/>
              <w:left w:val="nil"/>
              <w:bottom w:val="single" w:sz="12" w:space="0" w:color="auto"/>
              <w:right w:val="single" w:sz="4"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44 500</w:t>
            </w:r>
          </w:p>
        </w:tc>
        <w:tc>
          <w:tcPr>
            <w:tcW w:w="1268" w:type="dxa"/>
            <w:tcBorders>
              <w:top w:val="nil"/>
              <w:left w:val="nil"/>
              <w:bottom w:val="single" w:sz="12" w:space="0" w:color="auto"/>
              <w:right w:val="single" w:sz="12" w:space="0" w:color="auto"/>
            </w:tcBorders>
            <w:shd w:val="clear" w:color="auto" w:fill="auto"/>
            <w:vAlign w:val="center"/>
            <w:hideMark/>
          </w:tcPr>
          <w:p w:rsidR="002A313D" w:rsidRPr="002A313D" w:rsidRDefault="002A313D" w:rsidP="002A313D">
            <w:pPr>
              <w:spacing w:after="0" w:line="240" w:lineRule="auto"/>
              <w:jc w:val="right"/>
              <w:rPr>
                <w:color w:val="000000"/>
                <w:szCs w:val="22"/>
              </w:rPr>
            </w:pPr>
            <w:r w:rsidRPr="002A313D">
              <w:rPr>
                <w:color w:val="000000"/>
                <w:sz w:val="22"/>
                <w:szCs w:val="22"/>
              </w:rPr>
              <w:t>119 000</w:t>
            </w:r>
          </w:p>
        </w:tc>
      </w:tr>
    </w:tbl>
    <w:p w:rsidR="002A313D" w:rsidRPr="002A313D" w:rsidRDefault="002A313D" w:rsidP="001A42A2">
      <w:pPr>
        <w:rPr>
          <w:i/>
        </w:rPr>
      </w:pPr>
      <w:r w:rsidRPr="002A313D">
        <w:rPr>
          <w:i/>
        </w:rPr>
        <w:t>Zdroj: KOVOVÝROBA s. r. o</w:t>
      </w:r>
    </w:p>
    <w:p w:rsidR="005D7D14" w:rsidRDefault="006135D0" w:rsidP="00255FC3">
      <w:pPr>
        <w:pStyle w:val="Odstavecnormln"/>
      </w:pPr>
      <w:r>
        <w:t xml:space="preserve">Z tabulky je patrné, že společnosti k 31. 12. 2011 </w:t>
      </w:r>
      <w:r w:rsidR="005E04CF">
        <w:t>eviduje v položkách dlouhodobého majetku</w:t>
      </w:r>
      <w:r>
        <w:t xml:space="preserve"> </w:t>
      </w:r>
      <w:r w:rsidR="00397E8D">
        <w:t xml:space="preserve">kompresor v účetní hodnotě 9.000 Kč, profilové nůžky v hodnotě 10.000 Kč </w:t>
      </w:r>
      <w:r w:rsidR="002E0B1C">
        <w:br/>
      </w:r>
      <w:r w:rsidR="00397E8D">
        <w:t>a pálicí stroj s PC vybavením v hodnotě 100.000 Kč.</w:t>
      </w:r>
    </w:p>
    <w:p w:rsidR="00DA3B74" w:rsidRDefault="00A42F6E" w:rsidP="00255FC3">
      <w:pPr>
        <w:pStyle w:val="Odstavecnormln"/>
      </w:pPr>
      <w:r>
        <w:lastRenderedPageBreak/>
        <w:t>Vedle hmotného majetku společnost eviduje oběžná aktiva. Níže je uveden jeho přehled.</w:t>
      </w:r>
      <w:r w:rsidR="00C17129">
        <w:t xml:space="preserve"> Označení a číslo řádku odpovídá členění položek aktiv uvedených ve</w:t>
      </w:r>
      <w:r w:rsidR="00C74E75">
        <w:t xml:space="preserve"> výkazu rozvahy (viz</w:t>
      </w:r>
      <w:r w:rsidR="00A60412">
        <w:t xml:space="preserve"> příloha 1</w:t>
      </w:r>
      <w:r w:rsidR="0029506C">
        <w:t xml:space="preserve"> </w:t>
      </w:r>
      <w:r w:rsidR="00C74E75">
        <w:t xml:space="preserve">na str. </w:t>
      </w:r>
      <w:r w:rsidR="00C74E75">
        <w:fldChar w:fldCharType="begin"/>
      </w:r>
      <w:r w:rsidR="00C74E75">
        <w:instrText xml:space="preserve"> PAGEREF _Ref348554803 \h </w:instrText>
      </w:r>
      <w:r w:rsidR="00C74E75">
        <w:fldChar w:fldCharType="separate"/>
      </w:r>
      <w:r w:rsidR="002534BA">
        <w:rPr>
          <w:noProof/>
        </w:rPr>
        <w:t>54</w:t>
      </w:r>
      <w:r w:rsidR="00C74E75">
        <w:fldChar w:fldCharType="end"/>
      </w:r>
      <w:r w:rsidR="00C17129">
        <w:t>).</w:t>
      </w:r>
    </w:p>
    <w:p w:rsidR="00583863" w:rsidRPr="00583863" w:rsidRDefault="00583863" w:rsidP="00897452">
      <w:pPr>
        <w:pStyle w:val="Titulek"/>
      </w:pPr>
      <w:bookmarkStart w:id="82" w:name="_Ref350449575"/>
      <w:bookmarkStart w:id="83" w:name="_Ref348551689"/>
      <w:bookmarkStart w:id="84" w:name="_Toc353125942"/>
      <w:r w:rsidRPr="00583863">
        <w:t xml:space="preserve">Tabulka </w:t>
      </w:r>
      <w:r w:rsidR="00C96C2B">
        <w:fldChar w:fldCharType="begin"/>
      </w:r>
      <w:r w:rsidR="00C96C2B">
        <w:instrText xml:space="preserve"> SEQ Tabulka \* ARABIC </w:instrText>
      </w:r>
      <w:r w:rsidR="00C96C2B">
        <w:fldChar w:fldCharType="separate"/>
      </w:r>
      <w:r w:rsidR="002534BA">
        <w:rPr>
          <w:noProof/>
        </w:rPr>
        <w:t>3</w:t>
      </w:r>
      <w:r w:rsidR="00C96C2B">
        <w:rPr>
          <w:noProof/>
        </w:rPr>
        <w:fldChar w:fldCharType="end"/>
      </w:r>
      <w:bookmarkEnd w:id="82"/>
      <w:r w:rsidRPr="00583863">
        <w:t xml:space="preserve"> Oběžná aktiva</w:t>
      </w:r>
      <w:bookmarkEnd w:id="83"/>
      <w:r w:rsidR="007E4FA9">
        <w:t xml:space="preserve"> - KOVOVÝROBA s. r. o.</w:t>
      </w:r>
      <w:bookmarkEnd w:id="84"/>
    </w:p>
    <w:p w:rsidR="0062439D" w:rsidRDefault="0062439D" w:rsidP="00671C37">
      <w:pPr>
        <w:pStyle w:val="dajenadtabulkouazdroj"/>
      </w:pPr>
      <w:r>
        <w:t>Údaje jsou uvedeny v celých Kč</w:t>
      </w:r>
    </w:p>
    <w:tbl>
      <w:tblPr>
        <w:tblW w:w="8900" w:type="dxa"/>
        <w:tblInd w:w="55" w:type="dxa"/>
        <w:tblCellMar>
          <w:left w:w="70" w:type="dxa"/>
          <w:right w:w="70" w:type="dxa"/>
        </w:tblCellMar>
        <w:tblLook w:val="04A0" w:firstRow="1" w:lastRow="0" w:firstColumn="1" w:lastColumn="0" w:noHBand="0" w:noVBand="1"/>
      </w:tblPr>
      <w:tblGrid>
        <w:gridCol w:w="920"/>
        <w:gridCol w:w="4200"/>
        <w:gridCol w:w="600"/>
        <w:gridCol w:w="1060"/>
        <w:gridCol w:w="1060"/>
        <w:gridCol w:w="1060"/>
      </w:tblGrid>
      <w:tr w:rsidR="003470A2" w:rsidRPr="003470A2" w:rsidTr="00E51D06">
        <w:trPr>
          <w:cantSplit/>
          <w:trHeight w:val="495"/>
          <w:tblHeader/>
        </w:trPr>
        <w:tc>
          <w:tcPr>
            <w:tcW w:w="920" w:type="dxa"/>
            <w:vMerge w:val="restart"/>
            <w:tcBorders>
              <w:top w:val="single" w:sz="12" w:space="0" w:color="auto"/>
              <w:left w:val="single" w:sz="12" w:space="0" w:color="auto"/>
              <w:bottom w:val="double" w:sz="6" w:space="0" w:color="000000"/>
              <w:right w:val="single" w:sz="4" w:space="0" w:color="auto"/>
            </w:tcBorders>
            <w:shd w:val="clear" w:color="auto" w:fill="E5DFEC" w:themeFill="accent4" w:themeFillTint="33"/>
            <w:vAlign w:val="center"/>
            <w:hideMark/>
          </w:tcPr>
          <w:p w:rsidR="003470A2" w:rsidRPr="003470A2" w:rsidRDefault="003470A2" w:rsidP="003470A2">
            <w:pPr>
              <w:spacing w:after="0" w:line="240" w:lineRule="auto"/>
              <w:jc w:val="center"/>
              <w:rPr>
                <w:b/>
                <w:bCs/>
                <w:color w:val="000000"/>
                <w:szCs w:val="22"/>
              </w:rPr>
            </w:pPr>
            <w:r w:rsidRPr="003470A2">
              <w:rPr>
                <w:b/>
                <w:bCs/>
                <w:color w:val="000000"/>
                <w:sz w:val="22"/>
                <w:szCs w:val="22"/>
              </w:rPr>
              <w:t>OZN.</w:t>
            </w:r>
          </w:p>
        </w:tc>
        <w:tc>
          <w:tcPr>
            <w:tcW w:w="4200" w:type="dxa"/>
            <w:vMerge w:val="restart"/>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3470A2" w:rsidRPr="003470A2" w:rsidRDefault="003470A2" w:rsidP="003470A2">
            <w:pPr>
              <w:spacing w:after="0" w:line="240" w:lineRule="auto"/>
              <w:jc w:val="center"/>
              <w:rPr>
                <w:b/>
                <w:bCs/>
                <w:color w:val="000000"/>
                <w:szCs w:val="22"/>
              </w:rPr>
            </w:pPr>
            <w:r w:rsidRPr="003470A2">
              <w:rPr>
                <w:b/>
                <w:bCs/>
                <w:color w:val="000000"/>
                <w:sz w:val="22"/>
                <w:szCs w:val="22"/>
              </w:rPr>
              <w:t>TEXT</w:t>
            </w:r>
          </w:p>
        </w:tc>
        <w:tc>
          <w:tcPr>
            <w:tcW w:w="600" w:type="dxa"/>
            <w:vMerge w:val="restart"/>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3470A2" w:rsidRPr="003470A2" w:rsidRDefault="003470A2" w:rsidP="003470A2">
            <w:pPr>
              <w:spacing w:after="0" w:line="240" w:lineRule="auto"/>
              <w:jc w:val="center"/>
              <w:rPr>
                <w:b/>
                <w:bCs/>
                <w:color w:val="000000"/>
                <w:szCs w:val="22"/>
              </w:rPr>
            </w:pPr>
            <w:proofErr w:type="gramStart"/>
            <w:r w:rsidRPr="003470A2">
              <w:rPr>
                <w:b/>
                <w:bCs/>
                <w:color w:val="000000"/>
                <w:sz w:val="22"/>
                <w:szCs w:val="22"/>
              </w:rPr>
              <w:t>Č.Ř.</w:t>
            </w:r>
            <w:proofErr w:type="gramEnd"/>
          </w:p>
        </w:tc>
        <w:tc>
          <w:tcPr>
            <w:tcW w:w="1060" w:type="dxa"/>
            <w:tcBorders>
              <w:top w:val="single" w:sz="12" w:space="0" w:color="auto"/>
              <w:left w:val="nil"/>
              <w:bottom w:val="single" w:sz="4" w:space="0" w:color="auto"/>
              <w:right w:val="single" w:sz="4" w:space="0" w:color="auto"/>
            </w:tcBorders>
            <w:shd w:val="clear" w:color="auto" w:fill="E5DFEC" w:themeFill="accent4" w:themeFillTint="33"/>
            <w:vAlign w:val="center"/>
            <w:hideMark/>
          </w:tcPr>
          <w:p w:rsidR="003470A2" w:rsidRPr="003470A2" w:rsidRDefault="003470A2" w:rsidP="003470A2">
            <w:pPr>
              <w:spacing w:after="0" w:line="240" w:lineRule="auto"/>
              <w:jc w:val="center"/>
              <w:rPr>
                <w:b/>
                <w:bCs/>
                <w:color w:val="000000"/>
                <w:szCs w:val="22"/>
              </w:rPr>
            </w:pPr>
            <w:r w:rsidRPr="003470A2">
              <w:rPr>
                <w:b/>
                <w:bCs/>
                <w:color w:val="000000"/>
                <w:sz w:val="22"/>
                <w:szCs w:val="22"/>
              </w:rPr>
              <w:t>2009</w:t>
            </w:r>
          </w:p>
        </w:tc>
        <w:tc>
          <w:tcPr>
            <w:tcW w:w="1060" w:type="dxa"/>
            <w:tcBorders>
              <w:top w:val="single" w:sz="12" w:space="0" w:color="auto"/>
              <w:left w:val="nil"/>
              <w:bottom w:val="single" w:sz="4" w:space="0" w:color="auto"/>
              <w:right w:val="single" w:sz="4" w:space="0" w:color="auto"/>
            </w:tcBorders>
            <w:shd w:val="clear" w:color="auto" w:fill="E5DFEC" w:themeFill="accent4" w:themeFillTint="33"/>
            <w:vAlign w:val="center"/>
            <w:hideMark/>
          </w:tcPr>
          <w:p w:rsidR="003470A2" w:rsidRPr="003470A2" w:rsidRDefault="003470A2" w:rsidP="003470A2">
            <w:pPr>
              <w:spacing w:after="0" w:line="240" w:lineRule="auto"/>
              <w:jc w:val="center"/>
              <w:rPr>
                <w:b/>
                <w:bCs/>
                <w:color w:val="000000"/>
                <w:szCs w:val="22"/>
              </w:rPr>
            </w:pPr>
            <w:r w:rsidRPr="003470A2">
              <w:rPr>
                <w:b/>
                <w:bCs/>
                <w:color w:val="000000"/>
                <w:sz w:val="22"/>
                <w:szCs w:val="22"/>
              </w:rPr>
              <w:t>2010</w:t>
            </w:r>
          </w:p>
        </w:tc>
        <w:tc>
          <w:tcPr>
            <w:tcW w:w="1060" w:type="dxa"/>
            <w:tcBorders>
              <w:top w:val="single" w:sz="12" w:space="0" w:color="auto"/>
              <w:left w:val="nil"/>
              <w:bottom w:val="single" w:sz="4" w:space="0" w:color="auto"/>
              <w:right w:val="single" w:sz="12" w:space="0" w:color="auto"/>
            </w:tcBorders>
            <w:shd w:val="clear" w:color="auto" w:fill="E5DFEC" w:themeFill="accent4" w:themeFillTint="33"/>
            <w:vAlign w:val="center"/>
            <w:hideMark/>
          </w:tcPr>
          <w:p w:rsidR="003470A2" w:rsidRPr="003470A2" w:rsidRDefault="003470A2" w:rsidP="003470A2">
            <w:pPr>
              <w:spacing w:after="0" w:line="240" w:lineRule="auto"/>
              <w:jc w:val="center"/>
              <w:rPr>
                <w:b/>
                <w:bCs/>
                <w:color w:val="000000"/>
                <w:szCs w:val="22"/>
              </w:rPr>
            </w:pPr>
            <w:r w:rsidRPr="003470A2">
              <w:rPr>
                <w:b/>
                <w:bCs/>
                <w:color w:val="000000"/>
                <w:sz w:val="22"/>
                <w:szCs w:val="22"/>
              </w:rPr>
              <w:t>2011</w:t>
            </w:r>
          </w:p>
        </w:tc>
      </w:tr>
      <w:tr w:rsidR="003470A2" w:rsidRPr="003470A2" w:rsidTr="00E51D06">
        <w:trPr>
          <w:cantSplit/>
          <w:trHeight w:val="495"/>
          <w:tblHeader/>
        </w:trPr>
        <w:tc>
          <w:tcPr>
            <w:tcW w:w="920" w:type="dxa"/>
            <w:vMerge/>
            <w:tcBorders>
              <w:top w:val="single" w:sz="12" w:space="0" w:color="auto"/>
              <w:left w:val="single" w:sz="12" w:space="0" w:color="auto"/>
              <w:bottom w:val="double" w:sz="6" w:space="0" w:color="000000"/>
              <w:right w:val="single" w:sz="4" w:space="0" w:color="auto"/>
            </w:tcBorders>
            <w:shd w:val="clear" w:color="auto" w:fill="E5DFEC" w:themeFill="accent4" w:themeFillTint="33"/>
            <w:vAlign w:val="center"/>
            <w:hideMark/>
          </w:tcPr>
          <w:p w:rsidR="003470A2" w:rsidRPr="003470A2" w:rsidRDefault="003470A2" w:rsidP="003470A2">
            <w:pPr>
              <w:spacing w:after="0" w:line="240" w:lineRule="auto"/>
              <w:jc w:val="left"/>
              <w:rPr>
                <w:b/>
                <w:bCs/>
                <w:color w:val="000000"/>
                <w:szCs w:val="22"/>
              </w:rPr>
            </w:pPr>
          </w:p>
        </w:tc>
        <w:tc>
          <w:tcPr>
            <w:tcW w:w="4200" w:type="dxa"/>
            <w:vMerge/>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3470A2" w:rsidRPr="003470A2" w:rsidRDefault="003470A2" w:rsidP="003470A2">
            <w:pPr>
              <w:spacing w:after="0" w:line="240" w:lineRule="auto"/>
              <w:jc w:val="left"/>
              <w:rPr>
                <w:b/>
                <w:bCs/>
                <w:color w:val="000000"/>
                <w:szCs w:val="22"/>
              </w:rPr>
            </w:pPr>
          </w:p>
        </w:tc>
        <w:tc>
          <w:tcPr>
            <w:tcW w:w="600" w:type="dxa"/>
            <w:vMerge/>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3470A2" w:rsidRPr="003470A2" w:rsidRDefault="003470A2" w:rsidP="003470A2">
            <w:pPr>
              <w:spacing w:after="0" w:line="240" w:lineRule="auto"/>
              <w:jc w:val="left"/>
              <w:rPr>
                <w:b/>
                <w:bCs/>
                <w:color w:val="000000"/>
                <w:szCs w:val="22"/>
              </w:rPr>
            </w:pPr>
          </w:p>
        </w:tc>
        <w:tc>
          <w:tcPr>
            <w:tcW w:w="1060" w:type="dxa"/>
            <w:tcBorders>
              <w:top w:val="nil"/>
              <w:left w:val="nil"/>
              <w:bottom w:val="double" w:sz="6" w:space="0" w:color="auto"/>
              <w:right w:val="single" w:sz="4" w:space="0" w:color="auto"/>
            </w:tcBorders>
            <w:shd w:val="clear" w:color="auto" w:fill="E5DFEC" w:themeFill="accent4" w:themeFillTint="33"/>
            <w:vAlign w:val="center"/>
            <w:hideMark/>
          </w:tcPr>
          <w:p w:rsidR="003470A2" w:rsidRPr="003470A2" w:rsidRDefault="0042739B" w:rsidP="003470A2">
            <w:pPr>
              <w:spacing w:after="0" w:line="240" w:lineRule="auto"/>
              <w:jc w:val="center"/>
              <w:rPr>
                <w:b/>
                <w:bCs/>
                <w:color w:val="000000"/>
                <w:szCs w:val="22"/>
              </w:rPr>
            </w:pPr>
            <w:r>
              <w:rPr>
                <w:b/>
                <w:bCs/>
                <w:color w:val="000000"/>
                <w:sz w:val="22"/>
                <w:szCs w:val="22"/>
              </w:rPr>
              <w:t>NETTO</w:t>
            </w:r>
          </w:p>
        </w:tc>
        <w:tc>
          <w:tcPr>
            <w:tcW w:w="1060" w:type="dxa"/>
            <w:tcBorders>
              <w:top w:val="nil"/>
              <w:left w:val="nil"/>
              <w:bottom w:val="double" w:sz="6" w:space="0" w:color="auto"/>
              <w:right w:val="single" w:sz="4" w:space="0" w:color="auto"/>
            </w:tcBorders>
            <w:shd w:val="clear" w:color="auto" w:fill="E5DFEC" w:themeFill="accent4" w:themeFillTint="33"/>
            <w:vAlign w:val="center"/>
            <w:hideMark/>
          </w:tcPr>
          <w:p w:rsidR="003470A2" w:rsidRPr="003470A2" w:rsidRDefault="0042739B" w:rsidP="003470A2">
            <w:pPr>
              <w:spacing w:after="0" w:line="240" w:lineRule="auto"/>
              <w:jc w:val="center"/>
              <w:rPr>
                <w:b/>
                <w:bCs/>
                <w:color w:val="000000"/>
                <w:szCs w:val="22"/>
              </w:rPr>
            </w:pPr>
            <w:r>
              <w:rPr>
                <w:b/>
                <w:bCs/>
                <w:color w:val="000000"/>
                <w:sz w:val="22"/>
                <w:szCs w:val="22"/>
              </w:rPr>
              <w:t>NETTO</w:t>
            </w:r>
          </w:p>
        </w:tc>
        <w:tc>
          <w:tcPr>
            <w:tcW w:w="1060" w:type="dxa"/>
            <w:tcBorders>
              <w:top w:val="nil"/>
              <w:left w:val="nil"/>
              <w:bottom w:val="double" w:sz="6" w:space="0" w:color="auto"/>
              <w:right w:val="single" w:sz="12" w:space="0" w:color="auto"/>
            </w:tcBorders>
            <w:shd w:val="clear" w:color="auto" w:fill="E5DFEC" w:themeFill="accent4" w:themeFillTint="33"/>
            <w:vAlign w:val="center"/>
            <w:hideMark/>
          </w:tcPr>
          <w:p w:rsidR="003470A2" w:rsidRPr="003470A2" w:rsidRDefault="0042739B" w:rsidP="003470A2">
            <w:pPr>
              <w:spacing w:after="0" w:line="240" w:lineRule="auto"/>
              <w:jc w:val="center"/>
              <w:rPr>
                <w:b/>
                <w:bCs/>
                <w:color w:val="000000"/>
                <w:szCs w:val="22"/>
              </w:rPr>
            </w:pPr>
            <w:r>
              <w:rPr>
                <w:b/>
                <w:bCs/>
                <w:color w:val="000000"/>
                <w:sz w:val="22"/>
                <w:szCs w:val="22"/>
              </w:rPr>
              <w:t>NETTO</w:t>
            </w:r>
          </w:p>
        </w:tc>
      </w:tr>
      <w:tr w:rsidR="003470A2" w:rsidRPr="003470A2" w:rsidTr="004573D6">
        <w:trPr>
          <w:trHeight w:val="585"/>
        </w:trPr>
        <w:tc>
          <w:tcPr>
            <w:tcW w:w="92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b/>
                <w:bCs/>
                <w:color w:val="000000"/>
                <w:szCs w:val="22"/>
              </w:rPr>
            </w:pPr>
            <w:r w:rsidRPr="003470A2">
              <w:rPr>
                <w:b/>
                <w:bCs/>
                <w:color w:val="000000"/>
                <w:sz w:val="22"/>
                <w:szCs w:val="22"/>
              </w:rPr>
              <w:t>C.</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b/>
                <w:bCs/>
                <w:color w:val="000000"/>
                <w:szCs w:val="22"/>
              </w:rPr>
            </w:pPr>
            <w:r w:rsidRPr="003470A2">
              <w:rPr>
                <w:b/>
                <w:bCs/>
                <w:color w:val="000000"/>
                <w:sz w:val="22"/>
                <w:szCs w:val="22"/>
              </w:rPr>
              <w:t>Oběžná aktiva (ř. 032 + ř. 039 + ř. 048 + ř. 058)</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center"/>
              <w:rPr>
                <w:b/>
                <w:bCs/>
                <w:color w:val="000000"/>
                <w:szCs w:val="22"/>
              </w:rPr>
            </w:pPr>
            <w:r w:rsidRPr="003470A2">
              <w:rPr>
                <w:b/>
                <w:bCs/>
                <w:color w:val="000000"/>
                <w:sz w:val="22"/>
                <w:szCs w:val="22"/>
              </w:rPr>
              <w:t>031</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right"/>
              <w:rPr>
                <w:b/>
                <w:bCs/>
                <w:color w:val="000000"/>
                <w:szCs w:val="22"/>
              </w:rPr>
            </w:pPr>
            <w:r w:rsidRPr="003470A2">
              <w:rPr>
                <w:b/>
                <w:bCs/>
                <w:color w:val="000000"/>
                <w:sz w:val="22"/>
                <w:szCs w:val="22"/>
              </w:rPr>
              <w:t>241 512</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right"/>
              <w:rPr>
                <w:b/>
                <w:bCs/>
                <w:color w:val="000000"/>
                <w:szCs w:val="22"/>
              </w:rPr>
            </w:pPr>
            <w:r w:rsidRPr="003470A2">
              <w:rPr>
                <w:b/>
                <w:bCs/>
                <w:color w:val="000000"/>
                <w:sz w:val="22"/>
                <w:szCs w:val="22"/>
              </w:rPr>
              <w:t>1 403 268</w:t>
            </w:r>
          </w:p>
        </w:tc>
        <w:tc>
          <w:tcPr>
            <w:tcW w:w="1060" w:type="dxa"/>
            <w:tcBorders>
              <w:top w:val="single" w:sz="4" w:space="0" w:color="auto"/>
              <w:left w:val="nil"/>
              <w:bottom w:val="single" w:sz="4" w:space="0" w:color="auto"/>
              <w:right w:val="single" w:sz="12" w:space="0" w:color="auto"/>
            </w:tcBorders>
            <w:shd w:val="clear" w:color="auto" w:fill="auto"/>
            <w:vAlign w:val="center"/>
            <w:hideMark/>
          </w:tcPr>
          <w:p w:rsidR="003470A2" w:rsidRPr="003470A2" w:rsidRDefault="003470A2" w:rsidP="003470A2">
            <w:pPr>
              <w:spacing w:after="0" w:line="240" w:lineRule="auto"/>
              <w:jc w:val="right"/>
              <w:rPr>
                <w:b/>
                <w:bCs/>
                <w:color w:val="000000"/>
                <w:szCs w:val="22"/>
              </w:rPr>
            </w:pPr>
            <w:r w:rsidRPr="003470A2">
              <w:rPr>
                <w:b/>
                <w:bCs/>
                <w:color w:val="000000"/>
                <w:sz w:val="22"/>
                <w:szCs w:val="22"/>
              </w:rPr>
              <w:t>998 530</w:t>
            </w:r>
          </w:p>
        </w:tc>
      </w:tr>
      <w:tr w:rsidR="003470A2" w:rsidRPr="003470A2" w:rsidTr="004573D6">
        <w:trPr>
          <w:trHeight w:val="342"/>
        </w:trPr>
        <w:tc>
          <w:tcPr>
            <w:tcW w:w="920" w:type="dxa"/>
            <w:tcBorders>
              <w:top w:val="nil"/>
              <w:left w:val="single" w:sz="12" w:space="0" w:color="auto"/>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proofErr w:type="gramStart"/>
            <w:r w:rsidRPr="003470A2">
              <w:rPr>
                <w:color w:val="000000"/>
                <w:sz w:val="22"/>
                <w:szCs w:val="22"/>
              </w:rPr>
              <w:t>C.  I.</w:t>
            </w:r>
            <w:proofErr w:type="gramEnd"/>
          </w:p>
        </w:tc>
        <w:tc>
          <w:tcPr>
            <w:tcW w:w="420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r w:rsidRPr="003470A2">
              <w:rPr>
                <w:color w:val="000000"/>
                <w:sz w:val="22"/>
                <w:szCs w:val="22"/>
              </w:rPr>
              <w:t>Zásoby (ř. 33 + ř. 34)</w:t>
            </w:r>
          </w:p>
        </w:tc>
        <w:tc>
          <w:tcPr>
            <w:tcW w:w="60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032</w:t>
            </w:r>
          </w:p>
        </w:tc>
        <w:tc>
          <w:tcPr>
            <w:tcW w:w="106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x</w:t>
            </w:r>
          </w:p>
        </w:tc>
        <w:tc>
          <w:tcPr>
            <w:tcW w:w="106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right"/>
              <w:rPr>
                <w:color w:val="000000"/>
                <w:szCs w:val="22"/>
              </w:rPr>
            </w:pPr>
            <w:r w:rsidRPr="003470A2">
              <w:rPr>
                <w:color w:val="000000"/>
                <w:sz w:val="22"/>
                <w:szCs w:val="22"/>
              </w:rPr>
              <w:t>625 600</w:t>
            </w:r>
          </w:p>
        </w:tc>
        <w:tc>
          <w:tcPr>
            <w:tcW w:w="1060" w:type="dxa"/>
            <w:tcBorders>
              <w:top w:val="nil"/>
              <w:left w:val="nil"/>
              <w:bottom w:val="single" w:sz="4" w:space="0" w:color="auto"/>
              <w:right w:val="single" w:sz="12" w:space="0" w:color="auto"/>
            </w:tcBorders>
            <w:shd w:val="clear" w:color="auto" w:fill="auto"/>
            <w:vAlign w:val="center"/>
            <w:hideMark/>
          </w:tcPr>
          <w:p w:rsidR="003470A2" w:rsidRPr="003470A2" w:rsidRDefault="003470A2" w:rsidP="003470A2">
            <w:pPr>
              <w:spacing w:after="0" w:line="240" w:lineRule="auto"/>
              <w:jc w:val="right"/>
              <w:rPr>
                <w:color w:val="000000"/>
                <w:szCs w:val="22"/>
              </w:rPr>
            </w:pPr>
            <w:r w:rsidRPr="003470A2">
              <w:rPr>
                <w:color w:val="000000"/>
                <w:sz w:val="22"/>
                <w:szCs w:val="22"/>
              </w:rPr>
              <w:t>235 000</w:t>
            </w:r>
          </w:p>
        </w:tc>
      </w:tr>
      <w:tr w:rsidR="003470A2" w:rsidRPr="003470A2" w:rsidTr="004573D6">
        <w:trPr>
          <w:trHeight w:val="342"/>
        </w:trPr>
        <w:tc>
          <w:tcPr>
            <w:tcW w:w="920" w:type="dxa"/>
            <w:tcBorders>
              <w:top w:val="nil"/>
              <w:left w:val="single" w:sz="12" w:space="0" w:color="auto"/>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proofErr w:type="gramStart"/>
            <w:r w:rsidRPr="003470A2">
              <w:rPr>
                <w:color w:val="000000"/>
                <w:sz w:val="22"/>
                <w:szCs w:val="22"/>
              </w:rPr>
              <w:t>C.  I.  1.</w:t>
            </w:r>
            <w:proofErr w:type="gramEnd"/>
          </w:p>
        </w:tc>
        <w:tc>
          <w:tcPr>
            <w:tcW w:w="420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r w:rsidRPr="003470A2">
              <w:rPr>
                <w:color w:val="000000"/>
                <w:sz w:val="22"/>
                <w:szCs w:val="22"/>
              </w:rPr>
              <w:t>Materiál</w:t>
            </w:r>
          </w:p>
        </w:tc>
        <w:tc>
          <w:tcPr>
            <w:tcW w:w="60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033</w:t>
            </w:r>
          </w:p>
        </w:tc>
        <w:tc>
          <w:tcPr>
            <w:tcW w:w="106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x</w:t>
            </w:r>
          </w:p>
        </w:tc>
        <w:tc>
          <w:tcPr>
            <w:tcW w:w="106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right"/>
              <w:rPr>
                <w:color w:val="000000"/>
                <w:szCs w:val="22"/>
              </w:rPr>
            </w:pPr>
            <w:r w:rsidRPr="003470A2">
              <w:rPr>
                <w:color w:val="000000"/>
                <w:sz w:val="22"/>
                <w:szCs w:val="22"/>
              </w:rPr>
              <w:t>250 000</w:t>
            </w:r>
          </w:p>
        </w:tc>
        <w:tc>
          <w:tcPr>
            <w:tcW w:w="1060" w:type="dxa"/>
            <w:tcBorders>
              <w:top w:val="nil"/>
              <w:left w:val="nil"/>
              <w:bottom w:val="single" w:sz="4" w:space="0" w:color="auto"/>
              <w:right w:val="single" w:sz="12" w:space="0" w:color="auto"/>
            </w:tcBorders>
            <w:shd w:val="clear" w:color="auto" w:fill="auto"/>
            <w:vAlign w:val="center"/>
            <w:hideMark/>
          </w:tcPr>
          <w:p w:rsidR="003470A2" w:rsidRPr="003470A2" w:rsidRDefault="003470A2" w:rsidP="003470A2">
            <w:pPr>
              <w:spacing w:after="0" w:line="240" w:lineRule="auto"/>
              <w:jc w:val="right"/>
              <w:rPr>
                <w:color w:val="000000"/>
                <w:szCs w:val="22"/>
              </w:rPr>
            </w:pPr>
            <w:r w:rsidRPr="003470A2">
              <w:rPr>
                <w:color w:val="000000"/>
                <w:sz w:val="22"/>
                <w:szCs w:val="22"/>
              </w:rPr>
              <w:t>235 000</w:t>
            </w:r>
          </w:p>
        </w:tc>
      </w:tr>
      <w:tr w:rsidR="003470A2" w:rsidRPr="003470A2" w:rsidTr="004573D6">
        <w:trPr>
          <w:trHeight w:val="342"/>
        </w:trPr>
        <w:tc>
          <w:tcPr>
            <w:tcW w:w="920" w:type="dxa"/>
            <w:tcBorders>
              <w:top w:val="nil"/>
              <w:left w:val="single" w:sz="12" w:space="0" w:color="auto"/>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r w:rsidRPr="003470A2">
              <w:rPr>
                <w:color w:val="000000"/>
                <w:sz w:val="22"/>
                <w:szCs w:val="22"/>
              </w:rPr>
              <w:t xml:space="preserve">          2.</w:t>
            </w:r>
          </w:p>
        </w:tc>
        <w:tc>
          <w:tcPr>
            <w:tcW w:w="420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r w:rsidRPr="003470A2">
              <w:rPr>
                <w:color w:val="000000"/>
                <w:sz w:val="22"/>
                <w:szCs w:val="22"/>
              </w:rPr>
              <w:t>Nedokončená výroba a polotovary</w:t>
            </w:r>
          </w:p>
        </w:tc>
        <w:tc>
          <w:tcPr>
            <w:tcW w:w="60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034</w:t>
            </w:r>
          </w:p>
        </w:tc>
        <w:tc>
          <w:tcPr>
            <w:tcW w:w="106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x</w:t>
            </w:r>
          </w:p>
        </w:tc>
        <w:tc>
          <w:tcPr>
            <w:tcW w:w="106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right"/>
              <w:rPr>
                <w:color w:val="000000"/>
                <w:szCs w:val="22"/>
              </w:rPr>
            </w:pPr>
            <w:r w:rsidRPr="003470A2">
              <w:rPr>
                <w:color w:val="000000"/>
                <w:sz w:val="22"/>
                <w:szCs w:val="22"/>
              </w:rPr>
              <w:t>375 600</w:t>
            </w:r>
          </w:p>
        </w:tc>
        <w:tc>
          <w:tcPr>
            <w:tcW w:w="1060" w:type="dxa"/>
            <w:tcBorders>
              <w:top w:val="nil"/>
              <w:left w:val="nil"/>
              <w:bottom w:val="single" w:sz="4" w:space="0" w:color="auto"/>
              <w:right w:val="single" w:sz="12"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x</w:t>
            </w:r>
          </w:p>
        </w:tc>
      </w:tr>
      <w:tr w:rsidR="003470A2" w:rsidRPr="003470A2" w:rsidTr="004573D6">
        <w:trPr>
          <w:trHeight w:val="342"/>
        </w:trPr>
        <w:tc>
          <w:tcPr>
            <w:tcW w:w="920" w:type="dxa"/>
            <w:tcBorders>
              <w:top w:val="nil"/>
              <w:left w:val="single" w:sz="12" w:space="0" w:color="auto"/>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r w:rsidRPr="003470A2">
              <w:rPr>
                <w:color w:val="000000"/>
                <w:sz w:val="22"/>
                <w:szCs w:val="22"/>
              </w:rPr>
              <w:t>C. II.</w:t>
            </w:r>
          </w:p>
        </w:tc>
        <w:tc>
          <w:tcPr>
            <w:tcW w:w="420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r w:rsidRPr="003470A2">
              <w:rPr>
                <w:color w:val="000000"/>
                <w:sz w:val="22"/>
                <w:szCs w:val="22"/>
              </w:rPr>
              <w:t>Dlouhodobé pohledávky</w:t>
            </w:r>
          </w:p>
        </w:tc>
        <w:tc>
          <w:tcPr>
            <w:tcW w:w="60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039</w:t>
            </w:r>
          </w:p>
        </w:tc>
        <w:tc>
          <w:tcPr>
            <w:tcW w:w="106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x</w:t>
            </w:r>
          </w:p>
        </w:tc>
        <w:tc>
          <w:tcPr>
            <w:tcW w:w="106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x</w:t>
            </w:r>
          </w:p>
        </w:tc>
        <w:tc>
          <w:tcPr>
            <w:tcW w:w="1060" w:type="dxa"/>
            <w:tcBorders>
              <w:top w:val="nil"/>
              <w:left w:val="nil"/>
              <w:bottom w:val="single" w:sz="4" w:space="0" w:color="auto"/>
              <w:right w:val="single" w:sz="12"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x</w:t>
            </w:r>
          </w:p>
        </w:tc>
      </w:tr>
      <w:tr w:rsidR="003470A2" w:rsidRPr="003470A2" w:rsidTr="004573D6">
        <w:trPr>
          <w:trHeight w:val="342"/>
        </w:trPr>
        <w:tc>
          <w:tcPr>
            <w:tcW w:w="920" w:type="dxa"/>
            <w:tcBorders>
              <w:top w:val="nil"/>
              <w:left w:val="single" w:sz="12" w:space="0" w:color="auto"/>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proofErr w:type="gramStart"/>
            <w:r w:rsidRPr="003470A2">
              <w:rPr>
                <w:color w:val="000000"/>
                <w:sz w:val="22"/>
                <w:szCs w:val="22"/>
              </w:rPr>
              <w:t>C.III</w:t>
            </w:r>
            <w:proofErr w:type="gramEnd"/>
            <w:r w:rsidRPr="003470A2">
              <w:rPr>
                <w:color w:val="000000"/>
                <w:sz w:val="22"/>
                <w:szCs w:val="22"/>
              </w:rPr>
              <w:t>.</w:t>
            </w:r>
          </w:p>
        </w:tc>
        <w:tc>
          <w:tcPr>
            <w:tcW w:w="420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r w:rsidRPr="003470A2">
              <w:rPr>
                <w:color w:val="000000"/>
                <w:sz w:val="22"/>
                <w:szCs w:val="22"/>
              </w:rPr>
              <w:t>Krátkodobé pohledávky (ř. 49 + ř. 55 + ř. 56)</w:t>
            </w:r>
          </w:p>
        </w:tc>
        <w:tc>
          <w:tcPr>
            <w:tcW w:w="60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048</w:t>
            </w:r>
          </w:p>
        </w:tc>
        <w:tc>
          <w:tcPr>
            <w:tcW w:w="106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right"/>
              <w:rPr>
                <w:color w:val="000000"/>
                <w:szCs w:val="22"/>
              </w:rPr>
            </w:pPr>
            <w:r w:rsidRPr="003470A2">
              <w:rPr>
                <w:color w:val="000000"/>
                <w:sz w:val="22"/>
                <w:szCs w:val="22"/>
              </w:rPr>
              <w:t>240 838</w:t>
            </w:r>
          </w:p>
        </w:tc>
        <w:tc>
          <w:tcPr>
            <w:tcW w:w="106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right"/>
              <w:rPr>
                <w:color w:val="000000"/>
                <w:szCs w:val="22"/>
              </w:rPr>
            </w:pPr>
            <w:r w:rsidRPr="003470A2">
              <w:rPr>
                <w:color w:val="000000"/>
                <w:sz w:val="22"/>
                <w:szCs w:val="22"/>
              </w:rPr>
              <w:t>758 192</w:t>
            </w:r>
          </w:p>
        </w:tc>
        <w:tc>
          <w:tcPr>
            <w:tcW w:w="1060" w:type="dxa"/>
            <w:tcBorders>
              <w:top w:val="nil"/>
              <w:left w:val="nil"/>
              <w:bottom w:val="single" w:sz="4" w:space="0" w:color="auto"/>
              <w:right w:val="single" w:sz="12" w:space="0" w:color="auto"/>
            </w:tcBorders>
            <w:shd w:val="clear" w:color="auto" w:fill="auto"/>
            <w:vAlign w:val="center"/>
            <w:hideMark/>
          </w:tcPr>
          <w:p w:rsidR="003470A2" w:rsidRPr="003470A2" w:rsidRDefault="003470A2" w:rsidP="003470A2">
            <w:pPr>
              <w:spacing w:after="0" w:line="240" w:lineRule="auto"/>
              <w:jc w:val="right"/>
              <w:rPr>
                <w:color w:val="000000"/>
                <w:szCs w:val="22"/>
              </w:rPr>
            </w:pPr>
            <w:r w:rsidRPr="003470A2">
              <w:rPr>
                <w:color w:val="000000"/>
                <w:sz w:val="22"/>
                <w:szCs w:val="22"/>
              </w:rPr>
              <w:t>701 508</w:t>
            </w:r>
          </w:p>
        </w:tc>
      </w:tr>
      <w:tr w:rsidR="003470A2" w:rsidRPr="003470A2" w:rsidTr="004573D6">
        <w:trPr>
          <w:trHeight w:val="342"/>
        </w:trPr>
        <w:tc>
          <w:tcPr>
            <w:tcW w:w="920" w:type="dxa"/>
            <w:tcBorders>
              <w:top w:val="nil"/>
              <w:left w:val="single" w:sz="12" w:space="0" w:color="auto"/>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proofErr w:type="gramStart"/>
            <w:r w:rsidRPr="003470A2">
              <w:rPr>
                <w:color w:val="000000"/>
                <w:sz w:val="22"/>
                <w:szCs w:val="22"/>
              </w:rPr>
              <w:t>C.III</w:t>
            </w:r>
            <w:proofErr w:type="gramEnd"/>
            <w:r w:rsidRPr="003470A2">
              <w:rPr>
                <w:color w:val="000000"/>
                <w:sz w:val="22"/>
                <w:szCs w:val="22"/>
              </w:rPr>
              <w:t>.  1.</w:t>
            </w:r>
          </w:p>
        </w:tc>
        <w:tc>
          <w:tcPr>
            <w:tcW w:w="420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r w:rsidRPr="003470A2">
              <w:rPr>
                <w:color w:val="000000"/>
                <w:sz w:val="22"/>
                <w:szCs w:val="22"/>
              </w:rPr>
              <w:t xml:space="preserve">Pohledávky z obchodních vztahů </w:t>
            </w:r>
          </w:p>
        </w:tc>
        <w:tc>
          <w:tcPr>
            <w:tcW w:w="60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049</w:t>
            </w:r>
          </w:p>
        </w:tc>
        <w:tc>
          <w:tcPr>
            <w:tcW w:w="106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right"/>
              <w:rPr>
                <w:color w:val="000000"/>
                <w:szCs w:val="22"/>
              </w:rPr>
            </w:pPr>
            <w:r w:rsidRPr="003470A2">
              <w:rPr>
                <w:color w:val="000000"/>
                <w:sz w:val="22"/>
                <w:szCs w:val="22"/>
              </w:rPr>
              <w:t>240 838</w:t>
            </w:r>
          </w:p>
        </w:tc>
        <w:tc>
          <w:tcPr>
            <w:tcW w:w="106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right"/>
              <w:rPr>
                <w:color w:val="000000"/>
                <w:szCs w:val="22"/>
              </w:rPr>
            </w:pPr>
            <w:r w:rsidRPr="003470A2">
              <w:rPr>
                <w:color w:val="000000"/>
                <w:sz w:val="22"/>
                <w:szCs w:val="22"/>
              </w:rPr>
              <w:t>738 192</w:t>
            </w:r>
          </w:p>
        </w:tc>
        <w:tc>
          <w:tcPr>
            <w:tcW w:w="1060" w:type="dxa"/>
            <w:tcBorders>
              <w:top w:val="nil"/>
              <w:left w:val="nil"/>
              <w:bottom w:val="single" w:sz="4" w:space="0" w:color="auto"/>
              <w:right w:val="single" w:sz="12" w:space="0" w:color="auto"/>
            </w:tcBorders>
            <w:shd w:val="clear" w:color="auto" w:fill="auto"/>
            <w:vAlign w:val="center"/>
            <w:hideMark/>
          </w:tcPr>
          <w:p w:rsidR="003470A2" w:rsidRPr="003470A2" w:rsidRDefault="003470A2" w:rsidP="003470A2">
            <w:pPr>
              <w:spacing w:after="0" w:line="240" w:lineRule="auto"/>
              <w:jc w:val="right"/>
              <w:rPr>
                <w:color w:val="000000"/>
                <w:szCs w:val="22"/>
              </w:rPr>
            </w:pPr>
            <w:r w:rsidRPr="003470A2">
              <w:rPr>
                <w:color w:val="000000"/>
                <w:sz w:val="22"/>
                <w:szCs w:val="22"/>
              </w:rPr>
              <w:t>701 508</w:t>
            </w:r>
          </w:p>
        </w:tc>
      </w:tr>
      <w:tr w:rsidR="003470A2" w:rsidRPr="003470A2" w:rsidTr="004573D6">
        <w:trPr>
          <w:trHeight w:val="342"/>
        </w:trPr>
        <w:tc>
          <w:tcPr>
            <w:tcW w:w="920" w:type="dxa"/>
            <w:tcBorders>
              <w:top w:val="nil"/>
              <w:left w:val="single" w:sz="12" w:space="0" w:color="auto"/>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r w:rsidRPr="003470A2">
              <w:rPr>
                <w:color w:val="000000"/>
                <w:sz w:val="22"/>
                <w:szCs w:val="22"/>
              </w:rPr>
              <w:t xml:space="preserve">          7.</w:t>
            </w:r>
          </w:p>
        </w:tc>
        <w:tc>
          <w:tcPr>
            <w:tcW w:w="420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r w:rsidRPr="003470A2">
              <w:rPr>
                <w:color w:val="000000"/>
                <w:sz w:val="22"/>
                <w:szCs w:val="22"/>
              </w:rPr>
              <w:t>Krátkodobé poskytnuté zálohy</w:t>
            </w:r>
          </w:p>
        </w:tc>
        <w:tc>
          <w:tcPr>
            <w:tcW w:w="60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055</w:t>
            </w:r>
          </w:p>
        </w:tc>
        <w:tc>
          <w:tcPr>
            <w:tcW w:w="106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x</w:t>
            </w:r>
          </w:p>
        </w:tc>
        <w:tc>
          <w:tcPr>
            <w:tcW w:w="106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right"/>
              <w:rPr>
                <w:color w:val="000000"/>
                <w:szCs w:val="22"/>
              </w:rPr>
            </w:pPr>
            <w:r w:rsidRPr="003470A2">
              <w:rPr>
                <w:color w:val="000000"/>
                <w:sz w:val="22"/>
                <w:szCs w:val="22"/>
              </w:rPr>
              <w:t>20 000</w:t>
            </w:r>
          </w:p>
        </w:tc>
        <w:tc>
          <w:tcPr>
            <w:tcW w:w="1060" w:type="dxa"/>
            <w:tcBorders>
              <w:top w:val="nil"/>
              <w:left w:val="nil"/>
              <w:bottom w:val="single" w:sz="4" w:space="0" w:color="auto"/>
              <w:right w:val="single" w:sz="12" w:space="0" w:color="auto"/>
            </w:tcBorders>
            <w:shd w:val="clear" w:color="auto" w:fill="auto"/>
            <w:vAlign w:val="center"/>
            <w:hideMark/>
          </w:tcPr>
          <w:p w:rsidR="003470A2" w:rsidRPr="003470A2" w:rsidRDefault="003470A2" w:rsidP="003470A2">
            <w:pPr>
              <w:spacing w:after="0" w:line="240" w:lineRule="auto"/>
              <w:jc w:val="left"/>
              <w:rPr>
                <w:color w:val="000000"/>
                <w:szCs w:val="22"/>
              </w:rPr>
            </w:pPr>
            <w:r w:rsidRPr="003470A2">
              <w:rPr>
                <w:color w:val="000000"/>
                <w:sz w:val="22"/>
                <w:szCs w:val="22"/>
              </w:rPr>
              <w:t>x</w:t>
            </w:r>
          </w:p>
        </w:tc>
      </w:tr>
      <w:tr w:rsidR="003470A2" w:rsidRPr="003470A2" w:rsidTr="004573D6">
        <w:trPr>
          <w:trHeight w:val="342"/>
        </w:trPr>
        <w:tc>
          <w:tcPr>
            <w:tcW w:w="920" w:type="dxa"/>
            <w:tcBorders>
              <w:top w:val="nil"/>
              <w:left w:val="single" w:sz="12" w:space="0" w:color="auto"/>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r w:rsidRPr="003470A2">
              <w:rPr>
                <w:color w:val="000000"/>
                <w:sz w:val="22"/>
                <w:szCs w:val="22"/>
              </w:rPr>
              <w:t xml:space="preserve">          8.</w:t>
            </w:r>
          </w:p>
        </w:tc>
        <w:tc>
          <w:tcPr>
            <w:tcW w:w="420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r w:rsidRPr="003470A2">
              <w:rPr>
                <w:color w:val="000000"/>
                <w:sz w:val="22"/>
                <w:szCs w:val="22"/>
              </w:rPr>
              <w:t>Dohadné účty aktivní</w:t>
            </w:r>
          </w:p>
        </w:tc>
        <w:tc>
          <w:tcPr>
            <w:tcW w:w="60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056</w:t>
            </w:r>
          </w:p>
        </w:tc>
        <w:tc>
          <w:tcPr>
            <w:tcW w:w="106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x</w:t>
            </w:r>
          </w:p>
        </w:tc>
        <w:tc>
          <w:tcPr>
            <w:tcW w:w="106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x</w:t>
            </w:r>
          </w:p>
        </w:tc>
        <w:tc>
          <w:tcPr>
            <w:tcW w:w="1060" w:type="dxa"/>
            <w:tcBorders>
              <w:top w:val="nil"/>
              <w:left w:val="nil"/>
              <w:bottom w:val="single" w:sz="4" w:space="0" w:color="auto"/>
              <w:right w:val="single" w:sz="12"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x</w:t>
            </w:r>
          </w:p>
        </w:tc>
      </w:tr>
      <w:tr w:rsidR="003470A2" w:rsidRPr="003470A2" w:rsidTr="004573D6">
        <w:trPr>
          <w:trHeight w:val="342"/>
        </w:trPr>
        <w:tc>
          <w:tcPr>
            <w:tcW w:w="920" w:type="dxa"/>
            <w:tcBorders>
              <w:top w:val="nil"/>
              <w:left w:val="single" w:sz="12" w:space="0" w:color="auto"/>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r w:rsidRPr="003470A2">
              <w:rPr>
                <w:color w:val="000000"/>
                <w:sz w:val="22"/>
                <w:szCs w:val="22"/>
              </w:rPr>
              <w:t>C. IV.</w:t>
            </w:r>
          </w:p>
        </w:tc>
        <w:tc>
          <w:tcPr>
            <w:tcW w:w="420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r w:rsidRPr="003470A2">
              <w:rPr>
                <w:color w:val="000000"/>
                <w:sz w:val="22"/>
                <w:szCs w:val="22"/>
              </w:rPr>
              <w:t>Krátkodobý finanční majetek</w:t>
            </w:r>
          </w:p>
        </w:tc>
        <w:tc>
          <w:tcPr>
            <w:tcW w:w="60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058</w:t>
            </w:r>
          </w:p>
        </w:tc>
        <w:tc>
          <w:tcPr>
            <w:tcW w:w="106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right"/>
              <w:rPr>
                <w:color w:val="000000"/>
                <w:szCs w:val="22"/>
              </w:rPr>
            </w:pPr>
            <w:r w:rsidRPr="003470A2">
              <w:rPr>
                <w:color w:val="000000"/>
                <w:sz w:val="22"/>
                <w:szCs w:val="22"/>
              </w:rPr>
              <w:t>675</w:t>
            </w:r>
          </w:p>
        </w:tc>
        <w:tc>
          <w:tcPr>
            <w:tcW w:w="106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right"/>
              <w:rPr>
                <w:color w:val="000000"/>
                <w:szCs w:val="22"/>
              </w:rPr>
            </w:pPr>
            <w:r w:rsidRPr="003470A2">
              <w:rPr>
                <w:color w:val="000000"/>
                <w:sz w:val="22"/>
                <w:szCs w:val="22"/>
              </w:rPr>
              <w:t>19 476</w:t>
            </w:r>
          </w:p>
        </w:tc>
        <w:tc>
          <w:tcPr>
            <w:tcW w:w="1060" w:type="dxa"/>
            <w:tcBorders>
              <w:top w:val="nil"/>
              <w:left w:val="nil"/>
              <w:bottom w:val="single" w:sz="4" w:space="0" w:color="auto"/>
              <w:right w:val="single" w:sz="12" w:space="0" w:color="auto"/>
            </w:tcBorders>
            <w:shd w:val="clear" w:color="auto" w:fill="auto"/>
            <w:vAlign w:val="center"/>
            <w:hideMark/>
          </w:tcPr>
          <w:p w:rsidR="003470A2" w:rsidRPr="003470A2" w:rsidRDefault="003470A2" w:rsidP="003470A2">
            <w:pPr>
              <w:spacing w:after="0" w:line="240" w:lineRule="auto"/>
              <w:jc w:val="right"/>
              <w:rPr>
                <w:color w:val="000000"/>
                <w:szCs w:val="22"/>
              </w:rPr>
            </w:pPr>
            <w:r w:rsidRPr="003470A2">
              <w:rPr>
                <w:color w:val="000000"/>
                <w:sz w:val="22"/>
                <w:szCs w:val="22"/>
              </w:rPr>
              <w:t>62 022</w:t>
            </w:r>
          </w:p>
        </w:tc>
      </w:tr>
      <w:tr w:rsidR="003470A2" w:rsidRPr="003470A2" w:rsidTr="004573D6">
        <w:trPr>
          <w:trHeight w:val="342"/>
        </w:trPr>
        <w:tc>
          <w:tcPr>
            <w:tcW w:w="920" w:type="dxa"/>
            <w:tcBorders>
              <w:top w:val="nil"/>
              <w:left w:val="single" w:sz="12" w:space="0" w:color="auto"/>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r w:rsidRPr="003470A2">
              <w:rPr>
                <w:color w:val="000000"/>
                <w:sz w:val="22"/>
                <w:szCs w:val="22"/>
              </w:rPr>
              <w:t>C. IV. 1.</w:t>
            </w:r>
          </w:p>
        </w:tc>
        <w:tc>
          <w:tcPr>
            <w:tcW w:w="420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r w:rsidRPr="003470A2">
              <w:rPr>
                <w:color w:val="000000"/>
                <w:sz w:val="22"/>
                <w:szCs w:val="22"/>
              </w:rPr>
              <w:t>Peníze</w:t>
            </w:r>
          </w:p>
        </w:tc>
        <w:tc>
          <w:tcPr>
            <w:tcW w:w="60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059</w:t>
            </w:r>
          </w:p>
        </w:tc>
        <w:tc>
          <w:tcPr>
            <w:tcW w:w="106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right"/>
              <w:rPr>
                <w:color w:val="000000"/>
                <w:szCs w:val="22"/>
              </w:rPr>
            </w:pPr>
            <w:r w:rsidRPr="003470A2">
              <w:rPr>
                <w:color w:val="000000"/>
                <w:sz w:val="22"/>
                <w:szCs w:val="22"/>
              </w:rPr>
              <w:t>-44 470</w:t>
            </w:r>
          </w:p>
        </w:tc>
        <w:tc>
          <w:tcPr>
            <w:tcW w:w="1060" w:type="dxa"/>
            <w:tcBorders>
              <w:top w:val="nil"/>
              <w:left w:val="nil"/>
              <w:bottom w:val="single" w:sz="4" w:space="0" w:color="auto"/>
              <w:right w:val="single" w:sz="4" w:space="0" w:color="auto"/>
            </w:tcBorders>
            <w:shd w:val="clear" w:color="auto" w:fill="auto"/>
            <w:vAlign w:val="center"/>
            <w:hideMark/>
          </w:tcPr>
          <w:p w:rsidR="003470A2" w:rsidRPr="003470A2" w:rsidRDefault="003470A2" w:rsidP="003470A2">
            <w:pPr>
              <w:spacing w:after="0" w:line="240" w:lineRule="auto"/>
              <w:jc w:val="right"/>
              <w:rPr>
                <w:color w:val="000000"/>
                <w:szCs w:val="22"/>
              </w:rPr>
            </w:pPr>
            <w:r w:rsidRPr="003470A2">
              <w:rPr>
                <w:color w:val="000000"/>
                <w:sz w:val="22"/>
                <w:szCs w:val="22"/>
              </w:rPr>
              <w:t>-41 604</w:t>
            </w:r>
          </w:p>
        </w:tc>
        <w:tc>
          <w:tcPr>
            <w:tcW w:w="1060" w:type="dxa"/>
            <w:tcBorders>
              <w:top w:val="nil"/>
              <w:left w:val="nil"/>
              <w:bottom w:val="single" w:sz="4" w:space="0" w:color="auto"/>
              <w:right w:val="single" w:sz="12" w:space="0" w:color="auto"/>
            </w:tcBorders>
            <w:shd w:val="clear" w:color="auto" w:fill="auto"/>
            <w:vAlign w:val="center"/>
            <w:hideMark/>
          </w:tcPr>
          <w:p w:rsidR="003470A2" w:rsidRPr="003470A2" w:rsidRDefault="003470A2" w:rsidP="003470A2">
            <w:pPr>
              <w:spacing w:after="0" w:line="240" w:lineRule="auto"/>
              <w:jc w:val="right"/>
              <w:rPr>
                <w:color w:val="000000"/>
                <w:szCs w:val="22"/>
              </w:rPr>
            </w:pPr>
            <w:r w:rsidRPr="003470A2">
              <w:rPr>
                <w:color w:val="000000"/>
                <w:sz w:val="22"/>
                <w:szCs w:val="22"/>
              </w:rPr>
              <w:t>-20 741</w:t>
            </w:r>
          </w:p>
        </w:tc>
      </w:tr>
      <w:tr w:rsidR="003470A2" w:rsidRPr="003470A2" w:rsidTr="004573D6">
        <w:trPr>
          <w:trHeight w:val="342"/>
        </w:trPr>
        <w:tc>
          <w:tcPr>
            <w:tcW w:w="920" w:type="dxa"/>
            <w:tcBorders>
              <w:top w:val="nil"/>
              <w:left w:val="single" w:sz="12" w:space="0" w:color="auto"/>
              <w:bottom w:val="single" w:sz="12"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r w:rsidRPr="003470A2">
              <w:rPr>
                <w:color w:val="000000"/>
                <w:sz w:val="22"/>
                <w:szCs w:val="22"/>
              </w:rPr>
              <w:t xml:space="preserve">          2.</w:t>
            </w:r>
          </w:p>
        </w:tc>
        <w:tc>
          <w:tcPr>
            <w:tcW w:w="4200" w:type="dxa"/>
            <w:tcBorders>
              <w:top w:val="nil"/>
              <w:left w:val="nil"/>
              <w:bottom w:val="single" w:sz="12" w:space="0" w:color="auto"/>
              <w:right w:val="single" w:sz="4" w:space="0" w:color="auto"/>
            </w:tcBorders>
            <w:shd w:val="clear" w:color="auto" w:fill="auto"/>
            <w:vAlign w:val="center"/>
            <w:hideMark/>
          </w:tcPr>
          <w:p w:rsidR="003470A2" w:rsidRPr="003470A2" w:rsidRDefault="003470A2" w:rsidP="003470A2">
            <w:pPr>
              <w:spacing w:after="0" w:line="240" w:lineRule="auto"/>
              <w:jc w:val="left"/>
              <w:rPr>
                <w:color w:val="000000"/>
                <w:szCs w:val="22"/>
              </w:rPr>
            </w:pPr>
            <w:r w:rsidRPr="003470A2">
              <w:rPr>
                <w:color w:val="000000"/>
                <w:sz w:val="22"/>
                <w:szCs w:val="22"/>
              </w:rPr>
              <w:t>Účty v bankách</w:t>
            </w:r>
          </w:p>
        </w:tc>
        <w:tc>
          <w:tcPr>
            <w:tcW w:w="600" w:type="dxa"/>
            <w:tcBorders>
              <w:top w:val="nil"/>
              <w:left w:val="nil"/>
              <w:bottom w:val="single" w:sz="12" w:space="0" w:color="auto"/>
              <w:right w:val="single" w:sz="4" w:space="0" w:color="auto"/>
            </w:tcBorders>
            <w:shd w:val="clear" w:color="auto" w:fill="auto"/>
            <w:vAlign w:val="center"/>
            <w:hideMark/>
          </w:tcPr>
          <w:p w:rsidR="003470A2" w:rsidRPr="003470A2" w:rsidRDefault="003470A2" w:rsidP="003470A2">
            <w:pPr>
              <w:spacing w:after="0" w:line="240" w:lineRule="auto"/>
              <w:jc w:val="center"/>
              <w:rPr>
                <w:color w:val="000000"/>
                <w:szCs w:val="22"/>
              </w:rPr>
            </w:pPr>
            <w:r w:rsidRPr="003470A2">
              <w:rPr>
                <w:color w:val="000000"/>
                <w:sz w:val="22"/>
                <w:szCs w:val="22"/>
              </w:rPr>
              <w:t>060</w:t>
            </w:r>
          </w:p>
        </w:tc>
        <w:tc>
          <w:tcPr>
            <w:tcW w:w="1060" w:type="dxa"/>
            <w:tcBorders>
              <w:top w:val="nil"/>
              <w:left w:val="nil"/>
              <w:bottom w:val="single" w:sz="12" w:space="0" w:color="auto"/>
              <w:right w:val="single" w:sz="4" w:space="0" w:color="auto"/>
            </w:tcBorders>
            <w:shd w:val="clear" w:color="auto" w:fill="auto"/>
            <w:vAlign w:val="center"/>
            <w:hideMark/>
          </w:tcPr>
          <w:p w:rsidR="003470A2" w:rsidRPr="003470A2" w:rsidRDefault="003470A2" w:rsidP="003470A2">
            <w:pPr>
              <w:spacing w:after="0" w:line="240" w:lineRule="auto"/>
              <w:jc w:val="right"/>
              <w:rPr>
                <w:color w:val="000000"/>
                <w:szCs w:val="22"/>
              </w:rPr>
            </w:pPr>
            <w:r w:rsidRPr="003470A2">
              <w:rPr>
                <w:color w:val="000000"/>
                <w:sz w:val="22"/>
                <w:szCs w:val="22"/>
              </w:rPr>
              <w:t>45 144</w:t>
            </w:r>
          </w:p>
        </w:tc>
        <w:tc>
          <w:tcPr>
            <w:tcW w:w="1060" w:type="dxa"/>
            <w:tcBorders>
              <w:top w:val="nil"/>
              <w:left w:val="nil"/>
              <w:bottom w:val="single" w:sz="12" w:space="0" w:color="auto"/>
              <w:right w:val="single" w:sz="4" w:space="0" w:color="auto"/>
            </w:tcBorders>
            <w:shd w:val="clear" w:color="auto" w:fill="auto"/>
            <w:vAlign w:val="center"/>
            <w:hideMark/>
          </w:tcPr>
          <w:p w:rsidR="003470A2" w:rsidRPr="003470A2" w:rsidRDefault="003470A2" w:rsidP="003470A2">
            <w:pPr>
              <w:spacing w:after="0" w:line="240" w:lineRule="auto"/>
              <w:jc w:val="right"/>
              <w:rPr>
                <w:color w:val="000000"/>
                <w:szCs w:val="22"/>
              </w:rPr>
            </w:pPr>
            <w:r w:rsidRPr="003470A2">
              <w:rPr>
                <w:color w:val="000000"/>
                <w:sz w:val="22"/>
                <w:szCs w:val="22"/>
              </w:rPr>
              <w:t>61 080</w:t>
            </w:r>
          </w:p>
        </w:tc>
        <w:tc>
          <w:tcPr>
            <w:tcW w:w="1060" w:type="dxa"/>
            <w:tcBorders>
              <w:top w:val="nil"/>
              <w:left w:val="nil"/>
              <w:bottom w:val="single" w:sz="12" w:space="0" w:color="auto"/>
              <w:right w:val="single" w:sz="12" w:space="0" w:color="auto"/>
            </w:tcBorders>
            <w:shd w:val="clear" w:color="auto" w:fill="auto"/>
            <w:vAlign w:val="center"/>
            <w:hideMark/>
          </w:tcPr>
          <w:p w:rsidR="003470A2" w:rsidRPr="003470A2" w:rsidRDefault="003470A2" w:rsidP="003470A2">
            <w:pPr>
              <w:spacing w:after="0" w:line="240" w:lineRule="auto"/>
              <w:jc w:val="right"/>
              <w:rPr>
                <w:color w:val="000000"/>
                <w:szCs w:val="22"/>
              </w:rPr>
            </w:pPr>
            <w:r w:rsidRPr="003470A2">
              <w:rPr>
                <w:color w:val="000000"/>
                <w:sz w:val="22"/>
                <w:szCs w:val="22"/>
              </w:rPr>
              <w:t>82 763</w:t>
            </w:r>
          </w:p>
        </w:tc>
      </w:tr>
    </w:tbl>
    <w:p w:rsidR="005B5E23" w:rsidRDefault="0062439D" w:rsidP="00F813BB">
      <w:pPr>
        <w:pStyle w:val="dajepodtabulkou"/>
        <w:ind w:left="0"/>
      </w:pPr>
      <w:r>
        <w:t xml:space="preserve">Zdroj: </w:t>
      </w:r>
      <w:r w:rsidR="003D7CD4">
        <w:t>KOVOVÝROBA s. r. o.</w:t>
      </w:r>
    </w:p>
    <w:p w:rsidR="00F81EAA" w:rsidRDefault="00F81EAA" w:rsidP="00255FC3">
      <w:pPr>
        <w:pStyle w:val="Odstavecnormln"/>
      </w:pPr>
      <w:r>
        <w:t xml:space="preserve">Lze konstatovat, že oběžná aktiva společnosti jsou v roce 2009 </w:t>
      </w:r>
      <w:r w:rsidR="00894872">
        <w:t xml:space="preserve">tvořena </w:t>
      </w:r>
      <w:r>
        <w:t xml:space="preserve">převážně krátkodobými pohledávkami. V roce 2010 </w:t>
      </w:r>
      <w:r w:rsidR="00A070AF">
        <w:t xml:space="preserve">a 2011 </w:t>
      </w:r>
      <w:r>
        <w:t xml:space="preserve">jsou oběžná aktiva tvořena </w:t>
      </w:r>
      <w:r w:rsidR="006420AE">
        <w:t>převážně</w:t>
      </w:r>
      <w:r w:rsidR="00A070AF">
        <w:t xml:space="preserve"> </w:t>
      </w:r>
      <w:r>
        <w:t>krátkodobými pohledávkami a zásobami.</w:t>
      </w:r>
    </w:p>
    <w:p w:rsidR="00483B05" w:rsidRDefault="00220496" w:rsidP="00255FC3">
      <w:pPr>
        <w:pStyle w:val="Odstavecnormln"/>
      </w:pPr>
      <w:r>
        <w:t xml:space="preserve">Dle sdělení jednatele společnosti byl materiál vykázaný v zásobách </w:t>
      </w:r>
      <w:r w:rsidR="00A070AF">
        <w:t>oceněn</w:t>
      </w:r>
      <w:r>
        <w:t xml:space="preserve"> pořizovacími cenami a nedokončená výroba byla oceněna na základě pořizovacích cen materiálu nutného k výrobě a odhadu režijních nákladů. V účetnictví společnosti nebyl dohledán žádný protokol o provedené inventarizaci zásob a</w:t>
      </w:r>
      <w:r w:rsidR="004C6B53">
        <w:t>ni protokol o vyčíslení</w:t>
      </w:r>
      <w:r>
        <w:t xml:space="preserve"> nedokončené výroby.</w:t>
      </w:r>
      <w:r w:rsidR="00C04744">
        <w:t xml:space="preserve"> Jaké konkrétní zásoby společnost eviduje ke konci roku 2010 </w:t>
      </w:r>
      <w:r w:rsidR="002E0B1C">
        <w:br/>
      </w:r>
      <w:r w:rsidR="00C04744">
        <w:t>a 2011 nebylo možné zjistit.</w:t>
      </w:r>
    </w:p>
    <w:p w:rsidR="00A070AF" w:rsidRDefault="00A070AF" w:rsidP="00255FC3">
      <w:pPr>
        <w:pStyle w:val="Odstavecnormln"/>
      </w:pPr>
      <w:r>
        <w:lastRenderedPageBreak/>
        <w:t>Krátkodobé pohledávky v celém zkoumaném období tvoří pohledávky z obchodního styku. Krátkodobé poskytnuté zálohy vykázané v roce 2010 ve výši 20.000 Kč vychází z obchodní činnosti společnosti.</w:t>
      </w:r>
    </w:p>
    <w:p w:rsidR="00A070AF" w:rsidRDefault="00A070AF" w:rsidP="00255FC3">
      <w:pPr>
        <w:pStyle w:val="Odstavecnormln"/>
      </w:pPr>
      <w:r>
        <w:t>Krátkodobý finanční majetek je tvořen v celém zkoumaném období z peněz (pokladní hotovosti) a bankovních účtů (jedná se o běžné účty společnosti). Hodnota pokladní hotovosti je po celé zkoumané období záporná.</w:t>
      </w:r>
      <w:r w:rsidR="003D4BAF">
        <w:t xml:space="preserve"> </w:t>
      </w:r>
      <w:r w:rsidR="00A636A4">
        <w:t>Z předložených účetních dokladů nebylo možno zjistit důvod záporný</w:t>
      </w:r>
      <w:r w:rsidR="00F259C7">
        <w:t xml:space="preserve">ch zůstatků pokladní hotovosti. Pokladní deníky za rok 2009, 2010 a 2011 evidují vyšší celkový obrat výdajů než příjmů. </w:t>
      </w:r>
      <w:r w:rsidR="00A636A4">
        <w:t>V účetnictví společnosti nebyla v žádném sledovaném období dohledána in</w:t>
      </w:r>
      <w:r w:rsidR="00B17384">
        <w:t xml:space="preserve">ventarizace pokladní hotovosti. </w:t>
      </w:r>
      <w:r w:rsidR="003D4BAF">
        <w:t>Zůstatky bankovních účtů souhlasí se zůstatky</w:t>
      </w:r>
      <w:r w:rsidR="00C443E9">
        <w:t xml:space="preserve"> uvedenými na bankovních výpisech</w:t>
      </w:r>
      <w:r w:rsidR="003D4BAF">
        <w:t>.</w:t>
      </w:r>
    </w:p>
    <w:p w:rsidR="00B17384" w:rsidRDefault="00B17384" w:rsidP="00255FC3">
      <w:pPr>
        <w:pStyle w:val="Odstavecnormln"/>
      </w:pPr>
      <w:r>
        <w:t xml:space="preserve">Dle § 6/3 zákona o účetnictví č. 563/1991 Sb. jsou účetní jednotky </w:t>
      </w:r>
      <w:r w:rsidRPr="00A636A4">
        <w:rPr>
          <w:b/>
        </w:rPr>
        <w:t>povinny</w:t>
      </w:r>
      <w:r>
        <w:t xml:space="preserve"> inventarizovat majetek. Na základě skutečnosti, že nebyly v účetnictví společnosti dohledány protokoly o provedené inventarizaci zásob a pokladní hotovosti ani v jednom sledovaném období, může být konstatováno, že společnost porušila zákon o účetnictví, tím, že neprováděla řádně a úplně inventarizaci svého majetku. Dle § 29 provádějí účetní jednotky </w:t>
      </w:r>
      <w:r w:rsidR="00003183">
        <w:t>i</w:t>
      </w:r>
      <w:r w:rsidRPr="00B17384">
        <w:t>nventarizaci k okamžiku, ke kterému sestavují účetní závěrku</w:t>
      </w:r>
      <w:r>
        <w:t xml:space="preserve">, </w:t>
      </w:r>
      <w:r>
        <w:br/>
        <w:t>tj. k 31. 12.</w:t>
      </w:r>
    </w:p>
    <w:p w:rsidR="00732104" w:rsidRPr="00580937" w:rsidRDefault="00732104" w:rsidP="00255FC3">
      <w:pPr>
        <w:spacing w:after="120"/>
        <w:rPr>
          <w:b/>
        </w:rPr>
      </w:pPr>
      <w:r>
        <w:t xml:space="preserve">Společnost KOVOVÝROBA s. r. o. byla založena v srpnu 2009 a dle sdělení jednatele má od počátku roku 2010 vážné finanční problémy. Není schopna hradit své závazky </w:t>
      </w:r>
      <w:r w:rsidR="002E0B1C">
        <w:br/>
      </w:r>
      <w:r>
        <w:t xml:space="preserve">ve lhůtě splatnosti, </w:t>
      </w:r>
      <w:r w:rsidR="00231381">
        <w:t>tzn., není dodržená lhůta splatnosti dodavatelských faktur, mzdy nejsou vypláceny řádně a v plné výši</w:t>
      </w:r>
      <w:r>
        <w:t xml:space="preserve">, </w:t>
      </w:r>
      <w:r w:rsidR="00231381">
        <w:t>odvody</w:t>
      </w:r>
      <w:r>
        <w:t xml:space="preserve"> sociální</w:t>
      </w:r>
      <w:r w:rsidR="00231381">
        <w:t>ho,</w:t>
      </w:r>
      <w:r>
        <w:t xml:space="preserve"> zdravotní</w:t>
      </w:r>
      <w:r w:rsidR="00231381">
        <w:t>ho</w:t>
      </w:r>
      <w:r>
        <w:t xml:space="preserve"> pojištění</w:t>
      </w:r>
      <w:r w:rsidR="00231381">
        <w:t xml:space="preserve"> za zaměstnance a daně ze závislé činnosti</w:t>
      </w:r>
      <w:r>
        <w:t xml:space="preserve"> </w:t>
      </w:r>
      <w:r w:rsidR="00231381">
        <w:t>n</w:t>
      </w:r>
      <w:r w:rsidR="007A07F1">
        <w:t>ejsou prováděny řádně a včas</w:t>
      </w:r>
      <w:r w:rsidR="00231381">
        <w:t>.</w:t>
      </w:r>
      <w:r>
        <w:t xml:space="preserve"> To bylo důvodem vypracování základní analýzy poměrových ukazatelů krátkodobé likvidity, neboť </w:t>
      </w:r>
      <w:r w:rsidRPr="00580937">
        <w:rPr>
          <w:b/>
        </w:rPr>
        <w:t xml:space="preserve">má – </w:t>
      </w:r>
      <w:proofErr w:type="spellStart"/>
      <w:r w:rsidRPr="00580937">
        <w:rPr>
          <w:b/>
        </w:rPr>
        <w:t>li</w:t>
      </w:r>
      <w:proofErr w:type="spellEnd"/>
      <w:r w:rsidRPr="00580937">
        <w:rPr>
          <w:b/>
        </w:rPr>
        <w:t xml:space="preserve"> podnik oběžná aktiva vyšší než krátkodobé závazky, existuje naděje, že se mu podaří z těchto aktiv vyprodukovat dostatek peněžních prostředků k uhrazení svých krátkodobých závazků (</w:t>
      </w:r>
      <w:r w:rsidR="0029506C">
        <w:rPr>
          <w:b/>
        </w:rPr>
        <w:t>MRKVIČKA</w:t>
      </w:r>
      <w:r w:rsidRPr="00580937">
        <w:rPr>
          <w:b/>
        </w:rPr>
        <w:t xml:space="preserve">, </w:t>
      </w:r>
      <w:r w:rsidR="0029506C">
        <w:rPr>
          <w:b/>
        </w:rPr>
        <w:t>KOLÁŘ</w:t>
      </w:r>
      <w:r w:rsidRPr="00580937">
        <w:rPr>
          <w:b/>
        </w:rPr>
        <w:t>, 2006</w:t>
      </w:r>
      <w:r w:rsidR="004769CE" w:rsidRPr="00580937">
        <w:rPr>
          <w:b/>
        </w:rPr>
        <w:t>, s. 75)</w:t>
      </w:r>
      <w:r w:rsidRPr="00580937">
        <w:rPr>
          <w:b/>
        </w:rPr>
        <w:t>.</w:t>
      </w:r>
    </w:p>
    <w:p w:rsidR="005B5E23" w:rsidRDefault="005B5E23" w:rsidP="005B5E23">
      <w:pPr>
        <w:pStyle w:val="Nadpis3"/>
        <w:spacing w:line="360" w:lineRule="auto"/>
      </w:pPr>
      <w:bookmarkStart w:id="85" w:name="_Toc339528880"/>
      <w:bookmarkStart w:id="86" w:name="_Toc347166986"/>
      <w:bookmarkStart w:id="87" w:name="_Ref348638400"/>
      <w:bookmarkStart w:id="88" w:name="_Ref348638421"/>
      <w:bookmarkStart w:id="89" w:name="_Ref348638436"/>
      <w:bookmarkStart w:id="90" w:name="_Ref348638450"/>
      <w:bookmarkStart w:id="91" w:name="_Toc353126172"/>
      <w:bookmarkStart w:id="92" w:name="_Toc353439364"/>
      <w:r>
        <w:lastRenderedPageBreak/>
        <w:t>Ukazatele likvidity</w:t>
      </w:r>
      <w:bookmarkEnd w:id="85"/>
      <w:bookmarkEnd w:id="86"/>
      <w:bookmarkEnd w:id="87"/>
      <w:bookmarkEnd w:id="88"/>
      <w:bookmarkEnd w:id="89"/>
      <w:bookmarkEnd w:id="90"/>
      <w:bookmarkEnd w:id="91"/>
      <w:bookmarkEnd w:id="92"/>
    </w:p>
    <w:p w:rsidR="0052632B" w:rsidRPr="0052632B" w:rsidRDefault="00DF19C9" w:rsidP="00255FC3">
      <w:pPr>
        <w:pStyle w:val="Odstavecnormln"/>
      </w:pPr>
      <w:r>
        <w:t xml:space="preserve">Jednou ze základních podmínek existence podniku je platební schopnost. </w:t>
      </w:r>
      <w:r w:rsidR="00F01853">
        <w:t>Aby byl podnik schopen hradit své závazky, musí mít dostatek prostředků k jejich úhradě. Souhrn takových prostředků (likvidních složek majetku), které má podnik k dispozici pro úhradu svých splatných závazků představuje likvidita</w:t>
      </w:r>
      <w:r w:rsidR="00C57D06">
        <w:rPr>
          <w:rStyle w:val="Znakapoznpodarou"/>
        </w:rPr>
        <w:footnoteReference w:id="12"/>
      </w:r>
      <w:r w:rsidR="00F01853">
        <w:t>.</w:t>
      </w:r>
    </w:p>
    <w:p w:rsidR="005B5E23" w:rsidRDefault="005B5E23" w:rsidP="00255FC3">
      <w:pPr>
        <w:pStyle w:val="Odstavecnormln"/>
      </w:pPr>
      <w:r>
        <w:t xml:space="preserve">Pro </w:t>
      </w:r>
      <w:r w:rsidR="0052632B">
        <w:t>výpočet uka</w:t>
      </w:r>
      <w:r w:rsidR="007F6FED">
        <w:t>zatelů likvidity byl</w:t>
      </w:r>
      <w:r>
        <w:t xml:space="preserve"> </w:t>
      </w:r>
      <w:r w:rsidR="007F562C">
        <w:t xml:space="preserve">z účetních záznamů a rozvah společnosti </w:t>
      </w:r>
      <w:r w:rsidR="007F6FED">
        <w:t>sestaven přehled</w:t>
      </w:r>
      <w:r w:rsidR="00940956">
        <w:t xml:space="preserve"> (viz</w:t>
      </w:r>
      <w:r w:rsidR="00E03ABF">
        <w:t xml:space="preserve"> tabulka 4</w:t>
      </w:r>
      <w:r w:rsidR="00940956">
        <w:t>)</w:t>
      </w:r>
      <w:r>
        <w:t xml:space="preserve">, </w:t>
      </w:r>
      <w:r w:rsidR="007F6FED">
        <w:t>ve kterém</w:t>
      </w:r>
      <w:r>
        <w:t xml:space="preserve"> jsou uvedeny hodnoty aktiv a pasiv nezbytných pro určení běžné, pohotové a okamžité likvidity v jednotlivých letech zkoumaného období.</w:t>
      </w:r>
    </w:p>
    <w:p w:rsidR="000049CD" w:rsidRPr="000049CD" w:rsidRDefault="000049CD" w:rsidP="00897452">
      <w:pPr>
        <w:pStyle w:val="Titulek"/>
      </w:pPr>
      <w:bookmarkStart w:id="93" w:name="_Ref348551421"/>
      <w:bookmarkStart w:id="94" w:name="_Ref348551392"/>
      <w:bookmarkStart w:id="95" w:name="_Toc353125943"/>
      <w:r w:rsidRPr="000049CD">
        <w:t xml:space="preserve">Tabulka </w:t>
      </w:r>
      <w:r w:rsidR="00C96C2B">
        <w:fldChar w:fldCharType="begin"/>
      </w:r>
      <w:r w:rsidR="00C96C2B">
        <w:instrText xml:space="preserve"> SEQ Tabulka \* ARABIC </w:instrText>
      </w:r>
      <w:r w:rsidR="00C96C2B">
        <w:fldChar w:fldCharType="separate"/>
      </w:r>
      <w:r w:rsidR="002534BA">
        <w:rPr>
          <w:noProof/>
        </w:rPr>
        <w:t>4</w:t>
      </w:r>
      <w:r w:rsidR="00C96C2B">
        <w:rPr>
          <w:noProof/>
        </w:rPr>
        <w:fldChar w:fldCharType="end"/>
      </w:r>
      <w:bookmarkEnd w:id="93"/>
      <w:r w:rsidRPr="000049CD">
        <w:t xml:space="preserve"> Vybrané hodnoty aktiv a pasiv</w:t>
      </w:r>
      <w:bookmarkEnd w:id="94"/>
      <w:r w:rsidR="007E4FA9">
        <w:t xml:space="preserve"> - KOVOVÝROBA s. r. o.</w:t>
      </w:r>
      <w:bookmarkEnd w:id="95"/>
    </w:p>
    <w:p w:rsidR="0041695F" w:rsidRDefault="0041695F" w:rsidP="00F84BCD">
      <w:pPr>
        <w:pStyle w:val="dajenadtabulkouazdroj"/>
        <w:ind w:left="284"/>
      </w:pPr>
      <w:r>
        <w:t>Údaje jsou uvedeny v celých Kč</w:t>
      </w:r>
    </w:p>
    <w:tbl>
      <w:tblPr>
        <w:tblW w:w="8942" w:type="dxa"/>
        <w:jc w:val="center"/>
        <w:tblCellMar>
          <w:left w:w="70" w:type="dxa"/>
          <w:right w:w="70" w:type="dxa"/>
        </w:tblCellMar>
        <w:tblLook w:val="04A0" w:firstRow="1" w:lastRow="0" w:firstColumn="1" w:lastColumn="0" w:noHBand="0" w:noVBand="1"/>
      </w:tblPr>
      <w:tblGrid>
        <w:gridCol w:w="568"/>
        <w:gridCol w:w="2404"/>
        <w:gridCol w:w="2685"/>
        <w:gridCol w:w="1095"/>
        <w:gridCol w:w="1095"/>
        <w:gridCol w:w="1095"/>
      </w:tblGrid>
      <w:tr w:rsidR="00F84BCD" w:rsidRPr="00F84BCD" w:rsidTr="00BD5E0B">
        <w:trPr>
          <w:trHeight w:val="439"/>
          <w:tblHeader/>
          <w:jc w:val="center"/>
        </w:trPr>
        <w:tc>
          <w:tcPr>
            <w:tcW w:w="568" w:type="dxa"/>
            <w:tcBorders>
              <w:top w:val="single" w:sz="12" w:space="0" w:color="auto"/>
              <w:left w:val="single" w:sz="12" w:space="0" w:color="auto"/>
              <w:bottom w:val="double" w:sz="6" w:space="0" w:color="auto"/>
              <w:right w:val="single" w:sz="4" w:space="0" w:color="auto"/>
            </w:tcBorders>
            <w:shd w:val="clear" w:color="000000" w:fill="E4DFEC"/>
            <w:vAlign w:val="center"/>
            <w:hideMark/>
          </w:tcPr>
          <w:p w:rsidR="00F84BCD" w:rsidRPr="00F84BCD" w:rsidRDefault="00325192" w:rsidP="00325192">
            <w:pPr>
              <w:spacing w:after="0" w:line="240" w:lineRule="auto"/>
              <w:jc w:val="center"/>
              <w:rPr>
                <w:b/>
                <w:bCs/>
                <w:color w:val="000000"/>
                <w:szCs w:val="22"/>
              </w:rPr>
            </w:pPr>
            <w:proofErr w:type="gramStart"/>
            <w:r>
              <w:rPr>
                <w:b/>
                <w:bCs/>
                <w:color w:val="000000"/>
                <w:sz w:val="22"/>
                <w:szCs w:val="22"/>
              </w:rPr>
              <w:t>Č.Ř</w:t>
            </w:r>
            <w:r w:rsidR="00F84BCD" w:rsidRPr="00F84BCD">
              <w:rPr>
                <w:b/>
                <w:bCs/>
                <w:color w:val="000000"/>
                <w:sz w:val="22"/>
                <w:szCs w:val="22"/>
              </w:rPr>
              <w:t>.</w:t>
            </w:r>
            <w:proofErr w:type="gramEnd"/>
          </w:p>
        </w:tc>
        <w:tc>
          <w:tcPr>
            <w:tcW w:w="5114" w:type="dxa"/>
            <w:gridSpan w:val="2"/>
            <w:tcBorders>
              <w:top w:val="single" w:sz="12" w:space="0" w:color="auto"/>
              <w:left w:val="nil"/>
              <w:bottom w:val="double" w:sz="6" w:space="0" w:color="auto"/>
              <w:right w:val="single" w:sz="4" w:space="0" w:color="000000"/>
            </w:tcBorders>
            <w:shd w:val="clear" w:color="000000" w:fill="E4DFEC"/>
            <w:vAlign w:val="center"/>
            <w:hideMark/>
          </w:tcPr>
          <w:p w:rsidR="00F84BCD" w:rsidRPr="00F84BCD" w:rsidRDefault="00325192" w:rsidP="00F84BCD">
            <w:pPr>
              <w:spacing w:after="0" w:line="240" w:lineRule="auto"/>
              <w:jc w:val="center"/>
              <w:rPr>
                <w:b/>
                <w:bCs/>
                <w:color w:val="000000"/>
                <w:szCs w:val="22"/>
              </w:rPr>
            </w:pPr>
            <w:r>
              <w:rPr>
                <w:b/>
                <w:bCs/>
                <w:color w:val="000000"/>
                <w:sz w:val="22"/>
                <w:szCs w:val="22"/>
              </w:rPr>
              <w:t>TEXT</w:t>
            </w:r>
          </w:p>
        </w:tc>
        <w:tc>
          <w:tcPr>
            <w:tcW w:w="1100" w:type="dxa"/>
            <w:tcBorders>
              <w:top w:val="single" w:sz="12" w:space="0" w:color="auto"/>
              <w:left w:val="nil"/>
              <w:bottom w:val="double" w:sz="6" w:space="0" w:color="auto"/>
              <w:right w:val="single" w:sz="4" w:space="0" w:color="auto"/>
            </w:tcBorders>
            <w:shd w:val="clear" w:color="000000" w:fill="E4DFEC"/>
            <w:vAlign w:val="center"/>
            <w:hideMark/>
          </w:tcPr>
          <w:p w:rsidR="00F84BCD" w:rsidRPr="00F84BCD" w:rsidRDefault="00F84BCD" w:rsidP="00F84BCD">
            <w:pPr>
              <w:spacing w:after="0" w:line="240" w:lineRule="auto"/>
              <w:jc w:val="center"/>
              <w:rPr>
                <w:b/>
                <w:bCs/>
                <w:color w:val="000000"/>
                <w:szCs w:val="22"/>
              </w:rPr>
            </w:pPr>
            <w:r w:rsidRPr="00F84BCD">
              <w:rPr>
                <w:b/>
                <w:bCs/>
                <w:color w:val="000000"/>
                <w:sz w:val="22"/>
                <w:szCs w:val="22"/>
              </w:rPr>
              <w:t>2009</w:t>
            </w:r>
          </w:p>
        </w:tc>
        <w:tc>
          <w:tcPr>
            <w:tcW w:w="1100" w:type="dxa"/>
            <w:tcBorders>
              <w:top w:val="single" w:sz="12" w:space="0" w:color="auto"/>
              <w:left w:val="nil"/>
              <w:bottom w:val="double" w:sz="6" w:space="0" w:color="auto"/>
              <w:right w:val="single" w:sz="4" w:space="0" w:color="auto"/>
            </w:tcBorders>
            <w:shd w:val="clear" w:color="000000" w:fill="E4DFEC"/>
            <w:vAlign w:val="center"/>
            <w:hideMark/>
          </w:tcPr>
          <w:p w:rsidR="00F84BCD" w:rsidRPr="00F84BCD" w:rsidRDefault="00F84BCD" w:rsidP="00F84BCD">
            <w:pPr>
              <w:spacing w:after="0" w:line="240" w:lineRule="auto"/>
              <w:jc w:val="center"/>
              <w:rPr>
                <w:b/>
                <w:bCs/>
                <w:color w:val="000000"/>
                <w:szCs w:val="22"/>
              </w:rPr>
            </w:pPr>
            <w:r w:rsidRPr="00F84BCD">
              <w:rPr>
                <w:b/>
                <w:bCs/>
                <w:color w:val="000000"/>
                <w:sz w:val="22"/>
                <w:szCs w:val="22"/>
              </w:rPr>
              <w:t>2010</w:t>
            </w:r>
          </w:p>
        </w:tc>
        <w:tc>
          <w:tcPr>
            <w:tcW w:w="1100" w:type="dxa"/>
            <w:tcBorders>
              <w:top w:val="single" w:sz="12" w:space="0" w:color="auto"/>
              <w:left w:val="nil"/>
              <w:bottom w:val="double" w:sz="6" w:space="0" w:color="auto"/>
              <w:right w:val="single" w:sz="12" w:space="0" w:color="auto"/>
            </w:tcBorders>
            <w:shd w:val="clear" w:color="000000" w:fill="E4DFEC"/>
            <w:vAlign w:val="center"/>
            <w:hideMark/>
          </w:tcPr>
          <w:p w:rsidR="00F84BCD" w:rsidRPr="00F84BCD" w:rsidRDefault="00F84BCD" w:rsidP="00F84BCD">
            <w:pPr>
              <w:spacing w:after="0" w:line="240" w:lineRule="auto"/>
              <w:jc w:val="center"/>
              <w:rPr>
                <w:b/>
                <w:bCs/>
                <w:color w:val="000000"/>
                <w:szCs w:val="22"/>
              </w:rPr>
            </w:pPr>
            <w:r w:rsidRPr="00F84BCD">
              <w:rPr>
                <w:b/>
                <w:bCs/>
                <w:color w:val="000000"/>
                <w:sz w:val="22"/>
                <w:szCs w:val="22"/>
              </w:rPr>
              <w:t>2011</w:t>
            </w:r>
          </w:p>
        </w:tc>
      </w:tr>
      <w:tr w:rsidR="00F84BCD" w:rsidRPr="00F84BCD" w:rsidTr="00BD5E0B">
        <w:trPr>
          <w:trHeight w:val="340"/>
          <w:jc w:val="center"/>
        </w:trPr>
        <w:tc>
          <w:tcPr>
            <w:tcW w:w="568" w:type="dxa"/>
            <w:tcBorders>
              <w:top w:val="nil"/>
              <w:left w:val="single" w:sz="12" w:space="0" w:color="auto"/>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center"/>
              <w:rPr>
                <w:color w:val="000000"/>
                <w:szCs w:val="22"/>
              </w:rPr>
            </w:pPr>
            <w:r w:rsidRPr="00F84BCD">
              <w:rPr>
                <w:color w:val="000000"/>
                <w:sz w:val="22"/>
                <w:szCs w:val="22"/>
              </w:rPr>
              <w:t>1</w:t>
            </w:r>
          </w:p>
        </w:tc>
        <w:tc>
          <w:tcPr>
            <w:tcW w:w="2417"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rPr>
                <w:color w:val="000000"/>
                <w:szCs w:val="22"/>
              </w:rPr>
            </w:pPr>
            <w:r w:rsidRPr="00F84BCD">
              <w:rPr>
                <w:color w:val="000000"/>
                <w:sz w:val="22"/>
                <w:szCs w:val="22"/>
              </w:rPr>
              <w:t>Oběžná aktiva</w:t>
            </w:r>
          </w:p>
        </w:tc>
        <w:tc>
          <w:tcPr>
            <w:tcW w:w="2697"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rPr>
                <w:color w:val="000000"/>
                <w:szCs w:val="22"/>
              </w:rPr>
            </w:pPr>
            <w:r w:rsidRPr="00F84BCD">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241 512</w:t>
            </w:r>
          </w:p>
        </w:tc>
        <w:tc>
          <w:tcPr>
            <w:tcW w:w="1100"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1 403 268</w:t>
            </w:r>
          </w:p>
        </w:tc>
        <w:tc>
          <w:tcPr>
            <w:tcW w:w="1100" w:type="dxa"/>
            <w:tcBorders>
              <w:top w:val="nil"/>
              <w:left w:val="nil"/>
              <w:bottom w:val="single" w:sz="4" w:space="0" w:color="auto"/>
              <w:right w:val="single" w:sz="12"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998 530</w:t>
            </w:r>
          </w:p>
        </w:tc>
      </w:tr>
      <w:tr w:rsidR="00F84BCD" w:rsidRPr="00F84BCD" w:rsidTr="00BD5E0B">
        <w:trPr>
          <w:trHeight w:val="340"/>
          <w:jc w:val="center"/>
        </w:trPr>
        <w:tc>
          <w:tcPr>
            <w:tcW w:w="568" w:type="dxa"/>
            <w:tcBorders>
              <w:top w:val="nil"/>
              <w:left w:val="single" w:sz="12" w:space="0" w:color="auto"/>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center"/>
              <w:rPr>
                <w:color w:val="000000"/>
                <w:szCs w:val="22"/>
              </w:rPr>
            </w:pPr>
            <w:r w:rsidRPr="00F84BCD">
              <w:rPr>
                <w:color w:val="000000"/>
                <w:sz w:val="22"/>
                <w:szCs w:val="22"/>
              </w:rPr>
              <w:t>2</w:t>
            </w:r>
          </w:p>
        </w:tc>
        <w:tc>
          <w:tcPr>
            <w:tcW w:w="2417"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rPr>
                <w:color w:val="000000"/>
                <w:szCs w:val="22"/>
              </w:rPr>
            </w:pPr>
            <w:r w:rsidRPr="00F84BCD">
              <w:rPr>
                <w:color w:val="000000"/>
                <w:sz w:val="22"/>
                <w:szCs w:val="22"/>
              </w:rPr>
              <w:t>Zásoby</w:t>
            </w:r>
          </w:p>
        </w:tc>
        <w:tc>
          <w:tcPr>
            <w:tcW w:w="2697"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rPr>
                <w:color w:val="000000"/>
                <w:szCs w:val="22"/>
              </w:rPr>
            </w:pPr>
            <w:r w:rsidRPr="00F84BCD">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0</w:t>
            </w:r>
          </w:p>
        </w:tc>
        <w:tc>
          <w:tcPr>
            <w:tcW w:w="1100"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625 600</w:t>
            </w:r>
          </w:p>
        </w:tc>
        <w:tc>
          <w:tcPr>
            <w:tcW w:w="1100" w:type="dxa"/>
            <w:tcBorders>
              <w:top w:val="nil"/>
              <w:left w:val="nil"/>
              <w:bottom w:val="single" w:sz="4" w:space="0" w:color="auto"/>
              <w:right w:val="single" w:sz="12"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235 000</w:t>
            </w:r>
          </w:p>
        </w:tc>
      </w:tr>
      <w:tr w:rsidR="00F84BCD" w:rsidRPr="00F84BCD" w:rsidTr="00BD5E0B">
        <w:trPr>
          <w:trHeight w:val="340"/>
          <w:jc w:val="center"/>
        </w:trPr>
        <w:tc>
          <w:tcPr>
            <w:tcW w:w="568" w:type="dxa"/>
            <w:tcBorders>
              <w:top w:val="nil"/>
              <w:left w:val="single" w:sz="12" w:space="0" w:color="auto"/>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center"/>
              <w:rPr>
                <w:color w:val="000000"/>
                <w:szCs w:val="22"/>
              </w:rPr>
            </w:pPr>
            <w:r w:rsidRPr="00F84BCD">
              <w:rPr>
                <w:color w:val="000000"/>
                <w:sz w:val="22"/>
                <w:szCs w:val="22"/>
              </w:rPr>
              <w:t>3</w:t>
            </w:r>
          </w:p>
        </w:tc>
        <w:tc>
          <w:tcPr>
            <w:tcW w:w="2417"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rPr>
                <w:color w:val="000000"/>
                <w:szCs w:val="22"/>
              </w:rPr>
            </w:pPr>
            <w:r w:rsidRPr="00F84BCD">
              <w:rPr>
                <w:color w:val="000000"/>
                <w:sz w:val="22"/>
                <w:szCs w:val="22"/>
              </w:rPr>
              <w:t>Krátkodobé pohledávky</w:t>
            </w:r>
          </w:p>
        </w:tc>
        <w:tc>
          <w:tcPr>
            <w:tcW w:w="2697"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rPr>
                <w:color w:val="000000"/>
                <w:szCs w:val="22"/>
              </w:rPr>
            </w:pPr>
            <w:r w:rsidRPr="00F84BCD">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240 838</w:t>
            </w:r>
          </w:p>
        </w:tc>
        <w:tc>
          <w:tcPr>
            <w:tcW w:w="1100"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758 192</w:t>
            </w:r>
          </w:p>
        </w:tc>
        <w:tc>
          <w:tcPr>
            <w:tcW w:w="1100" w:type="dxa"/>
            <w:tcBorders>
              <w:top w:val="nil"/>
              <w:left w:val="nil"/>
              <w:bottom w:val="single" w:sz="4" w:space="0" w:color="auto"/>
              <w:right w:val="single" w:sz="12"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701 508</w:t>
            </w:r>
          </w:p>
        </w:tc>
      </w:tr>
      <w:tr w:rsidR="00F84BCD" w:rsidRPr="00F84BCD" w:rsidTr="00BD5E0B">
        <w:trPr>
          <w:trHeight w:val="340"/>
          <w:jc w:val="center"/>
        </w:trPr>
        <w:tc>
          <w:tcPr>
            <w:tcW w:w="568" w:type="dxa"/>
            <w:tcBorders>
              <w:top w:val="nil"/>
              <w:left w:val="single" w:sz="12" w:space="0" w:color="auto"/>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center"/>
              <w:rPr>
                <w:color w:val="000000"/>
                <w:szCs w:val="22"/>
              </w:rPr>
            </w:pPr>
            <w:r w:rsidRPr="00F84BCD">
              <w:rPr>
                <w:color w:val="000000"/>
                <w:sz w:val="22"/>
                <w:szCs w:val="22"/>
              </w:rPr>
              <w:t>4</w:t>
            </w:r>
          </w:p>
        </w:tc>
        <w:tc>
          <w:tcPr>
            <w:tcW w:w="2417"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z toho</w:t>
            </w:r>
          </w:p>
        </w:tc>
        <w:tc>
          <w:tcPr>
            <w:tcW w:w="2697"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rPr>
                <w:color w:val="000000"/>
                <w:szCs w:val="22"/>
              </w:rPr>
            </w:pPr>
            <w:r w:rsidRPr="00F84BCD">
              <w:rPr>
                <w:color w:val="000000"/>
                <w:sz w:val="22"/>
                <w:szCs w:val="22"/>
              </w:rPr>
              <w:t>nedobytné pohledávky</w:t>
            </w:r>
          </w:p>
        </w:tc>
        <w:tc>
          <w:tcPr>
            <w:tcW w:w="1100"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0</w:t>
            </w:r>
          </w:p>
        </w:tc>
        <w:tc>
          <w:tcPr>
            <w:tcW w:w="1100"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0</w:t>
            </w:r>
          </w:p>
        </w:tc>
        <w:tc>
          <w:tcPr>
            <w:tcW w:w="1100" w:type="dxa"/>
            <w:tcBorders>
              <w:top w:val="nil"/>
              <w:left w:val="nil"/>
              <w:bottom w:val="single" w:sz="4" w:space="0" w:color="auto"/>
              <w:right w:val="single" w:sz="12"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0</w:t>
            </w:r>
          </w:p>
        </w:tc>
      </w:tr>
      <w:tr w:rsidR="00F84BCD" w:rsidRPr="00F84BCD" w:rsidTr="00BD5E0B">
        <w:trPr>
          <w:trHeight w:val="340"/>
          <w:jc w:val="center"/>
        </w:trPr>
        <w:tc>
          <w:tcPr>
            <w:tcW w:w="568" w:type="dxa"/>
            <w:tcBorders>
              <w:top w:val="nil"/>
              <w:left w:val="single" w:sz="12" w:space="0" w:color="auto"/>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center"/>
              <w:rPr>
                <w:color w:val="000000"/>
                <w:szCs w:val="22"/>
              </w:rPr>
            </w:pPr>
            <w:r w:rsidRPr="00F84BCD">
              <w:rPr>
                <w:color w:val="000000"/>
                <w:sz w:val="22"/>
                <w:szCs w:val="22"/>
              </w:rPr>
              <w:t>5</w:t>
            </w:r>
          </w:p>
        </w:tc>
        <w:tc>
          <w:tcPr>
            <w:tcW w:w="2417"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rPr>
                <w:color w:val="000000"/>
                <w:szCs w:val="22"/>
              </w:rPr>
            </w:pPr>
            <w:r w:rsidRPr="00F84BCD">
              <w:rPr>
                <w:color w:val="000000"/>
                <w:sz w:val="22"/>
                <w:szCs w:val="22"/>
              </w:rPr>
              <w:t>Finanční prostředky</w:t>
            </w:r>
          </w:p>
        </w:tc>
        <w:tc>
          <w:tcPr>
            <w:tcW w:w="2697"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rPr>
                <w:color w:val="000000"/>
                <w:szCs w:val="22"/>
              </w:rPr>
            </w:pPr>
            <w:r w:rsidRPr="00F84BCD">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675</w:t>
            </w:r>
          </w:p>
        </w:tc>
        <w:tc>
          <w:tcPr>
            <w:tcW w:w="1100"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19 476</w:t>
            </w:r>
          </w:p>
        </w:tc>
        <w:tc>
          <w:tcPr>
            <w:tcW w:w="1100" w:type="dxa"/>
            <w:tcBorders>
              <w:top w:val="nil"/>
              <w:left w:val="nil"/>
              <w:bottom w:val="single" w:sz="4" w:space="0" w:color="auto"/>
              <w:right w:val="single" w:sz="12"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62 022</w:t>
            </w:r>
          </w:p>
        </w:tc>
      </w:tr>
      <w:tr w:rsidR="00F84BCD" w:rsidRPr="00F84BCD" w:rsidTr="00BD5E0B">
        <w:trPr>
          <w:trHeight w:val="340"/>
          <w:jc w:val="center"/>
        </w:trPr>
        <w:tc>
          <w:tcPr>
            <w:tcW w:w="568" w:type="dxa"/>
            <w:tcBorders>
              <w:top w:val="nil"/>
              <w:left w:val="single" w:sz="12" w:space="0" w:color="auto"/>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center"/>
              <w:rPr>
                <w:color w:val="000000"/>
                <w:szCs w:val="22"/>
              </w:rPr>
            </w:pPr>
            <w:r w:rsidRPr="00F84BCD">
              <w:rPr>
                <w:color w:val="000000"/>
                <w:sz w:val="22"/>
                <w:szCs w:val="22"/>
              </w:rPr>
              <w:t>6</w:t>
            </w:r>
          </w:p>
        </w:tc>
        <w:tc>
          <w:tcPr>
            <w:tcW w:w="2417"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rPr>
                <w:color w:val="000000"/>
                <w:szCs w:val="22"/>
              </w:rPr>
            </w:pPr>
            <w:r w:rsidRPr="00F84BCD">
              <w:rPr>
                <w:color w:val="000000"/>
                <w:sz w:val="22"/>
                <w:szCs w:val="22"/>
              </w:rPr>
              <w:t>Krátkodobé závazky</w:t>
            </w:r>
          </w:p>
        </w:tc>
        <w:tc>
          <w:tcPr>
            <w:tcW w:w="2697"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rPr>
                <w:color w:val="000000"/>
                <w:szCs w:val="22"/>
              </w:rPr>
            </w:pPr>
            <w:r w:rsidRPr="00F84BCD">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156 014</w:t>
            </w:r>
          </w:p>
        </w:tc>
        <w:tc>
          <w:tcPr>
            <w:tcW w:w="1100"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2 113 319</w:t>
            </w:r>
          </w:p>
        </w:tc>
        <w:tc>
          <w:tcPr>
            <w:tcW w:w="1100" w:type="dxa"/>
            <w:tcBorders>
              <w:top w:val="nil"/>
              <w:left w:val="nil"/>
              <w:bottom w:val="single" w:sz="4" w:space="0" w:color="auto"/>
              <w:right w:val="single" w:sz="12"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4 107 828</w:t>
            </w:r>
          </w:p>
        </w:tc>
      </w:tr>
      <w:tr w:rsidR="00F84BCD" w:rsidRPr="00F84BCD" w:rsidTr="00BD5E0B">
        <w:trPr>
          <w:trHeight w:val="340"/>
          <w:jc w:val="center"/>
        </w:trPr>
        <w:tc>
          <w:tcPr>
            <w:tcW w:w="568" w:type="dxa"/>
            <w:tcBorders>
              <w:top w:val="nil"/>
              <w:left w:val="single" w:sz="12" w:space="0" w:color="auto"/>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center"/>
              <w:rPr>
                <w:color w:val="000000"/>
                <w:szCs w:val="22"/>
              </w:rPr>
            </w:pPr>
            <w:r w:rsidRPr="00F84BCD">
              <w:rPr>
                <w:color w:val="000000"/>
                <w:sz w:val="22"/>
                <w:szCs w:val="22"/>
              </w:rPr>
              <w:t>7</w:t>
            </w:r>
          </w:p>
        </w:tc>
        <w:tc>
          <w:tcPr>
            <w:tcW w:w="2417" w:type="dxa"/>
            <w:vMerge w:val="restart"/>
            <w:tcBorders>
              <w:top w:val="nil"/>
              <w:left w:val="single" w:sz="4" w:space="0" w:color="auto"/>
              <w:bottom w:val="single" w:sz="12" w:space="0" w:color="000000"/>
              <w:right w:val="single" w:sz="4" w:space="0" w:color="auto"/>
            </w:tcBorders>
            <w:shd w:val="clear" w:color="auto" w:fill="auto"/>
            <w:hideMark/>
          </w:tcPr>
          <w:p w:rsidR="00F84BCD" w:rsidRPr="00F84BCD" w:rsidRDefault="00F84BCD" w:rsidP="00F84BCD">
            <w:pPr>
              <w:spacing w:after="0" w:line="240" w:lineRule="auto"/>
              <w:jc w:val="right"/>
              <w:rPr>
                <w:color w:val="000000"/>
                <w:szCs w:val="22"/>
              </w:rPr>
            </w:pPr>
            <w:r w:rsidRPr="00F84BCD">
              <w:rPr>
                <w:color w:val="000000"/>
                <w:sz w:val="22"/>
                <w:szCs w:val="22"/>
              </w:rPr>
              <w:t>z toho</w:t>
            </w:r>
          </w:p>
        </w:tc>
        <w:tc>
          <w:tcPr>
            <w:tcW w:w="2697"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left"/>
              <w:rPr>
                <w:color w:val="000000"/>
                <w:szCs w:val="22"/>
              </w:rPr>
            </w:pPr>
            <w:r w:rsidRPr="00F84BCD">
              <w:rPr>
                <w:color w:val="000000"/>
                <w:sz w:val="22"/>
                <w:szCs w:val="22"/>
              </w:rPr>
              <w:t>okamžitě splatné krátkodobé závazky z obchodního styku</w:t>
            </w:r>
          </w:p>
        </w:tc>
        <w:tc>
          <w:tcPr>
            <w:tcW w:w="1100"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78 150</w:t>
            </w:r>
          </w:p>
        </w:tc>
        <w:tc>
          <w:tcPr>
            <w:tcW w:w="1100"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1 269 737</w:t>
            </w:r>
          </w:p>
        </w:tc>
        <w:tc>
          <w:tcPr>
            <w:tcW w:w="1100" w:type="dxa"/>
            <w:tcBorders>
              <w:top w:val="nil"/>
              <w:left w:val="nil"/>
              <w:bottom w:val="single" w:sz="4" w:space="0" w:color="auto"/>
              <w:right w:val="single" w:sz="12"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2 406 283</w:t>
            </w:r>
          </w:p>
        </w:tc>
      </w:tr>
      <w:tr w:rsidR="00F84BCD" w:rsidRPr="00F84BCD" w:rsidTr="00BD5E0B">
        <w:trPr>
          <w:trHeight w:val="340"/>
          <w:jc w:val="center"/>
        </w:trPr>
        <w:tc>
          <w:tcPr>
            <w:tcW w:w="568" w:type="dxa"/>
            <w:tcBorders>
              <w:top w:val="nil"/>
              <w:left w:val="single" w:sz="12" w:space="0" w:color="auto"/>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center"/>
              <w:rPr>
                <w:color w:val="000000"/>
                <w:szCs w:val="22"/>
              </w:rPr>
            </w:pPr>
            <w:r w:rsidRPr="00F84BCD">
              <w:rPr>
                <w:color w:val="000000"/>
                <w:sz w:val="22"/>
                <w:szCs w:val="22"/>
              </w:rPr>
              <w:t>8</w:t>
            </w:r>
          </w:p>
        </w:tc>
        <w:tc>
          <w:tcPr>
            <w:tcW w:w="2417" w:type="dxa"/>
            <w:vMerge/>
            <w:tcBorders>
              <w:top w:val="nil"/>
              <w:left w:val="single" w:sz="4" w:space="0" w:color="auto"/>
              <w:bottom w:val="single" w:sz="12" w:space="0" w:color="000000"/>
              <w:right w:val="single" w:sz="4" w:space="0" w:color="auto"/>
            </w:tcBorders>
            <w:vAlign w:val="center"/>
            <w:hideMark/>
          </w:tcPr>
          <w:p w:rsidR="00F84BCD" w:rsidRPr="00F84BCD" w:rsidRDefault="00F84BCD" w:rsidP="00F84BCD">
            <w:pPr>
              <w:spacing w:after="0" w:line="240" w:lineRule="auto"/>
              <w:jc w:val="left"/>
              <w:rPr>
                <w:color w:val="000000"/>
                <w:szCs w:val="22"/>
              </w:rPr>
            </w:pPr>
          </w:p>
        </w:tc>
        <w:tc>
          <w:tcPr>
            <w:tcW w:w="2697"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BD5E0B">
            <w:pPr>
              <w:spacing w:after="0" w:line="240" w:lineRule="auto"/>
              <w:jc w:val="left"/>
              <w:rPr>
                <w:color w:val="000000"/>
                <w:szCs w:val="22"/>
              </w:rPr>
            </w:pPr>
            <w:r w:rsidRPr="00F84BCD">
              <w:rPr>
                <w:color w:val="000000"/>
                <w:sz w:val="22"/>
                <w:szCs w:val="22"/>
              </w:rPr>
              <w:t>okamžitě splatné závazky</w:t>
            </w:r>
            <w:r w:rsidR="00BD5E0B">
              <w:rPr>
                <w:color w:val="000000"/>
                <w:sz w:val="22"/>
                <w:szCs w:val="22"/>
              </w:rPr>
              <w:br/>
            </w:r>
            <w:r w:rsidRPr="00F84BCD">
              <w:rPr>
                <w:color w:val="000000"/>
                <w:sz w:val="22"/>
                <w:szCs w:val="22"/>
              </w:rPr>
              <w:t>ke společníkům</w:t>
            </w:r>
          </w:p>
        </w:tc>
        <w:tc>
          <w:tcPr>
            <w:tcW w:w="1100"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59 832</w:t>
            </w:r>
          </w:p>
        </w:tc>
        <w:tc>
          <w:tcPr>
            <w:tcW w:w="1100"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271 832</w:t>
            </w:r>
          </w:p>
        </w:tc>
        <w:tc>
          <w:tcPr>
            <w:tcW w:w="1100" w:type="dxa"/>
            <w:tcBorders>
              <w:top w:val="nil"/>
              <w:left w:val="nil"/>
              <w:bottom w:val="single" w:sz="4" w:space="0" w:color="auto"/>
              <w:right w:val="single" w:sz="12"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432 652</w:t>
            </w:r>
          </w:p>
        </w:tc>
      </w:tr>
      <w:tr w:rsidR="00F84BCD" w:rsidRPr="00F84BCD" w:rsidTr="00BD5E0B">
        <w:trPr>
          <w:trHeight w:val="340"/>
          <w:jc w:val="center"/>
        </w:trPr>
        <w:tc>
          <w:tcPr>
            <w:tcW w:w="568" w:type="dxa"/>
            <w:tcBorders>
              <w:top w:val="nil"/>
              <w:left w:val="single" w:sz="12" w:space="0" w:color="auto"/>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center"/>
              <w:rPr>
                <w:color w:val="000000"/>
                <w:szCs w:val="22"/>
              </w:rPr>
            </w:pPr>
            <w:r w:rsidRPr="00F84BCD">
              <w:rPr>
                <w:color w:val="000000"/>
                <w:sz w:val="22"/>
                <w:szCs w:val="22"/>
              </w:rPr>
              <w:t>9</w:t>
            </w:r>
          </w:p>
        </w:tc>
        <w:tc>
          <w:tcPr>
            <w:tcW w:w="2417" w:type="dxa"/>
            <w:vMerge/>
            <w:tcBorders>
              <w:top w:val="nil"/>
              <w:left w:val="single" w:sz="4" w:space="0" w:color="auto"/>
              <w:bottom w:val="single" w:sz="12" w:space="0" w:color="000000"/>
              <w:right w:val="single" w:sz="4" w:space="0" w:color="auto"/>
            </w:tcBorders>
            <w:vAlign w:val="center"/>
            <w:hideMark/>
          </w:tcPr>
          <w:p w:rsidR="00F84BCD" w:rsidRPr="00F84BCD" w:rsidRDefault="00F84BCD" w:rsidP="00F84BCD">
            <w:pPr>
              <w:spacing w:after="0" w:line="240" w:lineRule="auto"/>
              <w:jc w:val="left"/>
              <w:rPr>
                <w:color w:val="000000"/>
                <w:szCs w:val="22"/>
              </w:rPr>
            </w:pPr>
          </w:p>
        </w:tc>
        <w:tc>
          <w:tcPr>
            <w:tcW w:w="2697"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left"/>
              <w:rPr>
                <w:color w:val="000000"/>
                <w:szCs w:val="22"/>
              </w:rPr>
            </w:pPr>
            <w:r w:rsidRPr="00F84BCD">
              <w:rPr>
                <w:color w:val="000000"/>
                <w:sz w:val="22"/>
                <w:szCs w:val="22"/>
              </w:rPr>
              <w:t xml:space="preserve">okamžitě splatné závazky </w:t>
            </w:r>
            <w:r w:rsidR="00BD5E0B">
              <w:rPr>
                <w:color w:val="000000"/>
                <w:sz w:val="22"/>
                <w:szCs w:val="22"/>
              </w:rPr>
              <w:br/>
            </w:r>
            <w:r w:rsidRPr="00F84BCD">
              <w:rPr>
                <w:color w:val="000000"/>
                <w:sz w:val="22"/>
                <w:szCs w:val="22"/>
              </w:rPr>
              <w:t>k zaměstnancům</w:t>
            </w:r>
          </w:p>
        </w:tc>
        <w:tc>
          <w:tcPr>
            <w:tcW w:w="1100"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0</w:t>
            </w:r>
          </w:p>
        </w:tc>
        <w:tc>
          <w:tcPr>
            <w:tcW w:w="1100"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33 525</w:t>
            </w:r>
          </w:p>
        </w:tc>
        <w:tc>
          <w:tcPr>
            <w:tcW w:w="1100" w:type="dxa"/>
            <w:tcBorders>
              <w:top w:val="nil"/>
              <w:left w:val="nil"/>
              <w:bottom w:val="single" w:sz="4" w:space="0" w:color="auto"/>
              <w:right w:val="single" w:sz="12"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391 623</w:t>
            </w:r>
          </w:p>
        </w:tc>
      </w:tr>
      <w:tr w:rsidR="00F84BCD" w:rsidRPr="00F84BCD" w:rsidTr="00BD5E0B">
        <w:trPr>
          <w:trHeight w:val="340"/>
          <w:jc w:val="center"/>
        </w:trPr>
        <w:tc>
          <w:tcPr>
            <w:tcW w:w="568" w:type="dxa"/>
            <w:tcBorders>
              <w:top w:val="nil"/>
              <w:left w:val="single" w:sz="12" w:space="0" w:color="auto"/>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center"/>
              <w:rPr>
                <w:color w:val="000000"/>
                <w:szCs w:val="22"/>
              </w:rPr>
            </w:pPr>
            <w:r w:rsidRPr="00F84BCD">
              <w:rPr>
                <w:color w:val="000000"/>
                <w:sz w:val="22"/>
                <w:szCs w:val="22"/>
              </w:rPr>
              <w:t>10</w:t>
            </w:r>
          </w:p>
        </w:tc>
        <w:tc>
          <w:tcPr>
            <w:tcW w:w="2417" w:type="dxa"/>
            <w:vMerge/>
            <w:tcBorders>
              <w:top w:val="nil"/>
              <w:left w:val="single" w:sz="4" w:space="0" w:color="auto"/>
              <w:bottom w:val="single" w:sz="12" w:space="0" w:color="000000"/>
              <w:right w:val="single" w:sz="4" w:space="0" w:color="auto"/>
            </w:tcBorders>
            <w:vAlign w:val="center"/>
            <w:hideMark/>
          </w:tcPr>
          <w:p w:rsidR="00F84BCD" w:rsidRPr="00F84BCD" w:rsidRDefault="00F84BCD" w:rsidP="00F84BCD">
            <w:pPr>
              <w:spacing w:after="0" w:line="240" w:lineRule="auto"/>
              <w:jc w:val="left"/>
              <w:rPr>
                <w:color w:val="000000"/>
                <w:szCs w:val="22"/>
              </w:rPr>
            </w:pPr>
          </w:p>
        </w:tc>
        <w:tc>
          <w:tcPr>
            <w:tcW w:w="2697"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BD5E0B">
            <w:pPr>
              <w:spacing w:after="0" w:line="240" w:lineRule="auto"/>
              <w:jc w:val="left"/>
              <w:rPr>
                <w:color w:val="000000"/>
                <w:szCs w:val="22"/>
              </w:rPr>
            </w:pPr>
            <w:r w:rsidRPr="00F84BCD">
              <w:rPr>
                <w:color w:val="000000"/>
                <w:sz w:val="22"/>
                <w:szCs w:val="22"/>
              </w:rPr>
              <w:t>závazky ze sociálního</w:t>
            </w:r>
            <w:r w:rsidR="00BD5E0B">
              <w:rPr>
                <w:color w:val="000000"/>
                <w:sz w:val="22"/>
                <w:szCs w:val="22"/>
              </w:rPr>
              <w:br/>
            </w:r>
            <w:r w:rsidRPr="00F84BCD">
              <w:rPr>
                <w:color w:val="000000"/>
                <w:sz w:val="22"/>
                <w:szCs w:val="22"/>
              </w:rPr>
              <w:t>a zdravotního pojištění</w:t>
            </w:r>
          </w:p>
        </w:tc>
        <w:tc>
          <w:tcPr>
            <w:tcW w:w="1100"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0</w:t>
            </w:r>
          </w:p>
        </w:tc>
        <w:tc>
          <w:tcPr>
            <w:tcW w:w="1100" w:type="dxa"/>
            <w:tcBorders>
              <w:top w:val="nil"/>
              <w:left w:val="nil"/>
              <w:bottom w:val="single" w:sz="4"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86 306</w:t>
            </w:r>
          </w:p>
        </w:tc>
        <w:tc>
          <w:tcPr>
            <w:tcW w:w="1100" w:type="dxa"/>
            <w:tcBorders>
              <w:top w:val="nil"/>
              <w:left w:val="nil"/>
              <w:bottom w:val="single" w:sz="4" w:space="0" w:color="auto"/>
              <w:right w:val="single" w:sz="12"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316 893</w:t>
            </w:r>
          </w:p>
        </w:tc>
      </w:tr>
      <w:tr w:rsidR="00F84BCD" w:rsidRPr="00F84BCD" w:rsidTr="00BD5E0B">
        <w:trPr>
          <w:trHeight w:val="340"/>
          <w:jc w:val="center"/>
        </w:trPr>
        <w:tc>
          <w:tcPr>
            <w:tcW w:w="568" w:type="dxa"/>
            <w:tcBorders>
              <w:top w:val="nil"/>
              <w:left w:val="single" w:sz="12" w:space="0" w:color="auto"/>
              <w:bottom w:val="single" w:sz="12" w:space="0" w:color="auto"/>
              <w:right w:val="single" w:sz="4" w:space="0" w:color="auto"/>
            </w:tcBorders>
            <w:shd w:val="clear" w:color="auto" w:fill="auto"/>
            <w:vAlign w:val="center"/>
            <w:hideMark/>
          </w:tcPr>
          <w:p w:rsidR="00F84BCD" w:rsidRPr="00F84BCD" w:rsidRDefault="00F84BCD" w:rsidP="00F84BCD">
            <w:pPr>
              <w:spacing w:after="0" w:line="240" w:lineRule="auto"/>
              <w:jc w:val="center"/>
              <w:rPr>
                <w:color w:val="000000"/>
                <w:szCs w:val="22"/>
              </w:rPr>
            </w:pPr>
            <w:r w:rsidRPr="00F84BCD">
              <w:rPr>
                <w:color w:val="000000"/>
                <w:sz w:val="22"/>
                <w:szCs w:val="22"/>
              </w:rPr>
              <w:t>11</w:t>
            </w:r>
          </w:p>
        </w:tc>
        <w:tc>
          <w:tcPr>
            <w:tcW w:w="2417" w:type="dxa"/>
            <w:vMerge/>
            <w:tcBorders>
              <w:top w:val="nil"/>
              <w:left w:val="single" w:sz="4" w:space="0" w:color="auto"/>
              <w:bottom w:val="single" w:sz="12" w:space="0" w:color="000000"/>
              <w:right w:val="single" w:sz="4" w:space="0" w:color="auto"/>
            </w:tcBorders>
            <w:vAlign w:val="center"/>
            <w:hideMark/>
          </w:tcPr>
          <w:p w:rsidR="00F84BCD" w:rsidRPr="00F84BCD" w:rsidRDefault="00F84BCD" w:rsidP="00F84BCD">
            <w:pPr>
              <w:spacing w:after="0" w:line="240" w:lineRule="auto"/>
              <w:jc w:val="left"/>
              <w:rPr>
                <w:color w:val="000000"/>
                <w:szCs w:val="22"/>
              </w:rPr>
            </w:pPr>
          </w:p>
        </w:tc>
        <w:tc>
          <w:tcPr>
            <w:tcW w:w="2697" w:type="dxa"/>
            <w:tcBorders>
              <w:top w:val="nil"/>
              <w:left w:val="nil"/>
              <w:bottom w:val="single" w:sz="12" w:space="0" w:color="auto"/>
              <w:right w:val="single" w:sz="4" w:space="0" w:color="auto"/>
            </w:tcBorders>
            <w:shd w:val="clear" w:color="auto" w:fill="auto"/>
            <w:vAlign w:val="center"/>
            <w:hideMark/>
          </w:tcPr>
          <w:p w:rsidR="00F84BCD" w:rsidRPr="00F84BCD" w:rsidRDefault="00F84BCD" w:rsidP="00F84BCD">
            <w:pPr>
              <w:spacing w:after="0" w:line="240" w:lineRule="auto"/>
              <w:jc w:val="left"/>
              <w:rPr>
                <w:color w:val="000000"/>
                <w:szCs w:val="22"/>
              </w:rPr>
            </w:pPr>
            <w:r w:rsidRPr="00F84BCD">
              <w:rPr>
                <w:color w:val="000000"/>
                <w:sz w:val="22"/>
                <w:szCs w:val="22"/>
              </w:rPr>
              <w:t>závazky ke státu</w:t>
            </w:r>
          </w:p>
        </w:tc>
        <w:tc>
          <w:tcPr>
            <w:tcW w:w="1100" w:type="dxa"/>
            <w:tcBorders>
              <w:top w:val="nil"/>
              <w:left w:val="nil"/>
              <w:bottom w:val="single" w:sz="12"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0</w:t>
            </w:r>
          </w:p>
        </w:tc>
        <w:tc>
          <w:tcPr>
            <w:tcW w:w="1100" w:type="dxa"/>
            <w:tcBorders>
              <w:top w:val="nil"/>
              <w:left w:val="nil"/>
              <w:bottom w:val="single" w:sz="12" w:space="0" w:color="auto"/>
              <w:right w:val="single" w:sz="4"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198 094</w:t>
            </w:r>
          </w:p>
        </w:tc>
        <w:tc>
          <w:tcPr>
            <w:tcW w:w="1100" w:type="dxa"/>
            <w:tcBorders>
              <w:top w:val="nil"/>
              <w:left w:val="nil"/>
              <w:bottom w:val="single" w:sz="12" w:space="0" w:color="auto"/>
              <w:right w:val="single" w:sz="12" w:space="0" w:color="auto"/>
            </w:tcBorders>
            <w:shd w:val="clear" w:color="auto" w:fill="auto"/>
            <w:vAlign w:val="center"/>
            <w:hideMark/>
          </w:tcPr>
          <w:p w:rsidR="00F84BCD" w:rsidRPr="00F84BCD" w:rsidRDefault="00F84BCD" w:rsidP="00F84BCD">
            <w:pPr>
              <w:spacing w:after="0" w:line="240" w:lineRule="auto"/>
              <w:jc w:val="right"/>
              <w:rPr>
                <w:color w:val="000000"/>
                <w:szCs w:val="22"/>
              </w:rPr>
            </w:pPr>
            <w:r w:rsidRPr="00F84BCD">
              <w:rPr>
                <w:color w:val="000000"/>
                <w:sz w:val="22"/>
                <w:szCs w:val="22"/>
              </w:rPr>
              <w:t>304 325</w:t>
            </w:r>
          </w:p>
        </w:tc>
      </w:tr>
    </w:tbl>
    <w:p w:rsidR="005B5E23" w:rsidRDefault="00713C9A" w:rsidP="00C43FD2">
      <w:pPr>
        <w:pStyle w:val="dajepodtabulkou"/>
      </w:pPr>
      <w:r>
        <w:t xml:space="preserve">Zdroj: </w:t>
      </w:r>
      <w:r w:rsidR="003D7CD4">
        <w:t>KOVOVÝROBA s. r. o.</w:t>
      </w:r>
    </w:p>
    <w:p w:rsidR="005B5E23" w:rsidRDefault="005B5E23" w:rsidP="00255FC3">
      <w:pPr>
        <w:pStyle w:val="Odstavecnormln"/>
      </w:pPr>
      <w:r>
        <w:t xml:space="preserve">Společnost </w:t>
      </w:r>
      <w:r w:rsidR="00510616">
        <w:t xml:space="preserve">po celé období roku 2009 – 2011 </w:t>
      </w:r>
      <w:r>
        <w:t xml:space="preserve">neeviduje žádné nedobytné nebo obtížně vymahatelné pohledávky. Zásoby v roce 2009 </w:t>
      </w:r>
      <w:r w:rsidR="00510616">
        <w:t>nejsou evidovány</w:t>
      </w:r>
      <w:r>
        <w:t xml:space="preserve">. V roce 2010 je v zásobách vykázán materiál a nedokončená výroba. V roce 2011 společnost v zásobách </w:t>
      </w:r>
      <w:r w:rsidR="004E1A26">
        <w:lastRenderedPageBreak/>
        <w:t xml:space="preserve">eviduje </w:t>
      </w:r>
      <w:r>
        <w:t xml:space="preserve">pouze materiál. Krátkodobé závazky </w:t>
      </w:r>
      <w:r w:rsidR="00755A6B">
        <w:t>uvedené v</w:t>
      </w:r>
      <w:r w:rsidR="00FE39C4">
        <w:t> tabulce 4</w:t>
      </w:r>
      <w:r w:rsidR="00DC6148">
        <w:t xml:space="preserve"> </w:t>
      </w:r>
      <w:r>
        <w:t xml:space="preserve">byly </w:t>
      </w:r>
      <w:r w:rsidR="00755A6B">
        <w:t xml:space="preserve">z důvodu výpočtu ukazatelů likvidity </w:t>
      </w:r>
      <w:r>
        <w:t>rozčleněny na okamžitě splatné závazky</w:t>
      </w:r>
      <w:r w:rsidR="00B63731">
        <w:rPr>
          <w:rStyle w:val="Znakapoznpodarou"/>
        </w:rPr>
        <w:footnoteReference w:id="13"/>
      </w:r>
      <w:r>
        <w:t>, tj. závazky skutečně splatné k 31. 12. příslušného roku.</w:t>
      </w:r>
      <w:r w:rsidR="00755A6B">
        <w:t xml:space="preserve"> </w:t>
      </w:r>
      <w:r w:rsidR="00755A6B" w:rsidRPr="00255FC3">
        <w:t>Výše</w:t>
      </w:r>
      <w:r w:rsidR="00755A6B">
        <w:t xml:space="preserve"> těchto závazků byla zj</w:t>
      </w:r>
      <w:r w:rsidR="002A6894">
        <w:t xml:space="preserve">ištěna z účetnictví společnosti a upravena v přehledu </w:t>
      </w:r>
      <w:r w:rsidR="00DC6148">
        <w:t xml:space="preserve">uvedeném </w:t>
      </w:r>
      <w:r w:rsidR="000D7867">
        <w:t>v</w:t>
      </w:r>
      <w:r w:rsidR="00A60412">
        <w:t> příloze 4</w:t>
      </w:r>
      <w:r w:rsidR="000D7867">
        <w:t xml:space="preserve"> na str. </w:t>
      </w:r>
      <w:r w:rsidR="000D7867">
        <w:fldChar w:fldCharType="begin"/>
      </w:r>
      <w:r w:rsidR="000D7867">
        <w:instrText xml:space="preserve"> PAGEREF _Ref350444995 \h </w:instrText>
      </w:r>
      <w:r w:rsidR="000D7867">
        <w:fldChar w:fldCharType="separate"/>
      </w:r>
      <w:r w:rsidR="002534BA">
        <w:rPr>
          <w:noProof/>
        </w:rPr>
        <w:t>66</w:t>
      </w:r>
      <w:r w:rsidR="000D7867">
        <w:fldChar w:fldCharType="end"/>
      </w:r>
      <w:r w:rsidR="0078689A">
        <w:t>.</w:t>
      </w:r>
    </w:p>
    <w:p w:rsidR="00A0619A" w:rsidRPr="00A0619A" w:rsidRDefault="00A0619A" w:rsidP="00897452">
      <w:pPr>
        <w:pStyle w:val="Titulek"/>
      </w:pPr>
      <w:bookmarkStart w:id="96" w:name="_Ref348632955"/>
      <w:bookmarkStart w:id="97" w:name="_Toc353125944"/>
      <w:r w:rsidRPr="00A0619A">
        <w:t xml:space="preserve">Tabulka </w:t>
      </w:r>
      <w:r w:rsidR="00C96C2B">
        <w:fldChar w:fldCharType="begin"/>
      </w:r>
      <w:r w:rsidR="00C96C2B">
        <w:instrText xml:space="preserve"> SEQ Tabulka \* ARABIC </w:instrText>
      </w:r>
      <w:r w:rsidR="00C96C2B">
        <w:fldChar w:fldCharType="separate"/>
      </w:r>
      <w:r w:rsidR="002534BA">
        <w:rPr>
          <w:noProof/>
        </w:rPr>
        <w:t>5</w:t>
      </w:r>
      <w:r w:rsidR="00C96C2B">
        <w:rPr>
          <w:noProof/>
        </w:rPr>
        <w:fldChar w:fldCharType="end"/>
      </w:r>
      <w:r w:rsidR="00C57D06">
        <w:t xml:space="preserve"> Ukazatele l</w:t>
      </w:r>
      <w:r w:rsidRPr="00A0619A">
        <w:t>ikvidity</w:t>
      </w:r>
      <w:bookmarkEnd w:id="96"/>
      <w:r w:rsidR="007E4FA9">
        <w:t xml:space="preserve"> - KOVOVÝROBA s. r. o.</w:t>
      </w:r>
      <w:bookmarkEnd w:id="97"/>
    </w:p>
    <w:tbl>
      <w:tblPr>
        <w:tblW w:w="6580" w:type="dxa"/>
        <w:jc w:val="center"/>
        <w:tblCellMar>
          <w:left w:w="70" w:type="dxa"/>
          <w:right w:w="70" w:type="dxa"/>
        </w:tblCellMar>
        <w:tblLook w:val="04A0" w:firstRow="1" w:lastRow="0" w:firstColumn="1" w:lastColumn="0" w:noHBand="0" w:noVBand="1"/>
      </w:tblPr>
      <w:tblGrid>
        <w:gridCol w:w="2599"/>
        <w:gridCol w:w="1327"/>
        <w:gridCol w:w="1327"/>
        <w:gridCol w:w="1327"/>
      </w:tblGrid>
      <w:tr w:rsidR="00FF5679" w:rsidRPr="00FF5679" w:rsidTr="001F739D">
        <w:trPr>
          <w:trHeight w:val="439"/>
          <w:jc w:val="center"/>
        </w:trPr>
        <w:tc>
          <w:tcPr>
            <w:tcW w:w="2220" w:type="dxa"/>
            <w:tcBorders>
              <w:top w:val="single" w:sz="12" w:space="0" w:color="auto"/>
              <w:left w:val="single" w:sz="12" w:space="0" w:color="auto"/>
              <w:bottom w:val="double" w:sz="6" w:space="0" w:color="auto"/>
              <w:right w:val="single" w:sz="4" w:space="0" w:color="auto"/>
            </w:tcBorders>
            <w:shd w:val="clear" w:color="000000" w:fill="E4DFEC"/>
            <w:vAlign w:val="center"/>
            <w:hideMark/>
          </w:tcPr>
          <w:p w:rsidR="00FF5679" w:rsidRPr="00325192" w:rsidRDefault="00325192" w:rsidP="00FF5679">
            <w:pPr>
              <w:spacing w:after="0" w:line="240" w:lineRule="auto"/>
              <w:jc w:val="center"/>
              <w:rPr>
                <w:b/>
                <w:color w:val="000000"/>
                <w:szCs w:val="24"/>
              </w:rPr>
            </w:pPr>
            <w:r w:rsidRPr="00325192">
              <w:rPr>
                <w:b/>
                <w:color w:val="000000"/>
                <w:szCs w:val="24"/>
              </w:rPr>
              <w:t>UKAZATEL</w:t>
            </w:r>
          </w:p>
        </w:tc>
        <w:tc>
          <w:tcPr>
            <w:tcW w:w="1134" w:type="dxa"/>
            <w:tcBorders>
              <w:top w:val="single" w:sz="12" w:space="0" w:color="auto"/>
              <w:left w:val="nil"/>
              <w:bottom w:val="double" w:sz="6" w:space="0" w:color="auto"/>
              <w:right w:val="single" w:sz="4" w:space="0" w:color="auto"/>
            </w:tcBorders>
            <w:shd w:val="clear" w:color="000000" w:fill="E4DFEC"/>
            <w:vAlign w:val="center"/>
            <w:hideMark/>
          </w:tcPr>
          <w:p w:rsidR="00FF5679" w:rsidRPr="00325192" w:rsidRDefault="00FF5679" w:rsidP="00FF5679">
            <w:pPr>
              <w:spacing w:after="0" w:line="240" w:lineRule="auto"/>
              <w:jc w:val="center"/>
              <w:rPr>
                <w:b/>
                <w:color w:val="000000"/>
                <w:szCs w:val="24"/>
              </w:rPr>
            </w:pPr>
            <w:r w:rsidRPr="00325192">
              <w:rPr>
                <w:b/>
                <w:color w:val="000000"/>
                <w:szCs w:val="24"/>
              </w:rPr>
              <w:t>2009</w:t>
            </w:r>
          </w:p>
        </w:tc>
        <w:tc>
          <w:tcPr>
            <w:tcW w:w="1134" w:type="dxa"/>
            <w:tcBorders>
              <w:top w:val="single" w:sz="12" w:space="0" w:color="auto"/>
              <w:left w:val="nil"/>
              <w:bottom w:val="double" w:sz="6" w:space="0" w:color="auto"/>
              <w:right w:val="single" w:sz="4" w:space="0" w:color="auto"/>
            </w:tcBorders>
            <w:shd w:val="clear" w:color="000000" w:fill="E4DFEC"/>
            <w:vAlign w:val="center"/>
            <w:hideMark/>
          </w:tcPr>
          <w:p w:rsidR="00FF5679" w:rsidRPr="00325192" w:rsidRDefault="00FF5679" w:rsidP="00FF5679">
            <w:pPr>
              <w:spacing w:after="0" w:line="240" w:lineRule="auto"/>
              <w:jc w:val="center"/>
              <w:rPr>
                <w:b/>
                <w:color w:val="000000"/>
                <w:szCs w:val="24"/>
              </w:rPr>
            </w:pPr>
            <w:r w:rsidRPr="00325192">
              <w:rPr>
                <w:b/>
                <w:color w:val="000000"/>
                <w:szCs w:val="24"/>
              </w:rPr>
              <w:t>2010</w:t>
            </w:r>
          </w:p>
        </w:tc>
        <w:tc>
          <w:tcPr>
            <w:tcW w:w="1134" w:type="dxa"/>
            <w:tcBorders>
              <w:top w:val="single" w:sz="12" w:space="0" w:color="auto"/>
              <w:left w:val="nil"/>
              <w:bottom w:val="double" w:sz="6" w:space="0" w:color="auto"/>
              <w:right w:val="single" w:sz="12" w:space="0" w:color="auto"/>
            </w:tcBorders>
            <w:shd w:val="clear" w:color="000000" w:fill="E4DFEC"/>
            <w:vAlign w:val="center"/>
            <w:hideMark/>
          </w:tcPr>
          <w:p w:rsidR="00FF5679" w:rsidRPr="00325192" w:rsidRDefault="00FF5679" w:rsidP="00FF5679">
            <w:pPr>
              <w:spacing w:after="0" w:line="240" w:lineRule="auto"/>
              <w:jc w:val="center"/>
              <w:rPr>
                <w:b/>
                <w:color w:val="000000"/>
                <w:szCs w:val="24"/>
              </w:rPr>
            </w:pPr>
            <w:r w:rsidRPr="00325192">
              <w:rPr>
                <w:b/>
                <w:color w:val="000000"/>
                <w:szCs w:val="24"/>
              </w:rPr>
              <w:t>2011</w:t>
            </w:r>
          </w:p>
        </w:tc>
      </w:tr>
      <w:tr w:rsidR="00FF5679" w:rsidRPr="00FF5679" w:rsidTr="001F739D">
        <w:trPr>
          <w:trHeight w:val="342"/>
          <w:jc w:val="center"/>
        </w:trPr>
        <w:tc>
          <w:tcPr>
            <w:tcW w:w="2220" w:type="dxa"/>
            <w:tcBorders>
              <w:top w:val="nil"/>
              <w:left w:val="single" w:sz="12" w:space="0" w:color="auto"/>
              <w:bottom w:val="single" w:sz="4" w:space="0" w:color="auto"/>
              <w:right w:val="single" w:sz="4" w:space="0" w:color="auto"/>
            </w:tcBorders>
            <w:shd w:val="clear" w:color="auto" w:fill="auto"/>
            <w:vAlign w:val="center"/>
            <w:hideMark/>
          </w:tcPr>
          <w:p w:rsidR="00FF5679" w:rsidRPr="00FF5679" w:rsidRDefault="00FF5679" w:rsidP="00FF5679">
            <w:pPr>
              <w:spacing w:after="0" w:line="240" w:lineRule="auto"/>
              <w:rPr>
                <w:color w:val="000000"/>
                <w:szCs w:val="24"/>
              </w:rPr>
            </w:pPr>
            <w:r w:rsidRPr="00FF5679">
              <w:rPr>
                <w:color w:val="000000"/>
                <w:szCs w:val="24"/>
              </w:rPr>
              <w:t>Běžná likvidita</w:t>
            </w:r>
          </w:p>
        </w:tc>
        <w:tc>
          <w:tcPr>
            <w:tcW w:w="1134" w:type="dxa"/>
            <w:tcBorders>
              <w:top w:val="nil"/>
              <w:left w:val="nil"/>
              <w:bottom w:val="single" w:sz="4" w:space="0" w:color="auto"/>
              <w:right w:val="single" w:sz="4" w:space="0" w:color="auto"/>
            </w:tcBorders>
            <w:shd w:val="clear" w:color="auto" w:fill="auto"/>
            <w:vAlign w:val="center"/>
            <w:hideMark/>
          </w:tcPr>
          <w:p w:rsidR="00FF5679" w:rsidRPr="00FF5679" w:rsidRDefault="00FF5679" w:rsidP="00FF5679">
            <w:pPr>
              <w:spacing w:after="0" w:line="240" w:lineRule="auto"/>
              <w:jc w:val="center"/>
              <w:rPr>
                <w:color w:val="000000"/>
                <w:szCs w:val="24"/>
              </w:rPr>
            </w:pPr>
            <w:r w:rsidRPr="00FF5679">
              <w:rPr>
                <w:color w:val="000000"/>
                <w:szCs w:val="24"/>
              </w:rPr>
              <w:t>1,55</w:t>
            </w:r>
          </w:p>
        </w:tc>
        <w:tc>
          <w:tcPr>
            <w:tcW w:w="1134" w:type="dxa"/>
            <w:tcBorders>
              <w:top w:val="nil"/>
              <w:left w:val="nil"/>
              <w:bottom w:val="single" w:sz="4" w:space="0" w:color="auto"/>
              <w:right w:val="single" w:sz="4" w:space="0" w:color="auto"/>
            </w:tcBorders>
            <w:shd w:val="clear" w:color="auto" w:fill="auto"/>
            <w:vAlign w:val="center"/>
            <w:hideMark/>
          </w:tcPr>
          <w:p w:rsidR="00FF5679" w:rsidRPr="00FF5679" w:rsidRDefault="00FF5679" w:rsidP="00FF5679">
            <w:pPr>
              <w:spacing w:after="0" w:line="240" w:lineRule="auto"/>
              <w:jc w:val="center"/>
              <w:rPr>
                <w:color w:val="000000"/>
                <w:szCs w:val="24"/>
              </w:rPr>
            </w:pPr>
            <w:r w:rsidRPr="00FF5679">
              <w:rPr>
                <w:color w:val="000000"/>
                <w:szCs w:val="24"/>
              </w:rPr>
              <w:t>0,66</w:t>
            </w:r>
          </w:p>
        </w:tc>
        <w:tc>
          <w:tcPr>
            <w:tcW w:w="1134" w:type="dxa"/>
            <w:tcBorders>
              <w:top w:val="nil"/>
              <w:left w:val="nil"/>
              <w:bottom w:val="single" w:sz="4" w:space="0" w:color="auto"/>
              <w:right w:val="single" w:sz="12" w:space="0" w:color="auto"/>
            </w:tcBorders>
            <w:shd w:val="clear" w:color="auto" w:fill="auto"/>
            <w:vAlign w:val="center"/>
            <w:hideMark/>
          </w:tcPr>
          <w:p w:rsidR="00FF5679" w:rsidRPr="00FF5679" w:rsidRDefault="00FF5679" w:rsidP="00FF5679">
            <w:pPr>
              <w:spacing w:after="0" w:line="240" w:lineRule="auto"/>
              <w:jc w:val="center"/>
              <w:rPr>
                <w:color w:val="000000"/>
                <w:szCs w:val="24"/>
              </w:rPr>
            </w:pPr>
            <w:r w:rsidRPr="00FF5679">
              <w:rPr>
                <w:color w:val="000000"/>
                <w:szCs w:val="24"/>
              </w:rPr>
              <w:t>0,24</w:t>
            </w:r>
          </w:p>
        </w:tc>
      </w:tr>
      <w:tr w:rsidR="00FF5679" w:rsidRPr="00FF5679" w:rsidTr="001F739D">
        <w:trPr>
          <w:trHeight w:val="342"/>
          <w:jc w:val="center"/>
        </w:trPr>
        <w:tc>
          <w:tcPr>
            <w:tcW w:w="2220" w:type="dxa"/>
            <w:tcBorders>
              <w:top w:val="nil"/>
              <w:left w:val="single" w:sz="12" w:space="0" w:color="auto"/>
              <w:bottom w:val="single" w:sz="4" w:space="0" w:color="auto"/>
              <w:right w:val="single" w:sz="4" w:space="0" w:color="auto"/>
            </w:tcBorders>
            <w:shd w:val="clear" w:color="auto" w:fill="auto"/>
            <w:vAlign w:val="center"/>
            <w:hideMark/>
          </w:tcPr>
          <w:p w:rsidR="00FF5679" w:rsidRPr="00FF5679" w:rsidRDefault="00FF5679" w:rsidP="00FF5679">
            <w:pPr>
              <w:spacing w:after="0" w:line="240" w:lineRule="auto"/>
              <w:rPr>
                <w:color w:val="000000"/>
                <w:szCs w:val="24"/>
              </w:rPr>
            </w:pPr>
            <w:r w:rsidRPr="00FF5679">
              <w:rPr>
                <w:color w:val="000000"/>
                <w:szCs w:val="24"/>
              </w:rPr>
              <w:t>Pohotová likvidita</w:t>
            </w:r>
          </w:p>
        </w:tc>
        <w:tc>
          <w:tcPr>
            <w:tcW w:w="1134" w:type="dxa"/>
            <w:tcBorders>
              <w:top w:val="nil"/>
              <w:left w:val="nil"/>
              <w:bottom w:val="single" w:sz="4" w:space="0" w:color="auto"/>
              <w:right w:val="single" w:sz="4" w:space="0" w:color="auto"/>
            </w:tcBorders>
            <w:shd w:val="clear" w:color="auto" w:fill="auto"/>
            <w:vAlign w:val="center"/>
            <w:hideMark/>
          </w:tcPr>
          <w:p w:rsidR="00FF5679" w:rsidRPr="00FF5679" w:rsidRDefault="00FF5679" w:rsidP="00FF5679">
            <w:pPr>
              <w:spacing w:after="0" w:line="240" w:lineRule="auto"/>
              <w:jc w:val="center"/>
              <w:rPr>
                <w:color w:val="000000"/>
                <w:szCs w:val="24"/>
              </w:rPr>
            </w:pPr>
            <w:r w:rsidRPr="00FF5679">
              <w:rPr>
                <w:color w:val="000000"/>
                <w:szCs w:val="24"/>
              </w:rPr>
              <w:t>1,55</w:t>
            </w:r>
          </w:p>
        </w:tc>
        <w:tc>
          <w:tcPr>
            <w:tcW w:w="1134" w:type="dxa"/>
            <w:tcBorders>
              <w:top w:val="nil"/>
              <w:left w:val="nil"/>
              <w:bottom w:val="single" w:sz="4" w:space="0" w:color="auto"/>
              <w:right w:val="single" w:sz="4" w:space="0" w:color="auto"/>
            </w:tcBorders>
            <w:shd w:val="clear" w:color="auto" w:fill="auto"/>
            <w:vAlign w:val="center"/>
            <w:hideMark/>
          </w:tcPr>
          <w:p w:rsidR="00FF5679" w:rsidRPr="00FF5679" w:rsidRDefault="00FF5679" w:rsidP="00FF5679">
            <w:pPr>
              <w:spacing w:after="0" w:line="240" w:lineRule="auto"/>
              <w:jc w:val="center"/>
              <w:rPr>
                <w:color w:val="000000"/>
                <w:szCs w:val="24"/>
              </w:rPr>
            </w:pPr>
            <w:r w:rsidRPr="00FF5679">
              <w:rPr>
                <w:color w:val="000000"/>
                <w:szCs w:val="24"/>
              </w:rPr>
              <w:t>0,37</w:t>
            </w:r>
          </w:p>
        </w:tc>
        <w:tc>
          <w:tcPr>
            <w:tcW w:w="1134" w:type="dxa"/>
            <w:tcBorders>
              <w:top w:val="nil"/>
              <w:left w:val="nil"/>
              <w:bottom w:val="single" w:sz="4" w:space="0" w:color="auto"/>
              <w:right w:val="single" w:sz="12" w:space="0" w:color="auto"/>
            </w:tcBorders>
            <w:shd w:val="clear" w:color="auto" w:fill="auto"/>
            <w:vAlign w:val="center"/>
            <w:hideMark/>
          </w:tcPr>
          <w:p w:rsidR="00FF5679" w:rsidRPr="00FF5679" w:rsidRDefault="00FF5679" w:rsidP="00FF5679">
            <w:pPr>
              <w:spacing w:after="0" w:line="240" w:lineRule="auto"/>
              <w:jc w:val="center"/>
              <w:rPr>
                <w:color w:val="000000"/>
                <w:szCs w:val="24"/>
              </w:rPr>
            </w:pPr>
            <w:r w:rsidRPr="00FF5679">
              <w:rPr>
                <w:color w:val="000000"/>
                <w:szCs w:val="24"/>
              </w:rPr>
              <w:t>0,19</w:t>
            </w:r>
          </w:p>
        </w:tc>
      </w:tr>
      <w:tr w:rsidR="00FF5679" w:rsidRPr="00FF5679" w:rsidTr="001F739D">
        <w:trPr>
          <w:trHeight w:val="342"/>
          <w:jc w:val="center"/>
        </w:trPr>
        <w:tc>
          <w:tcPr>
            <w:tcW w:w="2220" w:type="dxa"/>
            <w:tcBorders>
              <w:top w:val="nil"/>
              <w:left w:val="single" w:sz="12" w:space="0" w:color="auto"/>
              <w:bottom w:val="single" w:sz="12" w:space="0" w:color="auto"/>
              <w:right w:val="single" w:sz="4" w:space="0" w:color="auto"/>
            </w:tcBorders>
            <w:shd w:val="clear" w:color="auto" w:fill="auto"/>
            <w:vAlign w:val="center"/>
            <w:hideMark/>
          </w:tcPr>
          <w:p w:rsidR="00FF5679" w:rsidRPr="00FF5679" w:rsidRDefault="00FF5679" w:rsidP="00FF5679">
            <w:pPr>
              <w:spacing w:after="0" w:line="240" w:lineRule="auto"/>
              <w:rPr>
                <w:color w:val="000000"/>
                <w:szCs w:val="24"/>
              </w:rPr>
            </w:pPr>
            <w:r w:rsidRPr="00FF5679">
              <w:rPr>
                <w:color w:val="000000"/>
                <w:szCs w:val="24"/>
              </w:rPr>
              <w:t>Okamžitá likvidita</w:t>
            </w:r>
          </w:p>
        </w:tc>
        <w:tc>
          <w:tcPr>
            <w:tcW w:w="1134" w:type="dxa"/>
            <w:tcBorders>
              <w:top w:val="nil"/>
              <w:left w:val="nil"/>
              <w:bottom w:val="single" w:sz="12" w:space="0" w:color="auto"/>
              <w:right w:val="single" w:sz="4" w:space="0" w:color="auto"/>
            </w:tcBorders>
            <w:shd w:val="clear" w:color="auto" w:fill="auto"/>
            <w:vAlign w:val="center"/>
            <w:hideMark/>
          </w:tcPr>
          <w:p w:rsidR="00FF5679" w:rsidRPr="00FF5679" w:rsidRDefault="00FF5679" w:rsidP="00FF5679">
            <w:pPr>
              <w:spacing w:after="0" w:line="240" w:lineRule="auto"/>
              <w:jc w:val="center"/>
              <w:rPr>
                <w:color w:val="000000"/>
                <w:szCs w:val="24"/>
              </w:rPr>
            </w:pPr>
            <w:r w:rsidRPr="00FF5679">
              <w:rPr>
                <w:color w:val="000000"/>
                <w:szCs w:val="24"/>
              </w:rPr>
              <w:t>0,01</w:t>
            </w:r>
          </w:p>
        </w:tc>
        <w:tc>
          <w:tcPr>
            <w:tcW w:w="1134" w:type="dxa"/>
            <w:tcBorders>
              <w:top w:val="nil"/>
              <w:left w:val="nil"/>
              <w:bottom w:val="single" w:sz="12" w:space="0" w:color="auto"/>
              <w:right w:val="single" w:sz="4" w:space="0" w:color="auto"/>
            </w:tcBorders>
            <w:shd w:val="clear" w:color="auto" w:fill="auto"/>
            <w:vAlign w:val="center"/>
            <w:hideMark/>
          </w:tcPr>
          <w:p w:rsidR="00FF5679" w:rsidRPr="00FF5679" w:rsidRDefault="00FF5679" w:rsidP="00FF5679">
            <w:pPr>
              <w:spacing w:after="0" w:line="240" w:lineRule="auto"/>
              <w:jc w:val="center"/>
              <w:rPr>
                <w:color w:val="000000"/>
                <w:szCs w:val="24"/>
              </w:rPr>
            </w:pPr>
            <w:r w:rsidRPr="00FF5679">
              <w:rPr>
                <w:color w:val="000000"/>
                <w:szCs w:val="24"/>
              </w:rPr>
              <w:t>0,01</w:t>
            </w:r>
          </w:p>
        </w:tc>
        <w:tc>
          <w:tcPr>
            <w:tcW w:w="1134" w:type="dxa"/>
            <w:tcBorders>
              <w:top w:val="nil"/>
              <w:left w:val="nil"/>
              <w:bottom w:val="single" w:sz="12" w:space="0" w:color="auto"/>
              <w:right w:val="single" w:sz="12" w:space="0" w:color="auto"/>
            </w:tcBorders>
            <w:shd w:val="clear" w:color="auto" w:fill="auto"/>
            <w:vAlign w:val="center"/>
            <w:hideMark/>
          </w:tcPr>
          <w:p w:rsidR="00FF5679" w:rsidRPr="00FF5679" w:rsidRDefault="00FF5679" w:rsidP="00FF5679">
            <w:pPr>
              <w:spacing w:after="0" w:line="240" w:lineRule="auto"/>
              <w:jc w:val="center"/>
              <w:rPr>
                <w:color w:val="000000"/>
                <w:szCs w:val="24"/>
              </w:rPr>
            </w:pPr>
            <w:r w:rsidRPr="00FF5679">
              <w:rPr>
                <w:color w:val="000000"/>
                <w:szCs w:val="24"/>
              </w:rPr>
              <w:t>0,02</w:t>
            </w:r>
          </w:p>
        </w:tc>
      </w:tr>
    </w:tbl>
    <w:p w:rsidR="005B5E23" w:rsidRDefault="00AF2585" w:rsidP="00B81E2C">
      <w:pPr>
        <w:pStyle w:val="dajepodtabulkou"/>
        <w:ind w:left="993"/>
      </w:pPr>
      <w:r>
        <w:t xml:space="preserve">Zdroj: </w:t>
      </w:r>
      <w:r w:rsidR="003D7CD4">
        <w:t xml:space="preserve">vlastní </w:t>
      </w:r>
      <w:r w:rsidR="0076653B">
        <w:t>zpracování</w:t>
      </w:r>
    </w:p>
    <w:p w:rsidR="00177E38" w:rsidRPr="00C74E75" w:rsidRDefault="00177E38" w:rsidP="00177E38">
      <w:r>
        <w:t>Poznámka: příklady výpočtu jsou uvedeny v</w:t>
      </w:r>
      <w:r w:rsidR="00744BD2">
        <w:t> příloze 5</w:t>
      </w:r>
      <w:r w:rsidR="000E48D8">
        <w:t xml:space="preserve"> na str. </w:t>
      </w:r>
      <w:r w:rsidR="000E48D8">
        <w:fldChar w:fldCharType="begin"/>
      </w:r>
      <w:r w:rsidR="000E48D8">
        <w:instrText xml:space="preserve"> PAGEREF _Ref350445093 \h </w:instrText>
      </w:r>
      <w:r w:rsidR="000E48D8">
        <w:fldChar w:fldCharType="separate"/>
      </w:r>
      <w:r w:rsidR="002534BA">
        <w:rPr>
          <w:noProof/>
        </w:rPr>
        <w:t>68</w:t>
      </w:r>
      <w:r w:rsidR="000E48D8">
        <w:fldChar w:fldCharType="end"/>
      </w:r>
      <w:r w:rsidR="000E48D8">
        <w:t>.</w:t>
      </w:r>
    </w:p>
    <w:p w:rsidR="005B5E23" w:rsidRDefault="005B5E23" w:rsidP="00255FC3">
      <w:pPr>
        <w:pStyle w:val="Odstavecnormln"/>
      </w:pPr>
      <w:r>
        <w:t xml:space="preserve">Ve společnosti </w:t>
      </w:r>
      <w:r w:rsidR="00C547E0">
        <w:t>KOVOVÝROBA</w:t>
      </w:r>
      <w:r>
        <w:t xml:space="preserve"> s. r. o. tvoří oběžná aktiva převážně pohledávky </w:t>
      </w:r>
      <w:r w:rsidR="002E0B1C">
        <w:br/>
      </w:r>
      <w:r>
        <w:t xml:space="preserve">a zásoby. Společnost eviduje pouze splatné pohledávky a v zásobách nejsou evidovány žádné zásoby, které není možné spotřebovat. </w:t>
      </w:r>
      <w:r w:rsidR="00C57D06">
        <w:t>Z výše uvedené tabulky l</w:t>
      </w:r>
      <w:r>
        <w:t xml:space="preserve">ze </w:t>
      </w:r>
      <w:r w:rsidR="00C57D06">
        <w:t>vyvodit</w:t>
      </w:r>
      <w:r>
        <w:t>, že ukazatel běžné likvidity je dostačující pouze v roce 2009</w:t>
      </w:r>
      <w:r w:rsidR="00C57D06">
        <w:t>, tzn., že v</w:t>
      </w:r>
      <w:r>
        <w:t xml:space="preserve"> tomto období společnost byla schopna hradit své závazky z oběžných aktiv. V roce 2010 a 2011 ukazatel běžné likvidity </w:t>
      </w:r>
      <w:r w:rsidR="007569A5">
        <w:t xml:space="preserve">výrazně </w:t>
      </w:r>
      <w:r>
        <w:t>kles</w:t>
      </w:r>
      <w:r w:rsidR="007569A5">
        <w:t>al, tzn.</w:t>
      </w:r>
      <w:r w:rsidR="000157FF">
        <w:t>,</w:t>
      </w:r>
      <w:r w:rsidR="007569A5">
        <w:t xml:space="preserve"> že oběžná aktiva, v tomto případě pohledávky, zásoby a finanční prostředky společnosti nepostačovaly k úhradě krátkodobých závazků.</w:t>
      </w:r>
    </w:p>
    <w:p w:rsidR="000157FF" w:rsidRDefault="005B5E23" w:rsidP="00255FC3">
      <w:pPr>
        <w:pStyle w:val="Odstavecnormln"/>
      </w:pPr>
      <w:r>
        <w:t xml:space="preserve">Hodnota </w:t>
      </w:r>
      <w:r w:rsidR="00C57D06">
        <w:t>pohotové likvidity</w:t>
      </w:r>
      <w:r>
        <w:t xml:space="preserve"> by neměla klesnout pod 1. V roce 2009 je hodnota uk</w:t>
      </w:r>
      <w:r w:rsidR="00C57D06">
        <w:t>azatele pohotové likvidity 1,55, t</w:t>
      </w:r>
      <w:r>
        <w:t xml:space="preserve">zn., že společnost byla schopna hradit své závazky z krátkodobých pohledávek a finančních prostředků. V roce 2010 a 2011 ukazatel prudce klesl. Krátkodobé závazky jsou v těchto letech </w:t>
      </w:r>
      <w:r w:rsidR="006476E6">
        <w:t xml:space="preserve">výrazně </w:t>
      </w:r>
      <w:r>
        <w:t>vyšší než krátkodobé pohledávky, tzn., že společnost nebyla schopna hradit své závazky z  krátkodobých pohledávek a finančních prostředků.</w:t>
      </w:r>
      <w:r w:rsidR="000157FF">
        <w:t xml:space="preserve"> V letech 2010 a 2011 je hodnota pohotové likvidity výrazně nižší než hodnota běžné likvidity, což může vyjadřovat nadměrný podíl zásob </w:t>
      </w:r>
      <w:r w:rsidR="000157FF">
        <w:lastRenderedPageBreak/>
        <w:t>ve struktuře oběžných aktiv společnosti. Zásoby obecně představují pro podnik nejméně likvidní část oběžného majetku.</w:t>
      </w:r>
      <w:r w:rsidR="006476E6">
        <w:t xml:space="preserve"> V účetnictví společnosti nebyl dohledán žádný protokol o provedené inventarizaci zásob a není možné zjistit, jaké konkrétní zásoby byly v tomto období evidovány.</w:t>
      </w:r>
    </w:p>
    <w:p w:rsidR="005B5E23" w:rsidRDefault="007F4878" w:rsidP="00255FC3">
      <w:pPr>
        <w:pStyle w:val="Odstavecnormln"/>
      </w:pPr>
      <w:r>
        <w:t>Okamžitá likvidita představuje schopnost</w:t>
      </w:r>
      <w:r w:rsidR="005B5E23">
        <w:t xml:space="preserve"> </w:t>
      </w:r>
      <w:r>
        <w:t>podniku</w:t>
      </w:r>
      <w:r w:rsidR="005B5E23">
        <w:t xml:space="preserve"> hradit okamžitě splatné závazky z finančních prostředků. </w:t>
      </w:r>
      <w:r w:rsidR="00E33488">
        <w:t xml:space="preserve">Dle literatury by se hodnota ukazatele měla pohybovat v intervalu 0,9 – 1,1. </w:t>
      </w:r>
      <w:r w:rsidR="005B5E23">
        <w:t xml:space="preserve">V celém zkoumaném období je hodnota ukazatele příliš nízká </w:t>
      </w:r>
      <w:r w:rsidR="002E0B1C">
        <w:br/>
      </w:r>
      <w:r w:rsidR="005B5E23">
        <w:t xml:space="preserve">a společnost </w:t>
      </w:r>
      <w:r w:rsidR="00E33488">
        <w:t>po celé zkoumané</w:t>
      </w:r>
      <w:r w:rsidR="005B5E23">
        <w:t xml:space="preserve"> období nebyla schopna hradit </w:t>
      </w:r>
      <w:r w:rsidR="009B41BA">
        <w:t xml:space="preserve">okamžitě splatné </w:t>
      </w:r>
      <w:r w:rsidR="005B5E23">
        <w:t>závazky z finančních prostředků.</w:t>
      </w:r>
    </w:p>
    <w:p w:rsidR="0091704E" w:rsidRPr="0091704E" w:rsidRDefault="0091704E" w:rsidP="00255FC3">
      <w:pPr>
        <w:pStyle w:val="Odstavecnormln"/>
      </w:pPr>
      <w:r>
        <w:t>Pro charakteristiku krátkodobé likvidity je níže doplněn ukazatel čistého pracovního kapitálu. Dle literatury by podniky měly čistým pracovním kapitálem pokrývat trvale vázaná oběžná aktiva (tzn., výši zásob, kterou nelze z výrobních nebo provozních důvodů snížit a trvalou výši pohledávek).</w:t>
      </w:r>
    </w:p>
    <w:p w:rsidR="005B5E23" w:rsidRPr="007D0469" w:rsidRDefault="007D0469" w:rsidP="00897452">
      <w:pPr>
        <w:pStyle w:val="Titulek"/>
      </w:pPr>
      <w:bookmarkStart w:id="98" w:name="_Toc353125945"/>
      <w:r w:rsidRPr="007D0469">
        <w:t xml:space="preserve">Tabulka </w:t>
      </w:r>
      <w:r w:rsidR="00C96C2B">
        <w:fldChar w:fldCharType="begin"/>
      </w:r>
      <w:r w:rsidR="00C96C2B">
        <w:instrText xml:space="preserve"> SEQ Tabulka \* ARABIC </w:instrText>
      </w:r>
      <w:r w:rsidR="00C96C2B">
        <w:fldChar w:fldCharType="separate"/>
      </w:r>
      <w:r w:rsidR="002534BA">
        <w:rPr>
          <w:noProof/>
        </w:rPr>
        <w:t>6</w:t>
      </w:r>
      <w:r w:rsidR="00C96C2B">
        <w:rPr>
          <w:noProof/>
        </w:rPr>
        <w:fldChar w:fldCharType="end"/>
      </w:r>
      <w:r w:rsidR="002C460E" w:rsidRPr="007D0469">
        <w:t xml:space="preserve"> Čistý pracovní kapitál</w:t>
      </w:r>
      <w:r w:rsidR="007E4FA9">
        <w:t xml:space="preserve"> - KOVOVÝROBA s. r. o.</w:t>
      </w:r>
      <w:bookmarkEnd w:id="98"/>
    </w:p>
    <w:p w:rsidR="002C460E" w:rsidRPr="00C43FD2" w:rsidRDefault="002C460E" w:rsidP="003B036C">
      <w:pPr>
        <w:pStyle w:val="dajenadtabulkouazdroj"/>
        <w:ind w:left="709"/>
      </w:pPr>
      <w:r w:rsidRPr="00C43FD2">
        <w:t>Údaje jsou uvedeny v celých Kč</w:t>
      </w:r>
    </w:p>
    <w:tbl>
      <w:tblPr>
        <w:tblW w:w="7075" w:type="dxa"/>
        <w:jc w:val="center"/>
        <w:tblInd w:w="-240" w:type="dxa"/>
        <w:tblCellMar>
          <w:left w:w="70" w:type="dxa"/>
          <w:right w:w="70" w:type="dxa"/>
        </w:tblCellMar>
        <w:tblLook w:val="04A0" w:firstRow="1" w:lastRow="0" w:firstColumn="1" w:lastColumn="0" w:noHBand="0" w:noVBand="1"/>
      </w:tblPr>
      <w:tblGrid>
        <w:gridCol w:w="2515"/>
        <w:gridCol w:w="1520"/>
        <w:gridCol w:w="1520"/>
        <w:gridCol w:w="1520"/>
      </w:tblGrid>
      <w:tr w:rsidR="002C460E" w:rsidRPr="002C460E" w:rsidTr="00864DF2">
        <w:trPr>
          <w:trHeight w:val="439"/>
          <w:jc w:val="center"/>
        </w:trPr>
        <w:tc>
          <w:tcPr>
            <w:tcW w:w="2515" w:type="dxa"/>
            <w:tcBorders>
              <w:top w:val="single" w:sz="12" w:space="0" w:color="auto"/>
              <w:left w:val="single" w:sz="12" w:space="0" w:color="auto"/>
              <w:bottom w:val="double" w:sz="6" w:space="0" w:color="auto"/>
              <w:right w:val="single" w:sz="4" w:space="0" w:color="auto"/>
            </w:tcBorders>
            <w:shd w:val="clear" w:color="000000" w:fill="E4DFEC"/>
            <w:vAlign w:val="center"/>
            <w:hideMark/>
          </w:tcPr>
          <w:p w:rsidR="002C460E" w:rsidRPr="002C460E" w:rsidRDefault="00325192" w:rsidP="002C460E">
            <w:pPr>
              <w:spacing w:after="0" w:line="240" w:lineRule="auto"/>
              <w:jc w:val="center"/>
              <w:rPr>
                <w:b/>
                <w:bCs/>
                <w:color w:val="000000"/>
                <w:szCs w:val="22"/>
              </w:rPr>
            </w:pPr>
            <w:r>
              <w:rPr>
                <w:b/>
                <w:bCs/>
                <w:color w:val="000000"/>
                <w:sz w:val="22"/>
                <w:szCs w:val="22"/>
              </w:rPr>
              <w:t>UKAZATEL</w:t>
            </w:r>
          </w:p>
        </w:tc>
        <w:tc>
          <w:tcPr>
            <w:tcW w:w="1520" w:type="dxa"/>
            <w:tcBorders>
              <w:top w:val="single" w:sz="12" w:space="0" w:color="auto"/>
              <w:left w:val="nil"/>
              <w:bottom w:val="double" w:sz="6" w:space="0" w:color="auto"/>
              <w:right w:val="single" w:sz="4" w:space="0" w:color="auto"/>
            </w:tcBorders>
            <w:shd w:val="clear" w:color="000000" w:fill="E4DFEC"/>
            <w:vAlign w:val="center"/>
            <w:hideMark/>
          </w:tcPr>
          <w:p w:rsidR="002C460E" w:rsidRPr="002C460E" w:rsidRDefault="002C460E" w:rsidP="002C460E">
            <w:pPr>
              <w:spacing w:after="0" w:line="240" w:lineRule="auto"/>
              <w:jc w:val="center"/>
              <w:rPr>
                <w:b/>
                <w:bCs/>
                <w:color w:val="000000"/>
                <w:szCs w:val="22"/>
              </w:rPr>
            </w:pPr>
            <w:r w:rsidRPr="002C460E">
              <w:rPr>
                <w:b/>
                <w:bCs/>
                <w:color w:val="000000"/>
                <w:sz w:val="22"/>
                <w:szCs w:val="22"/>
              </w:rPr>
              <w:t>2009</w:t>
            </w:r>
          </w:p>
        </w:tc>
        <w:tc>
          <w:tcPr>
            <w:tcW w:w="1520" w:type="dxa"/>
            <w:tcBorders>
              <w:top w:val="single" w:sz="12" w:space="0" w:color="auto"/>
              <w:left w:val="nil"/>
              <w:bottom w:val="double" w:sz="6" w:space="0" w:color="auto"/>
              <w:right w:val="single" w:sz="4" w:space="0" w:color="auto"/>
            </w:tcBorders>
            <w:shd w:val="clear" w:color="000000" w:fill="E4DFEC"/>
            <w:vAlign w:val="center"/>
            <w:hideMark/>
          </w:tcPr>
          <w:p w:rsidR="002C460E" w:rsidRPr="002C460E" w:rsidRDefault="002C460E" w:rsidP="002C460E">
            <w:pPr>
              <w:spacing w:after="0" w:line="240" w:lineRule="auto"/>
              <w:jc w:val="center"/>
              <w:rPr>
                <w:b/>
                <w:bCs/>
                <w:color w:val="000000"/>
                <w:szCs w:val="22"/>
              </w:rPr>
            </w:pPr>
            <w:r w:rsidRPr="002C460E">
              <w:rPr>
                <w:b/>
                <w:bCs/>
                <w:color w:val="000000"/>
                <w:sz w:val="22"/>
                <w:szCs w:val="22"/>
              </w:rPr>
              <w:t>2010</w:t>
            </w:r>
          </w:p>
        </w:tc>
        <w:tc>
          <w:tcPr>
            <w:tcW w:w="1520" w:type="dxa"/>
            <w:tcBorders>
              <w:top w:val="single" w:sz="12" w:space="0" w:color="auto"/>
              <w:left w:val="nil"/>
              <w:bottom w:val="double" w:sz="6" w:space="0" w:color="auto"/>
              <w:right w:val="single" w:sz="12" w:space="0" w:color="auto"/>
            </w:tcBorders>
            <w:shd w:val="clear" w:color="000000" w:fill="E4DFEC"/>
            <w:vAlign w:val="center"/>
            <w:hideMark/>
          </w:tcPr>
          <w:p w:rsidR="002C460E" w:rsidRPr="002C460E" w:rsidRDefault="002C460E" w:rsidP="002C460E">
            <w:pPr>
              <w:spacing w:after="0" w:line="240" w:lineRule="auto"/>
              <w:jc w:val="center"/>
              <w:rPr>
                <w:b/>
                <w:bCs/>
                <w:color w:val="000000"/>
                <w:szCs w:val="22"/>
              </w:rPr>
            </w:pPr>
            <w:r w:rsidRPr="002C460E">
              <w:rPr>
                <w:b/>
                <w:bCs/>
                <w:color w:val="000000"/>
                <w:sz w:val="22"/>
                <w:szCs w:val="22"/>
              </w:rPr>
              <w:t>2011</w:t>
            </w:r>
          </w:p>
        </w:tc>
      </w:tr>
      <w:tr w:rsidR="002C460E" w:rsidRPr="002C460E" w:rsidTr="00864DF2">
        <w:trPr>
          <w:trHeight w:val="342"/>
          <w:jc w:val="center"/>
        </w:trPr>
        <w:tc>
          <w:tcPr>
            <w:tcW w:w="2515" w:type="dxa"/>
            <w:tcBorders>
              <w:top w:val="double" w:sz="6" w:space="0" w:color="auto"/>
              <w:left w:val="single" w:sz="12" w:space="0" w:color="auto"/>
              <w:bottom w:val="single" w:sz="12" w:space="0" w:color="auto"/>
              <w:right w:val="single" w:sz="4" w:space="0" w:color="auto"/>
            </w:tcBorders>
            <w:shd w:val="clear" w:color="auto" w:fill="auto"/>
            <w:vAlign w:val="center"/>
            <w:hideMark/>
          </w:tcPr>
          <w:p w:rsidR="002C460E" w:rsidRPr="002C460E" w:rsidRDefault="002C460E" w:rsidP="00864DF2">
            <w:pPr>
              <w:spacing w:after="0" w:line="240" w:lineRule="auto"/>
              <w:jc w:val="left"/>
              <w:rPr>
                <w:color w:val="000000"/>
                <w:szCs w:val="22"/>
              </w:rPr>
            </w:pPr>
            <w:r w:rsidRPr="002C460E">
              <w:rPr>
                <w:color w:val="000000"/>
                <w:sz w:val="22"/>
                <w:szCs w:val="22"/>
              </w:rPr>
              <w:t>Čistý pracovní kapitál</w:t>
            </w:r>
          </w:p>
        </w:tc>
        <w:tc>
          <w:tcPr>
            <w:tcW w:w="1520" w:type="dxa"/>
            <w:tcBorders>
              <w:top w:val="double" w:sz="6" w:space="0" w:color="auto"/>
              <w:left w:val="nil"/>
              <w:bottom w:val="single" w:sz="12" w:space="0" w:color="auto"/>
              <w:right w:val="single" w:sz="4" w:space="0" w:color="auto"/>
            </w:tcBorders>
            <w:shd w:val="clear" w:color="auto" w:fill="auto"/>
            <w:vAlign w:val="center"/>
            <w:hideMark/>
          </w:tcPr>
          <w:p w:rsidR="002C460E" w:rsidRPr="002C460E" w:rsidRDefault="002C460E" w:rsidP="002C460E">
            <w:pPr>
              <w:spacing w:after="0" w:line="240" w:lineRule="auto"/>
              <w:jc w:val="right"/>
              <w:rPr>
                <w:color w:val="000000"/>
                <w:szCs w:val="22"/>
              </w:rPr>
            </w:pPr>
            <w:r w:rsidRPr="002C460E">
              <w:rPr>
                <w:color w:val="000000"/>
                <w:sz w:val="22"/>
                <w:szCs w:val="22"/>
              </w:rPr>
              <w:t>85 498</w:t>
            </w:r>
          </w:p>
        </w:tc>
        <w:tc>
          <w:tcPr>
            <w:tcW w:w="1520" w:type="dxa"/>
            <w:tcBorders>
              <w:top w:val="double" w:sz="6" w:space="0" w:color="auto"/>
              <w:left w:val="nil"/>
              <w:bottom w:val="single" w:sz="12" w:space="0" w:color="auto"/>
              <w:right w:val="single" w:sz="4" w:space="0" w:color="auto"/>
            </w:tcBorders>
            <w:shd w:val="clear" w:color="auto" w:fill="auto"/>
            <w:vAlign w:val="center"/>
            <w:hideMark/>
          </w:tcPr>
          <w:p w:rsidR="002C460E" w:rsidRPr="002C460E" w:rsidRDefault="002C460E" w:rsidP="002C460E">
            <w:pPr>
              <w:spacing w:after="0" w:line="240" w:lineRule="auto"/>
              <w:jc w:val="right"/>
              <w:rPr>
                <w:color w:val="000000"/>
                <w:szCs w:val="22"/>
              </w:rPr>
            </w:pPr>
            <w:r w:rsidRPr="002C460E">
              <w:rPr>
                <w:color w:val="000000"/>
                <w:sz w:val="22"/>
                <w:szCs w:val="22"/>
              </w:rPr>
              <w:t>-710 051</w:t>
            </w:r>
          </w:p>
        </w:tc>
        <w:tc>
          <w:tcPr>
            <w:tcW w:w="1520" w:type="dxa"/>
            <w:tcBorders>
              <w:top w:val="nil"/>
              <w:left w:val="single" w:sz="4" w:space="0" w:color="auto"/>
              <w:bottom w:val="single" w:sz="12" w:space="0" w:color="auto"/>
              <w:right w:val="single" w:sz="12" w:space="0" w:color="auto"/>
            </w:tcBorders>
            <w:shd w:val="clear" w:color="auto" w:fill="auto"/>
            <w:vAlign w:val="center"/>
            <w:hideMark/>
          </w:tcPr>
          <w:p w:rsidR="002C460E" w:rsidRPr="002C460E" w:rsidRDefault="002C460E" w:rsidP="002C460E">
            <w:pPr>
              <w:spacing w:after="0" w:line="240" w:lineRule="auto"/>
              <w:jc w:val="right"/>
              <w:rPr>
                <w:color w:val="000000"/>
                <w:szCs w:val="22"/>
              </w:rPr>
            </w:pPr>
            <w:r w:rsidRPr="002C460E">
              <w:rPr>
                <w:color w:val="000000"/>
                <w:sz w:val="22"/>
                <w:szCs w:val="22"/>
              </w:rPr>
              <w:t>-3 109 299</w:t>
            </w:r>
          </w:p>
        </w:tc>
      </w:tr>
    </w:tbl>
    <w:p w:rsidR="005B5E23" w:rsidRPr="00C43FD2" w:rsidRDefault="002C460E" w:rsidP="00C43FD2">
      <w:pPr>
        <w:pStyle w:val="dajepodtabulkou"/>
      </w:pPr>
      <w:r w:rsidRPr="00C43FD2">
        <w:t>Zdroj: vlastní</w:t>
      </w:r>
      <w:r w:rsidR="003D7CD4" w:rsidRPr="00C43FD2">
        <w:t xml:space="preserve"> </w:t>
      </w:r>
      <w:r w:rsidR="0076653B" w:rsidRPr="00C43FD2">
        <w:t>zpracování</w:t>
      </w:r>
    </w:p>
    <w:p w:rsidR="00B47BF2" w:rsidRDefault="00B47BF2" w:rsidP="00255FC3">
      <w:pPr>
        <w:pStyle w:val="Odstavecnormln"/>
      </w:pPr>
      <w:r>
        <w:t>Poznámka: příklad výpočtu čistého pracovního kapitálu je uveden v</w:t>
      </w:r>
      <w:r w:rsidR="00744BD2">
        <w:t> příloze 6</w:t>
      </w:r>
      <w:r w:rsidR="00677C0D">
        <w:t xml:space="preserve"> </w:t>
      </w:r>
      <w:r w:rsidR="003F26AE">
        <w:t>na</w:t>
      </w:r>
      <w:r w:rsidR="009B41BA">
        <w:t xml:space="preserve"> str.</w:t>
      </w:r>
      <w:r w:rsidR="008B7DCA">
        <w:t xml:space="preserve"> </w:t>
      </w:r>
      <w:r w:rsidR="008B7DCA">
        <w:fldChar w:fldCharType="begin"/>
      </w:r>
      <w:r w:rsidR="008B7DCA">
        <w:instrText xml:space="preserve"> PAGEREF _Ref348555350 \h </w:instrText>
      </w:r>
      <w:r w:rsidR="008B7DCA">
        <w:fldChar w:fldCharType="separate"/>
      </w:r>
      <w:r w:rsidR="002534BA">
        <w:rPr>
          <w:noProof/>
        </w:rPr>
        <w:t>68</w:t>
      </w:r>
      <w:r w:rsidR="008B7DCA">
        <w:fldChar w:fldCharType="end"/>
      </w:r>
      <w:r w:rsidR="008B7DCA">
        <w:t>.</w:t>
      </w:r>
    </w:p>
    <w:p w:rsidR="005B5E23" w:rsidRDefault="005B5E23" w:rsidP="00255FC3">
      <w:pPr>
        <w:pStyle w:val="Odstavecnormln"/>
      </w:pPr>
      <w:r>
        <w:t xml:space="preserve">Čistý pracovní kapitál představuje pro podnik volné prostředky, které podniku zbydou po úhradě všech běžných krátkodobých závazků. Lze konstatovat, že společnost disponovala volnými prostředky v roce 2009. V roce 2010 a 2011 je hodnota čistého pracovního kapitálu záporná a dosahuje velmi nízkých hodnot. Společnost v roce 2010 </w:t>
      </w:r>
      <w:r w:rsidR="00B129A8">
        <w:br/>
      </w:r>
      <w:r>
        <w:t>a 2011 neměla žádné volné prostředky.</w:t>
      </w:r>
      <w:r w:rsidR="0031203F">
        <w:t xml:space="preserve"> Hodnoty ukazatele ČPK vypovídají </w:t>
      </w:r>
      <w:r w:rsidR="00B129A8">
        <w:br/>
      </w:r>
      <w:r w:rsidR="0031203F">
        <w:t xml:space="preserve">o problémech společnosti se zajištěním plynulosti výroby v roce 2010 a 2011, neboť v podniku nebyly žádné volné finanční prostředky, které by zajistily spolehlivý chod výroby. Dále záporná hodnota ČPK vypovídá o skutečnosti, že celkové krátkodobé </w:t>
      </w:r>
      <w:r w:rsidR="0031203F">
        <w:lastRenderedPageBreak/>
        <w:t>závazky v roce 2010 a 2011 výrazně převyšovaly celková oběžná aktiva, tzn., že společnost měla velmi vážné problémy</w:t>
      </w:r>
      <w:r>
        <w:t xml:space="preserve"> </w:t>
      </w:r>
      <w:r w:rsidR="0031203F">
        <w:t>se splácením</w:t>
      </w:r>
      <w:r>
        <w:t xml:space="preserve"> </w:t>
      </w:r>
      <w:r w:rsidR="0031203F">
        <w:t>svých závazků</w:t>
      </w:r>
      <w:r>
        <w:t>.</w:t>
      </w:r>
      <w:r w:rsidR="0031203F">
        <w:t xml:space="preserve"> </w:t>
      </w:r>
    </w:p>
    <w:p w:rsidR="0031203F" w:rsidRDefault="0031203F" w:rsidP="00255FC3">
      <w:pPr>
        <w:pStyle w:val="Odstavecnormln"/>
      </w:pPr>
      <w:r>
        <w:t>V další kapitole jsou zpracovány ukazatele aktivity</w:t>
      </w:r>
      <w:r w:rsidR="007C372A">
        <w:t>. Pozornost je z důvodu zjištěných problémů společnosti s platební schopností zaměřena na obratovost zásob (zjištění využití zásob) a především na obratovost pohledávek a závazků z důvodu určení, zda jsou finanční problémy společnosti způsobené špatnou platební morálkou odběratelů nebo zda jde o prvotní platební neschopnost.</w:t>
      </w:r>
    </w:p>
    <w:p w:rsidR="005B5E23" w:rsidRDefault="005B5E23" w:rsidP="005B5E23">
      <w:pPr>
        <w:pStyle w:val="Nadpis3"/>
        <w:spacing w:line="360" w:lineRule="auto"/>
      </w:pPr>
      <w:bookmarkStart w:id="99" w:name="_Toc339528881"/>
      <w:bookmarkStart w:id="100" w:name="_Toc347166987"/>
      <w:bookmarkStart w:id="101" w:name="_Ref348638528"/>
      <w:bookmarkStart w:id="102" w:name="_Ref348638538"/>
      <w:bookmarkStart w:id="103" w:name="_Ref348638551"/>
      <w:bookmarkStart w:id="104" w:name="_Toc353126173"/>
      <w:bookmarkStart w:id="105" w:name="_Toc353439365"/>
      <w:r w:rsidRPr="00811889">
        <w:t>Ukazatele aktivity</w:t>
      </w:r>
      <w:bookmarkEnd w:id="99"/>
      <w:bookmarkEnd w:id="100"/>
      <w:bookmarkEnd w:id="101"/>
      <w:bookmarkEnd w:id="102"/>
      <w:bookmarkEnd w:id="103"/>
      <w:bookmarkEnd w:id="104"/>
      <w:bookmarkEnd w:id="105"/>
    </w:p>
    <w:p w:rsidR="00314A20" w:rsidRDefault="00851CC8" w:rsidP="00255FC3">
      <w:pPr>
        <w:pStyle w:val="Odstavecnormln"/>
      </w:pPr>
      <w:r>
        <w:t xml:space="preserve">Ukazatele aktivity vypovídají o efektivitě podnikatelské činnosti a využití zdrojů. </w:t>
      </w:r>
      <w:r w:rsidR="004B0962">
        <w:br/>
      </w:r>
      <w:r w:rsidR="005B5E23">
        <w:t xml:space="preserve">Pro </w:t>
      </w:r>
      <w:r>
        <w:t xml:space="preserve">jejich </w:t>
      </w:r>
      <w:r w:rsidR="005B5E23">
        <w:t xml:space="preserve">výpočet byla </w:t>
      </w:r>
      <w:r w:rsidR="00C95146">
        <w:t>níže sestavena tabulka</w:t>
      </w:r>
      <w:bookmarkStart w:id="106" w:name="_Ref348552672"/>
      <w:bookmarkStart w:id="107" w:name="_Ref348634233"/>
      <w:r w:rsidR="00C95146">
        <w:t xml:space="preserve"> vybraných</w:t>
      </w:r>
      <w:r w:rsidR="00314A20" w:rsidRPr="00314A20">
        <w:t xml:space="preserve"> hodnot</w:t>
      </w:r>
      <w:r w:rsidR="00C95146">
        <w:t xml:space="preserve"> zjištěných</w:t>
      </w:r>
      <w:r w:rsidR="00314A20" w:rsidRPr="00314A20">
        <w:t xml:space="preserve"> z</w:t>
      </w:r>
      <w:r w:rsidR="00B32224">
        <w:t> </w:t>
      </w:r>
      <w:r w:rsidR="00314A20" w:rsidRPr="00314A20">
        <w:t>účetnictví</w:t>
      </w:r>
      <w:bookmarkEnd w:id="106"/>
      <w:r w:rsidR="00B32224">
        <w:t xml:space="preserve"> a výkazů rozvah</w:t>
      </w:r>
      <w:bookmarkEnd w:id="107"/>
      <w:r w:rsidR="00C95146">
        <w:t>.</w:t>
      </w:r>
    </w:p>
    <w:p w:rsidR="005E3CDF" w:rsidRPr="00314A20" w:rsidRDefault="005E3CDF" w:rsidP="005E3CDF">
      <w:pPr>
        <w:pStyle w:val="Titulek"/>
      </w:pPr>
      <w:bookmarkStart w:id="108" w:name="_Ref352268157"/>
      <w:bookmarkStart w:id="109" w:name="_Ref352358854"/>
      <w:bookmarkStart w:id="110" w:name="_Ref352358875"/>
      <w:bookmarkStart w:id="111" w:name="_Toc353125946"/>
      <w:r>
        <w:t xml:space="preserve">Tabulka </w:t>
      </w:r>
      <w:r w:rsidR="00C96C2B">
        <w:fldChar w:fldCharType="begin"/>
      </w:r>
      <w:r w:rsidR="00C96C2B">
        <w:instrText xml:space="preserve"> SEQ Tabulka \* ARABIC </w:instrText>
      </w:r>
      <w:r w:rsidR="00C96C2B">
        <w:fldChar w:fldCharType="separate"/>
      </w:r>
      <w:r w:rsidR="002534BA">
        <w:rPr>
          <w:noProof/>
        </w:rPr>
        <w:t>7</w:t>
      </w:r>
      <w:r w:rsidR="00C96C2B">
        <w:rPr>
          <w:noProof/>
        </w:rPr>
        <w:fldChar w:fldCharType="end"/>
      </w:r>
      <w:r>
        <w:t xml:space="preserve"> Vybrané hodnoty z účetnictví a výkazu rozvah</w:t>
      </w:r>
      <w:bookmarkEnd w:id="108"/>
      <w:bookmarkEnd w:id="109"/>
      <w:bookmarkEnd w:id="110"/>
      <w:r w:rsidR="007E4FA9">
        <w:t xml:space="preserve"> - KOVOVÝROBA s. r. o.</w:t>
      </w:r>
      <w:bookmarkEnd w:id="111"/>
    </w:p>
    <w:p w:rsidR="00112176" w:rsidRDefault="00112176" w:rsidP="00487C4E">
      <w:pPr>
        <w:pStyle w:val="dajenadtabulkouazdroj"/>
        <w:ind w:left="426"/>
      </w:pPr>
      <w:r>
        <w:t>Údaje jsou uvedeny v celých Kč</w:t>
      </w:r>
    </w:p>
    <w:tbl>
      <w:tblPr>
        <w:tblW w:w="7607" w:type="dxa"/>
        <w:jc w:val="center"/>
        <w:tblCellMar>
          <w:left w:w="70" w:type="dxa"/>
          <w:right w:w="70" w:type="dxa"/>
        </w:tblCellMar>
        <w:tblLook w:val="04A0" w:firstRow="1" w:lastRow="0" w:firstColumn="1" w:lastColumn="0" w:noHBand="0" w:noVBand="1"/>
      </w:tblPr>
      <w:tblGrid>
        <w:gridCol w:w="667"/>
        <w:gridCol w:w="2740"/>
        <w:gridCol w:w="1400"/>
        <w:gridCol w:w="1400"/>
        <w:gridCol w:w="1400"/>
      </w:tblGrid>
      <w:tr w:rsidR="00487C4E" w:rsidRPr="00487C4E" w:rsidTr="005E3CDF">
        <w:trPr>
          <w:trHeight w:val="439"/>
          <w:tblHeader/>
          <w:jc w:val="center"/>
        </w:trPr>
        <w:tc>
          <w:tcPr>
            <w:tcW w:w="667" w:type="dxa"/>
            <w:tcBorders>
              <w:top w:val="single" w:sz="12" w:space="0" w:color="auto"/>
              <w:left w:val="single" w:sz="12" w:space="0" w:color="auto"/>
              <w:bottom w:val="double" w:sz="6" w:space="0" w:color="auto"/>
              <w:right w:val="single" w:sz="4" w:space="0" w:color="auto"/>
            </w:tcBorders>
            <w:shd w:val="clear" w:color="000000" w:fill="E4DFEC"/>
            <w:noWrap/>
            <w:vAlign w:val="center"/>
            <w:hideMark/>
          </w:tcPr>
          <w:p w:rsidR="00487C4E" w:rsidRPr="00487C4E" w:rsidRDefault="00325192" w:rsidP="00487C4E">
            <w:pPr>
              <w:spacing w:after="0" w:line="240" w:lineRule="auto"/>
              <w:jc w:val="center"/>
              <w:rPr>
                <w:b/>
                <w:bCs/>
                <w:color w:val="000000"/>
                <w:szCs w:val="22"/>
              </w:rPr>
            </w:pPr>
            <w:r>
              <w:rPr>
                <w:b/>
                <w:bCs/>
                <w:color w:val="000000"/>
                <w:sz w:val="22"/>
                <w:szCs w:val="22"/>
              </w:rPr>
              <w:t>Č. Ř</w:t>
            </w:r>
            <w:r w:rsidR="00487C4E" w:rsidRPr="00487C4E">
              <w:rPr>
                <w:b/>
                <w:bCs/>
                <w:color w:val="000000"/>
                <w:sz w:val="22"/>
                <w:szCs w:val="22"/>
              </w:rPr>
              <w:t>.</w:t>
            </w:r>
          </w:p>
        </w:tc>
        <w:tc>
          <w:tcPr>
            <w:tcW w:w="2740" w:type="dxa"/>
            <w:tcBorders>
              <w:top w:val="single" w:sz="12" w:space="0" w:color="auto"/>
              <w:left w:val="nil"/>
              <w:bottom w:val="double" w:sz="6" w:space="0" w:color="auto"/>
              <w:right w:val="single" w:sz="4" w:space="0" w:color="auto"/>
            </w:tcBorders>
            <w:shd w:val="clear" w:color="000000" w:fill="E4DFEC"/>
            <w:vAlign w:val="center"/>
            <w:hideMark/>
          </w:tcPr>
          <w:p w:rsidR="00487C4E" w:rsidRPr="00487C4E" w:rsidRDefault="00325192" w:rsidP="00487C4E">
            <w:pPr>
              <w:spacing w:after="0" w:line="240" w:lineRule="auto"/>
              <w:jc w:val="center"/>
              <w:rPr>
                <w:b/>
                <w:bCs/>
                <w:color w:val="000000"/>
                <w:szCs w:val="22"/>
              </w:rPr>
            </w:pPr>
            <w:r>
              <w:rPr>
                <w:b/>
                <w:bCs/>
                <w:color w:val="000000"/>
                <w:sz w:val="22"/>
                <w:szCs w:val="22"/>
              </w:rPr>
              <w:t>TEXT</w:t>
            </w:r>
          </w:p>
        </w:tc>
        <w:tc>
          <w:tcPr>
            <w:tcW w:w="1400" w:type="dxa"/>
            <w:tcBorders>
              <w:top w:val="single" w:sz="12" w:space="0" w:color="auto"/>
              <w:left w:val="nil"/>
              <w:bottom w:val="double" w:sz="6" w:space="0" w:color="auto"/>
              <w:right w:val="single" w:sz="4" w:space="0" w:color="auto"/>
            </w:tcBorders>
            <w:shd w:val="clear" w:color="000000" w:fill="E4DFEC"/>
            <w:vAlign w:val="center"/>
            <w:hideMark/>
          </w:tcPr>
          <w:p w:rsidR="00487C4E" w:rsidRPr="00487C4E" w:rsidRDefault="00487C4E" w:rsidP="00487C4E">
            <w:pPr>
              <w:spacing w:after="0" w:line="240" w:lineRule="auto"/>
              <w:jc w:val="center"/>
              <w:rPr>
                <w:b/>
                <w:bCs/>
                <w:color w:val="000000"/>
                <w:szCs w:val="22"/>
              </w:rPr>
            </w:pPr>
            <w:r w:rsidRPr="00487C4E">
              <w:rPr>
                <w:b/>
                <w:bCs/>
                <w:color w:val="000000"/>
                <w:sz w:val="22"/>
                <w:szCs w:val="22"/>
              </w:rPr>
              <w:t>2009</w:t>
            </w:r>
          </w:p>
        </w:tc>
        <w:tc>
          <w:tcPr>
            <w:tcW w:w="1400" w:type="dxa"/>
            <w:tcBorders>
              <w:top w:val="single" w:sz="12" w:space="0" w:color="auto"/>
              <w:left w:val="nil"/>
              <w:bottom w:val="double" w:sz="6" w:space="0" w:color="auto"/>
              <w:right w:val="single" w:sz="4" w:space="0" w:color="auto"/>
            </w:tcBorders>
            <w:shd w:val="clear" w:color="000000" w:fill="E4DFEC"/>
            <w:vAlign w:val="center"/>
            <w:hideMark/>
          </w:tcPr>
          <w:p w:rsidR="00487C4E" w:rsidRPr="00487C4E" w:rsidRDefault="00487C4E" w:rsidP="00487C4E">
            <w:pPr>
              <w:spacing w:after="0" w:line="240" w:lineRule="auto"/>
              <w:jc w:val="center"/>
              <w:rPr>
                <w:b/>
                <w:bCs/>
                <w:color w:val="000000"/>
                <w:szCs w:val="22"/>
              </w:rPr>
            </w:pPr>
            <w:r w:rsidRPr="00487C4E">
              <w:rPr>
                <w:b/>
                <w:bCs/>
                <w:color w:val="000000"/>
                <w:sz w:val="22"/>
                <w:szCs w:val="22"/>
              </w:rPr>
              <w:t>2010</w:t>
            </w:r>
          </w:p>
        </w:tc>
        <w:tc>
          <w:tcPr>
            <w:tcW w:w="1400" w:type="dxa"/>
            <w:tcBorders>
              <w:top w:val="single" w:sz="12" w:space="0" w:color="auto"/>
              <w:left w:val="nil"/>
              <w:bottom w:val="double" w:sz="6" w:space="0" w:color="auto"/>
              <w:right w:val="single" w:sz="12" w:space="0" w:color="auto"/>
            </w:tcBorders>
            <w:shd w:val="clear" w:color="000000" w:fill="E4DFEC"/>
            <w:vAlign w:val="center"/>
            <w:hideMark/>
          </w:tcPr>
          <w:p w:rsidR="00487C4E" w:rsidRPr="00487C4E" w:rsidRDefault="00487C4E" w:rsidP="00487C4E">
            <w:pPr>
              <w:spacing w:after="0" w:line="240" w:lineRule="auto"/>
              <w:jc w:val="center"/>
              <w:rPr>
                <w:b/>
                <w:bCs/>
                <w:color w:val="000000"/>
                <w:szCs w:val="22"/>
              </w:rPr>
            </w:pPr>
            <w:r w:rsidRPr="00487C4E">
              <w:rPr>
                <w:b/>
                <w:bCs/>
                <w:color w:val="000000"/>
                <w:sz w:val="22"/>
                <w:szCs w:val="22"/>
              </w:rPr>
              <w:t>2011</w:t>
            </w:r>
          </w:p>
        </w:tc>
      </w:tr>
      <w:tr w:rsidR="00487C4E" w:rsidRPr="00487C4E" w:rsidTr="005E3CDF">
        <w:trPr>
          <w:trHeight w:val="342"/>
          <w:jc w:val="center"/>
        </w:trPr>
        <w:tc>
          <w:tcPr>
            <w:tcW w:w="667" w:type="dxa"/>
            <w:tcBorders>
              <w:top w:val="nil"/>
              <w:left w:val="single" w:sz="12" w:space="0" w:color="auto"/>
              <w:bottom w:val="single" w:sz="4" w:space="0" w:color="auto"/>
              <w:right w:val="single" w:sz="4" w:space="0" w:color="auto"/>
            </w:tcBorders>
            <w:shd w:val="clear" w:color="auto" w:fill="auto"/>
            <w:noWrap/>
            <w:vAlign w:val="center"/>
            <w:hideMark/>
          </w:tcPr>
          <w:p w:rsidR="00487C4E" w:rsidRPr="00487C4E" w:rsidRDefault="00487C4E" w:rsidP="00487C4E">
            <w:pPr>
              <w:spacing w:after="0" w:line="240" w:lineRule="auto"/>
              <w:jc w:val="center"/>
              <w:rPr>
                <w:color w:val="000000"/>
                <w:szCs w:val="22"/>
              </w:rPr>
            </w:pPr>
            <w:r w:rsidRPr="00487C4E">
              <w:rPr>
                <w:color w:val="000000"/>
                <w:sz w:val="22"/>
                <w:szCs w:val="22"/>
              </w:rPr>
              <w:t>1</w:t>
            </w:r>
          </w:p>
        </w:tc>
        <w:tc>
          <w:tcPr>
            <w:tcW w:w="2740" w:type="dxa"/>
            <w:tcBorders>
              <w:top w:val="nil"/>
              <w:left w:val="nil"/>
              <w:bottom w:val="single" w:sz="4" w:space="0" w:color="auto"/>
              <w:right w:val="single" w:sz="4" w:space="0" w:color="auto"/>
            </w:tcBorders>
            <w:shd w:val="clear" w:color="auto" w:fill="auto"/>
            <w:vAlign w:val="center"/>
            <w:hideMark/>
          </w:tcPr>
          <w:p w:rsidR="00487C4E" w:rsidRPr="00487C4E" w:rsidRDefault="00487C4E" w:rsidP="00487C4E">
            <w:pPr>
              <w:spacing w:after="0" w:line="240" w:lineRule="auto"/>
              <w:rPr>
                <w:color w:val="000000"/>
                <w:szCs w:val="22"/>
              </w:rPr>
            </w:pPr>
            <w:r w:rsidRPr="00487C4E">
              <w:rPr>
                <w:color w:val="000000"/>
                <w:sz w:val="22"/>
                <w:szCs w:val="22"/>
              </w:rPr>
              <w:t>Zásoby</w:t>
            </w:r>
          </w:p>
        </w:tc>
        <w:tc>
          <w:tcPr>
            <w:tcW w:w="1400" w:type="dxa"/>
            <w:tcBorders>
              <w:top w:val="nil"/>
              <w:left w:val="nil"/>
              <w:bottom w:val="single" w:sz="4" w:space="0" w:color="auto"/>
              <w:right w:val="single" w:sz="4" w:space="0" w:color="auto"/>
            </w:tcBorders>
            <w:shd w:val="clear" w:color="auto" w:fill="auto"/>
            <w:vAlign w:val="center"/>
            <w:hideMark/>
          </w:tcPr>
          <w:p w:rsidR="00487C4E" w:rsidRPr="00487C4E" w:rsidRDefault="00487C4E" w:rsidP="00487C4E">
            <w:pPr>
              <w:spacing w:after="0" w:line="240" w:lineRule="auto"/>
              <w:jc w:val="right"/>
              <w:rPr>
                <w:color w:val="000000"/>
                <w:szCs w:val="22"/>
              </w:rPr>
            </w:pPr>
            <w:r w:rsidRPr="00487C4E">
              <w:rPr>
                <w:color w:val="000000"/>
                <w:sz w:val="22"/>
                <w:szCs w:val="22"/>
              </w:rPr>
              <w:t>0</w:t>
            </w:r>
          </w:p>
        </w:tc>
        <w:tc>
          <w:tcPr>
            <w:tcW w:w="1400" w:type="dxa"/>
            <w:tcBorders>
              <w:top w:val="nil"/>
              <w:left w:val="nil"/>
              <w:bottom w:val="single" w:sz="4" w:space="0" w:color="auto"/>
              <w:right w:val="single" w:sz="4" w:space="0" w:color="auto"/>
            </w:tcBorders>
            <w:shd w:val="clear" w:color="auto" w:fill="auto"/>
            <w:vAlign w:val="center"/>
            <w:hideMark/>
          </w:tcPr>
          <w:p w:rsidR="00487C4E" w:rsidRPr="00487C4E" w:rsidRDefault="00487C4E" w:rsidP="00487C4E">
            <w:pPr>
              <w:spacing w:after="0" w:line="240" w:lineRule="auto"/>
              <w:jc w:val="right"/>
              <w:rPr>
                <w:color w:val="000000"/>
                <w:szCs w:val="22"/>
              </w:rPr>
            </w:pPr>
            <w:r w:rsidRPr="00487C4E">
              <w:rPr>
                <w:color w:val="000000"/>
                <w:sz w:val="22"/>
                <w:szCs w:val="22"/>
              </w:rPr>
              <w:t>625 600</w:t>
            </w:r>
          </w:p>
        </w:tc>
        <w:tc>
          <w:tcPr>
            <w:tcW w:w="1400" w:type="dxa"/>
            <w:tcBorders>
              <w:top w:val="nil"/>
              <w:left w:val="nil"/>
              <w:bottom w:val="single" w:sz="4" w:space="0" w:color="auto"/>
              <w:right w:val="single" w:sz="12" w:space="0" w:color="auto"/>
            </w:tcBorders>
            <w:shd w:val="clear" w:color="auto" w:fill="auto"/>
            <w:vAlign w:val="center"/>
            <w:hideMark/>
          </w:tcPr>
          <w:p w:rsidR="00487C4E" w:rsidRPr="00487C4E" w:rsidRDefault="00487C4E" w:rsidP="00487C4E">
            <w:pPr>
              <w:spacing w:after="0" w:line="240" w:lineRule="auto"/>
              <w:jc w:val="right"/>
              <w:rPr>
                <w:color w:val="000000"/>
                <w:szCs w:val="22"/>
              </w:rPr>
            </w:pPr>
            <w:r w:rsidRPr="00487C4E">
              <w:rPr>
                <w:color w:val="000000"/>
                <w:sz w:val="22"/>
                <w:szCs w:val="22"/>
              </w:rPr>
              <w:t>235 000</w:t>
            </w:r>
          </w:p>
        </w:tc>
      </w:tr>
      <w:tr w:rsidR="00487C4E" w:rsidRPr="00487C4E" w:rsidTr="005E3CDF">
        <w:trPr>
          <w:trHeight w:val="342"/>
          <w:jc w:val="center"/>
        </w:trPr>
        <w:tc>
          <w:tcPr>
            <w:tcW w:w="667" w:type="dxa"/>
            <w:tcBorders>
              <w:top w:val="nil"/>
              <w:left w:val="single" w:sz="12" w:space="0" w:color="auto"/>
              <w:bottom w:val="single" w:sz="4" w:space="0" w:color="auto"/>
              <w:right w:val="single" w:sz="4" w:space="0" w:color="auto"/>
            </w:tcBorders>
            <w:shd w:val="clear" w:color="auto" w:fill="auto"/>
            <w:noWrap/>
            <w:vAlign w:val="center"/>
            <w:hideMark/>
          </w:tcPr>
          <w:p w:rsidR="00487C4E" w:rsidRPr="00487C4E" w:rsidRDefault="00487C4E" w:rsidP="00487C4E">
            <w:pPr>
              <w:spacing w:after="0" w:line="240" w:lineRule="auto"/>
              <w:jc w:val="center"/>
              <w:rPr>
                <w:color w:val="000000"/>
                <w:szCs w:val="22"/>
              </w:rPr>
            </w:pPr>
            <w:r w:rsidRPr="00487C4E">
              <w:rPr>
                <w:color w:val="000000"/>
                <w:sz w:val="22"/>
                <w:szCs w:val="22"/>
              </w:rPr>
              <w:t>2</w:t>
            </w:r>
          </w:p>
        </w:tc>
        <w:tc>
          <w:tcPr>
            <w:tcW w:w="2740" w:type="dxa"/>
            <w:tcBorders>
              <w:top w:val="nil"/>
              <w:left w:val="nil"/>
              <w:bottom w:val="single" w:sz="4" w:space="0" w:color="auto"/>
              <w:right w:val="single" w:sz="4" w:space="0" w:color="auto"/>
            </w:tcBorders>
            <w:shd w:val="clear" w:color="auto" w:fill="auto"/>
            <w:vAlign w:val="center"/>
            <w:hideMark/>
          </w:tcPr>
          <w:p w:rsidR="00487C4E" w:rsidRPr="00487C4E" w:rsidRDefault="00487C4E" w:rsidP="00487C4E">
            <w:pPr>
              <w:spacing w:after="0" w:line="240" w:lineRule="auto"/>
              <w:rPr>
                <w:color w:val="000000"/>
                <w:szCs w:val="22"/>
              </w:rPr>
            </w:pPr>
            <w:r w:rsidRPr="00487C4E">
              <w:rPr>
                <w:color w:val="000000"/>
                <w:sz w:val="22"/>
                <w:szCs w:val="22"/>
              </w:rPr>
              <w:t>Pohledávky</w:t>
            </w:r>
          </w:p>
        </w:tc>
        <w:tc>
          <w:tcPr>
            <w:tcW w:w="1400" w:type="dxa"/>
            <w:tcBorders>
              <w:top w:val="nil"/>
              <w:left w:val="nil"/>
              <w:bottom w:val="single" w:sz="4" w:space="0" w:color="auto"/>
              <w:right w:val="single" w:sz="4" w:space="0" w:color="auto"/>
            </w:tcBorders>
            <w:shd w:val="clear" w:color="auto" w:fill="auto"/>
            <w:vAlign w:val="center"/>
            <w:hideMark/>
          </w:tcPr>
          <w:p w:rsidR="00487C4E" w:rsidRPr="00487C4E" w:rsidRDefault="00487C4E" w:rsidP="00487C4E">
            <w:pPr>
              <w:spacing w:after="0" w:line="240" w:lineRule="auto"/>
              <w:jc w:val="right"/>
              <w:rPr>
                <w:color w:val="000000"/>
                <w:szCs w:val="22"/>
              </w:rPr>
            </w:pPr>
            <w:r w:rsidRPr="00487C4E">
              <w:rPr>
                <w:color w:val="000000"/>
                <w:sz w:val="22"/>
                <w:szCs w:val="22"/>
              </w:rPr>
              <w:t>240 838</w:t>
            </w:r>
          </w:p>
        </w:tc>
        <w:tc>
          <w:tcPr>
            <w:tcW w:w="1400" w:type="dxa"/>
            <w:tcBorders>
              <w:top w:val="nil"/>
              <w:left w:val="nil"/>
              <w:bottom w:val="single" w:sz="4" w:space="0" w:color="auto"/>
              <w:right w:val="single" w:sz="4" w:space="0" w:color="auto"/>
            </w:tcBorders>
            <w:shd w:val="clear" w:color="auto" w:fill="auto"/>
            <w:vAlign w:val="center"/>
            <w:hideMark/>
          </w:tcPr>
          <w:p w:rsidR="00487C4E" w:rsidRPr="00487C4E" w:rsidRDefault="00487C4E" w:rsidP="00487C4E">
            <w:pPr>
              <w:spacing w:after="0" w:line="240" w:lineRule="auto"/>
              <w:jc w:val="right"/>
              <w:rPr>
                <w:color w:val="000000"/>
                <w:szCs w:val="22"/>
              </w:rPr>
            </w:pPr>
            <w:r w:rsidRPr="00487C4E">
              <w:rPr>
                <w:color w:val="000000"/>
                <w:sz w:val="22"/>
                <w:szCs w:val="22"/>
              </w:rPr>
              <w:t>758 192</w:t>
            </w:r>
          </w:p>
        </w:tc>
        <w:tc>
          <w:tcPr>
            <w:tcW w:w="1400" w:type="dxa"/>
            <w:tcBorders>
              <w:top w:val="nil"/>
              <w:left w:val="nil"/>
              <w:bottom w:val="single" w:sz="4" w:space="0" w:color="auto"/>
              <w:right w:val="single" w:sz="12" w:space="0" w:color="auto"/>
            </w:tcBorders>
            <w:shd w:val="clear" w:color="auto" w:fill="auto"/>
            <w:vAlign w:val="center"/>
            <w:hideMark/>
          </w:tcPr>
          <w:p w:rsidR="00487C4E" w:rsidRPr="00487C4E" w:rsidRDefault="00487C4E" w:rsidP="00487C4E">
            <w:pPr>
              <w:spacing w:after="0" w:line="240" w:lineRule="auto"/>
              <w:jc w:val="right"/>
              <w:rPr>
                <w:color w:val="000000"/>
                <w:szCs w:val="22"/>
              </w:rPr>
            </w:pPr>
            <w:r w:rsidRPr="00487C4E">
              <w:rPr>
                <w:color w:val="000000"/>
                <w:sz w:val="22"/>
                <w:szCs w:val="22"/>
              </w:rPr>
              <w:t>701 508</w:t>
            </w:r>
          </w:p>
        </w:tc>
      </w:tr>
      <w:tr w:rsidR="00487C4E" w:rsidRPr="00487C4E" w:rsidTr="005E3CDF">
        <w:trPr>
          <w:trHeight w:val="342"/>
          <w:jc w:val="center"/>
        </w:trPr>
        <w:tc>
          <w:tcPr>
            <w:tcW w:w="667" w:type="dxa"/>
            <w:tcBorders>
              <w:top w:val="nil"/>
              <w:left w:val="single" w:sz="12" w:space="0" w:color="auto"/>
              <w:bottom w:val="single" w:sz="4" w:space="0" w:color="auto"/>
              <w:right w:val="single" w:sz="4" w:space="0" w:color="auto"/>
            </w:tcBorders>
            <w:shd w:val="clear" w:color="auto" w:fill="auto"/>
            <w:noWrap/>
            <w:vAlign w:val="center"/>
            <w:hideMark/>
          </w:tcPr>
          <w:p w:rsidR="00487C4E" w:rsidRPr="00487C4E" w:rsidRDefault="00487C4E" w:rsidP="00487C4E">
            <w:pPr>
              <w:spacing w:after="0" w:line="240" w:lineRule="auto"/>
              <w:jc w:val="center"/>
              <w:rPr>
                <w:color w:val="000000"/>
                <w:szCs w:val="22"/>
              </w:rPr>
            </w:pPr>
            <w:r w:rsidRPr="00487C4E">
              <w:rPr>
                <w:color w:val="000000"/>
                <w:sz w:val="22"/>
                <w:szCs w:val="22"/>
              </w:rPr>
              <w:t>3</w:t>
            </w:r>
          </w:p>
        </w:tc>
        <w:tc>
          <w:tcPr>
            <w:tcW w:w="2740" w:type="dxa"/>
            <w:tcBorders>
              <w:top w:val="nil"/>
              <w:left w:val="nil"/>
              <w:bottom w:val="single" w:sz="4" w:space="0" w:color="auto"/>
              <w:right w:val="single" w:sz="4" w:space="0" w:color="auto"/>
            </w:tcBorders>
            <w:shd w:val="clear" w:color="auto" w:fill="auto"/>
            <w:vAlign w:val="center"/>
            <w:hideMark/>
          </w:tcPr>
          <w:p w:rsidR="00487C4E" w:rsidRPr="00487C4E" w:rsidRDefault="00487C4E" w:rsidP="00487C4E">
            <w:pPr>
              <w:spacing w:after="0" w:line="240" w:lineRule="auto"/>
              <w:jc w:val="left"/>
              <w:rPr>
                <w:color w:val="000000"/>
                <w:szCs w:val="22"/>
              </w:rPr>
            </w:pPr>
            <w:r w:rsidRPr="00487C4E">
              <w:rPr>
                <w:color w:val="000000"/>
                <w:sz w:val="22"/>
                <w:szCs w:val="22"/>
              </w:rPr>
              <w:t>Závazky z obchodních vztahů</w:t>
            </w:r>
          </w:p>
        </w:tc>
        <w:tc>
          <w:tcPr>
            <w:tcW w:w="1400" w:type="dxa"/>
            <w:tcBorders>
              <w:top w:val="nil"/>
              <w:left w:val="nil"/>
              <w:bottom w:val="single" w:sz="4" w:space="0" w:color="auto"/>
              <w:right w:val="single" w:sz="4" w:space="0" w:color="auto"/>
            </w:tcBorders>
            <w:shd w:val="clear" w:color="auto" w:fill="auto"/>
            <w:vAlign w:val="center"/>
            <w:hideMark/>
          </w:tcPr>
          <w:p w:rsidR="00487C4E" w:rsidRPr="00487C4E" w:rsidRDefault="00487C4E" w:rsidP="00487C4E">
            <w:pPr>
              <w:spacing w:after="0" w:line="240" w:lineRule="auto"/>
              <w:jc w:val="right"/>
              <w:rPr>
                <w:color w:val="000000"/>
                <w:szCs w:val="22"/>
              </w:rPr>
            </w:pPr>
            <w:r w:rsidRPr="00487C4E">
              <w:rPr>
                <w:color w:val="000000"/>
                <w:sz w:val="22"/>
                <w:szCs w:val="22"/>
              </w:rPr>
              <w:t>78 150</w:t>
            </w:r>
          </w:p>
        </w:tc>
        <w:tc>
          <w:tcPr>
            <w:tcW w:w="1400" w:type="dxa"/>
            <w:tcBorders>
              <w:top w:val="nil"/>
              <w:left w:val="nil"/>
              <w:bottom w:val="single" w:sz="4" w:space="0" w:color="auto"/>
              <w:right w:val="single" w:sz="4" w:space="0" w:color="auto"/>
            </w:tcBorders>
            <w:shd w:val="clear" w:color="auto" w:fill="auto"/>
            <w:vAlign w:val="center"/>
            <w:hideMark/>
          </w:tcPr>
          <w:p w:rsidR="00487C4E" w:rsidRPr="00487C4E" w:rsidRDefault="00487C4E" w:rsidP="00487C4E">
            <w:pPr>
              <w:spacing w:after="0" w:line="240" w:lineRule="auto"/>
              <w:jc w:val="right"/>
              <w:rPr>
                <w:color w:val="000000"/>
                <w:szCs w:val="22"/>
              </w:rPr>
            </w:pPr>
            <w:r w:rsidRPr="00487C4E">
              <w:rPr>
                <w:color w:val="000000"/>
                <w:sz w:val="22"/>
                <w:szCs w:val="22"/>
              </w:rPr>
              <w:t>1 287 568</w:t>
            </w:r>
          </w:p>
        </w:tc>
        <w:tc>
          <w:tcPr>
            <w:tcW w:w="1400" w:type="dxa"/>
            <w:tcBorders>
              <w:top w:val="nil"/>
              <w:left w:val="nil"/>
              <w:bottom w:val="single" w:sz="4" w:space="0" w:color="auto"/>
              <w:right w:val="single" w:sz="12" w:space="0" w:color="auto"/>
            </w:tcBorders>
            <w:shd w:val="clear" w:color="auto" w:fill="auto"/>
            <w:vAlign w:val="center"/>
            <w:hideMark/>
          </w:tcPr>
          <w:p w:rsidR="00487C4E" w:rsidRPr="00487C4E" w:rsidRDefault="00487C4E" w:rsidP="00487C4E">
            <w:pPr>
              <w:spacing w:after="0" w:line="240" w:lineRule="auto"/>
              <w:jc w:val="right"/>
              <w:rPr>
                <w:color w:val="000000"/>
                <w:szCs w:val="22"/>
              </w:rPr>
            </w:pPr>
            <w:r w:rsidRPr="00487C4E">
              <w:rPr>
                <w:color w:val="000000"/>
                <w:sz w:val="22"/>
                <w:szCs w:val="22"/>
              </w:rPr>
              <w:t>2 494 755</w:t>
            </w:r>
          </w:p>
        </w:tc>
      </w:tr>
      <w:tr w:rsidR="00487C4E" w:rsidRPr="00487C4E" w:rsidTr="005E3CDF">
        <w:trPr>
          <w:trHeight w:val="600"/>
          <w:jc w:val="center"/>
        </w:trPr>
        <w:tc>
          <w:tcPr>
            <w:tcW w:w="667" w:type="dxa"/>
            <w:tcBorders>
              <w:top w:val="nil"/>
              <w:left w:val="single" w:sz="12" w:space="0" w:color="auto"/>
              <w:bottom w:val="single" w:sz="4" w:space="0" w:color="auto"/>
              <w:right w:val="single" w:sz="4" w:space="0" w:color="auto"/>
            </w:tcBorders>
            <w:shd w:val="clear" w:color="auto" w:fill="auto"/>
            <w:noWrap/>
            <w:vAlign w:val="center"/>
            <w:hideMark/>
          </w:tcPr>
          <w:p w:rsidR="00487C4E" w:rsidRPr="00487C4E" w:rsidRDefault="00487C4E" w:rsidP="00487C4E">
            <w:pPr>
              <w:spacing w:after="0" w:line="240" w:lineRule="auto"/>
              <w:jc w:val="center"/>
              <w:rPr>
                <w:color w:val="000000"/>
                <w:szCs w:val="22"/>
              </w:rPr>
            </w:pPr>
            <w:r w:rsidRPr="00487C4E">
              <w:rPr>
                <w:color w:val="000000"/>
                <w:sz w:val="22"/>
                <w:szCs w:val="22"/>
              </w:rPr>
              <w:t>4</w:t>
            </w:r>
          </w:p>
        </w:tc>
        <w:tc>
          <w:tcPr>
            <w:tcW w:w="2740" w:type="dxa"/>
            <w:tcBorders>
              <w:top w:val="nil"/>
              <w:left w:val="nil"/>
              <w:bottom w:val="single" w:sz="4" w:space="0" w:color="auto"/>
              <w:right w:val="single" w:sz="4" w:space="0" w:color="auto"/>
            </w:tcBorders>
            <w:shd w:val="clear" w:color="auto" w:fill="auto"/>
            <w:vAlign w:val="center"/>
            <w:hideMark/>
          </w:tcPr>
          <w:p w:rsidR="00487C4E" w:rsidRPr="00487C4E" w:rsidRDefault="00487C4E" w:rsidP="00487C4E">
            <w:pPr>
              <w:spacing w:after="0" w:line="240" w:lineRule="auto"/>
              <w:jc w:val="left"/>
              <w:rPr>
                <w:color w:val="000000"/>
                <w:szCs w:val="22"/>
              </w:rPr>
            </w:pPr>
            <w:r w:rsidRPr="00487C4E">
              <w:rPr>
                <w:color w:val="000000"/>
                <w:sz w:val="22"/>
                <w:szCs w:val="22"/>
              </w:rPr>
              <w:t>Závazky z obchodních vztahů - přijaté zálohy</w:t>
            </w:r>
          </w:p>
        </w:tc>
        <w:tc>
          <w:tcPr>
            <w:tcW w:w="1400" w:type="dxa"/>
            <w:tcBorders>
              <w:top w:val="nil"/>
              <w:left w:val="nil"/>
              <w:bottom w:val="single" w:sz="4" w:space="0" w:color="auto"/>
              <w:right w:val="single" w:sz="4" w:space="0" w:color="auto"/>
            </w:tcBorders>
            <w:shd w:val="clear" w:color="auto" w:fill="auto"/>
            <w:vAlign w:val="center"/>
            <w:hideMark/>
          </w:tcPr>
          <w:p w:rsidR="00487C4E" w:rsidRPr="00487C4E" w:rsidRDefault="00487C4E" w:rsidP="00487C4E">
            <w:pPr>
              <w:spacing w:after="0" w:line="240" w:lineRule="auto"/>
              <w:jc w:val="right"/>
              <w:rPr>
                <w:color w:val="000000"/>
                <w:szCs w:val="22"/>
              </w:rPr>
            </w:pPr>
            <w:r w:rsidRPr="00487C4E">
              <w:rPr>
                <w:color w:val="000000"/>
                <w:sz w:val="22"/>
                <w:szCs w:val="22"/>
              </w:rPr>
              <w:t>0</w:t>
            </w:r>
          </w:p>
        </w:tc>
        <w:tc>
          <w:tcPr>
            <w:tcW w:w="1400" w:type="dxa"/>
            <w:tcBorders>
              <w:top w:val="nil"/>
              <w:left w:val="nil"/>
              <w:bottom w:val="single" w:sz="4" w:space="0" w:color="auto"/>
              <w:right w:val="single" w:sz="4" w:space="0" w:color="auto"/>
            </w:tcBorders>
            <w:shd w:val="clear" w:color="auto" w:fill="auto"/>
            <w:vAlign w:val="center"/>
            <w:hideMark/>
          </w:tcPr>
          <w:p w:rsidR="00487C4E" w:rsidRPr="00487C4E" w:rsidRDefault="00487C4E" w:rsidP="00487C4E">
            <w:pPr>
              <w:spacing w:after="0" w:line="240" w:lineRule="auto"/>
              <w:jc w:val="right"/>
              <w:rPr>
                <w:color w:val="000000"/>
                <w:szCs w:val="22"/>
              </w:rPr>
            </w:pPr>
            <w:r w:rsidRPr="00487C4E">
              <w:rPr>
                <w:color w:val="000000"/>
                <w:sz w:val="22"/>
                <w:szCs w:val="22"/>
              </w:rPr>
              <w:t>40 000</w:t>
            </w:r>
          </w:p>
        </w:tc>
        <w:tc>
          <w:tcPr>
            <w:tcW w:w="1400" w:type="dxa"/>
            <w:tcBorders>
              <w:top w:val="nil"/>
              <w:left w:val="nil"/>
              <w:bottom w:val="single" w:sz="4" w:space="0" w:color="auto"/>
              <w:right w:val="single" w:sz="12" w:space="0" w:color="auto"/>
            </w:tcBorders>
            <w:shd w:val="clear" w:color="auto" w:fill="auto"/>
            <w:vAlign w:val="center"/>
            <w:hideMark/>
          </w:tcPr>
          <w:p w:rsidR="00487C4E" w:rsidRPr="00487C4E" w:rsidRDefault="00487C4E" w:rsidP="00487C4E">
            <w:pPr>
              <w:spacing w:after="0" w:line="240" w:lineRule="auto"/>
              <w:jc w:val="right"/>
              <w:rPr>
                <w:color w:val="000000"/>
                <w:szCs w:val="22"/>
              </w:rPr>
            </w:pPr>
            <w:r w:rsidRPr="00487C4E">
              <w:rPr>
                <w:color w:val="000000"/>
                <w:sz w:val="22"/>
                <w:szCs w:val="22"/>
              </w:rPr>
              <w:t>0</w:t>
            </w:r>
          </w:p>
        </w:tc>
      </w:tr>
      <w:tr w:rsidR="00487C4E" w:rsidRPr="00487C4E" w:rsidTr="005E3CDF">
        <w:trPr>
          <w:trHeight w:val="342"/>
          <w:jc w:val="center"/>
        </w:trPr>
        <w:tc>
          <w:tcPr>
            <w:tcW w:w="667" w:type="dxa"/>
            <w:tcBorders>
              <w:top w:val="nil"/>
              <w:left w:val="single" w:sz="12" w:space="0" w:color="auto"/>
              <w:bottom w:val="single" w:sz="4" w:space="0" w:color="auto"/>
              <w:right w:val="single" w:sz="4" w:space="0" w:color="auto"/>
            </w:tcBorders>
            <w:shd w:val="clear" w:color="auto" w:fill="auto"/>
            <w:noWrap/>
            <w:vAlign w:val="center"/>
            <w:hideMark/>
          </w:tcPr>
          <w:p w:rsidR="00487C4E" w:rsidRPr="00487C4E" w:rsidRDefault="00487C4E" w:rsidP="00487C4E">
            <w:pPr>
              <w:spacing w:after="0" w:line="240" w:lineRule="auto"/>
              <w:jc w:val="center"/>
              <w:rPr>
                <w:color w:val="000000"/>
                <w:szCs w:val="22"/>
              </w:rPr>
            </w:pPr>
            <w:r w:rsidRPr="00487C4E">
              <w:rPr>
                <w:color w:val="000000"/>
                <w:sz w:val="22"/>
                <w:szCs w:val="22"/>
              </w:rPr>
              <w:t>5</w:t>
            </w:r>
          </w:p>
        </w:tc>
        <w:tc>
          <w:tcPr>
            <w:tcW w:w="2740" w:type="dxa"/>
            <w:tcBorders>
              <w:top w:val="nil"/>
              <w:left w:val="nil"/>
              <w:bottom w:val="single" w:sz="4" w:space="0" w:color="auto"/>
              <w:right w:val="single" w:sz="4" w:space="0" w:color="auto"/>
            </w:tcBorders>
            <w:shd w:val="clear" w:color="auto" w:fill="auto"/>
            <w:vAlign w:val="center"/>
            <w:hideMark/>
          </w:tcPr>
          <w:p w:rsidR="00487C4E" w:rsidRPr="00487C4E" w:rsidRDefault="00487C4E" w:rsidP="00487C4E">
            <w:pPr>
              <w:spacing w:after="0" w:line="240" w:lineRule="auto"/>
              <w:rPr>
                <w:color w:val="000000"/>
                <w:szCs w:val="22"/>
              </w:rPr>
            </w:pPr>
            <w:r w:rsidRPr="00487C4E">
              <w:rPr>
                <w:color w:val="000000"/>
                <w:sz w:val="22"/>
                <w:szCs w:val="22"/>
              </w:rPr>
              <w:t>Celkové tržby</w:t>
            </w:r>
          </w:p>
        </w:tc>
        <w:tc>
          <w:tcPr>
            <w:tcW w:w="1400" w:type="dxa"/>
            <w:tcBorders>
              <w:top w:val="nil"/>
              <w:left w:val="nil"/>
              <w:bottom w:val="single" w:sz="4" w:space="0" w:color="auto"/>
              <w:right w:val="single" w:sz="4" w:space="0" w:color="auto"/>
            </w:tcBorders>
            <w:shd w:val="clear" w:color="auto" w:fill="auto"/>
            <w:vAlign w:val="center"/>
            <w:hideMark/>
          </w:tcPr>
          <w:p w:rsidR="00487C4E" w:rsidRPr="00487C4E" w:rsidRDefault="00487C4E" w:rsidP="00487C4E">
            <w:pPr>
              <w:spacing w:after="0" w:line="240" w:lineRule="auto"/>
              <w:jc w:val="right"/>
              <w:rPr>
                <w:color w:val="000000"/>
                <w:szCs w:val="22"/>
              </w:rPr>
            </w:pPr>
            <w:r w:rsidRPr="00487C4E">
              <w:rPr>
                <w:color w:val="000000"/>
                <w:sz w:val="22"/>
                <w:szCs w:val="22"/>
              </w:rPr>
              <w:t>205 462</w:t>
            </w:r>
          </w:p>
        </w:tc>
        <w:tc>
          <w:tcPr>
            <w:tcW w:w="1400" w:type="dxa"/>
            <w:tcBorders>
              <w:top w:val="nil"/>
              <w:left w:val="nil"/>
              <w:bottom w:val="single" w:sz="4" w:space="0" w:color="auto"/>
              <w:right w:val="single" w:sz="4" w:space="0" w:color="auto"/>
            </w:tcBorders>
            <w:shd w:val="clear" w:color="auto" w:fill="auto"/>
            <w:vAlign w:val="center"/>
            <w:hideMark/>
          </w:tcPr>
          <w:p w:rsidR="00487C4E" w:rsidRPr="00487C4E" w:rsidRDefault="00487C4E" w:rsidP="00487C4E">
            <w:pPr>
              <w:spacing w:after="0" w:line="240" w:lineRule="auto"/>
              <w:jc w:val="right"/>
              <w:rPr>
                <w:color w:val="000000"/>
                <w:szCs w:val="22"/>
              </w:rPr>
            </w:pPr>
            <w:r w:rsidRPr="00487C4E">
              <w:rPr>
                <w:color w:val="000000"/>
                <w:sz w:val="22"/>
                <w:szCs w:val="22"/>
              </w:rPr>
              <w:t>4 137 504</w:t>
            </w:r>
          </w:p>
        </w:tc>
        <w:tc>
          <w:tcPr>
            <w:tcW w:w="1400" w:type="dxa"/>
            <w:tcBorders>
              <w:top w:val="nil"/>
              <w:left w:val="nil"/>
              <w:bottom w:val="single" w:sz="4" w:space="0" w:color="auto"/>
              <w:right w:val="single" w:sz="12" w:space="0" w:color="auto"/>
            </w:tcBorders>
            <w:shd w:val="clear" w:color="auto" w:fill="auto"/>
            <w:vAlign w:val="center"/>
            <w:hideMark/>
          </w:tcPr>
          <w:p w:rsidR="00487C4E" w:rsidRPr="00487C4E" w:rsidRDefault="00487C4E" w:rsidP="00487C4E">
            <w:pPr>
              <w:spacing w:after="0" w:line="240" w:lineRule="auto"/>
              <w:jc w:val="right"/>
              <w:rPr>
                <w:color w:val="000000"/>
                <w:szCs w:val="22"/>
              </w:rPr>
            </w:pPr>
            <w:r w:rsidRPr="00487C4E">
              <w:rPr>
                <w:color w:val="000000"/>
                <w:sz w:val="22"/>
                <w:szCs w:val="22"/>
              </w:rPr>
              <w:t>3 906 927</w:t>
            </w:r>
          </w:p>
        </w:tc>
      </w:tr>
      <w:tr w:rsidR="00487C4E" w:rsidRPr="00487C4E" w:rsidTr="005E3CDF">
        <w:trPr>
          <w:trHeight w:val="342"/>
          <w:jc w:val="center"/>
        </w:trPr>
        <w:tc>
          <w:tcPr>
            <w:tcW w:w="667" w:type="dxa"/>
            <w:tcBorders>
              <w:top w:val="nil"/>
              <w:left w:val="single" w:sz="12" w:space="0" w:color="auto"/>
              <w:bottom w:val="single" w:sz="12" w:space="0" w:color="auto"/>
              <w:right w:val="single" w:sz="4" w:space="0" w:color="auto"/>
            </w:tcBorders>
            <w:shd w:val="clear" w:color="auto" w:fill="auto"/>
            <w:noWrap/>
            <w:vAlign w:val="center"/>
            <w:hideMark/>
          </w:tcPr>
          <w:p w:rsidR="00487C4E" w:rsidRPr="00487C4E" w:rsidRDefault="00487C4E" w:rsidP="00487C4E">
            <w:pPr>
              <w:spacing w:after="0" w:line="240" w:lineRule="auto"/>
              <w:jc w:val="center"/>
              <w:rPr>
                <w:color w:val="000000"/>
                <w:szCs w:val="22"/>
              </w:rPr>
            </w:pPr>
            <w:r w:rsidRPr="00487C4E">
              <w:rPr>
                <w:color w:val="000000"/>
                <w:sz w:val="22"/>
                <w:szCs w:val="22"/>
              </w:rPr>
              <w:t>6</w:t>
            </w:r>
          </w:p>
        </w:tc>
        <w:tc>
          <w:tcPr>
            <w:tcW w:w="2740" w:type="dxa"/>
            <w:tcBorders>
              <w:top w:val="nil"/>
              <w:left w:val="nil"/>
              <w:bottom w:val="single" w:sz="12" w:space="0" w:color="auto"/>
              <w:right w:val="single" w:sz="4" w:space="0" w:color="auto"/>
            </w:tcBorders>
            <w:shd w:val="clear" w:color="auto" w:fill="auto"/>
            <w:vAlign w:val="center"/>
            <w:hideMark/>
          </w:tcPr>
          <w:p w:rsidR="00487C4E" w:rsidRPr="00487C4E" w:rsidRDefault="00487C4E" w:rsidP="00487C4E">
            <w:pPr>
              <w:spacing w:after="0" w:line="240" w:lineRule="auto"/>
              <w:rPr>
                <w:color w:val="000000"/>
                <w:szCs w:val="22"/>
              </w:rPr>
            </w:pPr>
            <w:r w:rsidRPr="00487C4E">
              <w:rPr>
                <w:color w:val="000000"/>
                <w:sz w:val="22"/>
                <w:szCs w:val="22"/>
              </w:rPr>
              <w:t>Celkové náklady</w:t>
            </w:r>
          </w:p>
        </w:tc>
        <w:tc>
          <w:tcPr>
            <w:tcW w:w="1400" w:type="dxa"/>
            <w:tcBorders>
              <w:top w:val="nil"/>
              <w:left w:val="nil"/>
              <w:bottom w:val="single" w:sz="12" w:space="0" w:color="auto"/>
              <w:right w:val="single" w:sz="4" w:space="0" w:color="auto"/>
            </w:tcBorders>
            <w:shd w:val="clear" w:color="auto" w:fill="auto"/>
            <w:vAlign w:val="center"/>
            <w:hideMark/>
          </w:tcPr>
          <w:p w:rsidR="00487C4E" w:rsidRPr="00487C4E" w:rsidRDefault="00487C4E" w:rsidP="00487C4E">
            <w:pPr>
              <w:spacing w:after="0" w:line="240" w:lineRule="auto"/>
              <w:jc w:val="right"/>
              <w:rPr>
                <w:color w:val="000000"/>
                <w:szCs w:val="22"/>
              </w:rPr>
            </w:pPr>
            <w:r w:rsidRPr="00487C4E">
              <w:rPr>
                <w:color w:val="000000"/>
                <w:sz w:val="22"/>
                <w:szCs w:val="22"/>
              </w:rPr>
              <w:t>262 666</w:t>
            </w:r>
          </w:p>
        </w:tc>
        <w:tc>
          <w:tcPr>
            <w:tcW w:w="1400" w:type="dxa"/>
            <w:tcBorders>
              <w:top w:val="nil"/>
              <w:left w:val="nil"/>
              <w:bottom w:val="single" w:sz="12" w:space="0" w:color="auto"/>
              <w:right w:val="single" w:sz="4" w:space="0" w:color="auto"/>
            </w:tcBorders>
            <w:shd w:val="clear" w:color="auto" w:fill="auto"/>
            <w:vAlign w:val="center"/>
            <w:hideMark/>
          </w:tcPr>
          <w:p w:rsidR="00487C4E" w:rsidRPr="00487C4E" w:rsidRDefault="00487C4E" w:rsidP="00487C4E">
            <w:pPr>
              <w:spacing w:after="0" w:line="240" w:lineRule="auto"/>
              <w:jc w:val="right"/>
              <w:rPr>
                <w:color w:val="000000"/>
                <w:szCs w:val="22"/>
              </w:rPr>
            </w:pPr>
            <w:r w:rsidRPr="00487C4E">
              <w:rPr>
                <w:color w:val="000000"/>
                <w:sz w:val="22"/>
                <w:szCs w:val="22"/>
              </w:rPr>
              <w:t>4 820 228</w:t>
            </w:r>
          </w:p>
        </w:tc>
        <w:tc>
          <w:tcPr>
            <w:tcW w:w="1400" w:type="dxa"/>
            <w:tcBorders>
              <w:top w:val="nil"/>
              <w:left w:val="nil"/>
              <w:bottom w:val="single" w:sz="12" w:space="0" w:color="auto"/>
              <w:right w:val="single" w:sz="12" w:space="0" w:color="auto"/>
            </w:tcBorders>
            <w:shd w:val="clear" w:color="auto" w:fill="auto"/>
            <w:vAlign w:val="center"/>
            <w:hideMark/>
          </w:tcPr>
          <w:p w:rsidR="00487C4E" w:rsidRPr="00487C4E" w:rsidRDefault="00487C4E" w:rsidP="00487C4E">
            <w:pPr>
              <w:spacing w:after="0" w:line="240" w:lineRule="auto"/>
              <w:jc w:val="right"/>
              <w:rPr>
                <w:color w:val="000000"/>
                <w:szCs w:val="22"/>
              </w:rPr>
            </w:pPr>
            <w:r w:rsidRPr="00487C4E">
              <w:rPr>
                <w:color w:val="000000"/>
                <w:sz w:val="22"/>
                <w:szCs w:val="22"/>
              </w:rPr>
              <w:t>6 357 303</w:t>
            </w:r>
          </w:p>
        </w:tc>
      </w:tr>
    </w:tbl>
    <w:p w:rsidR="00F6315A" w:rsidRDefault="00112176" w:rsidP="00487C4E">
      <w:pPr>
        <w:pStyle w:val="dajepodtabulkou"/>
        <w:ind w:left="426"/>
      </w:pPr>
      <w:r>
        <w:t xml:space="preserve">Zdroj: </w:t>
      </w:r>
      <w:r w:rsidR="003D7CD4">
        <w:t>KOVOVÝROBA s. r. o.</w:t>
      </w:r>
    </w:p>
    <w:p w:rsidR="008B6F22" w:rsidRDefault="008B6F22" w:rsidP="00255FC3">
      <w:pPr>
        <w:pStyle w:val="Odstavecnormln"/>
      </w:pPr>
      <w:r>
        <w:t xml:space="preserve">Hodnoty </w:t>
      </w:r>
      <w:r w:rsidR="00293526">
        <w:t>uvedené na ř.</w:t>
      </w:r>
      <w:r>
        <w:t xml:space="preserve"> 1</w:t>
      </w:r>
      <w:r w:rsidR="008B3975">
        <w:t>, 2,</w:t>
      </w:r>
      <w:r w:rsidR="00293526">
        <w:t xml:space="preserve"> 3</w:t>
      </w:r>
      <w:r w:rsidR="008B3975">
        <w:t xml:space="preserve"> a 4</w:t>
      </w:r>
      <w:r w:rsidR="00293526">
        <w:t xml:space="preserve"> </w:t>
      </w:r>
      <w:r>
        <w:t>byly doplněny z výkazů rozv</w:t>
      </w:r>
      <w:r w:rsidR="00293526">
        <w:t>ah společnosti a hodnoty uvedené</w:t>
      </w:r>
      <w:r>
        <w:t xml:space="preserve"> na ř. </w:t>
      </w:r>
      <w:r w:rsidR="008B3975">
        <w:t>5 a 6</w:t>
      </w:r>
      <w:r>
        <w:t xml:space="preserve"> do tabulky doplněny z účetnictví společnosti (viz</w:t>
      </w:r>
      <w:r w:rsidR="00744BD2">
        <w:t xml:space="preserve"> příloha 3</w:t>
      </w:r>
      <w:r w:rsidR="00293526">
        <w:t xml:space="preserve"> </w:t>
      </w:r>
      <w:r w:rsidR="00486D43">
        <w:br/>
      </w:r>
      <w:r w:rsidR="00D543B2">
        <w:t xml:space="preserve">na str. </w:t>
      </w:r>
      <w:r w:rsidR="00793F69">
        <w:fldChar w:fldCharType="begin"/>
      </w:r>
      <w:r w:rsidR="00793F69">
        <w:instrText xml:space="preserve"> PAGEREF _Ref352356284 \h </w:instrText>
      </w:r>
      <w:r w:rsidR="00793F69">
        <w:fldChar w:fldCharType="separate"/>
      </w:r>
      <w:r w:rsidR="002534BA">
        <w:rPr>
          <w:noProof/>
        </w:rPr>
        <w:t>65</w:t>
      </w:r>
      <w:r w:rsidR="00793F69">
        <w:fldChar w:fldCharType="end"/>
      </w:r>
      <w:r w:rsidR="00D543B2">
        <w:t>)</w:t>
      </w:r>
      <w:r>
        <w:t>.</w:t>
      </w:r>
    </w:p>
    <w:p w:rsidR="005B43B3" w:rsidRDefault="005B43B3" w:rsidP="00255FC3">
      <w:pPr>
        <w:pStyle w:val="Odstavecnormln"/>
      </w:pPr>
      <w:r>
        <w:lastRenderedPageBreak/>
        <w:t>Kapitola se níže zabývá výpočtem a interpretací ukazatelů obratovosti zásob, neboť správná výše zásob je u výrobních podniků klíčová.</w:t>
      </w:r>
      <w:r w:rsidRPr="005B43B3">
        <w:t xml:space="preserve"> </w:t>
      </w:r>
      <w:r>
        <w:t xml:space="preserve">Dále </w:t>
      </w:r>
      <w:r w:rsidR="0071051C">
        <w:t>je vypočítána doba obratu pohledávek a závazků</w:t>
      </w:r>
      <w:r>
        <w:t xml:space="preserve"> za účelem zjištění platební situace společnosti.</w:t>
      </w:r>
    </w:p>
    <w:p w:rsidR="003B5A27" w:rsidRPr="003B5A27" w:rsidRDefault="003B5A27" w:rsidP="00897452">
      <w:pPr>
        <w:pStyle w:val="Titulek"/>
      </w:pPr>
      <w:bookmarkStart w:id="112" w:name="_Toc353125947"/>
      <w:r w:rsidRPr="003B5A27">
        <w:t xml:space="preserve">Tabulka </w:t>
      </w:r>
      <w:r w:rsidR="00C96C2B">
        <w:fldChar w:fldCharType="begin"/>
      </w:r>
      <w:r w:rsidR="00C96C2B">
        <w:instrText xml:space="preserve"> SEQ Tabulka \* ARABIC </w:instrText>
      </w:r>
      <w:r w:rsidR="00C96C2B">
        <w:fldChar w:fldCharType="separate"/>
      </w:r>
      <w:r w:rsidR="002534BA">
        <w:rPr>
          <w:noProof/>
        </w:rPr>
        <w:t>8</w:t>
      </w:r>
      <w:r w:rsidR="00C96C2B">
        <w:rPr>
          <w:noProof/>
        </w:rPr>
        <w:fldChar w:fldCharType="end"/>
      </w:r>
      <w:r w:rsidRPr="003B5A27">
        <w:t xml:space="preserve"> Ukazatel rychlosti obratu zásob a doba obratu zásob</w:t>
      </w:r>
      <w:r w:rsidR="007E4FA9">
        <w:t xml:space="preserve"> - KOVOVÝROBA s. r. o.</w:t>
      </w:r>
      <w:bookmarkEnd w:id="112"/>
    </w:p>
    <w:tbl>
      <w:tblPr>
        <w:tblW w:w="6860" w:type="dxa"/>
        <w:jc w:val="center"/>
        <w:tblInd w:w="55" w:type="dxa"/>
        <w:tblCellMar>
          <w:left w:w="70" w:type="dxa"/>
          <w:right w:w="70" w:type="dxa"/>
        </w:tblCellMar>
        <w:tblLook w:val="04A0" w:firstRow="1" w:lastRow="0" w:firstColumn="1" w:lastColumn="0" w:noHBand="0" w:noVBand="1"/>
      </w:tblPr>
      <w:tblGrid>
        <w:gridCol w:w="3140"/>
        <w:gridCol w:w="1240"/>
        <w:gridCol w:w="1240"/>
        <w:gridCol w:w="1240"/>
      </w:tblGrid>
      <w:tr w:rsidR="00686BEE" w:rsidRPr="00686BEE" w:rsidTr="00686BEE">
        <w:trPr>
          <w:trHeight w:val="439"/>
          <w:jc w:val="center"/>
        </w:trPr>
        <w:tc>
          <w:tcPr>
            <w:tcW w:w="3140" w:type="dxa"/>
            <w:tcBorders>
              <w:top w:val="single" w:sz="12" w:space="0" w:color="auto"/>
              <w:left w:val="single" w:sz="12" w:space="0" w:color="auto"/>
              <w:bottom w:val="double" w:sz="6" w:space="0" w:color="auto"/>
              <w:right w:val="single" w:sz="4" w:space="0" w:color="auto"/>
            </w:tcBorders>
            <w:shd w:val="clear" w:color="000000" w:fill="E4DFEC"/>
            <w:vAlign w:val="center"/>
            <w:hideMark/>
          </w:tcPr>
          <w:p w:rsidR="00686BEE" w:rsidRPr="00686BEE" w:rsidRDefault="0010457F" w:rsidP="00686BEE">
            <w:pPr>
              <w:spacing w:after="0" w:line="240" w:lineRule="auto"/>
              <w:jc w:val="center"/>
              <w:rPr>
                <w:b/>
                <w:bCs/>
                <w:color w:val="000000"/>
                <w:szCs w:val="24"/>
              </w:rPr>
            </w:pPr>
            <w:r>
              <w:rPr>
                <w:b/>
                <w:bCs/>
                <w:color w:val="000000"/>
                <w:szCs w:val="24"/>
              </w:rPr>
              <w:t>TEXT</w:t>
            </w:r>
          </w:p>
        </w:tc>
        <w:tc>
          <w:tcPr>
            <w:tcW w:w="1240" w:type="dxa"/>
            <w:tcBorders>
              <w:top w:val="single" w:sz="12" w:space="0" w:color="auto"/>
              <w:left w:val="nil"/>
              <w:bottom w:val="double" w:sz="6" w:space="0" w:color="auto"/>
              <w:right w:val="single" w:sz="4" w:space="0" w:color="auto"/>
            </w:tcBorders>
            <w:shd w:val="clear" w:color="000000" w:fill="E4DFEC"/>
            <w:vAlign w:val="center"/>
            <w:hideMark/>
          </w:tcPr>
          <w:p w:rsidR="00686BEE" w:rsidRPr="00686BEE" w:rsidRDefault="00686BEE" w:rsidP="00686BEE">
            <w:pPr>
              <w:spacing w:after="0" w:line="240" w:lineRule="auto"/>
              <w:jc w:val="center"/>
              <w:rPr>
                <w:b/>
                <w:bCs/>
                <w:color w:val="000000"/>
                <w:szCs w:val="24"/>
              </w:rPr>
            </w:pPr>
            <w:r w:rsidRPr="00686BEE">
              <w:rPr>
                <w:b/>
                <w:bCs/>
                <w:color w:val="000000"/>
                <w:szCs w:val="24"/>
              </w:rPr>
              <w:t>2009</w:t>
            </w:r>
          </w:p>
        </w:tc>
        <w:tc>
          <w:tcPr>
            <w:tcW w:w="1240" w:type="dxa"/>
            <w:tcBorders>
              <w:top w:val="single" w:sz="12" w:space="0" w:color="auto"/>
              <w:left w:val="nil"/>
              <w:bottom w:val="double" w:sz="6" w:space="0" w:color="auto"/>
              <w:right w:val="single" w:sz="4" w:space="0" w:color="auto"/>
            </w:tcBorders>
            <w:shd w:val="clear" w:color="000000" w:fill="E4DFEC"/>
            <w:vAlign w:val="center"/>
            <w:hideMark/>
          </w:tcPr>
          <w:p w:rsidR="00686BEE" w:rsidRPr="00686BEE" w:rsidRDefault="00686BEE" w:rsidP="00686BEE">
            <w:pPr>
              <w:spacing w:after="0" w:line="240" w:lineRule="auto"/>
              <w:jc w:val="center"/>
              <w:rPr>
                <w:b/>
                <w:bCs/>
                <w:color w:val="000000"/>
                <w:szCs w:val="24"/>
              </w:rPr>
            </w:pPr>
            <w:r w:rsidRPr="00686BEE">
              <w:rPr>
                <w:b/>
                <w:bCs/>
                <w:color w:val="000000"/>
                <w:szCs w:val="24"/>
              </w:rPr>
              <w:t>2010</w:t>
            </w:r>
          </w:p>
        </w:tc>
        <w:tc>
          <w:tcPr>
            <w:tcW w:w="1240" w:type="dxa"/>
            <w:tcBorders>
              <w:top w:val="single" w:sz="12" w:space="0" w:color="auto"/>
              <w:left w:val="nil"/>
              <w:bottom w:val="double" w:sz="6" w:space="0" w:color="auto"/>
              <w:right w:val="single" w:sz="12" w:space="0" w:color="auto"/>
            </w:tcBorders>
            <w:shd w:val="clear" w:color="000000" w:fill="E4DFEC"/>
            <w:vAlign w:val="center"/>
            <w:hideMark/>
          </w:tcPr>
          <w:p w:rsidR="00686BEE" w:rsidRPr="00686BEE" w:rsidRDefault="00686BEE" w:rsidP="00686BEE">
            <w:pPr>
              <w:spacing w:after="0" w:line="240" w:lineRule="auto"/>
              <w:jc w:val="center"/>
              <w:rPr>
                <w:b/>
                <w:bCs/>
                <w:color w:val="000000"/>
                <w:szCs w:val="24"/>
              </w:rPr>
            </w:pPr>
            <w:r w:rsidRPr="00686BEE">
              <w:rPr>
                <w:b/>
                <w:bCs/>
                <w:color w:val="000000"/>
                <w:szCs w:val="24"/>
              </w:rPr>
              <w:t>2011</w:t>
            </w:r>
          </w:p>
        </w:tc>
      </w:tr>
      <w:tr w:rsidR="00686BEE" w:rsidRPr="00686BEE" w:rsidTr="00686BEE">
        <w:trPr>
          <w:trHeight w:val="342"/>
          <w:jc w:val="center"/>
        </w:trPr>
        <w:tc>
          <w:tcPr>
            <w:tcW w:w="3140" w:type="dxa"/>
            <w:tcBorders>
              <w:top w:val="nil"/>
              <w:left w:val="single" w:sz="12" w:space="0" w:color="auto"/>
              <w:bottom w:val="single" w:sz="4" w:space="0" w:color="auto"/>
              <w:right w:val="single" w:sz="4" w:space="0" w:color="auto"/>
            </w:tcBorders>
            <w:shd w:val="clear" w:color="auto" w:fill="auto"/>
            <w:vAlign w:val="center"/>
            <w:hideMark/>
          </w:tcPr>
          <w:p w:rsidR="00686BEE" w:rsidRPr="00686BEE" w:rsidRDefault="00686BEE" w:rsidP="00686BEE">
            <w:pPr>
              <w:spacing w:after="0" w:line="240" w:lineRule="auto"/>
              <w:rPr>
                <w:color w:val="000000"/>
                <w:szCs w:val="24"/>
              </w:rPr>
            </w:pPr>
            <w:r w:rsidRPr="00686BEE">
              <w:rPr>
                <w:color w:val="000000"/>
                <w:szCs w:val="24"/>
              </w:rPr>
              <w:t>Rychlost obratu zásob</w:t>
            </w:r>
          </w:p>
        </w:tc>
        <w:tc>
          <w:tcPr>
            <w:tcW w:w="1240" w:type="dxa"/>
            <w:tcBorders>
              <w:top w:val="nil"/>
              <w:left w:val="nil"/>
              <w:bottom w:val="single" w:sz="4" w:space="0" w:color="auto"/>
              <w:right w:val="single" w:sz="4" w:space="0" w:color="auto"/>
            </w:tcBorders>
            <w:shd w:val="clear" w:color="auto" w:fill="auto"/>
            <w:vAlign w:val="center"/>
            <w:hideMark/>
          </w:tcPr>
          <w:p w:rsidR="00686BEE" w:rsidRPr="00686BEE" w:rsidRDefault="00686BEE" w:rsidP="00686BEE">
            <w:pPr>
              <w:spacing w:after="0" w:line="240" w:lineRule="auto"/>
              <w:jc w:val="center"/>
              <w:rPr>
                <w:color w:val="000000"/>
                <w:szCs w:val="24"/>
              </w:rPr>
            </w:pPr>
            <w:r w:rsidRPr="00686BEE">
              <w:rPr>
                <w:color w:val="000000"/>
                <w:szCs w:val="24"/>
              </w:rPr>
              <w:t>x</w:t>
            </w:r>
          </w:p>
        </w:tc>
        <w:tc>
          <w:tcPr>
            <w:tcW w:w="1240" w:type="dxa"/>
            <w:tcBorders>
              <w:top w:val="nil"/>
              <w:left w:val="nil"/>
              <w:bottom w:val="single" w:sz="4" w:space="0" w:color="auto"/>
              <w:right w:val="single" w:sz="4" w:space="0" w:color="auto"/>
            </w:tcBorders>
            <w:shd w:val="clear" w:color="auto" w:fill="auto"/>
            <w:vAlign w:val="center"/>
            <w:hideMark/>
          </w:tcPr>
          <w:p w:rsidR="00686BEE" w:rsidRPr="00686BEE" w:rsidRDefault="00686BEE" w:rsidP="00686BEE">
            <w:pPr>
              <w:spacing w:after="0" w:line="240" w:lineRule="auto"/>
              <w:jc w:val="right"/>
              <w:rPr>
                <w:color w:val="000000"/>
                <w:szCs w:val="24"/>
              </w:rPr>
            </w:pPr>
            <w:r w:rsidRPr="00686BEE">
              <w:rPr>
                <w:color w:val="000000"/>
                <w:szCs w:val="24"/>
              </w:rPr>
              <w:t>6,61</w:t>
            </w:r>
          </w:p>
        </w:tc>
        <w:tc>
          <w:tcPr>
            <w:tcW w:w="1240" w:type="dxa"/>
            <w:tcBorders>
              <w:top w:val="nil"/>
              <w:left w:val="nil"/>
              <w:bottom w:val="single" w:sz="4" w:space="0" w:color="auto"/>
              <w:right w:val="single" w:sz="12" w:space="0" w:color="auto"/>
            </w:tcBorders>
            <w:shd w:val="clear" w:color="auto" w:fill="auto"/>
            <w:vAlign w:val="center"/>
            <w:hideMark/>
          </w:tcPr>
          <w:p w:rsidR="00686BEE" w:rsidRPr="00686BEE" w:rsidRDefault="00686BEE" w:rsidP="00686BEE">
            <w:pPr>
              <w:spacing w:after="0" w:line="240" w:lineRule="auto"/>
              <w:jc w:val="right"/>
              <w:rPr>
                <w:color w:val="000000"/>
                <w:szCs w:val="24"/>
              </w:rPr>
            </w:pPr>
            <w:r w:rsidRPr="00686BEE">
              <w:rPr>
                <w:color w:val="000000"/>
                <w:szCs w:val="24"/>
              </w:rPr>
              <w:t>16,6</w:t>
            </w:r>
            <w:r w:rsidR="00793F69">
              <w:rPr>
                <w:color w:val="000000"/>
                <w:szCs w:val="24"/>
              </w:rPr>
              <w:t>0</w:t>
            </w:r>
          </w:p>
        </w:tc>
      </w:tr>
      <w:tr w:rsidR="00686BEE" w:rsidRPr="00686BEE" w:rsidTr="00686BEE">
        <w:trPr>
          <w:trHeight w:val="342"/>
          <w:jc w:val="center"/>
        </w:trPr>
        <w:tc>
          <w:tcPr>
            <w:tcW w:w="3140" w:type="dxa"/>
            <w:tcBorders>
              <w:top w:val="nil"/>
              <w:left w:val="single" w:sz="12" w:space="0" w:color="auto"/>
              <w:bottom w:val="single" w:sz="12" w:space="0" w:color="auto"/>
              <w:right w:val="single" w:sz="4" w:space="0" w:color="auto"/>
            </w:tcBorders>
            <w:shd w:val="clear" w:color="auto" w:fill="auto"/>
            <w:vAlign w:val="center"/>
            <w:hideMark/>
          </w:tcPr>
          <w:p w:rsidR="00686BEE" w:rsidRPr="00686BEE" w:rsidRDefault="00686BEE" w:rsidP="00686BEE">
            <w:pPr>
              <w:spacing w:after="0" w:line="240" w:lineRule="auto"/>
              <w:rPr>
                <w:color w:val="000000"/>
                <w:szCs w:val="24"/>
              </w:rPr>
            </w:pPr>
            <w:r w:rsidRPr="00686BEE">
              <w:rPr>
                <w:color w:val="000000"/>
                <w:szCs w:val="24"/>
              </w:rPr>
              <w:t>Doba obratu zásob</w:t>
            </w:r>
          </w:p>
        </w:tc>
        <w:tc>
          <w:tcPr>
            <w:tcW w:w="1240" w:type="dxa"/>
            <w:tcBorders>
              <w:top w:val="nil"/>
              <w:left w:val="nil"/>
              <w:bottom w:val="single" w:sz="12" w:space="0" w:color="auto"/>
              <w:right w:val="single" w:sz="4" w:space="0" w:color="auto"/>
            </w:tcBorders>
            <w:shd w:val="clear" w:color="auto" w:fill="auto"/>
            <w:vAlign w:val="center"/>
            <w:hideMark/>
          </w:tcPr>
          <w:p w:rsidR="00686BEE" w:rsidRPr="00686BEE" w:rsidRDefault="00686BEE" w:rsidP="00686BEE">
            <w:pPr>
              <w:spacing w:after="0" w:line="240" w:lineRule="auto"/>
              <w:jc w:val="center"/>
              <w:rPr>
                <w:color w:val="000000"/>
                <w:szCs w:val="24"/>
              </w:rPr>
            </w:pPr>
            <w:r w:rsidRPr="00686BEE">
              <w:rPr>
                <w:color w:val="000000"/>
                <w:szCs w:val="24"/>
              </w:rPr>
              <w:t>x</w:t>
            </w:r>
          </w:p>
        </w:tc>
        <w:tc>
          <w:tcPr>
            <w:tcW w:w="1240" w:type="dxa"/>
            <w:tcBorders>
              <w:top w:val="nil"/>
              <w:left w:val="nil"/>
              <w:bottom w:val="single" w:sz="12" w:space="0" w:color="auto"/>
              <w:right w:val="single" w:sz="4" w:space="0" w:color="auto"/>
            </w:tcBorders>
            <w:shd w:val="clear" w:color="auto" w:fill="auto"/>
            <w:vAlign w:val="center"/>
            <w:hideMark/>
          </w:tcPr>
          <w:p w:rsidR="00686BEE" w:rsidRPr="00686BEE" w:rsidRDefault="00686BEE" w:rsidP="00686BEE">
            <w:pPr>
              <w:spacing w:after="0" w:line="240" w:lineRule="auto"/>
              <w:jc w:val="right"/>
              <w:rPr>
                <w:color w:val="000000"/>
                <w:szCs w:val="24"/>
              </w:rPr>
            </w:pPr>
            <w:r w:rsidRPr="00686BEE">
              <w:rPr>
                <w:color w:val="000000"/>
                <w:szCs w:val="24"/>
              </w:rPr>
              <w:t>47,37</w:t>
            </w:r>
          </w:p>
        </w:tc>
        <w:tc>
          <w:tcPr>
            <w:tcW w:w="1240" w:type="dxa"/>
            <w:tcBorders>
              <w:top w:val="nil"/>
              <w:left w:val="nil"/>
              <w:bottom w:val="single" w:sz="12" w:space="0" w:color="auto"/>
              <w:right w:val="single" w:sz="12" w:space="0" w:color="auto"/>
            </w:tcBorders>
            <w:shd w:val="clear" w:color="auto" w:fill="auto"/>
            <w:vAlign w:val="center"/>
            <w:hideMark/>
          </w:tcPr>
          <w:p w:rsidR="00686BEE" w:rsidRPr="00686BEE" w:rsidRDefault="00686BEE" w:rsidP="00686BEE">
            <w:pPr>
              <w:spacing w:after="0" w:line="240" w:lineRule="auto"/>
              <w:jc w:val="right"/>
              <w:rPr>
                <w:color w:val="000000"/>
                <w:szCs w:val="24"/>
              </w:rPr>
            </w:pPr>
            <w:r w:rsidRPr="00686BEE">
              <w:rPr>
                <w:color w:val="000000"/>
                <w:szCs w:val="24"/>
              </w:rPr>
              <w:t>13,49</w:t>
            </w:r>
          </w:p>
        </w:tc>
      </w:tr>
    </w:tbl>
    <w:p w:rsidR="00686BEE" w:rsidRDefault="00C63022" w:rsidP="00031EE0">
      <w:pPr>
        <w:pStyle w:val="dajepodtabulkou"/>
        <w:ind w:left="851"/>
        <w:rPr>
          <w:u w:val="single"/>
        </w:rPr>
      </w:pPr>
      <w:r>
        <w:t>Zdroj: vlastní</w:t>
      </w:r>
      <w:r w:rsidR="003D7CD4">
        <w:t xml:space="preserve"> </w:t>
      </w:r>
      <w:r w:rsidR="0076653B">
        <w:t>zpracování</w:t>
      </w:r>
    </w:p>
    <w:p w:rsidR="003101A7" w:rsidRDefault="003101A7" w:rsidP="00255FC3">
      <w:pPr>
        <w:pStyle w:val="Odstavecnormln"/>
      </w:pPr>
      <w:r>
        <w:t>Poznámka: příklady výpočtu jsou uvedeny v</w:t>
      </w:r>
      <w:r w:rsidR="00744BD2">
        <w:t> příloze 7</w:t>
      </w:r>
      <w:r w:rsidR="00C95146">
        <w:t xml:space="preserve"> </w:t>
      </w:r>
      <w:r w:rsidR="002D6CF7">
        <w:t>n</w:t>
      </w:r>
      <w:r>
        <w:t xml:space="preserve">a str. </w:t>
      </w:r>
      <w:r>
        <w:fldChar w:fldCharType="begin"/>
      </w:r>
      <w:r>
        <w:instrText xml:space="preserve"> PAGEREF _Ref348555530 \h </w:instrText>
      </w:r>
      <w:r>
        <w:fldChar w:fldCharType="separate"/>
      </w:r>
      <w:r w:rsidR="002534BA">
        <w:rPr>
          <w:noProof/>
        </w:rPr>
        <w:t>69</w:t>
      </w:r>
      <w:r>
        <w:fldChar w:fldCharType="end"/>
      </w:r>
      <w:r>
        <w:t>.</w:t>
      </w:r>
    </w:p>
    <w:p w:rsidR="0081137B" w:rsidRPr="001C2E79" w:rsidRDefault="00851CC8" w:rsidP="00255FC3">
      <w:pPr>
        <w:pStyle w:val="Odstavecnormln"/>
      </w:pPr>
      <w:r>
        <w:t>Pr</w:t>
      </w:r>
      <w:r w:rsidR="00D0780A">
        <w:t xml:space="preserve">o rok 2009 nebyly ukazatele rychlosti a doby obratu zásob </w:t>
      </w:r>
      <w:r w:rsidR="00FD5FDF">
        <w:t>vypočítán</w:t>
      </w:r>
      <w:r w:rsidR="00D0780A">
        <w:t>y</w:t>
      </w:r>
      <w:r>
        <w:t xml:space="preserve">, neboť společnost </w:t>
      </w:r>
      <w:r w:rsidR="00D0780A">
        <w:t>v tomto období neevidovala ž</w:t>
      </w:r>
      <w:r>
        <w:t xml:space="preserve">ádné zásoby. </w:t>
      </w:r>
      <w:r w:rsidR="005B5E23">
        <w:t>V roce 2010</w:t>
      </w:r>
      <w:r w:rsidR="00D0780A">
        <w:t xml:space="preserve"> je doba vázanosti zásob 47 dnů </w:t>
      </w:r>
      <w:r w:rsidR="00C07DA6">
        <w:t xml:space="preserve">a </w:t>
      </w:r>
      <w:r w:rsidR="00D0780A">
        <w:t>zásoby se otočily 6x</w:t>
      </w:r>
      <w:r w:rsidR="00C07DA6">
        <w:t xml:space="preserve"> za období</w:t>
      </w:r>
      <w:r w:rsidR="00D0780A">
        <w:t>. V</w:t>
      </w:r>
      <w:r w:rsidR="005B5E23">
        <w:t xml:space="preserve"> roce 2011 </w:t>
      </w:r>
      <w:r w:rsidR="00D0780A">
        <w:t xml:space="preserve">je doba vázanosti zásob </w:t>
      </w:r>
      <w:r w:rsidR="005B5E23">
        <w:t>13 dnů</w:t>
      </w:r>
      <w:r w:rsidR="00D0780A">
        <w:t xml:space="preserve"> a zásoby se v tomto období otočily 16x</w:t>
      </w:r>
      <w:r w:rsidR="005B5E23">
        <w:t>.</w:t>
      </w:r>
      <w:r w:rsidR="00321370">
        <w:t xml:space="preserve"> </w:t>
      </w:r>
      <w:r w:rsidR="00F95005">
        <w:t xml:space="preserve">Tendence snižování </w:t>
      </w:r>
      <w:r w:rsidR="00D0780A">
        <w:t xml:space="preserve">doby obratu zásob </w:t>
      </w:r>
      <w:r w:rsidR="004B0962">
        <w:br/>
      </w:r>
      <w:r w:rsidR="00D0780A">
        <w:t xml:space="preserve">a zvyšování rychlosti obratu zásob </w:t>
      </w:r>
      <w:r w:rsidR="00F95005">
        <w:t xml:space="preserve">může znamenat snížení neefektivních zásob, ale </w:t>
      </w:r>
      <w:r w:rsidR="00145C44">
        <w:t>důvodem může být také příliš nízká úroveň</w:t>
      </w:r>
      <w:r w:rsidR="00F95005">
        <w:t xml:space="preserve"> zásob</w:t>
      </w:r>
      <w:r w:rsidR="00145C44">
        <w:t>, kterou podnik potřebuje k zajištění plynulosti výroby</w:t>
      </w:r>
      <w:r w:rsidR="001C2E79">
        <w:t>.</w:t>
      </w:r>
    </w:p>
    <w:p w:rsidR="005B5E23" w:rsidRPr="00034CDA" w:rsidRDefault="00034CDA" w:rsidP="00897452">
      <w:pPr>
        <w:pStyle w:val="Titulek"/>
      </w:pPr>
      <w:bookmarkStart w:id="113" w:name="_Toc353125948"/>
      <w:r w:rsidRPr="00034CDA">
        <w:t xml:space="preserve">Tabulka </w:t>
      </w:r>
      <w:r w:rsidR="00C96C2B">
        <w:fldChar w:fldCharType="begin"/>
      </w:r>
      <w:r w:rsidR="00C96C2B">
        <w:instrText xml:space="preserve"> SEQ Tabulka \* ARABIC </w:instrText>
      </w:r>
      <w:r w:rsidR="00C96C2B">
        <w:fldChar w:fldCharType="separate"/>
      </w:r>
      <w:r w:rsidR="002534BA">
        <w:rPr>
          <w:noProof/>
        </w:rPr>
        <w:t>9</w:t>
      </w:r>
      <w:r w:rsidR="00C96C2B">
        <w:rPr>
          <w:noProof/>
        </w:rPr>
        <w:fldChar w:fldCharType="end"/>
      </w:r>
      <w:r w:rsidRPr="00034CDA">
        <w:t xml:space="preserve"> </w:t>
      </w:r>
      <w:r w:rsidR="0071051C">
        <w:t>Doba</w:t>
      </w:r>
      <w:r w:rsidR="005B5E23" w:rsidRPr="00034CDA">
        <w:t xml:space="preserve"> obratu pohledávek</w:t>
      </w:r>
      <w:r w:rsidR="0071051C">
        <w:t xml:space="preserve"> a doba obratu závazků</w:t>
      </w:r>
      <w:bookmarkEnd w:id="113"/>
    </w:p>
    <w:tbl>
      <w:tblPr>
        <w:tblW w:w="6940" w:type="dxa"/>
        <w:jc w:val="center"/>
        <w:tblInd w:w="55" w:type="dxa"/>
        <w:tblCellMar>
          <w:left w:w="70" w:type="dxa"/>
          <w:right w:w="70" w:type="dxa"/>
        </w:tblCellMar>
        <w:tblLook w:val="04A0" w:firstRow="1" w:lastRow="0" w:firstColumn="1" w:lastColumn="0" w:noHBand="0" w:noVBand="1"/>
      </w:tblPr>
      <w:tblGrid>
        <w:gridCol w:w="2740"/>
        <w:gridCol w:w="1400"/>
        <w:gridCol w:w="1400"/>
        <w:gridCol w:w="1400"/>
      </w:tblGrid>
      <w:tr w:rsidR="0071051C" w:rsidRPr="0071051C" w:rsidTr="0071051C">
        <w:trPr>
          <w:trHeight w:val="439"/>
          <w:jc w:val="center"/>
        </w:trPr>
        <w:tc>
          <w:tcPr>
            <w:tcW w:w="2740" w:type="dxa"/>
            <w:tcBorders>
              <w:top w:val="single" w:sz="12" w:space="0" w:color="auto"/>
              <w:left w:val="single" w:sz="12" w:space="0" w:color="auto"/>
              <w:bottom w:val="double" w:sz="6" w:space="0" w:color="auto"/>
              <w:right w:val="single" w:sz="4" w:space="0" w:color="auto"/>
            </w:tcBorders>
            <w:shd w:val="clear" w:color="000000" w:fill="E4DFEC"/>
            <w:vAlign w:val="center"/>
            <w:hideMark/>
          </w:tcPr>
          <w:p w:rsidR="0071051C" w:rsidRPr="0071051C" w:rsidRDefault="0010457F" w:rsidP="0071051C">
            <w:pPr>
              <w:spacing w:after="0" w:line="240" w:lineRule="auto"/>
              <w:jc w:val="center"/>
              <w:rPr>
                <w:b/>
                <w:bCs/>
                <w:color w:val="000000"/>
                <w:szCs w:val="22"/>
              </w:rPr>
            </w:pPr>
            <w:r>
              <w:rPr>
                <w:b/>
                <w:bCs/>
                <w:color w:val="000000"/>
                <w:sz w:val="22"/>
                <w:szCs w:val="22"/>
              </w:rPr>
              <w:t>TEXT</w:t>
            </w:r>
          </w:p>
        </w:tc>
        <w:tc>
          <w:tcPr>
            <w:tcW w:w="1400" w:type="dxa"/>
            <w:tcBorders>
              <w:top w:val="single" w:sz="12" w:space="0" w:color="auto"/>
              <w:left w:val="nil"/>
              <w:bottom w:val="double" w:sz="6" w:space="0" w:color="auto"/>
              <w:right w:val="single" w:sz="4" w:space="0" w:color="auto"/>
            </w:tcBorders>
            <w:shd w:val="clear" w:color="000000" w:fill="E4DFEC"/>
            <w:vAlign w:val="center"/>
            <w:hideMark/>
          </w:tcPr>
          <w:p w:rsidR="0071051C" w:rsidRPr="0071051C" w:rsidRDefault="0071051C" w:rsidP="0071051C">
            <w:pPr>
              <w:spacing w:after="0" w:line="240" w:lineRule="auto"/>
              <w:jc w:val="center"/>
              <w:rPr>
                <w:b/>
                <w:bCs/>
                <w:color w:val="000000"/>
                <w:szCs w:val="22"/>
              </w:rPr>
            </w:pPr>
            <w:r w:rsidRPr="0071051C">
              <w:rPr>
                <w:b/>
                <w:bCs/>
                <w:color w:val="000000"/>
                <w:sz w:val="22"/>
                <w:szCs w:val="22"/>
              </w:rPr>
              <w:t>2009</w:t>
            </w:r>
          </w:p>
        </w:tc>
        <w:tc>
          <w:tcPr>
            <w:tcW w:w="1400" w:type="dxa"/>
            <w:tcBorders>
              <w:top w:val="single" w:sz="12" w:space="0" w:color="auto"/>
              <w:left w:val="nil"/>
              <w:bottom w:val="double" w:sz="6" w:space="0" w:color="auto"/>
              <w:right w:val="single" w:sz="4" w:space="0" w:color="auto"/>
            </w:tcBorders>
            <w:shd w:val="clear" w:color="000000" w:fill="E4DFEC"/>
            <w:vAlign w:val="center"/>
            <w:hideMark/>
          </w:tcPr>
          <w:p w:rsidR="0071051C" w:rsidRPr="0071051C" w:rsidRDefault="0071051C" w:rsidP="0071051C">
            <w:pPr>
              <w:spacing w:after="0" w:line="240" w:lineRule="auto"/>
              <w:jc w:val="center"/>
              <w:rPr>
                <w:b/>
                <w:bCs/>
                <w:color w:val="000000"/>
                <w:szCs w:val="22"/>
              </w:rPr>
            </w:pPr>
            <w:r w:rsidRPr="0071051C">
              <w:rPr>
                <w:b/>
                <w:bCs/>
                <w:color w:val="000000"/>
                <w:sz w:val="22"/>
                <w:szCs w:val="22"/>
              </w:rPr>
              <w:t>2010</w:t>
            </w:r>
          </w:p>
        </w:tc>
        <w:tc>
          <w:tcPr>
            <w:tcW w:w="1400" w:type="dxa"/>
            <w:tcBorders>
              <w:top w:val="single" w:sz="12" w:space="0" w:color="auto"/>
              <w:left w:val="nil"/>
              <w:bottom w:val="double" w:sz="6" w:space="0" w:color="auto"/>
              <w:right w:val="single" w:sz="12" w:space="0" w:color="auto"/>
            </w:tcBorders>
            <w:shd w:val="clear" w:color="000000" w:fill="E4DFEC"/>
            <w:vAlign w:val="center"/>
            <w:hideMark/>
          </w:tcPr>
          <w:p w:rsidR="0071051C" w:rsidRPr="0071051C" w:rsidRDefault="0071051C" w:rsidP="0071051C">
            <w:pPr>
              <w:spacing w:after="0" w:line="240" w:lineRule="auto"/>
              <w:jc w:val="center"/>
              <w:rPr>
                <w:b/>
                <w:bCs/>
                <w:color w:val="000000"/>
                <w:szCs w:val="22"/>
              </w:rPr>
            </w:pPr>
            <w:r w:rsidRPr="0071051C">
              <w:rPr>
                <w:b/>
                <w:bCs/>
                <w:color w:val="000000"/>
                <w:sz w:val="22"/>
                <w:szCs w:val="22"/>
              </w:rPr>
              <w:t>2011</w:t>
            </w:r>
          </w:p>
        </w:tc>
      </w:tr>
      <w:tr w:rsidR="0071051C" w:rsidRPr="0071051C" w:rsidTr="0071051C">
        <w:trPr>
          <w:trHeight w:val="342"/>
          <w:jc w:val="center"/>
        </w:trPr>
        <w:tc>
          <w:tcPr>
            <w:tcW w:w="2740" w:type="dxa"/>
            <w:tcBorders>
              <w:top w:val="nil"/>
              <w:left w:val="single" w:sz="12" w:space="0" w:color="auto"/>
              <w:bottom w:val="single" w:sz="4" w:space="0" w:color="auto"/>
              <w:right w:val="single" w:sz="4" w:space="0" w:color="auto"/>
            </w:tcBorders>
            <w:shd w:val="clear" w:color="auto" w:fill="auto"/>
            <w:vAlign w:val="center"/>
            <w:hideMark/>
          </w:tcPr>
          <w:p w:rsidR="0071051C" w:rsidRPr="0071051C" w:rsidRDefault="0071051C" w:rsidP="0071051C">
            <w:pPr>
              <w:spacing w:after="0" w:line="240" w:lineRule="auto"/>
              <w:rPr>
                <w:color w:val="000000"/>
                <w:szCs w:val="22"/>
              </w:rPr>
            </w:pPr>
            <w:r w:rsidRPr="0071051C">
              <w:rPr>
                <w:color w:val="000000"/>
                <w:sz w:val="22"/>
                <w:szCs w:val="22"/>
              </w:rPr>
              <w:t>Doba obratu pohledávek</w:t>
            </w:r>
          </w:p>
        </w:tc>
        <w:tc>
          <w:tcPr>
            <w:tcW w:w="1400" w:type="dxa"/>
            <w:tcBorders>
              <w:top w:val="nil"/>
              <w:left w:val="nil"/>
              <w:bottom w:val="single" w:sz="4" w:space="0" w:color="auto"/>
              <w:right w:val="single" w:sz="4" w:space="0" w:color="auto"/>
            </w:tcBorders>
            <w:shd w:val="clear" w:color="auto" w:fill="auto"/>
            <w:noWrap/>
            <w:vAlign w:val="center"/>
            <w:hideMark/>
          </w:tcPr>
          <w:p w:rsidR="0071051C" w:rsidRPr="0071051C" w:rsidRDefault="0071051C" w:rsidP="0071051C">
            <w:pPr>
              <w:spacing w:after="0" w:line="240" w:lineRule="auto"/>
              <w:jc w:val="right"/>
              <w:rPr>
                <w:color w:val="000000"/>
                <w:szCs w:val="22"/>
              </w:rPr>
            </w:pPr>
            <w:r w:rsidRPr="0071051C">
              <w:rPr>
                <w:color w:val="000000"/>
                <w:sz w:val="22"/>
                <w:szCs w:val="22"/>
              </w:rPr>
              <w:t>427,84</w:t>
            </w:r>
          </w:p>
        </w:tc>
        <w:tc>
          <w:tcPr>
            <w:tcW w:w="1400" w:type="dxa"/>
            <w:tcBorders>
              <w:top w:val="nil"/>
              <w:left w:val="nil"/>
              <w:bottom w:val="single" w:sz="4" w:space="0" w:color="auto"/>
              <w:right w:val="single" w:sz="4" w:space="0" w:color="auto"/>
            </w:tcBorders>
            <w:shd w:val="clear" w:color="auto" w:fill="auto"/>
            <w:noWrap/>
            <w:vAlign w:val="center"/>
            <w:hideMark/>
          </w:tcPr>
          <w:p w:rsidR="0071051C" w:rsidRPr="0071051C" w:rsidRDefault="0071051C" w:rsidP="0071051C">
            <w:pPr>
              <w:spacing w:after="0" w:line="240" w:lineRule="auto"/>
              <w:jc w:val="right"/>
              <w:rPr>
                <w:color w:val="000000"/>
                <w:szCs w:val="22"/>
              </w:rPr>
            </w:pPr>
            <w:r w:rsidRPr="0071051C">
              <w:rPr>
                <w:color w:val="000000"/>
                <w:sz w:val="22"/>
                <w:szCs w:val="22"/>
              </w:rPr>
              <w:t>66,89</w:t>
            </w:r>
          </w:p>
        </w:tc>
        <w:tc>
          <w:tcPr>
            <w:tcW w:w="1400" w:type="dxa"/>
            <w:tcBorders>
              <w:top w:val="nil"/>
              <w:left w:val="nil"/>
              <w:bottom w:val="single" w:sz="4" w:space="0" w:color="auto"/>
              <w:right w:val="single" w:sz="12" w:space="0" w:color="auto"/>
            </w:tcBorders>
            <w:shd w:val="clear" w:color="auto" w:fill="auto"/>
            <w:noWrap/>
            <w:vAlign w:val="center"/>
            <w:hideMark/>
          </w:tcPr>
          <w:p w:rsidR="0071051C" w:rsidRPr="0071051C" w:rsidRDefault="0071051C" w:rsidP="0071051C">
            <w:pPr>
              <w:spacing w:after="0" w:line="240" w:lineRule="auto"/>
              <w:jc w:val="right"/>
              <w:rPr>
                <w:color w:val="000000"/>
                <w:szCs w:val="22"/>
              </w:rPr>
            </w:pPr>
            <w:r w:rsidRPr="0071051C">
              <w:rPr>
                <w:color w:val="000000"/>
                <w:sz w:val="22"/>
                <w:szCs w:val="22"/>
              </w:rPr>
              <w:t>65,54</w:t>
            </w:r>
          </w:p>
        </w:tc>
      </w:tr>
      <w:tr w:rsidR="0071051C" w:rsidRPr="0071051C" w:rsidTr="0071051C">
        <w:trPr>
          <w:trHeight w:val="342"/>
          <w:jc w:val="center"/>
        </w:trPr>
        <w:tc>
          <w:tcPr>
            <w:tcW w:w="2740" w:type="dxa"/>
            <w:tcBorders>
              <w:top w:val="nil"/>
              <w:left w:val="single" w:sz="12" w:space="0" w:color="auto"/>
              <w:bottom w:val="single" w:sz="12" w:space="0" w:color="auto"/>
              <w:right w:val="single" w:sz="4" w:space="0" w:color="auto"/>
            </w:tcBorders>
            <w:shd w:val="clear" w:color="auto" w:fill="auto"/>
            <w:vAlign w:val="center"/>
            <w:hideMark/>
          </w:tcPr>
          <w:p w:rsidR="0071051C" w:rsidRPr="0071051C" w:rsidRDefault="0071051C" w:rsidP="0071051C">
            <w:pPr>
              <w:spacing w:after="0" w:line="240" w:lineRule="auto"/>
              <w:rPr>
                <w:color w:val="000000"/>
                <w:szCs w:val="22"/>
              </w:rPr>
            </w:pPr>
            <w:r w:rsidRPr="0071051C">
              <w:rPr>
                <w:color w:val="000000"/>
                <w:sz w:val="22"/>
                <w:szCs w:val="22"/>
              </w:rPr>
              <w:t>Doba obratu závazků</w:t>
            </w:r>
          </w:p>
        </w:tc>
        <w:tc>
          <w:tcPr>
            <w:tcW w:w="1400" w:type="dxa"/>
            <w:tcBorders>
              <w:top w:val="nil"/>
              <w:left w:val="nil"/>
              <w:bottom w:val="single" w:sz="12" w:space="0" w:color="auto"/>
              <w:right w:val="single" w:sz="4" w:space="0" w:color="auto"/>
            </w:tcBorders>
            <w:shd w:val="clear" w:color="auto" w:fill="auto"/>
            <w:noWrap/>
            <w:vAlign w:val="center"/>
            <w:hideMark/>
          </w:tcPr>
          <w:p w:rsidR="0071051C" w:rsidRPr="0071051C" w:rsidRDefault="0071051C" w:rsidP="0071051C">
            <w:pPr>
              <w:spacing w:after="0" w:line="240" w:lineRule="auto"/>
              <w:jc w:val="right"/>
              <w:rPr>
                <w:color w:val="000000"/>
                <w:szCs w:val="22"/>
              </w:rPr>
            </w:pPr>
            <w:r w:rsidRPr="0071051C">
              <w:rPr>
                <w:color w:val="000000"/>
                <w:sz w:val="22"/>
                <w:szCs w:val="22"/>
              </w:rPr>
              <w:t>138,83</w:t>
            </w:r>
          </w:p>
        </w:tc>
        <w:tc>
          <w:tcPr>
            <w:tcW w:w="1400" w:type="dxa"/>
            <w:tcBorders>
              <w:top w:val="nil"/>
              <w:left w:val="nil"/>
              <w:bottom w:val="single" w:sz="12" w:space="0" w:color="auto"/>
              <w:right w:val="single" w:sz="4" w:space="0" w:color="auto"/>
            </w:tcBorders>
            <w:shd w:val="clear" w:color="auto" w:fill="auto"/>
            <w:noWrap/>
            <w:vAlign w:val="center"/>
            <w:hideMark/>
          </w:tcPr>
          <w:p w:rsidR="0071051C" w:rsidRPr="0071051C" w:rsidRDefault="0071051C" w:rsidP="0071051C">
            <w:pPr>
              <w:spacing w:after="0" w:line="240" w:lineRule="auto"/>
              <w:jc w:val="right"/>
              <w:rPr>
                <w:color w:val="000000"/>
                <w:szCs w:val="22"/>
              </w:rPr>
            </w:pPr>
            <w:r w:rsidRPr="0071051C">
              <w:rPr>
                <w:color w:val="000000"/>
                <w:sz w:val="22"/>
                <w:szCs w:val="22"/>
              </w:rPr>
              <w:t>117,11</w:t>
            </w:r>
          </w:p>
        </w:tc>
        <w:tc>
          <w:tcPr>
            <w:tcW w:w="1400" w:type="dxa"/>
            <w:tcBorders>
              <w:top w:val="nil"/>
              <w:left w:val="nil"/>
              <w:bottom w:val="single" w:sz="12" w:space="0" w:color="auto"/>
              <w:right w:val="single" w:sz="12" w:space="0" w:color="auto"/>
            </w:tcBorders>
            <w:shd w:val="clear" w:color="auto" w:fill="auto"/>
            <w:noWrap/>
            <w:vAlign w:val="center"/>
            <w:hideMark/>
          </w:tcPr>
          <w:p w:rsidR="0071051C" w:rsidRPr="0071051C" w:rsidRDefault="0071051C" w:rsidP="0071051C">
            <w:pPr>
              <w:spacing w:after="0" w:line="240" w:lineRule="auto"/>
              <w:jc w:val="right"/>
              <w:rPr>
                <w:color w:val="000000"/>
                <w:szCs w:val="22"/>
              </w:rPr>
            </w:pPr>
            <w:r w:rsidRPr="0071051C">
              <w:rPr>
                <w:color w:val="000000"/>
                <w:sz w:val="22"/>
                <w:szCs w:val="22"/>
              </w:rPr>
              <w:t>233,07</w:t>
            </w:r>
          </w:p>
        </w:tc>
      </w:tr>
    </w:tbl>
    <w:p w:rsidR="005918FD" w:rsidRDefault="001C2E79" w:rsidP="00031EE0">
      <w:pPr>
        <w:pStyle w:val="dajepodtabulkou"/>
        <w:ind w:left="851"/>
      </w:pPr>
      <w:r>
        <w:t>Zdroj: vlastní</w:t>
      </w:r>
      <w:r w:rsidR="003D7CD4">
        <w:t xml:space="preserve"> </w:t>
      </w:r>
      <w:r w:rsidR="00733768">
        <w:t>zpracování</w:t>
      </w:r>
    </w:p>
    <w:p w:rsidR="001C2E79" w:rsidRDefault="001C2E79" w:rsidP="00255FC3">
      <w:pPr>
        <w:pStyle w:val="Odstavecnormln"/>
      </w:pPr>
      <w:r>
        <w:t>Poznámka: příklad výpočtu je uveden v</w:t>
      </w:r>
      <w:r w:rsidR="00744BD2">
        <w:t> příloze 8</w:t>
      </w:r>
      <w:r w:rsidR="000542EB">
        <w:t xml:space="preserve"> </w:t>
      </w:r>
      <w:r w:rsidR="00B34F88">
        <w:t xml:space="preserve">na str. </w:t>
      </w:r>
      <w:r w:rsidR="00B34F88">
        <w:fldChar w:fldCharType="begin"/>
      </w:r>
      <w:r w:rsidR="00B34F88">
        <w:instrText xml:space="preserve"> PAGEREF _Ref348635177 \h </w:instrText>
      </w:r>
      <w:r w:rsidR="00B34F88">
        <w:fldChar w:fldCharType="separate"/>
      </w:r>
      <w:r w:rsidR="002534BA">
        <w:rPr>
          <w:noProof/>
        </w:rPr>
        <w:t>69</w:t>
      </w:r>
      <w:r w:rsidR="00B34F88">
        <w:fldChar w:fldCharType="end"/>
      </w:r>
      <w:r w:rsidR="00B34F88">
        <w:t>.</w:t>
      </w:r>
    </w:p>
    <w:p w:rsidR="00844960" w:rsidRDefault="005B5E23" w:rsidP="00255FC3">
      <w:pPr>
        <w:pStyle w:val="Odstavecnormln"/>
      </w:pPr>
      <w:r>
        <w:t>Společno</w:t>
      </w:r>
      <w:r w:rsidR="00BE59DA">
        <w:t>st zahájila činnost 21. 8. 2009. Hodnota</w:t>
      </w:r>
      <w:r>
        <w:t xml:space="preserve"> doby obratu pohledávek je v období roku 2009 </w:t>
      </w:r>
      <w:r w:rsidR="00BE59DA">
        <w:t>427,84</w:t>
      </w:r>
      <w:r>
        <w:t xml:space="preserve"> dnů. </w:t>
      </w:r>
      <w:r w:rsidR="00AD5FBB">
        <w:t>Příčinou takto vysoké hodnoty ukazatele by mohly být rozpracované,</w:t>
      </w:r>
      <w:r>
        <w:t xml:space="preserve"> </w:t>
      </w:r>
      <w:r w:rsidR="00AD5FBB">
        <w:t>nedokončené a nevyfakturované zakázky</w:t>
      </w:r>
      <w:r w:rsidRPr="008B28E4">
        <w:t xml:space="preserve"> k 31. 12. 2009. Společnost však žádnou nedokončenou výrobu ani zásoby k 31. 12. 2009</w:t>
      </w:r>
      <w:r w:rsidR="00AD5FBB">
        <w:t xml:space="preserve"> v účetních výkazech </w:t>
      </w:r>
      <w:r w:rsidRPr="008B28E4">
        <w:t xml:space="preserve">neeviduje. </w:t>
      </w:r>
      <w:r w:rsidRPr="008B28E4">
        <w:lastRenderedPageBreak/>
        <w:t>V roce 2010 a 2011</w:t>
      </w:r>
      <w:r>
        <w:t xml:space="preserve"> je</w:t>
      </w:r>
      <w:r w:rsidR="006E504C">
        <w:t xml:space="preserve"> doba obratu pohledávek okolo 66</w:t>
      </w:r>
      <w:r>
        <w:t xml:space="preserve"> </w:t>
      </w:r>
      <w:r w:rsidR="00844960">
        <w:t>dnů. Tato hodnota je uspokojivá a lze konstatovat, že platební morálka odběratelů je dobrá.</w:t>
      </w:r>
    </w:p>
    <w:p w:rsidR="005B5E23" w:rsidRDefault="005B5E23" w:rsidP="00255FC3">
      <w:pPr>
        <w:pStyle w:val="Odstavecnormln"/>
      </w:pPr>
      <w:r>
        <w:t xml:space="preserve">Průměrná doba splatnosti závazků </w:t>
      </w:r>
      <w:r w:rsidR="006E504C">
        <w:t>v období roků</w:t>
      </w:r>
      <w:r w:rsidR="00A35198">
        <w:t xml:space="preserve"> 2009 – 2011 </w:t>
      </w:r>
      <w:r>
        <w:t xml:space="preserve">je příliš vysoká. </w:t>
      </w:r>
      <w:r w:rsidR="004B0962">
        <w:br/>
      </w:r>
      <w:r>
        <w:t xml:space="preserve">Dle ukazatele byla společnost schopna hradit své závazky v roce 2009 za </w:t>
      </w:r>
      <w:r w:rsidR="003307B5">
        <w:t>138</w:t>
      </w:r>
      <w:r>
        <w:t xml:space="preserve"> dnů, v roce za </w:t>
      </w:r>
      <w:r w:rsidR="003307B5">
        <w:t>117</w:t>
      </w:r>
      <w:r>
        <w:t xml:space="preserve"> dnů a v roce 2011 za </w:t>
      </w:r>
      <w:r w:rsidR="003307B5">
        <w:t>233</w:t>
      </w:r>
      <w:r>
        <w:t xml:space="preserve"> dnů.</w:t>
      </w:r>
    </w:p>
    <w:p w:rsidR="004824D9" w:rsidRPr="00E8485B" w:rsidRDefault="005B5E23" w:rsidP="00255FC3">
      <w:pPr>
        <w:spacing w:after="120"/>
        <w:rPr>
          <w:b/>
        </w:rPr>
      </w:pPr>
      <w:r>
        <w:t xml:space="preserve">Porovnáním doby obratu závazků a doby obratů pohledávek lze konstatovat, že doba obratu závazků </w:t>
      </w:r>
      <w:r w:rsidR="00E50AE3">
        <w:t xml:space="preserve">je </w:t>
      </w:r>
      <w:r>
        <w:t>v roce 2009 nižší než doba obratu pohledávek. V roce 2010 a 2011 je doba obratu závazků vyšší než doba obratu pohledávek. Lze konstatovat, že společnost měla v roce 2010 a 2011 problémy</w:t>
      </w:r>
      <w:r w:rsidR="00A35198">
        <w:t xml:space="preserve"> s úhradou svých závazků</w:t>
      </w:r>
      <w:r w:rsidR="004824D9">
        <w:t xml:space="preserve"> a</w:t>
      </w:r>
      <w:r w:rsidR="00A35198">
        <w:t xml:space="preserve"> nenacházela </w:t>
      </w:r>
      <w:r w:rsidR="004824D9">
        <w:t xml:space="preserve">se </w:t>
      </w:r>
      <w:r w:rsidR="00A35198">
        <w:t>v druhotné platební neschopnosti, neboť dob</w:t>
      </w:r>
      <w:r w:rsidR="00941F14">
        <w:t>a</w:t>
      </w:r>
      <w:r w:rsidR="00A35198">
        <w:t xml:space="preserve"> obratu pohledávek </w:t>
      </w:r>
      <w:r w:rsidR="00DC2B0F">
        <w:t xml:space="preserve">je </w:t>
      </w:r>
      <w:r w:rsidR="00A35198">
        <w:t xml:space="preserve">okolo </w:t>
      </w:r>
      <w:r w:rsidR="003307B5">
        <w:t>66</w:t>
      </w:r>
      <w:r w:rsidR="00A35198">
        <w:t xml:space="preserve"> dnů </w:t>
      </w:r>
      <w:r w:rsidR="00DC2B0F">
        <w:t>a doba</w:t>
      </w:r>
      <w:r w:rsidR="00A35198">
        <w:t xml:space="preserve"> obratu závazků</w:t>
      </w:r>
      <w:r w:rsidR="00DC2B0F">
        <w:t xml:space="preserve"> se pohybuje</w:t>
      </w:r>
      <w:r w:rsidR="00A35198">
        <w:t xml:space="preserve"> </w:t>
      </w:r>
      <w:r w:rsidR="00DC2B0F">
        <w:t xml:space="preserve">nad 100 dny. </w:t>
      </w:r>
      <w:r w:rsidR="00DC2B0F" w:rsidRPr="00E8485B">
        <w:rPr>
          <w:b/>
        </w:rPr>
        <w:t>Společnost se od roku 2010 nachází v prvotní platební neschopnosti, neboť není schopna hradit své závazky ani z celkových aktiv (viz tabulka níže).</w:t>
      </w:r>
    </w:p>
    <w:p w:rsidR="000450F5" w:rsidRPr="000450F5" w:rsidRDefault="000450F5" w:rsidP="00897452">
      <w:pPr>
        <w:pStyle w:val="Titulek"/>
      </w:pPr>
      <w:bookmarkStart w:id="114" w:name="_Ref348814003"/>
      <w:bookmarkStart w:id="115" w:name="_Ref348814018"/>
      <w:bookmarkStart w:id="116" w:name="_Ref350621939"/>
      <w:bookmarkStart w:id="117" w:name="_Toc353125949"/>
      <w:r w:rsidRPr="000450F5">
        <w:t xml:space="preserve">Tabulka </w:t>
      </w:r>
      <w:r w:rsidR="00C96C2B">
        <w:fldChar w:fldCharType="begin"/>
      </w:r>
      <w:r w:rsidR="00C96C2B">
        <w:instrText xml:space="preserve"> SEQ Tabulka \* ARABIC </w:instrText>
      </w:r>
      <w:r w:rsidR="00C96C2B">
        <w:fldChar w:fldCharType="separate"/>
      </w:r>
      <w:r w:rsidR="002534BA">
        <w:rPr>
          <w:noProof/>
        </w:rPr>
        <w:t>10</w:t>
      </w:r>
      <w:r w:rsidR="00C96C2B">
        <w:rPr>
          <w:noProof/>
        </w:rPr>
        <w:fldChar w:fldCharType="end"/>
      </w:r>
      <w:bookmarkEnd w:id="114"/>
      <w:r w:rsidRPr="000450F5">
        <w:t xml:space="preserve"> Porovnání celkových aktiv a cizích zdrojů</w:t>
      </w:r>
      <w:bookmarkEnd w:id="115"/>
      <w:bookmarkEnd w:id="116"/>
      <w:r w:rsidR="0079132B">
        <w:t xml:space="preserve"> - KOVOVÝROBA s. r. o.</w:t>
      </w:r>
      <w:bookmarkEnd w:id="117"/>
    </w:p>
    <w:p w:rsidR="000450F5" w:rsidRPr="000450F5" w:rsidRDefault="000450F5" w:rsidP="003307B5">
      <w:pPr>
        <w:pStyle w:val="dajenadtabulkouazdroj"/>
        <w:ind w:left="1134"/>
      </w:pPr>
      <w:r>
        <w:t>Údaje jsou uvedeny v celých Kč</w:t>
      </w:r>
    </w:p>
    <w:tbl>
      <w:tblPr>
        <w:tblW w:w="6320" w:type="dxa"/>
        <w:jc w:val="center"/>
        <w:tblInd w:w="55" w:type="dxa"/>
        <w:tblCellMar>
          <w:left w:w="70" w:type="dxa"/>
          <w:right w:w="70" w:type="dxa"/>
        </w:tblCellMar>
        <w:tblLook w:val="04A0" w:firstRow="1" w:lastRow="0" w:firstColumn="1" w:lastColumn="0" w:noHBand="0" w:noVBand="1"/>
      </w:tblPr>
      <w:tblGrid>
        <w:gridCol w:w="1580"/>
        <w:gridCol w:w="1580"/>
        <w:gridCol w:w="1580"/>
        <w:gridCol w:w="1580"/>
      </w:tblGrid>
      <w:tr w:rsidR="000450F5" w:rsidRPr="000450F5" w:rsidTr="00C336D4">
        <w:trPr>
          <w:trHeight w:val="439"/>
          <w:jc w:val="center"/>
        </w:trPr>
        <w:tc>
          <w:tcPr>
            <w:tcW w:w="1580" w:type="dxa"/>
            <w:tcBorders>
              <w:top w:val="single" w:sz="12" w:space="0" w:color="auto"/>
              <w:left w:val="single" w:sz="12" w:space="0" w:color="auto"/>
              <w:bottom w:val="double" w:sz="6" w:space="0" w:color="auto"/>
              <w:right w:val="single" w:sz="4" w:space="0" w:color="auto"/>
            </w:tcBorders>
            <w:shd w:val="clear" w:color="auto" w:fill="E5DFEC" w:themeFill="accent4" w:themeFillTint="33"/>
            <w:noWrap/>
            <w:vAlign w:val="center"/>
            <w:hideMark/>
          </w:tcPr>
          <w:p w:rsidR="000450F5" w:rsidRPr="000450F5" w:rsidRDefault="0010457F" w:rsidP="000450F5">
            <w:pPr>
              <w:spacing w:after="0" w:line="240" w:lineRule="auto"/>
              <w:jc w:val="center"/>
              <w:rPr>
                <w:b/>
                <w:bCs/>
                <w:color w:val="000000"/>
                <w:szCs w:val="22"/>
              </w:rPr>
            </w:pPr>
            <w:r>
              <w:rPr>
                <w:b/>
                <w:bCs/>
                <w:color w:val="000000"/>
                <w:sz w:val="22"/>
                <w:szCs w:val="22"/>
              </w:rPr>
              <w:t>TEXT</w:t>
            </w:r>
          </w:p>
        </w:tc>
        <w:tc>
          <w:tcPr>
            <w:tcW w:w="1580" w:type="dxa"/>
            <w:tcBorders>
              <w:top w:val="single" w:sz="12" w:space="0" w:color="auto"/>
              <w:left w:val="nil"/>
              <w:bottom w:val="double" w:sz="6" w:space="0" w:color="auto"/>
              <w:right w:val="single" w:sz="4" w:space="0" w:color="auto"/>
            </w:tcBorders>
            <w:shd w:val="clear" w:color="auto" w:fill="E5DFEC" w:themeFill="accent4" w:themeFillTint="33"/>
            <w:noWrap/>
            <w:vAlign w:val="center"/>
            <w:hideMark/>
          </w:tcPr>
          <w:p w:rsidR="000450F5" w:rsidRPr="000450F5" w:rsidRDefault="000450F5" w:rsidP="000450F5">
            <w:pPr>
              <w:spacing w:after="0" w:line="240" w:lineRule="auto"/>
              <w:jc w:val="center"/>
              <w:rPr>
                <w:b/>
                <w:bCs/>
                <w:color w:val="000000"/>
                <w:szCs w:val="22"/>
              </w:rPr>
            </w:pPr>
            <w:r w:rsidRPr="000450F5">
              <w:rPr>
                <w:b/>
                <w:bCs/>
                <w:color w:val="000000"/>
                <w:sz w:val="22"/>
                <w:szCs w:val="22"/>
              </w:rPr>
              <w:t>2009</w:t>
            </w:r>
          </w:p>
        </w:tc>
        <w:tc>
          <w:tcPr>
            <w:tcW w:w="1580" w:type="dxa"/>
            <w:tcBorders>
              <w:top w:val="single" w:sz="12" w:space="0" w:color="auto"/>
              <w:left w:val="nil"/>
              <w:bottom w:val="double" w:sz="6" w:space="0" w:color="auto"/>
              <w:right w:val="single" w:sz="4" w:space="0" w:color="auto"/>
            </w:tcBorders>
            <w:shd w:val="clear" w:color="auto" w:fill="E5DFEC" w:themeFill="accent4" w:themeFillTint="33"/>
            <w:noWrap/>
            <w:vAlign w:val="center"/>
            <w:hideMark/>
          </w:tcPr>
          <w:p w:rsidR="000450F5" w:rsidRPr="000450F5" w:rsidRDefault="000450F5" w:rsidP="000450F5">
            <w:pPr>
              <w:spacing w:after="0" w:line="240" w:lineRule="auto"/>
              <w:jc w:val="center"/>
              <w:rPr>
                <w:b/>
                <w:bCs/>
                <w:color w:val="000000"/>
                <w:szCs w:val="22"/>
              </w:rPr>
            </w:pPr>
            <w:r w:rsidRPr="000450F5">
              <w:rPr>
                <w:b/>
                <w:bCs/>
                <w:color w:val="000000"/>
                <w:sz w:val="22"/>
                <w:szCs w:val="22"/>
              </w:rPr>
              <w:t>2010</w:t>
            </w:r>
          </w:p>
        </w:tc>
        <w:tc>
          <w:tcPr>
            <w:tcW w:w="1580" w:type="dxa"/>
            <w:tcBorders>
              <w:top w:val="single" w:sz="12" w:space="0" w:color="auto"/>
              <w:left w:val="nil"/>
              <w:bottom w:val="double" w:sz="6" w:space="0" w:color="auto"/>
              <w:right w:val="single" w:sz="12" w:space="0" w:color="auto"/>
            </w:tcBorders>
            <w:shd w:val="clear" w:color="auto" w:fill="E5DFEC" w:themeFill="accent4" w:themeFillTint="33"/>
            <w:noWrap/>
            <w:vAlign w:val="center"/>
            <w:hideMark/>
          </w:tcPr>
          <w:p w:rsidR="000450F5" w:rsidRPr="000450F5" w:rsidRDefault="000450F5" w:rsidP="000450F5">
            <w:pPr>
              <w:spacing w:after="0" w:line="240" w:lineRule="auto"/>
              <w:jc w:val="center"/>
              <w:rPr>
                <w:b/>
                <w:bCs/>
                <w:color w:val="000000"/>
                <w:szCs w:val="22"/>
              </w:rPr>
            </w:pPr>
            <w:r w:rsidRPr="000450F5">
              <w:rPr>
                <w:b/>
                <w:bCs/>
                <w:color w:val="000000"/>
                <w:sz w:val="22"/>
                <w:szCs w:val="22"/>
              </w:rPr>
              <w:t>2011</w:t>
            </w:r>
          </w:p>
        </w:tc>
      </w:tr>
      <w:tr w:rsidR="000450F5" w:rsidRPr="000450F5" w:rsidTr="000450F5">
        <w:trPr>
          <w:trHeight w:val="342"/>
          <w:jc w:val="center"/>
        </w:trPr>
        <w:tc>
          <w:tcPr>
            <w:tcW w:w="1580" w:type="dxa"/>
            <w:tcBorders>
              <w:top w:val="nil"/>
              <w:left w:val="single" w:sz="12" w:space="0" w:color="auto"/>
              <w:bottom w:val="single" w:sz="4" w:space="0" w:color="auto"/>
              <w:right w:val="single" w:sz="4" w:space="0" w:color="auto"/>
            </w:tcBorders>
            <w:shd w:val="clear" w:color="auto" w:fill="auto"/>
            <w:noWrap/>
            <w:vAlign w:val="center"/>
            <w:hideMark/>
          </w:tcPr>
          <w:p w:rsidR="000450F5" w:rsidRPr="000450F5" w:rsidRDefault="000450F5" w:rsidP="000450F5">
            <w:pPr>
              <w:spacing w:after="0" w:line="240" w:lineRule="auto"/>
              <w:jc w:val="left"/>
              <w:rPr>
                <w:color w:val="000000"/>
                <w:szCs w:val="22"/>
              </w:rPr>
            </w:pPr>
            <w:r w:rsidRPr="000450F5">
              <w:rPr>
                <w:color w:val="000000"/>
                <w:sz w:val="22"/>
                <w:szCs w:val="22"/>
              </w:rPr>
              <w:t>Celková aktiva</w:t>
            </w:r>
          </w:p>
        </w:tc>
        <w:tc>
          <w:tcPr>
            <w:tcW w:w="1580" w:type="dxa"/>
            <w:tcBorders>
              <w:top w:val="nil"/>
              <w:left w:val="nil"/>
              <w:bottom w:val="single" w:sz="4" w:space="0" w:color="auto"/>
              <w:right w:val="single" w:sz="4" w:space="0" w:color="auto"/>
            </w:tcBorders>
            <w:shd w:val="clear" w:color="auto" w:fill="auto"/>
            <w:noWrap/>
            <w:vAlign w:val="center"/>
            <w:hideMark/>
          </w:tcPr>
          <w:p w:rsidR="000450F5" w:rsidRPr="000450F5" w:rsidRDefault="000450F5" w:rsidP="000450F5">
            <w:pPr>
              <w:spacing w:after="0" w:line="240" w:lineRule="auto"/>
              <w:jc w:val="right"/>
              <w:rPr>
                <w:color w:val="000000"/>
                <w:szCs w:val="22"/>
              </w:rPr>
            </w:pPr>
            <w:r w:rsidRPr="000450F5">
              <w:rPr>
                <w:color w:val="000000"/>
                <w:sz w:val="22"/>
                <w:szCs w:val="22"/>
              </w:rPr>
              <w:t>298 812</w:t>
            </w:r>
          </w:p>
        </w:tc>
        <w:tc>
          <w:tcPr>
            <w:tcW w:w="1580" w:type="dxa"/>
            <w:tcBorders>
              <w:top w:val="nil"/>
              <w:left w:val="nil"/>
              <w:bottom w:val="single" w:sz="4" w:space="0" w:color="auto"/>
              <w:right w:val="single" w:sz="4" w:space="0" w:color="auto"/>
            </w:tcBorders>
            <w:shd w:val="clear" w:color="auto" w:fill="auto"/>
            <w:noWrap/>
            <w:vAlign w:val="center"/>
            <w:hideMark/>
          </w:tcPr>
          <w:p w:rsidR="000450F5" w:rsidRPr="000450F5" w:rsidRDefault="000450F5" w:rsidP="000450F5">
            <w:pPr>
              <w:spacing w:after="0" w:line="240" w:lineRule="auto"/>
              <w:jc w:val="right"/>
              <w:rPr>
                <w:color w:val="000000"/>
                <w:szCs w:val="22"/>
              </w:rPr>
            </w:pPr>
            <w:r w:rsidRPr="000450F5">
              <w:rPr>
                <w:color w:val="000000"/>
                <w:sz w:val="22"/>
                <w:szCs w:val="22"/>
              </w:rPr>
              <w:t>1 573 397</w:t>
            </w:r>
          </w:p>
        </w:tc>
        <w:tc>
          <w:tcPr>
            <w:tcW w:w="1580" w:type="dxa"/>
            <w:tcBorders>
              <w:top w:val="nil"/>
              <w:left w:val="nil"/>
              <w:bottom w:val="single" w:sz="4" w:space="0" w:color="auto"/>
              <w:right w:val="single" w:sz="12" w:space="0" w:color="auto"/>
            </w:tcBorders>
            <w:shd w:val="clear" w:color="auto" w:fill="auto"/>
            <w:noWrap/>
            <w:vAlign w:val="center"/>
            <w:hideMark/>
          </w:tcPr>
          <w:p w:rsidR="000450F5" w:rsidRPr="000450F5" w:rsidRDefault="00FD4970" w:rsidP="000450F5">
            <w:pPr>
              <w:spacing w:after="0" w:line="240" w:lineRule="auto"/>
              <w:jc w:val="right"/>
              <w:rPr>
                <w:color w:val="000000"/>
                <w:szCs w:val="22"/>
              </w:rPr>
            </w:pPr>
            <w:r>
              <w:rPr>
                <w:color w:val="000000"/>
                <w:sz w:val="22"/>
                <w:szCs w:val="22"/>
              </w:rPr>
              <w:t>1.117.530</w:t>
            </w:r>
          </w:p>
        </w:tc>
      </w:tr>
      <w:tr w:rsidR="000450F5" w:rsidRPr="000450F5" w:rsidTr="000450F5">
        <w:trPr>
          <w:trHeight w:val="342"/>
          <w:jc w:val="center"/>
        </w:trPr>
        <w:tc>
          <w:tcPr>
            <w:tcW w:w="1580" w:type="dxa"/>
            <w:tcBorders>
              <w:top w:val="nil"/>
              <w:left w:val="single" w:sz="12" w:space="0" w:color="auto"/>
              <w:bottom w:val="single" w:sz="12" w:space="0" w:color="auto"/>
              <w:right w:val="single" w:sz="4" w:space="0" w:color="auto"/>
            </w:tcBorders>
            <w:shd w:val="clear" w:color="auto" w:fill="auto"/>
            <w:noWrap/>
            <w:vAlign w:val="center"/>
            <w:hideMark/>
          </w:tcPr>
          <w:p w:rsidR="000450F5" w:rsidRPr="000450F5" w:rsidRDefault="000450F5" w:rsidP="000450F5">
            <w:pPr>
              <w:spacing w:after="0" w:line="240" w:lineRule="auto"/>
              <w:jc w:val="left"/>
              <w:rPr>
                <w:color w:val="000000"/>
                <w:szCs w:val="22"/>
              </w:rPr>
            </w:pPr>
            <w:r w:rsidRPr="000450F5">
              <w:rPr>
                <w:color w:val="000000"/>
                <w:sz w:val="22"/>
                <w:szCs w:val="22"/>
              </w:rPr>
              <w:t>Cizí zdroje</w:t>
            </w:r>
          </w:p>
        </w:tc>
        <w:tc>
          <w:tcPr>
            <w:tcW w:w="1580" w:type="dxa"/>
            <w:tcBorders>
              <w:top w:val="nil"/>
              <w:left w:val="nil"/>
              <w:bottom w:val="single" w:sz="12" w:space="0" w:color="auto"/>
              <w:right w:val="single" w:sz="4" w:space="0" w:color="auto"/>
            </w:tcBorders>
            <w:shd w:val="clear" w:color="auto" w:fill="auto"/>
            <w:noWrap/>
            <w:vAlign w:val="center"/>
            <w:hideMark/>
          </w:tcPr>
          <w:p w:rsidR="000450F5" w:rsidRPr="000450F5" w:rsidRDefault="000450F5" w:rsidP="000450F5">
            <w:pPr>
              <w:spacing w:after="0" w:line="240" w:lineRule="auto"/>
              <w:jc w:val="right"/>
              <w:rPr>
                <w:color w:val="000000"/>
                <w:szCs w:val="22"/>
              </w:rPr>
            </w:pPr>
            <w:r w:rsidRPr="000450F5">
              <w:rPr>
                <w:color w:val="000000"/>
                <w:sz w:val="22"/>
                <w:szCs w:val="22"/>
              </w:rPr>
              <w:t>156 014</w:t>
            </w:r>
          </w:p>
        </w:tc>
        <w:tc>
          <w:tcPr>
            <w:tcW w:w="1580" w:type="dxa"/>
            <w:tcBorders>
              <w:top w:val="nil"/>
              <w:left w:val="nil"/>
              <w:bottom w:val="single" w:sz="12" w:space="0" w:color="auto"/>
              <w:right w:val="single" w:sz="4" w:space="0" w:color="auto"/>
            </w:tcBorders>
            <w:shd w:val="clear" w:color="auto" w:fill="auto"/>
            <w:noWrap/>
            <w:vAlign w:val="center"/>
            <w:hideMark/>
          </w:tcPr>
          <w:p w:rsidR="000450F5" w:rsidRPr="000450F5" w:rsidRDefault="000450F5" w:rsidP="000450F5">
            <w:pPr>
              <w:spacing w:after="0" w:line="240" w:lineRule="auto"/>
              <w:jc w:val="right"/>
              <w:rPr>
                <w:color w:val="000000"/>
                <w:szCs w:val="22"/>
              </w:rPr>
            </w:pPr>
            <w:r w:rsidRPr="000450F5">
              <w:rPr>
                <w:color w:val="000000"/>
                <w:sz w:val="22"/>
                <w:szCs w:val="22"/>
              </w:rPr>
              <w:t>2 113 319</w:t>
            </w:r>
          </w:p>
        </w:tc>
        <w:tc>
          <w:tcPr>
            <w:tcW w:w="1580" w:type="dxa"/>
            <w:tcBorders>
              <w:top w:val="nil"/>
              <w:left w:val="nil"/>
              <w:bottom w:val="single" w:sz="12" w:space="0" w:color="auto"/>
              <w:right w:val="single" w:sz="12" w:space="0" w:color="auto"/>
            </w:tcBorders>
            <w:shd w:val="clear" w:color="auto" w:fill="auto"/>
            <w:noWrap/>
            <w:vAlign w:val="center"/>
            <w:hideMark/>
          </w:tcPr>
          <w:p w:rsidR="000450F5" w:rsidRPr="000450F5" w:rsidRDefault="000450F5" w:rsidP="000450F5">
            <w:pPr>
              <w:spacing w:after="0" w:line="240" w:lineRule="auto"/>
              <w:jc w:val="right"/>
              <w:rPr>
                <w:color w:val="000000"/>
                <w:szCs w:val="22"/>
              </w:rPr>
            </w:pPr>
            <w:r w:rsidRPr="000450F5">
              <w:rPr>
                <w:color w:val="000000"/>
                <w:sz w:val="22"/>
                <w:szCs w:val="22"/>
              </w:rPr>
              <w:t>4 107 828</w:t>
            </w:r>
          </w:p>
        </w:tc>
      </w:tr>
    </w:tbl>
    <w:p w:rsidR="000450F5" w:rsidRDefault="000450F5" w:rsidP="00C95146">
      <w:pPr>
        <w:pStyle w:val="dajepodtabulkou"/>
        <w:ind w:left="1134"/>
      </w:pPr>
      <w:r>
        <w:t xml:space="preserve">Zdroj: </w:t>
      </w:r>
      <w:r w:rsidR="003D7CD4">
        <w:t>KOVOVÝROBA s. r. o.</w:t>
      </w:r>
    </w:p>
    <w:p w:rsidR="00E8485B" w:rsidRPr="00321B1E" w:rsidRDefault="004E4B9C" w:rsidP="00255FC3">
      <w:pPr>
        <w:pStyle w:val="Odstavecnormln"/>
      </w:pPr>
      <w:r>
        <w:t>Výše uvedená tabulka byla sestavena z důvodu určení, zda se společnost KOVOVÝROBA s. r. o. nenachází v úpadku. Z tabulky je patrné, že celkové cizí zdroje jsou v roce 2010 a 2011 vyšší než celková aktiva společnosti.</w:t>
      </w:r>
      <w:r w:rsidR="00E8485B">
        <w:t xml:space="preserve"> Dále byly společností předloženy saldokonta dodavatelů k 31. 12. 2010 a k 31. 12. 2011 a evidence dalších věřitelů. Na základě těchto sestav lze konstatovat, že společnost k 31. 12. 2010 měla </w:t>
      </w:r>
      <w:r w:rsidR="00C9711C">
        <w:t>19</w:t>
      </w:r>
      <w:r w:rsidR="00E8485B">
        <w:t xml:space="preserve"> věřitelů a k 31. 12. 2011 měla </w:t>
      </w:r>
      <w:r w:rsidR="00C9711C">
        <w:t>23</w:t>
      </w:r>
      <w:r w:rsidR="00E8485B">
        <w:t xml:space="preserve"> věřitel</w:t>
      </w:r>
      <w:r w:rsidR="00E8485B" w:rsidRPr="00321B1E">
        <w:t>ů.</w:t>
      </w:r>
    </w:p>
    <w:p w:rsidR="004E4B9C" w:rsidRPr="0040670F" w:rsidRDefault="00E8485B" w:rsidP="00255FC3">
      <w:pPr>
        <w:spacing w:after="120"/>
      </w:pPr>
      <w:r w:rsidRPr="00E8485B">
        <w:rPr>
          <w:b/>
        </w:rPr>
        <w:lastRenderedPageBreak/>
        <w:t>Z těchto zjištění lze konstatovat, že se společnost od roku 2010 nachází v  úpadku</w:t>
      </w:r>
      <w:r w:rsidRPr="00E8485B">
        <w:rPr>
          <w:rStyle w:val="Znakapoznpodarou"/>
          <w:b/>
        </w:rPr>
        <w:footnoteReference w:id="14"/>
      </w:r>
      <w:r w:rsidRPr="00E8485B">
        <w:rPr>
          <w:b/>
        </w:rPr>
        <w:t xml:space="preserve"> z důvodu předlužení. O předlužení dle §3/3 zákona č. 182/2006 Sb. insolvenční zákon se jedná tehdy, má – </w:t>
      </w:r>
      <w:proofErr w:type="spellStart"/>
      <w:r w:rsidRPr="00E8485B">
        <w:rPr>
          <w:b/>
        </w:rPr>
        <w:t>li</w:t>
      </w:r>
      <w:proofErr w:type="spellEnd"/>
      <w:r w:rsidRPr="00E8485B">
        <w:rPr>
          <w:b/>
        </w:rPr>
        <w:t xml:space="preserve"> dlužník více věřitelů a souhrn jeho závazků převyšuje hodnotu jeho majetku.</w:t>
      </w:r>
      <w:r w:rsidR="0040670F">
        <w:rPr>
          <w:b/>
        </w:rPr>
        <w:t xml:space="preserve"> </w:t>
      </w:r>
      <w:r w:rsidR="0040670F">
        <w:t>Pro úplnost byl níže stanoven ukazatel věřitelského rizika, který charakterizuje celkovou zadluženost společnosti.</w:t>
      </w:r>
    </w:p>
    <w:p w:rsidR="005B5E23" w:rsidRDefault="005B5E23" w:rsidP="00E8485B">
      <w:pPr>
        <w:pStyle w:val="Nadpis3"/>
      </w:pPr>
      <w:bookmarkStart w:id="118" w:name="_Toc339528882"/>
      <w:bookmarkStart w:id="119" w:name="_Toc347166988"/>
      <w:bookmarkStart w:id="120" w:name="_Toc353126174"/>
      <w:bookmarkStart w:id="121" w:name="_Toc353439366"/>
      <w:r>
        <w:t>Ukazatele zadluženosti</w:t>
      </w:r>
      <w:bookmarkEnd w:id="118"/>
      <w:bookmarkEnd w:id="119"/>
      <w:bookmarkEnd w:id="120"/>
      <w:bookmarkEnd w:id="121"/>
    </w:p>
    <w:p w:rsidR="00C31BF1" w:rsidRDefault="00C40212" w:rsidP="00255FC3">
      <w:pPr>
        <w:pStyle w:val="Odstavecnormln"/>
      </w:pPr>
      <w:r>
        <w:t xml:space="preserve">Pro výpočet ukazatele zadluženosti </w:t>
      </w:r>
      <w:r w:rsidR="0040670F">
        <w:t>byly použity hodnoty uvedené v</w:t>
      </w:r>
      <w:r w:rsidR="00E17A37">
        <w:t> tabulce 10</w:t>
      </w:r>
      <w:r w:rsidR="0040670F">
        <w:br/>
        <w:t xml:space="preserve">na str. </w:t>
      </w:r>
      <w:r w:rsidR="0040670F">
        <w:fldChar w:fldCharType="begin"/>
      </w:r>
      <w:r w:rsidR="0040670F">
        <w:instrText xml:space="preserve"> PAGEREF _Ref350621939 \h </w:instrText>
      </w:r>
      <w:r w:rsidR="0040670F">
        <w:fldChar w:fldCharType="separate"/>
      </w:r>
      <w:r w:rsidR="002534BA">
        <w:rPr>
          <w:noProof/>
        </w:rPr>
        <w:t>29</w:t>
      </w:r>
      <w:r w:rsidR="0040670F">
        <w:fldChar w:fldCharType="end"/>
      </w:r>
      <w:r w:rsidR="0040670F">
        <w:t>.</w:t>
      </w:r>
    </w:p>
    <w:p w:rsidR="00BD5B66" w:rsidRDefault="00AD5FBB" w:rsidP="00255FC3">
      <w:pPr>
        <w:pStyle w:val="Odstavecnormln"/>
      </w:pPr>
      <w:r>
        <w:t>Ukazatel věřitelského</w:t>
      </w:r>
      <w:r w:rsidR="005D77A0">
        <w:t xml:space="preserve"> rizika je základním ukazatelem,</w:t>
      </w:r>
      <w:r>
        <w:t xml:space="preserve"> který vypovídá o zadluženosti podniku</w:t>
      </w:r>
      <w:r w:rsidR="005D77A0">
        <w:t>.</w:t>
      </w:r>
      <w:r>
        <w:t xml:space="preserve"> </w:t>
      </w:r>
      <w:r w:rsidR="005D77A0">
        <w:t>Zadluženost znamená</w:t>
      </w:r>
      <w:r>
        <w:t>, že podnik využívá k financování svého majetku cizích zdrojů</w:t>
      </w:r>
      <w:r w:rsidR="00BD5B66">
        <w:t>.</w:t>
      </w:r>
    </w:p>
    <w:p w:rsidR="00BB006A" w:rsidRPr="00BB006A" w:rsidRDefault="00BB006A" w:rsidP="00897452">
      <w:pPr>
        <w:pStyle w:val="Titulek"/>
      </w:pPr>
      <w:bookmarkStart w:id="122" w:name="_Toc353125950"/>
      <w:r w:rsidRPr="00BB006A">
        <w:t xml:space="preserve">Tabulka </w:t>
      </w:r>
      <w:r w:rsidR="00C96C2B">
        <w:fldChar w:fldCharType="begin"/>
      </w:r>
      <w:r w:rsidR="00C96C2B">
        <w:instrText xml:space="preserve"> SEQ Tabulka \* ARABIC </w:instrText>
      </w:r>
      <w:r w:rsidR="00C96C2B">
        <w:fldChar w:fldCharType="separate"/>
      </w:r>
      <w:r w:rsidR="002534BA">
        <w:rPr>
          <w:noProof/>
        </w:rPr>
        <w:t>11</w:t>
      </w:r>
      <w:r w:rsidR="00C96C2B">
        <w:rPr>
          <w:noProof/>
        </w:rPr>
        <w:fldChar w:fldCharType="end"/>
      </w:r>
      <w:r w:rsidRPr="00BB006A">
        <w:t xml:space="preserve"> Ukazatel věřitelského rizika</w:t>
      </w:r>
      <w:r w:rsidR="0079132B">
        <w:t xml:space="preserve"> - KOVOVÝROBA s. r. o.</w:t>
      </w:r>
      <w:bookmarkEnd w:id="122"/>
    </w:p>
    <w:tbl>
      <w:tblPr>
        <w:tblW w:w="6860" w:type="dxa"/>
        <w:jc w:val="center"/>
        <w:tblInd w:w="55" w:type="dxa"/>
        <w:tblCellMar>
          <w:left w:w="70" w:type="dxa"/>
          <w:right w:w="70" w:type="dxa"/>
        </w:tblCellMar>
        <w:tblLook w:val="04A0" w:firstRow="1" w:lastRow="0" w:firstColumn="1" w:lastColumn="0" w:noHBand="0" w:noVBand="1"/>
      </w:tblPr>
      <w:tblGrid>
        <w:gridCol w:w="3140"/>
        <w:gridCol w:w="1240"/>
        <w:gridCol w:w="1240"/>
        <w:gridCol w:w="1240"/>
      </w:tblGrid>
      <w:tr w:rsidR="00AD5FBB" w:rsidRPr="00E20677" w:rsidTr="005C3692">
        <w:trPr>
          <w:trHeight w:val="439"/>
          <w:jc w:val="center"/>
        </w:trPr>
        <w:tc>
          <w:tcPr>
            <w:tcW w:w="3140" w:type="dxa"/>
            <w:tcBorders>
              <w:top w:val="single" w:sz="12" w:space="0" w:color="auto"/>
              <w:left w:val="single" w:sz="12" w:space="0" w:color="auto"/>
              <w:bottom w:val="double" w:sz="6" w:space="0" w:color="auto"/>
              <w:right w:val="single" w:sz="4" w:space="0" w:color="auto"/>
            </w:tcBorders>
            <w:shd w:val="clear" w:color="000000" w:fill="E4DFEC"/>
            <w:vAlign w:val="center"/>
            <w:hideMark/>
          </w:tcPr>
          <w:p w:rsidR="00AD5FBB" w:rsidRPr="00E20677" w:rsidRDefault="0010457F" w:rsidP="005C3692">
            <w:pPr>
              <w:spacing w:after="0" w:line="240" w:lineRule="auto"/>
              <w:jc w:val="center"/>
              <w:rPr>
                <w:b/>
                <w:bCs/>
                <w:color w:val="000000"/>
                <w:szCs w:val="22"/>
              </w:rPr>
            </w:pPr>
            <w:r>
              <w:rPr>
                <w:b/>
                <w:bCs/>
                <w:color w:val="000000"/>
                <w:sz w:val="22"/>
                <w:szCs w:val="22"/>
              </w:rPr>
              <w:t>TEXT</w:t>
            </w:r>
          </w:p>
        </w:tc>
        <w:tc>
          <w:tcPr>
            <w:tcW w:w="1240" w:type="dxa"/>
            <w:tcBorders>
              <w:top w:val="single" w:sz="12" w:space="0" w:color="auto"/>
              <w:left w:val="nil"/>
              <w:bottom w:val="double" w:sz="6" w:space="0" w:color="auto"/>
              <w:right w:val="single" w:sz="4" w:space="0" w:color="auto"/>
            </w:tcBorders>
            <w:shd w:val="clear" w:color="000000" w:fill="E4DFEC"/>
            <w:vAlign w:val="center"/>
            <w:hideMark/>
          </w:tcPr>
          <w:p w:rsidR="00AD5FBB" w:rsidRPr="00E20677" w:rsidRDefault="00AD5FBB" w:rsidP="005C3692">
            <w:pPr>
              <w:spacing w:after="0" w:line="240" w:lineRule="auto"/>
              <w:jc w:val="center"/>
              <w:rPr>
                <w:b/>
                <w:bCs/>
                <w:color w:val="000000"/>
                <w:szCs w:val="22"/>
              </w:rPr>
            </w:pPr>
            <w:r w:rsidRPr="00E20677">
              <w:rPr>
                <w:b/>
                <w:bCs/>
                <w:color w:val="000000"/>
                <w:sz w:val="22"/>
                <w:szCs w:val="22"/>
              </w:rPr>
              <w:t>2009</w:t>
            </w:r>
          </w:p>
        </w:tc>
        <w:tc>
          <w:tcPr>
            <w:tcW w:w="1240" w:type="dxa"/>
            <w:tcBorders>
              <w:top w:val="single" w:sz="12" w:space="0" w:color="auto"/>
              <w:left w:val="nil"/>
              <w:bottom w:val="double" w:sz="6" w:space="0" w:color="auto"/>
              <w:right w:val="single" w:sz="4" w:space="0" w:color="auto"/>
            </w:tcBorders>
            <w:shd w:val="clear" w:color="000000" w:fill="E4DFEC"/>
            <w:vAlign w:val="center"/>
            <w:hideMark/>
          </w:tcPr>
          <w:p w:rsidR="00AD5FBB" w:rsidRPr="00E20677" w:rsidRDefault="00AD5FBB" w:rsidP="005C3692">
            <w:pPr>
              <w:spacing w:after="0" w:line="240" w:lineRule="auto"/>
              <w:jc w:val="center"/>
              <w:rPr>
                <w:b/>
                <w:bCs/>
                <w:color w:val="000000"/>
                <w:szCs w:val="22"/>
              </w:rPr>
            </w:pPr>
            <w:r w:rsidRPr="00E20677">
              <w:rPr>
                <w:b/>
                <w:bCs/>
                <w:color w:val="000000"/>
                <w:sz w:val="22"/>
                <w:szCs w:val="22"/>
              </w:rPr>
              <w:t>2010</w:t>
            </w:r>
          </w:p>
        </w:tc>
        <w:tc>
          <w:tcPr>
            <w:tcW w:w="1240" w:type="dxa"/>
            <w:tcBorders>
              <w:top w:val="single" w:sz="12" w:space="0" w:color="auto"/>
              <w:left w:val="nil"/>
              <w:bottom w:val="double" w:sz="6" w:space="0" w:color="auto"/>
              <w:right w:val="single" w:sz="12" w:space="0" w:color="auto"/>
            </w:tcBorders>
            <w:shd w:val="clear" w:color="000000" w:fill="E4DFEC"/>
            <w:vAlign w:val="center"/>
            <w:hideMark/>
          </w:tcPr>
          <w:p w:rsidR="00AD5FBB" w:rsidRPr="00E20677" w:rsidRDefault="00AD5FBB" w:rsidP="005C3692">
            <w:pPr>
              <w:spacing w:after="0" w:line="240" w:lineRule="auto"/>
              <w:jc w:val="center"/>
              <w:rPr>
                <w:b/>
                <w:bCs/>
                <w:color w:val="000000"/>
                <w:szCs w:val="22"/>
              </w:rPr>
            </w:pPr>
            <w:r w:rsidRPr="00E20677">
              <w:rPr>
                <w:b/>
                <w:bCs/>
                <w:color w:val="000000"/>
                <w:sz w:val="22"/>
                <w:szCs w:val="22"/>
              </w:rPr>
              <w:t>2011</w:t>
            </w:r>
          </w:p>
        </w:tc>
      </w:tr>
      <w:tr w:rsidR="00AD5FBB" w:rsidRPr="00E20677" w:rsidTr="005C3692">
        <w:trPr>
          <w:trHeight w:val="342"/>
          <w:jc w:val="center"/>
        </w:trPr>
        <w:tc>
          <w:tcPr>
            <w:tcW w:w="3140" w:type="dxa"/>
            <w:tcBorders>
              <w:top w:val="double" w:sz="6" w:space="0" w:color="auto"/>
              <w:left w:val="single" w:sz="12" w:space="0" w:color="auto"/>
              <w:bottom w:val="single" w:sz="12" w:space="0" w:color="auto"/>
              <w:right w:val="single" w:sz="4" w:space="0" w:color="auto"/>
            </w:tcBorders>
            <w:shd w:val="clear" w:color="auto" w:fill="auto"/>
            <w:vAlign w:val="center"/>
            <w:hideMark/>
          </w:tcPr>
          <w:p w:rsidR="00AD5FBB" w:rsidRPr="00E20677" w:rsidRDefault="00AD5FBB" w:rsidP="005C3692">
            <w:pPr>
              <w:spacing w:after="0" w:line="240" w:lineRule="auto"/>
              <w:rPr>
                <w:color w:val="000000"/>
                <w:szCs w:val="22"/>
              </w:rPr>
            </w:pPr>
            <w:r w:rsidRPr="00E20677">
              <w:rPr>
                <w:color w:val="000000"/>
                <w:sz w:val="22"/>
                <w:szCs w:val="22"/>
              </w:rPr>
              <w:t>Ukazatel věřitelského rizika</w:t>
            </w:r>
          </w:p>
        </w:tc>
        <w:tc>
          <w:tcPr>
            <w:tcW w:w="1240" w:type="dxa"/>
            <w:tcBorders>
              <w:top w:val="double" w:sz="6" w:space="0" w:color="auto"/>
              <w:left w:val="nil"/>
              <w:bottom w:val="single" w:sz="12" w:space="0" w:color="auto"/>
              <w:right w:val="single" w:sz="4" w:space="0" w:color="auto"/>
            </w:tcBorders>
            <w:shd w:val="clear" w:color="auto" w:fill="auto"/>
            <w:vAlign w:val="center"/>
            <w:hideMark/>
          </w:tcPr>
          <w:p w:rsidR="00AD5FBB" w:rsidRPr="00E20677" w:rsidRDefault="00AD5FBB" w:rsidP="005C3692">
            <w:pPr>
              <w:spacing w:after="0" w:line="240" w:lineRule="auto"/>
              <w:jc w:val="center"/>
              <w:rPr>
                <w:color w:val="000000"/>
                <w:szCs w:val="22"/>
              </w:rPr>
            </w:pPr>
            <w:r w:rsidRPr="00E20677">
              <w:rPr>
                <w:color w:val="000000"/>
                <w:sz w:val="22"/>
                <w:szCs w:val="22"/>
              </w:rPr>
              <w:t>0,52</w:t>
            </w:r>
          </w:p>
        </w:tc>
        <w:tc>
          <w:tcPr>
            <w:tcW w:w="1240" w:type="dxa"/>
            <w:tcBorders>
              <w:top w:val="double" w:sz="6" w:space="0" w:color="auto"/>
              <w:left w:val="nil"/>
              <w:bottom w:val="single" w:sz="12" w:space="0" w:color="auto"/>
              <w:right w:val="single" w:sz="4" w:space="0" w:color="auto"/>
            </w:tcBorders>
            <w:shd w:val="clear" w:color="auto" w:fill="auto"/>
            <w:vAlign w:val="center"/>
            <w:hideMark/>
          </w:tcPr>
          <w:p w:rsidR="00AD5FBB" w:rsidRPr="00E20677" w:rsidRDefault="00AD5FBB" w:rsidP="005C3692">
            <w:pPr>
              <w:spacing w:after="0" w:line="240" w:lineRule="auto"/>
              <w:jc w:val="center"/>
              <w:rPr>
                <w:color w:val="000000"/>
                <w:szCs w:val="22"/>
              </w:rPr>
            </w:pPr>
            <w:r w:rsidRPr="00E20677">
              <w:rPr>
                <w:color w:val="000000"/>
                <w:sz w:val="22"/>
                <w:szCs w:val="22"/>
              </w:rPr>
              <w:t>1,34</w:t>
            </w:r>
          </w:p>
        </w:tc>
        <w:tc>
          <w:tcPr>
            <w:tcW w:w="1240" w:type="dxa"/>
            <w:tcBorders>
              <w:top w:val="nil"/>
              <w:left w:val="single" w:sz="4" w:space="0" w:color="auto"/>
              <w:bottom w:val="single" w:sz="12" w:space="0" w:color="auto"/>
              <w:right w:val="single" w:sz="12" w:space="0" w:color="auto"/>
            </w:tcBorders>
            <w:shd w:val="clear" w:color="auto" w:fill="auto"/>
            <w:vAlign w:val="center"/>
            <w:hideMark/>
          </w:tcPr>
          <w:p w:rsidR="00AD5FBB" w:rsidRPr="00E20677" w:rsidRDefault="000B46A0" w:rsidP="000B46A0">
            <w:pPr>
              <w:spacing w:after="0" w:line="240" w:lineRule="auto"/>
              <w:jc w:val="center"/>
              <w:rPr>
                <w:color w:val="000000"/>
                <w:szCs w:val="22"/>
              </w:rPr>
            </w:pPr>
            <w:r>
              <w:rPr>
                <w:color w:val="000000"/>
                <w:sz w:val="22"/>
                <w:szCs w:val="22"/>
              </w:rPr>
              <w:t>3,</w:t>
            </w:r>
            <w:r w:rsidR="00185FED">
              <w:rPr>
                <w:color w:val="000000"/>
                <w:sz w:val="22"/>
                <w:szCs w:val="22"/>
              </w:rPr>
              <w:t>68</w:t>
            </w:r>
          </w:p>
        </w:tc>
      </w:tr>
    </w:tbl>
    <w:p w:rsidR="00AD5FBB" w:rsidRDefault="000C6310" w:rsidP="00031EE0">
      <w:pPr>
        <w:pStyle w:val="dajepodtabulkou"/>
        <w:ind w:left="851"/>
      </w:pPr>
      <w:r>
        <w:t>Zdroj: vlastní</w:t>
      </w:r>
      <w:r w:rsidR="003D7CD4">
        <w:t xml:space="preserve"> </w:t>
      </w:r>
      <w:r w:rsidR="0076653B">
        <w:t>zpracování</w:t>
      </w:r>
    </w:p>
    <w:p w:rsidR="00733768" w:rsidRDefault="00733768" w:rsidP="00255FC3">
      <w:pPr>
        <w:pStyle w:val="Odstavecnormln"/>
      </w:pPr>
      <w:bookmarkStart w:id="123" w:name="_Toc339528883"/>
      <w:bookmarkStart w:id="124" w:name="_Toc347166989"/>
      <w:r>
        <w:t>Poznámka: příklad výpočtu je uveden v</w:t>
      </w:r>
      <w:r w:rsidR="00744BD2">
        <w:t> příloze 9</w:t>
      </w:r>
      <w:r>
        <w:t xml:space="preserve"> na str. </w:t>
      </w:r>
      <w:r>
        <w:fldChar w:fldCharType="begin"/>
      </w:r>
      <w:r>
        <w:instrText xml:space="preserve"> PAGEREF _Ref348815397 \h </w:instrText>
      </w:r>
      <w:r>
        <w:fldChar w:fldCharType="separate"/>
      </w:r>
      <w:r w:rsidR="002534BA">
        <w:rPr>
          <w:noProof/>
        </w:rPr>
        <w:t>69</w:t>
      </w:r>
      <w:r>
        <w:fldChar w:fldCharType="end"/>
      </w:r>
      <w:r>
        <w:t>.</w:t>
      </w:r>
    </w:p>
    <w:p w:rsidR="00BD5B66" w:rsidRDefault="00483B05" w:rsidP="00255FC3">
      <w:pPr>
        <w:pStyle w:val="Odstavecnormln"/>
      </w:pPr>
      <w:r>
        <w:t>Lze konstatovat,</w:t>
      </w:r>
      <w:r w:rsidR="00BD5B66">
        <w:t xml:space="preserve"> že hodnoty ukazatele věřitelského rizika jsou v roce 2010 a 2011 příliš vysoké a mají rostoucí charakter. Tzn., že </w:t>
      </w:r>
      <w:r w:rsidR="00185FED">
        <w:t xml:space="preserve">společnost využívá k financování cizích zdrojů, není schopna krýt aktiva ani částečně ze zdrojů vlastních. Z toho vyplývá, </w:t>
      </w:r>
      <w:r w:rsidR="004B0962">
        <w:br/>
      </w:r>
      <w:r w:rsidR="00185FED">
        <w:t xml:space="preserve">že </w:t>
      </w:r>
      <w:r w:rsidR="00BD5B66">
        <w:t>i riziko věřitelů je velmi vysoké.</w:t>
      </w:r>
    </w:p>
    <w:p w:rsidR="005B5E23" w:rsidRDefault="004F7161" w:rsidP="005B5E23">
      <w:pPr>
        <w:pStyle w:val="Nadpis3"/>
        <w:spacing w:line="360" w:lineRule="auto"/>
      </w:pPr>
      <w:bookmarkStart w:id="125" w:name="_Toc353126175"/>
      <w:bookmarkStart w:id="126" w:name="_Toc353439367"/>
      <w:bookmarkEnd w:id="123"/>
      <w:bookmarkEnd w:id="124"/>
      <w:r>
        <w:lastRenderedPageBreak/>
        <w:t>SHRNUTÍ</w:t>
      </w:r>
      <w:r w:rsidR="00493AC2">
        <w:t xml:space="preserve"> – </w:t>
      </w:r>
      <w:r>
        <w:t>SPOLEČNOST</w:t>
      </w:r>
      <w:r w:rsidR="00493AC2">
        <w:t xml:space="preserve"> KOVOVÝROBA s. r. o.</w:t>
      </w:r>
      <w:bookmarkEnd w:id="125"/>
      <w:bookmarkEnd w:id="126"/>
    </w:p>
    <w:p w:rsidR="004D6E0A" w:rsidRDefault="0083166D" w:rsidP="00255FC3">
      <w:pPr>
        <w:pStyle w:val="Odstavecnormln"/>
      </w:pPr>
      <w:r>
        <w:t xml:space="preserve">Majetek společnosti KOVOVÝROBA s. r. o. tvoří dlouhodobý, oběžný a finanční majetek (viz </w:t>
      </w:r>
      <w:proofErr w:type="gramStart"/>
      <w:r w:rsidR="00107837">
        <w:t xml:space="preserve">kapitola </w:t>
      </w:r>
      <w:r w:rsidR="00107837">
        <w:fldChar w:fldCharType="begin"/>
      </w:r>
      <w:r w:rsidR="00107837">
        <w:instrText xml:space="preserve"> REF _Ref348637718 \w \h </w:instrText>
      </w:r>
      <w:r w:rsidR="00107837">
        <w:fldChar w:fldCharType="separate"/>
      </w:r>
      <w:r w:rsidR="002534BA">
        <w:t>4.1.1</w:t>
      </w:r>
      <w:proofErr w:type="gramEnd"/>
      <w:r w:rsidR="00107837">
        <w:fldChar w:fldCharType="end"/>
      </w:r>
      <w:r w:rsidR="00107837">
        <w:t xml:space="preserve"> </w:t>
      </w:r>
      <w:r w:rsidR="003B475F">
        <w:t>na str.</w:t>
      </w:r>
      <w:r w:rsidR="00107837">
        <w:t xml:space="preserve"> </w:t>
      </w:r>
      <w:r w:rsidR="00107837">
        <w:fldChar w:fldCharType="begin"/>
      </w:r>
      <w:r w:rsidR="00107837">
        <w:instrText xml:space="preserve"> PAGEREF _Ref348637770 \h </w:instrText>
      </w:r>
      <w:r w:rsidR="00107837">
        <w:fldChar w:fldCharType="separate"/>
      </w:r>
      <w:r w:rsidR="002534BA">
        <w:rPr>
          <w:noProof/>
        </w:rPr>
        <w:t>20</w:t>
      </w:r>
      <w:r w:rsidR="00107837">
        <w:fldChar w:fldCharType="end"/>
      </w:r>
      <w:r>
        <w:t>)</w:t>
      </w:r>
      <w:r w:rsidR="0001667B">
        <w:t>. V dlouhodobém majetku jsou evidovány pouze samostatné věci movité a soubory věcí movitých. Oběžná aktiva jsou tvořena zásob</w:t>
      </w:r>
      <w:r w:rsidR="00107837">
        <w:t>ami a krátkodobými pohledávkami</w:t>
      </w:r>
      <w:r w:rsidR="0001667B">
        <w:t>. Společnost neeviduje žádné obtížně vymahatelné nebo nedobytné pohledávky. Finanční majetek je tvořen penězi (pokladní hotovostí) a bankovními účty (finanční prostředky na běžných účtech). Peníze (pokladní hotovost) vykazují po celé sledované období zápornou hodnotu.</w:t>
      </w:r>
    </w:p>
    <w:p w:rsidR="004D6E0A" w:rsidRPr="00A93E0A" w:rsidRDefault="004D6E0A" w:rsidP="00255FC3">
      <w:pPr>
        <w:spacing w:after="120"/>
        <w:rPr>
          <w:b/>
        </w:rPr>
      </w:pPr>
      <w:r w:rsidRPr="00A93E0A">
        <w:rPr>
          <w:b/>
        </w:rPr>
        <w:t xml:space="preserve">S ohledem na záporné zůstatky pokladní hotovosti a nedohledané protokoly </w:t>
      </w:r>
      <w:r w:rsidR="004B0962">
        <w:rPr>
          <w:b/>
        </w:rPr>
        <w:br/>
      </w:r>
      <w:r w:rsidRPr="00A93E0A">
        <w:rPr>
          <w:b/>
        </w:rPr>
        <w:t xml:space="preserve">o provedené inventarizaci zásob lze konstatovat, že společnost </w:t>
      </w:r>
      <w:r w:rsidR="008714B7">
        <w:rPr>
          <w:b/>
        </w:rPr>
        <w:t>K</w:t>
      </w:r>
      <w:r w:rsidRPr="00A93E0A">
        <w:rPr>
          <w:b/>
        </w:rPr>
        <w:t xml:space="preserve">OVOVÝROBA </w:t>
      </w:r>
      <w:r w:rsidR="004B0962">
        <w:rPr>
          <w:b/>
        </w:rPr>
        <w:br/>
      </w:r>
      <w:r w:rsidRPr="00A93E0A">
        <w:rPr>
          <w:b/>
        </w:rPr>
        <w:t>s. r. o. porušila zákon o účetnictví č. 563/1991 Sb., který dle § 29 ukládá účetním jednotkám povinnost inventarizovat majetek ke dni sestavení účetní závěrky.</w:t>
      </w:r>
    </w:p>
    <w:p w:rsidR="00107837" w:rsidRDefault="00107837" w:rsidP="00255FC3">
      <w:pPr>
        <w:pStyle w:val="Odstavecnormln"/>
      </w:pPr>
      <w:r>
        <w:t xml:space="preserve">Ukazatel běžné a pohotové likvidity </w:t>
      </w:r>
      <w:r w:rsidR="00272FF8">
        <w:t xml:space="preserve">(viz </w:t>
      </w:r>
      <w:proofErr w:type="gramStart"/>
      <w:r w:rsidR="00272FF8">
        <w:t xml:space="preserve">kapitola </w:t>
      </w:r>
      <w:r w:rsidR="00272FF8">
        <w:fldChar w:fldCharType="begin"/>
      </w:r>
      <w:r w:rsidR="00272FF8">
        <w:instrText xml:space="preserve"> REF _Ref348638436 \w \h </w:instrText>
      </w:r>
      <w:r w:rsidR="00272FF8">
        <w:fldChar w:fldCharType="separate"/>
      </w:r>
      <w:r w:rsidR="002534BA">
        <w:t>4.1.2</w:t>
      </w:r>
      <w:proofErr w:type="gramEnd"/>
      <w:r w:rsidR="00272FF8">
        <w:fldChar w:fldCharType="end"/>
      </w:r>
      <w:r w:rsidR="00272FF8">
        <w:t xml:space="preserve"> </w:t>
      </w:r>
      <w:r w:rsidR="003B475F">
        <w:t>n</w:t>
      </w:r>
      <w:r w:rsidR="00272FF8">
        <w:t xml:space="preserve">a str. </w:t>
      </w:r>
      <w:r w:rsidR="00272FF8">
        <w:fldChar w:fldCharType="begin"/>
      </w:r>
      <w:r w:rsidR="00272FF8">
        <w:instrText xml:space="preserve"> PAGEREF _Ref348638450 \h </w:instrText>
      </w:r>
      <w:r w:rsidR="00272FF8">
        <w:fldChar w:fldCharType="separate"/>
      </w:r>
      <w:r w:rsidR="002534BA">
        <w:rPr>
          <w:noProof/>
        </w:rPr>
        <w:t>24</w:t>
      </w:r>
      <w:r w:rsidR="00272FF8">
        <w:fldChar w:fldCharType="end"/>
      </w:r>
      <w:r w:rsidR="00272FF8">
        <w:t xml:space="preserve">) </w:t>
      </w:r>
      <w:r>
        <w:t>od roku 2010 klesal, tzn., že společnost v tomto období nebyla schopna hradit své závazky ani z oběžných aktiv. Ukazatel okamžité likvidity se v celém sledovaném období pohybuje příliš nízko, tzn.</w:t>
      </w:r>
      <w:r w:rsidR="00272FF8">
        <w:t>, že</w:t>
      </w:r>
      <w:r>
        <w:t xml:space="preserve"> společnost v tomto období neměla dostatek finančních prostředků k úhradě okamžitě splatných závazků. </w:t>
      </w:r>
    </w:p>
    <w:p w:rsidR="008440E5" w:rsidRDefault="00272FF8" w:rsidP="008440E5">
      <w:pPr>
        <w:pStyle w:val="Odstavecnormln"/>
        <w:rPr>
          <w:b/>
        </w:rPr>
      </w:pPr>
      <w:r>
        <w:t xml:space="preserve">Na základě vypočítaných a porovnaných ukazatelů doby obratu pohledávek a závazků (viz </w:t>
      </w:r>
      <w:proofErr w:type="gramStart"/>
      <w:r>
        <w:t xml:space="preserve">kapitola </w:t>
      </w:r>
      <w:r>
        <w:fldChar w:fldCharType="begin"/>
      </w:r>
      <w:r>
        <w:instrText xml:space="preserve"> REF _Ref348638528 \n \h </w:instrText>
      </w:r>
      <w:r>
        <w:fldChar w:fldCharType="separate"/>
      </w:r>
      <w:r w:rsidR="002534BA">
        <w:t>4.1.3</w:t>
      </w:r>
      <w:proofErr w:type="gramEnd"/>
      <w:r>
        <w:fldChar w:fldCharType="end"/>
      </w:r>
      <w:r>
        <w:t xml:space="preserve"> na str. </w:t>
      </w:r>
      <w:r>
        <w:fldChar w:fldCharType="begin"/>
      </w:r>
      <w:r>
        <w:instrText xml:space="preserve"> PAGEREF _Ref348638551 \h </w:instrText>
      </w:r>
      <w:r>
        <w:fldChar w:fldCharType="separate"/>
      </w:r>
      <w:r w:rsidR="002534BA">
        <w:rPr>
          <w:noProof/>
        </w:rPr>
        <w:t>27</w:t>
      </w:r>
      <w:r>
        <w:fldChar w:fldCharType="end"/>
      </w:r>
      <w:r>
        <w:t xml:space="preserve">) </w:t>
      </w:r>
      <w:r w:rsidRPr="00A93E0A">
        <w:rPr>
          <w:b/>
        </w:rPr>
        <w:t xml:space="preserve">lze konstatovat, že se společnost KOVOVÝROBA </w:t>
      </w:r>
      <w:r w:rsidR="00FD57D4">
        <w:rPr>
          <w:b/>
        </w:rPr>
        <w:br/>
      </w:r>
      <w:r w:rsidRPr="00A93E0A">
        <w:rPr>
          <w:b/>
        </w:rPr>
        <w:t xml:space="preserve">s. r. o. nachází od roku 2010 </w:t>
      </w:r>
      <w:r w:rsidR="003B475F" w:rsidRPr="00A93E0A">
        <w:rPr>
          <w:b/>
        </w:rPr>
        <w:t>v prvotní platební neschopnosti a je v úpadku z důvodu předlužení</w:t>
      </w:r>
      <w:r w:rsidR="00C95B4B" w:rsidRPr="00A93E0A">
        <w:rPr>
          <w:b/>
        </w:rPr>
        <w:t xml:space="preserve"> </w:t>
      </w:r>
      <w:r w:rsidR="00801C4E">
        <w:t>(viz</w:t>
      </w:r>
      <w:r w:rsidR="00E17A37">
        <w:t xml:space="preserve"> tabulka 10</w:t>
      </w:r>
      <w:r w:rsidR="00801C4E">
        <w:t xml:space="preserve"> na str. </w:t>
      </w:r>
      <w:r w:rsidR="00801C4E">
        <w:fldChar w:fldCharType="begin"/>
      </w:r>
      <w:r w:rsidR="00801C4E">
        <w:instrText xml:space="preserve"> PAGEREF _Ref348814018 \h </w:instrText>
      </w:r>
      <w:r w:rsidR="00801C4E">
        <w:fldChar w:fldCharType="separate"/>
      </w:r>
      <w:r w:rsidR="002534BA">
        <w:rPr>
          <w:noProof/>
        </w:rPr>
        <w:t>29</w:t>
      </w:r>
      <w:r w:rsidR="00801C4E">
        <w:fldChar w:fldCharType="end"/>
      </w:r>
      <w:r w:rsidR="00801C4E">
        <w:t>).</w:t>
      </w:r>
      <w:r w:rsidR="00801C4E" w:rsidRPr="00801C4E">
        <w:t xml:space="preserve"> </w:t>
      </w:r>
      <w:r w:rsidR="00921943" w:rsidRPr="00A93E0A">
        <w:rPr>
          <w:b/>
        </w:rPr>
        <w:t xml:space="preserve">Dle § 98 č. 182/2006 Sb. o úpadku </w:t>
      </w:r>
      <w:r w:rsidR="004B0962">
        <w:rPr>
          <w:b/>
        </w:rPr>
        <w:br/>
      </w:r>
      <w:r w:rsidR="00921943" w:rsidRPr="00A93E0A">
        <w:rPr>
          <w:b/>
        </w:rPr>
        <w:t xml:space="preserve">a způsobech jeho řešení (insolvenčního zákona) </w:t>
      </w:r>
      <w:r w:rsidR="00EC00EF" w:rsidRPr="00A93E0A">
        <w:rPr>
          <w:b/>
        </w:rPr>
        <w:t>má dlužník, který je právnickou osobou povinen podat insolvenční návrh bez zbytečného odkladu poté, co se dozvěděl nebo při náležité pečlivosti měl dozvědět o svém úpadku</w:t>
      </w:r>
      <w:r w:rsidR="00921943" w:rsidRPr="00A93E0A">
        <w:rPr>
          <w:b/>
        </w:rPr>
        <w:t>.</w:t>
      </w:r>
    </w:p>
    <w:p w:rsidR="008440E5" w:rsidRDefault="008440E5">
      <w:pPr>
        <w:spacing w:after="200" w:line="276" w:lineRule="auto"/>
        <w:jc w:val="left"/>
        <w:rPr>
          <w:b/>
        </w:rPr>
      </w:pPr>
      <w:r>
        <w:rPr>
          <w:b/>
        </w:rPr>
        <w:br w:type="page"/>
      </w:r>
    </w:p>
    <w:p w:rsidR="00AE0969" w:rsidRPr="00AE0969" w:rsidRDefault="00AE0969" w:rsidP="00AE0969">
      <w:pPr>
        <w:pStyle w:val="Nadpis2"/>
      </w:pPr>
      <w:bookmarkStart w:id="127" w:name="_Toc339528884"/>
      <w:bookmarkStart w:id="128" w:name="_Toc347166990"/>
      <w:bookmarkStart w:id="129" w:name="_Ref350704084"/>
      <w:bookmarkStart w:id="130" w:name="_Ref350704097"/>
      <w:bookmarkStart w:id="131" w:name="_Toc353126176"/>
      <w:bookmarkStart w:id="132" w:name="_Toc353439368"/>
      <w:r w:rsidRPr="00AE0969">
        <w:lastRenderedPageBreak/>
        <w:t>SPOLEČNOST Q</w:t>
      </w:r>
      <w:r>
        <w:t xml:space="preserve"> – MONT </w:t>
      </w:r>
      <w:r w:rsidRPr="00AE0969">
        <w:t>s. r. o.</w:t>
      </w:r>
      <w:bookmarkEnd w:id="127"/>
      <w:bookmarkEnd w:id="128"/>
      <w:bookmarkEnd w:id="129"/>
      <w:bookmarkEnd w:id="130"/>
      <w:bookmarkEnd w:id="131"/>
      <w:bookmarkEnd w:id="132"/>
    </w:p>
    <w:p w:rsidR="00AE0969" w:rsidRDefault="00AE0969" w:rsidP="00255FC3">
      <w:pPr>
        <w:pStyle w:val="Odstavecnormln"/>
      </w:pPr>
      <w:r>
        <w:t>S</w:t>
      </w:r>
      <w:r w:rsidRPr="00560FC6">
        <w:t xml:space="preserve">polečnost </w:t>
      </w:r>
      <w:r w:rsidR="0061006B">
        <w:t xml:space="preserve">Q - MONT s. r. o., Liberec, </w:t>
      </w:r>
      <w:proofErr w:type="gramStart"/>
      <w:r w:rsidR="0061006B">
        <w:t>jejíž</w:t>
      </w:r>
      <w:proofErr w:type="gramEnd"/>
      <w:r w:rsidRPr="00560FC6">
        <w:t xml:space="preserve"> předmětem podnikání je kovovýroba </w:t>
      </w:r>
      <w:r w:rsidR="004B0962">
        <w:br/>
      </w:r>
      <w:r w:rsidRPr="00560FC6">
        <w:t>a svářecí práce. Místem podnikání je Liberecký kraj. Společnost provozuje podnikatelskou činnost od roku 2000 a její finanční a ekonomická situace je stabilní. Společnost je plátcem DPH a v současné době zaměstnává čtyři zaměstnance. Tržby jsou tvořeny službami (materiál je dodáván objednatelem).</w:t>
      </w:r>
    </w:p>
    <w:p w:rsidR="00BB3EE6" w:rsidRDefault="00BB3EE6" w:rsidP="00255FC3">
      <w:pPr>
        <w:pStyle w:val="Odstavecnormln"/>
      </w:pPr>
      <w:bookmarkStart w:id="133" w:name="_Toc339528886"/>
      <w:bookmarkStart w:id="134" w:name="_Toc347166992"/>
      <w:r>
        <w:t>V dalších kapitolách je proveden rozbor s</w:t>
      </w:r>
      <w:r w:rsidR="008714B7">
        <w:t>ložek majetku, který společnost</w:t>
      </w:r>
      <w:r>
        <w:t xml:space="preserve"> evidovala v účetnictví v období roku 2009 – 2011. </w:t>
      </w:r>
    </w:p>
    <w:p w:rsidR="00435AB8" w:rsidRDefault="00435AB8" w:rsidP="00435AB8">
      <w:pPr>
        <w:pStyle w:val="Nadpis3"/>
        <w:spacing w:line="360" w:lineRule="auto"/>
      </w:pPr>
      <w:bookmarkStart w:id="135" w:name="_Ref350700376"/>
      <w:bookmarkStart w:id="136" w:name="_Toc353126177"/>
      <w:bookmarkStart w:id="137" w:name="_Toc353439369"/>
      <w:r>
        <w:t>Rozbor složek majetku</w:t>
      </w:r>
      <w:bookmarkEnd w:id="133"/>
      <w:bookmarkEnd w:id="134"/>
      <w:bookmarkEnd w:id="135"/>
      <w:bookmarkEnd w:id="136"/>
      <w:bookmarkEnd w:id="137"/>
    </w:p>
    <w:p w:rsidR="00463607" w:rsidRDefault="00463607" w:rsidP="00255FC3">
      <w:pPr>
        <w:pStyle w:val="Odstavecnormln"/>
      </w:pPr>
      <w:r>
        <w:t>Pro zpracování rozboru složek maj</w:t>
      </w:r>
      <w:r w:rsidR="004F71BB">
        <w:t>etku byly použity výkazy rozvah</w:t>
      </w:r>
      <w:r>
        <w:t xml:space="preserve"> za období roku 2</w:t>
      </w:r>
      <w:r w:rsidR="002B4E6C">
        <w:t>009 – 2011 v plném rozsahu (viz</w:t>
      </w:r>
      <w:r w:rsidR="00744BD2">
        <w:t xml:space="preserve"> příloha 10</w:t>
      </w:r>
      <w:r w:rsidR="00F22D04">
        <w:t xml:space="preserve"> na str. </w:t>
      </w:r>
      <w:r w:rsidR="00F22D04">
        <w:fldChar w:fldCharType="begin"/>
      </w:r>
      <w:r w:rsidR="00F22D04">
        <w:instrText xml:space="preserve"> PAGEREF _Ref349671207 \h </w:instrText>
      </w:r>
      <w:r w:rsidR="00F22D04">
        <w:fldChar w:fldCharType="separate"/>
      </w:r>
      <w:r w:rsidR="002534BA">
        <w:rPr>
          <w:noProof/>
        </w:rPr>
        <w:t>70</w:t>
      </w:r>
      <w:r w:rsidR="00F22D04">
        <w:fldChar w:fldCharType="end"/>
      </w:r>
      <w:r w:rsidR="00F22D04">
        <w:t>)</w:t>
      </w:r>
      <w:r>
        <w:t xml:space="preserve"> a údaje zjištěné z účetnictví společnosti. Z </w:t>
      </w:r>
      <w:r w:rsidR="004F71BB">
        <w:t>výkazů</w:t>
      </w:r>
      <w:r>
        <w:t xml:space="preserve"> rozvah je patrné, že majetek společnosti Q - MONT s. r. o. tvoří dlouhodobý a oběžný majetek, z toho důvodu byl zpracován přehled stálých aktiv (viz</w:t>
      </w:r>
      <w:r w:rsidR="00E17A37">
        <w:t xml:space="preserve"> tabulka 12</w:t>
      </w:r>
      <w:r>
        <w:t>) a přehled oběžných aktiv (viz</w:t>
      </w:r>
      <w:r w:rsidR="00E17A37">
        <w:t xml:space="preserve"> tabulka 13</w:t>
      </w:r>
      <w:r w:rsidR="002B4E6C">
        <w:t xml:space="preserve"> </w:t>
      </w:r>
      <w:r>
        <w:t>na str.</w:t>
      </w:r>
      <w:r w:rsidR="002B4E6C">
        <w:t xml:space="preserve"> </w:t>
      </w:r>
      <w:r w:rsidR="002B4E6C">
        <w:fldChar w:fldCharType="begin"/>
      </w:r>
      <w:r w:rsidR="002B4E6C">
        <w:instrText xml:space="preserve"> PAGEREF _Ref349576578 \h </w:instrText>
      </w:r>
      <w:r w:rsidR="002B4E6C">
        <w:fldChar w:fldCharType="separate"/>
      </w:r>
      <w:r w:rsidR="002534BA">
        <w:rPr>
          <w:noProof/>
        </w:rPr>
        <w:t>33</w:t>
      </w:r>
      <w:r w:rsidR="002B4E6C">
        <w:fldChar w:fldCharType="end"/>
      </w:r>
      <w:r>
        <w:t>).</w:t>
      </w:r>
      <w:r w:rsidR="004F71BB">
        <w:t xml:space="preserve"> </w:t>
      </w:r>
      <w:r w:rsidR="004B0962">
        <w:br/>
      </w:r>
      <w:r w:rsidR="001D08B0">
        <w:t>V tabulce</w:t>
      </w:r>
      <w:r>
        <w:t xml:space="preserve"> stálých aktiv </w:t>
      </w:r>
      <w:r w:rsidR="001D08B0">
        <w:t>o</w:t>
      </w:r>
      <w:r>
        <w:t>značení a číslo řádku odpovídá o</w:t>
      </w:r>
      <w:r w:rsidR="004A1E5F">
        <w:t xml:space="preserve">značení </w:t>
      </w:r>
      <w:r w:rsidR="008714B7">
        <w:t>položek</w:t>
      </w:r>
      <w:r w:rsidR="004A1E5F">
        <w:t xml:space="preserve"> aktiv uvedených ve výkazech rozvah.</w:t>
      </w:r>
    </w:p>
    <w:p w:rsidR="00E8635D" w:rsidRDefault="00E8635D" w:rsidP="0079132B">
      <w:pPr>
        <w:pStyle w:val="Titulek"/>
        <w:ind w:left="284"/>
      </w:pPr>
      <w:bookmarkStart w:id="138" w:name="_Ref349402631"/>
      <w:bookmarkStart w:id="139" w:name="_Ref349402598"/>
      <w:bookmarkStart w:id="140" w:name="_Toc353125951"/>
      <w:r>
        <w:t xml:space="preserve">Tabulka </w:t>
      </w:r>
      <w:r w:rsidR="00C96C2B">
        <w:fldChar w:fldCharType="begin"/>
      </w:r>
      <w:r w:rsidR="00C96C2B">
        <w:instrText xml:space="preserve"> SEQ Tabulka \* ARABIC </w:instrText>
      </w:r>
      <w:r w:rsidR="00C96C2B">
        <w:fldChar w:fldCharType="separate"/>
      </w:r>
      <w:r w:rsidR="002534BA">
        <w:rPr>
          <w:noProof/>
        </w:rPr>
        <w:t>12</w:t>
      </w:r>
      <w:r w:rsidR="00C96C2B">
        <w:rPr>
          <w:noProof/>
        </w:rPr>
        <w:fldChar w:fldCharType="end"/>
      </w:r>
      <w:bookmarkEnd w:id="138"/>
      <w:r>
        <w:t xml:space="preserve"> Stálá aktiva</w:t>
      </w:r>
      <w:bookmarkEnd w:id="139"/>
      <w:r w:rsidR="0079132B">
        <w:t>: Q – MONT s. r. o.</w:t>
      </w:r>
      <w:bookmarkEnd w:id="140"/>
    </w:p>
    <w:p w:rsidR="00435AB8" w:rsidRDefault="00E8635D" w:rsidP="002B4E6C">
      <w:pPr>
        <w:pStyle w:val="dajenadtabulkouazdroj"/>
        <w:ind w:left="284"/>
      </w:pPr>
      <w:r>
        <w:t>Údaje jsou uvedeny v celých Kč</w:t>
      </w:r>
    </w:p>
    <w:tbl>
      <w:tblPr>
        <w:tblW w:w="8060" w:type="dxa"/>
        <w:jc w:val="center"/>
        <w:tblCellMar>
          <w:left w:w="70" w:type="dxa"/>
          <w:right w:w="70" w:type="dxa"/>
        </w:tblCellMar>
        <w:tblLook w:val="04A0" w:firstRow="1" w:lastRow="0" w:firstColumn="1" w:lastColumn="0" w:noHBand="0" w:noVBand="1"/>
      </w:tblPr>
      <w:tblGrid>
        <w:gridCol w:w="760"/>
        <w:gridCol w:w="3460"/>
        <w:gridCol w:w="960"/>
        <w:gridCol w:w="960"/>
        <w:gridCol w:w="960"/>
        <w:gridCol w:w="960"/>
      </w:tblGrid>
      <w:tr w:rsidR="00E8635D" w:rsidRPr="00E8635D" w:rsidTr="00C336D4">
        <w:trPr>
          <w:trHeight w:val="439"/>
          <w:tblHeader/>
          <w:jc w:val="center"/>
        </w:trPr>
        <w:tc>
          <w:tcPr>
            <w:tcW w:w="760" w:type="dxa"/>
            <w:vMerge w:val="restart"/>
            <w:tcBorders>
              <w:top w:val="single" w:sz="12" w:space="0" w:color="auto"/>
              <w:left w:val="single" w:sz="12" w:space="0" w:color="auto"/>
              <w:bottom w:val="double" w:sz="6" w:space="0" w:color="000000"/>
              <w:right w:val="single" w:sz="4" w:space="0" w:color="auto"/>
            </w:tcBorders>
            <w:shd w:val="clear" w:color="auto" w:fill="E5DFEC" w:themeFill="accent4" w:themeFillTint="33"/>
            <w:vAlign w:val="center"/>
            <w:hideMark/>
          </w:tcPr>
          <w:p w:rsidR="00E8635D" w:rsidRPr="00E8635D" w:rsidRDefault="00E8635D" w:rsidP="00E8635D">
            <w:pPr>
              <w:spacing w:after="0" w:line="240" w:lineRule="auto"/>
              <w:jc w:val="center"/>
              <w:rPr>
                <w:b/>
                <w:bCs/>
                <w:color w:val="000000"/>
                <w:szCs w:val="22"/>
              </w:rPr>
            </w:pPr>
            <w:r w:rsidRPr="00E8635D">
              <w:rPr>
                <w:b/>
                <w:bCs/>
                <w:color w:val="000000"/>
                <w:sz w:val="22"/>
                <w:szCs w:val="22"/>
              </w:rPr>
              <w:t>OZN.</w:t>
            </w:r>
          </w:p>
        </w:tc>
        <w:tc>
          <w:tcPr>
            <w:tcW w:w="3460" w:type="dxa"/>
            <w:vMerge w:val="restart"/>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E8635D" w:rsidRPr="00E8635D" w:rsidRDefault="00E8635D" w:rsidP="00E8635D">
            <w:pPr>
              <w:spacing w:after="0" w:line="240" w:lineRule="auto"/>
              <w:jc w:val="center"/>
              <w:rPr>
                <w:b/>
                <w:bCs/>
                <w:color w:val="000000"/>
                <w:szCs w:val="22"/>
              </w:rPr>
            </w:pPr>
            <w:r w:rsidRPr="00E8635D">
              <w:rPr>
                <w:b/>
                <w:bCs/>
                <w:color w:val="000000"/>
                <w:sz w:val="22"/>
                <w:szCs w:val="22"/>
              </w:rPr>
              <w:t>TEXT</w:t>
            </w:r>
          </w:p>
        </w:tc>
        <w:tc>
          <w:tcPr>
            <w:tcW w:w="960" w:type="dxa"/>
            <w:vMerge w:val="restart"/>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E8635D" w:rsidRPr="00E8635D" w:rsidRDefault="00E8635D" w:rsidP="00E8635D">
            <w:pPr>
              <w:spacing w:after="0" w:line="240" w:lineRule="auto"/>
              <w:jc w:val="center"/>
              <w:rPr>
                <w:b/>
                <w:bCs/>
                <w:color w:val="000000"/>
                <w:szCs w:val="22"/>
              </w:rPr>
            </w:pPr>
            <w:proofErr w:type="gramStart"/>
            <w:r w:rsidRPr="00E8635D">
              <w:rPr>
                <w:b/>
                <w:bCs/>
                <w:color w:val="000000"/>
                <w:sz w:val="22"/>
                <w:szCs w:val="22"/>
              </w:rPr>
              <w:t>Č.Ř.</w:t>
            </w:r>
            <w:proofErr w:type="gramEnd"/>
          </w:p>
        </w:tc>
        <w:tc>
          <w:tcPr>
            <w:tcW w:w="960" w:type="dxa"/>
            <w:tcBorders>
              <w:top w:val="single" w:sz="12" w:space="0" w:color="auto"/>
              <w:left w:val="nil"/>
              <w:bottom w:val="single" w:sz="4" w:space="0" w:color="auto"/>
              <w:right w:val="single" w:sz="4" w:space="0" w:color="auto"/>
            </w:tcBorders>
            <w:shd w:val="clear" w:color="auto" w:fill="E5DFEC" w:themeFill="accent4" w:themeFillTint="33"/>
            <w:vAlign w:val="center"/>
            <w:hideMark/>
          </w:tcPr>
          <w:p w:rsidR="00E8635D" w:rsidRPr="00E8635D" w:rsidRDefault="00E8635D" w:rsidP="00E8635D">
            <w:pPr>
              <w:spacing w:after="0" w:line="240" w:lineRule="auto"/>
              <w:jc w:val="center"/>
              <w:rPr>
                <w:b/>
                <w:bCs/>
                <w:color w:val="000000"/>
                <w:szCs w:val="22"/>
              </w:rPr>
            </w:pPr>
            <w:r w:rsidRPr="00E8635D">
              <w:rPr>
                <w:b/>
                <w:bCs/>
                <w:color w:val="000000"/>
                <w:sz w:val="22"/>
                <w:szCs w:val="22"/>
              </w:rPr>
              <w:t>2009</w:t>
            </w:r>
          </w:p>
        </w:tc>
        <w:tc>
          <w:tcPr>
            <w:tcW w:w="960" w:type="dxa"/>
            <w:tcBorders>
              <w:top w:val="single" w:sz="12" w:space="0" w:color="auto"/>
              <w:left w:val="nil"/>
              <w:bottom w:val="single" w:sz="4" w:space="0" w:color="auto"/>
              <w:right w:val="single" w:sz="4" w:space="0" w:color="auto"/>
            </w:tcBorders>
            <w:shd w:val="clear" w:color="auto" w:fill="E5DFEC" w:themeFill="accent4" w:themeFillTint="33"/>
            <w:vAlign w:val="center"/>
            <w:hideMark/>
          </w:tcPr>
          <w:p w:rsidR="00E8635D" w:rsidRPr="00E8635D" w:rsidRDefault="00E8635D" w:rsidP="00E8635D">
            <w:pPr>
              <w:spacing w:after="0" w:line="240" w:lineRule="auto"/>
              <w:jc w:val="center"/>
              <w:rPr>
                <w:b/>
                <w:bCs/>
                <w:color w:val="000000"/>
                <w:szCs w:val="22"/>
              </w:rPr>
            </w:pPr>
            <w:r w:rsidRPr="00E8635D">
              <w:rPr>
                <w:b/>
                <w:bCs/>
                <w:color w:val="000000"/>
                <w:sz w:val="22"/>
                <w:szCs w:val="22"/>
              </w:rPr>
              <w:t>2010</w:t>
            </w:r>
          </w:p>
        </w:tc>
        <w:tc>
          <w:tcPr>
            <w:tcW w:w="960" w:type="dxa"/>
            <w:tcBorders>
              <w:top w:val="single" w:sz="12" w:space="0" w:color="auto"/>
              <w:left w:val="nil"/>
              <w:bottom w:val="single" w:sz="4" w:space="0" w:color="auto"/>
              <w:right w:val="single" w:sz="12" w:space="0" w:color="auto"/>
            </w:tcBorders>
            <w:shd w:val="clear" w:color="auto" w:fill="E5DFEC" w:themeFill="accent4" w:themeFillTint="33"/>
            <w:vAlign w:val="center"/>
            <w:hideMark/>
          </w:tcPr>
          <w:p w:rsidR="00E8635D" w:rsidRPr="00E8635D" w:rsidRDefault="00E8635D" w:rsidP="00E8635D">
            <w:pPr>
              <w:spacing w:after="0" w:line="240" w:lineRule="auto"/>
              <w:jc w:val="center"/>
              <w:rPr>
                <w:b/>
                <w:bCs/>
                <w:color w:val="000000"/>
                <w:szCs w:val="22"/>
              </w:rPr>
            </w:pPr>
            <w:r w:rsidRPr="00E8635D">
              <w:rPr>
                <w:b/>
                <w:bCs/>
                <w:color w:val="000000"/>
                <w:sz w:val="22"/>
                <w:szCs w:val="22"/>
              </w:rPr>
              <w:t>2011</w:t>
            </w:r>
          </w:p>
        </w:tc>
      </w:tr>
      <w:tr w:rsidR="00E8635D" w:rsidRPr="00E8635D" w:rsidTr="00C336D4">
        <w:trPr>
          <w:trHeight w:val="439"/>
          <w:tblHeader/>
          <w:jc w:val="center"/>
        </w:trPr>
        <w:tc>
          <w:tcPr>
            <w:tcW w:w="760" w:type="dxa"/>
            <w:vMerge/>
            <w:tcBorders>
              <w:top w:val="single" w:sz="12" w:space="0" w:color="auto"/>
              <w:left w:val="single" w:sz="12" w:space="0" w:color="auto"/>
              <w:bottom w:val="double" w:sz="6" w:space="0" w:color="000000"/>
              <w:right w:val="single" w:sz="4" w:space="0" w:color="auto"/>
            </w:tcBorders>
            <w:shd w:val="clear" w:color="auto" w:fill="E5DFEC" w:themeFill="accent4" w:themeFillTint="33"/>
            <w:vAlign w:val="center"/>
            <w:hideMark/>
          </w:tcPr>
          <w:p w:rsidR="00E8635D" w:rsidRPr="00E8635D" w:rsidRDefault="00E8635D" w:rsidP="00E8635D">
            <w:pPr>
              <w:spacing w:after="0" w:line="240" w:lineRule="auto"/>
              <w:jc w:val="left"/>
              <w:rPr>
                <w:b/>
                <w:bCs/>
                <w:color w:val="000000"/>
                <w:szCs w:val="22"/>
              </w:rPr>
            </w:pPr>
          </w:p>
        </w:tc>
        <w:tc>
          <w:tcPr>
            <w:tcW w:w="3460" w:type="dxa"/>
            <w:vMerge/>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E8635D" w:rsidRPr="00E8635D" w:rsidRDefault="00E8635D" w:rsidP="00E8635D">
            <w:pPr>
              <w:spacing w:after="0" w:line="240" w:lineRule="auto"/>
              <w:jc w:val="left"/>
              <w:rPr>
                <w:b/>
                <w:bCs/>
                <w:color w:val="000000"/>
                <w:szCs w:val="22"/>
              </w:rPr>
            </w:pPr>
          </w:p>
        </w:tc>
        <w:tc>
          <w:tcPr>
            <w:tcW w:w="960" w:type="dxa"/>
            <w:vMerge/>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E8635D" w:rsidRPr="00E8635D" w:rsidRDefault="00E8635D" w:rsidP="00E8635D">
            <w:pPr>
              <w:spacing w:after="0" w:line="240" w:lineRule="auto"/>
              <w:jc w:val="left"/>
              <w:rPr>
                <w:b/>
                <w:bCs/>
                <w:color w:val="000000"/>
                <w:szCs w:val="22"/>
              </w:rPr>
            </w:pPr>
          </w:p>
        </w:tc>
        <w:tc>
          <w:tcPr>
            <w:tcW w:w="960" w:type="dxa"/>
            <w:tcBorders>
              <w:top w:val="nil"/>
              <w:left w:val="nil"/>
              <w:bottom w:val="double" w:sz="6" w:space="0" w:color="auto"/>
              <w:right w:val="single" w:sz="4" w:space="0" w:color="auto"/>
            </w:tcBorders>
            <w:shd w:val="clear" w:color="auto" w:fill="E5DFEC" w:themeFill="accent4" w:themeFillTint="33"/>
            <w:vAlign w:val="center"/>
            <w:hideMark/>
          </w:tcPr>
          <w:p w:rsidR="00E8635D" w:rsidRPr="00E8635D" w:rsidRDefault="0010457F" w:rsidP="00E8635D">
            <w:pPr>
              <w:spacing w:after="0" w:line="240" w:lineRule="auto"/>
              <w:jc w:val="center"/>
              <w:rPr>
                <w:b/>
                <w:bCs/>
                <w:color w:val="000000"/>
                <w:szCs w:val="22"/>
              </w:rPr>
            </w:pPr>
            <w:r>
              <w:rPr>
                <w:b/>
                <w:bCs/>
                <w:color w:val="000000"/>
                <w:sz w:val="22"/>
                <w:szCs w:val="22"/>
              </w:rPr>
              <w:t>NETTO</w:t>
            </w:r>
          </w:p>
        </w:tc>
        <w:tc>
          <w:tcPr>
            <w:tcW w:w="960" w:type="dxa"/>
            <w:tcBorders>
              <w:top w:val="nil"/>
              <w:left w:val="nil"/>
              <w:bottom w:val="double" w:sz="6" w:space="0" w:color="auto"/>
              <w:right w:val="single" w:sz="4" w:space="0" w:color="auto"/>
            </w:tcBorders>
            <w:shd w:val="clear" w:color="auto" w:fill="E5DFEC" w:themeFill="accent4" w:themeFillTint="33"/>
            <w:vAlign w:val="center"/>
            <w:hideMark/>
          </w:tcPr>
          <w:p w:rsidR="00E8635D" w:rsidRPr="00E8635D" w:rsidRDefault="0010457F" w:rsidP="00E8635D">
            <w:pPr>
              <w:spacing w:after="0" w:line="240" w:lineRule="auto"/>
              <w:jc w:val="center"/>
              <w:rPr>
                <w:b/>
                <w:bCs/>
                <w:color w:val="000000"/>
                <w:szCs w:val="22"/>
              </w:rPr>
            </w:pPr>
            <w:r>
              <w:rPr>
                <w:b/>
                <w:bCs/>
                <w:color w:val="000000"/>
                <w:sz w:val="22"/>
                <w:szCs w:val="22"/>
              </w:rPr>
              <w:t>NETTO</w:t>
            </w:r>
          </w:p>
        </w:tc>
        <w:tc>
          <w:tcPr>
            <w:tcW w:w="960" w:type="dxa"/>
            <w:tcBorders>
              <w:top w:val="nil"/>
              <w:left w:val="nil"/>
              <w:bottom w:val="double" w:sz="6" w:space="0" w:color="auto"/>
              <w:right w:val="single" w:sz="12" w:space="0" w:color="auto"/>
            </w:tcBorders>
            <w:shd w:val="clear" w:color="auto" w:fill="E5DFEC" w:themeFill="accent4" w:themeFillTint="33"/>
            <w:vAlign w:val="center"/>
            <w:hideMark/>
          </w:tcPr>
          <w:p w:rsidR="00E8635D" w:rsidRPr="00E8635D" w:rsidRDefault="0010457F" w:rsidP="00E8635D">
            <w:pPr>
              <w:spacing w:after="0" w:line="240" w:lineRule="auto"/>
              <w:jc w:val="center"/>
              <w:rPr>
                <w:b/>
                <w:bCs/>
                <w:color w:val="000000"/>
                <w:szCs w:val="22"/>
              </w:rPr>
            </w:pPr>
            <w:r>
              <w:rPr>
                <w:b/>
                <w:bCs/>
                <w:color w:val="000000"/>
                <w:sz w:val="22"/>
                <w:szCs w:val="22"/>
              </w:rPr>
              <w:t>NETTO</w:t>
            </w:r>
          </w:p>
        </w:tc>
      </w:tr>
      <w:tr w:rsidR="00E8635D" w:rsidRPr="00E8635D" w:rsidTr="00883FC8">
        <w:trPr>
          <w:trHeight w:val="315"/>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E8635D" w:rsidRPr="00E8635D" w:rsidRDefault="00E8635D" w:rsidP="00E8635D">
            <w:pPr>
              <w:spacing w:after="0" w:line="240" w:lineRule="auto"/>
              <w:jc w:val="left"/>
              <w:rPr>
                <w:color w:val="000000"/>
                <w:szCs w:val="22"/>
              </w:rPr>
            </w:pPr>
            <w:r w:rsidRPr="00E8635D">
              <w:rPr>
                <w:color w:val="000000"/>
                <w:sz w:val="22"/>
                <w:szCs w:val="22"/>
              </w:rPr>
              <w:t>B.</w:t>
            </w:r>
          </w:p>
        </w:tc>
        <w:tc>
          <w:tcPr>
            <w:tcW w:w="3460" w:type="dxa"/>
            <w:tcBorders>
              <w:top w:val="nil"/>
              <w:left w:val="nil"/>
              <w:bottom w:val="single" w:sz="4" w:space="0" w:color="auto"/>
              <w:right w:val="single" w:sz="4" w:space="0" w:color="auto"/>
            </w:tcBorders>
            <w:shd w:val="clear" w:color="auto" w:fill="auto"/>
            <w:vAlign w:val="center"/>
            <w:hideMark/>
          </w:tcPr>
          <w:p w:rsidR="00E8635D" w:rsidRPr="00E8635D" w:rsidRDefault="00E8635D" w:rsidP="00E8635D">
            <w:pPr>
              <w:spacing w:after="0" w:line="240" w:lineRule="auto"/>
              <w:jc w:val="left"/>
              <w:rPr>
                <w:color w:val="000000"/>
                <w:szCs w:val="22"/>
              </w:rPr>
            </w:pPr>
            <w:r w:rsidRPr="00E8635D">
              <w:rPr>
                <w:color w:val="000000"/>
                <w:sz w:val="22"/>
                <w:szCs w:val="22"/>
              </w:rPr>
              <w:t>Dlouhodobý majetek</w:t>
            </w:r>
          </w:p>
        </w:tc>
        <w:tc>
          <w:tcPr>
            <w:tcW w:w="960" w:type="dxa"/>
            <w:tcBorders>
              <w:top w:val="nil"/>
              <w:left w:val="nil"/>
              <w:bottom w:val="single" w:sz="4" w:space="0" w:color="auto"/>
              <w:right w:val="single" w:sz="4" w:space="0" w:color="auto"/>
            </w:tcBorders>
            <w:shd w:val="clear" w:color="auto" w:fill="auto"/>
            <w:vAlign w:val="center"/>
            <w:hideMark/>
          </w:tcPr>
          <w:p w:rsidR="00E8635D" w:rsidRPr="00E8635D" w:rsidRDefault="00E8635D" w:rsidP="00E8635D">
            <w:pPr>
              <w:spacing w:after="0" w:line="240" w:lineRule="auto"/>
              <w:jc w:val="center"/>
              <w:rPr>
                <w:color w:val="000000"/>
                <w:szCs w:val="22"/>
              </w:rPr>
            </w:pPr>
            <w:r w:rsidRPr="00E8635D">
              <w:rPr>
                <w:color w:val="000000"/>
                <w:sz w:val="22"/>
                <w:szCs w:val="22"/>
              </w:rPr>
              <w:t>3</w:t>
            </w:r>
          </w:p>
        </w:tc>
        <w:tc>
          <w:tcPr>
            <w:tcW w:w="960" w:type="dxa"/>
            <w:tcBorders>
              <w:top w:val="nil"/>
              <w:left w:val="nil"/>
              <w:bottom w:val="single" w:sz="4" w:space="0" w:color="auto"/>
              <w:right w:val="single" w:sz="4" w:space="0" w:color="auto"/>
            </w:tcBorders>
            <w:shd w:val="clear" w:color="auto" w:fill="auto"/>
            <w:vAlign w:val="center"/>
            <w:hideMark/>
          </w:tcPr>
          <w:p w:rsidR="00E8635D" w:rsidRPr="00E8635D" w:rsidRDefault="00E8635D" w:rsidP="00E8635D">
            <w:pPr>
              <w:spacing w:after="0" w:line="240" w:lineRule="auto"/>
              <w:jc w:val="right"/>
              <w:rPr>
                <w:color w:val="000000"/>
                <w:szCs w:val="22"/>
              </w:rPr>
            </w:pPr>
            <w:r w:rsidRPr="00E8635D">
              <w:rPr>
                <w:color w:val="000000"/>
                <w:sz w:val="22"/>
                <w:szCs w:val="22"/>
              </w:rPr>
              <w:t>67 647</w:t>
            </w:r>
          </w:p>
        </w:tc>
        <w:tc>
          <w:tcPr>
            <w:tcW w:w="960" w:type="dxa"/>
            <w:tcBorders>
              <w:top w:val="nil"/>
              <w:left w:val="nil"/>
              <w:bottom w:val="single" w:sz="4" w:space="0" w:color="auto"/>
              <w:right w:val="single" w:sz="4" w:space="0" w:color="auto"/>
            </w:tcBorders>
            <w:shd w:val="clear" w:color="auto" w:fill="auto"/>
            <w:vAlign w:val="center"/>
            <w:hideMark/>
          </w:tcPr>
          <w:p w:rsidR="00E8635D" w:rsidRPr="00E8635D" w:rsidRDefault="00E8635D" w:rsidP="00E8635D">
            <w:pPr>
              <w:spacing w:after="0" w:line="240" w:lineRule="auto"/>
              <w:jc w:val="right"/>
              <w:rPr>
                <w:color w:val="000000"/>
                <w:szCs w:val="22"/>
              </w:rPr>
            </w:pPr>
            <w:r w:rsidRPr="00E8635D">
              <w:rPr>
                <w:color w:val="000000"/>
                <w:sz w:val="22"/>
                <w:szCs w:val="22"/>
              </w:rPr>
              <w:t>67 647</w:t>
            </w:r>
          </w:p>
        </w:tc>
        <w:tc>
          <w:tcPr>
            <w:tcW w:w="960" w:type="dxa"/>
            <w:tcBorders>
              <w:top w:val="nil"/>
              <w:left w:val="nil"/>
              <w:bottom w:val="single" w:sz="4" w:space="0" w:color="auto"/>
              <w:right w:val="single" w:sz="12" w:space="0" w:color="auto"/>
            </w:tcBorders>
            <w:shd w:val="clear" w:color="auto" w:fill="auto"/>
            <w:vAlign w:val="center"/>
            <w:hideMark/>
          </w:tcPr>
          <w:p w:rsidR="00E8635D" w:rsidRPr="00E8635D" w:rsidRDefault="00E8635D" w:rsidP="00E8635D">
            <w:pPr>
              <w:spacing w:after="0" w:line="240" w:lineRule="auto"/>
              <w:jc w:val="right"/>
              <w:rPr>
                <w:color w:val="000000"/>
                <w:szCs w:val="22"/>
              </w:rPr>
            </w:pPr>
            <w:r w:rsidRPr="00E8635D">
              <w:rPr>
                <w:color w:val="000000"/>
                <w:sz w:val="22"/>
                <w:szCs w:val="22"/>
              </w:rPr>
              <w:t>0</w:t>
            </w:r>
          </w:p>
        </w:tc>
      </w:tr>
      <w:tr w:rsidR="00E8635D" w:rsidRPr="00E8635D" w:rsidTr="00883FC8">
        <w:trPr>
          <w:trHeight w:val="300"/>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E8635D" w:rsidRPr="00E8635D" w:rsidRDefault="00E8635D" w:rsidP="00E8635D">
            <w:pPr>
              <w:spacing w:after="0" w:line="240" w:lineRule="auto"/>
              <w:jc w:val="left"/>
              <w:rPr>
                <w:color w:val="000000"/>
                <w:szCs w:val="22"/>
              </w:rPr>
            </w:pPr>
            <w:proofErr w:type="gramStart"/>
            <w:r w:rsidRPr="00E8635D">
              <w:rPr>
                <w:color w:val="000000"/>
                <w:sz w:val="22"/>
                <w:szCs w:val="22"/>
              </w:rPr>
              <w:t>B.  I.</w:t>
            </w:r>
            <w:proofErr w:type="gramEnd"/>
          </w:p>
        </w:tc>
        <w:tc>
          <w:tcPr>
            <w:tcW w:w="3460" w:type="dxa"/>
            <w:tcBorders>
              <w:top w:val="nil"/>
              <w:left w:val="nil"/>
              <w:bottom w:val="single" w:sz="4" w:space="0" w:color="auto"/>
              <w:right w:val="single" w:sz="4" w:space="0" w:color="auto"/>
            </w:tcBorders>
            <w:shd w:val="clear" w:color="auto" w:fill="auto"/>
            <w:vAlign w:val="center"/>
            <w:hideMark/>
          </w:tcPr>
          <w:p w:rsidR="00E8635D" w:rsidRPr="00E8635D" w:rsidRDefault="00E8635D" w:rsidP="00E8635D">
            <w:pPr>
              <w:spacing w:after="0" w:line="240" w:lineRule="auto"/>
              <w:jc w:val="left"/>
              <w:rPr>
                <w:color w:val="000000"/>
                <w:szCs w:val="22"/>
              </w:rPr>
            </w:pPr>
            <w:r w:rsidRPr="00E8635D">
              <w:rPr>
                <w:color w:val="000000"/>
                <w:sz w:val="22"/>
                <w:szCs w:val="22"/>
              </w:rPr>
              <w:t>Dlouhodobý nehmotný majetek</w:t>
            </w:r>
          </w:p>
        </w:tc>
        <w:tc>
          <w:tcPr>
            <w:tcW w:w="960" w:type="dxa"/>
            <w:tcBorders>
              <w:top w:val="nil"/>
              <w:left w:val="nil"/>
              <w:bottom w:val="single" w:sz="4" w:space="0" w:color="auto"/>
              <w:right w:val="single" w:sz="4" w:space="0" w:color="auto"/>
            </w:tcBorders>
            <w:shd w:val="clear" w:color="auto" w:fill="auto"/>
            <w:vAlign w:val="center"/>
            <w:hideMark/>
          </w:tcPr>
          <w:p w:rsidR="00E8635D" w:rsidRPr="00E8635D" w:rsidRDefault="00E8635D" w:rsidP="00E8635D">
            <w:pPr>
              <w:spacing w:after="0" w:line="240" w:lineRule="auto"/>
              <w:jc w:val="center"/>
              <w:rPr>
                <w:color w:val="000000"/>
                <w:szCs w:val="22"/>
              </w:rPr>
            </w:pPr>
            <w:r w:rsidRPr="00E8635D">
              <w:rPr>
                <w:color w:val="000000"/>
                <w:sz w:val="22"/>
                <w:szCs w:val="22"/>
              </w:rPr>
              <w:t>4</w:t>
            </w:r>
          </w:p>
        </w:tc>
        <w:tc>
          <w:tcPr>
            <w:tcW w:w="960" w:type="dxa"/>
            <w:tcBorders>
              <w:top w:val="nil"/>
              <w:left w:val="nil"/>
              <w:bottom w:val="single" w:sz="4" w:space="0" w:color="auto"/>
              <w:right w:val="single" w:sz="4" w:space="0" w:color="auto"/>
            </w:tcBorders>
            <w:shd w:val="clear" w:color="auto" w:fill="auto"/>
            <w:vAlign w:val="center"/>
            <w:hideMark/>
          </w:tcPr>
          <w:p w:rsidR="00E8635D" w:rsidRPr="00E8635D" w:rsidRDefault="00E8635D" w:rsidP="00E8635D">
            <w:pPr>
              <w:spacing w:after="0" w:line="240" w:lineRule="auto"/>
              <w:jc w:val="right"/>
              <w:rPr>
                <w:color w:val="000000"/>
                <w:szCs w:val="22"/>
              </w:rPr>
            </w:pPr>
            <w:r w:rsidRPr="00E8635D">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E8635D" w:rsidRPr="00E8635D" w:rsidRDefault="00E8635D" w:rsidP="00E8635D">
            <w:pPr>
              <w:spacing w:after="0" w:line="240" w:lineRule="auto"/>
              <w:jc w:val="right"/>
              <w:rPr>
                <w:color w:val="000000"/>
                <w:szCs w:val="22"/>
              </w:rPr>
            </w:pPr>
            <w:r w:rsidRPr="00E8635D">
              <w:rPr>
                <w:color w:val="000000"/>
                <w:sz w:val="22"/>
                <w:szCs w:val="22"/>
              </w:rPr>
              <w:t>0</w:t>
            </w:r>
          </w:p>
        </w:tc>
        <w:tc>
          <w:tcPr>
            <w:tcW w:w="960" w:type="dxa"/>
            <w:tcBorders>
              <w:top w:val="nil"/>
              <w:left w:val="nil"/>
              <w:bottom w:val="single" w:sz="4" w:space="0" w:color="auto"/>
              <w:right w:val="single" w:sz="12" w:space="0" w:color="auto"/>
            </w:tcBorders>
            <w:shd w:val="clear" w:color="auto" w:fill="auto"/>
            <w:vAlign w:val="center"/>
            <w:hideMark/>
          </w:tcPr>
          <w:p w:rsidR="00E8635D" w:rsidRPr="00E8635D" w:rsidRDefault="00E8635D" w:rsidP="00E8635D">
            <w:pPr>
              <w:spacing w:after="0" w:line="240" w:lineRule="auto"/>
              <w:jc w:val="right"/>
              <w:rPr>
                <w:color w:val="000000"/>
                <w:szCs w:val="22"/>
              </w:rPr>
            </w:pPr>
            <w:r w:rsidRPr="00E8635D">
              <w:rPr>
                <w:color w:val="000000"/>
                <w:sz w:val="22"/>
                <w:szCs w:val="22"/>
              </w:rPr>
              <w:t>0</w:t>
            </w:r>
          </w:p>
        </w:tc>
      </w:tr>
      <w:tr w:rsidR="00E8635D" w:rsidRPr="00E8635D" w:rsidTr="00883FC8">
        <w:trPr>
          <w:trHeight w:val="300"/>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E8635D" w:rsidRPr="00E8635D" w:rsidRDefault="00E8635D" w:rsidP="00E8635D">
            <w:pPr>
              <w:spacing w:after="0" w:line="240" w:lineRule="auto"/>
              <w:jc w:val="left"/>
              <w:rPr>
                <w:color w:val="000000"/>
                <w:szCs w:val="22"/>
              </w:rPr>
            </w:pPr>
            <w:r w:rsidRPr="00E8635D">
              <w:rPr>
                <w:color w:val="000000"/>
                <w:sz w:val="22"/>
                <w:szCs w:val="22"/>
              </w:rPr>
              <w:t>B. II.</w:t>
            </w:r>
          </w:p>
        </w:tc>
        <w:tc>
          <w:tcPr>
            <w:tcW w:w="3460" w:type="dxa"/>
            <w:tcBorders>
              <w:top w:val="nil"/>
              <w:left w:val="nil"/>
              <w:bottom w:val="single" w:sz="4" w:space="0" w:color="auto"/>
              <w:right w:val="single" w:sz="4" w:space="0" w:color="auto"/>
            </w:tcBorders>
            <w:shd w:val="clear" w:color="auto" w:fill="auto"/>
            <w:vAlign w:val="center"/>
            <w:hideMark/>
          </w:tcPr>
          <w:p w:rsidR="00E8635D" w:rsidRPr="00E8635D" w:rsidRDefault="00E8635D" w:rsidP="00E8635D">
            <w:pPr>
              <w:spacing w:after="0" w:line="240" w:lineRule="auto"/>
              <w:jc w:val="left"/>
              <w:rPr>
                <w:color w:val="000000"/>
                <w:szCs w:val="22"/>
              </w:rPr>
            </w:pPr>
            <w:r w:rsidRPr="00E8635D">
              <w:rPr>
                <w:color w:val="000000"/>
                <w:sz w:val="22"/>
                <w:szCs w:val="22"/>
              </w:rPr>
              <w:t>Dlouhodobý hmotný majetek</w:t>
            </w:r>
          </w:p>
        </w:tc>
        <w:tc>
          <w:tcPr>
            <w:tcW w:w="960" w:type="dxa"/>
            <w:tcBorders>
              <w:top w:val="nil"/>
              <w:left w:val="nil"/>
              <w:bottom w:val="single" w:sz="4" w:space="0" w:color="auto"/>
              <w:right w:val="single" w:sz="4" w:space="0" w:color="auto"/>
            </w:tcBorders>
            <w:shd w:val="clear" w:color="auto" w:fill="auto"/>
            <w:vAlign w:val="center"/>
            <w:hideMark/>
          </w:tcPr>
          <w:p w:rsidR="00E8635D" w:rsidRPr="00E8635D" w:rsidRDefault="00E8635D" w:rsidP="00E8635D">
            <w:pPr>
              <w:spacing w:after="0" w:line="240" w:lineRule="auto"/>
              <w:jc w:val="center"/>
              <w:rPr>
                <w:color w:val="000000"/>
                <w:szCs w:val="22"/>
              </w:rPr>
            </w:pPr>
            <w:r w:rsidRPr="00E8635D">
              <w:rPr>
                <w:color w:val="000000"/>
                <w:sz w:val="22"/>
                <w:szCs w:val="22"/>
              </w:rPr>
              <w:t>13</w:t>
            </w:r>
          </w:p>
        </w:tc>
        <w:tc>
          <w:tcPr>
            <w:tcW w:w="960" w:type="dxa"/>
            <w:tcBorders>
              <w:top w:val="nil"/>
              <w:left w:val="nil"/>
              <w:bottom w:val="single" w:sz="4" w:space="0" w:color="auto"/>
              <w:right w:val="single" w:sz="4" w:space="0" w:color="auto"/>
            </w:tcBorders>
            <w:shd w:val="clear" w:color="auto" w:fill="auto"/>
            <w:vAlign w:val="center"/>
            <w:hideMark/>
          </w:tcPr>
          <w:p w:rsidR="00E8635D" w:rsidRPr="00E8635D" w:rsidRDefault="00E8635D" w:rsidP="00E8635D">
            <w:pPr>
              <w:spacing w:after="0" w:line="240" w:lineRule="auto"/>
              <w:jc w:val="right"/>
              <w:rPr>
                <w:color w:val="000000"/>
                <w:szCs w:val="22"/>
              </w:rPr>
            </w:pPr>
            <w:r w:rsidRPr="00E8635D">
              <w:rPr>
                <w:color w:val="000000"/>
                <w:sz w:val="22"/>
                <w:szCs w:val="22"/>
              </w:rPr>
              <w:t>67 647</w:t>
            </w:r>
          </w:p>
        </w:tc>
        <w:tc>
          <w:tcPr>
            <w:tcW w:w="960" w:type="dxa"/>
            <w:tcBorders>
              <w:top w:val="nil"/>
              <w:left w:val="nil"/>
              <w:bottom w:val="single" w:sz="4" w:space="0" w:color="auto"/>
              <w:right w:val="single" w:sz="4" w:space="0" w:color="auto"/>
            </w:tcBorders>
            <w:shd w:val="clear" w:color="auto" w:fill="auto"/>
            <w:vAlign w:val="center"/>
            <w:hideMark/>
          </w:tcPr>
          <w:p w:rsidR="00E8635D" w:rsidRPr="00E8635D" w:rsidRDefault="00E8635D" w:rsidP="00E8635D">
            <w:pPr>
              <w:spacing w:after="0" w:line="240" w:lineRule="auto"/>
              <w:jc w:val="right"/>
              <w:rPr>
                <w:color w:val="000000"/>
                <w:szCs w:val="22"/>
              </w:rPr>
            </w:pPr>
            <w:r w:rsidRPr="00E8635D">
              <w:rPr>
                <w:color w:val="000000"/>
                <w:sz w:val="22"/>
                <w:szCs w:val="22"/>
              </w:rPr>
              <w:t>67 647</w:t>
            </w:r>
          </w:p>
        </w:tc>
        <w:tc>
          <w:tcPr>
            <w:tcW w:w="960" w:type="dxa"/>
            <w:tcBorders>
              <w:top w:val="nil"/>
              <w:left w:val="nil"/>
              <w:bottom w:val="single" w:sz="4" w:space="0" w:color="auto"/>
              <w:right w:val="single" w:sz="12" w:space="0" w:color="auto"/>
            </w:tcBorders>
            <w:shd w:val="clear" w:color="auto" w:fill="auto"/>
            <w:vAlign w:val="center"/>
            <w:hideMark/>
          </w:tcPr>
          <w:p w:rsidR="00E8635D" w:rsidRPr="00E8635D" w:rsidRDefault="00E8635D" w:rsidP="00E8635D">
            <w:pPr>
              <w:spacing w:after="0" w:line="240" w:lineRule="auto"/>
              <w:jc w:val="right"/>
              <w:rPr>
                <w:color w:val="000000"/>
                <w:szCs w:val="22"/>
              </w:rPr>
            </w:pPr>
            <w:r w:rsidRPr="00E8635D">
              <w:rPr>
                <w:color w:val="000000"/>
                <w:sz w:val="22"/>
                <w:szCs w:val="22"/>
              </w:rPr>
              <w:t>0</w:t>
            </w:r>
          </w:p>
        </w:tc>
      </w:tr>
      <w:tr w:rsidR="00E8635D" w:rsidRPr="00E8635D" w:rsidTr="00883FC8">
        <w:trPr>
          <w:trHeight w:val="600"/>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E8635D" w:rsidRPr="00E8635D" w:rsidRDefault="00E8635D" w:rsidP="00E8635D">
            <w:pPr>
              <w:spacing w:after="0" w:line="240" w:lineRule="auto"/>
              <w:jc w:val="right"/>
              <w:rPr>
                <w:color w:val="000000"/>
                <w:szCs w:val="22"/>
              </w:rPr>
            </w:pPr>
            <w:r w:rsidRPr="00E8635D">
              <w:rPr>
                <w:color w:val="000000"/>
                <w:sz w:val="22"/>
                <w:szCs w:val="22"/>
              </w:rPr>
              <w:t xml:space="preserve">      3.</w:t>
            </w:r>
          </w:p>
        </w:tc>
        <w:tc>
          <w:tcPr>
            <w:tcW w:w="3460" w:type="dxa"/>
            <w:tcBorders>
              <w:top w:val="nil"/>
              <w:left w:val="nil"/>
              <w:bottom w:val="single" w:sz="4" w:space="0" w:color="auto"/>
              <w:right w:val="single" w:sz="4" w:space="0" w:color="auto"/>
            </w:tcBorders>
            <w:shd w:val="clear" w:color="auto" w:fill="auto"/>
            <w:vAlign w:val="center"/>
            <w:hideMark/>
          </w:tcPr>
          <w:p w:rsidR="00E8635D" w:rsidRPr="00E8635D" w:rsidRDefault="00E8635D" w:rsidP="00E8635D">
            <w:pPr>
              <w:spacing w:after="0" w:line="240" w:lineRule="auto"/>
              <w:jc w:val="left"/>
              <w:rPr>
                <w:color w:val="000000"/>
                <w:szCs w:val="22"/>
              </w:rPr>
            </w:pPr>
            <w:r w:rsidRPr="00E8635D">
              <w:rPr>
                <w:color w:val="000000"/>
                <w:sz w:val="22"/>
                <w:szCs w:val="22"/>
              </w:rPr>
              <w:t>Samostatné movité věci a soubory movitých věcí</w:t>
            </w:r>
          </w:p>
        </w:tc>
        <w:tc>
          <w:tcPr>
            <w:tcW w:w="960" w:type="dxa"/>
            <w:tcBorders>
              <w:top w:val="nil"/>
              <w:left w:val="nil"/>
              <w:bottom w:val="single" w:sz="4" w:space="0" w:color="auto"/>
              <w:right w:val="single" w:sz="4" w:space="0" w:color="auto"/>
            </w:tcBorders>
            <w:shd w:val="clear" w:color="auto" w:fill="auto"/>
            <w:vAlign w:val="center"/>
            <w:hideMark/>
          </w:tcPr>
          <w:p w:rsidR="00E8635D" w:rsidRPr="00E8635D" w:rsidRDefault="00E8635D" w:rsidP="00E8635D">
            <w:pPr>
              <w:spacing w:after="0" w:line="240" w:lineRule="auto"/>
              <w:jc w:val="center"/>
              <w:rPr>
                <w:color w:val="000000"/>
                <w:szCs w:val="22"/>
              </w:rPr>
            </w:pPr>
            <w:r w:rsidRPr="00E8635D">
              <w:rPr>
                <w:color w:val="000000"/>
                <w:sz w:val="22"/>
                <w:szCs w:val="22"/>
              </w:rPr>
              <w:t>16</w:t>
            </w:r>
          </w:p>
        </w:tc>
        <w:tc>
          <w:tcPr>
            <w:tcW w:w="960" w:type="dxa"/>
            <w:tcBorders>
              <w:top w:val="nil"/>
              <w:left w:val="nil"/>
              <w:bottom w:val="single" w:sz="4" w:space="0" w:color="auto"/>
              <w:right w:val="single" w:sz="4" w:space="0" w:color="auto"/>
            </w:tcBorders>
            <w:shd w:val="clear" w:color="auto" w:fill="auto"/>
            <w:vAlign w:val="center"/>
            <w:hideMark/>
          </w:tcPr>
          <w:p w:rsidR="00E8635D" w:rsidRPr="00E8635D" w:rsidRDefault="00E8635D" w:rsidP="00E8635D">
            <w:pPr>
              <w:spacing w:after="0" w:line="240" w:lineRule="auto"/>
              <w:jc w:val="right"/>
              <w:rPr>
                <w:color w:val="000000"/>
                <w:szCs w:val="22"/>
              </w:rPr>
            </w:pPr>
            <w:r w:rsidRPr="00E8635D">
              <w:rPr>
                <w:color w:val="000000"/>
                <w:sz w:val="22"/>
                <w:szCs w:val="22"/>
              </w:rPr>
              <w:t>67 647</w:t>
            </w:r>
          </w:p>
        </w:tc>
        <w:tc>
          <w:tcPr>
            <w:tcW w:w="960" w:type="dxa"/>
            <w:tcBorders>
              <w:top w:val="nil"/>
              <w:left w:val="nil"/>
              <w:bottom w:val="single" w:sz="4" w:space="0" w:color="auto"/>
              <w:right w:val="single" w:sz="4" w:space="0" w:color="auto"/>
            </w:tcBorders>
            <w:shd w:val="clear" w:color="auto" w:fill="auto"/>
            <w:vAlign w:val="center"/>
            <w:hideMark/>
          </w:tcPr>
          <w:p w:rsidR="00E8635D" w:rsidRPr="00E8635D" w:rsidRDefault="00E8635D" w:rsidP="00E8635D">
            <w:pPr>
              <w:spacing w:after="0" w:line="240" w:lineRule="auto"/>
              <w:jc w:val="right"/>
              <w:rPr>
                <w:color w:val="000000"/>
                <w:szCs w:val="22"/>
              </w:rPr>
            </w:pPr>
            <w:r w:rsidRPr="00E8635D">
              <w:rPr>
                <w:color w:val="000000"/>
                <w:sz w:val="22"/>
                <w:szCs w:val="22"/>
              </w:rPr>
              <w:t>67 647</w:t>
            </w:r>
          </w:p>
        </w:tc>
        <w:tc>
          <w:tcPr>
            <w:tcW w:w="960" w:type="dxa"/>
            <w:tcBorders>
              <w:top w:val="nil"/>
              <w:left w:val="nil"/>
              <w:bottom w:val="single" w:sz="4" w:space="0" w:color="auto"/>
              <w:right w:val="single" w:sz="12" w:space="0" w:color="auto"/>
            </w:tcBorders>
            <w:shd w:val="clear" w:color="auto" w:fill="auto"/>
            <w:vAlign w:val="center"/>
            <w:hideMark/>
          </w:tcPr>
          <w:p w:rsidR="00E8635D" w:rsidRPr="00E8635D" w:rsidRDefault="00E8635D" w:rsidP="00E8635D">
            <w:pPr>
              <w:spacing w:after="0" w:line="240" w:lineRule="auto"/>
              <w:jc w:val="right"/>
              <w:rPr>
                <w:color w:val="000000"/>
                <w:szCs w:val="22"/>
              </w:rPr>
            </w:pPr>
            <w:r w:rsidRPr="00E8635D">
              <w:rPr>
                <w:color w:val="000000"/>
                <w:sz w:val="22"/>
                <w:szCs w:val="22"/>
              </w:rPr>
              <w:t>0</w:t>
            </w:r>
          </w:p>
        </w:tc>
      </w:tr>
      <w:tr w:rsidR="00E8635D" w:rsidRPr="00E8635D" w:rsidTr="00883FC8">
        <w:trPr>
          <w:trHeight w:val="315"/>
          <w:jc w:val="center"/>
        </w:trPr>
        <w:tc>
          <w:tcPr>
            <w:tcW w:w="760" w:type="dxa"/>
            <w:tcBorders>
              <w:top w:val="nil"/>
              <w:left w:val="single" w:sz="12" w:space="0" w:color="auto"/>
              <w:bottom w:val="single" w:sz="12" w:space="0" w:color="auto"/>
              <w:right w:val="single" w:sz="4" w:space="0" w:color="auto"/>
            </w:tcBorders>
            <w:shd w:val="clear" w:color="auto" w:fill="auto"/>
            <w:vAlign w:val="center"/>
            <w:hideMark/>
          </w:tcPr>
          <w:p w:rsidR="00E8635D" w:rsidRPr="00E8635D" w:rsidRDefault="00E8635D" w:rsidP="00E8635D">
            <w:pPr>
              <w:spacing w:after="0" w:line="240" w:lineRule="auto"/>
              <w:jc w:val="left"/>
              <w:rPr>
                <w:color w:val="000000"/>
                <w:szCs w:val="22"/>
              </w:rPr>
            </w:pPr>
            <w:proofErr w:type="gramStart"/>
            <w:r w:rsidRPr="00E8635D">
              <w:rPr>
                <w:color w:val="000000"/>
                <w:sz w:val="22"/>
                <w:szCs w:val="22"/>
              </w:rPr>
              <w:t>B.III</w:t>
            </w:r>
            <w:proofErr w:type="gramEnd"/>
            <w:r w:rsidRPr="00E8635D">
              <w:rPr>
                <w:color w:val="000000"/>
                <w:sz w:val="22"/>
                <w:szCs w:val="22"/>
              </w:rPr>
              <w:t>.</w:t>
            </w:r>
          </w:p>
        </w:tc>
        <w:tc>
          <w:tcPr>
            <w:tcW w:w="3460" w:type="dxa"/>
            <w:tcBorders>
              <w:top w:val="nil"/>
              <w:left w:val="nil"/>
              <w:bottom w:val="single" w:sz="12" w:space="0" w:color="auto"/>
              <w:right w:val="single" w:sz="4" w:space="0" w:color="auto"/>
            </w:tcBorders>
            <w:shd w:val="clear" w:color="auto" w:fill="auto"/>
            <w:vAlign w:val="center"/>
            <w:hideMark/>
          </w:tcPr>
          <w:p w:rsidR="00E8635D" w:rsidRPr="00E8635D" w:rsidRDefault="00E8635D" w:rsidP="00E8635D">
            <w:pPr>
              <w:spacing w:after="0" w:line="240" w:lineRule="auto"/>
              <w:jc w:val="left"/>
              <w:rPr>
                <w:color w:val="000000"/>
                <w:szCs w:val="22"/>
              </w:rPr>
            </w:pPr>
            <w:r w:rsidRPr="00E8635D">
              <w:rPr>
                <w:color w:val="000000"/>
                <w:sz w:val="22"/>
                <w:szCs w:val="22"/>
              </w:rPr>
              <w:t>Dlouhodobý finanční majetek</w:t>
            </w:r>
          </w:p>
        </w:tc>
        <w:tc>
          <w:tcPr>
            <w:tcW w:w="960" w:type="dxa"/>
            <w:tcBorders>
              <w:top w:val="nil"/>
              <w:left w:val="nil"/>
              <w:bottom w:val="single" w:sz="12" w:space="0" w:color="auto"/>
              <w:right w:val="single" w:sz="4" w:space="0" w:color="auto"/>
            </w:tcBorders>
            <w:shd w:val="clear" w:color="auto" w:fill="auto"/>
            <w:vAlign w:val="center"/>
            <w:hideMark/>
          </w:tcPr>
          <w:p w:rsidR="00E8635D" w:rsidRPr="00E8635D" w:rsidRDefault="00E8635D" w:rsidP="00E8635D">
            <w:pPr>
              <w:spacing w:after="0" w:line="240" w:lineRule="auto"/>
              <w:jc w:val="center"/>
              <w:rPr>
                <w:color w:val="000000"/>
                <w:szCs w:val="22"/>
              </w:rPr>
            </w:pPr>
            <w:r w:rsidRPr="00E8635D">
              <w:rPr>
                <w:color w:val="000000"/>
                <w:sz w:val="22"/>
                <w:szCs w:val="22"/>
              </w:rPr>
              <w:t>23</w:t>
            </w:r>
          </w:p>
        </w:tc>
        <w:tc>
          <w:tcPr>
            <w:tcW w:w="960" w:type="dxa"/>
            <w:tcBorders>
              <w:top w:val="nil"/>
              <w:left w:val="nil"/>
              <w:bottom w:val="single" w:sz="12" w:space="0" w:color="auto"/>
              <w:right w:val="single" w:sz="4" w:space="0" w:color="auto"/>
            </w:tcBorders>
            <w:shd w:val="clear" w:color="auto" w:fill="auto"/>
            <w:vAlign w:val="center"/>
            <w:hideMark/>
          </w:tcPr>
          <w:p w:rsidR="00E8635D" w:rsidRPr="00E8635D" w:rsidRDefault="00E8635D" w:rsidP="00E8635D">
            <w:pPr>
              <w:spacing w:after="0" w:line="240" w:lineRule="auto"/>
              <w:jc w:val="right"/>
              <w:rPr>
                <w:color w:val="000000"/>
                <w:szCs w:val="22"/>
              </w:rPr>
            </w:pPr>
            <w:r w:rsidRPr="00E8635D">
              <w:rPr>
                <w:color w:val="000000"/>
                <w:sz w:val="22"/>
                <w:szCs w:val="22"/>
              </w:rPr>
              <w:t>0</w:t>
            </w:r>
          </w:p>
        </w:tc>
        <w:tc>
          <w:tcPr>
            <w:tcW w:w="960" w:type="dxa"/>
            <w:tcBorders>
              <w:top w:val="nil"/>
              <w:left w:val="nil"/>
              <w:bottom w:val="single" w:sz="12" w:space="0" w:color="auto"/>
              <w:right w:val="single" w:sz="4" w:space="0" w:color="auto"/>
            </w:tcBorders>
            <w:shd w:val="clear" w:color="auto" w:fill="auto"/>
            <w:vAlign w:val="center"/>
            <w:hideMark/>
          </w:tcPr>
          <w:p w:rsidR="00E8635D" w:rsidRPr="00E8635D" w:rsidRDefault="00E8635D" w:rsidP="00E8635D">
            <w:pPr>
              <w:spacing w:after="0" w:line="240" w:lineRule="auto"/>
              <w:jc w:val="right"/>
              <w:rPr>
                <w:color w:val="000000"/>
                <w:szCs w:val="22"/>
              </w:rPr>
            </w:pPr>
            <w:r w:rsidRPr="00E8635D">
              <w:rPr>
                <w:color w:val="000000"/>
                <w:sz w:val="22"/>
                <w:szCs w:val="22"/>
              </w:rPr>
              <w:t>0</w:t>
            </w:r>
          </w:p>
        </w:tc>
        <w:tc>
          <w:tcPr>
            <w:tcW w:w="960" w:type="dxa"/>
            <w:tcBorders>
              <w:top w:val="nil"/>
              <w:left w:val="nil"/>
              <w:bottom w:val="single" w:sz="12" w:space="0" w:color="auto"/>
              <w:right w:val="single" w:sz="12" w:space="0" w:color="auto"/>
            </w:tcBorders>
            <w:shd w:val="clear" w:color="auto" w:fill="auto"/>
            <w:vAlign w:val="center"/>
            <w:hideMark/>
          </w:tcPr>
          <w:p w:rsidR="00E8635D" w:rsidRPr="00E8635D" w:rsidRDefault="00E8635D" w:rsidP="00E8635D">
            <w:pPr>
              <w:spacing w:after="0" w:line="240" w:lineRule="auto"/>
              <w:jc w:val="right"/>
              <w:rPr>
                <w:color w:val="000000"/>
                <w:szCs w:val="22"/>
              </w:rPr>
            </w:pPr>
            <w:r w:rsidRPr="00E8635D">
              <w:rPr>
                <w:color w:val="000000"/>
                <w:sz w:val="22"/>
                <w:szCs w:val="22"/>
              </w:rPr>
              <w:t>0</w:t>
            </w:r>
          </w:p>
        </w:tc>
      </w:tr>
    </w:tbl>
    <w:p w:rsidR="00435AB8" w:rsidRDefault="00C01EFE" w:rsidP="002B4E6C">
      <w:pPr>
        <w:pStyle w:val="dajepodtabulkou"/>
        <w:ind w:left="284"/>
      </w:pPr>
      <w:r w:rsidRPr="00C01EFE">
        <w:t>Zdroj: Q – MONT s. r. o.</w:t>
      </w:r>
    </w:p>
    <w:p w:rsidR="0054606A" w:rsidRDefault="0054606A" w:rsidP="00255FC3">
      <w:pPr>
        <w:pStyle w:val="Odstavecnormln"/>
      </w:pPr>
      <w:bookmarkStart w:id="141" w:name="_Ref349576562"/>
      <w:bookmarkStart w:id="142" w:name="_Ref349576578"/>
      <w:r>
        <w:lastRenderedPageBreak/>
        <w:t>Společnost eviduje v dlouhodobém majetku pouze samostatné věci movité. Hodno</w:t>
      </w:r>
      <w:r w:rsidR="00C011D8">
        <w:t>ta hmotného majetku ve výši 67.</w:t>
      </w:r>
      <w:r>
        <w:t xml:space="preserve">647 Kč zachycená v rozvaze za rok 2009 a 2010 udává zůstatkovou hodnotu </w:t>
      </w:r>
      <w:r w:rsidR="00C011D8">
        <w:t xml:space="preserve">osobních </w:t>
      </w:r>
      <w:r>
        <w:t xml:space="preserve">aut pořízených v průběhu let 2005 – 2007 (jedná se </w:t>
      </w:r>
      <w:r w:rsidR="004B0962">
        <w:br/>
      </w:r>
      <w:r>
        <w:t xml:space="preserve">o osobní auta OPEL </w:t>
      </w:r>
      <w:proofErr w:type="spellStart"/>
      <w:r>
        <w:t>Vivaro</w:t>
      </w:r>
      <w:proofErr w:type="spellEnd"/>
      <w:r>
        <w:t xml:space="preserve">, </w:t>
      </w:r>
      <w:proofErr w:type="spellStart"/>
      <w:r>
        <w:t>Mitshubishi</w:t>
      </w:r>
      <w:proofErr w:type="spellEnd"/>
      <w:r>
        <w:t xml:space="preserve"> a FORD Mondeo). V roce 2011 byla tato auta účetně odepsána. Auta byla k 31. 12. 2011 evidována v účetnictví společnosti nadále jako hmotný majetek s nulovou zůstatkovou hodnotou.</w:t>
      </w:r>
    </w:p>
    <w:p w:rsidR="00C011D8" w:rsidRDefault="00C011D8" w:rsidP="00255FC3">
      <w:pPr>
        <w:pStyle w:val="Odstavecnormln"/>
      </w:pPr>
      <w:r>
        <w:t xml:space="preserve">Vedle stálých aktiv společnost eviduje oběžná aktiva. Níže je uveden jejich přehled. V tabulce oběžných aktiv </w:t>
      </w:r>
      <w:r w:rsidR="00876BD8">
        <w:t>o</w:t>
      </w:r>
      <w:r>
        <w:t>značení a číslo řádku odpovídá členění položek aktiv uvedených ve výkazu rozvahy (viz</w:t>
      </w:r>
      <w:r w:rsidR="00744BD2">
        <w:t xml:space="preserve"> příloha 10</w:t>
      </w:r>
      <w:r>
        <w:t xml:space="preserve"> na str. </w:t>
      </w:r>
      <w:r>
        <w:fldChar w:fldCharType="begin"/>
      </w:r>
      <w:r>
        <w:instrText xml:space="preserve"> PAGEREF _Ref349671207 \h </w:instrText>
      </w:r>
      <w:r>
        <w:fldChar w:fldCharType="separate"/>
      </w:r>
      <w:r w:rsidR="002534BA">
        <w:rPr>
          <w:noProof/>
        </w:rPr>
        <w:t>70</w:t>
      </w:r>
      <w:r>
        <w:fldChar w:fldCharType="end"/>
      </w:r>
      <w:r>
        <w:t>)</w:t>
      </w:r>
      <w:r w:rsidR="00876BD8">
        <w:t>.</w:t>
      </w:r>
    </w:p>
    <w:p w:rsidR="00327FC6" w:rsidRDefault="00327FC6" w:rsidP="00327FC6">
      <w:pPr>
        <w:pStyle w:val="Titulek"/>
      </w:pPr>
      <w:bookmarkStart w:id="143" w:name="_Ref350445405"/>
      <w:bookmarkStart w:id="144" w:name="_Ref351996986"/>
      <w:bookmarkStart w:id="145" w:name="_Toc353125952"/>
      <w:r>
        <w:t xml:space="preserve">Tabulka </w:t>
      </w:r>
      <w:r w:rsidR="00C96C2B">
        <w:fldChar w:fldCharType="begin"/>
      </w:r>
      <w:r w:rsidR="00C96C2B">
        <w:instrText xml:space="preserve"> SEQ Tabulka \* ARABIC </w:instrText>
      </w:r>
      <w:r w:rsidR="00C96C2B">
        <w:fldChar w:fldCharType="separate"/>
      </w:r>
      <w:r w:rsidR="002534BA">
        <w:rPr>
          <w:noProof/>
        </w:rPr>
        <w:t>13</w:t>
      </w:r>
      <w:r w:rsidR="00C96C2B">
        <w:rPr>
          <w:noProof/>
        </w:rPr>
        <w:fldChar w:fldCharType="end"/>
      </w:r>
      <w:bookmarkEnd w:id="141"/>
      <w:bookmarkEnd w:id="143"/>
      <w:r>
        <w:t xml:space="preserve"> Oběžná aktiva společnosti</w:t>
      </w:r>
      <w:bookmarkEnd w:id="142"/>
      <w:bookmarkEnd w:id="144"/>
      <w:r w:rsidR="0079132B">
        <w:t>: Q – MONT s. r. o.</w:t>
      </w:r>
      <w:bookmarkEnd w:id="145"/>
    </w:p>
    <w:p w:rsidR="00435AB8" w:rsidRDefault="000E4044" w:rsidP="000E4044">
      <w:pPr>
        <w:pStyle w:val="dajenadtabulkouazdroj"/>
      </w:pPr>
      <w:r>
        <w:t>Údaje jsou uvedeny v celých Kč</w:t>
      </w:r>
    </w:p>
    <w:tbl>
      <w:tblPr>
        <w:tblW w:w="8465" w:type="dxa"/>
        <w:jc w:val="center"/>
        <w:tblInd w:w="10" w:type="dxa"/>
        <w:tblCellMar>
          <w:left w:w="70" w:type="dxa"/>
          <w:right w:w="70" w:type="dxa"/>
        </w:tblCellMar>
        <w:tblLook w:val="04A0" w:firstRow="1" w:lastRow="0" w:firstColumn="1" w:lastColumn="0" w:noHBand="0" w:noVBand="1"/>
      </w:tblPr>
      <w:tblGrid>
        <w:gridCol w:w="945"/>
        <w:gridCol w:w="3460"/>
        <w:gridCol w:w="700"/>
        <w:gridCol w:w="1120"/>
        <w:gridCol w:w="1120"/>
        <w:gridCol w:w="1120"/>
      </w:tblGrid>
      <w:tr w:rsidR="000E4044" w:rsidRPr="000E4044" w:rsidTr="00C336D4">
        <w:trPr>
          <w:trHeight w:val="439"/>
          <w:tblHeader/>
          <w:jc w:val="center"/>
        </w:trPr>
        <w:tc>
          <w:tcPr>
            <w:tcW w:w="945" w:type="dxa"/>
            <w:vMerge w:val="restart"/>
            <w:tcBorders>
              <w:top w:val="single" w:sz="12" w:space="0" w:color="auto"/>
              <w:left w:val="single" w:sz="12" w:space="0" w:color="auto"/>
              <w:bottom w:val="double" w:sz="6" w:space="0" w:color="000000"/>
              <w:right w:val="single" w:sz="4" w:space="0" w:color="auto"/>
            </w:tcBorders>
            <w:shd w:val="clear" w:color="auto" w:fill="E5DFEC" w:themeFill="accent4" w:themeFillTint="33"/>
            <w:vAlign w:val="center"/>
            <w:hideMark/>
          </w:tcPr>
          <w:p w:rsidR="000E4044" w:rsidRPr="000E4044" w:rsidRDefault="000E4044" w:rsidP="000E4044">
            <w:pPr>
              <w:spacing w:after="0" w:line="240" w:lineRule="auto"/>
              <w:jc w:val="center"/>
              <w:rPr>
                <w:b/>
                <w:bCs/>
                <w:color w:val="000000"/>
                <w:szCs w:val="22"/>
              </w:rPr>
            </w:pPr>
            <w:r w:rsidRPr="000E4044">
              <w:rPr>
                <w:b/>
                <w:bCs/>
                <w:color w:val="000000"/>
                <w:sz w:val="22"/>
                <w:szCs w:val="22"/>
              </w:rPr>
              <w:t>OZN.</w:t>
            </w:r>
          </w:p>
        </w:tc>
        <w:tc>
          <w:tcPr>
            <w:tcW w:w="3460" w:type="dxa"/>
            <w:vMerge w:val="restart"/>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0E4044" w:rsidRPr="000E4044" w:rsidRDefault="000E4044" w:rsidP="000E4044">
            <w:pPr>
              <w:spacing w:after="0" w:line="240" w:lineRule="auto"/>
              <w:jc w:val="center"/>
              <w:rPr>
                <w:b/>
                <w:bCs/>
                <w:color w:val="000000"/>
                <w:szCs w:val="22"/>
              </w:rPr>
            </w:pPr>
            <w:r w:rsidRPr="000E4044">
              <w:rPr>
                <w:b/>
                <w:bCs/>
                <w:color w:val="000000"/>
                <w:sz w:val="22"/>
                <w:szCs w:val="22"/>
              </w:rPr>
              <w:t>TEXT</w:t>
            </w:r>
          </w:p>
        </w:tc>
        <w:tc>
          <w:tcPr>
            <w:tcW w:w="700" w:type="dxa"/>
            <w:vMerge w:val="restart"/>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0E4044" w:rsidRPr="000E4044" w:rsidRDefault="000E4044" w:rsidP="000E4044">
            <w:pPr>
              <w:spacing w:after="0" w:line="240" w:lineRule="auto"/>
              <w:jc w:val="center"/>
              <w:rPr>
                <w:b/>
                <w:bCs/>
                <w:color w:val="000000"/>
                <w:szCs w:val="22"/>
              </w:rPr>
            </w:pPr>
            <w:proofErr w:type="gramStart"/>
            <w:r w:rsidRPr="000E4044">
              <w:rPr>
                <w:b/>
                <w:bCs/>
                <w:color w:val="000000"/>
                <w:sz w:val="22"/>
                <w:szCs w:val="22"/>
              </w:rPr>
              <w:t>Č.Ř.</w:t>
            </w:r>
            <w:proofErr w:type="gramEnd"/>
          </w:p>
        </w:tc>
        <w:tc>
          <w:tcPr>
            <w:tcW w:w="1120" w:type="dxa"/>
            <w:tcBorders>
              <w:top w:val="single" w:sz="12" w:space="0" w:color="auto"/>
              <w:left w:val="nil"/>
              <w:bottom w:val="single" w:sz="4" w:space="0" w:color="auto"/>
              <w:right w:val="single" w:sz="4" w:space="0" w:color="auto"/>
            </w:tcBorders>
            <w:shd w:val="clear" w:color="auto" w:fill="E5DFEC" w:themeFill="accent4" w:themeFillTint="33"/>
            <w:vAlign w:val="center"/>
            <w:hideMark/>
          </w:tcPr>
          <w:p w:rsidR="000E4044" w:rsidRPr="000E4044" w:rsidRDefault="000E4044" w:rsidP="000E4044">
            <w:pPr>
              <w:spacing w:after="0" w:line="240" w:lineRule="auto"/>
              <w:jc w:val="center"/>
              <w:rPr>
                <w:b/>
                <w:bCs/>
                <w:color w:val="000000"/>
                <w:szCs w:val="22"/>
              </w:rPr>
            </w:pPr>
            <w:r w:rsidRPr="000E4044">
              <w:rPr>
                <w:b/>
                <w:bCs/>
                <w:color w:val="000000"/>
                <w:sz w:val="22"/>
                <w:szCs w:val="22"/>
              </w:rPr>
              <w:t>2009</w:t>
            </w:r>
          </w:p>
        </w:tc>
        <w:tc>
          <w:tcPr>
            <w:tcW w:w="1120" w:type="dxa"/>
            <w:tcBorders>
              <w:top w:val="single" w:sz="12" w:space="0" w:color="auto"/>
              <w:left w:val="nil"/>
              <w:bottom w:val="single" w:sz="4" w:space="0" w:color="auto"/>
              <w:right w:val="single" w:sz="4" w:space="0" w:color="auto"/>
            </w:tcBorders>
            <w:shd w:val="clear" w:color="auto" w:fill="E5DFEC" w:themeFill="accent4" w:themeFillTint="33"/>
            <w:vAlign w:val="center"/>
            <w:hideMark/>
          </w:tcPr>
          <w:p w:rsidR="000E4044" w:rsidRPr="000E4044" w:rsidRDefault="000E4044" w:rsidP="000E4044">
            <w:pPr>
              <w:spacing w:after="0" w:line="240" w:lineRule="auto"/>
              <w:jc w:val="center"/>
              <w:rPr>
                <w:b/>
                <w:bCs/>
                <w:color w:val="000000"/>
                <w:szCs w:val="22"/>
              </w:rPr>
            </w:pPr>
            <w:r w:rsidRPr="000E4044">
              <w:rPr>
                <w:b/>
                <w:bCs/>
                <w:color w:val="000000"/>
                <w:sz w:val="22"/>
                <w:szCs w:val="22"/>
              </w:rPr>
              <w:t>2010</w:t>
            </w:r>
          </w:p>
        </w:tc>
        <w:tc>
          <w:tcPr>
            <w:tcW w:w="1120" w:type="dxa"/>
            <w:tcBorders>
              <w:top w:val="single" w:sz="12" w:space="0" w:color="auto"/>
              <w:left w:val="nil"/>
              <w:bottom w:val="single" w:sz="4" w:space="0" w:color="auto"/>
              <w:right w:val="single" w:sz="12" w:space="0" w:color="auto"/>
            </w:tcBorders>
            <w:shd w:val="clear" w:color="auto" w:fill="E5DFEC" w:themeFill="accent4" w:themeFillTint="33"/>
            <w:vAlign w:val="center"/>
            <w:hideMark/>
          </w:tcPr>
          <w:p w:rsidR="000E4044" w:rsidRPr="000E4044" w:rsidRDefault="000E4044" w:rsidP="000E4044">
            <w:pPr>
              <w:spacing w:after="0" w:line="240" w:lineRule="auto"/>
              <w:jc w:val="center"/>
              <w:rPr>
                <w:b/>
                <w:bCs/>
                <w:color w:val="000000"/>
                <w:szCs w:val="22"/>
              </w:rPr>
            </w:pPr>
            <w:r w:rsidRPr="000E4044">
              <w:rPr>
                <w:b/>
                <w:bCs/>
                <w:color w:val="000000"/>
                <w:sz w:val="22"/>
                <w:szCs w:val="22"/>
              </w:rPr>
              <w:t>2011</w:t>
            </w:r>
          </w:p>
        </w:tc>
      </w:tr>
      <w:tr w:rsidR="000E4044" w:rsidRPr="000E4044" w:rsidTr="00C336D4">
        <w:trPr>
          <w:trHeight w:val="439"/>
          <w:tblHeader/>
          <w:jc w:val="center"/>
        </w:trPr>
        <w:tc>
          <w:tcPr>
            <w:tcW w:w="945" w:type="dxa"/>
            <w:vMerge/>
            <w:tcBorders>
              <w:top w:val="single" w:sz="12" w:space="0" w:color="auto"/>
              <w:left w:val="single" w:sz="12" w:space="0" w:color="auto"/>
              <w:bottom w:val="double" w:sz="6" w:space="0" w:color="000000"/>
              <w:right w:val="single" w:sz="4" w:space="0" w:color="auto"/>
            </w:tcBorders>
            <w:shd w:val="clear" w:color="auto" w:fill="E5DFEC" w:themeFill="accent4" w:themeFillTint="33"/>
            <w:vAlign w:val="center"/>
            <w:hideMark/>
          </w:tcPr>
          <w:p w:rsidR="000E4044" w:rsidRPr="000E4044" w:rsidRDefault="000E4044" w:rsidP="000E4044">
            <w:pPr>
              <w:spacing w:after="0" w:line="240" w:lineRule="auto"/>
              <w:jc w:val="left"/>
              <w:rPr>
                <w:b/>
                <w:bCs/>
                <w:color w:val="000000"/>
                <w:szCs w:val="22"/>
              </w:rPr>
            </w:pPr>
          </w:p>
        </w:tc>
        <w:tc>
          <w:tcPr>
            <w:tcW w:w="3460" w:type="dxa"/>
            <w:vMerge/>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0E4044" w:rsidRPr="000E4044" w:rsidRDefault="000E4044" w:rsidP="000E4044">
            <w:pPr>
              <w:spacing w:after="0" w:line="240" w:lineRule="auto"/>
              <w:jc w:val="left"/>
              <w:rPr>
                <w:b/>
                <w:bCs/>
                <w:color w:val="000000"/>
                <w:szCs w:val="22"/>
              </w:rPr>
            </w:pPr>
          </w:p>
        </w:tc>
        <w:tc>
          <w:tcPr>
            <w:tcW w:w="700" w:type="dxa"/>
            <w:vMerge/>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0E4044" w:rsidRPr="000E4044" w:rsidRDefault="000E4044" w:rsidP="000E4044">
            <w:pPr>
              <w:spacing w:after="0" w:line="240" w:lineRule="auto"/>
              <w:jc w:val="left"/>
              <w:rPr>
                <w:b/>
                <w:bCs/>
                <w:color w:val="000000"/>
                <w:szCs w:val="22"/>
              </w:rPr>
            </w:pPr>
          </w:p>
        </w:tc>
        <w:tc>
          <w:tcPr>
            <w:tcW w:w="1120" w:type="dxa"/>
            <w:tcBorders>
              <w:top w:val="nil"/>
              <w:left w:val="nil"/>
              <w:bottom w:val="double" w:sz="6" w:space="0" w:color="auto"/>
              <w:right w:val="single" w:sz="4" w:space="0" w:color="auto"/>
            </w:tcBorders>
            <w:shd w:val="clear" w:color="auto" w:fill="E5DFEC" w:themeFill="accent4" w:themeFillTint="33"/>
            <w:vAlign w:val="center"/>
            <w:hideMark/>
          </w:tcPr>
          <w:p w:rsidR="000E4044" w:rsidRPr="000E4044" w:rsidRDefault="0010457F" w:rsidP="000E4044">
            <w:pPr>
              <w:spacing w:after="0" w:line="240" w:lineRule="auto"/>
              <w:jc w:val="center"/>
              <w:rPr>
                <w:b/>
                <w:bCs/>
                <w:color w:val="000000"/>
                <w:szCs w:val="22"/>
              </w:rPr>
            </w:pPr>
            <w:r>
              <w:rPr>
                <w:b/>
                <w:bCs/>
                <w:color w:val="000000"/>
                <w:sz w:val="22"/>
                <w:szCs w:val="22"/>
              </w:rPr>
              <w:t>NETTO</w:t>
            </w:r>
          </w:p>
        </w:tc>
        <w:tc>
          <w:tcPr>
            <w:tcW w:w="1120" w:type="dxa"/>
            <w:tcBorders>
              <w:top w:val="nil"/>
              <w:left w:val="nil"/>
              <w:bottom w:val="double" w:sz="6" w:space="0" w:color="auto"/>
              <w:right w:val="single" w:sz="4" w:space="0" w:color="auto"/>
            </w:tcBorders>
            <w:shd w:val="clear" w:color="auto" w:fill="E5DFEC" w:themeFill="accent4" w:themeFillTint="33"/>
            <w:vAlign w:val="center"/>
            <w:hideMark/>
          </w:tcPr>
          <w:p w:rsidR="000E4044" w:rsidRPr="000E4044" w:rsidRDefault="0010457F" w:rsidP="000E4044">
            <w:pPr>
              <w:spacing w:after="0" w:line="240" w:lineRule="auto"/>
              <w:jc w:val="center"/>
              <w:rPr>
                <w:b/>
                <w:bCs/>
                <w:color w:val="000000"/>
                <w:szCs w:val="22"/>
              </w:rPr>
            </w:pPr>
            <w:r>
              <w:rPr>
                <w:b/>
                <w:bCs/>
                <w:color w:val="000000"/>
                <w:sz w:val="22"/>
                <w:szCs w:val="22"/>
              </w:rPr>
              <w:t>NETTO</w:t>
            </w:r>
          </w:p>
        </w:tc>
        <w:tc>
          <w:tcPr>
            <w:tcW w:w="1120" w:type="dxa"/>
            <w:tcBorders>
              <w:top w:val="nil"/>
              <w:left w:val="nil"/>
              <w:bottom w:val="double" w:sz="6" w:space="0" w:color="auto"/>
              <w:right w:val="single" w:sz="12" w:space="0" w:color="auto"/>
            </w:tcBorders>
            <w:shd w:val="clear" w:color="auto" w:fill="E5DFEC" w:themeFill="accent4" w:themeFillTint="33"/>
            <w:vAlign w:val="center"/>
            <w:hideMark/>
          </w:tcPr>
          <w:p w:rsidR="000E4044" w:rsidRPr="000E4044" w:rsidRDefault="0010457F" w:rsidP="000E4044">
            <w:pPr>
              <w:spacing w:after="0" w:line="240" w:lineRule="auto"/>
              <w:jc w:val="center"/>
              <w:rPr>
                <w:b/>
                <w:bCs/>
                <w:color w:val="000000"/>
                <w:szCs w:val="22"/>
              </w:rPr>
            </w:pPr>
            <w:r>
              <w:rPr>
                <w:b/>
                <w:bCs/>
                <w:color w:val="000000"/>
                <w:sz w:val="22"/>
                <w:szCs w:val="22"/>
              </w:rPr>
              <w:t>NETTO</w:t>
            </w:r>
          </w:p>
        </w:tc>
      </w:tr>
      <w:tr w:rsidR="000E4044" w:rsidRPr="000E4044" w:rsidTr="0014387D">
        <w:trPr>
          <w:trHeight w:val="585"/>
          <w:jc w:val="center"/>
        </w:trPr>
        <w:tc>
          <w:tcPr>
            <w:tcW w:w="945" w:type="dxa"/>
            <w:tcBorders>
              <w:top w:val="nil"/>
              <w:left w:val="single" w:sz="12" w:space="0" w:color="auto"/>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left"/>
              <w:rPr>
                <w:b/>
                <w:bCs/>
                <w:color w:val="000000"/>
                <w:szCs w:val="22"/>
              </w:rPr>
            </w:pPr>
            <w:r w:rsidRPr="000E4044">
              <w:rPr>
                <w:b/>
                <w:bCs/>
                <w:color w:val="000000"/>
                <w:sz w:val="22"/>
                <w:szCs w:val="22"/>
              </w:rPr>
              <w:t>C.</w:t>
            </w:r>
          </w:p>
        </w:tc>
        <w:tc>
          <w:tcPr>
            <w:tcW w:w="346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left"/>
              <w:rPr>
                <w:b/>
                <w:bCs/>
                <w:color w:val="000000"/>
                <w:szCs w:val="22"/>
              </w:rPr>
            </w:pPr>
            <w:r w:rsidRPr="000E4044">
              <w:rPr>
                <w:b/>
                <w:bCs/>
                <w:color w:val="000000"/>
                <w:sz w:val="22"/>
                <w:szCs w:val="22"/>
              </w:rPr>
              <w:t>Oběžná aktiva (ř. 032 + ř. 039 + ř. 048 + ř. 058)</w:t>
            </w:r>
          </w:p>
        </w:tc>
        <w:tc>
          <w:tcPr>
            <w:tcW w:w="70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center"/>
              <w:rPr>
                <w:b/>
                <w:bCs/>
                <w:color w:val="000000"/>
                <w:szCs w:val="22"/>
              </w:rPr>
            </w:pPr>
            <w:r w:rsidRPr="000E4044">
              <w:rPr>
                <w:b/>
                <w:bCs/>
                <w:color w:val="000000"/>
                <w:sz w:val="22"/>
                <w:szCs w:val="22"/>
              </w:rPr>
              <w:t>31</w:t>
            </w:r>
          </w:p>
        </w:tc>
        <w:tc>
          <w:tcPr>
            <w:tcW w:w="112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right"/>
              <w:rPr>
                <w:b/>
                <w:bCs/>
                <w:color w:val="000000"/>
                <w:szCs w:val="22"/>
              </w:rPr>
            </w:pPr>
            <w:r w:rsidRPr="000E4044">
              <w:rPr>
                <w:b/>
                <w:bCs/>
                <w:color w:val="000000"/>
                <w:sz w:val="22"/>
                <w:szCs w:val="22"/>
              </w:rPr>
              <w:t>2 183 800</w:t>
            </w:r>
          </w:p>
        </w:tc>
        <w:tc>
          <w:tcPr>
            <w:tcW w:w="112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right"/>
              <w:rPr>
                <w:b/>
                <w:bCs/>
                <w:color w:val="000000"/>
                <w:szCs w:val="22"/>
              </w:rPr>
            </w:pPr>
            <w:r w:rsidRPr="000E4044">
              <w:rPr>
                <w:b/>
                <w:bCs/>
                <w:color w:val="000000"/>
                <w:sz w:val="22"/>
                <w:szCs w:val="22"/>
              </w:rPr>
              <w:t>1 781 047</w:t>
            </w:r>
          </w:p>
        </w:tc>
        <w:tc>
          <w:tcPr>
            <w:tcW w:w="1120" w:type="dxa"/>
            <w:tcBorders>
              <w:top w:val="nil"/>
              <w:left w:val="nil"/>
              <w:bottom w:val="single" w:sz="4" w:space="0" w:color="auto"/>
              <w:right w:val="single" w:sz="12" w:space="0" w:color="auto"/>
            </w:tcBorders>
            <w:shd w:val="clear" w:color="auto" w:fill="auto"/>
            <w:vAlign w:val="center"/>
            <w:hideMark/>
          </w:tcPr>
          <w:p w:rsidR="000E4044" w:rsidRPr="000E4044" w:rsidRDefault="000E4044" w:rsidP="000E4044">
            <w:pPr>
              <w:spacing w:after="0" w:line="240" w:lineRule="auto"/>
              <w:jc w:val="right"/>
              <w:rPr>
                <w:b/>
                <w:bCs/>
                <w:color w:val="000000"/>
                <w:szCs w:val="22"/>
              </w:rPr>
            </w:pPr>
            <w:r w:rsidRPr="000E4044">
              <w:rPr>
                <w:b/>
                <w:bCs/>
                <w:color w:val="000000"/>
                <w:sz w:val="22"/>
                <w:szCs w:val="22"/>
              </w:rPr>
              <w:t>1 766 282</w:t>
            </w:r>
          </w:p>
        </w:tc>
      </w:tr>
      <w:tr w:rsidR="000E4044" w:rsidRPr="000E4044" w:rsidTr="0014387D">
        <w:trPr>
          <w:trHeight w:val="300"/>
          <w:jc w:val="center"/>
        </w:trPr>
        <w:tc>
          <w:tcPr>
            <w:tcW w:w="945" w:type="dxa"/>
            <w:tcBorders>
              <w:top w:val="nil"/>
              <w:left w:val="single" w:sz="12" w:space="0" w:color="auto"/>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left"/>
              <w:rPr>
                <w:color w:val="000000"/>
                <w:szCs w:val="22"/>
              </w:rPr>
            </w:pPr>
            <w:proofErr w:type="gramStart"/>
            <w:r w:rsidRPr="000E4044">
              <w:rPr>
                <w:color w:val="000000"/>
                <w:sz w:val="22"/>
                <w:szCs w:val="22"/>
              </w:rPr>
              <w:t>C.  I.</w:t>
            </w:r>
            <w:proofErr w:type="gramEnd"/>
          </w:p>
        </w:tc>
        <w:tc>
          <w:tcPr>
            <w:tcW w:w="346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left"/>
              <w:rPr>
                <w:color w:val="000000"/>
                <w:szCs w:val="22"/>
              </w:rPr>
            </w:pPr>
            <w:r w:rsidRPr="000E4044">
              <w:rPr>
                <w:color w:val="000000"/>
                <w:sz w:val="22"/>
                <w:szCs w:val="22"/>
              </w:rPr>
              <w:t>Zásoby</w:t>
            </w:r>
          </w:p>
        </w:tc>
        <w:tc>
          <w:tcPr>
            <w:tcW w:w="70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center"/>
              <w:rPr>
                <w:color w:val="000000"/>
                <w:szCs w:val="22"/>
              </w:rPr>
            </w:pPr>
            <w:r w:rsidRPr="000E4044">
              <w:rPr>
                <w:color w:val="000000"/>
                <w:sz w:val="22"/>
                <w:szCs w:val="22"/>
              </w:rPr>
              <w:t>32</w:t>
            </w:r>
          </w:p>
        </w:tc>
        <w:tc>
          <w:tcPr>
            <w:tcW w:w="112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center"/>
              <w:rPr>
                <w:color w:val="000000"/>
                <w:szCs w:val="22"/>
              </w:rPr>
            </w:pPr>
            <w:r w:rsidRPr="000E4044">
              <w:rPr>
                <w:color w:val="000000"/>
                <w:sz w:val="22"/>
                <w:szCs w:val="22"/>
              </w:rPr>
              <w:t>x</w:t>
            </w:r>
          </w:p>
        </w:tc>
        <w:tc>
          <w:tcPr>
            <w:tcW w:w="112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center"/>
              <w:rPr>
                <w:color w:val="000000"/>
                <w:szCs w:val="22"/>
              </w:rPr>
            </w:pPr>
            <w:r w:rsidRPr="000E4044">
              <w:rPr>
                <w:color w:val="000000"/>
                <w:sz w:val="22"/>
                <w:szCs w:val="22"/>
              </w:rPr>
              <w:t>x</w:t>
            </w:r>
          </w:p>
        </w:tc>
        <w:tc>
          <w:tcPr>
            <w:tcW w:w="1120" w:type="dxa"/>
            <w:tcBorders>
              <w:top w:val="nil"/>
              <w:left w:val="nil"/>
              <w:bottom w:val="single" w:sz="4" w:space="0" w:color="auto"/>
              <w:right w:val="single" w:sz="12" w:space="0" w:color="auto"/>
            </w:tcBorders>
            <w:shd w:val="clear" w:color="auto" w:fill="auto"/>
            <w:vAlign w:val="center"/>
            <w:hideMark/>
          </w:tcPr>
          <w:p w:rsidR="000E4044" w:rsidRPr="000E4044" w:rsidRDefault="000E4044" w:rsidP="000E4044">
            <w:pPr>
              <w:spacing w:after="0" w:line="240" w:lineRule="auto"/>
              <w:jc w:val="center"/>
              <w:rPr>
                <w:color w:val="000000"/>
                <w:szCs w:val="22"/>
              </w:rPr>
            </w:pPr>
            <w:r w:rsidRPr="000E4044">
              <w:rPr>
                <w:color w:val="000000"/>
                <w:sz w:val="22"/>
                <w:szCs w:val="22"/>
              </w:rPr>
              <w:t>x</w:t>
            </w:r>
          </w:p>
        </w:tc>
      </w:tr>
      <w:tr w:rsidR="000E4044" w:rsidRPr="000E4044" w:rsidTr="0014387D">
        <w:trPr>
          <w:trHeight w:val="300"/>
          <w:jc w:val="center"/>
        </w:trPr>
        <w:tc>
          <w:tcPr>
            <w:tcW w:w="945" w:type="dxa"/>
            <w:tcBorders>
              <w:top w:val="nil"/>
              <w:left w:val="single" w:sz="12" w:space="0" w:color="auto"/>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left"/>
              <w:rPr>
                <w:color w:val="000000"/>
                <w:szCs w:val="22"/>
              </w:rPr>
            </w:pPr>
            <w:r w:rsidRPr="000E4044">
              <w:rPr>
                <w:color w:val="000000"/>
                <w:sz w:val="22"/>
                <w:szCs w:val="22"/>
              </w:rPr>
              <w:t>C. II.</w:t>
            </w:r>
          </w:p>
        </w:tc>
        <w:tc>
          <w:tcPr>
            <w:tcW w:w="346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left"/>
              <w:rPr>
                <w:color w:val="000000"/>
                <w:szCs w:val="22"/>
              </w:rPr>
            </w:pPr>
            <w:r w:rsidRPr="000E4044">
              <w:rPr>
                <w:color w:val="000000"/>
                <w:sz w:val="22"/>
                <w:szCs w:val="22"/>
              </w:rPr>
              <w:t>Dlouhodobé pohledávky</w:t>
            </w:r>
          </w:p>
        </w:tc>
        <w:tc>
          <w:tcPr>
            <w:tcW w:w="70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center"/>
              <w:rPr>
                <w:color w:val="000000"/>
                <w:szCs w:val="22"/>
              </w:rPr>
            </w:pPr>
            <w:r w:rsidRPr="000E4044">
              <w:rPr>
                <w:color w:val="000000"/>
                <w:sz w:val="22"/>
                <w:szCs w:val="22"/>
              </w:rPr>
              <w:t>39</w:t>
            </w:r>
          </w:p>
        </w:tc>
        <w:tc>
          <w:tcPr>
            <w:tcW w:w="112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center"/>
              <w:rPr>
                <w:color w:val="000000"/>
                <w:szCs w:val="22"/>
              </w:rPr>
            </w:pPr>
            <w:r w:rsidRPr="000E4044">
              <w:rPr>
                <w:color w:val="000000"/>
                <w:sz w:val="22"/>
                <w:szCs w:val="22"/>
              </w:rPr>
              <w:t>x</w:t>
            </w:r>
          </w:p>
        </w:tc>
        <w:tc>
          <w:tcPr>
            <w:tcW w:w="112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center"/>
              <w:rPr>
                <w:color w:val="000000"/>
                <w:szCs w:val="22"/>
              </w:rPr>
            </w:pPr>
            <w:r w:rsidRPr="000E4044">
              <w:rPr>
                <w:color w:val="000000"/>
                <w:sz w:val="22"/>
                <w:szCs w:val="22"/>
              </w:rPr>
              <w:t>x</w:t>
            </w:r>
          </w:p>
        </w:tc>
        <w:tc>
          <w:tcPr>
            <w:tcW w:w="1120" w:type="dxa"/>
            <w:tcBorders>
              <w:top w:val="nil"/>
              <w:left w:val="nil"/>
              <w:bottom w:val="single" w:sz="4" w:space="0" w:color="auto"/>
              <w:right w:val="single" w:sz="12" w:space="0" w:color="auto"/>
            </w:tcBorders>
            <w:shd w:val="clear" w:color="auto" w:fill="auto"/>
            <w:vAlign w:val="center"/>
            <w:hideMark/>
          </w:tcPr>
          <w:p w:rsidR="000E4044" w:rsidRPr="000E4044" w:rsidRDefault="000E4044" w:rsidP="000E4044">
            <w:pPr>
              <w:spacing w:after="0" w:line="240" w:lineRule="auto"/>
              <w:jc w:val="center"/>
              <w:rPr>
                <w:color w:val="000000"/>
                <w:szCs w:val="22"/>
              </w:rPr>
            </w:pPr>
            <w:r w:rsidRPr="000E4044">
              <w:rPr>
                <w:color w:val="000000"/>
                <w:sz w:val="22"/>
                <w:szCs w:val="22"/>
              </w:rPr>
              <w:t>x</w:t>
            </w:r>
          </w:p>
        </w:tc>
      </w:tr>
      <w:tr w:rsidR="000E4044" w:rsidRPr="000E4044" w:rsidTr="0014387D">
        <w:trPr>
          <w:trHeight w:val="600"/>
          <w:jc w:val="center"/>
        </w:trPr>
        <w:tc>
          <w:tcPr>
            <w:tcW w:w="945" w:type="dxa"/>
            <w:tcBorders>
              <w:top w:val="nil"/>
              <w:left w:val="single" w:sz="12" w:space="0" w:color="auto"/>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left"/>
              <w:rPr>
                <w:color w:val="000000"/>
                <w:szCs w:val="22"/>
              </w:rPr>
            </w:pPr>
            <w:proofErr w:type="gramStart"/>
            <w:r w:rsidRPr="000E4044">
              <w:rPr>
                <w:color w:val="000000"/>
                <w:sz w:val="22"/>
                <w:szCs w:val="22"/>
              </w:rPr>
              <w:t>C.III</w:t>
            </w:r>
            <w:proofErr w:type="gramEnd"/>
            <w:r w:rsidRPr="000E4044">
              <w:rPr>
                <w:color w:val="000000"/>
                <w:sz w:val="22"/>
                <w:szCs w:val="22"/>
              </w:rPr>
              <w:t>.</w:t>
            </w:r>
          </w:p>
        </w:tc>
        <w:tc>
          <w:tcPr>
            <w:tcW w:w="346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left"/>
              <w:rPr>
                <w:color w:val="000000"/>
                <w:szCs w:val="22"/>
              </w:rPr>
            </w:pPr>
            <w:r w:rsidRPr="000E4044">
              <w:rPr>
                <w:color w:val="000000"/>
                <w:sz w:val="22"/>
                <w:szCs w:val="22"/>
              </w:rPr>
              <w:t xml:space="preserve">Krátkodobé </w:t>
            </w:r>
            <w:proofErr w:type="gramStart"/>
            <w:r w:rsidRPr="000E4044">
              <w:rPr>
                <w:color w:val="000000"/>
                <w:sz w:val="22"/>
                <w:szCs w:val="22"/>
              </w:rPr>
              <w:t>pohledávky                      (ř.</w:t>
            </w:r>
            <w:proofErr w:type="gramEnd"/>
            <w:r w:rsidRPr="000E4044">
              <w:rPr>
                <w:color w:val="000000"/>
                <w:sz w:val="22"/>
                <w:szCs w:val="22"/>
              </w:rPr>
              <w:t xml:space="preserve"> 49 + ř. 54 + ř. 57)</w:t>
            </w:r>
          </w:p>
        </w:tc>
        <w:tc>
          <w:tcPr>
            <w:tcW w:w="70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center"/>
              <w:rPr>
                <w:color w:val="000000"/>
                <w:szCs w:val="22"/>
              </w:rPr>
            </w:pPr>
            <w:r w:rsidRPr="000E4044">
              <w:rPr>
                <w:color w:val="000000"/>
                <w:sz w:val="22"/>
                <w:szCs w:val="22"/>
              </w:rPr>
              <w:t>48</w:t>
            </w:r>
          </w:p>
        </w:tc>
        <w:tc>
          <w:tcPr>
            <w:tcW w:w="112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right"/>
              <w:rPr>
                <w:color w:val="000000"/>
                <w:szCs w:val="22"/>
              </w:rPr>
            </w:pPr>
            <w:r w:rsidRPr="000E4044">
              <w:rPr>
                <w:color w:val="000000"/>
                <w:sz w:val="22"/>
                <w:szCs w:val="22"/>
              </w:rPr>
              <w:t>1 415 270</w:t>
            </w:r>
          </w:p>
        </w:tc>
        <w:tc>
          <w:tcPr>
            <w:tcW w:w="112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right"/>
              <w:rPr>
                <w:color w:val="000000"/>
                <w:szCs w:val="22"/>
              </w:rPr>
            </w:pPr>
            <w:r w:rsidRPr="000E4044">
              <w:rPr>
                <w:color w:val="000000"/>
                <w:sz w:val="22"/>
                <w:szCs w:val="22"/>
              </w:rPr>
              <w:t>1 397 906</w:t>
            </w:r>
          </w:p>
        </w:tc>
        <w:tc>
          <w:tcPr>
            <w:tcW w:w="1120" w:type="dxa"/>
            <w:tcBorders>
              <w:top w:val="nil"/>
              <w:left w:val="nil"/>
              <w:bottom w:val="single" w:sz="4" w:space="0" w:color="auto"/>
              <w:right w:val="single" w:sz="12" w:space="0" w:color="auto"/>
            </w:tcBorders>
            <w:shd w:val="clear" w:color="auto" w:fill="auto"/>
            <w:vAlign w:val="center"/>
            <w:hideMark/>
          </w:tcPr>
          <w:p w:rsidR="000E4044" w:rsidRPr="000E4044" w:rsidRDefault="000E4044" w:rsidP="000E4044">
            <w:pPr>
              <w:spacing w:after="0" w:line="240" w:lineRule="auto"/>
              <w:jc w:val="right"/>
              <w:rPr>
                <w:color w:val="000000"/>
                <w:szCs w:val="22"/>
              </w:rPr>
            </w:pPr>
            <w:r w:rsidRPr="000E4044">
              <w:rPr>
                <w:color w:val="000000"/>
                <w:sz w:val="22"/>
                <w:szCs w:val="22"/>
              </w:rPr>
              <w:t>1 474 234</w:t>
            </w:r>
          </w:p>
        </w:tc>
      </w:tr>
      <w:tr w:rsidR="000E4044" w:rsidRPr="000E4044" w:rsidTr="0014387D">
        <w:trPr>
          <w:trHeight w:val="300"/>
          <w:jc w:val="center"/>
        </w:trPr>
        <w:tc>
          <w:tcPr>
            <w:tcW w:w="945" w:type="dxa"/>
            <w:tcBorders>
              <w:top w:val="nil"/>
              <w:left w:val="single" w:sz="12" w:space="0" w:color="auto"/>
              <w:bottom w:val="single" w:sz="4" w:space="0" w:color="auto"/>
              <w:right w:val="single" w:sz="4" w:space="0" w:color="auto"/>
            </w:tcBorders>
            <w:shd w:val="clear" w:color="auto" w:fill="auto"/>
            <w:vAlign w:val="center"/>
            <w:hideMark/>
          </w:tcPr>
          <w:p w:rsidR="000E4044" w:rsidRPr="000E4044" w:rsidRDefault="000E4044" w:rsidP="0014387D">
            <w:pPr>
              <w:spacing w:after="0" w:line="240" w:lineRule="auto"/>
              <w:jc w:val="left"/>
              <w:rPr>
                <w:color w:val="000000"/>
                <w:szCs w:val="22"/>
              </w:rPr>
            </w:pPr>
            <w:proofErr w:type="gramStart"/>
            <w:r w:rsidRPr="000E4044">
              <w:rPr>
                <w:color w:val="000000"/>
                <w:sz w:val="22"/>
                <w:szCs w:val="22"/>
              </w:rPr>
              <w:t>C.III</w:t>
            </w:r>
            <w:proofErr w:type="gramEnd"/>
            <w:r w:rsidRPr="000E4044">
              <w:rPr>
                <w:color w:val="000000"/>
                <w:sz w:val="22"/>
                <w:szCs w:val="22"/>
              </w:rPr>
              <w:t>. 1.</w:t>
            </w:r>
          </w:p>
        </w:tc>
        <w:tc>
          <w:tcPr>
            <w:tcW w:w="346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left"/>
              <w:rPr>
                <w:color w:val="000000"/>
                <w:szCs w:val="22"/>
              </w:rPr>
            </w:pPr>
            <w:r w:rsidRPr="000E4044">
              <w:rPr>
                <w:color w:val="000000"/>
                <w:sz w:val="22"/>
                <w:szCs w:val="22"/>
              </w:rPr>
              <w:t xml:space="preserve">Pohledávky z obchodních vztahů </w:t>
            </w:r>
          </w:p>
        </w:tc>
        <w:tc>
          <w:tcPr>
            <w:tcW w:w="70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center"/>
              <w:rPr>
                <w:color w:val="000000"/>
                <w:szCs w:val="22"/>
              </w:rPr>
            </w:pPr>
            <w:r w:rsidRPr="000E4044">
              <w:rPr>
                <w:color w:val="000000"/>
                <w:sz w:val="22"/>
                <w:szCs w:val="22"/>
              </w:rPr>
              <w:t>49</w:t>
            </w:r>
          </w:p>
        </w:tc>
        <w:tc>
          <w:tcPr>
            <w:tcW w:w="112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right"/>
              <w:rPr>
                <w:color w:val="000000"/>
                <w:szCs w:val="22"/>
              </w:rPr>
            </w:pPr>
            <w:r w:rsidRPr="000E4044">
              <w:rPr>
                <w:color w:val="000000"/>
                <w:sz w:val="22"/>
                <w:szCs w:val="22"/>
              </w:rPr>
              <w:t>1 377 570</w:t>
            </w:r>
          </w:p>
        </w:tc>
        <w:tc>
          <w:tcPr>
            <w:tcW w:w="112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right"/>
              <w:rPr>
                <w:color w:val="000000"/>
                <w:szCs w:val="22"/>
              </w:rPr>
            </w:pPr>
            <w:r w:rsidRPr="000E4044">
              <w:rPr>
                <w:color w:val="000000"/>
                <w:sz w:val="22"/>
                <w:szCs w:val="22"/>
              </w:rPr>
              <w:t>845 441</w:t>
            </w:r>
          </w:p>
        </w:tc>
        <w:tc>
          <w:tcPr>
            <w:tcW w:w="1120" w:type="dxa"/>
            <w:tcBorders>
              <w:top w:val="nil"/>
              <w:left w:val="nil"/>
              <w:bottom w:val="single" w:sz="4" w:space="0" w:color="auto"/>
              <w:right w:val="single" w:sz="12" w:space="0" w:color="auto"/>
            </w:tcBorders>
            <w:shd w:val="clear" w:color="auto" w:fill="auto"/>
            <w:vAlign w:val="center"/>
            <w:hideMark/>
          </w:tcPr>
          <w:p w:rsidR="000E4044" w:rsidRPr="000E4044" w:rsidRDefault="000E4044" w:rsidP="000E4044">
            <w:pPr>
              <w:spacing w:after="0" w:line="240" w:lineRule="auto"/>
              <w:jc w:val="right"/>
              <w:rPr>
                <w:color w:val="000000"/>
                <w:szCs w:val="22"/>
              </w:rPr>
            </w:pPr>
            <w:r w:rsidRPr="000E4044">
              <w:rPr>
                <w:color w:val="000000"/>
                <w:sz w:val="22"/>
                <w:szCs w:val="22"/>
              </w:rPr>
              <w:t>1 070 004</w:t>
            </w:r>
          </w:p>
        </w:tc>
      </w:tr>
      <w:tr w:rsidR="000E4044" w:rsidRPr="000E4044" w:rsidTr="0014387D">
        <w:trPr>
          <w:trHeight w:val="300"/>
          <w:jc w:val="center"/>
        </w:trPr>
        <w:tc>
          <w:tcPr>
            <w:tcW w:w="945" w:type="dxa"/>
            <w:tcBorders>
              <w:top w:val="nil"/>
              <w:left w:val="single" w:sz="12" w:space="0" w:color="auto"/>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left"/>
              <w:rPr>
                <w:color w:val="000000"/>
                <w:szCs w:val="22"/>
              </w:rPr>
            </w:pPr>
            <w:r w:rsidRPr="000E4044">
              <w:rPr>
                <w:color w:val="000000"/>
                <w:sz w:val="22"/>
                <w:szCs w:val="22"/>
              </w:rPr>
              <w:t xml:space="preserve">          6.</w:t>
            </w:r>
          </w:p>
        </w:tc>
        <w:tc>
          <w:tcPr>
            <w:tcW w:w="346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left"/>
              <w:rPr>
                <w:color w:val="000000"/>
                <w:szCs w:val="22"/>
              </w:rPr>
            </w:pPr>
            <w:r w:rsidRPr="000E4044">
              <w:rPr>
                <w:color w:val="000000"/>
                <w:sz w:val="22"/>
                <w:szCs w:val="22"/>
              </w:rPr>
              <w:t>Stát - daňové pohledávky</w:t>
            </w:r>
          </w:p>
        </w:tc>
        <w:tc>
          <w:tcPr>
            <w:tcW w:w="70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center"/>
              <w:rPr>
                <w:color w:val="000000"/>
                <w:szCs w:val="22"/>
              </w:rPr>
            </w:pPr>
            <w:r w:rsidRPr="000E4044">
              <w:rPr>
                <w:color w:val="000000"/>
                <w:sz w:val="22"/>
                <w:szCs w:val="22"/>
              </w:rPr>
              <w:t>54</w:t>
            </w:r>
          </w:p>
        </w:tc>
        <w:tc>
          <w:tcPr>
            <w:tcW w:w="112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right"/>
              <w:rPr>
                <w:color w:val="000000"/>
                <w:szCs w:val="22"/>
              </w:rPr>
            </w:pPr>
            <w:r w:rsidRPr="000E4044">
              <w:rPr>
                <w:color w:val="000000"/>
                <w:sz w:val="22"/>
                <w:szCs w:val="22"/>
              </w:rPr>
              <w:t>37 700</w:t>
            </w:r>
          </w:p>
        </w:tc>
        <w:tc>
          <w:tcPr>
            <w:tcW w:w="112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right"/>
              <w:rPr>
                <w:color w:val="000000"/>
                <w:szCs w:val="22"/>
              </w:rPr>
            </w:pPr>
            <w:r w:rsidRPr="000E4044">
              <w:rPr>
                <w:color w:val="000000"/>
                <w:sz w:val="22"/>
                <w:szCs w:val="22"/>
              </w:rPr>
              <w:t>52 465</w:t>
            </w:r>
          </w:p>
        </w:tc>
        <w:tc>
          <w:tcPr>
            <w:tcW w:w="1120" w:type="dxa"/>
            <w:tcBorders>
              <w:top w:val="nil"/>
              <w:left w:val="nil"/>
              <w:bottom w:val="single" w:sz="4" w:space="0" w:color="auto"/>
              <w:right w:val="single" w:sz="12" w:space="0" w:color="auto"/>
            </w:tcBorders>
            <w:shd w:val="clear" w:color="auto" w:fill="auto"/>
            <w:vAlign w:val="center"/>
            <w:hideMark/>
          </w:tcPr>
          <w:p w:rsidR="000E4044" w:rsidRPr="000E4044" w:rsidRDefault="000E4044" w:rsidP="000E4044">
            <w:pPr>
              <w:spacing w:after="0" w:line="240" w:lineRule="auto"/>
              <w:jc w:val="right"/>
              <w:rPr>
                <w:color w:val="000000"/>
                <w:szCs w:val="22"/>
              </w:rPr>
            </w:pPr>
            <w:r w:rsidRPr="000E4044">
              <w:rPr>
                <w:color w:val="000000"/>
                <w:sz w:val="22"/>
                <w:szCs w:val="22"/>
              </w:rPr>
              <w:t>4 230</w:t>
            </w:r>
          </w:p>
        </w:tc>
      </w:tr>
      <w:tr w:rsidR="000E4044" w:rsidRPr="000E4044" w:rsidTr="0014387D">
        <w:trPr>
          <w:trHeight w:val="300"/>
          <w:jc w:val="center"/>
        </w:trPr>
        <w:tc>
          <w:tcPr>
            <w:tcW w:w="945" w:type="dxa"/>
            <w:tcBorders>
              <w:top w:val="nil"/>
              <w:left w:val="single" w:sz="12" w:space="0" w:color="auto"/>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left"/>
              <w:rPr>
                <w:color w:val="000000"/>
                <w:szCs w:val="22"/>
              </w:rPr>
            </w:pPr>
            <w:r w:rsidRPr="000E4044">
              <w:rPr>
                <w:color w:val="000000"/>
                <w:sz w:val="22"/>
                <w:szCs w:val="22"/>
              </w:rPr>
              <w:t xml:space="preserve">          9.</w:t>
            </w:r>
          </w:p>
        </w:tc>
        <w:tc>
          <w:tcPr>
            <w:tcW w:w="346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left"/>
              <w:rPr>
                <w:color w:val="000000"/>
                <w:szCs w:val="22"/>
              </w:rPr>
            </w:pPr>
            <w:r w:rsidRPr="000E4044">
              <w:rPr>
                <w:color w:val="000000"/>
                <w:sz w:val="22"/>
                <w:szCs w:val="22"/>
              </w:rPr>
              <w:t>Jiné pohledávky</w:t>
            </w:r>
          </w:p>
        </w:tc>
        <w:tc>
          <w:tcPr>
            <w:tcW w:w="70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center"/>
              <w:rPr>
                <w:color w:val="000000"/>
                <w:szCs w:val="22"/>
              </w:rPr>
            </w:pPr>
            <w:r w:rsidRPr="000E4044">
              <w:rPr>
                <w:color w:val="000000"/>
                <w:sz w:val="22"/>
                <w:szCs w:val="22"/>
              </w:rPr>
              <w:t>57</w:t>
            </w:r>
          </w:p>
        </w:tc>
        <w:tc>
          <w:tcPr>
            <w:tcW w:w="112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right"/>
              <w:rPr>
                <w:color w:val="000000"/>
                <w:szCs w:val="22"/>
              </w:rPr>
            </w:pPr>
            <w:r w:rsidRPr="000E4044">
              <w:rPr>
                <w:color w:val="000000"/>
                <w:sz w:val="22"/>
                <w:szCs w:val="22"/>
              </w:rPr>
              <w:t>0</w:t>
            </w:r>
          </w:p>
        </w:tc>
        <w:tc>
          <w:tcPr>
            <w:tcW w:w="112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right"/>
              <w:rPr>
                <w:color w:val="000000"/>
                <w:szCs w:val="22"/>
              </w:rPr>
            </w:pPr>
            <w:r w:rsidRPr="000E4044">
              <w:rPr>
                <w:color w:val="000000"/>
                <w:sz w:val="22"/>
                <w:szCs w:val="22"/>
              </w:rPr>
              <w:t>500 000</w:t>
            </w:r>
          </w:p>
        </w:tc>
        <w:tc>
          <w:tcPr>
            <w:tcW w:w="1120" w:type="dxa"/>
            <w:tcBorders>
              <w:top w:val="nil"/>
              <w:left w:val="nil"/>
              <w:bottom w:val="single" w:sz="4" w:space="0" w:color="auto"/>
              <w:right w:val="single" w:sz="12" w:space="0" w:color="auto"/>
            </w:tcBorders>
            <w:shd w:val="clear" w:color="auto" w:fill="auto"/>
            <w:vAlign w:val="center"/>
            <w:hideMark/>
          </w:tcPr>
          <w:p w:rsidR="000E4044" w:rsidRPr="000E4044" w:rsidRDefault="000E4044" w:rsidP="000E4044">
            <w:pPr>
              <w:spacing w:after="0" w:line="240" w:lineRule="auto"/>
              <w:jc w:val="right"/>
              <w:rPr>
                <w:color w:val="000000"/>
                <w:szCs w:val="22"/>
              </w:rPr>
            </w:pPr>
            <w:r w:rsidRPr="000E4044">
              <w:rPr>
                <w:color w:val="000000"/>
                <w:sz w:val="22"/>
                <w:szCs w:val="22"/>
              </w:rPr>
              <w:t>400 000</w:t>
            </w:r>
          </w:p>
        </w:tc>
      </w:tr>
      <w:tr w:rsidR="000E4044" w:rsidRPr="000E4044" w:rsidTr="0014387D">
        <w:trPr>
          <w:trHeight w:val="600"/>
          <w:jc w:val="center"/>
        </w:trPr>
        <w:tc>
          <w:tcPr>
            <w:tcW w:w="945" w:type="dxa"/>
            <w:tcBorders>
              <w:top w:val="nil"/>
              <w:left w:val="single" w:sz="12" w:space="0" w:color="auto"/>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left"/>
              <w:rPr>
                <w:color w:val="000000"/>
                <w:szCs w:val="22"/>
              </w:rPr>
            </w:pPr>
            <w:r w:rsidRPr="000E4044">
              <w:rPr>
                <w:color w:val="000000"/>
                <w:sz w:val="22"/>
                <w:szCs w:val="22"/>
              </w:rPr>
              <w:t>C. IV.</w:t>
            </w:r>
          </w:p>
        </w:tc>
        <w:tc>
          <w:tcPr>
            <w:tcW w:w="346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left"/>
              <w:rPr>
                <w:color w:val="000000"/>
                <w:szCs w:val="22"/>
              </w:rPr>
            </w:pPr>
            <w:r w:rsidRPr="000E4044">
              <w:rPr>
                <w:color w:val="000000"/>
                <w:sz w:val="22"/>
                <w:szCs w:val="22"/>
              </w:rPr>
              <w:t xml:space="preserve">Krátkodobý finanční </w:t>
            </w:r>
            <w:proofErr w:type="gramStart"/>
            <w:r w:rsidRPr="000E4044">
              <w:rPr>
                <w:color w:val="000000"/>
                <w:sz w:val="22"/>
                <w:szCs w:val="22"/>
              </w:rPr>
              <w:t>majetek                (ř.</w:t>
            </w:r>
            <w:proofErr w:type="gramEnd"/>
            <w:r w:rsidRPr="000E4044">
              <w:rPr>
                <w:color w:val="000000"/>
                <w:sz w:val="22"/>
                <w:szCs w:val="22"/>
              </w:rPr>
              <w:t xml:space="preserve"> 59 + ř. 60)</w:t>
            </w:r>
          </w:p>
        </w:tc>
        <w:tc>
          <w:tcPr>
            <w:tcW w:w="70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center"/>
              <w:rPr>
                <w:color w:val="000000"/>
                <w:szCs w:val="22"/>
              </w:rPr>
            </w:pPr>
            <w:r w:rsidRPr="000E4044">
              <w:rPr>
                <w:color w:val="000000"/>
                <w:sz w:val="22"/>
                <w:szCs w:val="22"/>
              </w:rPr>
              <w:t>58</w:t>
            </w:r>
          </w:p>
        </w:tc>
        <w:tc>
          <w:tcPr>
            <w:tcW w:w="112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right"/>
              <w:rPr>
                <w:color w:val="000000"/>
                <w:szCs w:val="22"/>
              </w:rPr>
            </w:pPr>
            <w:r w:rsidRPr="000E4044">
              <w:rPr>
                <w:color w:val="000000"/>
                <w:sz w:val="22"/>
                <w:szCs w:val="22"/>
              </w:rPr>
              <w:t>768 531</w:t>
            </w:r>
          </w:p>
        </w:tc>
        <w:tc>
          <w:tcPr>
            <w:tcW w:w="112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right"/>
              <w:rPr>
                <w:color w:val="000000"/>
                <w:szCs w:val="22"/>
              </w:rPr>
            </w:pPr>
            <w:r w:rsidRPr="000E4044">
              <w:rPr>
                <w:color w:val="000000"/>
                <w:sz w:val="22"/>
                <w:szCs w:val="22"/>
              </w:rPr>
              <w:t>383 141</w:t>
            </w:r>
          </w:p>
        </w:tc>
        <w:tc>
          <w:tcPr>
            <w:tcW w:w="1120" w:type="dxa"/>
            <w:tcBorders>
              <w:top w:val="nil"/>
              <w:left w:val="nil"/>
              <w:bottom w:val="single" w:sz="4" w:space="0" w:color="auto"/>
              <w:right w:val="single" w:sz="12" w:space="0" w:color="auto"/>
            </w:tcBorders>
            <w:shd w:val="clear" w:color="auto" w:fill="auto"/>
            <w:vAlign w:val="center"/>
            <w:hideMark/>
          </w:tcPr>
          <w:p w:rsidR="000E4044" w:rsidRPr="000E4044" w:rsidRDefault="000E4044" w:rsidP="000E4044">
            <w:pPr>
              <w:spacing w:after="0" w:line="240" w:lineRule="auto"/>
              <w:jc w:val="right"/>
              <w:rPr>
                <w:color w:val="000000"/>
                <w:szCs w:val="22"/>
              </w:rPr>
            </w:pPr>
            <w:r w:rsidRPr="000E4044">
              <w:rPr>
                <w:color w:val="000000"/>
                <w:sz w:val="22"/>
                <w:szCs w:val="22"/>
              </w:rPr>
              <w:t>292 048</w:t>
            </w:r>
          </w:p>
        </w:tc>
      </w:tr>
      <w:tr w:rsidR="000E4044" w:rsidRPr="000E4044" w:rsidTr="0014387D">
        <w:trPr>
          <w:trHeight w:val="300"/>
          <w:jc w:val="center"/>
        </w:trPr>
        <w:tc>
          <w:tcPr>
            <w:tcW w:w="945" w:type="dxa"/>
            <w:tcBorders>
              <w:top w:val="nil"/>
              <w:left w:val="single" w:sz="12" w:space="0" w:color="auto"/>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left"/>
              <w:rPr>
                <w:color w:val="000000"/>
                <w:szCs w:val="22"/>
              </w:rPr>
            </w:pPr>
            <w:r w:rsidRPr="000E4044">
              <w:rPr>
                <w:color w:val="000000"/>
                <w:sz w:val="22"/>
                <w:szCs w:val="22"/>
              </w:rPr>
              <w:t>C. IV. 1.</w:t>
            </w:r>
          </w:p>
        </w:tc>
        <w:tc>
          <w:tcPr>
            <w:tcW w:w="346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left"/>
              <w:rPr>
                <w:color w:val="000000"/>
                <w:szCs w:val="22"/>
              </w:rPr>
            </w:pPr>
            <w:r w:rsidRPr="000E4044">
              <w:rPr>
                <w:color w:val="000000"/>
                <w:sz w:val="22"/>
                <w:szCs w:val="22"/>
              </w:rPr>
              <w:t>Peníze</w:t>
            </w:r>
          </w:p>
        </w:tc>
        <w:tc>
          <w:tcPr>
            <w:tcW w:w="70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center"/>
              <w:rPr>
                <w:color w:val="000000"/>
                <w:szCs w:val="22"/>
              </w:rPr>
            </w:pPr>
            <w:r w:rsidRPr="000E4044">
              <w:rPr>
                <w:color w:val="000000"/>
                <w:sz w:val="22"/>
                <w:szCs w:val="22"/>
              </w:rPr>
              <w:t>59</w:t>
            </w:r>
          </w:p>
        </w:tc>
        <w:tc>
          <w:tcPr>
            <w:tcW w:w="112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right"/>
              <w:rPr>
                <w:color w:val="000000"/>
                <w:szCs w:val="22"/>
              </w:rPr>
            </w:pPr>
            <w:r w:rsidRPr="000E4044">
              <w:rPr>
                <w:color w:val="000000"/>
                <w:sz w:val="22"/>
                <w:szCs w:val="22"/>
              </w:rPr>
              <w:t>364 050</w:t>
            </w:r>
          </w:p>
        </w:tc>
        <w:tc>
          <w:tcPr>
            <w:tcW w:w="1120" w:type="dxa"/>
            <w:tcBorders>
              <w:top w:val="nil"/>
              <w:left w:val="nil"/>
              <w:bottom w:val="single" w:sz="4" w:space="0" w:color="auto"/>
              <w:right w:val="single" w:sz="4" w:space="0" w:color="auto"/>
            </w:tcBorders>
            <w:shd w:val="clear" w:color="auto" w:fill="auto"/>
            <w:vAlign w:val="center"/>
            <w:hideMark/>
          </w:tcPr>
          <w:p w:rsidR="000E4044" w:rsidRPr="000E4044" w:rsidRDefault="000E4044" w:rsidP="000E4044">
            <w:pPr>
              <w:spacing w:after="0" w:line="240" w:lineRule="auto"/>
              <w:jc w:val="right"/>
              <w:rPr>
                <w:color w:val="000000"/>
                <w:szCs w:val="22"/>
              </w:rPr>
            </w:pPr>
            <w:r w:rsidRPr="000E4044">
              <w:rPr>
                <w:color w:val="000000"/>
                <w:sz w:val="22"/>
                <w:szCs w:val="22"/>
              </w:rPr>
              <w:t>186 677</w:t>
            </w:r>
          </w:p>
        </w:tc>
        <w:tc>
          <w:tcPr>
            <w:tcW w:w="1120" w:type="dxa"/>
            <w:tcBorders>
              <w:top w:val="nil"/>
              <w:left w:val="nil"/>
              <w:bottom w:val="single" w:sz="4" w:space="0" w:color="auto"/>
              <w:right w:val="single" w:sz="12" w:space="0" w:color="auto"/>
            </w:tcBorders>
            <w:shd w:val="clear" w:color="auto" w:fill="auto"/>
            <w:vAlign w:val="center"/>
            <w:hideMark/>
          </w:tcPr>
          <w:p w:rsidR="000E4044" w:rsidRPr="000E4044" w:rsidRDefault="000E4044" w:rsidP="000E4044">
            <w:pPr>
              <w:spacing w:after="0" w:line="240" w:lineRule="auto"/>
              <w:jc w:val="right"/>
              <w:rPr>
                <w:color w:val="000000"/>
                <w:szCs w:val="22"/>
              </w:rPr>
            </w:pPr>
            <w:r w:rsidRPr="000E4044">
              <w:rPr>
                <w:color w:val="000000"/>
                <w:sz w:val="22"/>
                <w:szCs w:val="22"/>
              </w:rPr>
              <w:t>169 413</w:t>
            </w:r>
          </w:p>
        </w:tc>
      </w:tr>
      <w:tr w:rsidR="000E4044" w:rsidRPr="000E4044" w:rsidTr="0014387D">
        <w:trPr>
          <w:trHeight w:val="315"/>
          <w:jc w:val="center"/>
        </w:trPr>
        <w:tc>
          <w:tcPr>
            <w:tcW w:w="945" w:type="dxa"/>
            <w:tcBorders>
              <w:top w:val="nil"/>
              <w:left w:val="single" w:sz="12" w:space="0" w:color="auto"/>
              <w:bottom w:val="single" w:sz="12" w:space="0" w:color="auto"/>
              <w:right w:val="single" w:sz="4" w:space="0" w:color="auto"/>
            </w:tcBorders>
            <w:shd w:val="clear" w:color="auto" w:fill="auto"/>
            <w:vAlign w:val="center"/>
            <w:hideMark/>
          </w:tcPr>
          <w:p w:rsidR="000E4044" w:rsidRPr="000E4044" w:rsidRDefault="000E4044" w:rsidP="000E4044">
            <w:pPr>
              <w:spacing w:after="0" w:line="240" w:lineRule="auto"/>
              <w:jc w:val="left"/>
              <w:rPr>
                <w:color w:val="000000"/>
                <w:szCs w:val="22"/>
              </w:rPr>
            </w:pPr>
            <w:r w:rsidRPr="000E4044">
              <w:rPr>
                <w:color w:val="000000"/>
                <w:sz w:val="22"/>
                <w:szCs w:val="22"/>
              </w:rPr>
              <w:t xml:space="preserve">       </w:t>
            </w:r>
            <w:r w:rsidR="0014387D">
              <w:rPr>
                <w:color w:val="000000"/>
                <w:sz w:val="22"/>
                <w:szCs w:val="22"/>
              </w:rPr>
              <w:t xml:space="preserve"> </w:t>
            </w:r>
            <w:r w:rsidRPr="000E4044">
              <w:rPr>
                <w:color w:val="000000"/>
                <w:sz w:val="22"/>
                <w:szCs w:val="22"/>
              </w:rPr>
              <w:t xml:space="preserve">   2.</w:t>
            </w:r>
          </w:p>
        </w:tc>
        <w:tc>
          <w:tcPr>
            <w:tcW w:w="3460" w:type="dxa"/>
            <w:tcBorders>
              <w:top w:val="nil"/>
              <w:left w:val="nil"/>
              <w:bottom w:val="single" w:sz="12" w:space="0" w:color="auto"/>
              <w:right w:val="single" w:sz="4" w:space="0" w:color="auto"/>
            </w:tcBorders>
            <w:shd w:val="clear" w:color="auto" w:fill="auto"/>
            <w:vAlign w:val="center"/>
            <w:hideMark/>
          </w:tcPr>
          <w:p w:rsidR="000E4044" w:rsidRPr="000E4044" w:rsidRDefault="000E4044" w:rsidP="000E4044">
            <w:pPr>
              <w:spacing w:after="0" w:line="240" w:lineRule="auto"/>
              <w:jc w:val="left"/>
              <w:rPr>
                <w:color w:val="000000"/>
                <w:szCs w:val="22"/>
              </w:rPr>
            </w:pPr>
            <w:r w:rsidRPr="000E4044">
              <w:rPr>
                <w:color w:val="000000"/>
                <w:sz w:val="22"/>
                <w:szCs w:val="22"/>
              </w:rPr>
              <w:t>Účty v bankách</w:t>
            </w:r>
          </w:p>
        </w:tc>
        <w:tc>
          <w:tcPr>
            <w:tcW w:w="700" w:type="dxa"/>
            <w:tcBorders>
              <w:top w:val="nil"/>
              <w:left w:val="nil"/>
              <w:bottom w:val="single" w:sz="12" w:space="0" w:color="auto"/>
              <w:right w:val="single" w:sz="4" w:space="0" w:color="auto"/>
            </w:tcBorders>
            <w:shd w:val="clear" w:color="auto" w:fill="auto"/>
            <w:vAlign w:val="center"/>
            <w:hideMark/>
          </w:tcPr>
          <w:p w:rsidR="000E4044" w:rsidRPr="000E4044" w:rsidRDefault="000E4044" w:rsidP="000E4044">
            <w:pPr>
              <w:spacing w:after="0" w:line="240" w:lineRule="auto"/>
              <w:jc w:val="center"/>
              <w:rPr>
                <w:color w:val="000000"/>
                <w:szCs w:val="22"/>
              </w:rPr>
            </w:pPr>
            <w:r w:rsidRPr="000E4044">
              <w:rPr>
                <w:color w:val="000000"/>
                <w:sz w:val="22"/>
                <w:szCs w:val="22"/>
              </w:rPr>
              <w:t>60</w:t>
            </w:r>
          </w:p>
        </w:tc>
        <w:tc>
          <w:tcPr>
            <w:tcW w:w="1120" w:type="dxa"/>
            <w:tcBorders>
              <w:top w:val="nil"/>
              <w:left w:val="nil"/>
              <w:bottom w:val="single" w:sz="12" w:space="0" w:color="auto"/>
              <w:right w:val="single" w:sz="4" w:space="0" w:color="auto"/>
            </w:tcBorders>
            <w:shd w:val="clear" w:color="auto" w:fill="auto"/>
            <w:vAlign w:val="center"/>
            <w:hideMark/>
          </w:tcPr>
          <w:p w:rsidR="000E4044" w:rsidRPr="000E4044" w:rsidRDefault="000E4044" w:rsidP="000E4044">
            <w:pPr>
              <w:spacing w:after="0" w:line="240" w:lineRule="auto"/>
              <w:jc w:val="right"/>
              <w:rPr>
                <w:color w:val="000000"/>
                <w:szCs w:val="22"/>
              </w:rPr>
            </w:pPr>
            <w:r w:rsidRPr="000E4044">
              <w:rPr>
                <w:color w:val="000000"/>
                <w:sz w:val="22"/>
                <w:szCs w:val="22"/>
              </w:rPr>
              <w:t>404 481</w:t>
            </w:r>
          </w:p>
        </w:tc>
        <w:tc>
          <w:tcPr>
            <w:tcW w:w="1120" w:type="dxa"/>
            <w:tcBorders>
              <w:top w:val="nil"/>
              <w:left w:val="nil"/>
              <w:bottom w:val="single" w:sz="12" w:space="0" w:color="auto"/>
              <w:right w:val="single" w:sz="4" w:space="0" w:color="auto"/>
            </w:tcBorders>
            <w:shd w:val="clear" w:color="auto" w:fill="auto"/>
            <w:vAlign w:val="center"/>
            <w:hideMark/>
          </w:tcPr>
          <w:p w:rsidR="000E4044" w:rsidRPr="000E4044" w:rsidRDefault="000E4044" w:rsidP="000E4044">
            <w:pPr>
              <w:spacing w:after="0" w:line="240" w:lineRule="auto"/>
              <w:jc w:val="right"/>
              <w:rPr>
                <w:color w:val="000000"/>
                <w:szCs w:val="22"/>
              </w:rPr>
            </w:pPr>
            <w:r w:rsidRPr="000E4044">
              <w:rPr>
                <w:color w:val="000000"/>
                <w:sz w:val="22"/>
                <w:szCs w:val="22"/>
              </w:rPr>
              <w:t>196 464</w:t>
            </w:r>
          </w:p>
        </w:tc>
        <w:tc>
          <w:tcPr>
            <w:tcW w:w="1120" w:type="dxa"/>
            <w:tcBorders>
              <w:top w:val="nil"/>
              <w:left w:val="nil"/>
              <w:bottom w:val="single" w:sz="12" w:space="0" w:color="auto"/>
              <w:right w:val="single" w:sz="12" w:space="0" w:color="auto"/>
            </w:tcBorders>
            <w:shd w:val="clear" w:color="auto" w:fill="auto"/>
            <w:vAlign w:val="center"/>
            <w:hideMark/>
          </w:tcPr>
          <w:p w:rsidR="000E4044" w:rsidRPr="000E4044" w:rsidRDefault="000E4044" w:rsidP="000E4044">
            <w:pPr>
              <w:spacing w:after="0" w:line="240" w:lineRule="auto"/>
              <w:jc w:val="right"/>
              <w:rPr>
                <w:color w:val="000000"/>
                <w:szCs w:val="22"/>
              </w:rPr>
            </w:pPr>
            <w:r w:rsidRPr="000E4044">
              <w:rPr>
                <w:color w:val="000000"/>
                <w:sz w:val="22"/>
                <w:szCs w:val="22"/>
              </w:rPr>
              <w:t>122 635</w:t>
            </w:r>
          </w:p>
        </w:tc>
      </w:tr>
    </w:tbl>
    <w:p w:rsidR="00435AB8" w:rsidRDefault="000E4044" w:rsidP="002B4E6C">
      <w:pPr>
        <w:pStyle w:val="dajepodtabulkou"/>
        <w:ind w:left="0"/>
      </w:pPr>
      <w:r>
        <w:t>Zdroj: Q – MONT s. r. o.</w:t>
      </w:r>
    </w:p>
    <w:p w:rsidR="00201ADF" w:rsidRDefault="009B36E8" w:rsidP="00255FC3">
      <w:pPr>
        <w:pStyle w:val="Odstavecnormln"/>
      </w:pPr>
      <w:r>
        <w:t>Společnost Q – MONT s. r. o. neeviduje po celé sledované období žádné zásoby. Společnost dodává pouze služby, materiál je dodáván objednateli.</w:t>
      </w:r>
    </w:p>
    <w:p w:rsidR="00B9585F" w:rsidRDefault="00B9585F" w:rsidP="00255FC3">
      <w:pPr>
        <w:pStyle w:val="Odstavecnormln"/>
      </w:pPr>
      <w:r>
        <w:t xml:space="preserve">Krátkodobý finanční majetek je tvořen v celém sledovaném období pokladní hotovostí </w:t>
      </w:r>
      <w:r w:rsidR="004B0962">
        <w:br/>
      </w:r>
      <w:r>
        <w:t xml:space="preserve">a finančními prostředky na bankovních účtech. Zůstatky pokladny a bankovních účtů </w:t>
      </w:r>
      <w:r>
        <w:lastRenderedPageBreak/>
        <w:t>k 31. 12. příslušného roku odpovídají skutečným zůstatkům finan</w:t>
      </w:r>
      <w:r w:rsidR="00F52298">
        <w:t>čních prostředků v pokladně a na bankovních účtech.</w:t>
      </w:r>
    </w:p>
    <w:p w:rsidR="007E2F01" w:rsidRDefault="008E7D4B" w:rsidP="00255FC3">
      <w:pPr>
        <w:pStyle w:val="Odstavecnormln"/>
      </w:pPr>
      <w:r>
        <w:t xml:space="preserve">Krátkodobé pohledávky </w:t>
      </w:r>
      <w:r w:rsidR="009B36E8">
        <w:t xml:space="preserve">jsou </w:t>
      </w:r>
      <w:r w:rsidR="00690212">
        <w:t xml:space="preserve">v období roku 2009 – 2011 </w:t>
      </w:r>
      <w:r w:rsidR="009B36E8">
        <w:t>tvořeny p</w:t>
      </w:r>
      <w:r w:rsidR="00B13EC7">
        <w:t>ohledávkami z obchodních vztahů,</w:t>
      </w:r>
      <w:r w:rsidR="009B36E8">
        <w:t xml:space="preserve"> daňovými pohledávkami</w:t>
      </w:r>
      <w:r w:rsidR="00B13EC7">
        <w:t xml:space="preserve"> a jinými pohledávkami</w:t>
      </w:r>
      <w:r w:rsidR="007E2F01">
        <w:t>.</w:t>
      </w:r>
    </w:p>
    <w:p w:rsidR="007E2F01" w:rsidRDefault="009B36E8" w:rsidP="00255FC3">
      <w:pPr>
        <w:pStyle w:val="Odstavecnormln"/>
      </w:pPr>
      <w:r w:rsidRPr="00690212">
        <w:t xml:space="preserve">Daňové pohledávky </w:t>
      </w:r>
      <w:r w:rsidR="00690212">
        <w:t>v roce 2009</w:t>
      </w:r>
      <w:r w:rsidR="00535F77">
        <w:t xml:space="preserve"> a 2010</w:t>
      </w:r>
      <w:r w:rsidR="00690212">
        <w:t xml:space="preserve"> tvoří zaplacené a k 31. 12. </w:t>
      </w:r>
      <w:r w:rsidR="00535F77">
        <w:t>příslušného roku</w:t>
      </w:r>
      <w:r w:rsidR="00690212">
        <w:t xml:space="preserve"> nezúčtované zálohy na daň z příjmu právnických osob (dále jen PO)</w:t>
      </w:r>
      <w:r w:rsidR="007E2F01">
        <w:t>, které vyplynuly z daňové povinnosti společnosti v roce 2008 a 2009</w:t>
      </w:r>
      <w:r w:rsidR="007E2F01">
        <w:rPr>
          <w:rStyle w:val="Znakapoznpodarou"/>
        </w:rPr>
        <w:footnoteReference w:id="15"/>
      </w:r>
      <w:r w:rsidR="007E2F01">
        <w:t>.</w:t>
      </w:r>
    </w:p>
    <w:p w:rsidR="00A05432" w:rsidRDefault="00A05432" w:rsidP="00255FC3">
      <w:pPr>
        <w:pStyle w:val="Odstavecnormln"/>
      </w:pPr>
      <w:r>
        <w:t>Jiné pohledávky v roce 2010 a 2011 tvoří poskytnutý úvě</w:t>
      </w:r>
      <w:r w:rsidR="004F71BB">
        <w:t>r společníku</w:t>
      </w:r>
      <w:r>
        <w:t xml:space="preserve"> společnosti na základě smlouvy č. 2010/1P ze dne 31. 12. 2010 (úvěr je splatný dne 31. 12. 2014).</w:t>
      </w:r>
    </w:p>
    <w:p w:rsidR="008440E5" w:rsidRDefault="009B36E8" w:rsidP="00255FC3">
      <w:pPr>
        <w:pStyle w:val="Odstavecnormln"/>
      </w:pPr>
      <w:r w:rsidRPr="00690212">
        <w:t>Dle</w:t>
      </w:r>
      <w:r>
        <w:t xml:space="preserve"> sdělení jednatele eviduje společnost v pohledávkách z obchodních vztahů nedobytné pohledávky. Tyto pohledávky </w:t>
      </w:r>
      <w:r w:rsidR="007F6CF5">
        <w:t>byly zpracovány v níže</w:t>
      </w:r>
      <w:r>
        <w:t xml:space="preserve"> uvedené </w:t>
      </w:r>
      <w:r w:rsidR="007F6CF5">
        <w:t>tabulce, kde j</w:t>
      </w:r>
      <w:r w:rsidR="00201ADF">
        <w:t>sou</w:t>
      </w:r>
      <w:r w:rsidR="003773EA">
        <w:t xml:space="preserve"> řazeny dle data vystavení faktury.</w:t>
      </w:r>
    </w:p>
    <w:p w:rsidR="009B36E8" w:rsidRDefault="009B36E8" w:rsidP="009B36E8">
      <w:pPr>
        <w:pStyle w:val="Titulek"/>
      </w:pPr>
      <w:bookmarkStart w:id="146" w:name="_Ref349577430"/>
      <w:bookmarkStart w:id="147" w:name="_Ref349667652"/>
      <w:bookmarkStart w:id="148" w:name="_Toc353125953"/>
      <w:r>
        <w:t xml:space="preserve">Tabulka </w:t>
      </w:r>
      <w:r w:rsidR="00C96C2B">
        <w:fldChar w:fldCharType="begin"/>
      </w:r>
      <w:r w:rsidR="00C96C2B">
        <w:instrText xml:space="preserve"> SEQ Tabulka \* ARABIC </w:instrText>
      </w:r>
      <w:r w:rsidR="00C96C2B">
        <w:fldChar w:fldCharType="separate"/>
      </w:r>
      <w:r w:rsidR="002534BA">
        <w:rPr>
          <w:noProof/>
        </w:rPr>
        <w:t>14</w:t>
      </w:r>
      <w:r w:rsidR="00C96C2B">
        <w:rPr>
          <w:noProof/>
        </w:rPr>
        <w:fldChar w:fldCharType="end"/>
      </w:r>
      <w:bookmarkEnd w:id="146"/>
      <w:r>
        <w:t xml:space="preserve"> Nedobytné pohledávky k 31. 12. 2011</w:t>
      </w:r>
      <w:bookmarkEnd w:id="147"/>
      <w:r w:rsidR="0079132B">
        <w:t>: Q – MONT s. r. o.</w:t>
      </w:r>
      <w:bookmarkEnd w:id="148"/>
    </w:p>
    <w:p w:rsidR="00F44B3D" w:rsidRDefault="00F44B3D" w:rsidP="00F44B3D">
      <w:pPr>
        <w:pStyle w:val="dajenadtabulkouazdroj"/>
      </w:pPr>
      <w:r>
        <w:t>Údaje jsou uvedeny v celých Kč</w:t>
      </w:r>
    </w:p>
    <w:tbl>
      <w:tblPr>
        <w:tblW w:w="8700" w:type="dxa"/>
        <w:tblInd w:w="55" w:type="dxa"/>
        <w:tblCellMar>
          <w:left w:w="70" w:type="dxa"/>
          <w:right w:w="70" w:type="dxa"/>
        </w:tblCellMar>
        <w:tblLook w:val="04A0" w:firstRow="1" w:lastRow="0" w:firstColumn="1" w:lastColumn="0" w:noHBand="0" w:noVBand="1"/>
      </w:tblPr>
      <w:tblGrid>
        <w:gridCol w:w="2800"/>
        <w:gridCol w:w="1340"/>
        <w:gridCol w:w="1600"/>
        <w:gridCol w:w="1600"/>
        <w:gridCol w:w="1360"/>
      </w:tblGrid>
      <w:tr w:rsidR="003773EA" w:rsidRPr="003773EA" w:rsidTr="003773EA">
        <w:trPr>
          <w:trHeight w:val="600"/>
          <w:tblHeader/>
        </w:trPr>
        <w:tc>
          <w:tcPr>
            <w:tcW w:w="2800" w:type="dxa"/>
            <w:tcBorders>
              <w:top w:val="single" w:sz="12" w:space="0" w:color="auto"/>
              <w:left w:val="single" w:sz="12" w:space="0" w:color="auto"/>
              <w:bottom w:val="double" w:sz="6" w:space="0" w:color="auto"/>
              <w:right w:val="single" w:sz="4" w:space="0" w:color="auto"/>
            </w:tcBorders>
            <w:shd w:val="clear" w:color="000000" w:fill="E4DFEC"/>
            <w:vAlign w:val="center"/>
            <w:hideMark/>
          </w:tcPr>
          <w:p w:rsidR="003773EA" w:rsidRPr="003773EA" w:rsidRDefault="003773EA" w:rsidP="003773EA">
            <w:pPr>
              <w:spacing w:after="0" w:line="240" w:lineRule="auto"/>
              <w:jc w:val="center"/>
              <w:rPr>
                <w:b/>
                <w:bCs/>
                <w:color w:val="000000"/>
                <w:szCs w:val="22"/>
              </w:rPr>
            </w:pPr>
            <w:r w:rsidRPr="003773EA">
              <w:rPr>
                <w:b/>
                <w:bCs/>
                <w:color w:val="000000"/>
                <w:sz w:val="22"/>
                <w:szCs w:val="22"/>
              </w:rPr>
              <w:t>DLUŽNÍK</w:t>
            </w:r>
          </w:p>
        </w:tc>
        <w:tc>
          <w:tcPr>
            <w:tcW w:w="1340" w:type="dxa"/>
            <w:tcBorders>
              <w:top w:val="single" w:sz="12" w:space="0" w:color="auto"/>
              <w:left w:val="nil"/>
              <w:bottom w:val="double" w:sz="6" w:space="0" w:color="auto"/>
              <w:right w:val="single" w:sz="4" w:space="0" w:color="auto"/>
            </w:tcBorders>
            <w:shd w:val="clear" w:color="000000" w:fill="E4DFEC"/>
            <w:vAlign w:val="center"/>
            <w:hideMark/>
          </w:tcPr>
          <w:p w:rsidR="003773EA" w:rsidRPr="003773EA" w:rsidRDefault="003773EA" w:rsidP="003773EA">
            <w:pPr>
              <w:spacing w:after="0" w:line="240" w:lineRule="auto"/>
              <w:jc w:val="center"/>
              <w:rPr>
                <w:b/>
                <w:bCs/>
                <w:color w:val="000000"/>
                <w:szCs w:val="22"/>
              </w:rPr>
            </w:pPr>
            <w:r w:rsidRPr="003773EA">
              <w:rPr>
                <w:b/>
                <w:bCs/>
                <w:color w:val="000000"/>
                <w:sz w:val="22"/>
                <w:szCs w:val="22"/>
              </w:rPr>
              <w:t>DOKLAD ČÍSLO</w:t>
            </w:r>
          </w:p>
        </w:tc>
        <w:tc>
          <w:tcPr>
            <w:tcW w:w="1600" w:type="dxa"/>
            <w:tcBorders>
              <w:top w:val="single" w:sz="12" w:space="0" w:color="auto"/>
              <w:left w:val="nil"/>
              <w:bottom w:val="double" w:sz="6" w:space="0" w:color="auto"/>
              <w:right w:val="single" w:sz="4" w:space="0" w:color="auto"/>
            </w:tcBorders>
            <w:shd w:val="clear" w:color="000000" w:fill="E4DFEC"/>
            <w:vAlign w:val="center"/>
            <w:hideMark/>
          </w:tcPr>
          <w:p w:rsidR="003773EA" w:rsidRPr="003773EA" w:rsidRDefault="003773EA" w:rsidP="003773EA">
            <w:pPr>
              <w:spacing w:after="0" w:line="240" w:lineRule="auto"/>
              <w:jc w:val="center"/>
              <w:rPr>
                <w:b/>
                <w:bCs/>
                <w:color w:val="000000"/>
                <w:szCs w:val="22"/>
              </w:rPr>
            </w:pPr>
            <w:r w:rsidRPr="003773EA">
              <w:rPr>
                <w:b/>
                <w:bCs/>
                <w:color w:val="000000"/>
                <w:sz w:val="22"/>
                <w:szCs w:val="22"/>
              </w:rPr>
              <w:t>DATUM VYSTAVENÍ</w:t>
            </w:r>
          </w:p>
        </w:tc>
        <w:tc>
          <w:tcPr>
            <w:tcW w:w="1600" w:type="dxa"/>
            <w:tcBorders>
              <w:top w:val="single" w:sz="12" w:space="0" w:color="auto"/>
              <w:left w:val="nil"/>
              <w:bottom w:val="double" w:sz="6" w:space="0" w:color="auto"/>
              <w:right w:val="single" w:sz="4" w:space="0" w:color="auto"/>
            </w:tcBorders>
            <w:shd w:val="clear" w:color="000000" w:fill="E4DFEC"/>
            <w:vAlign w:val="center"/>
            <w:hideMark/>
          </w:tcPr>
          <w:p w:rsidR="003773EA" w:rsidRPr="003773EA" w:rsidRDefault="003773EA" w:rsidP="003773EA">
            <w:pPr>
              <w:spacing w:after="0" w:line="240" w:lineRule="auto"/>
              <w:jc w:val="center"/>
              <w:rPr>
                <w:b/>
                <w:bCs/>
                <w:color w:val="000000"/>
                <w:szCs w:val="22"/>
              </w:rPr>
            </w:pPr>
            <w:r w:rsidRPr="003773EA">
              <w:rPr>
                <w:b/>
                <w:bCs/>
                <w:color w:val="000000"/>
                <w:sz w:val="22"/>
                <w:szCs w:val="22"/>
              </w:rPr>
              <w:t>DATUM SPLATNOSTI</w:t>
            </w:r>
          </w:p>
        </w:tc>
        <w:tc>
          <w:tcPr>
            <w:tcW w:w="1360" w:type="dxa"/>
            <w:tcBorders>
              <w:top w:val="single" w:sz="12" w:space="0" w:color="auto"/>
              <w:left w:val="nil"/>
              <w:bottom w:val="double" w:sz="6" w:space="0" w:color="auto"/>
              <w:right w:val="single" w:sz="12" w:space="0" w:color="auto"/>
            </w:tcBorders>
            <w:shd w:val="clear" w:color="000000" w:fill="E4DFEC"/>
            <w:vAlign w:val="center"/>
            <w:hideMark/>
          </w:tcPr>
          <w:p w:rsidR="003773EA" w:rsidRPr="003773EA" w:rsidRDefault="003773EA" w:rsidP="003773EA">
            <w:pPr>
              <w:spacing w:after="0" w:line="240" w:lineRule="auto"/>
              <w:jc w:val="center"/>
              <w:rPr>
                <w:b/>
                <w:bCs/>
                <w:color w:val="000000"/>
                <w:szCs w:val="22"/>
              </w:rPr>
            </w:pPr>
            <w:r w:rsidRPr="003773EA">
              <w:rPr>
                <w:b/>
                <w:bCs/>
                <w:color w:val="000000"/>
                <w:sz w:val="22"/>
                <w:szCs w:val="22"/>
              </w:rPr>
              <w:t>ČÁSTKA</w:t>
            </w:r>
          </w:p>
        </w:tc>
      </w:tr>
      <w:tr w:rsidR="003773EA" w:rsidRPr="003773EA" w:rsidTr="003773EA">
        <w:trPr>
          <w:trHeight w:val="342"/>
        </w:trPr>
        <w:tc>
          <w:tcPr>
            <w:tcW w:w="2800" w:type="dxa"/>
            <w:tcBorders>
              <w:top w:val="nil"/>
              <w:left w:val="single" w:sz="12" w:space="0" w:color="auto"/>
              <w:bottom w:val="single" w:sz="4" w:space="0" w:color="auto"/>
              <w:right w:val="single" w:sz="4" w:space="0" w:color="auto"/>
            </w:tcBorders>
            <w:shd w:val="clear" w:color="auto" w:fill="auto"/>
            <w:vAlign w:val="center"/>
            <w:hideMark/>
          </w:tcPr>
          <w:p w:rsidR="003773EA" w:rsidRPr="003773EA" w:rsidRDefault="003773EA" w:rsidP="0010457F">
            <w:pPr>
              <w:spacing w:after="0" w:line="240" w:lineRule="auto"/>
              <w:jc w:val="left"/>
              <w:rPr>
                <w:color w:val="000000"/>
                <w:szCs w:val="22"/>
              </w:rPr>
            </w:pPr>
            <w:bookmarkStart w:id="149" w:name="RANGE!A2"/>
            <w:r w:rsidRPr="003773EA">
              <w:rPr>
                <w:color w:val="000000"/>
                <w:sz w:val="22"/>
                <w:szCs w:val="22"/>
              </w:rPr>
              <w:t>M</w:t>
            </w:r>
            <w:r w:rsidR="0010457F">
              <w:rPr>
                <w:color w:val="000000"/>
                <w:sz w:val="22"/>
                <w:szCs w:val="22"/>
              </w:rPr>
              <w:t xml:space="preserve"> - </w:t>
            </w:r>
            <w:proofErr w:type="spellStart"/>
            <w:r w:rsidRPr="003773EA">
              <w:rPr>
                <w:color w:val="000000"/>
                <w:sz w:val="22"/>
                <w:szCs w:val="22"/>
              </w:rPr>
              <w:t>Trade</w:t>
            </w:r>
            <w:proofErr w:type="spellEnd"/>
            <w:r w:rsidRPr="003773EA">
              <w:rPr>
                <w:color w:val="000000"/>
                <w:sz w:val="22"/>
                <w:szCs w:val="22"/>
              </w:rPr>
              <w:t xml:space="preserve"> s.r.o., Ostrava</w:t>
            </w:r>
            <w:bookmarkEnd w:id="149"/>
          </w:p>
        </w:tc>
        <w:tc>
          <w:tcPr>
            <w:tcW w:w="134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r w:rsidRPr="003773EA">
              <w:rPr>
                <w:color w:val="000000"/>
                <w:sz w:val="22"/>
                <w:szCs w:val="22"/>
              </w:rPr>
              <w:t>200408</w:t>
            </w:r>
          </w:p>
        </w:tc>
        <w:tc>
          <w:tcPr>
            <w:tcW w:w="160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bookmarkStart w:id="150" w:name="RANGE!C2"/>
            <w:r w:rsidRPr="003773EA">
              <w:rPr>
                <w:color w:val="000000"/>
                <w:sz w:val="22"/>
                <w:szCs w:val="22"/>
              </w:rPr>
              <w:t>31. 03. 2004</w:t>
            </w:r>
            <w:bookmarkEnd w:id="150"/>
          </w:p>
        </w:tc>
        <w:tc>
          <w:tcPr>
            <w:tcW w:w="160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bookmarkStart w:id="151" w:name="RANGE!D2"/>
            <w:r w:rsidRPr="003773EA">
              <w:rPr>
                <w:color w:val="000000"/>
                <w:sz w:val="22"/>
                <w:szCs w:val="22"/>
              </w:rPr>
              <w:t>05. 05. 2004</w:t>
            </w:r>
            <w:bookmarkEnd w:id="151"/>
          </w:p>
        </w:tc>
        <w:tc>
          <w:tcPr>
            <w:tcW w:w="1360" w:type="dxa"/>
            <w:tcBorders>
              <w:top w:val="nil"/>
              <w:left w:val="nil"/>
              <w:bottom w:val="single" w:sz="4" w:space="0" w:color="auto"/>
              <w:right w:val="single" w:sz="12" w:space="0" w:color="auto"/>
            </w:tcBorders>
            <w:shd w:val="clear" w:color="auto" w:fill="auto"/>
            <w:vAlign w:val="center"/>
            <w:hideMark/>
          </w:tcPr>
          <w:p w:rsidR="003773EA" w:rsidRPr="003773EA" w:rsidRDefault="003773EA" w:rsidP="003773EA">
            <w:pPr>
              <w:spacing w:after="0" w:line="240" w:lineRule="auto"/>
              <w:jc w:val="right"/>
              <w:rPr>
                <w:color w:val="000000"/>
                <w:szCs w:val="22"/>
              </w:rPr>
            </w:pPr>
            <w:bookmarkStart w:id="152" w:name="RANGE!E2"/>
            <w:r w:rsidRPr="003773EA">
              <w:rPr>
                <w:color w:val="000000"/>
                <w:sz w:val="22"/>
                <w:szCs w:val="22"/>
              </w:rPr>
              <w:t>6 111</w:t>
            </w:r>
            <w:bookmarkEnd w:id="152"/>
          </w:p>
        </w:tc>
      </w:tr>
      <w:tr w:rsidR="003773EA" w:rsidRPr="003773EA" w:rsidTr="003773EA">
        <w:trPr>
          <w:trHeight w:val="342"/>
        </w:trPr>
        <w:tc>
          <w:tcPr>
            <w:tcW w:w="2800" w:type="dxa"/>
            <w:tcBorders>
              <w:top w:val="nil"/>
              <w:left w:val="single" w:sz="12" w:space="0" w:color="auto"/>
              <w:bottom w:val="single" w:sz="4" w:space="0" w:color="auto"/>
              <w:right w:val="single" w:sz="4" w:space="0" w:color="auto"/>
            </w:tcBorders>
            <w:shd w:val="clear" w:color="auto" w:fill="auto"/>
            <w:vAlign w:val="center"/>
            <w:hideMark/>
          </w:tcPr>
          <w:p w:rsidR="003773EA" w:rsidRPr="003773EA" w:rsidRDefault="003773EA" w:rsidP="0010457F">
            <w:pPr>
              <w:spacing w:after="0" w:line="240" w:lineRule="auto"/>
              <w:jc w:val="left"/>
              <w:rPr>
                <w:color w:val="000000"/>
                <w:szCs w:val="22"/>
              </w:rPr>
            </w:pPr>
            <w:bookmarkStart w:id="153" w:name="RANGE!A3"/>
            <w:r w:rsidRPr="003773EA">
              <w:rPr>
                <w:color w:val="000000"/>
                <w:sz w:val="22"/>
                <w:szCs w:val="22"/>
              </w:rPr>
              <w:t>M</w:t>
            </w:r>
            <w:r w:rsidR="0010457F">
              <w:rPr>
                <w:color w:val="000000"/>
                <w:sz w:val="22"/>
                <w:szCs w:val="22"/>
              </w:rPr>
              <w:t xml:space="preserve"> - </w:t>
            </w:r>
            <w:proofErr w:type="spellStart"/>
            <w:r w:rsidRPr="003773EA">
              <w:rPr>
                <w:color w:val="000000"/>
                <w:sz w:val="22"/>
                <w:szCs w:val="22"/>
              </w:rPr>
              <w:t>Trade</w:t>
            </w:r>
            <w:proofErr w:type="spellEnd"/>
            <w:r w:rsidRPr="003773EA">
              <w:rPr>
                <w:color w:val="000000"/>
                <w:sz w:val="22"/>
                <w:szCs w:val="22"/>
              </w:rPr>
              <w:t xml:space="preserve"> s.r.o., Ostrava</w:t>
            </w:r>
            <w:bookmarkEnd w:id="153"/>
          </w:p>
        </w:tc>
        <w:tc>
          <w:tcPr>
            <w:tcW w:w="134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r w:rsidRPr="003773EA">
              <w:rPr>
                <w:color w:val="000000"/>
                <w:sz w:val="22"/>
                <w:szCs w:val="22"/>
              </w:rPr>
              <w:t>200411</w:t>
            </w:r>
          </w:p>
        </w:tc>
        <w:tc>
          <w:tcPr>
            <w:tcW w:w="160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bookmarkStart w:id="154" w:name="RANGE!C3"/>
            <w:r w:rsidRPr="003773EA">
              <w:rPr>
                <w:color w:val="000000"/>
                <w:sz w:val="22"/>
                <w:szCs w:val="22"/>
              </w:rPr>
              <w:t>07. 04. 2004</w:t>
            </w:r>
            <w:bookmarkEnd w:id="154"/>
          </w:p>
        </w:tc>
        <w:tc>
          <w:tcPr>
            <w:tcW w:w="160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bookmarkStart w:id="155" w:name="RANGE!D3"/>
            <w:r w:rsidRPr="003773EA">
              <w:rPr>
                <w:color w:val="000000"/>
                <w:sz w:val="22"/>
                <w:szCs w:val="22"/>
              </w:rPr>
              <w:t>15. 05. 2004</w:t>
            </w:r>
            <w:bookmarkEnd w:id="155"/>
          </w:p>
        </w:tc>
        <w:tc>
          <w:tcPr>
            <w:tcW w:w="1360" w:type="dxa"/>
            <w:tcBorders>
              <w:top w:val="nil"/>
              <w:left w:val="nil"/>
              <w:bottom w:val="single" w:sz="4" w:space="0" w:color="auto"/>
              <w:right w:val="single" w:sz="12" w:space="0" w:color="auto"/>
            </w:tcBorders>
            <w:shd w:val="clear" w:color="auto" w:fill="auto"/>
            <w:vAlign w:val="center"/>
            <w:hideMark/>
          </w:tcPr>
          <w:p w:rsidR="003773EA" w:rsidRPr="003773EA" w:rsidRDefault="003773EA" w:rsidP="003773EA">
            <w:pPr>
              <w:spacing w:after="0" w:line="240" w:lineRule="auto"/>
              <w:jc w:val="right"/>
              <w:rPr>
                <w:color w:val="000000"/>
                <w:szCs w:val="22"/>
              </w:rPr>
            </w:pPr>
            <w:bookmarkStart w:id="156" w:name="RANGE!E3"/>
            <w:r w:rsidRPr="003773EA">
              <w:rPr>
                <w:color w:val="000000"/>
                <w:sz w:val="22"/>
                <w:szCs w:val="22"/>
              </w:rPr>
              <w:t>66 457</w:t>
            </w:r>
            <w:bookmarkEnd w:id="156"/>
          </w:p>
        </w:tc>
      </w:tr>
      <w:tr w:rsidR="003773EA" w:rsidRPr="003773EA" w:rsidTr="003773EA">
        <w:trPr>
          <w:trHeight w:val="342"/>
        </w:trPr>
        <w:tc>
          <w:tcPr>
            <w:tcW w:w="2800" w:type="dxa"/>
            <w:tcBorders>
              <w:top w:val="nil"/>
              <w:left w:val="single" w:sz="12" w:space="0" w:color="auto"/>
              <w:bottom w:val="single" w:sz="4" w:space="0" w:color="auto"/>
              <w:right w:val="single" w:sz="4" w:space="0" w:color="auto"/>
            </w:tcBorders>
            <w:shd w:val="clear" w:color="auto" w:fill="auto"/>
            <w:vAlign w:val="center"/>
            <w:hideMark/>
          </w:tcPr>
          <w:p w:rsidR="003773EA" w:rsidRPr="003773EA" w:rsidRDefault="0010457F" w:rsidP="0010457F">
            <w:pPr>
              <w:spacing w:after="0" w:line="240" w:lineRule="auto"/>
              <w:jc w:val="left"/>
              <w:rPr>
                <w:color w:val="000000"/>
                <w:szCs w:val="22"/>
              </w:rPr>
            </w:pPr>
            <w:bookmarkStart w:id="157" w:name="RANGE!A4"/>
            <w:r>
              <w:rPr>
                <w:color w:val="000000"/>
                <w:sz w:val="22"/>
                <w:szCs w:val="22"/>
              </w:rPr>
              <w:t xml:space="preserve">G. </w:t>
            </w:r>
            <w:proofErr w:type="spellStart"/>
            <w:r>
              <w:rPr>
                <w:color w:val="000000"/>
                <w:sz w:val="22"/>
                <w:szCs w:val="22"/>
              </w:rPr>
              <w:t>Za</w:t>
            </w:r>
            <w:r w:rsidR="003773EA" w:rsidRPr="003773EA">
              <w:rPr>
                <w:color w:val="000000"/>
                <w:sz w:val="22"/>
                <w:szCs w:val="22"/>
              </w:rPr>
              <w:t>gala</w:t>
            </w:r>
            <w:proofErr w:type="spellEnd"/>
            <w:r w:rsidR="003773EA" w:rsidRPr="003773EA">
              <w:rPr>
                <w:color w:val="000000"/>
                <w:sz w:val="22"/>
                <w:szCs w:val="22"/>
              </w:rPr>
              <w:t>, Ostrava</w:t>
            </w:r>
            <w:bookmarkEnd w:id="157"/>
          </w:p>
        </w:tc>
        <w:tc>
          <w:tcPr>
            <w:tcW w:w="134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r w:rsidRPr="003773EA">
              <w:rPr>
                <w:color w:val="000000"/>
                <w:sz w:val="22"/>
                <w:szCs w:val="22"/>
              </w:rPr>
              <w:t>200507</w:t>
            </w:r>
          </w:p>
        </w:tc>
        <w:tc>
          <w:tcPr>
            <w:tcW w:w="160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bookmarkStart w:id="158" w:name="RANGE!C4"/>
            <w:r w:rsidRPr="003773EA">
              <w:rPr>
                <w:color w:val="000000"/>
                <w:sz w:val="22"/>
                <w:szCs w:val="22"/>
              </w:rPr>
              <w:t>28. 02. 2005</w:t>
            </w:r>
            <w:bookmarkEnd w:id="158"/>
          </w:p>
        </w:tc>
        <w:tc>
          <w:tcPr>
            <w:tcW w:w="160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bookmarkStart w:id="159" w:name="RANGE!D4"/>
            <w:r w:rsidRPr="003773EA">
              <w:rPr>
                <w:color w:val="000000"/>
                <w:sz w:val="22"/>
                <w:szCs w:val="22"/>
              </w:rPr>
              <w:t>14. 03. 2005</w:t>
            </w:r>
            <w:bookmarkEnd w:id="159"/>
          </w:p>
        </w:tc>
        <w:tc>
          <w:tcPr>
            <w:tcW w:w="1360" w:type="dxa"/>
            <w:tcBorders>
              <w:top w:val="nil"/>
              <w:left w:val="nil"/>
              <w:bottom w:val="single" w:sz="4" w:space="0" w:color="auto"/>
              <w:right w:val="single" w:sz="12" w:space="0" w:color="auto"/>
            </w:tcBorders>
            <w:shd w:val="clear" w:color="auto" w:fill="auto"/>
            <w:vAlign w:val="center"/>
            <w:hideMark/>
          </w:tcPr>
          <w:p w:rsidR="003773EA" w:rsidRPr="003773EA" w:rsidRDefault="003773EA" w:rsidP="003773EA">
            <w:pPr>
              <w:spacing w:after="0" w:line="240" w:lineRule="auto"/>
              <w:jc w:val="right"/>
              <w:rPr>
                <w:color w:val="000000"/>
                <w:szCs w:val="22"/>
              </w:rPr>
            </w:pPr>
            <w:bookmarkStart w:id="160" w:name="RANGE!E4"/>
            <w:r w:rsidRPr="003773EA">
              <w:rPr>
                <w:color w:val="000000"/>
                <w:sz w:val="22"/>
                <w:szCs w:val="22"/>
              </w:rPr>
              <w:t>4 189</w:t>
            </w:r>
            <w:bookmarkEnd w:id="160"/>
          </w:p>
        </w:tc>
      </w:tr>
      <w:tr w:rsidR="003773EA" w:rsidRPr="003773EA" w:rsidTr="003773EA">
        <w:trPr>
          <w:trHeight w:val="342"/>
        </w:trPr>
        <w:tc>
          <w:tcPr>
            <w:tcW w:w="2800" w:type="dxa"/>
            <w:tcBorders>
              <w:top w:val="nil"/>
              <w:left w:val="single" w:sz="12" w:space="0" w:color="auto"/>
              <w:bottom w:val="single" w:sz="4" w:space="0" w:color="auto"/>
              <w:right w:val="single" w:sz="4" w:space="0" w:color="auto"/>
            </w:tcBorders>
            <w:shd w:val="clear" w:color="auto" w:fill="auto"/>
            <w:vAlign w:val="center"/>
            <w:hideMark/>
          </w:tcPr>
          <w:p w:rsidR="003773EA" w:rsidRPr="003773EA" w:rsidRDefault="0010457F" w:rsidP="0010457F">
            <w:pPr>
              <w:spacing w:after="0" w:line="240" w:lineRule="auto"/>
              <w:rPr>
                <w:color w:val="000000"/>
                <w:szCs w:val="22"/>
              </w:rPr>
            </w:pPr>
            <w:bookmarkStart w:id="161" w:name="RANGE!A5"/>
            <w:r>
              <w:rPr>
                <w:color w:val="000000"/>
                <w:sz w:val="22"/>
                <w:szCs w:val="22"/>
              </w:rPr>
              <w:t xml:space="preserve">G. </w:t>
            </w:r>
            <w:proofErr w:type="spellStart"/>
            <w:r>
              <w:rPr>
                <w:color w:val="000000"/>
                <w:sz w:val="22"/>
                <w:szCs w:val="22"/>
              </w:rPr>
              <w:t>Za</w:t>
            </w:r>
            <w:r w:rsidR="003773EA" w:rsidRPr="003773EA">
              <w:rPr>
                <w:color w:val="000000"/>
                <w:sz w:val="22"/>
                <w:szCs w:val="22"/>
              </w:rPr>
              <w:t>gala</w:t>
            </w:r>
            <w:proofErr w:type="spellEnd"/>
            <w:r w:rsidR="003773EA" w:rsidRPr="003773EA">
              <w:rPr>
                <w:color w:val="000000"/>
                <w:sz w:val="22"/>
                <w:szCs w:val="22"/>
              </w:rPr>
              <w:t>, Ostrava</w:t>
            </w:r>
            <w:bookmarkEnd w:id="161"/>
          </w:p>
        </w:tc>
        <w:tc>
          <w:tcPr>
            <w:tcW w:w="134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r w:rsidRPr="003773EA">
              <w:rPr>
                <w:color w:val="000000"/>
                <w:sz w:val="22"/>
                <w:szCs w:val="22"/>
              </w:rPr>
              <w:t>200520</w:t>
            </w:r>
          </w:p>
        </w:tc>
        <w:tc>
          <w:tcPr>
            <w:tcW w:w="160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bookmarkStart w:id="162" w:name="RANGE!C5"/>
            <w:r w:rsidRPr="003773EA">
              <w:rPr>
                <w:color w:val="000000"/>
                <w:sz w:val="22"/>
                <w:szCs w:val="22"/>
              </w:rPr>
              <w:t>30. 06. 2005</w:t>
            </w:r>
            <w:bookmarkEnd w:id="162"/>
          </w:p>
        </w:tc>
        <w:tc>
          <w:tcPr>
            <w:tcW w:w="160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bookmarkStart w:id="163" w:name="RANGE!D5"/>
            <w:r w:rsidRPr="003773EA">
              <w:rPr>
                <w:color w:val="000000"/>
                <w:sz w:val="22"/>
                <w:szCs w:val="22"/>
              </w:rPr>
              <w:t>14. 07. 2005</w:t>
            </w:r>
            <w:bookmarkEnd w:id="163"/>
          </w:p>
        </w:tc>
        <w:tc>
          <w:tcPr>
            <w:tcW w:w="1360" w:type="dxa"/>
            <w:tcBorders>
              <w:top w:val="nil"/>
              <w:left w:val="nil"/>
              <w:bottom w:val="single" w:sz="4" w:space="0" w:color="auto"/>
              <w:right w:val="single" w:sz="12" w:space="0" w:color="auto"/>
            </w:tcBorders>
            <w:shd w:val="clear" w:color="auto" w:fill="auto"/>
            <w:vAlign w:val="center"/>
            <w:hideMark/>
          </w:tcPr>
          <w:p w:rsidR="003773EA" w:rsidRPr="003773EA" w:rsidRDefault="003773EA" w:rsidP="003773EA">
            <w:pPr>
              <w:spacing w:after="0" w:line="240" w:lineRule="auto"/>
              <w:jc w:val="right"/>
              <w:rPr>
                <w:color w:val="000000"/>
                <w:szCs w:val="22"/>
              </w:rPr>
            </w:pPr>
            <w:bookmarkStart w:id="164" w:name="RANGE!E5"/>
            <w:r w:rsidRPr="003773EA">
              <w:rPr>
                <w:color w:val="000000"/>
                <w:sz w:val="22"/>
                <w:szCs w:val="22"/>
              </w:rPr>
              <w:t>61 000</w:t>
            </w:r>
            <w:bookmarkEnd w:id="164"/>
          </w:p>
        </w:tc>
      </w:tr>
      <w:tr w:rsidR="003773EA" w:rsidRPr="003773EA" w:rsidTr="003773EA">
        <w:trPr>
          <w:trHeight w:val="342"/>
        </w:trPr>
        <w:tc>
          <w:tcPr>
            <w:tcW w:w="2800" w:type="dxa"/>
            <w:tcBorders>
              <w:top w:val="nil"/>
              <w:left w:val="single" w:sz="12" w:space="0" w:color="auto"/>
              <w:bottom w:val="single" w:sz="4" w:space="0" w:color="auto"/>
              <w:right w:val="single" w:sz="4" w:space="0" w:color="auto"/>
            </w:tcBorders>
            <w:shd w:val="clear" w:color="auto" w:fill="auto"/>
            <w:vAlign w:val="center"/>
            <w:hideMark/>
          </w:tcPr>
          <w:p w:rsidR="003773EA" w:rsidRPr="003773EA" w:rsidRDefault="0010457F" w:rsidP="0010457F">
            <w:pPr>
              <w:spacing w:after="0" w:line="240" w:lineRule="auto"/>
              <w:rPr>
                <w:color w:val="000000"/>
                <w:szCs w:val="22"/>
              </w:rPr>
            </w:pPr>
            <w:bookmarkStart w:id="165" w:name="RANGE!A6"/>
            <w:r>
              <w:rPr>
                <w:color w:val="000000"/>
                <w:sz w:val="22"/>
                <w:szCs w:val="22"/>
              </w:rPr>
              <w:t xml:space="preserve">G. </w:t>
            </w:r>
            <w:proofErr w:type="spellStart"/>
            <w:r>
              <w:rPr>
                <w:color w:val="000000"/>
                <w:sz w:val="22"/>
                <w:szCs w:val="22"/>
              </w:rPr>
              <w:t>Za</w:t>
            </w:r>
            <w:r w:rsidR="003773EA" w:rsidRPr="003773EA">
              <w:rPr>
                <w:color w:val="000000"/>
                <w:sz w:val="22"/>
                <w:szCs w:val="22"/>
              </w:rPr>
              <w:t>gala</w:t>
            </w:r>
            <w:proofErr w:type="spellEnd"/>
            <w:r w:rsidR="003773EA" w:rsidRPr="003773EA">
              <w:rPr>
                <w:color w:val="000000"/>
                <w:sz w:val="22"/>
                <w:szCs w:val="22"/>
              </w:rPr>
              <w:t>, Ostrava</w:t>
            </w:r>
            <w:bookmarkEnd w:id="165"/>
          </w:p>
        </w:tc>
        <w:tc>
          <w:tcPr>
            <w:tcW w:w="134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r w:rsidRPr="003773EA">
              <w:rPr>
                <w:color w:val="000000"/>
                <w:sz w:val="22"/>
                <w:szCs w:val="22"/>
              </w:rPr>
              <w:t>200523</w:t>
            </w:r>
          </w:p>
        </w:tc>
        <w:tc>
          <w:tcPr>
            <w:tcW w:w="160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bookmarkStart w:id="166" w:name="RANGE!C6"/>
            <w:r w:rsidRPr="003773EA">
              <w:rPr>
                <w:color w:val="000000"/>
                <w:sz w:val="22"/>
                <w:szCs w:val="22"/>
              </w:rPr>
              <w:t>12. 08. 2005</w:t>
            </w:r>
            <w:bookmarkEnd w:id="166"/>
          </w:p>
        </w:tc>
        <w:tc>
          <w:tcPr>
            <w:tcW w:w="160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bookmarkStart w:id="167" w:name="RANGE!D6"/>
            <w:r w:rsidRPr="003773EA">
              <w:rPr>
                <w:color w:val="000000"/>
                <w:sz w:val="22"/>
                <w:szCs w:val="22"/>
              </w:rPr>
              <w:t>22. 08. 2005</w:t>
            </w:r>
            <w:bookmarkEnd w:id="167"/>
          </w:p>
        </w:tc>
        <w:tc>
          <w:tcPr>
            <w:tcW w:w="1360" w:type="dxa"/>
            <w:tcBorders>
              <w:top w:val="nil"/>
              <w:left w:val="nil"/>
              <w:bottom w:val="single" w:sz="4" w:space="0" w:color="auto"/>
              <w:right w:val="single" w:sz="12" w:space="0" w:color="auto"/>
            </w:tcBorders>
            <w:shd w:val="clear" w:color="auto" w:fill="auto"/>
            <w:vAlign w:val="center"/>
            <w:hideMark/>
          </w:tcPr>
          <w:p w:rsidR="003773EA" w:rsidRPr="003773EA" w:rsidRDefault="003773EA" w:rsidP="003773EA">
            <w:pPr>
              <w:spacing w:after="0" w:line="240" w:lineRule="auto"/>
              <w:jc w:val="right"/>
              <w:rPr>
                <w:color w:val="000000"/>
                <w:szCs w:val="22"/>
              </w:rPr>
            </w:pPr>
            <w:bookmarkStart w:id="168" w:name="RANGE!E6"/>
            <w:r w:rsidRPr="003773EA">
              <w:rPr>
                <w:color w:val="000000"/>
                <w:sz w:val="22"/>
                <w:szCs w:val="22"/>
              </w:rPr>
              <w:t>47 124</w:t>
            </w:r>
            <w:bookmarkEnd w:id="168"/>
          </w:p>
        </w:tc>
      </w:tr>
      <w:tr w:rsidR="003773EA" w:rsidRPr="003773EA" w:rsidTr="003773EA">
        <w:trPr>
          <w:trHeight w:val="342"/>
        </w:trPr>
        <w:tc>
          <w:tcPr>
            <w:tcW w:w="2800" w:type="dxa"/>
            <w:tcBorders>
              <w:top w:val="nil"/>
              <w:left w:val="single" w:sz="12" w:space="0" w:color="auto"/>
              <w:bottom w:val="single" w:sz="4" w:space="0" w:color="auto"/>
              <w:right w:val="single" w:sz="4" w:space="0" w:color="auto"/>
            </w:tcBorders>
            <w:shd w:val="clear" w:color="auto" w:fill="auto"/>
            <w:vAlign w:val="center"/>
            <w:hideMark/>
          </w:tcPr>
          <w:p w:rsidR="003773EA" w:rsidRPr="003773EA" w:rsidRDefault="0010457F" w:rsidP="0010457F">
            <w:pPr>
              <w:spacing w:after="0" w:line="240" w:lineRule="auto"/>
              <w:rPr>
                <w:color w:val="000000"/>
                <w:szCs w:val="22"/>
              </w:rPr>
            </w:pPr>
            <w:bookmarkStart w:id="169" w:name="RANGE!A7"/>
            <w:r>
              <w:rPr>
                <w:color w:val="000000"/>
                <w:sz w:val="22"/>
                <w:szCs w:val="22"/>
              </w:rPr>
              <w:t xml:space="preserve">G. </w:t>
            </w:r>
            <w:proofErr w:type="spellStart"/>
            <w:r>
              <w:rPr>
                <w:color w:val="000000"/>
                <w:sz w:val="22"/>
                <w:szCs w:val="22"/>
              </w:rPr>
              <w:t>Za</w:t>
            </w:r>
            <w:r w:rsidR="003773EA" w:rsidRPr="003773EA">
              <w:rPr>
                <w:color w:val="000000"/>
                <w:sz w:val="22"/>
                <w:szCs w:val="22"/>
              </w:rPr>
              <w:t>gala</w:t>
            </w:r>
            <w:proofErr w:type="spellEnd"/>
            <w:r w:rsidR="003773EA" w:rsidRPr="003773EA">
              <w:rPr>
                <w:color w:val="000000"/>
                <w:sz w:val="22"/>
                <w:szCs w:val="22"/>
              </w:rPr>
              <w:t>, Ostrava</w:t>
            </w:r>
            <w:bookmarkEnd w:id="169"/>
          </w:p>
        </w:tc>
        <w:tc>
          <w:tcPr>
            <w:tcW w:w="134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r w:rsidRPr="003773EA">
              <w:rPr>
                <w:color w:val="000000"/>
                <w:sz w:val="22"/>
                <w:szCs w:val="22"/>
              </w:rPr>
              <w:t>200608</w:t>
            </w:r>
          </w:p>
        </w:tc>
        <w:tc>
          <w:tcPr>
            <w:tcW w:w="160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bookmarkStart w:id="170" w:name="RANGE!C7"/>
            <w:r w:rsidRPr="003773EA">
              <w:rPr>
                <w:color w:val="000000"/>
                <w:sz w:val="22"/>
                <w:szCs w:val="22"/>
              </w:rPr>
              <w:t>28. 04. 2006</w:t>
            </w:r>
            <w:bookmarkEnd w:id="170"/>
          </w:p>
        </w:tc>
        <w:tc>
          <w:tcPr>
            <w:tcW w:w="160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bookmarkStart w:id="171" w:name="RANGE!D7"/>
            <w:r w:rsidRPr="003773EA">
              <w:rPr>
                <w:color w:val="000000"/>
                <w:sz w:val="22"/>
                <w:szCs w:val="22"/>
              </w:rPr>
              <w:t>28. 04. 2006</w:t>
            </w:r>
            <w:bookmarkEnd w:id="171"/>
          </w:p>
        </w:tc>
        <w:tc>
          <w:tcPr>
            <w:tcW w:w="1360" w:type="dxa"/>
            <w:tcBorders>
              <w:top w:val="nil"/>
              <w:left w:val="nil"/>
              <w:bottom w:val="single" w:sz="4" w:space="0" w:color="auto"/>
              <w:right w:val="single" w:sz="12" w:space="0" w:color="auto"/>
            </w:tcBorders>
            <w:shd w:val="clear" w:color="auto" w:fill="auto"/>
            <w:vAlign w:val="center"/>
            <w:hideMark/>
          </w:tcPr>
          <w:p w:rsidR="003773EA" w:rsidRPr="003773EA" w:rsidRDefault="003773EA" w:rsidP="003773EA">
            <w:pPr>
              <w:spacing w:after="0" w:line="240" w:lineRule="auto"/>
              <w:jc w:val="right"/>
              <w:rPr>
                <w:color w:val="000000"/>
                <w:szCs w:val="22"/>
              </w:rPr>
            </w:pPr>
            <w:bookmarkStart w:id="172" w:name="RANGE!E7"/>
            <w:r w:rsidRPr="003773EA">
              <w:rPr>
                <w:color w:val="000000"/>
                <w:sz w:val="22"/>
                <w:szCs w:val="22"/>
              </w:rPr>
              <w:t>49 349</w:t>
            </w:r>
            <w:bookmarkEnd w:id="172"/>
          </w:p>
        </w:tc>
      </w:tr>
      <w:tr w:rsidR="003773EA" w:rsidRPr="003773EA" w:rsidTr="003773EA">
        <w:trPr>
          <w:trHeight w:val="342"/>
        </w:trPr>
        <w:tc>
          <w:tcPr>
            <w:tcW w:w="2800" w:type="dxa"/>
            <w:tcBorders>
              <w:top w:val="nil"/>
              <w:left w:val="single" w:sz="12" w:space="0" w:color="auto"/>
              <w:bottom w:val="single" w:sz="4" w:space="0" w:color="auto"/>
              <w:right w:val="single" w:sz="4" w:space="0" w:color="auto"/>
            </w:tcBorders>
            <w:shd w:val="clear" w:color="auto" w:fill="auto"/>
            <w:vAlign w:val="center"/>
            <w:hideMark/>
          </w:tcPr>
          <w:p w:rsidR="003773EA" w:rsidRPr="003773EA" w:rsidRDefault="0010457F" w:rsidP="003773EA">
            <w:pPr>
              <w:spacing w:after="0" w:line="240" w:lineRule="auto"/>
              <w:rPr>
                <w:color w:val="000000"/>
                <w:szCs w:val="22"/>
              </w:rPr>
            </w:pPr>
            <w:bookmarkStart w:id="173" w:name="RANGE!A8"/>
            <w:r>
              <w:rPr>
                <w:color w:val="000000"/>
                <w:sz w:val="22"/>
                <w:szCs w:val="22"/>
              </w:rPr>
              <w:t>I</w:t>
            </w:r>
            <w:r w:rsidR="003773EA" w:rsidRPr="003773EA">
              <w:rPr>
                <w:color w:val="000000"/>
                <w:sz w:val="22"/>
                <w:szCs w:val="22"/>
              </w:rPr>
              <w:t xml:space="preserve"> - LUX s.r.o., Liberec</w:t>
            </w:r>
            <w:bookmarkEnd w:id="173"/>
          </w:p>
        </w:tc>
        <w:tc>
          <w:tcPr>
            <w:tcW w:w="134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r w:rsidRPr="003773EA">
              <w:rPr>
                <w:color w:val="000000"/>
                <w:sz w:val="22"/>
                <w:szCs w:val="22"/>
              </w:rPr>
              <w:t>201007</w:t>
            </w:r>
          </w:p>
        </w:tc>
        <w:tc>
          <w:tcPr>
            <w:tcW w:w="160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bookmarkStart w:id="174" w:name="RANGE!C8"/>
            <w:r w:rsidRPr="003773EA">
              <w:rPr>
                <w:color w:val="000000"/>
                <w:sz w:val="22"/>
                <w:szCs w:val="22"/>
              </w:rPr>
              <w:t>30. 04. 2010</w:t>
            </w:r>
            <w:bookmarkEnd w:id="174"/>
          </w:p>
        </w:tc>
        <w:tc>
          <w:tcPr>
            <w:tcW w:w="160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bookmarkStart w:id="175" w:name="RANGE!D8"/>
            <w:r w:rsidRPr="003773EA">
              <w:rPr>
                <w:color w:val="000000"/>
                <w:sz w:val="22"/>
                <w:szCs w:val="22"/>
              </w:rPr>
              <w:t>14. 05. 2010</w:t>
            </w:r>
            <w:bookmarkEnd w:id="175"/>
          </w:p>
        </w:tc>
        <w:tc>
          <w:tcPr>
            <w:tcW w:w="1360" w:type="dxa"/>
            <w:tcBorders>
              <w:top w:val="nil"/>
              <w:left w:val="nil"/>
              <w:bottom w:val="single" w:sz="4" w:space="0" w:color="auto"/>
              <w:right w:val="single" w:sz="12" w:space="0" w:color="auto"/>
            </w:tcBorders>
            <w:shd w:val="clear" w:color="auto" w:fill="auto"/>
            <w:vAlign w:val="center"/>
            <w:hideMark/>
          </w:tcPr>
          <w:p w:rsidR="003773EA" w:rsidRPr="003773EA" w:rsidRDefault="003773EA" w:rsidP="003773EA">
            <w:pPr>
              <w:spacing w:after="0" w:line="240" w:lineRule="auto"/>
              <w:jc w:val="right"/>
              <w:rPr>
                <w:color w:val="000000"/>
                <w:szCs w:val="22"/>
              </w:rPr>
            </w:pPr>
            <w:bookmarkStart w:id="176" w:name="RANGE!E8"/>
            <w:r w:rsidRPr="003773EA">
              <w:rPr>
                <w:color w:val="000000"/>
                <w:sz w:val="22"/>
                <w:szCs w:val="22"/>
              </w:rPr>
              <w:t>60 662</w:t>
            </w:r>
            <w:bookmarkEnd w:id="176"/>
          </w:p>
        </w:tc>
      </w:tr>
      <w:tr w:rsidR="003773EA" w:rsidRPr="003773EA" w:rsidTr="003773EA">
        <w:trPr>
          <w:trHeight w:val="342"/>
        </w:trPr>
        <w:tc>
          <w:tcPr>
            <w:tcW w:w="2800" w:type="dxa"/>
            <w:tcBorders>
              <w:top w:val="nil"/>
              <w:left w:val="single" w:sz="12" w:space="0" w:color="auto"/>
              <w:bottom w:val="single" w:sz="4" w:space="0" w:color="auto"/>
              <w:right w:val="single" w:sz="4" w:space="0" w:color="auto"/>
            </w:tcBorders>
            <w:shd w:val="clear" w:color="auto" w:fill="auto"/>
            <w:vAlign w:val="center"/>
            <w:hideMark/>
          </w:tcPr>
          <w:p w:rsidR="003773EA" w:rsidRPr="003773EA" w:rsidRDefault="0010457F" w:rsidP="003773EA">
            <w:pPr>
              <w:spacing w:after="0" w:line="240" w:lineRule="auto"/>
              <w:rPr>
                <w:color w:val="000000"/>
                <w:szCs w:val="22"/>
              </w:rPr>
            </w:pPr>
            <w:bookmarkStart w:id="177" w:name="RANGE!A9"/>
            <w:r>
              <w:rPr>
                <w:color w:val="000000"/>
                <w:sz w:val="22"/>
                <w:szCs w:val="22"/>
              </w:rPr>
              <w:t>I</w:t>
            </w:r>
            <w:r w:rsidR="003773EA" w:rsidRPr="003773EA">
              <w:rPr>
                <w:color w:val="000000"/>
                <w:sz w:val="22"/>
                <w:szCs w:val="22"/>
              </w:rPr>
              <w:t xml:space="preserve"> - LUX s.r.o., Liberec</w:t>
            </w:r>
            <w:bookmarkEnd w:id="177"/>
          </w:p>
        </w:tc>
        <w:tc>
          <w:tcPr>
            <w:tcW w:w="134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r w:rsidRPr="003773EA">
              <w:rPr>
                <w:color w:val="000000"/>
                <w:sz w:val="22"/>
                <w:szCs w:val="22"/>
              </w:rPr>
              <w:t>201010</w:t>
            </w:r>
          </w:p>
        </w:tc>
        <w:tc>
          <w:tcPr>
            <w:tcW w:w="160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bookmarkStart w:id="178" w:name="RANGE!C9"/>
            <w:r w:rsidRPr="003773EA">
              <w:rPr>
                <w:color w:val="000000"/>
                <w:sz w:val="22"/>
                <w:szCs w:val="22"/>
              </w:rPr>
              <w:t>31. 05. 2010</w:t>
            </w:r>
            <w:bookmarkEnd w:id="178"/>
          </w:p>
        </w:tc>
        <w:tc>
          <w:tcPr>
            <w:tcW w:w="160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bookmarkStart w:id="179" w:name="RANGE!D9"/>
            <w:r w:rsidRPr="003773EA">
              <w:rPr>
                <w:color w:val="000000"/>
                <w:sz w:val="22"/>
                <w:szCs w:val="22"/>
              </w:rPr>
              <w:t>30. 06. 2010</w:t>
            </w:r>
            <w:bookmarkEnd w:id="179"/>
          </w:p>
        </w:tc>
        <w:tc>
          <w:tcPr>
            <w:tcW w:w="1360" w:type="dxa"/>
            <w:tcBorders>
              <w:top w:val="nil"/>
              <w:left w:val="nil"/>
              <w:bottom w:val="single" w:sz="4" w:space="0" w:color="auto"/>
              <w:right w:val="single" w:sz="12" w:space="0" w:color="auto"/>
            </w:tcBorders>
            <w:shd w:val="clear" w:color="auto" w:fill="auto"/>
            <w:vAlign w:val="center"/>
            <w:hideMark/>
          </w:tcPr>
          <w:p w:rsidR="003773EA" w:rsidRPr="003773EA" w:rsidRDefault="003773EA" w:rsidP="003773EA">
            <w:pPr>
              <w:spacing w:after="0" w:line="240" w:lineRule="auto"/>
              <w:jc w:val="right"/>
              <w:rPr>
                <w:color w:val="000000"/>
                <w:szCs w:val="22"/>
              </w:rPr>
            </w:pPr>
            <w:bookmarkStart w:id="180" w:name="RANGE!E9"/>
            <w:r w:rsidRPr="003773EA">
              <w:rPr>
                <w:color w:val="000000"/>
                <w:sz w:val="22"/>
                <w:szCs w:val="22"/>
              </w:rPr>
              <w:t>132 000</w:t>
            </w:r>
            <w:bookmarkEnd w:id="180"/>
          </w:p>
        </w:tc>
      </w:tr>
      <w:tr w:rsidR="003773EA" w:rsidRPr="003773EA" w:rsidTr="003773EA">
        <w:trPr>
          <w:trHeight w:val="342"/>
        </w:trPr>
        <w:tc>
          <w:tcPr>
            <w:tcW w:w="2800" w:type="dxa"/>
            <w:tcBorders>
              <w:top w:val="nil"/>
              <w:left w:val="single" w:sz="12" w:space="0" w:color="auto"/>
              <w:bottom w:val="single" w:sz="4" w:space="0" w:color="auto"/>
              <w:right w:val="single" w:sz="4" w:space="0" w:color="auto"/>
            </w:tcBorders>
            <w:shd w:val="clear" w:color="auto" w:fill="auto"/>
            <w:vAlign w:val="center"/>
            <w:hideMark/>
          </w:tcPr>
          <w:p w:rsidR="003773EA" w:rsidRPr="003773EA" w:rsidRDefault="0010457F" w:rsidP="0010457F">
            <w:pPr>
              <w:spacing w:after="0" w:line="240" w:lineRule="auto"/>
              <w:rPr>
                <w:color w:val="000000"/>
                <w:szCs w:val="22"/>
              </w:rPr>
            </w:pPr>
            <w:bookmarkStart w:id="181" w:name="RANGE!A10"/>
            <w:r>
              <w:rPr>
                <w:color w:val="000000"/>
                <w:sz w:val="22"/>
                <w:szCs w:val="22"/>
              </w:rPr>
              <w:t>I</w:t>
            </w:r>
            <w:r w:rsidR="003773EA" w:rsidRPr="003773EA">
              <w:rPr>
                <w:color w:val="000000"/>
                <w:sz w:val="22"/>
                <w:szCs w:val="22"/>
              </w:rPr>
              <w:t xml:space="preserve"> - LUX s.r.o., Liberec</w:t>
            </w:r>
            <w:bookmarkEnd w:id="181"/>
          </w:p>
        </w:tc>
        <w:tc>
          <w:tcPr>
            <w:tcW w:w="134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r w:rsidRPr="003773EA">
              <w:rPr>
                <w:color w:val="000000"/>
                <w:sz w:val="22"/>
                <w:szCs w:val="22"/>
              </w:rPr>
              <w:t>201015</w:t>
            </w:r>
          </w:p>
        </w:tc>
        <w:tc>
          <w:tcPr>
            <w:tcW w:w="160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bookmarkStart w:id="182" w:name="RANGE!C10"/>
            <w:r w:rsidRPr="003773EA">
              <w:rPr>
                <w:color w:val="000000"/>
                <w:sz w:val="22"/>
                <w:szCs w:val="22"/>
              </w:rPr>
              <w:t>30. 07. 2010</w:t>
            </w:r>
            <w:bookmarkEnd w:id="182"/>
          </w:p>
        </w:tc>
        <w:tc>
          <w:tcPr>
            <w:tcW w:w="1600" w:type="dxa"/>
            <w:tcBorders>
              <w:top w:val="nil"/>
              <w:left w:val="nil"/>
              <w:bottom w:val="single" w:sz="4" w:space="0" w:color="auto"/>
              <w:right w:val="single" w:sz="4" w:space="0" w:color="auto"/>
            </w:tcBorders>
            <w:shd w:val="clear" w:color="auto" w:fill="auto"/>
            <w:vAlign w:val="center"/>
            <w:hideMark/>
          </w:tcPr>
          <w:p w:rsidR="003773EA" w:rsidRPr="003773EA" w:rsidRDefault="003773EA" w:rsidP="003773EA">
            <w:pPr>
              <w:spacing w:after="0" w:line="240" w:lineRule="auto"/>
              <w:jc w:val="center"/>
              <w:rPr>
                <w:color w:val="000000"/>
                <w:szCs w:val="22"/>
              </w:rPr>
            </w:pPr>
            <w:bookmarkStart w:id="183" w:name="RANGE!D10"/>
            <w:r w:rsidRPr="003773EA">
              <w:rPr>
                <w:color w:val="000000"/>
                <w:sz w:val="22"/>
                <w:szCs w:val="22"/>
              </w:rPr>
              <w:t>13. 08. 2010</w:t>
            </w:r>
            <w:bookmarkEnd w:id="183"/>
          </w:p>
        </w:tc>
        <w:tc>
          <w:tcPr>
            <w:tcW w:w="1360" w:type="dxa"/>
            <w:tcBorders>
              <w:top w:val="nil"/>
              <w:left w:val="nil"/>
              <w:bottom w:val="single" w:sz="4" w:space="0" w:color="auto"/>
              <w:right w:val="single" w:sz="12" w:space="0" w:color="auto"/>
            </w:tcBorders>
            <w:shd w:val="clear" w:color="auto" w:fill="auto"/>
            <w:vAlign w:val="center"/>
            <w:hideMark/>
          </w:tcPr>
          <w:p w:rsidR="003773EA" w:rsidRPr="003773EA" w:rsidRDefault="003773EA" w:rsidP="003773EA">
            <w:pPr>
              <w:spacing w:after="0" w:line="240" w:lineRule="auto"/>
              <w:jc w:val="right"/>
              <w:rPr>
                <w:color w:val="000000"/>
                <w:szCs w:val="22"/>
              </w:rPr>
            </w:pPr>
            <w:bookmarkStart w:id="184" w:name="RANGE!E10"/>
            <w:r w:rsidRPr="003773EA">
              <w:rPr>
                <w:color w:val="000000"/>
                <w:sz w:val="22"/>
                <w:szCs w:val="22"/>
              </w:rPr>
              <w:t>106 338</w:t>
            </w:r>
            <w:bookmarkEnd w:id="184"/>
          </w:p>
        </w:tc>
      </w:tr>
      <w:tr w:rsidR="003773EA" w:rsidRPr="003773EA" w:rsidTr="00BF1205">
        <w:trPr>
          <w:trHeight w:val="340"/>
        </w:trPr>
        <w:tc>
          <w:tcPr>
            <w:tcW w:w="7340" w:type="dxa"/>
            <w:gridSpan w:val="4"/>
            <w:tcBorders>
              <w:top w:val="single" w:sz="4" w:space="0" w:color="auto"/>
              <w:left w:val="single" w:sz="12" w:space="0" w:color="auto"/>
              <w:bottom w:val="single" w:sz="12" w:space="0" w:color="auto"/>
              <w:right w:val="single" w:sz="4" w:space="0" w:color="000000"/>
            </w:tcBorders>
            <w:shd w:val="clear" w:color="auto" w:fill="auto"/>
            <w:vAlign w:val="center"/>
            <w:hideMark/>
          </w:tcPr>
          <w:p w:rsidR="003773EA" w:rsidRPr="003773EA" w:rsidRDefault="003773EA" w:rsidP="003773EA">
            <w:pPr>
              <w:spacing w:after="0" w:line="240" w:lineRule="auto"/>
              <w:jc w:val="left"/>
              <w:rPr>
                <w:b/>
                <w:bCs/>
                <w:color w:val="000000"/>
                <w:szCs w:val="22"/>
              </w:rPr>
            </w:pPr>
            <w:r w:rsidRPr="003773EA">
              <w:rPr>
                <w:b/>
                <w:bCs/>
                <w:color w:val="000000"/>
                <w:sz w:val="22"/>
                <w:szCs w:val="22"/>
              </w:rPr>
              <w:t>CELKEM</w:t>
            </w:r>
          </w:p>
        </w:tc>
        <w:tc>
          <w:tcPr>
            <w:tcW w:w="1360" w:type="dxa"/>
            <w:tcBorders>
              <w:top w:val="nil"/>
              <w:left w:val="nil"/>
              <w:bottom w:val="single" w:sz="12" w:space="0" w:color="auto"/>
              <w:right w:val="single" w:sz="12" w:space="0" w:color="auto"/>
            </w:tcBorders>
            <w:shd w:val="clear" w:color="auto" w:fill="auto"/>
            <w:noWrap/>
            <w:vAlign w:val="center"/>
            <w:hideMark/>
          </w:tcPr>
          <w:p w:rsidR="003773EA" w:rsidRPr="003773EA" w:rsidRDefault="003773EA" w:rsidP="003773EA">
            <w:pPr>
              <w:spacing w:after="0" w:line="240" w:lineRule="auto"/>
              <w:jc w:val="right"/>
              <w:rPr>
                <w:b/>
                <w:bCs/>
                <w:color w:val="000000"/>
                <w:szCs w:val="22"/>
              </w:rPr>
            </w:pPr>
            <w:r w:rsidRPr="003773EA">
              <w:rPr>
                <w:b/>
                <w:bCs/>
                <w:color w:val="000000"/>
                <w:sz w:val="22"/>
                <w:szCs w:val="22"/>
              </w:rPr>
              <w:t>533 230</w:t>
            </w:r>
          </w:p>
        </w:tc>
      </w:tr>
    </w:tbl>
    <w:p w:rsidR="00F44B3D" w:rsidRDefault="00F44B3D" w:rsidP="00F44B3D">
      <w:pPr>
        <w:pStyle w:val="dajenadtabulkouazdroj"/>
      </w:pPr>
      <w:r>
        <w:t>Zdroj: Q – MONT s. r. o.</w:t>
      </w:r>
    </w:p>
    <w:p w:rsidR="00697B44" w:rsidRDefault="00F44B3D" w:rsidP="002158D0">
      <w:pPr>
        <w:pStyle w:val="Odstavecnormln"/>
      </w:pPr>
      <w:r w:rsidRPr="00F44B3D">
        <w:lastRenderedPageBreak/>
        <w:t>Z</w:t>
      </w:r>
      <w:r w:rsidR="007D1260">
        <w:t> tabulky 14</w:t>
      </w:r>
      <w:r>
        <w:t xml:space="preserve"> </w:t>
      </w:r>
      <w:r w:rsidRPr="00F44B3D">
        <w:t>je patrné</w:t>
      </w:r>
      <w:r>
        <w:t xml:space="preserve">, že společnost eviduje nedobytné pohledávky v celkové výši 533.230 Kč. </w:t>
      </w:r>
      <w:r w:rsidR="003773EA">
        <w:t xml:space="preserve">Ve výkazech rozvah za období roků 2009 – 2011 jsou evidovány opravné položky k pohledávkám ve výši 30.021 Kč. V elektronických účetních záznamech společnosti Q – MONT s. r. o. byl dohledán zápis vnitřního účetního záznamu o tvorbě těchto opravných položek. </w:t>
      </w:r>
      <w:r w:rsidR="00200809">
        <w:t>Opravné položky byly vytvořeny k 31. 12.</w:t>
      </w:r>
      <w:r w:rsidR="003773EA">
        <w:t xml:space="preserve"> 2005, ale z důvodu nepředložení prvotních účetních dokladů za rok 2005</w:t>
      </w:r>
      <w:r w:rsidR="00AD32BD">
        <w:t>,</w:t>
      </w:r>
      <w:r w:rsidR="003773EA">
        <w:t xml:space="preserve"> nelze zjistit</w:t>
      </w:r>
      <w:r w:rsidR="00892EDF">
        <w:t>,</w:t>
      </w:r>
      <w:r w:rsidR="003773EA">
        <w:t xml:space="preserve"> k jakým konkrét</w:t>
      </w:r>
      <w:r w:rsidR="00697B44">
        <w:t>ním pohledávkám byly vytvořeny.</w:t>
      </w:r>
    </w:p>
    <w:p w:rsidR="00FA0A77" w:rsidRDefault="0074796F" w:rsidP="002158D0">
      <w:pPr>
        <w:pStyle w:val="Odstavecnormln"/>
      </w:pPr>
      <w:r>
        <w:t xml:space="preserve">Jednou ze zásad účetnictví je, že podává věrný obraz o hospodářské a finanční situaci podniku. Z toho vyplývá, že </w:t>
      </w:r>
      <w:r w:rsidR="008A0390">
        <w:t>je</w:t>
      </w:r>
      <w:r>
        <w:t xml:space="preserve"> společnost </w:t>
      </w:r>
      <w:r w:rsidR="008A0390">
        <w:t>povinna</w:t>
      </w:r>
      <w:r>
        <w:t xml:space="preserve"> vykazovat </w:t>
      </w:r>
      <w:r w:rsidR="008A0390">
        <w:t xml:space="preserve">v účetnictví </w:t>
      </w:r>
      <w:r>
        <w:t xml:space="preserve">takovou hodnotu pohledávek, která odpovídá skutečnosti. Společnost eviduje </w:t>
      </w:r>
      <w:r w:rsidR="00AD32BD">
        <w:t xml:space="preserve">k 31. 12. 2011 </w:t>
      </w:r>
      <w:r>
        <w:t>v po</w:t>
      </w:r>
      <w:r w:rsidR="00AD32BD">
        <w:t xml:space="preserve">hledávkách z obchodních vztahů </w:t>
      </w:r>
      <w:r>
        <w:t>pohledávky</w:t>
      </w:r>
      <w:r w:rsidR="00AD32BD">
        <w:t>, které jsou promlčené</w:t>
      </w:r>
      <w:r w:rsidR="00AD32BD">
        <w:rPr>
          <w:rStyle w:val="Znakapoznpodarou"/>
          <w:i/>
        </w:rPr>
        <w:footnoteReference w:id="16"/>
      </w:r>
      <w:r>
        <w:t xml:space="preserve">. </w:t>
      </w:r>
      <w:r w:rsidR="004B0962">
        <w:t xml:space="preserve">Jedná se </w:t>
      </w:r>
      <w:r w:rsidR="004B0962">
        <w:br/>
        <w:t>o</w:t>
      </w:r>
      <w:r w:rsidR="00892EDF">
        <w:t xml:space="preserve"> pohledávky za společností </w:t>
      </w:r>
      <w:r w:rsidR="0010457F">
        <w:t>M -</w:t>
      </w:r>
      <w:r w:rsidR="00892EDF">
        <w:t xml:space="preserve"> </w:t>
      </w:r>
      <w:proofErr w:type="spellStart"/>
      <w:r w:rsidR="00892EDF">
        <w:t>Trade</w:t>
      </w:r>
      <w:proofErr w:type="spellEnd"/>
      <w:r w:rsidR="00892EDF">
        <w:t xml:space="preserve"> s. r. o., Ostrava v celkové výši 66.457 Kč </w:t>
      </w:r>
      <w:r w:rsidR="004B0962">
        <w:br/>
      </w:r>
      <w:r w:rsidR="0010457F">
        <w:t xml:space="preserve">a za firmou G. </w:t>
      </w:r>
      <w:proofErr w:type="spellStart"/>
      <w:r w:rsidR="0010457F">
        <w:t>Za</w:t>
      </w:r>
      <w:r w:rsidR="00892EDF">
        <w:t>gala</w:t>
      </w:r>
      <w:proofErr w:type="spellEnd"/>
      <w:r w:rsidR="00892EDF">
        <w:t>, Ostrava v celkové výši 161.662 Kč.</w:t>
      </w:r>
    </w:p>
    <w:p w:rsidR="00BF1205" w:rsidRDefault="00200809" w:rsidP="002158D0">
      <w:pPr>
        <w:pStyle w:val="Odstavecnormln"/>
      </w:pPr>
      <w:r>
        <w:t>V následující kapitole</w:t>
      </w:r>
      <w:r w:rsidR="00665803">
        <w:t xml:space="preserve"> jsou stanoveny hodnoty ukazatelů likvidity. Pro výpočet těchto ukazatelů budou oběžná aktiva upravena </w:t>
      </w:r>
      <w:r w:rsidR="00885680">
        <w:t xml:space="preserve">o </w:t>
      </w:r>
      <w:r w:rsidR="00665803">
        <w:t>pohledávky uvedené</w:t>
      </w:r>
      <w:r w:rsidR="00665803" w:rsidRPr="00665803">
        <w:t xml:space="preserve"> v</w:t>
      </w:r>
      <w:r w:rsidR="007D1260">
        <w:t> tabulce 14</w:t>
      </w:r>
      <w:r w:rsidR="00DD3967" w:rsidRPr="00DD3967">
        <w:t xml:space="preserve"> </w:t>
      </w:r>
      <w:r w:rsidR="00C126BC" w:rsidRPr="00DD3967">
        <w:t>n</w:t>
      </w:r>
      <w:r w:rsidR="00665803" w:rsidRPr="00DD3967">
        <w:t xml:space="preserve">a str. </w:t>
      </w:r>
      <w:r w:rsidR="00665803" w:rsidRPr="00DD3967">
        <w:fldChar w:fldCharType="begin"/>
      </w:r>
      <w:r w:rsidR="00665803" w:rsidRPr="00DD3967">
        <w:instrText xml:space="preserve"> PAGEREF _Ref349667652 \h </w:instrText>
      </w:r>
      <w:r w:rsidR="00665803" w:rsidRPr="00DD3967">
        <w:fldChar w:fldCharType="separate"/>
      </w:r>
      <w:r w:rsidR="002534BA">
        <w:rPr>
          <w:noProof/>
        </w:rPr>
        <w:t>34</w:t>
      </w:r>
      <w:r w:rsidR="00665803" w:rsidRPr="00DD3967">
        <w:fldChar w:fldCharType="end"/>
      </w:r>
      <w:r w:rsidR="00665803" w:rsidRPr="00DD3967">
        <w:t>.</w:t>
      </w:r>
    </w:p>
    <w:p w:rsidR="00435AB8" w:rsidRDefault="00435AB8" w:rsidP="00F7187D">
      <w:pPr>
        <w:pStyle w:val="Nadpis3"/>
      </w:pPr>
      <w:bookmarkStart w:id="185" w:name="_Toc339528929"/>
      <w:bookmarkStart w:id="186" w:name="_Toc347167035"/>
      <w:bookmarkStart w:id="187" w:name="_Ref349667455"/>
      <w:bookmarkStart w:id="188" w:name="_Ref350448853"/>
      <w:bookmarkStart w:id="189" w:name="_Ref350448871"/>
      <w:bookmarkStart w:id="190" w:name="_Ref350536691"/>
      <w:bookmarkStart w:id="191" w:name="_Ref350536707"/>
      <w:bookmarkStart w:id="192" w:name="_Toc353126178"/>
      <w:bookmarkStart w:id="193" w:name="_Toc353439370"/>
      <w:r>
        <w:t>Ukazatele likvidity</w:t>
      </w:r>
      <w:bookmarkEnd w:id="185"/>
      <w:bookmarkEnd w:id="186"/>
      <w:bookmarkEnd w:id="187"/>
      <w:bookmarkEnd w:id="188"/>
      <w:bookmarkEnd w:id="189"/>
      <w:bookmarkEnd w:id="190"/>
      <w:bookmarkEnd w:id="191"/>
      <w:bookmarkEnd w:id="192"/>
      <w:bookmarkEnd w:id="193"/>
    </w:p>
    <w:p w:rsidR="00D97791" w:rsidRDefault="00722874" w:rsidP="002158D0">
      <w:pPr>
        <w:pStyle w:val="Odstavecnormln"/>
      </w:pPr>
      <w:r>
        <w:t xml:space="preserve">Pro výpočet ukazatelů likvidity </w:t>
      </w:r>
      <w:r w:rsidR="00885680">
        <w:t xml:space="preserve">byl </w:t>
      </w:r>
      <w:r w:rsidR="00CE6F4D">
        <w:t xml:space="preserve">z účetních záznamů a rozvah společnosti </w:t>
      </w:r>
      <w:r>
        <w:t>sestaven přehled (viz</w:t>
      </w:r>
      <w:r w:rsidR="007D1260">
        <w:t xml:space="preserve"> tabulka 15</w:t>
      </w:r>
      <w:r w:rsidR="00200809">
        <w:t>)</w:t>
      </w:r>
      <w:r>
        <w:t>, ve kterém jsou uvedeny hodnoty aktiv a pasiv nezbytných pro určení běžné, pohotové a okamžité likvidity v jednotl</w:t>
      </w:r>
      <w:r w:rsidR="00834A96">
        <w:t>ivých letech zkoumaného období.</w:t>
      </w:r>
    </w:p>
    <w:p w:rsidR="00D97791" w:rsidRDefault="00D97791">
      <w:pPr>
        <w:spacing w:after="200" w:line="276" w:lineRule="auto"/>
        <w:jc w:val="left"/>
      </w:pPr>
      <w:r>
        <w:br w:type="page"/>
      </w:r>
    </w:p>
    <w:p w:rsidR="00722874" w:rsidRDefault="00722874" w:rsidP="00722874">
      <w:pPr>
        <w:pStyle w:val="Titulek"/>
      </w:pPr>
      <w:bookmarkStart w:id="194" w:name="_Ref349667764"/>
      <w:bookmarkStart w:id="195" w:name="_Ref350624640"/>
      <w:bookmarkStart w:id="196" w:name="_Ref349667746"/>
      <w:bookmarkStart w:id="197" w:name="_Toc353125954"/>
      <w:r>
        <w:lastRenderedPageBreak/>
        <w:t xml:space="preserve">Tabulka </w:t>
      </w:r>
      <w:r w:rsidR="00C96C2B">
        <w:fldChar w:fldCharType="begin"/>
      </w:r>
      <w:r w:rsidR="00C96C2B">
        <w:instrText xml:space="preserve"> SEQ Tabulka \* ARABIC </w:instrText>
      </w:r>
      <w:r w:rsidR="00C96C2B">
        <w:fldChar w:fldCharType="separate"/>
      </w:r>
      <w:r w:rsidR="002534BA">
        <w:rPr>
          <w:noProof/>
        </w:rPr>
        <w:t>15</w:t>
      </w:r>
      <w:r w:rsidR="00C96C2B">
        <w:rPr>
          <w:noProof/>
        </w:rPr>
        <w:fldChar w:fldCharType="end"/>
      </w:r>
      <w:bookmarkEnd w:id="194"/>
      <w:bookmarkEnd w:id="195"/>
      <w:r w:rsidRPr="000049CD">
        <w:t xml:space="preserve"> Vybrané hodnoty aktiv a pasiv</w:t>
      </w:r>
      <w:bookmarkEnd w:id="196"/>
      <w:r w:rsidR="0079132B">
        <w:t>: Q – MONT s. r. o.</w:t>
      </w:r>
      <w:bookmarkEnd w:id="197"/>
    </w:p>
    <w:p w:rsidR="00722874" w:rsidRDefault="00722874" w:rsidP="00722874">
      <w:pPr>
        <w:pStyle w:val="dajenadtabulkouazdroj"/>
      </w:pPr>
      <w:r>
        <w:t>Údaje jsou uvedeny v celých Kč</w:t>
      </w:r>
    </w:p>
    <w:tbl>
      <w:tblPr>
        <w:tblW w:w="8886" w:type="dxa"/>
        <w:jc w:val="center"/>
        <w:tblInd w:w="98" w:type="dxa"/>
        <w:tblCellMar>
          <w:left w:w="70" w:type="dxa"/>
          <w:right w:w="70" w:type="dxa"/>
        </w:tblCellMar>
        <w:tblLook w:val="04A0" w:firstRow="1" w:lastRow="0" w:firstColumn="1" w:lastColumn="0" w:noHBand="0" w:noVBand="1"/>
      </w:tblPr>
      <w:tblGrid>
        <w:gridCol w:w="608"/>
        <w:gridCol w:w="2276"/>
        <w:gridCol w:w="2698"/>
        <w:gridCol w:w="1106"/>
        <w:gridCol w:w="1099"/>
        <w:gridCol w:w="1099"/>
      </w:tblGrid>
      <w:tr w:rsidR="001F739D" w:rsidRPr="009C1BDC" w:rsidTr="001F739D">
        <w:trPr>
          <w:trHeight w:val="439"/>
          <w:tblHeader/>
          <w:jc w:val="center"/>
        </w:trPr>
        <w:tc>
          <w:tcPr>
            <w:tcW w:w="515" w:type="dxa"/>
            <w:tcBorders>
              <w:top w:val="single" w:sz="12" w:space="0" w:color="auto"/>
              <w:left w:val="single" w:sz="12" w:space="0" w:color="auto"/>
              <w:bottom w:val="double" w:sz="6" w:space="0" w:color="auto"/>
              <w:right w:val="single" w:sz="4" w:space="0" w:color="auto"/>
            </w:tcBorders>
            <w:shd w:val="clear" w:color="000000" w:fill="E4DFEC"/>
            <w:vAlign w:val="center"/>
          </w:tcPr>
          <w:p w:rsidR="009C1BDC" w:rsidRPr="009C1BDC" w:rsidRDefault="0010457F" w:rsidP="009C1BDC">
            <w:pPr>
              <w:spacing w:after="0" w:line="240" w:lineRule="auto"/>
              <w:jc w:val="center"/>
              <w:rPr>
                <w:b/>
                <w:bCs/>
                <w:color w:val="000000"/>
                <w:szCs w:val="22"/>
              </w:rPr>
            </w:pPr>
            <w:proofErr w:type="gramStart"/>
            <w:r>
              <w:rPr>
                <w:b/>
                <w:bCs/>
                <w:color w:val="000000"/>
                <w:szCs w:val="22"/>
              </w:rPr>
              <w:t>Č.Ř.</w:t>
            </w:r>
            <w:proofErr w:type="gramEnd"/>
          </w:p>
        </w:tc>
        <w:tc>
          <w:tcPr>
            <w:tcW w:w="5032" w:type="dxa"/>
            <w:gridSpan w:val="2"/>
            <w:tcBorders>
              <w:top w:val="single" w:sz="12" w:space="0" w:color="auto"/>
              <w:left w:val="nil"/>
              <w:bottom w:val="double" w:sz="6" w:space="0" w:color="auto"/>
              <w:right w:val="single" w:sz="4" w:space="0" w:color="auto"/>
            </w:tcBorders>
            <w:shd w:val="clear" w:color="000000" w:fill="E4DFEC"/>
            <w:vAlign w:val="center"/>
            <w:hideMark/>
          </w:tcPr>
          <w:p w:rsidR="009C1BDC" w:rsidRPr="009C1BDC" w:rsidRDefault="0010457F" w:rsidP="009C1BDC">
            <w:pPr>
              <w:spacing w:after="0" w:line="240" w:lineRule="auto"/>
              <w:jc w:val="center"/>
              <w:rPr>
                <w:b/>
                <w:bCs/>
                <w:color w:val="000000"/>
                <w:szCs w:val="22"/>
              </w:rPr>
            </w:pPr>
            <w:r>
              <w:rPr>
                <w:b/>
                <w:bCs/>
                <w:color w:val="000000"/>
                <w:sz w:val="22"/>
                <w:szCs w:val="22"/>
              </w:rPr>
              <w:t>TEXT</w:t>
            </w:r>
          </w:p>
        </w:tc>
        <w:tc>
          <w:tcPr>
            <w:tcW w:w="1113" w:type="dxa"/>
            <w:tcBorders>
              <w:top w:val="single" w:sz="12" w:space="0" w:color="auto"/>
              <w:left w:val="nil"/>
              <w:bottom w:val="double" w:sz="6" w:space="0" w:color="auto"/>
              <w:right w:val="single" w:sz="4" w:space="0" w:color="auto"/>
            </w:tcBorders>
            <w:shd w:val="clear" w:color="000000" w:fill="E4DFEC"/>
            <w:vAlign w:val="center"/>
            <w:hideMark/>
          </w:tcPr>
          <w:p w:rsidR="009C1BDC" w:rsidRPr="009C1BDC" w:rsidRDefault="009C1BDC" w:rsidP="009C1BDC">
            <w:pPr>
              <w:spacing w:after="0" w:line="240" w:lineRule="auto"/>
              <w:jc w:val="center"/>
              <w:rPr>
                <w:b/>
                <w:bCs/>
                <w:color w:val="000000"/>
                <w:szCs w:val="22"/>
              </w:rPr>
            </w:pPr>
            <w:r w:rsidRPr="009C1BDC">
              <w:rPr>
                <w:b/>
                <w:bCs/>
                <w:color w:val="000000"/>
                <w:sz w:val="22"/>
                <w:szCs w:val="22"/>
              </w:rPr>
              <w:t>2009</w:t>
            </w:r>
          </w:p>
        </w:tc>
        <w:tc>
          <w:tcPr>
            <w:tcW w:w="1113" w:type="dxa"/>
            <w:tcBorders>
              <w:top w:val="single" w:sz="12" w:space="0" w:color="auto"/>
              <w:left w:val="nil"/>
              <w:bottom w:val="double" w:sz="6" w:space="0" w:color="auto"/>
              <w:right w:val="single" w:sz="4" w:space="0" w:color="auto"/>
            </w:tcBorders>
            <w:shd w:val="clear" w:color="000000" w:fill="E4DFEC"/>
            <w:vAlign w:val="center"/>
            <w:hideMark/>
          </w:tcPr>
          <w:p w:rsidR="009C1BDC" w:rsidRPr="009C1BDC" w:rsidRDefault="009C1BDC" w:rsidP="009C1BDC">
            <w:pPr>
              <w:spacing w:after="0" w:line="240" w:lineRule="auto"/>
              <w:jc w:val="center"/>
              <w:rPr>
                <w:b/>
                <w:bCs/>
                <w:color w:val="000000"/>
                <w:szCs w:val="22"/>
              </w:rPr>
            </w:pPr>
            <w:r w:rsidRPr="009C1BDC">
              <w:rPr>
                <w:b/>
                <w:bCs/>
                <w:color w:val="000000"/>
                <w:sz w:val="22"/>
                <w:szCs w:val="22"/>
              </w:rPr>
              <w:t>2010</w:t>
            </w:r>
          </w:p>
        </w:tc>
        <w:tc>
          <w:tcPr>
            <w:tcW w:w="1113" w:type="dxa"/>
            <w:tcBorders>
              <w:top w:val="single" w:sz="12" w:space="0" w:color="auto"/>
              <w:left w:val="nil"/>
              <w:bottom w:val="double" w:sz="6" w:space="0" w:color="auto"/>
              <w:right w:val="single" w:sz="12" w:space="0" w:color="auto"/>
            </w:tcBorders>
            <w:shd w:val="clear" w:color="000000" w:fill="E4DFEC"/>
            <w:vAlign w:val="center"/>
            <w:hideMark/>
          </w:tcPr>
          <w:p w:rsidR="009C1BDC" w:rsidRPr="009C1BDC" w:rsidRDefault="009C1BDC" w:rsidP="009C1BDC">
            <w:pPr>
              <w:spacing w:after="0" w:line="240" w:lineRule="auto"/>
              <w:jc w:val="center"/>
              <w:rPr>
                <w:b/>
                <w:bCs/>
                <w:color w:val="000000"/>
                <w:szCs w:val="22"/>
              </w:rPr>
            </w:pPr>
            <w:r w:rsidRPr="009C1BDC">
              <w:rPr>
                <w:b/>
                <w:bCs/>
                <w:color w:val="000000"/>
                <w:sz w:val="22"/>
                <w:szCs w:val="22"/>
              </w:rPr>
              <w:t>2011</w:t>
            </w:r>
          </w:p>
        </w:tc>
      </w:tr>
      <w:tr w:rsidR="009C1BDC" w:rsidRPr="009C1BDC" w:rsidTr="001F739D">
        <w:trPr>
          <w:trHeight w:hRule="exact" w:val="340"/>
          <w:jc w:val="center"/>
        </w:trPr>
        <w:tc>
          <w:tcPr>
            <w:tcW w:w="515" w:type="dxa"/>
            <w:tcBorders>
              <w:top w:val="nil"/>
              <w:left w:val="single" w:sz="12" w:space="0" w:color="auto"/>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center"/>
              <w:rPr>
                <w:color w:val="000000"/>
                <w:szCs w:val="22"/>
              </w:rPr>
            </w:pPr>
            <w:r w:rsidRPr="009C1BDC">
              <w:rPr>
                <w:color w:val="000000"/>
                <w:sz w:val="22"/>
                <w:szCs w:val="22"/>
              </w:rPr>
              <w:t>1</w:t>
            </w:r>
          </w:p>
        </w:tc>
        <w:tc>
          <w:tcPr>
            <w:tcW w:w="2305"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rPr>
                <w:color w:val="000000"/>
                <w:szCs w:val="22"/>
              </w:rPr>
            </w:pPr>
            <w:r w:rsidRPr="009C1BDC">
              <w:rPr>
                <w:color w:val="000000"/>
                <w:sz w:val="22"/>
                <w:szCs w:val="22"/>
              </w:rPr>
              <w:t>Oběžná aktiva</w:t>
            </w:r>
          </w:p>
        </w:tc>
        <w:tc>
          <w:tcPr>
            <w:tcW w:w="2727"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rPr>
                <w:color w:val="000000"/>
                <w:szCs w:val="22"/>
              </w:rPr>
            </w:pPr>
            <w:r w:rsidRPr="009C1BDC">
              <w:rPr>
                <w:color w:val="000000"/>
                <w:sz w:val="22"/>
                <w:szCs w:val="22"/>
              </w:rPr>
              <w:t> </w:t>
            </w:r>
          </w:p>
        </w:tc>
        <w:tc>
          <w:tcPr>
            <w:tcW w:w="1113"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2 183 800</w:t>
            </w:r>
          </w:p>
        </w:tc>
        <w:tc>
          <w:tcPr>
            <w:tcW w:w="1113"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1 781 047</w:t>
            </w:r>
          </w:p>
        </w:tc>
        <w:tc>
          <w:tcPr>
            <w:tcW w:w="1113" w:type="dxa"/>
            <w:tcBorders>
              <w:top w:val="nil"/>
              <w:left w:val="nil"/>
              <w:bottom w:val="single" w:sz="4" w:space="0" w:color="auto"/>
              <w:right w:val="single" w:sz="12"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1 766 282</w:t>
            </w:r>
          </w:p>
        </w:tc>
      </w:tr>
      <w:tr w:rsidR="009C1BDC" w:rsidRPr="009C1BDC" w:rsidTr="001F739D">
        <w:trPr>
          <w:trHeight w:hRule="exact" w:val="340"/>
          <w:jc w:val="center"/>
        </w:trPr>
        <w:tc>
          <w:tcPr>
            <w:tcW w:w="515" w:type="dxa"/>
            <w:tcBorders>
              <w:top w:val="nil"/>
              <w:left w:val="single" w:sz="12" w:space="0" w:color="auto"/>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center"/>
              <w:rPr>
                <w:color w:val="000000"/>
                <w:szCs w:val="22"/>
              </w:rPr>
            </w:pPr>
            <w:r w:rsidRPr="009C1BDC">
              <w:rPr>
                <w:color w:val="000000"/>
                <w:sz w:val="22"/>
                <w:szCs w:val="22"/>
              </w:rPr>
              <w:t>2</w:t>
            </w:r>
          </w:p>
        </w:tc>
        <w:tc>
          <w:tcPr>
            <w:tcW w:w="2305"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rPr>
                <w:color w:val="000000"/>
                <w:szCs w:val="22"/>
              </w:rPr>
            </w:pPr>
            <w:r w:rsidRPr="009C1BDC">
              <w:rPr>
                <w:color w:val="000000"/>
                <w:sz w:val="22"/>
                <w:szCs w:val="22"/>
              </w:rPr>
              <w:t>Zásoby</w:t>
            </w:r>
          </w:p>
        </w:tc>
        <w:tc>
          <w:tcPr>
            <w:tcW w:w="2727"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rPr>
                <w:color w:val="000000"/>
                <w:szCs w:val="22"/>
              </w:rPr>
            </w:pPr>
            <w:r w:rsidRPr="009C1BDC">
              <w:rPr>
                <w:color w:val="000000"/>
                <w:sz w:val="22"/>
                <w:szCs w:val="22"/>
              </w:rPr>
              <w:t> </w:t>
            </w:r>
          </w:p>
        </w:tc>
        <w:tc>
          <w:tcPr>
            <w:tcW w:w="1113"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0</w:t>
            </w:r>
          </w:p>
        </w:tc>
        <w:tc>
          <w:tcPr>
            <w:tcW w:w="1113"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0</w:t>
            </w:r>
          </w:p>
        </w:tc>
        <w:tc>
          <w:tcPr>
            <w:tcW w:w="1113" w:type="dxa"/>
            <w:tcBorders>
              <w:top w:val="nil"/>
              <w:left w:val="nil"/>
              <w:bottom w:val="single" w:sz="4" w:space="0" w:color="auto"/>
              <w:right w:val="single" w:sz="12"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0</w:t>
            </w:r>
          </w:p>
        </w:tc>
      </w:tr>
      <w:tr w:rsidR="009C1BDC" w:rsidRPr="009C1BDC" w:rsidTr="001F739D">
        <w:trPr>
          <w:trHeight w:hRule="exact" w:val="340"/>
          <w:jc w:val="center"/>
        </w:trPr>
        <w:tc>
          <w:tcPr>
            <w:tcW w:w="515" w:type="dxa"/>
            <w:tcBorders>
              <w:top w:val="nil"/>
              <w:left w:val="single" w:sz="12" w:space="0" w:color="auto"/>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center"/>
              <w:rPr>
                <w:color w:val="000000"/>
                <w:szCs w:val="22"/>
              </w:rPr>
            </w:pPr>
            <w:r w:rsidRPr="009C1BDC">
              <w:rPr>
                <w:color w:val="000000"/>
                <w:sz w:val="22"/>
                <w:szCs w:val="22"/>
              </w:rPr>
              <w:t>3</w:t>
            </w:r>
          </w:p>
        </w:tc>
        <w:tc>
          <w:tcPr>
            <w:tcW w:w="2305"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rPr>
                <w:color w:val="000000"/>
                <w:szCs w:val="22"/>
              </w:rPr>
            </w:pPr>
            <w:r w:rsidRPr="009C1BDC">
              <w:rPr>
                <w:color w:val="000000"/>
                <w:sz w:val="22"/>
                <w:szCs w:val="22"/>
              </w:rPr>
              <w:t>Krátkodobé pohledávky</w:t>
            </w:r>
          </w:p>
        </w:tc>
        <w:tc>
          <w:tcPr>
            <w:tcW w:w="2727"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rPr>
                <w:color w:val="000000"/>
                <w:szCs w:val="22"/>
              </w:rPr>
            </w:pPr>
            <w:r w:rsidRPr="009C1BDC">
              <w:rPr>
                <w:color w:val="000000"/>
                <w:sz w:val="22"/>
                <w:szCs w:val="22"/>
              </w:rPr>
              <w:t> </w:t>
            </w:r>
          </w:p>
        </w:tc>
        <w:tc>
          <w:tcPr>
            <w:tcW w:w="1113"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1 415 270</w:t>
            </w:r>
          </w:p>
        </w:tc>
        <w:tc>
          <w:tcPr>
            <w:tcW w:w="1113"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1 397 906</w:t>
            </w:r>
          </w:p>
        </w:tc>
        <w:tc>
          <w:tcPr>
            <w:tcW w:w="1113" w:type="dxa"/>
            <w:tcBorders>
              <w:top w:val="nil"/>
              <w:left w:val="nil"/>
              <w:bottom w:val="single" w:sz="4" w:space="0" w:color="auto"/>
              <w:right w:val="single" w:sz="12"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1 474 234</w:t>
            </w:r>
          </w:p>
        </w:tc>
      </w:tr>
      <w:tr w:rsidR="009C1BDC" w:rsidRPr="009C1BDC" w:rsidTr="001F739D">
        <w:trPr>
          <w:trHeight w:hRule="exact" w:val="528"/>
          <w:jc w:val="center"/>
        </w:trPr>
        <w:tc>
          <w:tcPr>
            <w:tcW w:w="515" w:type="dxa"/>
            <w:tcBorders>
              <w:top w:val="nil"/>
              <w:left w:val="single" w:sz="12" w:space="0" w:color="auto"/>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center"/>
              <w:rPr>
                <w:color w:val="000000"/>
                <w:szCs w:val="22"/>
              </w:rPr>
            </w:pPr>
            <w:r w:rsidRPr="009C1BDC">
              <w:rPr>
                <w:color w:val="000000"/>
                <w:sz w:val="22"/>
                <w:szCs w:val="22"/>
              </w:rPr>
              <w:t>4</w:t>
            </w:r>
          </w:p>
        </w:tc>
        <w:tc>
          <w:tcPr>
            <w:tcW w:w="2305"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z toho</w:t>
            </w:r>
          </w:p>
        </w:tc>
        <w:tc>
          <w:tcPr>
            <w:tcW w:w="2727"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left"/>
              <w:rPr>
                <w:color w:val="000000"/>
                <w:szCs w:val="22"/>
              </w:rPr>
            </w:pPr>
            <w:r w:rsidRPr="009C1BDC">
              <w:rPr>
                <w:color w:val="000000"/>
                <w:sz w:val="22"/>
                <w:szCs w:val="22"/>
              </w:rPr>
              <w:t>nedobytné nebo promlčené pohledávky</w:t>
            </w:r>
          </w:p>
        </w:tc>
        <w:tc>
          <w:tcPr>
            <w:tcW w:w="1113"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234 230</w:t>
            </w:r>
          </w:p>
        </w:tc>
        <w:tc>
          <w:tcPr>
            <w:tcW w:w="1113"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533 230</w:t>
            </w:r>
          </w:p>
        </w:tc>
        <w:tc>
          <w:tcPr>
            <w:tcW w:w="1113" w:type="dxa"/>
            <w:tcBorders>
              <w:top w:val="nil"/>
              <w:left w:val="nil"/>
              <w:bottom w:val="single" w:sz="4" w:space="0" w:color="auto"/>
              <w:right w:val="single" w:sz="12"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533 230</w:t>
            </w:r>
          </w:p>
        </w:tc>
      </w:tr>
      <w:tr w:rsidR="009C1BDC" w:rsidRPr="009C1BDC" w:rsidTr="001F739D">
        <w:trPr>
          <w:trHeight w:hRule="exact" w:val="340"/>
          <w:jc w:val="center"/>
        </w:trPr>
        <w:tc>
          <w:tcPr>
            <w:tcW w:w="515" w:type="dxa"/>
            <w:tcBorders>
              <w:top w:val="nil"/>
              <w:left w:val="single" w:sz="12" w:space="0" w:color="auto"/>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center"/>
              <w:rPr>
                <w:color w:val="000000"/>
                <w:szCs w:val="22"/>
              </w:rPr>
            </w:pPr>
            <w:r w:rsidRPr="009C1BDC">
              <w:rPr>
                <w:color w:val="000000"/>
                <w:sz w:val="22"/>
                <w:szCs w:val="22"/>
              </w:rPr>
              <w:t>5</w:t>
            </w:r>
          </w:p>
        </w:tc>
        <w:tc>
          <w:tcPr>
            <w:tcW w:w="2305"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rPr>
                <w:color w:val="000000"/>
                <w:szCs w:val="22"/>
              </w:rPr>
            </w:pPr>
            <w:r w:rsidRPr="009C1BDC">
              <w:rPr>
                <w:color w:val="000000"/>
                <w:sz w:val="22"/>
                <w:szCs w:val="22"/>
              </w:rPr>
              <w:t>Finanční prostředky</w:t>
            </w:r>
          </w:p>
        </w:tc>
        <w:tc>
          <w:tcPr>
            <w:tcW w:w="2727"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rPr>
                <w:color w:val="000000"/>
                <w:szCs w:val="22"/>
              </w:rPr>
            </w:pPr>
            <w:r w:rsidRPr="009C1BDC">
              <w:rPr>
                <w:color w:val="000000"/>
                <w:sz w:val="22"/>
                <w:szCs w:val="22"/>
              </w:rPr>
              <w:t> </w:t>
            </w:r>
          </w:p>
        </w:tc>
        <w:tc>
          <w:tcPr>
            <w:tcW w:w="1113" w:type="dxa"/>
            <w:tcBorders>
              <w:top w:val="nil"/>
              <w:left w:val="nil"/>
              <w:bottom w:val="single" w:sz="4" w:space="0" w:color="auto"/>
              <w:right w:val="single" w:sz="4" w:space="0" w:color="auto"/>
            </w:tcBorders>
            <w:shd w:val="clear" w:color="auto" w:fill="auto"/>
            <w:vAlign w:val="center"/>
            <w:hideMark/>
          </w:tcPr>
          <w:p w:rsidR="009C1BDC" w:rsidRPr="009C1BDC" w:rsidRDefault="00035646" w:rsidP="00035646">
            <w:pPr>
              <w:spacing w:after="0" w:line="240" w:lineRule="auto"/>
              <w:jc w:val="right"/>
              <w:rPr>
                <w:color w:val="000000"/>
                <w:szCs w:val="22"/>
              </w:rPr>
            </w:pPr>
            <w:r>
              <w:rPr>
                <w:color w:val="000000"/>
                <w:sz w:val="22"/>
                <w:szCs w:val="22"/>
              </w:rPr>
              <w:t>768.531</w:t>
            </w:r>
          </w:p>
        </w:tc>
        <w:tc>
          <w:tcPr>
            <w:tcW w:w="1113"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383 141</w:t>
            </w:r>
          </w:p>
        </w:tc>
        <w:tc>
          <w:tcPr>
            <w:tcW w:w="1113" w:type="dxa"/>
            <w:tcBorders>
              <w:top w:val="nil"/>
              <w:left w:val="nil"/>
              <w:bottom w:val="single" w:sz="4" w:space="0" w:color="auto"/>
              <w:right w:val="single" w:sz="12"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292 048</w:t>
            </w:r>
          </w:p>
        </w:tc>
      </w:tr>
      <w:tr w:rsidR="009C1BDC" w:rsidRPr="009C1BDC" w:rsidTr="001F739D">
        <w:trPr>
          <w:trHeight w:hRule="exact" w:val="340"/>
          <w:jc w:val="center"/>
        </w:trPr>
        <w:tc>
          <w:tcPr>
            <w:tcW w:w="515" w:type="dxa"/>
            <w:tcBorders>
              <w:top w:val="nil"/>
              <w:left w:val="single" w:sz="12" w:space="0" w:color="auto"/>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center"/>
              <w:rPr>
                <w:color w:val="000000"/>
                <w:szCs w:val="22"/>
              </w:rPr>
            </w:pPr>
            <w:r w:rsidRPr="009C1BDC">
              <w:rPr>
                <w:color w:val="000000"/>
                <w:sz w:val="22"/>
                <w:szCs w:val="22"/>
              </w:rPr>
              <w:t>6</w:t>
            </w:r>
          </w:p>
        </w:tc>
        <w:tc>
          <w:tcPr>
            <w:tcW w:w="2305"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rPr>
                <w:color w:val="000000"/>
                <w:szCs w:val="22"/>
              </w:rPr>
            </w:pPr>
            <w:r w:rsidRPr="009C1BDC">
              <w:rPr>
                <w:color w:val="000000"/>
                <w:sz w:val="22"/>
                <w:szCs w:val="22"/>
              </w:rPr>
              <w:t>Krátkodobé závazky</w:t>
            </w:r>
          </w:p>
        </w:tc>
        <w:tc>
          <w:tcPr>
            <w:tcW w:w="2727"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rPr>
                <w:color w:val="000000"/>
                <w:szCs w:val="22"/>
              </w:rPr>
            </w:pPr>
            <w:r w:rsidRPr="009C1BDC">
              <w:rPr>
                <w:color w:val="000000"/>
                <w:sz w:val="22"/>
                <w:szCs w:val="22"/>
              </w:rPr>
              <w:t> </w:t>
            </w:r>
          </w:p>
        </w:tc>
        <w:tc>
          <w:tcPr>
            <w:tcW w:w="1113"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517 757</w:t>
            </w:r>
          </w:p>
        </w:tc>
        <w:tc>
          <w:tcPr>
            <w:tcW w:w="1113"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478 153</w:t>
            </w:r>
          </w:p>
        </w:tc>
        <w:tc>
          <w:tcPr>
            <w:tcW w:w="1113" w:type="dxa"/>
            <w:tcBorders>
              <w:top w:val="nil"/>
              <w:left w:val="nil"/>
              <w:bottom w:val="single" w:sz="4" w:space="0" w:color="auto"/>
              <w:right w:val="single" w:sz="12"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398 968</w:t>
            </w:r>
          </w:p>
        </w:tc>
      </w:tr>
      <w:tr w:rsidR="009C1BDC" w:rsidRPr="009C1BDC" w:rsidTr="001F739D">
        <w:trPr>
          <w:trHeight w:hRule="exact" w:val="730"/>
          <w:jc w:val="center"/>
        </w:trPr>
        <w:tc>
          <w:tcPr>
            <w:tcW w:w="515" w:type="dxa"/>
            <w:tcBorders>
              <w:top w:val="nil"/>
              <w:left w:val="single" w:sz="12" w:space="0" w:color="auto"/>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center"/>
              <w:rPr>
                <w:color w:val="000000"/>
                <w:szCs w:val="22"/>
              </w:rPr>
            </w:pPr>
            <w:r w:rsidRPr="009C1BDC">
              <w:rPr>
                <w:color w:val="000000"/>
                <w:sz w:val="22"/>
                <w:szCs w:val="22"/>
              </w:rPr>
              <w:t>7</w:t>
            </w:r>
          </w:p>
        </w:tc>
        <w:tc>
          <w:tcPr>
            <w:tcW w:w="2305" w:type="dxa"/>
            <w:vMerge w:val="restart"/>
            <w:tcBorders>
              <w:top w:val="nil"/>
              <w:left w:val="single" w:sz="4" w:space="0" w:color="auto"/>
              <w:bottom w:val="single" w:sz="12" w:space="0" w:color="000000"/>
              <w:right w:val="single" w:sz="4" w:space="0" w:color="auto"/>
            </w:tcBorders>
            <w:shd w:val="clear" w:color="auto" w:fill="auto"/>
            <w:hideMark/>
          </w:tcPr>
          <w:p w:rsidR="009C1BDC" w:rsidRPr="009C1BDC" w:rsidRDefault="009C1BDC" w:rsidP="00EE4870">
            <w:pPr>
              <w:spacing w:after="0" w:line="240" w:lineRule="auto"/>
              <w:jc w:val="right"/>
              <w:rPr>
                <w:color w:val="000000"/>
                <w:szCs w:val="22"/>
              </w:rPr>
            </w:pPr>
            <w:r w:rsidRPr="009C1BDC">
              <w:rPr>
                <w:color w:val="000000"/>
                <w:sz w:val="22"/>
                <w:szCs w:val="22"/>
              </w:rPr>
              <w:t>z toho</w:t>
            </w:r>
          </w:p>
        </w:tc>
        <w:tc>
          <w:tcPr>
            <w:tcW w:w="2727"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left"/>
              <w:rPr>
                <w:color w:val="000000"/>
                <w:szCs w:val="22"/>
              </w:rPr>
            </w:pPr>
            <w:r w:rsidRPr="009C1BDC">
              <w:rPr>
                <w:color w:val="000000"/>
                <w:sz w:val="22"/>
                <w:szCs w:val="22"/>
              </w:rPr>
              <w:t>okamžitě splatné krátkodobé záva</w:t>
            </w:r>
            <w:r w:rsidR="00C126BC">
              <w:rPr>
                <w:color w:val="000000"/>
                <w:sz w:val="22"/>
                <w:szCs w:val="22"/>
              </w:rPr>
              <w:t>zky z obchodního styku k 31.12.</w:t>
            </w:r>
            <w:r w:rsidR="00C126BC">
              <w:rPr>
                <w:rStyle w:val="Znakapoznpodarou"/>
                <w:color w:val="000000"/>
                <w:sz w:val="22"/>
                <w:szCs w:val="22"/>
              </w:rPr>
              <w:footnoteReference w:id="17"/>
            </w:r>
          </w:p>
        </w:tc>
        <w:tc>
          <w:tcPr>
            <w:tcW w:w="1113"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0</w:t>
            </w:r>
          </w:p>
        </w:tc>
        <w:tc>
          <w:tcPr>
            <w:tcW w:w="1113"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90 992</w:t>
            </w:r>
          </w:p>
        </w:tc>
        <w:tc>
          <w:tcPr>
            <w:tcW w:w="1113" w:type="dxa"/>
            <w:tcBorders>
              <w:top w:val="nil"/>
              <w:left w:val="nil"/>
              <w:bottom w:val="single" w:sz="4" w:space="0" w:color="auto"/>
              <w:right w:val="single" w:sz="12"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99 672</w:t>
            </w:r>
          </w:p>
        </w:tc>
      </w:tr>
      <w:tr w:rsidR="009C1BDC" w:rsidRPr="009C1BDC" w:rsidTr="001F739D">
        <w:trPr>
          <w:trHeight w:val="567"/>
          <w:jc w:val="center"/>
        </w:trPr>
        <w:tc>
          <w:tcPr>
            <w:tcW w:w="515" w:type="dxa"/>
            <w:tcBorders>
              <w:top w:val="nil"/>
              <w:left w:val="single" w:sz="12" w:space="0" w:color="auto"/>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center"/>
              <w:rPr>
                <w:color w:val="000000"/>
                <w:szCs w:val="22"/>
              </w:rPr>
            </w:pPr>
            <w:r w:rsidRPr="009C1BDC">
              <w:rPr>
                <w:color w:val="000000"/>
                <w:sz w:val="22"/>
                <w:szCs w:val="22"/>
              </w:rPr>
              <w:t>8</w:t>
            </w:r>
          </w:p>
        </w:tc>
        <w:tc>
          <w:tcPr>
            <w:tcW w:w="2305" w:type="dxa"/>
            <w:vMerge/>
            <w:tcBorders>
              <w:top w:val="nil"/>
              <w:left w:val="single" w:sz="4" w:space="0" w:color="auto"/>
              <w:bottom w:val="single" w:sz="12" w:space="0" w:color="000000"/>
              <w:right w:val="single" w:sz="4" w:space="0" w:color="auto"/>
            </w:tcBorders>
            <w:vAlign w:val="center"/>
            <w:hideMark/>
          </w:tcPr>
          <w:p w:rsidR="009C1BDC" w:rsidRPr="009C1BDC" w:rsidRDefault="009C1BDC" w:rsidP="009C1BDC">
            <w:pPr>
              <w:spacing w:after="0" w:line="240" w:lineRule="auto"/>
              <w:jc w:val="left"/>
              <w:rPr>
                <w:color w:val="000000"/>
                <w:szCs w:val="22"/>
              </w:rPr>
            </w:pPr>
          </w:p>
        </w:tc>
        <w:tc>
          <w:tcPr>
            <w:tcW w:w="2727"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1F739D">
            <w:pPr>
              <w:spacing w:after="0" w:line="240" w:lineRule="auto"/>
              <w:jc w:val="left"/>
              <w:rPr>
                <w:color w:val="000000"/>
                <w:szCs w:val="22"/>
              </w:rPr>
            </w:pPr>
            <w:r w:rsidRPr="009C1BDC">
              <w:rPr>
                <w:color w:val="000000"/>
                <w:sz w:val="22"/>
                <w:szCs w:val="22"/>
              </w:rPr>
              <w:t>okamžitě splatné z</w:t>
            </w:r>
            <w:r w:rsidR="00D35555">
              <w:rPr>
                <w:color w:val="000000"/>
                <w:sz w:val="22"/>
                <w:szCs w:val="22"/>
              </w:rPr>
              <w:t>ávazky</w:t>
            </w:r>
            <w:r w:rsidR="001F739D">
              <w:rPr>
                <w:color w:val="000000"/>
                <w:sz w:val="22"/>
                <w:szCs w:val="22"/>
              </w:rPr>
              <w:br/>
            </w:r>
            <w:r w:rsidR="00D35555">
              <w:rPr>
                <w:color w:val="000000"/>
                <w:sz w:val="22"/>
                <w:szCs w:val="22"/>
              </w:rPr>
              <w:t>ke společníkům k 31.12.</w:t>
            </w:r>
            <w:r w:rsidR="00C126BC">
              <w:rPr>
                <w:rStyle w:val="Znakapoznpodarou"/>
                <w:color w:val="000000"/>
                <w:sz w:val="22"/>
                <w:szCs w:val="22"/>
              </w:rPr>
              <w:footnoteReference w:id="18"/>
            </w:r>
          </w:p>
        </w:tc>
        <w:tc>
          <w:tcPr>
            <w:tcW w:w="1113"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0</w:t>
            </w:r>
          </w:p>
        </w:tc>
        <w:tc>
          <w:tcPr>
            <w:tcW w:w="1113"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0</w:t>
            </w:r>
          </w:p>
        </w:tc>
        <w:tc>
          <w:tcPr>
            <w:tcW w:w="1113" w:type="dxa"/>
            <w:tcBorders>
              <w:top w:val="nil"/>
              <w:left w:val="nil"/>
              <w:bottom w:val="single" w:sz="4" w:space="0" w:color="auto"/>
              <w:right w:val="single" w:sz="12"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0</w:t>
            </w:r>
          </w:p>
        </w:tc>
      </w:tr>
      <w:tr w:rsidR="009C1BDC" w:rsidRPr="009C1BDC" w:rsidTr="001F739D">
        <w:trPr>
          <w:trHeight w:val="567"/>
          <w:jc w:val="center"/>
        </w:trPr>
        <w:tc>
          <w:tcPr>
            <w:tcW w:w="515" w:type="dxa"/>
            <w:tcBorders>
              <w:top w:val="nil"/>
              <w:left w:val="single" w:sz="12" w:space="0" w:color="auto"/>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center"/>
              <w:rPr>
                <w:color w:val="000000"/>
                <w:szCs w:val="22"/>
              </w:rPr>
            </w:pPr>
            <w:r w:rsidRPr="009C1BDC">
              <w:rPr>
                <w:color w:val="000000"/>
                <w:sz w:val="22"/>
                <w:szCs w:val="22"/>
              </w:rPr>
              <w:t>9</w:t>
            </w:r>
          </w:p>
        </w:tc>
        <w:tc>
          <w:tcPr>
            <w:tcW w:w="2305" w:type="dxa"/>
            <w:vMerge/>
            <w:tcBorders>
              <w:top w:val="nil"/>
              <w:left w:val="single" w:sz="4" w:space="0" w:color="auto"/>
              <w:bottom w:val="single" w:sz="12" w:space="0" w:color="000000"/>
              <w:right w:val="single" w:sz="4" w:space="0" w:color="auto"/>
            </w:tcBorders>
            <w:vAlign w:val="center"/>
            <w:hideMark/>
          </w:tcPr>
          <w:p w:rsidR="009C1BDC" w:rsidRPr="009C1BDC" w:rsidRDefault="009C1BDC" w:rsidP="009C1BDC">
            <w:pPr>
              <w:spacing w:after="0" w:line="240" w:lineRule="auto"/>
              <w:jc w:val="left"/>
              <w:rPr>
                <w:color w:val="000000"/>
                <w:szCs w:val="22"/>
              </w:rPr>
            </w:pPr>
          </w:p>
        </w:tc>
        <w:tc>
          <w:tcPr>
            <w:tcW w:w="2727"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left"/>
              <w:rPr>
                <w:color w:val="000000"/>
                <w:szCs w:val="22"/>
              </w:rPr>
            </w:pPr>
            <w:r w:rsidRPr="009C1BDC">
              <w:rPr>
                <w:color w:val="000000"/>
                <w:sz w:val="22"/>
                <w:szCs w:val="22"/>
              </w:rPr>
              <w:t>okamžitě splatné zá</w:t>
            </w:r>
            <w:r w:rsidR="00D35555">
              <w:rPr>
                <w:color w:val="000000"/>
                <w:sz w:val="22"/>
                <w:szCs w:val="22"/>
              </w:rPr>
              <w:t>vazky k zaměstnancům k 31.12.</w:t>
            </w:r>
            <w:r w:rsidR="00C126BC">
              <w:rPr>
                <w:rStyle w:val="Znakapoznpodarou"/>
                <w:color w:val="000000"/>
                <w:sz w:val="22"/>
                <w:szCs w:val="22"/>
              </w:rPr>
              <w:t xml:space="preserve"> </w:t>
            </w:r>
            <w:r w:rsidR="00C126BC">
              <w:rPr>
                <w:rStyle w:val="Znakapoznpodarou"/>
                <w:color w:val="000000"/>
                <w:sz w:val="22"/>
                <w:szCs w:val="22"/>
              </w:rPr>
              <w:footnoteReference w:id="19"/>
            </w:r>
          </w:p>
        </w:tc>
        <w:tc>
          <w:tcPr>
            <w:tcW w:w="1113"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0</w:t>
            </w:r>
          </w:p>
        </w:tc>
        <w:tc>
          <w:tcPr>
            <w:tcW w:w="1113"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0</w:t>
            </w:r>
          </w:p>
        </w:tc>
        <w:tc>
          <w:tcPr>
            <w:tcW w:w="1113" w:type="dxa"/>
            <w:tcBorders>
              <w:top w:val="nil"/>
              <w:left w:val="nil"/>
              <w:bottom w:val="single" w:sz="4" w:space="0" w:color="auto"/>
              <w:right w:val="single" w:sz="12"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0</w:t>
            </w:r>
          </w:p>
        </w:tc>
      </w:tr>
      <w:tr w:rsidR="009C1BDC" w:rsidRPr="009C1BDC" w:rsidTr="001F739D">
        <w:trPr>
          <w:trHeight w:val="567"/>
          <w:jc w:val="center"/>
        </w:trPr>
        <w:tc>
          <w:tcPr>
            <w:tcW w:w="515" w:type="dxa"/>
            <w:tcBorders>
              <w:top w:val="nil"/>
              <w:left w:val="single" w:sz="12" w:space="0" w:color="auto"/>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center"/>
              <w:rPr>
                <w:color w:val="000000"/>
                <w:szCs w:val="22"/>
              </w:rPr>
            </w:pPr>
            <w:r w:rsidRPr="009C1BDC">
              <w:rPr>
                <w:color w:val="000000"/>
                <w:sz w:val="22"/>
                <w:szCs w:val="22"/>
              </w:rPr>
              <w:t>10</w:t>
            </w:r>
          </w:p>
        </w:tc>
        <w:tc>
          <w:tcPr>
            <w:tcW w:w="2305" w:type="dxa"/>
            <w:vMerge/>
            <w:tcBorders>
              <w:top w:val="nil"/>
              <w:left w:val="single" w:sz="4" w:space="0" w:color="auto"/>
              <w:bottom w:val="single" w:sz="12" w:space="0" w:color="000000"/>
              <w:right w:val="single" w:sz="4" w:space="0" w:color="auto"/>
            </w:tcBorders>
            <w:vAlign w:val="center"/>
            <w:hideMark/>
          </w:tcPr>
          <w:p w:rsidR="009C1BDC" w:rsidRPr="009C1BDC" w:rsidRDefault="009C1BDC" w:rsidP="009C1BDC">
            <w:pPr>
              <w:spacing w:after="0" w:line="240" w:lineRule="auto"/>
              <w:jc w:val="left"/>
              <w:rPr>
                <w:color w:val="000000"/>
                <w:szCs w:val="22"/>
              </w:rPr>
            </w:pPr>
          </w:p>
        </w:tc>
        <w:tc>
          <w:tcPr>
            <w:tcW w:w="2727"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C126BC">
            <w:pPr>
              <w:spacing w:after="0" w:line="240" w:lineRule="auto"/>
              <w:jc w:val="left"/>
              <w:rPr>
                <w:color w:val="000000"/>
                <w:szCs w:val="22"/>
              </w:rPr>
            </w:pPr>
            <w:r w:rsidRPr="009C1BDC">
              <w:rPr>
                <w:color w:val="000000"/>
                <w:sz w:val="22"/>
                <w:szCs w:val="22"/>
              </w:rPr>
              <w:t>závazky ze sociálního a z</w:t>
            </w:r>
            <w:r w:rsidR="00D35555">
              <w:rPr>
                <w:color w:val="000000"/>
                <w:sz w:val="22"/>
                <w:szCs w:val="22"/>
              </w:rPr>
              <w:t>dravotního pojištění k 31.12.</w:t>
            </w:r>
            <w:r w:rsidR="00C126BC">
              <w:rPr>
                <w:rStyle w:val="Znakapoznpodarou"/>
                <w:color w:val="000000"/>
                <w:sz w:val="22"/>
                <w:szCs w:val="22"/>
              </w:rPr>
              <w:t xml:space="preserve"> </w:t>
            </w:r>
            <w:r w:rsidR="00C126BC">
              <w:rPr>
                <w:rStyle w:val="Znakapoznpodarou"/>
                <w:color w:val="000000"/>
                <w:sz w:val="22"/>
                <w:szCs w:val="22"/>
              </w:rPr>
              <w:footnoteReference w:id="20"/>
            </w:r>
          </w:p>
        </w:tc>
        <w:tc>
          <w:tcPr>
            <w:tcW w:w="1113"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0</w:t>
            </w:r>
          </w:p>
        </w:tc>
        <w:tc>
          <w:tcPr>
            <w:tcW w:w="1113" w:type="dxa"/>
            <w:tcBorders>
              <w:top w:val="nil"/>
              <w:left w:val="nil"/>
              <w:bottom w:val="single" w:sz="4"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0</w:t>
            </w:r>
          </w:p>
        </w:tc>
        <w:tc>
          <w:tcPr>
            <w:tcW w:w="1113" w:type="dxa"/>
            <w:tcBorders>
              <w:top w:val="nil"/>
              <w:left w:val="nil"/>
              <w:bottom w:val="single" w:sz="4" w:space="0" w:color="auto"/>
              <w:right w:val="single" w:sz="12"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0</w:t>
            </w:r>
          </w:p>
        </w:tc>
      </w:tr>
      <w:tr w:rsidR="009C1BDC" w:rsidRPr="009C1BDC" w:rsidTr="001F739D">
        <w:trPr>
          <w:trHeight w:hRule="exact" w:val="340"/>
          <w:jc w:val="center"/>
        </w:trPr>
        <w:tc>
          <w:tcPr>
            <w:tcW w:w="515" w:type="dxa"/>
            <w:tcBorders>
              <w:top w:val="nil"/>
              <w:left w:val="single" w:sz="12" w:space="0" w:color="auto"/>
              <w:bottom w:val="single" w:sz="12" w:space="0" w:color="auto"/>
              <w:right w:val="single" w:sz="4" w:space="0" w:color="auto"/>
            </w:tcBorders>
            <w:shd w:val="clear" w:color="auto" w:fill="auto"/>
            <w:vAlign w:val="center"/>
            <w:hideMark/>
          </w:tcPr>
          <w:p w:rsidR="009C1BDC" w:rsidRPr="009C1BDC" w:rsidRDefault="009C1BDC" w:rsidP="009C1BDC">
            <w:pPr>
              <w:spacing w:after="0" w:line="240" w:lineRule="auto"/>
              <w:jc w:val="center"/>
              <w:rPr>
                <w:color w:val="000000"/>
                <w:szCs w:val="22"/>
              </w:rPr>
            </w:pPr>
            <w:r w:rsidRPr="009C1BDC">
              <w:rPr>
                <w:color w:val="000000"/>
                <w:sz w:val="22"/>
                <w:szCs w:val="22"/>
              </w:rPr>
              <w:t>11</w:t>
            </w:r>
          </w:p>
        </w:tc>
        <w:tc>
          <w:tcPr>
            <w:tcW w:w="2305" w:type="dxa"/>
            <w:vMerge/>
            <w:tcBorders>
              <w:top w:val="nil"/>
              <w:left w:val="single" w:sz="4" w:space="0" w:color="auto"/>
              <w:bottom w:val="single" w:sz="12" w:space="0" w:color="000000"/>
              <w:right w:val="single" w:sz="4" w:space="0" w:color="auto"/>
            </w:tcBorders>
            <w:vAlign w:val="center"/>
            <w:hideMark/>
          </w:tcPr>
          <w:p w:rsidR="009C1BDC" w:rsidRPr="009C1BDC" w:rsidRDefault="009C1BDC" w:rsidP="009C1BDC">
            <w:pPr>
              <w:spacing w:after="0" w:line="240" w:lineRule="auto"/>
              <w:jc w:val="left"/>
              <w:rPr>
                <w:color w:val="000000"/>
                <w:szCs w:val="22"/>
              </w:rPr>
            </w:pPr>
          </w:p>
        </w:tc>
        <w:tc>
          <w:tcPr>
            <w:tcW w:w="2727" w:type="dxa"/>
            <w:tcBorders>
              <w:top w:val="nil"/>
              <w:left w:val="nil"/>
              <w:bottom w:val="single" w:sz="12" w:space="0" w:color="auto"/>
              <w:right w:val="single" w:sz="4" w:space="0" w:color="auto"/>
            </w:tcBorders>
            <w:shd w:val="clear" w:color="auto" w:fill="auto"/>
            <w:vAlign w:val="center"/>
            <w:hideMark/>
          </w:tcPr>
          <w:p w:rsidR="009C1BDC" w:rsidRPr="009C1BDC" w:rsidRDefault="00D35555" w:rsidP="00C126BC">
            <w:pPr>
              <w:spacing w:after="0" w:line="240" w:lineRule="auto"/>
              <w:jc w:val="left"/>
              <w:rPr>
                <w:color w:val="000000"/>
                <w:szCs w:val="22"/>
              </w:rPr>
            </w:pPr>
            <w:r>
              <w:rPr>
                <w:color w:val="000000"/>
                <w:sz w:val="22"/>
                <w:szCs w:val="22"/>
              </w:rPr>
              <w:t>závazky ke státu k 31.12.</w:t>
            </w:r>
            <w:r w:rsidR="00C126BC">
              <w:rPr>
                <w:rStyle w:val="Znakapoznpodarou"/>
                <w:color w:val="000000"/>
                <w:sz w:val="22"/>
                <w:szCs w:val="22"/>
              </w:rPr>
              <w:t xml:space="preserve"> </w:t>
            </w:r>
            <w:r w:rsidR="00C126BC">
              <w:rPr>
                <w:rStyle w:val="Znakapoznpodarou"/>
                <w:color w:val="000000"/>
                <w:sz w:val="22"/>
                <w:szCs w:val="22"/>
              </w:rPr>
              <w:footnoteReference w:id="21"/>
            </w:r>
          </w:p>
        </w:tc>
        <w:tc>
          <w:tcPr>
            <w:tcW w:w="1113" w:type="dxa"/>
            <w:tcBorders>
              <w:top w:val="nil"/>
              <w:left w:val="nil"/>
              <w:bottom w:val="single" w:sz="12"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0</w:t>
            </w:r>
          </w:p>
        </w:tc>
        <w:tc>
          <w:tcPr>
            <w:tcW w:w="1113" w:type="dxa"/>
            <w:tcBorders>
              <w:top w:val="nil"/>
              <w:left w:val="nil"/>
              <w:bottom w:val="single" w:sz="12" w:space="0" w:color="auto"/>
              <w:right w:val="single" w:sz="4"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0</w:t>
            </w:r>
          </w:p>
        </w:tc>
        <w:tc>
          <w:tcPr>
            <w:tcW w:w="1113" w:type="dxa"/>
            <w:tcBorders>
              <w:top w:val="nil"/>
              <w:left w:val="nil"/>
              <w:bottom w:val="single" w:sz="12" w:space="0" w:color="auto"/>
              <w:right w:val="single" w:sz="12" w:space="0" w:color="auto"/>
            </w:tcBorders>
            <w:shd w:val="clear" w:color="auto" w:fill="auto"/>
            <w:vAlign w:val="center"/>
            <w:hideMark/>
          </w:tcPr>
          <w:p w:rsidR="009C1BDC" w:rsidRPr="009C1BDC" w:rsidRDefault="009C1BDC" w:rsidP="009C1BDC">
            <w:pPr>
              <w:spacing w:after="0" w:line="240" w:lineRule="auto"/>
              <w:jc w:val="right"/>
              <w:rPr>
                <w:color w:val="000000"/>
                <w:szCs w:val="22"/>
              </w:rPr>
            </w:pPr>
            <w:r w:rsidRPr="009C1BDC">
              <w:rPr>
                <w:color w:val="000000"/>
                <w:sz w:val="22"/>
                <w:szCs w:val="22"/>
              </w:rPr>
              <w:t>0</w:t>
            </w:r>
          </w:p>
        </w:tc>
      </w:tr>
    </w:tbl>
    <w:p w:rsidR="00AE0969" w:rsidRDefault="009C1BDC" w:rsidP="009C1BDC">
      <w:pPr>
        <w:pStyle w:val="dajepodtabulkou"/>
        <w:ind w:left="0"/>
      </w:pPr>
      <w:r>
        <w:t>Zdroj: Q – MONT s. r. o.</w:t>
      </w:r>
    </w:p>
    <w:p w:rsidR="00DB3363" w:rsidRDefault="00DB3363" w:rsidP="002158D0">
      <w:pPr>
        <w:pStyle w:val="Odstavecnormln"/>
        <w:rPr>
          <w:b/>
        </w:rPr>
      </w:pPr>
      <w:r w:rsidRPr="007E1A46">
        <w:rPr>
          <w:u w:val="single"/>
        </w:rPr>
        <w:lastRenderedPageBreak/>
        <w:t>Poznámka:</w:t>
      </w:r>
      <w:r>
        <w:t xml:space="preserve"> Společnost Q – MONT s. r. o. vykazuje ve výkazech rozvah v období roku 2009 – 2011 na ř. 117 – Krátkodobé bankovní úvěry</w:t>
      </w:r>
      <w:r w:rsidR="00916CF3">
        <w:t>. Jedná se o provozní bankovní úvěr</w:t>
      </w:r>
      <w:r>
        <w:t xml:space="preserve"> </w:t>
      </w:r>
      <w:r w:rsidR="00916CF3">
        <w:t>poskytnutý</w:t>
      </w:r>
      <w:r w:rsidR="007E1A46">
        <w:t xml:space="preserve"> Komerční bankou dne </w:t>
      </w:r>
      <w:r w:rsidR="00916CF3">
        <w:t>12. 6. 2009 ve výši 1 mil Kč</w:t>
      </w:r>
      <w:r w:rsidR="007E1A46">
        <w:t xml:space="preserve"> se splatností </w:t>
      </w:r>
      <w:r w:rsidR="00916CF3">
        <w:br/>
        <w:t>31. 12. 2013</w:t>
      </w:r>
      <w:r w:rsidR="00B352CF">
        <w:t xml:space="preserve"> a úvěr na pořízení osobního auta Opel </w:t>
      </w:r>
      <w:proofErr w:type="spellStart"/>
      <w:r w:rsidR="00B352CF">
        <w:t>Vivaro</w:t>
      </w:r>
      <w:proofErr w:type="spellEnd"/>
      <w:r w:rsidR="00B352CF">
        <w:t xml:space="preserve"> poskytnutý GE MONEY Multiservis dne 4. 6. 2007 se splatností 2. 4. 2010. </w:t>
      </w:r>
      <w:r w:rsidR="00B352CF" w:rsidRPr="00B352CF">
        <w:rPr>
          <w:b/>
        </w:rPr>
        <w:t>Nejedná se o krátkodobé závazky</w:t>
      </w:r>
      <w:r w:rsidR="007E1A46">
        <w:t xml:space="preserve">. </w:t>
      </w:r>
      <w:r w:rsidR="007E1A46" w:rsidRPr="00652CD8">
        <w:rPr>
          <w:b/>
        </w:rPr>
        <w:t>Z toho důvodu nebude tato položka brána v úvahu při stanovení ukazatelů likvidity, čistého pracovního kapitálu a ukazatelů aktivity.</w:t>
      </w:r>
    </w:p>
    <w:p w:rsidR="00D56E3C" w:rsidRPr="00D56E3C" w:rsidRDefault="00D56E3C" w:rsidP="002158D0">
      <w:pPr>
        <w:pStyle w:val="Odstavecnormln"/>
      </w:pPr>
      <w:r>
        <w:t>Pro stanovení ukazatelů likvidity byly krátkodobé závazky upraveny o nedobytné pohledávky uvedené na ř. 4</w:t>
      </w:r>
      <w:r w:rsidR="007D1260">
        <w:t xml:space="preserve"> tabulky 15 </w:t>
      </w:r>
      <w:r>
        <w:t>a dále byly stanoveny okamžitě splatné závazky uvedené na ř. 7 – 11</w:t>
      </w:r>
      <w:r w:rsidR="007D1260">
        <w:t xml:space="preserve"> tabulky 15.</w:t>
      </w:r>
    </w:p>
    <w:p w:rsidR="007D249B" w:rsidRDefault="007D249B" w:rsidP="007D249B">
      <w:pPr>
        <w:pStyle w:val="Titulek"/>
      </w:pPr>
      <w:bookmarkStart w:id="198" w:name="_Ref349670316"/>
      <w:bookmarkStart w:id="199" w:name="_Ref349670304"/>
      <w:bookmarkStart w:id="200" w:name="_Toc353125955"/>
      <w:r>
        <w:t xml:space="preserve">Tabulka </w:t>
      </w:r>
      <w:r w:rsidR="00C96C2B">
        <w:fldChar w:fldCharType="begin"/>
      </w:r>
      <w:r w:rsidR="00C96C2B">
        <w:instrText xml:space="preserve"> SEQ Tabulka \* ARAB</w:instrText>
      </w:r>
      <w:r w:rsidR="00C96C2B">
        <w:instrText xml:space="preserve">IC </w:instrText>
      </w:r>
      <w:r w:rsidR="00C96C2B">
        <w:fldChar w:fldCharType="separate"/>
      </w:r>
      <w:r w:rsidR="002534BA">
        <w:rPr>
          <w:noProof/>
        </w:rPr>
        <w:t>16</w:t>
      </w:r>
      <w:r w:rsidR="00C96C2B">
        <w:rPr>
          <w:noProof/>
        </w:rPr>
        <w:fldChar w:fldCharType="end"/>
      </w:r>
      <w:bookmarkEnd w:id="198"/>
      <w:r>
        <w:t xml:space="preserve"> Ukazatele likvidity</w:t>
      </w:r>
      <w:bookmarkEnd w:id="199"/>
      <w:r w:rsidR="0079132B">
        <w:t>: Q – MONT s. r. o.</w:t>
      </w:r>
      <w:bookmarkEnd w:id="200"/>
    </w:p>
    <w:tbl>
      <w:tblPr>
        <w:tblW w:w="6700" w:type="dxa"/>
        <w:jc w:val="center"/>
        <w:tblCellMar>
          <w:left w:w="70" w:type="dxa"/>
          <w:right w:w="70" w:type="dxa"/>
        </w:tblCellMar>
        <w:tblLook w:val="04A0" w:firstRow="1" w:lastRow="0" w:firstColumn="1" w:lastColumn="0" w:noHBand="0" w:noVBand="1"/>
      </w:tblPr>
      <w:tblGrid>
        <w:gridCol w:w="2300"/>
        <w:gridCol w:w="2160"/>
        <w:gridCol w:w="1120"/>
        <w:gridCol w:w="1120"/>
      </w:tblGrid>
      <w:tr w:rsidR="007D249B" w:rsidRPr="0010457F" w:rsidTr="00EE4870">
        <w:trPr>
          <w:trHeight w:val="439"/>
          <w:jc w:val="center"/>
        </w:trPr>
        <w:tc>
          <w:tcPr>
            <w:tcW w:w="2300" w:type="dxa"/>
            <w:tcBorders>
              <w:top w:val="single" w:sz="12" w:space="0" w:color="auto"/>
              <w:left w:val="single" w:sz="12" w:space="0" w:color="auto"/>
              <w:bottom w:val="double" w:sz="6" w:space="0" w:color="auto"/>
              <w:right w:val="single" w:sz="4" w:space="0" w:color="auto"/>
            </w:tcBorders>
            <w:shd w:val="clear" w:color="000000" w:fill="E4DFEC"/>
            <w:vAlign w:val="center"/>
            <w:hideMark/>
          </w:tcPr>
          <w:p w:rsidR="007D249B" w:rsidRPr="0010457F" w:rsidRDefault="0010457F" w:rsidP="007D249B">
            <w:pPr>
              <w:spacing w:after="0" w:line="240" w:lineRule="auto"/>
              <w:jc w:val="center"/>
              <w:rPr>
                <w:b/>
                <w:color w:val="000000"/>
                <w:szCs w:val="22"/>
              </w:rPr>
            </w:pPr>
            <w:r w:rsidRPr="0010457F">
              <w:rPr>
                <w:b/>
                <w:color w:val="000000"/>
                <w:sz w:val="22"/>
                <w:szCs w:val="22"/>
              </w:rPr>
              <w:t>UKAZATEL</w:t>
            </w:r>
          </w:p>
        </w:tc>
        <w:tc>
          <w:tcPr>
            <w:tcW w:w="2160" w:type="dxa"/>
            <w:tcBorders>
              <w:top w:val="single" w:sz="12" w:space="0" w:color="auto"/>
              <w:left w:val="nil"/>
              <w:bottom w:val="double" w:sz="6" w:space="0" w:color="auto"/>
              <w:right w:val="single" w:sz="4" w:space="0" w:color="auto"/>
            </w:tcBorders>
            <w:shd w:val="clear" w:color="000000" w:fill="E4DFEC"/>
            <w:vAlign w:val="center"/>
            <w:hideMark/>
          </w:tcPr>
          <w:p w:rsidR="007D249B" w:rsidRPr="0010457F" w:rsidRDefault="007D249B" w:rsidP="007D249B">
            <w:pPr>
              <w:spacing w:after="0" w:line="240" w:lineRule="auto"/>
              <w:jc w:val="center"/>
              <w:rPr>
                <w:b/>
                <w:color w:val="000000"/>
                <w:szCs w:val="22"/>
              </w:rPr>
            </w:pPr>
            <w:r w:rsidRPr="0010457F">
              <w:rPr>
                <w:b/>
                <w:color w:val="000000"/>
                <w:sz w:val="22"/>
                <w:szCs w:val="22"/>
              </w:rPr>
              <w:t>2009</w:t>
            </w:r>
          </w:p>
        </w:tc>
        <w:tc>
          <w:tcPr>
            <w:tcW w:w="1120" w:type="dxa"/>
            <w:tcBorders>
              <w:top w:val="single" w:sz="12" w:space="0" w:color="auto"/>
              <w:left w:val="nil"/>
              <w:bottom w:val="double" w:sz="6" w:space="0" w:color="auto"/>
              <w:right w:val="single" w:sz="4" w:space="0" w:color="auto"/>
            </w:tcBorders>
            <w:shd w:val="clear" w:color="000000" w:fill="E4DFEC"/>
            <w:vAlign w:val="center"/>
            <w:hideMark/>
          </w:tcPr>
          <w:p w:rsidR="007D249B" w:rsidRPr="0010457F" w:rsidRDefault="007D249B" w:rsidP="007D249B">
            <w:pPr>
              <w:spacing w:after="0" w:line="240" w:lineRule="auto"/>
              <w:jc w:val="center"/>
              <w:rPr>
                <w:b/>
                <w:color w:val="000000"/>
                <w:szCs w:val="22"/>
              </w:rPr>
            </w:pPr>
            <w:r w:rsidRPr="0010457F">
              <w:rPr>
                <w:b/>
                <w:color w:val="000000"/>
                <w:sz w:val="22"/>
                <w:szCs w:val="22"/>
              </w:rPr>
              <w:t>2010</w:t>
            </w:r>
          </w:p>
        </w:tc>
        <w:tc>
          <w:tcPr>
            <w:tcW w:w="1120" w:type="dxa"/>
            <w:tcBorders>
              <w:top w:val="single" w:sz="12" w:space="0" w:color="auto"/>
              <w:left w:val="nil"/>
              <w:bottom w:val="double" w:sz="6" w:space="0" w:color="auto"/>
              <w:right w:val="single" w:sz="12" w:space="0" w:color="auto"/>
            </w:tcBorders>
            <w:shd w:val="clear" w:color="000000" w:fill="E4DFEC"/>
            <w:vAlign w:val="center"/>
            <w:hideMark/>
          </w:tcPr>
          <w:p w:rsidR="007D249B" w:rsidRPr="0010457F" w:rsidRDefault="007D249B" w:rsidP="007D249B">
            <w:pPr>
              <w:spacing w:after="0" w:line="240" w:lineRule="auto"/>
              <w:jc w:val="center"/>
              <w:rPr>
                <w:b/>
                <w:color w:val="000000"/>
                <w:szCs w:val="22"/>
              </w:rPr>
            </w:pPr>
            <w:r w:rsidRPr="0010457F">
              <w:rPr>
                <w:b/>
                <w:color w:val="000000"/>
                <w:sz w:val="22"/>
                <w:szCs w:val="22"/>
              </w:rPr>
              <w:t>2011</w:t>
            </w:r>
          </w:p>
        </w:tc>
      </w:tr>
      <w:tr w:rsidR="007D249B" w:rsidRPr="0010457F" w:rsidTr="00EE4870">
        <w:trPr>
          <w:trHeight w:val="342"/>
          <w:jc w:val="center"/>
        </w:trPr>
        <w:tc>
          <w:tcPr>
            <w:tcW w:w="2300" w:type="dxa"/>
            <w:tcBorders>
              <w:top w:val="nil"/>
              <w:left w:val="single" w:sz="12" w:space="0" w:color="auto"/>
              <w:bottom w:val="single" w:sz="4" w:space="0" w:color="auto"/>
              <w:right w:val="single" w:sz="4" w:space="0" w:color="auto"/>
            </w:tcBorders>
            <w:shd w:val="clear" w:color="auto" w:fill="auto"/>
            <w:vAlign w:val="center"/>
            <w:hideMark/>
          </w:tcPr>
          <w:p w:rsidR="007D249B" w:rsidRPr="0010457F" w:rsidRDefault="007D249B" w:rsidP="007D249B">
            <w:pPr>
              <w:spacing w:after="0" w:line="240" w:lineRule="auto"/>
              <w:rPr>
                <w:color w:val="000000"/>
                <w:szCs w:val="22"/>
              </w:rPr>
            </w:pPr>
            <w:r w:rsidRPr="0010457F">
              <w:rPr>
                <w:color w:val="000000"/>
                <w:sz w:val="22"/>
                <w:szCs w:val="22"/>
              </w:rPr>
              <w:t>Běžná likvidita</w:t>
            </w:r>
          </w:p>
        </w:tc>
        <w:tc>
          <w:tcPr>
            <w:tcW w:w="2160" w:type="dxa"/>
            <w:tcBorders>
              <w:top w:val="nil"/>
              <w:left w:val="nil"/>
              <w:bottom w:val="single" w:sz="4" w:space="0" w:color="auto"/>
              <w:right w:val="single" w:sz="4" w:space="0" w:color="auto"/>
            </w:tcBorders>
            <w:shd w:val="clear" w:color="auto" w:fill="auto"/>
            <w:vAlign w:val="center"/>
            <w:hideMark/>
          </w:tcPr>
          <w:p w:rsidR="007D249B" w:rsidRPr="0010457F" w:rsidRDefault="007D249B" w:rsidP="007D249B">
            <w:pPr>
              <w:spacing w:after="0" w:line="240" w:lineRule="auto"/>
              <w:jc w:val="center"/>
              <w:rPr>
                <w:color w:val="000000"/>
                <w:szCs w:val="22"/>
              </w:rPr>
            </w:pPr>
            <w:r w:rsidRPr="0010457F">
              <w:rPr>
                <w:color w:val="000000"/>
                <w:sz w:val="22"/>
                <w:szCs w:val="22"/>
              </w:rPr>
              <w:t>3,77</w:t>
            </w:r>
          </w:p>
        </w:tc>
        <w:tc>
          <w:tcPr>
            <w:tcW w:w="1120" w:type="dxa"/>
            <w:tcBorders>
              <w:top w:val="nil"/>
              <w:left w:val="nil"/>
              <w:bottom w:val="single" w:sz="4" w:space="0" w:color="auto"/>
              <w:right w:val="single" w:sz="4" w:space="0" w:color="auto"/>
            </w:tcBorders>
            <w:shd w:val="clear" w:color="auto" w:fill="auto"/>
            <w:vAlign w:val="center"/>
            <w:hideMark/>
          </w:tcPr>
          <w:p w:rsidR="007D249B" w:rsidRPr="0010457F" w:rsidRDefault="007D249B" w:rsidP="007D249B">
            <w:pPr>
              <w:spacing w:after="0" w:line="240" w:lineRule="auto"/>
              <w:jc w:val="center"/>
              <w:rPr>
                <w:color w:val="000000"/>
                <w:szCs w:val="22"/>
              </w:rPr>
            </w:pPr>
            <w:r w:rsidRPr="0010457F">
              <w:rPr>
                <w:color w:val="000000"/>
                <w:sz w:val="22"/>
                <w:szCs w:val="22"/>
              </w:rPr>
              <w:t>2,61</w:t>
            </w:r>
          </w:p>
        </w:tc>
        <w:tc>
          <w:tcPr>
            <w:tcW w:w="1120" w:type="dxa"/>
            <w:tcBorders>
              <w:top w:val="nil"/>
              <w:left w:val="nil"/>
              <w:bottom w:val="single" w:sz="4" w:space="0" w:color="auto"/>
              <w:right w:val="single" w:sz="12" w:space="0" w:color="auto"/>
            </w:tcBorders>
            <w:shd w:val="clear" w:color="auto" w:fill="auto"/>
            <w:vAlign w:val="center"/>
            <w:hideMark/>
          </w:tcPr>
          <w:p w:rsidR="007D249B" w:rsidRPr="0010457F" w:rsidRDefault="007D249B" w:rsidP="007D249B">
            <w:pPr>
              <w:spacing w:after="0" w:line="240" w:lineRule="auto"/>
              <w:jc w:val="center"/>
              <w:rPr>
                <w:color w:val="000000"/>
                <w:szCs w:val="22"/>
              </w:rPr>
            </w:pPr>
            <w:r w:rsidRPr="0010457F">
              <w:rPr>
                <w:color w:val="000000"/>
                <w:sz w:val="22"/>
                <w:szCs w:val="22"/>
              </w:rPr>
              <w:t>3,09</w:t>
            </w:r>
          </w:p>
        </w:tc>
      </w:tr>
      <w:tr w:rsidR="007D249B" w:rsidRPr="0010457F" w:rsidTr="00EE4870">
        <w:trPr>
          <w:trHeight w:val="342"/>
          <w:jc w:val="center"/>
        </w:trPr>
        <w:tc>
          <w:tcPr>
            <w:tcW w:w="2300" w:type="dxa"/>
            <w:tcBorders>
              <w:top w:val="nil"/>
              <w:left w:val="single" w:sz="12" w:space="0" w:color="auto"/>
              <w:bottom w:val="single" w:sz="4" w:space="0" w:color="auto"/>
              <w:right w:val="single" w:sz="4" w:space="0" w:color="auto"/>
            </w:tcBorders>
            <w:shd w:val="clear" w:color="auto" w:fill="auto"/>
            <w:vAlign w:val="center"/>
            <w:hideMark/>
          </w:tcPr>
          <w:p w:rsidR="007D249B" w:rsidRPr="0010457F" w:rsidRDefault="007D249B" w:rsidP="007D249B">
            <w:pPr>
              <w:spacing w:after="0" w:line="240" w:lineRule="auto"/>
              <w:rPr>
                <w:color w:val="000000"/>
                <w:szCs w:val="22"/>
              </w:rPr>
            </w:pPr>
            <w:r w:rsidRPr="0010457F">
              <w:rPr>
                <w:color w:val="000000"/>
                <w:sz w:val="22"/>
                <w:szCs w:val="22"/>
              </w:rPr>
              <w:t>Pohotová likvidita</w:t>
            </w:r>
          </w:p>
        </w:tc>
        <w:tc>
          <w:tcPr>
            <w:tcW w:w="2160" w:type="dxa"/>
            <w:tcBorders>
              <w:top w:val="nil"/>
              <w:left w:val="nil"/>
              <w:bottom w:val="single" w:sz="4" w:space="0" w:color="auto"/>
              <w:right w:val="single" w:sz="4" w:space="0" w:color="auto"/>
            </w:tcBorders>
            <w:shd w:val="clear" w:color="auto" w:fill="auto"/>
            <w:vAlign w:val="center"/>
            <w:hideMark/>
          </w:tcPr>
          <w:p w:rsidR="007D249B" w:rsidRPr="0010457F" w:rsidRDefault="007D249B" w:rsidP="007D249B">
            <w:pPr>
              <w:spacing w:after="0" w:line="240" w:lineRule="auto"/>
              <w:jc w:val="center"/>
              <w:rPr>
                <w:color w:val="000000"/>
                <w:szCs w:val="22"/>
              </w:rPr>
            </w:pPr>
            <w:r w:rsidRPr="0010457F">
              <w:rPr>
                <w:color w:val="000000"/>
                <w:sz w:val="22"/>
                <w:szCs w:val="22"/>
              </w:rPr>
              <w:t>3,77</w:t>
            </w:r>
          </w:p>
        </w:tc>
        <w:tc>
          <w:tcPr>
            <w:tcW w:w="1120" w:type="dxa"/>
            <w:tcBorders>
              <w:top w:val="nil"/>
              <w:left w:val="nil"/>
              <w:bottom w:val="single" w:sz="4" w:space="0" w:color="auto"/>
              <w:right w:val="single" w:sz="4" w:space="0" w:color="auto"/>
            </w:tcBorders>
            <w:shd w:val="clear" w:color="auto" w:fill="auto"/>
            <w:vAlign w:val="center"/>
            <w:hideMark/>
          </w:tcPr>
          <w:p w:rsidR="007D249B" w:rsidRPr="0010457F" w:rsidRDefault="007D249B" w:rsidP="007D249B">
            <w:pPr>
              <w:spacing w:after="0" w:line="240" w:lineRule="auto"/>
              <w:jc w:val="center"/>
              <w:rPr>
                <w:color w:val="000000"/>
                <w:szCs w:val="22"/>
              </w:rPr>
            </w:pPr>
            <w:r w:rsidRPr="0010457F">
              <w:rPr>
                <w:color w:val="000000"/>
                <w:sz w:val="22"/>
                <w:szCs w:val="22"/>
              </w:rPr>
              <w:t>2,61</w:t>
            </w:r>
          </w:p>
        </w:tc>
        <w:tc>
          <w:tcPr>
            <w:tcW w:w="1120" w:type="dxa"/>
            <w:tcBorders>
              <w:top w:val="nil"/>
              <w:left w:val="nil"/>
              <w:bottom w:val="single" w:sz="4" w:space="0" w:color="auto"/>
              <w:right w:val="single" w:sz="12" w:space="0" w:color="auto"/>
            </w:tcBorders>
            <w:shd w:val="clear" w:color="auto" w:fill="auto"/>
            <w:vAlign w:val="center"/>
            <w:hideMark/>
          </w:tcPr>
          <w:p w:rsidR="007D249B" w:rsidRPr="0010457F" w:rsidRDefault="007D249B" w:rsidP="007D249B">
            <w:pPr>
              <w:spacing w:after="0" w:line="240" w:lineRule="auto"/>
              <w:jc w:val="center"/>
              <w:rPr>
                <w:color w:val="000000"/>
                <w:szCs w:val="22"/>
              </w:rPr>
            </w:pPr>
            <w:r w:rsidRPr="0010457F">
              <w:rPr>
                <w:color w:val="000000"/>
                <w:sz w:val="22"/>
                <w:szCs w:val="22"/>
              </w:rPr>
              <w:t>3,09</w:t>
            </w:r>
          </w:p>
        </w:tc>
      </w:tr>
      <w:tr w:rsidR="007D249B" w:rsidRPr="0010457F" w:rsidTr="00EE4870">
        <w:trPr>
          <w:trHeight w:val="342"/>
          <w:jc w:val="center"/>
        </w:trPr>
        <w:tc>
          <w:tcPr>
            <w:tcW w:w="2300" w:type="dxa"/>
            <w:tcBorders>
              <w:top w:val="nil"/>
              <w:left w:val="single" w:sz="12" w:space="0" w:color="auto"/>
              <w:bottom w:val="single" w:sz="12" w:space="0" w:color="auto"/>
              <w:right w:val="single" w:sz="4" w:space="0" w:color="auto"/>
            </w:tcBorders>
            <w:shd w:val="clear" w:color="auto" w:fill="auto"/>
            <w:vAlign w:val="center"/>
            <w:hideMark/>
          </w:tcPr>
          <w:p w:rsidR="007D249B" w:rsidRPr="0010457F" w:rsidRDefault="007D249B" w:rsidP="007D249B">
            <w:pPr>
              <w:spacing w:after="0" w:line="240" w:lineRule="auto"/>
              <w:rPr>
                <w:color w:val="000000"/>
                <w:szCs w:val="22"/>
              </w:rPr>
            </w:pPr>
            <w:r w:rsidRPr="0010457F">
              <w:rPr>
                <w:color w:val="000000"/>
                <w:sz w:val="22"/>
                <w:szCs w:val="22"/>
              </w:rPr>
              <w:t>Okamžitá likvidita</w:t>
            </w:r>
          </w:p>
        </w:tc>
        <w:tc>
          <w:tcPr>
            <w:tcW w:w="2160" w:type="dxa"/>
            <w:tcBorders>
              <w:top w:val="nil"/>
              <w:left w:val="nil"/>
              <w:bottom w:val="single" w:sz="12" w:space="0" w:color="auto"/>
              <w:right w:val="single" w:sz="4" w:space="0" w:color="auto"/>
            </w:tcBorders>
            <w:shd w:val="clear" w:color="auto" w:fill="auto"/>
            <w:vAlign w:val="center"/>
            <w:hideMark/>
          </w:tcPr>
          <w:p w:rsidR="007D249B" w:rsidRPr="0010457F" w:rsidRDefault="007D249B" w:rsidP="007D249B">
            <w:pPr>
              <w:spacing w:after="0" w:line="240" w:lineRule="auto"/>
              <w:jc w:val="center"/>
              <w:rPr>
                <w:color w:val="000000"/>
                <w:szCs w:val="22"/>
              </w:rPr>
            </w:pPr>
            <w:r w:rsidRPr="0010457F">
              <w:rPr>
                <w:color w:val="000000"/>
                <w:sz w:val="22"/>
                <w:szCs w:val="22"/>
              </w:rPr>
              <w:t>x</w:t>
            </w:r>
          </w:p>
        </w:tc>
        <w:tc>
          <w:tcPr>
            <w:tcW w:w="1120" w:type="dxa"/>
            <w:tcBorders>
              <w:top w:val="nil"/>
              <w:left w:val="nil"/>
              <w:bottom w:val="single" w:sz="12" w:space="0" w:color="auto"/>
              <w:right w:val="single" w:sz="4" w:space="0" w:color="auto"/>
            </w:tcBorders>
            <w:shd w:val="clear" w:color="auto" w:fill="auto"/>
            <w:vAlign w:val="center"/>
            <w:hideMark/>
          </w:tcPr>
          <w:p w:rsidR="007D249B" w:rsidRPr="0010457F" w:rsidRDefault="007D249B" w:rsidP="007D249B">
            <w:pPr>
              <w:spacing w:after="0" w:line="240" w:lineRule="auto"/>
              <w:jc w:val="center"/>
              <w:rPr>
                <w:color w:val="000000"/>
                <w:szCs w:val="22"/>
              </w:rPr>
            </w:pPr>
            <w:r w:rsidRPr="0010457F">
              <w:rPr>
                <w:color w:val="000000"/>
                <w:sz w:val="22"/>
                <w:szCs w:val="22"/>
              </w:rPr>
              <w:t>4,21</w:t>
            </w:r>
          </w:p>
        </w:tc>
        <w:tc>
          <w:tcPr>
            <w:tcW w:w="1120" w:type="dxa"/>
            <w:tcBorders>
              <w:top w:val="nil"/>
              <w:left w:val="nil"/>
              <w:bottom w:val="single" w:sz="12" w:space="0" w:color="auto"/>
              <w:right w:val="single" w:sz="12" w:space="0" w:color="auto"/>
            </w:tcBorders>
            <w:shd w:val="clear" w:color="auto" w:fill="auto"/>
            <w:vAlign w:val="center"/>
            <w:hideMark/>
          </w:tcPr>
          <w:p w:rsidR="007D249B" w:rsidRPr="0010457F" w:rsidRDefault="007D249B" w:rsidP="007D249B">
            <w:pPr>
              <w:spacing w:after="0" w:line="240" w:lineRule="auto"/>
              <w:jc w:val="center"/>
              <w:rPr>
                <w:color w:val="000000"/>
                <w:szCs w:val="22"/>
              </w:rPr>
            </w:pPr>
            <w:r w:rsidRPr="0010457F">
              <w:rPr>
                <w:color w:val="000000"/>
                <w:sz w:val="22"/>
                <w:szCs w:val="22"/>
              </w:rPr>
              <w:t>2,93</w:t>
            </w:r>
          </w:p>
        </w:tc>
      </w:tr>
    </w:tbl>
    <w:p w:rsidR="007D249B" w:rsidRDefault="007D249B" w:rsidP="007D249B">
      <w:pPr>
        <w:pStyle w:val="dajepodtabulkou"/>
        <w:ind w:left="851"/>
      </w:pPr>
      <w:r>
        <w:t>Zdroj: vlastní zpracování</w:t>
      </w:r>
    </w:p>
    <w:p w:rsidR="00617381" w:rsidRPr="007D249B" w:rsidRDefault="00617381" w:rsidP="002158D0">
      <w:pPr>
        <w:pStyle w:val="Odstavecnormln"/>
      </w:pPr>
      <w:r>
        <w:t xml:space="preserve">Poznámka: Příklad výpočtu ukazatelů likvidity je uveden v příloze 13 na str. </w:t>
      </w:r>
      <w:r w:rsidR="0054257D">
        <w:fldChar w:fldCharType="begin"/>
      </w:r>
      <w:r w:rsidR="0054257D">
        <w:instrText xml:space="preserve"> PAGEREF _Ref353440197 \h </w:instrText>
      </w:r>
      <w:r w:rsidR="0054257D">
        <w:fldChar w:fldCharType="separate"/>
      </w:r>
      <w:r w:rsidR="002534BA">
        <w:rPr>
          <w:noProof/>
        </w:rPr>
        <w:t>81</w:t>
      </w:r>
      <w:r w:rsidR="0054257D">
        <w:fldChar w:fldCharType="end"/>
      </w:r>
      <w:r>
        <w:t>.</w:t>
      </w:r>
    </w:p>
    <w:p w:rsidR="00364085" w:rsidRDefault="00E64569" w:rsidP="002158D0">
      <w:pPr>
        <w:pStyle w:val="Odstavecnormln"/>
      </w:pPr>
      <w:r>
        <w:t xml:space="preserve">Ukazatel běžné likvidity je v celém sledovaném období </w:t>
      </w:r>
      <w:r w:rsidR="00DB3363">
        <w:t>vysoký</w:t>
      </w:r>
      <w:r>
        <w:t>. Společnost byla schopna hradit své krát</w:t>
      </w:r>
      <w:r w:rsidR="00DB3363">
        <w:t>kodobé závazky z oběžných aktiv</w:t>
      </w:r>
      <w:r w:rsidR="00D60CD6">
        <w:t>.</w:t>
      </w:r>
      <w:r>
        <w:t xml:space="preserve"> Ukazatel pohotové likvidity vykazuje stejné hodnoty</w:t>
      </w:r>
      <w:r w:rsidR="004E104C">
        <w:t>,</w:t>
      </w:r>
      <w:r>
        <w:t xml:space="preserve"> jako ukazatel běžné likvidity. To je dáno tím, že společnost neeviduje žádné zásoby. Ukazatel okamžité likvidity nebylo možno stanovit v roce 2009, neboť společnost neevidovala žádné </w:t>
      </w:r>
      <w:r w:rsidR="007870EE">
        <w:t xml:space="preserve">okamžitě splatné závazky, což vypovídá </w:t>
      </w:r>
      <w:r w:rsidR="004B0962">
        <w:br/>
      </w:r>
      <w:r w:rsidR="007870EE">
        <w:t>o velmi dob</w:t>
      </w:r>
      <w:r w:rsidR="00433897">
        <w:t>ré platební morálce společnosti a schopnosti společnosti hradit krátkodobé závazky ve lhůtě splatnosti.</w:t>
      </w:r>
      <w:r>
        <w:t xml:space="preserve"> Veškeré závazky evidované k 31. 12. 2009 byly splatné až v následujícím období. Okamžitá likvidita v roce 2010 a 2011 je vysoká, tzn., že společnost měla v tomto období dostatek finančních prostředků k úhradě krátkodobých okamžitě splatných závazků. Na základě zjištěných ukazatelů likvidity lze konstatovat, že společnost po celé zkoumané období byla schopná hradit své </w:t>
      </w:r>
      <w:r w:rsidR="00D31D3D">
        <w:t xml:space="preserve">krátkodobé </w:t>
      </w:r>
      <w:r>
        <w:t>závazky.</w:t>
      </w:r>
      <w:r w:rsidR="007331A3">
        <w:t xml:space="preserve"> </w:t>
      </w:r>
      <w:r w:rsidR="007331A3">
        <w:lastRenderedPageBreak/>
        <w:t xml:space="preserve">Pro úplnost je </w:t>
      </w:r>
      <w:r w:rsidR="00834A96">
        <w:t>v</w:t>
      </w:r>
      <w:r w:rsidR="007D1260">
        <w:t> tabulce 18</w:t>
      </w:r>
      <w:r w:rsidR="007331A3">
        <w:t xml:space="preserve"> stanoven čistý pracovní kapitál. Pro jeho výpočet byla sestavena</w:t>
      </w:r>
      <w:r w:rsidR="007D1260">
        <w:t xml:space="preserve"> tabulka 17</w:t>
      </w:r>
      <w:r w:rsidR="007331A3">
        <w:t>.</w:t>
      </w:r>
    </w:p>
    <w:p w:rsidR="007331A3" w:rsidRDefault="007331A3" w:rsidP="007331A3">
      <w:pPr>
        <w:pStyle w:val="Titulek"/>
      </w:pPr>
      <w:bookmarkStart w:id="201" w:name="_Ref349839659"/>
      <w:bookmarkStart w:id="202" w:name="_Ref350185783"/>
      <w:bookmarkStart w:id="203" w:name="_Toc353125956"/>
      <w:r>
        <w:t xml:space="preserve">Tabulka </w:t>
      </w:r>
      <w:r w:rsidR="00C96C2B">
        <w:fldChar w:fldCharType="begin"/>
      </w:r>
      <w:r w:rsidR="00C96C2B">
        <w:instrText xml:space="preserve"> SEQ Tabulka \* ARABIC </w:instrText>
      </w:r>
      <w:r w:rsidR="00C96C2B">
        <w:fldChar w:fldCharType="separate"/>
      </w:r>
      <w:r w:rsidR="002534BA">
        <w:rPr>
          <w:noProof/>
        </w:rPr>
        <w:t>17</w:t>
      </w:r>
      <w:r w:rsidR="00C96C2B">
        <w:rPr>
          <w:noProof/>
        </w:rPr>
        <w:fldChar w:fldCharType="end"/>
      </w:r>
      <w:bookmarkEnd w:id="201"/>
      <w:r>
        <w:t xml:space="preserve"> Vybrané hodnoty pro stanovení čistého prac</w:t>
      </w:r>
      <w:r w:rsidR="0079132B">
        <w:t>ovního</w:t>
      </w:r>
      <w:r>
        <w:t xml:space="preserve"> kapitálu</w:t>
      </w:r>
      <w:bookmarkEnd w:id="202"/>
      <w:r w:rsidR="0079132B">
        <w:t>:</w:t>
      </w:r>
      <w:r w:rsidR="0079132B">
        <w:br/>
        <w:t>Q – MONT s. r. o.</w:t>
      </w:r>
      <w:bookmarkEnd w:id="203"/>
    </w:p>
    <w:p w:rsidR="008F6978" w:rsidRDefault="008F6978" w:rsidP="008F6978">
      <w:pPr>
        <w:pStyle w:val="dajenadtabulkouazdroj"/>
        <w:ind w:left="851"/>
      </w:pPr>
      <w:r>
        <w:t>Údaje jsou uvedeny v celých Kč</w:t>
      </w:r>
    </w:p>
    <w:tbl>
      <w:tblPr>
        <w:tblW w:w="6920" w:type="dxa"/>
        <w:jc w:val="center"/>
        <w:tblInd w:w="55" w:type="dxa"/>
        <w:tblCellMar>
          <w:left w:w="70" w:type="dxa"/>
          <w:right w:w="70" w:type="dxa"/>
        </w:tblCellMar>
        <w:tblLook w:val="04A0" w:firstRow="1" w:lastRow="0" w:firstColumn="1" w:lastColumn="0" w:noHBand="0" w:noVBand="1"/>
      </w:tblPr>
      <w:tblGrid>
        <w:gridCol w:w="640"/>
        <w:gridCol w:w="2860"/>
        <w:gridCol w:w="1140"/>
        <w:gridCol w:w="1140"/>
        <w:gridCol w:w="1140"/>
      </w:tblGrid>
      <w:tr w:rsidR="008F6978" w:rsidRPr="008F6978" w:rsidTr="008F6978">
        <w:trPr>
          <w:trHeight w:val="330"/>
          <w:jc w:val="center"/>
        </w:trPr>
        <w:tc>
          <w:tcPr>
            <w:tcW w:w="640" w:type="dxa"/>
            <w:tcBorders>
              <w:top w:val="single" w:sz="12" w:space="0" w:color="auto"/>
              <w:left w:val="single" w:sz="12" w:space="0" w:color="auto"/>
              <w:bottom w:val="double" w:sz="6" w:space="0" w:color="auto"/>
              <w:right w:val="single" w:sz="4" w:space="0" w:color="auto"/>
            </w:tcBorders>
            <w:shd w:val="clear" w:color="000000" w:fill="E4DFEC"/>
            <w:noWrap/>
            <w:vAlign w:val="center"/>
            <w:hideMark/>
          </w:tcPr>
          <w:p w:rsidR="008F6978" w:rsidRPr="008F6978" w:rsidRDefault="0010457F" w:rsidP="008F6978">
            <w:pPr>
              <w:spacing w:after="0" w:line="240" w:lineRule="auto"/>
              <w:jc w:val="center"/>
              <w:rPr>
                <w:b/>
                <w:bCs/>
                <w:color w:val="000000"/>
                <w:szCs w:val="22"/>
              </w:rPr>
            </w:pPr>
            <w:r>
              <w:rPr>
                <w:b/>
                <w:bCs/>
                <w:color w:val="000000"/>
                <w:sz w:val="22"/>
                <w:szCs w:val="22"/>
              </w:rPr>
              <w:t>Č. Ř</w:t>
            </w:r>
            <w:r w:rsidR="008F6978" w:rsidRPr="008F6978">
              <w:rPr>
                <w:b/>
                <w:bCs/>
                <w:color w:val="000000"/>
                <w:sz w:val="22"/>
                <w:szCs w:val="22"/>
              </w:rPr>
              <w:t>.</w:t>
            </w:r>
          </w:p>
        </w:tc>
        <w:tc>
          <w:tcPr>
            <w:tcW w:w="2860" w:type="dxa"/>
            <w:tcBorders>
              <w:top w:val="single" w:sz="12" w:space="0" w:color="auto"/>
              <w:left w:val="nil"/>
              <w:bottom w:val="double" w:sz="6" w:space="0" w:color="auto"/>
              <w:right w:val="single" w:sz="4" w:space="0" w:color="auto"/>
            </w:tcBorders>
            <w:shd w:val="clear" w:color="000000" w:fill="E4DFEC"/>
            <w:vAlign w:val="center"/>
            <w:hideMark/>
          </w:tcPr>
          <w:p w:rsidR="008F6978" w:rsidRPr="008F6978" w:rsidRDefault="0010457F" w:rsidP="008F6978">
            <w:pPr>
              <w:spacing w:after="0" w:line="240" w:lineRule="auto"/>
              <w:jc w:val="center"/>
              <w:rPr>
                <w:b/>
                <w:bCs/>
                <w:color w:val="000000"/>
                <w:szCs w:val="22"/>
              </w:rPr>
            </w:pPr>
            <w:r>
              <w:rPr>
                <w:b/>
                <w:bCs/>
                <w:color w:val="000000"/>
                <w:sz w:val="22"/>
                <w:szCs w:val="22"/>
              </w:rPr>
              <w:t>TEXT</w:t>
            </w:r>
          </w:p>
        </w:tc>
        <w:tc>
          <w:tcPr>
            <w:tcW w:w="1140" w:type="dxa"/>
            <w:tcBorders>
              <w:top w:val="single" w:sz="12" w:space="0" w:color="auto"/>
              <w:left w:val="nil"/>
              <w:bottom w:val="double" w:sz="6" w:space="0" w:color="auto"/>
              <w:right w:val="single" w:sz="4" w:space="0" w:color="auto"/>
            </w:tcBorders>
            <w:shd w:val="clear" w:color="000000" w:fill="E4DFEC"/>
            <w:vAlign w:val="center"/>
            <w:hideMark/>
          </w:tcPr>
          <w:p w:rsidR="008F6978" w:rsidRPr="008F6978" w:rsidRDefault="008F6978" w:rsidP="008F6978">
            <w:pPr>
              <w:spacing w:after="0" w:line="240" w:lineRule="auto"/>
              <w:jc w:val="center"/>
              <w:rPr>
                <w:b/>
                <w:bCs/>
                <w:color w:val="000000"/>
                <w:szCs w:val="22"/>
              </w:rPr>
            </w:pPr>
            <w:r w:rsidRPr="008F6978">
              <w:rPr>
                <w:b/>
                <w:bCs/>
                <w:color w:val="000000"/>
                <w:sz w:val="22"/>
                <w:szCs w:val="22"/>
              </w:rPr>
              <w:t>2009</w:t>
            </w:r>
          </w:p>
        </w:tc>
        <w:tc>
          <w:tcPr>
            <w:tcW w:w="1140" w:type="dxa"/>
            <w:tcBorders>
              <w:top w:val="single" w:sz="12" w:space="0" w:color="auto"/>
              <w:left w:val="nil"/>
              <w:bottom w:val="double" w:sz="6" w:space="0" w:color="auto"/>
              <w:right w:val="single" w:sz="4" w:space="0" w:color="auto"/>
            </w:tcBorders>
            <w:shd w:val="clear" w:color="000000" w:fill="E4DFEC"/>
            <w:vAlign w:val="center"/>
            <w:hideMark/>
          </w:tcPr>
          <w:p w:rsidR="008F6978" w:rsidRPr="008F6978" w:rsidRDefault="008F6978" w:rsidP="008F6978">
            <w:pPr>
              <w:spacing w:after="0" w:line="240" w:lineRule="auto"/>
              <w:jc w:val="center"/>
              <w:rPr>
                <w:b/>
                <w:bCs/>
                <w:color w:val="000000"/>
                <w:szCs w:val="22"/>
              </w:rPr>
            </w:pPr>
            <w:r w:rsidRPr="008F6978">
              <w:rPr>
                <w:b/>
                <w:bCs/>
                <w:color w:val="000000"/>
                <w:sz w:val="22"/>
                <w:szCs w:val="22"/>
              </w:rPr>
              <w:t>2010</w:t>
            </w:r>
          </w:p>
        </w:tc>
        <w:tc>
          <w:tcPr>
            <w:tcW w:w="1140" w:type="dxa"/>
            <w:tcBorders>
              <w:top w:val="single" w:sz="12" w:space="0" w:color="auto"/>
              <w:left w:val="nil"/>
              <w:bottom w:val="double" w:sz="6" w:space="0" w:color="auto"/>
              <w:right w:val="single" w:sz="12" w:space="0" w:color="auto"/>
            </w:tcBorders>
            <w:shd w:val="clear" w:color="000000" w:fill="E4DFEC"/>
            <w:vAlign w:val="center"/>
            <w:hideMark/>
          </w:tcPr>
          <w:p w:rsidR="008F6978" w:rsidRPr="008F6978" w:rsidRDefault="008F6978" w:rsidP="008F6978">
            <w:pPr>
              <w:spacing w:after="0" w:line="240" w:lineRule="auto"/>
              <w:jc w:val="center"/>
              <w:rPr>
                <w:b/>
                <w:bCs/>
                <w:color w:val="000000"/>
                <w:szCs w:val="22"/>
              </w:rPr>
            </w:pPr>
            <w:r w:rsidRPr="008F6978">
              <w:rPr>
                <w:b/>
                <w:bCs/>
                <w:color w:val="000000"/>
                <w:sz w:val="22"/>
                <w:szCs w:val="22"/>
              </w:rPr>
              <w:t>2011</w:t>
            </w:r>
          </w:p>
        </w:tc>
      </w:tr>
      <w:tr w:rsidR="008F6978" w:rsidRPr="008F6978" w:rsidTr="008F6978">
        <w:trPr>
          <w:trHeight w:val="315"/>
          <w:jc w:val="center"/>
        </w:trPr>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8F6978" w:rsidRPr="008F6978" w:rsidRDefault="008F6978" w:rsidP="008F6978">
            <w:pPr>
              <w:spacing w:after="0" w:line="240" w:lineRule="auto"/>
              <w:jc w:val="center"/>
              <w:rPr>
                <w:color w:val="000000"/>
                <w:szCs w:val="22"/>
              </w:rPr>
            </w:pPr>
            <w:r w:rsidRPr="008F6978">
              <w:rPr>
                <w:color w:val="000000"/>
                <w:sz w:val="22"/>
                <w:szCs w:val="22"/>
              </w:rPr>
              <w:t>1</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8F6978" w:rsidRPr="008F6978" w:rsidRDefault="008F6978" w:rsidP="008F6978">
            <w:pPr>
              <w:spacing w:after="0" w:line="240" w:lineRule="auto"/>
              <w:jc w:val="left"/>
              <w:rPr>
                <w:color w:val="000000"/>
                <w:szCs w:val="22"/>
              </w:rPr>
            </w:pPr>
            <w:r w:rsidRPr="008F6978">
              <w:rPr>
                <w:color w:val="000000"/>
                <w:sz w:val="22"/>
                <w:szCs w:val="22"/>
              </w:rPr>
              <w:t>Celková oběžná aktiva</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8F6978" w:rsidRPr="008F6978" w:rsidRDefault="008F6978" w:rsidP="008F6978">
            <w:pPr>
              <w:spacing w:after="0" w:line="240" w:lineRule="auto"/>
              <w:jc w:val="right"/>
              <w:rPr>
                <w:color w:val="000000"/>
                <w:szCs w:val="22"/>
              </w:rPr>
            </w:pPr>
            <w:r w:rsidRPr="008F6978">
              <w:rPr>
                <w:color w:val="000000"/>
                <w:sz w:val="22"/>
                <w:szCs w:val="22"/>
              </w:rPr>
              <w:t>2 183 800</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8F6978" w:rsidRPr="008F6978" w:rsidRDefault="008F6978" w:rsidP="008F6978">
            <w:pPr>
              <w:spacing w:after="0" w:line="240" w:lineRule="auto"/>
              <w:jc w:val="right"/>
              <w:rPr>
                <w:color w:val="000000"/>
                <w:szCs w:val="22"/>
              </w:rPr>
            </w:pPr>
            <w:r w:rsidRPr="008F6978">
              <w:rPr>
                <w:color w:val="000000"/>
                <w:sz w:val="22"/>
                <w:szCs w:val="22"/>
              </w:rPr>
              <w:t>1 781 047</w:t>
            </w:r>
          </w:p>
        </w:tc>
        <w:tc>
          <w:tcPr>
            <w:tcW w:w="1140" w:type="dxa"/>
            <w:tcBorders>
              <w:top w:val="single" w:sz="4" w:space="0" w:color="auto"/>
              <w:left w:val="nil"/>
              <w:bottom w:val="single" w:sz="4" w:space="0" w:color="auto"/>
              <w:right w:val="single" w:sz="12" w:space="0" w:color="auto"/>
            </w:tcBorders>
            <w:shd w:val="clear" w:color="auto" w:fill="auto"/>
            <w:vAlign w:val="center"/>
            <w:hideMark/>
          </w:tcPr>
          <w:p w:rsidR="008F6978" w:rsidRPr="008F6978" w:rsidRDefault="008F6978" w:rsidP="008F6978">
            <w:pPr>
              <w:spacing w:after="0" w:line="240" w:lineRule="auto"/>
              <w:jc w:val="right"/>
              <w:rPr>
                <w:color w:val="000000"/>
                <w:szCs w:val="22"/>
              </w:rPr>
            </w:pPr>
            <w:r w:rsidRPr="008F6978">
              <w:rPr>
                <w:color w:val="000000"/>
                <w:sz w:val="22"/>
                <w:szCs w:val="22"/>
              </w:rPr>
              <w:t>1 766 282</w:t>
            </w:r>
          </w:p>
        </w:tc>
      </w:tr>
      <w:tr w:rsidR="008F6978" w:rsidRPr="008F6978" w:rsidTr="008F6978">
        <w:trPr>
          <w:trHeight w:val="300"/>
          <w:jc w:val="center"/>
        </w:trPr>
        <w:tc>
          <w:tcPr>
            <w:tcW w:w="640" w:type="dxa"/>
            <w:tcBorders>
              <w:top w:val="nil"/>
              <w:left w:val="single" w:sz="12" w:space="0" w:color="auto"/>
              <w:bottom w:val="single" w:sz="4" w:space="0" w:color="auto"/>
              <w:right w:val="single" w:sz="4" w:space="0" w:color="auto"/>
            </w:tcBorders>
            <w:shd w:val="clear" w:color="auto" w:fill="auto"/>
            <w:noWrap/>
            <w:vAlign w:val="center"/>
            <w:hideMark/>
          </w:tcPr>
          <w:p w:rsidR="008F6978" w:rsidRPr="008F6978" w:rsidRDefault="008F6978" w:rsidP="008F6978">
            <w:pPr>
              <w:spacing w:after="0" w:line="240" w:lineRule="auto"/>
              <w:jc w:val="center"/>
              <w:rPr>
                <w:color w:val="000000"/>
                <w:szCs w:val="22"/>
              </w:rPr>
            </w:pPr>
            <w:r w:rsidRPr="008F6978">
              <w:rPr>
                <w:color w:val="000000"/>
                <w:sz w:val="22"/>
                <w:szCs w:val="22"/>
              </w:rPr>
              <w:t>2</w:t>
            </w:r>
          </w:p>
        </w:tc>
        <w:tc>
          <w:tcPr>
            <w:tcW w:w="2860" w:type="dxa"/>
            <w:tcBorders>
              <w:top w:val="nil"/>
              <w:left w:val="nil"/>
              <w:bottom w:val="single" w:sz="4" w:space="0" w:color="auto"/>
              <w:right w:val="single" w:sz="4" w:space="0" w:color="auto"/>
            </w:tcBorders>
            <w:shd w:val="clear" w:color="auto" w:fill="auto"/>
            <w:vAlign w:val="center"/>
            <w:hideMark/>
          </w:tcPr>
          <w:p w:rsidR="008F6978" w:rsidRPr="008F6978" w:rsidRDefault="008F6978" w:rsidP="008F6978">
            <w:pPr>
              <w:spacing w:after="0" w:line="240" w:lineRule="auto"/>
              <w:rPr>
                <w:color w:val="000000"/>
                <w:szCs w:val="22"/>
              </w:rPr>
            </w:pPr>
            <w:r w:rsidRPr="008F6978">
              <w:rPr>
                <w:color w:val="000000"/>
                <w:sz w:val="22"/>
                <w:szCs w:val="22"/>
              </w:rPr>
              <w:t>Nedobytné pohledávky</w:t>
            </w:r>
          </w:p>
        </w:tc>
        <w:tc>
          <w:tcPr>
            <w:tcW w:w="1140" w:type="dxa"/>
            <w:tcBorders>
              <w:top w:val="nil"/>
              <w:left w:val="nil"/>
              <w:bottom w:val="single" w:sz="4" w:space="0" w:color="auto"/>
              <w:right w:val="single" w:sz="4" w:space="0" w:color="auto"/>
            </w:tcBorders>
            <w:shd w:val="clear" w:color="auto" w:fill="auto"/>
            <w:vAlign w:val="center"/>
            <w:hideMark/>
          </w:tcPr>
          <w:p w:rsidR="008F6978" w:rsidRPr="008F6978" w:rsidRDefault="008F6978" w:rsidP="008F6978">
            <w:pPr>
              <w:spacing w:after="0" w:line="240" w:lineRule="auto"/>
              <w:jc w:val="right"/>
              <w:rPr>
                <w:color w:val="000000"/>
                <w:szCs w:val="22"/>
              </w:rPr>
            </w:pPr>
            <w:r w:rsidRPr="008F6978">
              <w:rPr>
                <w:color w:val="000000"/>
                <w:sz w:val="22"/>
                <w:szCs w:val="22"/>
              </w:rPr>
              <w:t>234 230</w:t>
            </w:r>
          </w:p>
        </w:tc>
        <w:tc>
          <w:tcPr>
            <w:tcW w:w="1140" w:type="dxa"/>
            <w:tcBorders>
              <w:top w:val="nil"/>
              <w:left w:val="nil"/>
              <w:bottom w:val="single" w:sz="4" w:space="0" w:color="auto"/>
              <w:right w:val="single" w:sz="4" w:space="0" w:color="auto"/>
            </w:tcBorders>
            <w:shd w:val="clear" w:color="auto" w:fill="auto"/>
            <w:vAlign w:val="center"/>
            <w:hideMark/>
          </w:tcPr>
          <w:p w:rsidR="008F6978" w:rsidRPr="008F6978" w:rsidRDefault="008F6978" w:rsidP="008F6978">
            <w:pPr>
              <w:spacing w:after="0" w:line="240" w:lineRule="auto"/>
              <w:jc w:val="right"/>
              <w:rPr>
                <w:color w:val="000000"/>
                <w:szCs w:val="22"/>
              </w:rPr>
            </w:pPr>
            <w:r w:rsidRPr="008F6978">
              <w:rPr>
                <w:color w:val="000000"/>
                <w:sz w:val="22"/>
                <w:szCs w:val="22"/>
              </w:rPr>
              <w:t>533 230</w:t>
            </w:r>
          </w:p>
        </w:tc>
        <w:tc>
          <w:tcPr>
            <w:tcW w:w="1140" w:type="dxa"/>
            <w:tcBorders>
              <w:top w:val="nil"/>
              <w:left w:val="nil"/>
              <w:bottom w:val="single" w:sz="4" w:space="0" w:color="auto"/>
              <w:right w:val="single" w:sz="12" w:space="0" w:color="auto"/>
            </w:tcBorders>
            <w:shd w:val="clear" w:color="auto" w:fill="auto"/>
            <w:vAlign w:val="center"/>
            <w:hideMark/>
          </w:tcPr>
          <w:p w:rsidR="008F6978" w:rsidRPr="008F6978" w:rsidRDefault="008F6978" w:rsidP="008F6978">
            <w:pPr>
              <w:spacing w:after="0" w:line="240" w:lineRule="auto"/>
              <w:jc w:val="right"/>
              <w:rPr>
                <w:color w:val="000000"/>
                <w:szCs w:val="22"/>
              </w:rPr>
            </w:pPr>
            <w:r w:rsidRPr="008F6978">
              <w:rPr>
                <w:color w:val="000000"/>
                <w:sz w:val="22"/>
                <w:szCs w:val="22"/>
              </w:rPr>
              <w:t>533 230</w:t>
            </w:r>
          </w:p>
        </w:tc>
      </w:tr>
      <w:tr w:rsidR="008F6978" w:rsidRPr="008F6978" w:rsidTr="008F6978">
        <w:trPr>
          <w:trHeight w:val="342"/>
          <w:jc w:val="center"/>
        </w:trPr>
        <w:tc>
          <w:tcPr>
            <w:tcW w:w="640" w:type="dxa"/>
            <w:tcBorders>
              <w:top w:val="nil"/>
              <w:left w:val="single" w:sz="12" w:space="0" w:color="auto"/>
              <w:bottom w:val="single" w:sz="12" w:space="0" w:color="auto"/>
              <w:right w:val="single" w:sz="4" w:space="0" w:color="auto"/>
            </w:tcBorders>
            <w:shd w:val="clear" w:color="auto" w:fill="auto"/>
            <w:noWrap/>
            <w:vAlign w:val="center"/>
            <w:hideMark/>
          </w:tcPr>
          <w:p w:rsidR="008F6978" w:rsidRPr="008F6978" w:rsidRDefault="00B03F0F" w:rsidP="008F6978">
            <w:pPr>
              <w:spacing w:after="0" w:line="240" w:lineRule="auto"/>
              <w:jc w:val="center"/>
              <w:rPr>
                <w:color w:val="000000"/>
                <w:szCs w:val="22"/>
              </w:rPr>
            </w:pPr>
            <w:r>
              <w:rPr>
                <w:color w:val="000000"/>
                <w:sz w:val="22"/>
                <w:szCs w:val="22"/>
              </w:rPr>
              <w:t>3</w:t>
            </w:r>
          </w:p>
        </w:tc>
        <w:tc>
          <w:tcPr>
            <w:tcW w:w="2860" w:type="dxa"/>
            <w:tcBorders>
              <w:top w:val="nil"/>
              <w:left w:val="nil"/>
              <w:bottom w:val="single" w:sz="12" w:space="0" w:color="auto"/>
              <w:right w:val="single" w:sz="4" w:space="0" w:color="auto"/>
            </w:tcBorders>
            <w:shd w:val="clear" w:color="auto" w:fill="auto"/>
            <w:vAlign w:val="center"/>
            <w:hideMark/>
          </w:tcPr>
          <w:p w:rsidR="008F6978" w:rsidRPr="008F6978" w:rsidRDefault="008F6978" w:rsidP="008F6978">
            <w:pPr>
              <w:spacing w:after="0" w:line="240" w:lineRule="auto"/>
              <w:jc w:val="left"/>
              <w:rPr>
                <w:color w:val="000000"/>
                <w:szCs w:val="22"/>
              </w:rPr>
            </w:pPr>
            <w:r w:rsidRPr="008F6978">
              <w:rPr>
                <w:color w:val="000000"/>
                <w:sz w:val="22"/>
                <w:szCs w:val="22"/>
              </w:rPr>
              <w:t>Celkové krátkodobé závazky</w:t>
            </w:r>
          </w:p>
        </w:tc>
        <w:tc>
          <w:tcPr>
            <w:tcW w:w="1140" w:type="dxa"/>
            <w:tcBorders>
              <w:top w:val="nil"/>
              <w:left w:val="nil"/>
              <w:bottom w:val="single" w:sz="12" w:space="0" w:color="auto"/>
              <w:right w:val="single" w:sz="4" w:space="0" w:color="auto"/>
            </w:tcBorders>
            <w:shd w:val="clear" w:color="auto" w:fill="auto"/>
            <w:vAlign w:val="center"/>
            <w:hideMark/>
          </w:tcPr>
          <w:p w:rsidR="008F6978" w:rsidRPr="008F6978" w:rsidRDefault="008F6978" w:rsidP="008F6978">
            <w:pPr>
              <w:spacing w:after="0" w:line="240" w:lineRule="auto"/>
              <w:jc w:val="right"/>
              <w:rPr>
                <w:color w:val="000000"/>
                <w:szCs w:val="22"/>
              </w:rPr>
            </w:pPr>
            <w:r w:rsidRPr="008F6978">
              <w:rPr>
                <w:color w:val="000000"/>
                <w:sz w:val="22"/>
                <w:szCs w:val="22"/>
              </w:rPr>
              <w:t>517 757</w:t>
            </w:r>
          </w:p>
        </w:tc>
        <w:tc>
          <w:tcPr>
            <w:tcW w:w="1140" w:type="dxa"/>
            <w:tcBorders>
              <w:top w:val="nil"/>
              <w:left w:val="nil"/>
              <w:bottom w:val="single" w:sz="12" w:space="0" w:color="auto"/>
              <w:right w:val="single" w:sz="4" w:space="0" w:color="auto"/>
            </w:tcBorders>
            <w:shd w:val="clear" w:color="auto" w:fill="auto"/>
            <w:vAlign w:val="center"/>
            <w:hideMark/>
          </w:tcPr>
          <w:p w:rsidR="008F6978" w:rsidRPr="008F6978" w:rsidRDefault="008F6978" w:rsidP="008F6978">
            <w:pPr>
              <w:spacing w:after="0" w:line="240" w:lineRule="auto"/>
              <w:jc w:val="right"/>
              <w:rPr>
                <w:color w:val="000000"/>
                <w:szCs w:val="22"/>
              </w:rPr>
            </w:pPr>
            <w:r w:rsidRPr="008F6978">
              <w:rPr>
                <w:color w:val="000000"/>
                <w:sz w:val="22"/>
                <w:szCs w:val="22"/>
              </w:rPr>
              <w:t>478 153</w:t>
            </w:r>
          </w:p>
        </w:tc>
        <w:tc>
          <w:tcPr>
            <w:tcW w:w="1140" w:type="dxa"/>
            <w:tcBorders>
              <w:top w:val="nil"/>
              <w:left w:val="nil"/>
              <w:bottom w:val="single" w:sz="12" w:space="0" w:color="auto"/>
              <w:right w:val="single" w:sz="12" w:space="0" w:color="auto"/>
            </w:tcBorders>
            <w:shd w:val="clear" w:color="auto" w:fill="auto"/>
            <w:vAlign w:val="center"/>
            <w:hideMark/>
          </w:tcPr>
          <w:p w:rsidR="008F6978" w:rsidRPr="008F6978" w:rsidRDefault="008F6978" w:rsidP="008F6978">
            <w:pPr>
              <w:spacing w:after="0" w:line="240" w:lineRule="auto"/>
              <w:jc w:val="right"/>
              <w:rPr>
                <w:color w:val="000000"/>
                <w:szCs w:val="22"/>
              </w:rPr>
            </w:pPr>
            <w:r w:rsidRPr="008F6978">
              <w:rPr>
                <w:color w:val="000000"/>
                <w:sz w:val="22"/>
                <w:szCs w:val="22"/>
              </w:rPr>
              <w:t>398 968</w:t>
            </w:r>
          </w:p>
        </w:tc>
      </w:tr>
    </w:tbl>
    <w:p w:rsidR="008F6978" w:rsidRDefault="008F6978" w:rsidP="008F6978">
      <w:pPr>
        <w:pStyle w:val="dajepodtabulkou"/>
        <w:ind w:left="851"/>
      </w:pPr>
      <w:r>
        <w:t>Zdroj: Q – MONT s. r. o.</w:t>
      </w:r>
    </w:p>
    <w:p w:rsidR="008F6978" w:rsidRDefault="007331A3" w:rsidP="002158D0">
      <w:pPr>
        <w:pStyle w:val="Odstavecnormln"/>
      </w:pPr>
      <w:r>
        <w:t>Pro výpočet čistého pracovního kapitálu byla výše celkových oběžných aktiv upravena o nedobytné pohledávky</w:t>
      </w:r>
      <w:r w:rsidR="004E104C">
        <w:t xml:space="preserve"> uvedené na ř. 2</w:t>
      </w:r>
      <w:r w:rsidR="007D1260">
        <w:t xml:space="preserve"> tabulky 17</w:t>
      </w:r>
      <w:r w:rsidR="00A433EB">
        <w:t>.</w:t>
      </w:r>
    </w:p>
    <w:p w:rsidR="00E715A6" w:rsidRDefault="00E715A6" w:rsidP="00E715A6">
      <w:pPr>
        <w:pStyle w:val="Titulek"/>
      </w:pPr>
      <w:bookmarkStart w:id="204" w:name="_Ref350535684"/>
      <w:bookmarkStart w:id="205" w:name="_Toc353125957"/>
      <w:r>
        <w:t xml:space="preserve">Tabulka </w:t>
      </w:r>
      <w:r w:rsidR="00C96C2B">
        <w:fldChar w:fldCharType="begin"/>
      </w:r>
      <w:r w:rsidR="00C96C2B">
        <w:instrText xml:space="preserve"> SEQ Tabulka \* ARABIC </w:instrText>
      </w:r>
      <w:r w:rsidR="00C96C2B">
        <w:fldChar w:fldCharType="separate"/>
      </w:r>
      <w:r w:rsidR="002534BA">
        <w:rPr>
          <w:noProof/>
        </w:rPr>
        <w:t>18</w:t>
      </w:r>
      <w:r w:rsidR="00C96C2B">
        <w:rPr>
          <w:noProof/>
        </w:rPr>
        <w:fldChar w:fldCharType="end"/>
      </w:r>
      <w:bookmarkEnd w:id="204"/>
      <w:r>
        <w:t xml:space="preserve"> Čistý pracovní kapitál</w:t>
      </w:r>
      <w:r w:rsidR="0079132B">
        <w:t>: Q – MONT s. r. o.</w:t>
      </w:r>
      <w:bookmarkEnd w:id="205"/>
    </w:p>
    <w:p w:rsidR="00F35A81" w:rsidRDefault="00F35A81" w:rsidP="00EC55D5">
      <w:pPr>
        <w:pStyle w:val="dajenadtabulkouazdroj"/>
        <w:ind w:left="1134"/>
      </w:pPr>
      <w:r>
        <w:t>Údaje jsou uvedeny v celých Kč</w:t>
      </w:r>
    </w:p>
    <w:tbl>
      <w:tblPr>
        <w:tblW w:w="6280" w:type="dxa"/>
        <w:jc w:val="center"/>
        <w:tblInd w:w="55" w:type="dxa"/>
        <w:tblCellMar>
          <w:left w:w="70" w:type="dxa"/>
          <w:right w:w="70" w:type="dxa"/>
        </w:tblCellMar>
        <w:tblLook w:val="04A0" w:firstRow="1" w:lastRow="0" w:firstColumn="1" w:lastColumn="0" w:noHBand="0" w:noVBand="1"/>
      </w:tblPr>
      <w:tblGrid>
        <w:gridCol w:w="2860"/>
        <w:gridCol w:w="1140"/>
        <w:gridCol w:w="1140"/>
        <w:gridCol w:w="1140"/>
      </w:tblGrid>
      <w:tr w:rsidR="00EC55D5" w:rsidRPr="00EC55D5" w:rsidTr="00EC55D5">
        <w:trPr>
          <w:trHeight w:val="330"/>
          <w:jc w:val="center"/>
        </w:trPr>
        <w:tc>
          <w:tcPr>
            <w:tcW w:w="2860" w:type="dxa"/>
            <w:tcBorders>
              <w:top w:val="single" w:sz="12" w:space="0" w:color="auto"/>
              <w:left w:val="single" w:sz="12" w:space="0" w:color="auto"/>
              <w:bottom w:val="double" w:sz="6" w:space="0" w:color="auto"/>
              <w:right w:val="single" w:sz="4" w:space="0" w:color="auto"/>
            </w:tcBorders>
            <w:shd w:val="clear" w:color="000000" w:fill="E4DFEC"/>
            <w:vAlign w:val="center"/>
            <w:hideMark/>
          </w:tcPr>
          <w:p w:rsidR="00EC55D5" w:rsidRPr="00EC55D5" w:rsidRDefault="0010457F" w:rsidP="00EC55D5">
            <w:pPr>
              <w:spacing w:after="0" w:line="240" w:lineRule="auto"/>
              <w:jc w:val="center"/>
              <w:rPr>
                <w:b/>
                <w:bCs/>
                <w:color w:val="000000"/>
                <w:szCs w:val="22"/>
              </w:rPr>
            </w:pPr>
            <w:r>
              <w:rPr>
                <w:b/>
                <w:bCs/>
                <w:color w:val="000000"/>
                <w:sz w:val="22"/>
                <w:szCs w:val="22"/>
              </w:rPr>
              <w:t>TEXT</w:t>
            </w:r>
          </w:p>
        </w:tc>
        <w:tc>
          <w:tcPr>
            <w:tcW w:w="1140" w:type="dxa"/>
            <w:tcBorders>
              <w:top w:val="single" w:sz="12" w:space="0" w:color="auto"/>
              <w:left w:val="nil"/>
              <w:bottom w:val="double" w:sz="6" w:space="0" w:color="auto"/>
              <w:right w:val="single" w:sz="4" w:space="0" w:color="auto"/>
            </w:tcBorders>
            <w:shd w:val="clear" w:color="000000" w:fill="E4DFEC"/>
            <w:vAlign w:val="center"/>
            <w:hideMark/>
          </w:tcPr>
          <w:p w:rsidR="00EC55D5" w:rsidRPr="00EC55D5" w:rsidRDefault="00EC55D5" w:rsidP="00EC55D5">
            <w:pPr>
              <w:spacing w:after="0" w:line="240" w:lineRule="auto"/>
              <w:jc w:val="center"/>
              <w:rPr>
                <w:b/>
                <w:bCs/>
                <w:color w:val="000000"/>
                <w:szCs w:val="22"/>
              </w:rPr>
            </w:pPr>
            <w:r w:rsidRPr="00EC55D5">
              <w:rPr>
                <w:b/>
                <w:bCs/>
                <w:color w:val="000000"/>
                <w:sz w:val="22"/>
                <w:szCs w:val="22"/>
              </w:rPr>
              <w:t>2009</w:t>
            </w:r>
          </w:p>
        </w:tc>
        <w:tc>
          <w:tcPr>
            <w:tcW w:w="1140" w:type="dxa"/>
            <w:tcBorders>
              <w:top w:val="single" w:sz="12" w:space="0" w:color="auto"/>
              <w:left w:val="nil"/>
              <w:bottom w:val="double" w:sz="6" w:space="0" w:color="auto"/>
              <w:right w:val="single" w:sz="4" w:space="0" w:color="auto"/>
            </w:tcBorders>
            <w:shd w:val="clear" w:color="000000" w:fill="E4DFEC"/>
            <w:vAlign w:val="center"/>
            <w:hideMark/>
          </w:tcPr>
          <w:p w:rsidR="00EC55D5" w:rsidRPr="00EC55D5" w:rsidRDefault="00EC55D5" w:rsidP="00EC55D5">
            <w:pPr>
              <w:spacing w:after="0" w:line="240" w:lineRule="auto"/>
              <w:jc w:val="center"/>
              <w:rPr>
                <w:b/>
                <w:bCs/>
                <w:color w:val="000000"/>
                <w:szCs w:val="22"/>
              </w:rPr>
            </w:pPr>
            <w:r w:rsidRPr="00EC55D5">
              <w:rPr>
                <w:b/>
                <w:bCs/>
                <w:color w:val="000000"/>
                <w:sz w:val="22"/>
                <w:szCs w:val="22"/>
              </w:rPr>
              <w:t>2010</w:t>
            </w:r>
          </w:p>
        </w:tc>
        <w:tc>
          <w:tcPr>
            <w:tcW w:w="1140" w:type="dxa"/>
            <w:tcBorders>
              <w:top w:val="single" w:sz="12" w:space="0" w:color="auto"/>
              <w:left w:val="nil"/>
              <w:bottom w:val="double" w:sz="6" w:space="0" w:color="auto"/>
              <w:right w:val="single" w:sz="12" w:space="0" w:color="auto"/>
            </w:tcBorders>
            <w:shd w:val="clear" w:color="000000" w:fill="E4DFEC"/>
            <w:vAlign w:val="center"/>
            <w:hideMark/>
          </w:tcPr>
          <w:p w:rsidR="00EC55D5" w:rsidRPr="00EC55D5" w:rsidRDefault="00EC55D5" w:rsidP="00EC55D5">
            <w:pPr>
              <w:spacing w:after="0" w:line="240" w:lineRule="auto"/>
              <w:jc w:val="center"/>
              <w:rPr>
                <w:b/>
                <w:bCs/>
                <w:color w:val="000000"/>
                <w:szCs w:val="22"/>
              </w:rPr>
            </w:pPr>
            <w:r w:rsidRPr="00EC55D5">
              <w:rPr>
                <w:b/>
                <w:bCs/>
                <w:color w:val="000000"/>
                <w:sz w:val="22"/>
                <w:szCs w:val="22"/>
              </w:rPr>
              <w:t>2011</w:t>
            </w:r>
          </w:p>
        </w:tc>
      </w:tr>
      <w:tr w:rsidR="00EC55D5" w:rsidRPr="00EC55D5" w:rsidTr="00EC55D5">
        <w:trPr>
          <w:trHeight w:val="330"/>
          <w:jc w:val="center"/>
        </w:trPr>
        <w:tc>
          <w:tcPr>
            <w:tcW w:w="2860" w:type="dxa"/>
            <w:tcBorders>
              <w:top w:val="nil"/>
              <w:left w:val="single" w:sz="12" w:space="0" w:color="auto"/>
              <w:bottom w:val="single" w:sz="12" w:space="0" w:color="auto"/>
              <w:right w:val="single" w:sz="4" w:space="0" w:color="auto"/>
            </w:tcBorders>
            <w:shd w:val="clear" w:color="auto" w:fill="auto"/>
            <w:vAlign w:val="center"/>
            <w:hideMark/>
          </w:tcPr>
          <w:p w:rsidR="00EC55D5" w:rsidRPr="00EC55D5" w:rsidRDefault="00EC55D5" w:rsidP="00EC55D5">
            <w:pPr>
              <w:spacing w:after="0" w:line="240" w:lineRule="auto"/>
              <w:rPr>
                <w:color w:val="000000"/>
                <w:szCs w:val="22"/>
              </w:rPr>
            </w:pPr>
            <w:r w:rsidRPr="00EC55D5">
              <w:rPr>
                <w:color w:val="000000"/>
                <w:sz w:val="22"/>
                <w:szCs w:val="22"/>
              </w:rPr>
              <w:t>Čistý pracovní kapitál</w:t>
            </w:r>
          </w:p>
        </w:tc>
        <w:tc>
          <w:tcPr>
            <w:tcW w:w="1140" w:type="dxa"/>
            <w:tcBorders>
              <w:top w:val="double" w:sz="6" w:space="0" w:color="auto"/>
              <w:left w:val="single" w:sz="4" w:space="0" w:color="auto"/>
              <w:bottom w:val="single" w:sz="12" w:space="0" w:color="auto"/>
              <w:right w:val="single" w:sz="4" w:space="0" w:color="auto"/>
            </w:tcBorders>
            <w:shd w:val="clear" w:color="auto" w:fill="auto"/>
            <w:vAlign w:val="center"/>
            <w:hideMark/>
          </w:tcPr>
          <w:p w:rsidR="00EC55D5" w:rsidRPr="00EC55D5" w:rsidRDefault="00EC55D5" w:rsidP="00EC55D5">
            <w:pPr>
              <w:spacing w:after="0" w:line="240" w:lineRule="auto"/>
              <w:jc w:val="right"/>
              <w:rPr>
                <w:color w:val="000000"/>
                <w:szCs w:val="22"/>
              </w:rPr>
            </w:pPr>
            <w:r w:rsidRPr="00EC55D5">
              <w:rPr>
                <w:color w:val="000000"/>
                <w:sz w:val="22"/>
                <w:szCs w:val="22"/>
              </w:rPr>
              <w:t>1 431 813</w:t>
            </w:r>
          </w:p>
        </w:tc>
        <w:tc>
          <w:tcPr>
            <w:tcW w:w="1140" w:type="dxa"/>
            <w:tcBorders>
              <w:top w:val="double" w:sz="6" w:space="0" w:color="auto"/>
              <w:left w:val="nil"/>
              <w:bottom w:val="single" w:sz="12" w:space="0" w:color="auto"/>
              <w:right w:val="single" w:sz="4" w:space="0" w:color="auto"/>
            </w:tcBorders>
            <w:shd w:val="clear" w:color="auto" w:fill="auto"/>
            <w:vAlign w:val="center"/>
            <w:hideMark/>
          </w:tcPr>
          <w:p w:rsidR="00EC55D5" w:rsidRPr="00EC55D5" w:rsidRDefault="00EC55D5" w:rsidP="00EC55D5">
            <w:pPr>
              <w:spacing w:after="0" w:line="240" w:lineRule="auto"/>
              <w:jc w:val="right"/>
              <w:rPr>
                <w:color w:val="000000"/>
                <w:szCs w:val="22"/>
              </w:rPr>
            </w:pPr>
            <w:r w:rsidRPr="00EC55D5">
              <w:rPr>
                <w:color w:val="000000"/>
                <w:sz w:val="22"/>
                <w:szCs w:val="22"/>
              </w:rPr>
              <w:t>769 664</w:t>
            </w:r>
          </w:p>
        </w:tc>
        <w:tc>
          <w:tcPr>
            <w:tcW w:w="1140" w:type="dxa"/>
            <w:tcBorders>
              <w:top w:val="nil"/>
              <w:left w:val="single" w:sz="4" w:space="0" w:color="auto"/>
              <w:bottom w:val="single" w:sz="12" w:space="0" w:color="auto"/>
              <w:right w:val="single" w:sz="12" w:space="0" w:color="auto"/>
            </w:tcBorders>
            <w:shd w:val="clear" w:color="auto" w:fill="auto"/>
            <w:vAlign w:val="center"/>
            <w:hideMark/>
          </w:tcPr>
          <w:p w:rsidR="00EC55D5" w:rsidRPr="00EC55D5" w:rsidRDefault="00EC55D5" w:rsidP="00EC55D5">
            <w:pPr>
              <w:spacing w:after="0" w:line="240" w:lineRule="auto"/>
              <w:jc w:val="right"/>
              <w:rPr>
                <w:color w:val="000000"/>
                <w:szCs w:val="22"/>
              </w:rPr>
            </w:pPr>
            <w:r w:rsidRPr="00EC55D5">
              <w:rPr>
                <w:color w:val="000000"/>
                <w:sz w:val="22"/>
                <w:szCs w:val="22"/>
              </w:rPr>
              <w:t>834 084</w:t>
            </w:r>
          </w:p>
        </w:tc>
      </w:tr>
    </w:tbl>
    <w:p w:rsidR="00F35A81" w:rsidRDefault="00EC55D5" w:rsidP="00EC55D5">
      <w:pPr>
        <w:pStyle w:val="dajepodtabulkou"/>
        <w:ind w:left="1134"/>
      </w:pPr>
      <w:r>
        <w:t>Zdroj: vlastní zpracování</w:t>
      </w:r>
    </w:p>
    <w:p w:rsidR="00D31D3D" w:rsidRDefault="00D31D3D" w:rsidP="002158D0">
      <w:pPr>
        <w:pStyle w:val="Odstavecnormln"/>
      </w:pPr>
      <w:r>
        <w:t>Příklad výpočtu je uveden v</w:t>
      </w:r>
      <w:r w:rsidR="00744BD2">
        <w:t> příloze 14</w:t>
      </w:r>
      <w:r w:rsidR="008E5777">
        <w:t xml:space="preserve"> na str. </w:t>
      </w:r>
      <w:r w:rsidR="00E25629">
        <w:fldChar w:fldCharType="begin"/>
      </w:r>
      <w:r w:rsidR="00E25629">
        <w:instrText xml:space="preserve"> PAGEREF _Ref352357928 \h </w:instrText>
      </w:r>
      <w:r w:rsidR="00E25629">
        <w:fldChar w:fldCharType="separate"/>
      </w:r>
      <w:r w:rsidR="002534BA">
        <w:rPr>
          <w:noProof/>
        </w:rPr>
        <w:t>82</w:t>
      </w:r>
      <w:r w:rsidR="00E25629">
        <w:fldChar w:fldCharType="end"/>
      </w:r>
      <w:r w:rsidR="008E5777">
        <w:t>.</w:t>
      </w:r>
    </w:p>
    <w:p w:rsidR="00DB3363" w:rsidRDefault="00DB3363" w:rsidP="002158D0">
      <w:pPr>
        <w:pStyle w:val="Odstavecnormln"/>
      </w:pPr>
      <w:r>
        <w:t>Čistý pracovní kapitál představuje pro podnik volné prostředky, které podniku zbydou po úhradě všech běžných krátkodobých závazků. Lze konstatovat, že společnost</w:t>
      </w:r>
      <w:r>
        <w:br/>
        <w:t xml:space="preserve">Q – MONT s. r. o. disponovala v celém zkoumaném období dostatečné velkým </w:t>
      </w:r>
      <w:r w:rsidR="00712708">
        <w:t>provozním kapitálem a krátkodobé závazky byly v dostatečné míře kryty oběžnými aktivy. Společnost byla ve sledovaném období schopna zajistit bezproblémový průběh hospodářské činnosti.</w:t>
      </w:r>
    </w:p>
    <w:p w:rsidR="00037AAE" w:rsidRDefault="00037AAE" w:rsidP="002158D0">
      <w:pPr>
        <w:pStyle w:val="Odstavecnormln"/>
      </w:pPr>
      <w:r>
        <w:t xml:space="preserve">V další kapitole jsou zpracovány ukazatele aktivity. </w:t>
      </w:r>
      <w:r w:rsidR="003C6953">
        <w:t>Zásoby společnost v celém zkoumaném období neeviduje, p</w:t>
      </w:r>
      <w:r>
        <w:t xml:space="preserve">ozornost je zaměřena na </w:t>
      </w:r>
      <w:r w:rsidR="003C6953">
        <w:t xml:space="preserve">obratovost pohledávek </w:t>
      </w:r>
      <w:r w:rsidR="004B0962">
        <w:br/>
      </w:r>
      <w:r w:rsidR="003C6953">
        <w:t>a závazků.</w:t>
      </w:r>
    </w:p>
    <w:p w:rsidR="00435AB8" w:rsidRDefault="00435AB8" w:rsidP="00435AB8">
      <w:pPr>
        <w:pStyle w:val="Nadpis3"/>
        <w:spacing w:line="360" w:lineRule="auto"/>
      </w:pPr>
      <w:bookmarkStart w:id="206" w:name="_Toc339528930"/>
      <w:bookmarkStart w:id="207" w:name="_Toc347167036"/>
      <w:bookmarkStart w:id="208" w:name="_Ref350536830"/>
      <w:bookmarkStart w:id="209" w:name="_Ref350536843"/>
      <w:bookmarkStart w:id="210" w:name="_Ref350537578"/>
      <w:bookmarkStart w:id="211" w:name="_Ref350537589"/>
      <w:bookmarkStart w:id="212" w:name="_Toc353126179"/>
      <w:bookmarkStart w:id="213" w:name="_Toc353439371"/>
      <w:bookmarkStart w:id="214" w:name="_Ref353440360"/>
      <w:bookmarkStart w:id="215" w:name="_Ref353440376"/>
      <w:r>
        <w:lastRenderedPageBreak/>
        <w:t>Ukazatele aktivity</w:t>
      </w:r>
      <w:bookmarkEnd w:id="206"/>
      <w:bookmarkEnd w:id="207"/>
      <w:bookmarkEnd w:id="208"/>
      <w:bookmarkEnd w:id="209"/>
      <w:bookmarkEnd w:id="210"/>
      <w:bookmarkEnd w:id="211"/>
      <w:bookmarkEnd w:id="212"/>
      <w:bookmarkEnd w:id="213"/>
      <w:bookmarkEnd w:id="214"/>
      <w:bookmarkEnd w:id="215"/>
    </w:p>
    <w:p w:rsidR="00111709" w:rsidRDefault="00A769FE" w:rsidP="002158D0">
      <w:pPr>
        <w:pStyle w:val="Odstavecnormln"/>
      </w:pPr>
      <w:r>
        <w:t xml:space="preserve">Pro stanovení ukazatelů aktivity </w:t>
      </w:r>
      <w:r w:rsidR="000142F6">
        <w:t>byl</w:t>
      </w:r>
      <w:r>
        <w:t xml:space="preserve"> sestaven přehled, ve kterém jsou uvedeny údaje nutné</w:t>
      </w:r>
      <w:r w:rsidR="00111709">
        <w:t xml:space="preserve"> pro </w:t>
      </w:r>
      <w:r>
        <w:t>určení doby obratu krátkodobých závazků a krátkodobých pohledávek.</w:t>
      </w:r>
      <w:r w:rsidR="00111709">
        <w:t xml:space="preserve"> Údaje byly získány z výkazů rozvah za období 2009 – 2010 (viz</w:t>
      </w:r>
      <w:r w:rsidR="00744BD2">
        <w:t xml:space="preserve"> příloha 10</w:t>
      </w:r>
      <w:r w:rsidR="00111709">
        <w:t xml:space="preserve"> na str. </w:t>
      </w:r>
      <w:r w:rsidR="00111709">
        <w:fldChar w:fldCharType="begin"/>
      </w:r>
      <w:r w:rsidR="00111709">
        <w:instrText xml:space="preserve"> PAGEREF _Ref349671207 \h </w:instrText>
      </w:r>
      <w:r w:rsidR="00111709">
        <w:fldChar w:fldCharType="separate"/>
      </w:r>
      <w:r w:rsidR="002534BA">
        <w:rPr>
          <w:noProof/>
        </w:rPr>
        <w:t>70</w:t>
      </w:r>
      <w:r w:rsidR="00111709">
        <w:fldChar w:fldCharType="end"/>
      </w:r>
      <w:r w:rsidR="00111709">
        <w:t>) a údajů zjištěných z účetnictví společnosti (viz</w:t>
      </w:r>
      <w:r w:rsidR="00744BD2">
        <w:t xml:space="preserve"> příloha 12</w:t>
      </w:r>
      <w:r w:rsidR="00111709">
        <w:t xml:space="preserve"> na str. </w:t>
      </w:r>
      <w:r w:rsidR="003F74D2">
        <w:fldChar w:fldCharType="begin"/>
      </w:r>
      <w:r w:rsidR="003F74D2">
        <w:instrText xml:space="preserve"> PAGEREF _Ref352359808 \h </w:instrText>
      </w:r>
      <w:r w:rsidR="003F74D2">
        <w:fldChar w:fldCharType="separate"/>
      </w:r>
      <w:r w:rsidR="002534BA">
        <w:rPr>
          <w:noProof/>
        </w:rPr>
        <w:t>80</w:t>
      </w:r>
      <w:r w:rsidR="003F74D2">
        <w:fldChar w:fldCharType="end"/>
      </w:r>
      <w:r w:rsidR="003F74D2">
        <w:t>)</w:t>
      </w:r>
      <w:r w:rsidR="00111709">
        <w:t>.</w:t>
      </w:r>
    </w:p>
    <w:p w:rsidR="00572869" w:rsidRPr="00111709" w:rsidRDefault="00572869" w:rsidP="00572869">
      <w:pPr>
        <w:pStyle w:val="Titulek"/>
      </w:pPr>
      <w:bookmarkStart w:id="216" w:name="_Ref350447056"/>
      <w:bookmarkStart w:id="217" w:name="_Ref350447067"/>
      <w:bookmarkStart w:id="218" w:name="_Toc353125958"/>
      <w:r>
        <w:t xml:space="preserve">Tabulka </w:t>
      </w:r>
      <w:r w:rsidR="00C96C2B">
        <w:fldChar w:fldCharType="begin"/>
      </w:r>
      <w:r w:rsidR="00C96C2B">
        <w:instrText xml:space="preserve"> SEQ Tabulka \* ARABIC </w:instrText>
      </w:r>
      <w:r w:rsidR="00C96C2B">
        <w:fldChar w:fldCharType="separate"/>
      </w:r>
      <w:r w:rsidR="002534BA">
        <w:rPr>
          <w:noProof/>
        </w:rPr>
        <w:t>19</w:t>
      </w:r>
      <w:r w:rsidR="00C96C2B">
        <w:rPr>
          <w:noProof/>
        </w:rPr>
        <w:fldChar w:fldCharType="end"/>
      </w:r>
      <w:bookmarkEnd w:id="216"/>
      <w:r>
        <w:t xml:space="preserve"> Vybrané hodnoty z účetnictví a výkazů rozvah</w:t>
      </w:r>
      <w:bookmarkEnd w:id="217"/>
      <w:r w:rsidR="0079132B">
        <w:t>: Q – MONT s. r. o.</w:t>
      </w:r>
      <w:bookmarkEnd w:id="218"/>
    </w:p>
    <w:p w:rsidR="00D97430" w:rsidRPr="00D97430" w:rsidRDefault="00D97430" w:rsidP="00D97430">
      <w:pPr>
        <w:pStyle w:val="dajenadtabulkouazdroj"/>
        <w:ind w:left="993"/>
      </w:pPr>
      <w:r>
        <w:t>Údaje jsou uvedeny v celých Kč</w:t>
      </w:r>
    </w:p>
    <w:tbl>
      <w:tblPr>
        <w:tblW w:w="6620" w:type="dxa"/>
        <w:jc w:val="center"/>
        <w:tblInd w:w="55" w:type="dxa"/>
        <w:tblCellMar>
          <w:left w:w="70" w:type="dxa"/>
          <w:right w:w="70" w:type="dxa"/>
        </w:tblCellMar>
        <w:tblLook w:val="04A0" w:firstRow="1" w:lastRow="0" w:firstColumn="1" w:lastColumn="0" w:noHBand="0" w:noVBand="1"/>
      </w:tblPr>
      <w:tblGrid>
        <w:gridCol w:w="640"/>
        <w:gridCol w:w="2560"/>
        <w:gridCol w:w="1140"/>
        <w:gridCol w:w="1140"/>
        <w:gridCol w:w="1140"/>
      </w:tblGrid>
      <w:tr w:rsidR="00F35A81" w:rsidRPr="00F35A81" w:rsidTr="00F35A81">
        <w:trPr>
          <w:trHeight w:val="439"/>
          <w:jc w:val="center"/>
        </w:trPr>
        <w:tc>
          <w:tcPr>
            <w:tcW w:w="640" w:type="dxa"/>
            <w:tcBorders>
              <w:top w:val="single" w:sz="12" w:space="0" w:color="auto"/>
              <w:left w:val="single" w:sz="12" w:space="0" w:color="auto"/>
              <w:bottom w:val="double" w:sz="6" w:space="0" w:color="auto"/>
              <w:right w:val="single" w:sz="4" w:space="0" w:color="auto"/>
            </w:tcBorders>
            <w:shd w:val="clear" w:color="000000" w:fill="E4DFEC"/>
            <w:noWrap/>
            <w:vAlign w:val="center"/>
            <w:hideMark/>
          </w:tcPr>
          <w:p w:rsidR="00F35A81" w:rsidRPr="00F35A81" w:rsidRDefault="0010457F" w:rsidP="00F35A81">
            <w:pPr>
              <w:spacing w:after="0" w:line="240" w:lineRule="auto"/>
              <w:jc w:val="center"/>
              <w:rPr>
                <w:b/>
                <w:bCs/>
                <w:color w:val="000000"/>
                <w:szCs w:val="22"/>
              </w:rPr>
            </w:pPr>
            <w:r>
              <w:rPr>
                <w:b/>
                <w:bCs/>
                <w:color w:val="000000"/>
                <w:sz w:val="22"/>
                <w:szCs w:val="22"/>
              </w:rPr>
              <w:t>Č. Ř</w:t>
            </w:r>
            <w:r w:rsidR="00F35A81" w:rsidRPr="00F35A81">
              <w:rPr>
                <w:b/>
                <w:bCs/>
                <w:color w:val="000000"/>
                <w:sz w:val="22"/>
                <w:szCs w:val="22"/>
              </w:rPr>
              <w:t>.</w:t>
            </w:r>
          </w:p>
        </w:tc>
        <w:tc>
          <w:tcPr>
            <w:tcW w:w="2560" w:type="dxa"/>
            <w:tcBorders>
              <w:top w:val="single" w:sz="12" w:space="0" w:color="auto"/>
              <w:left w:val="nil"/>
              <w:bottom w:val="double" w:sz="6" w:space="0" w:color="auto"/>
              <w:right w:val="single" w:sz="4" w:space="0" w:color="auto"/>
            </w:tcBorders>
            <w:shd w:val="clear" w:color="000000" w:fill="E4DFEC"/>
            <w:vAlign w:val="center"/>
            <w:hideMark/>
          </w:tcPr>
          <w:p w:rsidR="00F35A81" w:rsidRPr="00F35A81" w:rsidRDefault="0010457F" w:rsidP="00F35A81">
            <w:pPr>
              <w:spacing w:after="0" w:line="240" w:lineRule="auto"/>
              <w:jc w:val="center"/>
              <w:rPr>
                <w:b/>
                <w:bCs/>
                <w:color w:val="000000"/>
                <w:szCs w:val="22"/>
              </w:rPr>
            </w:pPr>
            <w:r>
              <w:rPr>
                <w:b/>
                <w:bCs/>
                <w:color w:val="000000"/>
                <w:sz w:val="22"/>
                <w:szCs w:val="22"/>
              </w:rPr>
              <w:t>TEXT</w:t>
            </w:r>
          </w:p>
        </w:tc>
        <w:tc>
          <w:tcPr>
            <w:tcW w:w="1140" w:type="dxa"/>
            <w:tcBorders>
              <w:top w:val="single" w:sz="12" w:space="0" w:color="auto"/>
              <w:left w:val="nil"/>
              <w:bottom w:val="double" w:sz="6" w:space="0" w:color="auto"/>
              <w:right w:val="single" w:sz="4" w:space="0" w:color="auto"/>
            </w:tcBorders>
            <w:shd w:val="clear" w:color="000000" w:fill="E4DFEC"/>
            <w:vAlign w:val="center"/>
            <w:hideMark/>
          </w:tcPr>
          <w:p w:rsidR="00F35A81" w:rsidRPr="00F35A81" w:rsidRDefault="00F35A81" w:rsidP="00F35A81">
            <w:pPr>
              <w:spacing w:after="0" w:line="240" w:lineRule="auto"/>
              <w:jc w:val="center"/>
              <w:rPr>
                <w:b/>
                <w:bCs/>
                <w:color w:val="000000"/>
                <w:szCs w:val="22"/>
              </w:rPr>
            </w:pPr>
            <w:r w:rsidRPr="00F35A81">
              <w:rPr>
                <w:b/>
                <w:bCs/>
                <w:color w:val="000000"/>
                <w:sz w:val="22"/>
                <w:szCs w:val="22"/>
              </w:rPr>
              <w:t>2009</w:t>
            </w:r>
          </w:p>
        </w:tc>
        <w:tc>
          <w:tcPr>
            <w:tcW w:w="1140" w:type="dxa"/>
            <w:tcBorders>
              <w:top w:val="single" w:sz="12" w:space="0" w:color="auto"/>
              <w:left w:val="nil"/>
              <w:bottom w:val="double" w:sz="6" w:space="0" w:color="auto"/>
              <w:right w:val="single" w:sz="4" w:space="0" w:color="auto"/>
            </w:tcBorders>
            <w:shd w:val="clear" w:color="000000" w:fill="E4DFEC"/>
            <w:vAlign w:val="center"/>
            <w:hideMark/>
          </w:tcPr>
          <w:p w:rsidR="00F35A81" w:rsidRPr="00F35A81" w:rsidRDefault="00F35A81" w:rsidP="00F35A81">
            <w:pPr>
              <w:spacing w:after="0" w:line="240" w:lineRule="auto"/>
              <w:jc w:val="center"/>
              <w:rPr>
                <w:b/>
                <w:bCs/>
                <w:color w:val="000000"/>
                <w:szCs w:val="22"/>
              </w:rPr>
            </w:pPr>
            <w:r w:rsidRPr="00F35A81">
              <w:rPr>
                <w:b/>
                <w:bCs/>
                <w:color w:val="000000"/>
                <w:sz w:val="22"/>
                <w:szCs w:val="22"/>
              </w:rPr>
              <w:t>2010</w:t>
            </w:r>
          </w:p>
        </w:tc>
        <w:tc>
          <w:tcPr>
            <w:tcW w:w="1140" w:type="dxa"/>
            <w:tcBorders>
              <w:top w:val="single" w:sz="12" w:space="0" w:color="auto"/>
              <w:left w:val="nil"/>
              <w:bottom w:val="double" w:sz="6" w:space="0" w:color="auto"/>
              <w:right w:val="single" w:sz="12" w:space="0" w:color="auto"/>
            </w:tcBorders>
            <w:shd w:val="clear" w:color="000000" w:fill="E4DFEC"/>
            <w:vAlign w:val="center"/>
            <w:hideMark/>
          </w:tcPr>
          <w:p w:rsidR="00F35A81" w:rsidRPr="00F35A81" w:rsidRDefault="00F35A81" w:rsidP="00F35A81">
            <w:pPr>
              <w:spacing w:after="0" w:line="240" w:lineRule="auto"/>
              <w:jc w:val="center"/>
              <w:rPr>
                <w:b/>
                <w:bCs/>
                <w:color w:val="000000"/>
                <w:szCs w:val="22"/>
              </w:rPr>
            </w:pPr>
            <w:r w:rsidRPr="00F35A81">
              <w:rPr>
                <w:b/>
                <w:bCs/>
                <w:color w:val="000000"/>
                <w:sz w:val="22"/>
                <w:szCs w:val="22"/>
              </w:rPr>
              <w:t>2011</w:t>
            </w:r>
          </w:p>
        </w:tc>
      </w:tr>
      <w:tr w:rsidR="00F35A81" w:rsidRPr="00F35A81" w:rsidTr="00F35A81">
        <w:trPr>
          <w:trHeight w:val="615"/>
          <w:jc w:val="center"/>
        </w:trPr>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35A81" w:rsidRPr="00F35A81" w:rsidRDefault="00F35A81" w:rsidP="00F35A81">
            <w:pPr>
              <w:spacing w:after="0" w:line="240" w:lineRule="auto"/>
              <w:jc w:val="center"/>
              <w:rPr>
                <w:color w:val="000000"/>
                <w:szCs w:val="22"/>
              </w:rPr>
            </w:pPr>
            <w:r w:rsidRPr="00F35A81">
              <w:rPr>
                <w:color w:val="000000"/>
                <w:sz w:val="22"/>
                <w:szCs w:val="22"/>
              </w:rPr>
              <w:t>1</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rsidR="00F35A81" w:rsidRPr="00F35A81" w:rsidRDefault="00F35A81" w:rsidP="00F35A81">
            <w:pPr>
              <w:spacing w:after="0" w:line="240" w:lineRule="auto"/>
              <w:jc w:val="left"/>
              <w:rPr>
                <w:color w:val="000000"/>
                <w:szCs w:val="22"/>
              </w:rPr>
            </w:pPr>
            <w:r w:rsidRPr="00F35A81">
              <w:rPr>
                <w:color w:val="000000"/>
                <w:sz w:val="22"/>
                <w:szCs w:val="22"/>
              </w:rPr>
              <w:t>Pohledávky z obchodních vztahů</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F35A81" w:rsidRPr="00F35A81" w:rsidRDefault="00F35A81" w:rsidP="00F35A81">
            <w:pPr>
              <w:spacing w:after="0" w:line="240" w:lineRule="auto"/>
              <w:jc w:val="right"/>
              <w:rPr>
                <w:color w:val="000000"/>
                <w:szCs w:val="22"/>
              </w:rPr>
            </w:pPr>
            <w:r w:rsidRPr="00F35A81">
              <w:rPr>
                <w:color w:val="000000"/>
                <w:sz w:val="22"/>
                <w:szCs w:val="22"/>
              </w:rPr>
              <w:t>1 407 591</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F35A81" w:rsidRPr="00F35A81" w:rsidRDefault="00F35A81" w:rsidP="00F35A81">
            <w:pPr>
              <w:spacing w:after="0" w:line="240" w:lineRule="auto"/>
              <w:jc w:val="right"/>
              <w:rPr>
                <w:color w:val="000000"/>
                <w:szCs w:val="22"/>
              </w:rPr>
            </w:pPr>
            <w:r w:rsidRPr="00F35A81">
              <w:rPr>
                <w:color w:val="000000"/>
                <w:sz w:val="22"/>
                <w:szCs w:val="22"/>
              </w:rPr>
              <w:t>875 462</w:t>
            </w:r>
          </w:p>
        </w:tc>
        <w:tc>
          <w:tcPr>
            <w:tcW w:w="1140" w:type="dxa"/>
            <w:tcBorders>
              <w:top w:val="single" w:sz="4" w:space="0" w:color="auto"/>
              <w:left w:val="nil"/>
              <w:bottom w:val="single" w:sz="4" w:space="0" w:color="auto"/>
              <w:right w:val="single" w:sz="12" w:space="0" w:color="auto"/>
            </w:tcBorders>
            <w:shd w:val="clear" w:color="auto" w:fill="auto"/>
            <w:vAlign w:val="center"/>
            <w:hideMark/>
          </w:tcPr>
          <w:p w:rsidR="00F35A81" w:rsidRPr="00F35A81" w:rsidRDefault="00F35A81" w:rsidP="00F35A81">
            <w:pPr>
              <w:spacing w:after="0" w:line="240" w:lineRule="auto"/>
              <w:jc w:val="right"/>
              <w:rPr>
                <w:color w:val="000000"/>
                <w:szCs w:val="22"/>
              </w:rPr>
            </w:pPr>
            <w:r w:rsidRPr="00F35A81">
              <w:rPr>
                <w:color w:val="000000"/>
                <w:sz w:val="22"/>
                <w:szCs w:val="22"/>
              </w:rPr>
              <w:t>1 100 025</w:t>
            </w:r>
          </w:p>
        </w:tc>
      </w:tr>
      <w:tr w:rsidR="00F35A81" w:rsidRPr="00F35A81" w:rsidTr="00F35A81">
        <w:trPr>
          <w:trHeight w:val="342"/>
          <w:jc w:val="center"/>
        </w:trPr>
        <w:tc>
          <w:tcPr>
            <w:tcW w:w="640" w:type="dxa"/>
            <w:tcBorders>
              <w:top w:val="nil"/>
              <w:left w:val="single" w:sz="12" w:space="0" w:color="auto"/>
              <w:bottom w:val="single" w:sz="4" w:space="0" w:color="auto"/>
              <w:right w:val="single" w:sz="4" w:space="0" w:color="auto"/>
            </w:tcBorders>
            <w:shd w:val="clear" w:color="auto" w:fill="auto"/>
            <w:noWrap/>
            <w:vAlign w:val="center"/>
            <w:hideMark/>
          </w:tcPr>
          <w:p w:rsidR="00F35A81" w:rsidRPr="00F35A81" w:rsidRDefault="00F35A81" w:rsidP="00F35A81">
            <w:pPr>
              <w:spacing w:after="0" w:line="240" w:lineRule="auto"/>
              <w:jc w:val="center"/>
              <w:rPr>
                <w:color w:val="000000"/>
                <w:szCs w:val="22"/>
              </w:rPr>
            </w:pPr>
            <w:r w:rsidRPr="00F35A81">
              <w:rPr>
                <w:color w:val="000000"/>
                <w:sz w:val="22"/>
                <w:szCs w:val="22"/>
              </w:rPr>
              <w:t>2</w:t>
            </w:r>
          </w:p>
        </w:tc>
        <w:tc>
          <w:tcPr>
            <w:tcW w:w="2560" w:type="dxa"/>
            <w:tcBorders>
              <w:top w:val="nil"/>
              <w:left w:val="nil"/>
              <w:bottom w:val="single" w:sz="4" w:space="0" w:color="auto"/>
              <w:right w:val="single" w:sz="4" w:space="0" w:color="auto"/>
            </w:tcBorders>
            <w:shd w:val="clear" w:color="auto" w:fill="auto"/>
            <w:vAlign w:val="center"/>
            <w:hideMark/>
          </w:tcPr>
          <w:p w:rsidR="00F35A81" w:rsidRPr="00F35A81" w:rsidRDefault="00F35A81" w:rsidP="00F35A81">
            <w:pPr>
              <w:spacing w:after="0" w:line="240" w:lineRule="auto"/>
              <w:rPr>
                <w:color w:val="000000"/>
                <w:szCs w:val="22"/>
              </w:rPr>
            </w:pPr>
            <w:r w:rsidRPr="00F35A81">
              <w:rPr>
                <w:color w:val="000000"/>
                <w:sz w:val="22"/>
                <w:szCs w:val="22"/>
              </w:rPr>
              <w:t>Nedobytné pohledávky</w:t>
            </w:r>
          </w:p>
        </w:tc>
        <w:tc>
          <w:tcPr>
            <w:tcW w:w="1140" w:type="dxa"/>
            <w:tcBorders>
              <w:top w:val="nil"/>
              <w:left w:val="nil"/>
              <w:bottom w:val="single" w:sz="4" w:space="0" w:color="auto"/>
              <w:right w:val="single" w:sz="4" w:space="0" w:color="auto"/>
            </w:tcBorders>
            <w:shd w:val="clear" w:color="auto" w:fill="auto"/>
            <w:vAlign w:val="center"/>
            <w:hideMark/>
          </w:tcPr>
          <w:p w:rsidR="00F35A81" w:rsidRPr="00F35A81" w:rsidRDefault="00F35A81" w:rsidP="00F35A81">
            <w:pPr>
              <w:spacing w:after="0" w:line="240" w:lineRule="auto"/>
              <w:jc w:val="right"/>
              <w:rPr>
                <w:color w:val="000000"/>
                <w:szCs w:val="22"/>
              </w:rPr>
            </w:pPr>
            <w:r w:rsidRPr="00F35A81">
              <w:rPr>
                <w:color w:val="000000"/>
                <w:sz w:val="22"/>
                <w:szCs w:val="22"/>
              </w:rPr>
              <w:t>234 230</w:t>
            </w:r>
          </w:p>
        </w:tc>
        <w:tc>
          <w:tcPr>
            <w:tcW w:w="1140" w:type="dxa"/>
            <w:tcBorders>
              <w:top w:val="nil"/>
              <w:left w:val="nil"/>
              <w:bottom w:val="single" w:sz="4" w:space="0" w:color="auto"/>
              <w:right w:val="single" w:sz="4" w:space="0" w:color="auto"/>
            </w:tcBorders>
            <w:shd w:val="clear" w:color="auto" w:fill="auto"/>
            <w:vAlign w:val="center"/>
            <w:hideMark/>
          </w:tcPr>
          <w:p w:rsidR="00F35A81" w:rsidRPr="00F35A81" w:rsidRDefault="00F35A81" w:rsidP="00F35A81">
            <w:pPr>
              <w:spacing w:after="0" w:line="240" w:lineRule="auto"/>
              <w:jc w:val="right"/>
              <w:rPr>
                <w:color w:val="000000"/>
                <w:szCs w:val="22"/>
              </w:rPr>
            </w:pPr>
            <w:r w:rsidRPr="00F35A81">
              <w:rPr>
                <w:color w:val="000000"/>
                <w:sz w:val="22"/>
                <w:szCs w:val="22"/>
              </w:rPr>
              <w:t>533 230</w:t>
            </w:r>
          </w:p>
        </w:tc>
        <w:tc>
          <w:tcPr>
            <w:tcW w:w="1140" w:type="dxa"/>
            <w:tcBorders>
              <w:top w:val="nil"/>
              <w:left w:val="nil"/>
              <w:bottom w:val="single" w:sz="4" w:space="0" w:color="auto"/>
              <w:right w:val="single" w:sz="12" w:space="0" w:color="auto"/>
            </w:tcBorders>
            <w:shd w:val="clear" w:color="auto" w:fill="auto"/>
            <w:vAlign w:val="center"/>
            <w:hideMark/>
          </w:tcPr>
          <w:p w:rsidR="00F35A81" w:rsidRPr="00F35A81" w:rsidRDefault="00F35A81" w:rsidP="00F35A81">
            <w:pPr>
              <w:spacing w:after="0" w:line="240" w:lineRule="auto"/>
              <w:jc w:val="right"/>
              <w:rPr>
                <w:color w:val="000000"/>
                <w:szCs w:val="22"/>
              </w:rPr>
            </w:pPr>
            <w:r w:rsidRPr="00F35A81">
              <w:rPr>
                <w:color w:val="000000"/>
                <w:sz w:val="22"/>
                <w:szCs w:val="22"/>
              </w:rPr>
              <w:t>533 230</w:t>
            </w:r>
          </w:p>
        </w:tc>
      </w:tr>
      <w:tr w:rsidR="00F35A81" w:rsidRPr="00F35A81" w:rsidTr="00F35A81">
        <w:trPr>
          <w:trHeight w:val="600"/>
          <w:jc w:val="center"/>
        </w:trPr>
        <w:tc>
          <w:tcPr>
            <w:tcW w:w="640" w:type="dxa"/>
            <w:tcBorders>
              <w:top w:val="nil"/>
              <w:left w:val="single" w:sz="12" w:space="0" w:color="auto"/>
              <w:bottom w:val="single" w:sz="4" w:space="0" w:color="auto"/>
              <w:right w:val="single" w:sz="4" w:space="0" w:color="auto"/>
            </w:tcBorders>
            <w:shd w:val="clear" w:color="auto" w:fill="auto"/>
            <w:noWrap/>
            <w:vAlign w:val="center"/>
            <w:hideMark/>
          </w:tcPr>
          <w:p w:rsidR="00F35A81" w:rsidRPr="00F35A81" w:rsidRDefault="00F35A81" w:rsidP="00F35A81">
            <w:pPr>
              <w:spacing w:after="0" w:line="240" w:lineRule="auto"/>
              <w:jc w:val="center"/>
              <w:rPr>
                <w:color w:val="000000"/>
                <w:szCs w:val="22"/>
              </w:rPr>
            </w:pPr>
            <w:r w:rsidRPr="00F35A81">
              <w:rPr>
                <w:color w:val="000000"/>
                <w:sz w:val="22"/>
                <w:szCs w:val="22"/>
              </w:rPr>
              <w:t>3</w:t>
            </w:r>
          </w:p>
        </w:tc>
        <w:tc>
          <w:tcPr>
            <w:tcW w:w="2560" w:type="dxa"/>
            <w:tcBorders>
              <w:top w:val="nil"/>
              <w:left w:val="nil"/>
              <w:bottom w:val="single" w:sz="4" w:space="0" w:color="auto"/>
              <w:right w:val="single" w:sz="4" w:space="0" w:color="auto"/>
            </w:tcBorders>
            <w:shd w:val="clear" w:color="auto" w:fill="auto"/>
            <w:vAlign w:val="center"/>
            <w:hideMark/>
          </w:tcPr>
          <w:p w:rsidR="00F35A81" w:rsidRPr="00F35A81" w:rsidRDefault="00F35A81" w:rsidP="00F35A81">
            <w:pPr>
              <w:spacing w:after="0" w:line="240" w:lineRule="auto"/>
              <w:jc w:val="left"/>
              <w:rPr>
                <w:color w:val="000000"/>
                <w:szCs w:val="22"/>
              </w:rPr>
            </w:pPr>
            <w:r w:rsidRPr="00F35A81">
              <w:rPr>
                <w:color w:val="000000"/>
                <w:sz w:val="22"/>
                <w:szCs w:val="22"/>
              </w:rPr>
              <w:t>Závazky z obchodních vztahů</w:t>
            </w:r>
          </w:p>
        </w:tc>
        <w:tc>
          <w:tcPr>
            <w:tcW w:w="1140" w:type="dxa"/>
            <w:tcBorders>
              <w:top w:val="nil"/>
              <w:left w:val="nil"/>
              <w:bottom w:val="single" w:sz="4" w:space="0" w:color="auto"/>
              <w:right w:val="single" w:sz="4" w:space="0" w:color="auto"/>
            </w:tcBorders>
            <w:shd w:val="clear" w:color="auto" w:fill="auto"/>
            <w:vAlign w:val="center"/>
            <w:hideMark/>
          </w:tcPr>
          <w:p w:rsidR="00F35A81" w:rsidRPr="00F35A81" w:rsidRDefault="00F35A81" w:rsidP="00F35A81">
            <w:pPr>
              <w:spacing w:after="0" w:line="240" w:lineRule="auto"/>
              <w:jc w:val="right"/>
              <w:rPr>
                <w:color w:val="000000"/>
                <w:szCs w:val="22"/>
              </w:rPr>
            </w:pPr>
            <w:r w:rsidRPr="00F35A81">
              <w:rPr>
                <w:color w:val="000000"/>
                <w:sz w:val="22"/>
                <w:szCs w:val="22"/>
              </w:rPr>
              <w:t>24 813</w:t>
            </w:r>
          </w:p>
        </w:tc>
        <w:tc>
          <w:tcPr>
            <w:tcW w:w="1140" w:type="dxa"/>
            <w:tcBorders>
              <w:top w:val="nil"/>
              <w:left w:val="nil"/>
              <w:bottom w:val="single" w:sz="4" w:space="0" w:color="auto"/>
              <w:right w:val="single" w:sz="4" w:space="0" w:color="auto"/>
            </w:tcBorders>
            <w:shd w:val="clear" w:color="auto" w:fill="auto"/>
            <w:vAlign w:val="center"/>
            <w:hideMark/>
          </w:tcPr>
          <w:p w:rsidR="00F35A81" w:rsidRPr="00F35A81" w:rsidRDefault="00F35A81" w:rsidP="00F35A81">
            <w:pPr>
              <w:spacing w:after="0" w:line="240" w:lineRule="auto"/>
              <w:jc w:val="right"/>
              <w:rPr>
                <w:color w:val="000000"/>
                <w:szCs w:val="22"/>
              </w:rPr>
            </w:pPr>
            <w:r w:rsidRPr="00F35A81">
              <w:rPr>
                <w:color w:val="000000"/>
                <w:sz w:val="22"/>
                <w:szCs w:val="22"/>
              </w:rPr>
              <w:t>186 339</w:t>
            </w:r>
          </w:p>
        </w:tc>
        <w:tc>
          <w:tcPr>
            <w:tcW w:w="1140" w:type="dxa"/>
            <w:tcBorders>
              <w:top w:val="nil"/>
              <w:left w:val="nil"/>
              <w:bottom w:val="single" w:sz="4" w:space="0" w:color="auto"/>
              <w:right w:val="single" w:sz="12" w:space="0" w:color="auto"/>
            </w:tcBorders>
            <w:shd w:val="clear" w:color="auto" w:fill="auto"/>
            <w:vAlign w:val="center"/>
            <w:hideMark/>
          </w:tcPr>
          <w:p w:rsidR="00F35A81" w:rsidRPr="00F35A81" w:rsidRDefault="00F35A81" w:rsidP="00F35A81">
            <w:pPr>
              <w:spacing w:after="0" w:line="240" w:lineRule="auto"/>
              <w:jc w:val="right"/>
              <w:rPr>
                <w:color w:val="000000"/>
                <w:szCs w:val="22"/>
              </w:rPr>
            </w:pPr>
            <w:r w:rsidRPr="00F35A81">
              <w:rPr>
                <w:color w:val="000000"/>
                <w:sz w:val="22"/>
                <w:szCs w:val="22"/>
              </w:rPr>
              <w:t>105 506</w:t>
            </w:r>
          </w:p>
        </w:tc>
      </w:tr>
      <w:tr w:rsidR="00F35A81" w:rsidRPr="00F35A81" w:rsidTr="00F35A81">
        <w:trPr>
          <w:trHeight w:val="600"/>
          <w:jc w:val="center"/>
        </w:trPr>
        <w:tc>
          <w:tcPr>
            <w:tcW w:w="640" w:type="dxa"/>
            <w:tcBorders>
              <w:top w:val="nil"/>
              <w:left w:val="single" w:sz="12" w:space="0" w:color="auto"/>
              <w:bottom w:val="single" w:sz="4" w:space="0" w:color="auto"/>
              <w:right w:val="single" w:sz="4" w:space="0" w:color="auto"/>
            </w:tcBorders>
            <w:shd w:val="clear" w:color="auto" w:fill="auto"/>
            <w:noWrap/>
            <w:vAlign w:val="center"/>
            <w:hideMark/>
          </w:tcPr>
          <w:p w:rsidR="00F35A81" w:rsidRPr="00F35A81" w:rsidRDefault="00F35A81" w:rsidP="00F35A81">
            <w:pPr>
              <w:spacing w:after="0" w:line="240" w:lineRule="auto"/>
              <w:jc w:val="center"/>
              <w:rPr>
                <w:color w:val="000000"/>
                <w:szCs w:val="22"/>
              </w:rPr>
            </w:pPr>
            <w:r w:rsidRPr="00F35A81">
              <w:rPr>
                <w:color w:val="000000"/>
                <w:sz w:val="22"/>
                <w:szCs w:val="22"/>
              </w:rPr>
              <w:t>4</w:t>
            </w:r>
          </w:p>
        </w:tc>
        <w:tc>
          <w:tcPr>
            <w:tcW w:w="2560" w:type="dxa"/>
            <w:tcBorders>
              <w:top w:val="nil"/>
              <w:left w:val="nil"/>
              <w:bottom w:val="single" w:sz="4" w:space="0" w:color="auto"/>
              <w:right w:val="single" w:sz="4" w:space="0" w:color="auto"/>
            </w:tcBorders>
            <w:shd w:val="clear" w:color="auto" w:fill="auto"/>
            <w:vAlign w:val="center"/>
            <w:hideMark/>
          </w:tcPr>
          <w:p w:rsidR="00F35A81" w:rsidRPr="00F35A81" w:rsidRDefault="00F35A81" w:rsidP="00F35A81">
            <w:pPr>
              <w:spacing w:after="0" w:line="240" w:lineRule="auto"/>
              <w:jc w:val="left"/>
              <w:rPr>
                <w:color w:val="000000"/>
                <w:szCs w:val="22"/>
              </w:rPr>
            </w:pPr>
            <w:r w:rsidRPr="00F35A81">
              <w:rPr>
                <w:color w:val="000000"/>
                <w:sz w:val="22"/>
                <w:szCs w:val="22"/>
              </w:rPr>
              <w:t>Závazky z obchodních vztahů - přijaté zálohy</w:t>
            </w:r>
          </w:p>
        </w:tc>
        <w:tc>
          <w:tcPr>
            <w:tcW w:w="1140" w:type="dxa"/>
            <w:tcBorders>
              <w:top w:val="nil"/>
              <w:left w:val="nil"/>
              <w:bottom w:val="single" w:sz="4" w:space="0" w:color="auto"/>
              <w:right w:val="single" w:sz="4" w:space="0" w:color="auto"/>
            </w:tcBorders>
            <w:shd w:val="clear" w:color="auto" w:fill="auto"/>
            <w:vAlign w:val="center"/>
            <w:hideMark/>
          </w:tcPr>
          <w:p w:rsidR="00F35A81" w:rsidRPr="00F35A81" w:rsidRDefault="00F35A81" w:rsidP="00F35A81">
            <w:pPr>
              <w:spacing w:after="0" w:line="240" w:lineRule="auto"/>
              <w:jc w:val="right"/>
              <w:rPr>
                <w:color w:val="000000"/>
                <w:szCs w:val="22"/>
              </w:rPr>
            </w:pPr>
            <w:r w:rsidRPr="00F35A81">
              <w:rPr>
                <w:color w:val="000000"/>
                <w:sz w:val="22"/>
                <w:szCs w:val="22"/>
              </w:rPr>
              <w:t>0</w:t>
            </w:r>
          </w:p>
        </w:tc>
        <w:tc>
          <w:tcPr>
            <w:tcW w:w="1140" w:type="dxa"/>
            <w:tcBorders>
              <w:top w:val="nil"/>
              <w:left w:val="nil"/>
              <w:bottom w:val="single" w:sz="4" w:space="0" w:color="auto"/>
              <w:right w:val="single" w:sz="4" w:space="0" w:color="auto"/>
            </w:tcBorders>
            <w:shd w:val="clear" w:color="auto" w:fill="auto"/>
            <w:vAlign w:val="center"/>
            <w:hideMark/>
          </w:tcPr>
          <w:p w:rsidR="00F35A81" w:rsidRPr="00F35A81" w:rsidRDefault="00F35A81" w:rsidP="00F35A81">
            <w:pPr>
              <w:spacing w:after="0" w:line="240" w:lineRule="auto"/>
              <w:jc w:val="right"/>
              <w:rPr>
                <w:color w:val="000000"/>
                <w:szCs w:val="22"/>
              </w:rPr>
            </w:pPr>
            <w:r w:rsidRPr="00F35A81">
              <w:rPr>
                <w:color w:val="000000"/>
                <w:sz w:val="22"/>
                <w:szCs w:val="22"/>
              </w:rPr>
              <w:t>133 328</w:t>
            </w:r>
          </w:p>
        </w:tc>
        <w:tc>
          <w:tcPr>
            <w:tcW w:w="1140" w:type="dxa"/>
            <w:tcBorders>
              <w:top w:val="nil"/>
              <w:left w:val="nil"/>
              <w:bottom w:val="single" w:sz="4" w:space="0" w:color="auto"/>
              <w:right w:val="single" w:sz="12" w:space="0" w:color="auto"/>
            </w:tcBorders>
            <w:shd w:val="clear" w:color="auto" w:fill="auto"/>
            <w:vAlign w:val="center"/>
            <w:hideMark/>
          </w:tcPr>
          <w:p w:rsidR="00F35A81" w:rsidRPr="00F35A81" w:rsidRDefault="00F35A81" w:rsidP="00F35A81">
            <w:pPr>
              <w:spacing w:after="0" w:line="240" w:lineRule="auto"/>
              <w:jc w:val="right"/>
              <w:rPr>
                <w:color w:val="000000"/>
                <w:szCs w:val="22"/>
              </w:rPr>
            </w:pPr>
            <w:r w:rsidRPr="00F35A81">
              <w:rPr>
                <w:color w:val="000000"/>
                <w:sz w:val="22"/>
                <w:szCs w:val="22"/>
              </w:rPr>
              <w:t>133 328</w:t>
            </w:r>
          </w:p>
        </w:tc>
      </w:tr>
      <w:tr w:rsidR="00F35A81" w:rsidRPr="00F35A81" w:rsidTr="00F35A81">
        <w:trPr>
          <w:trHeight w:val="342"/>
          <w:jc w:val="center"/>
        </w:trPr>
        <w:tc>
          <w:tcPr>
            <w:tcW w:w="640" w:type="dxa"/>
            <w:tcBorders>
              <w:top w:val="nil"/>
              <w:left w:val="single" w:sz="12" w:space="0" w:color="auto"/>
              <w:bottom w:val="single" w:sz="4" w:space="0" w:color="auto"/>
              <w:right w:val="single" w:sz="4" w:space="0" w:color="auto"/>
            </w:tcBorders>
            <w:shd w:val="clear" w:color="auto" w:fill="auto"/>
            <w:noWrap/>
            <w:vAlign w:val="center"/>
            <w:hideMark/>
          </w:tcPr>
          <w:p w:rsidR="00F35A81" w:rsidRPr="00F35A81" w:rsidRDefault="00F35A81" w:rsidP="00F35A81">
            <w:pPr>
              <w:spacing w:after="0" w:line="240" w:lineRule="auto"/>
              <w:jc w:val="center"/>
              <w:rPr>
                <w:color w:val="000000"/>
                <w:szCs w:val="22"/>
              </w:rPr>
            </w:pPr>
            <w:r w:rsidRPr="00F35A81">
              <w:rPr>
                <w:color w:val="000000"/>
                <w:sz w:val="22"/>
                <w:szCs w:val="22"/>
              </w:rPr>
              <w:t>5</w:t>
            </w:r>
          </w:p>
        </w:tc>
        <w:tc>
          <w:tcPr>
            <w:tcW w:w="2560" w:type="dxa"/>
            <w:tcBorders>
              <w:top w:val="nil"/>
              <w:left w:val="nil"/>
              <w:bottom w:val="single" w:sz="4" w:space="0" w:color="auto"/>
              <w:right w:val="single" w:sz="4" w:space="0" w:color="auto"/>
            </w:tcBorders>
            <w:shd w:val="clear" w:color="auto" w:fill="auto"/>
            <w:vAlign w:val="center"/>
            <w:hideMark/>
          </w:tcPr>
          <w:p w:rsidR="00F35A81" w:rsidRPr="00F35A81" w:rsidRDefault="00F35A81" w:rsidP="00F35A81">
            <w:pPr>
              <w:spacing w:after="0" w:line="240" w:lineRule="auto"/>
              <w:rPr>
                <w:color w:val="000000"/>
                <w:szCs w:val="22"/>
              </w:rPr>
            </w:pPr>
            <w:r w:rsidRPr="00F35A81">
              <w:rPr>
                <w:color w:val="000000"/>
                <w:sz w:val="22"/>
                <w:szCs w:val="22"/>
              </w:rPr>
              <w:t>Celkové tržby</w:t>
            </w:r>
          </w:p>
        </w:tc>
        <w:tc>
          <w:tcPr>
            <w:tcW w:w="1140" w:type="dxa"/>
            <w:tcBorders>
              <w:top w:val="nil"/>
              <w:left w:val="nil"/>
              <w:bottom w:val="single" w:sz="4" w:space="0" w:color="auto"/>
              <w:right w:val="single" w:sz="4" w:space="0" w:color="auto"/>
            </w:tcBorders>
            <w:shd w:val="clear" w:color="auto" w:fill="auto"/>
            <w:vAlign w:val="center"/>
            <w:hideMark/>
          </w:tcPr>
          <w:p w:rsidR="00F35A81" w:rsidRPr="00F35A81" w:rsidRDefault="00F35A81" w:rsidP="00F35A81">
            <w:pPr>
              <w:spacing w:after="0" w:line="240" w:lineRule="auto"/>
              <w:jc w:val="right"/>
              <w:rPr>
                <w:color w:val="000000"/>
                <w:szCs w:val="22"/>
              </w:rPr>
            </w:pPr>
            <w:r w:rsidRPr="00F35A81">
              <w:rPr>
                <w:color w:val="000000"/>
                <w:sz w:val="22"/>
                <w:szCs w:val="22"/>
              </w:rPr>
              <w:t>6 184 121</w:t>
            </w:r>
          </w:p>
        </w:tc>
        <w:tc>
          <w:tcPr>
            <w:tcW w:w="1140" w:type="dxa"/>
            <w:tcBorders>
              <w:top w:val="nil"/>
              <w:left w:val="nil"/>
              <w:bottom w:val="single" w:sz="4" w:space="0" w:color="auto"/>
              <w:right w:val="single" w:sz="4" w:space="0" w:color="auto"/>
            </w:tcBorders>
            <w:shd w:val="clear" w:color="auto" w:fill="auto"/>
            <w:vAlign w:val="center"/>
            <w:hideMark/>
          </w:tcPr>
          <w:p w:rsidR="00F35A81" w:rsidRPr="00F35A81" w:rsidRDefault="00F35A81" w:rsidP="00F35A81">
            <w:pPr>
              <w:spacing w:after="0" w:line="240" w:lineRule="auto"/>
              <w:jc w:val="right"/>
              <w:rPr>
                <w:color w:val="000000"/>
                <w:szCs w:val="22"/>
              </w:rPr>
            </w:pPr>
            <w:r w:rsidRPr="00F35A81">
              <w:rPr>
                <w:color w:val="000000"/>
                <w:sz w:val="22"/>
                <w:szCs w:val="22"/>
              </w:rPr>
              <w:t>4 310 930</w:t>
            </w:r>
          </w:p>
        </w:tc>
        <w:tc>
          <w:tcPr>
            <w:tcW w:w="1140" w:type="dxa"/>
            <w:tcBorders>
              <w:top w:val="nil"/>
              <w:left w:val="nil"/>
              <w:bottom w:val="single" w:sz="4" w:space="0" w:color="auto"/>
              <w:right w:val="single" w:sz="12" w:space="0" w:color="auto"/>
            </w:tcBorders>
            <w:shd w:val="clear" w:color="auto" w:fill="auto"/>
            <w:vAlign w:val="center"/>
            <w:hideMark/>
          </w:tcPr>
          <w:p w:rsidR="00F35A81" w:rsidRPr="00F35A81" w:rsidRDefault="00F35A81" w:rsidP="00F35A81">
            <w:pPr>
              <w:spacing w:after="0" w:line="240" w:lineRule="auto"/>
              <w:jc w:val="right"/>
              <w:rPr>
                <w:color w:val="000000"/>
                <w:szCs w:val="22"/>
              </w:rPr>
            </w:pPr>
            <w:r w:rsidRPr="00F35A81">
              <w:rPr>
                <w:color w:val="000000"/>
                <w:sz w:val="22"/>
                <w:szCs w:val="22"/>
              </w:rPr>
              <w:t>3 799 662</w:t>
            </w:r>
          </w:p>
        </w:tc>
      </w:tr>
      <w:tr w:rsidR="00F35A81" w:rsidRPr="00F35A81" w:rsidTr="00F35A81">
        <w:trPr>
          <w:trHeight w:val="315"/>
          <w:jc w:val="center"/>
        </w:trPr>
        <w:tc>
          <w:tcPr>
            <w:tcW w:w="640" w:type="dxa"/>
            <w:tcBorders>
              <w:top w:val="nil"/>
              <w:left w:val="single" w:sz="12" w:space="0" w:color="auto"/>
              <w:bottom w:val="single" w:sz="12" w:space="0" w:color="auto"/>
              <w:right w:val="single" w:sz="4" w:space="0" w:color="auto"/>
            </w:tcBorders>
            <w:shd w:val="clear" w:color="auto" w:fill="auto"/>
            <w:noWrap/>
            <w:vAlign w:val="center"/>
            <w:hideMark/>
          </w:tcPr>
          <w:p w:rsidR="00F35A81" w:rsidRPr="00F35A81" w:rsidRDefault="00F35A81" w:rsidP="00F35A81">
            <w:pPr>
              <w:spacing w:after="0" w:line="240" w:lineRule="auto"/>
              <w:jc w:val="center"/>
              <w:rPr>
                <w:color w:val="000000"/>
                <w:szCs w:val="22"/>
              </w:rPr>
            </w:pPr>
            <w:r w:rsidRPr="00F35A81">
              <w:rPr>
                <w:color w:val="000000"/>
                <w:sz w:val="22"/>
                <w:szCs w:val="22"/>
              </w:rPr>
              <w:t>6</w:t>
            </w:r>
          </w:p>
        </w:tc>
        <w:tc>
          <w:tcPr>
            <w:tcW w:w="2560" w:type="dxa"/>
            <w:tcBorders>
              <w:top w:val="nil"/>
              <w:left w:val="nil"/>
              <w:bottom w:val="single" w:sz="12" w:space="0" w:color="auto"/>
              <w:right w:val="single" w:sz="4" w:space="0" w:color="auto"/>
            </w:tcBorders>
            <w:shd w:val="clear" w:color="auto" w:fill="auto"/>
            <w:vAlign w:val="center"/>
            <w:hideMark/>
          </w:tcPr>
          <w:p w:rsidR="00F35A81" w:rsidRPr="00F35A81" w:rsidRDefault="00F35A81" w:rsidP="00F35A81">
            <w:pPr>
              <w:spacing w:after="0" w:line="240" w:lineRule="auto"/>
              <w:rPr>
                <w:color w:val="000000"/>
                <w:szCs w:val="22"/>
              </w:rPr>
            </w:pPr>
            <w:r w:rsidRPr="00F35A81">
              <w:rPr>
                <w:color w:val="000000"/>
                <w:sz w:val="22"/>
                <w:szCs w:val="22"/>
              </w:rPr>
              <w:t>Celkové náklady</w:t>
            </w:r>
          </w:p>
        </w:tc>
        <w:tc>
          <w:tcPr>
            <w:tcW w:w="1140" w:type="dxa"/>
            <w:tcBorders>
              <w:top w:val="nil"/>
              <w:left w:val="nil"/>
              <w:bottom w:val="single" w:sz="12" w:space="0" w:color="auto"/>
              <w:right w:val="single" w:sz="4" w:space="0" w:color="auto"/>
            </w:tcBorders>
            <w:shd w:val="clear" w:color="auto" w:fill="auto"/>
            <w:vAlign w:val="center"/>
            <w:hideMark/>
          </w:tcPr>
          <w:p w:rsidR="00F35A81" w:rsidRPr="00F35A81" w:rsidRDefault="00F35A81" w:rsidP="00F35A81">
            <w:pPr>
              <w:spacing w:after="0" w:line="240" w:lineRule="auto"/>
              <w:jc w:val="right"/>
              <w:rPr>
                <w:color w:val="000000"/>
                <w:szCs w:val="22"/>
              </w:rPr>
            </w:pPr>
            <w:r w:rsidRPr="00F35A81">
              <w:rPr>
                <w:color w:val="000000"/>
                <w:sz w:val="22"/>
                <w:szCs w:val="22"/>
              </w:rPr>
              <w:t>6 050 122</w:t>
            </w:r>
          </w:p>
        </w:tc>
        <w:tc>
          <w:tcPr>
            <w:tcW w:w="1140" w:type="dxa"/>
            <w:tcBorders>
              <w:top w:val="nil"/>
              <w:left w:val="nil"/>
              <w:bottom w:val="single" w:sz="12" w:space="0" w:color="auto"/>
              <w:right w:val="single" w:sz="4" w:space="0" w:color="auto"/>
            </w:tcBorders>
            <w:shd w:val="clear" w:color="auto" w:fill="auto"/>
            <w:vAlign w:val="center"/>
            <w:hideMark/>
          </w:tcPr>
          <w:p w:rsidR="00F35A81" w:rsidRPr="00F35A81" w:rsidRDefault="00F35A81" w:rsidP="00F35A81">
            <w:pPr>
              <w:spacing w:after="0" w:line="240" w:lineRule="auto"/>
              <w:jc w:val="right"/>
              <w:rPr>
                <w:color w:val="000000"/>
                <w:szCs w:val="22"/>
              </w:rPr>
            </w:pPr>
            <w:r w:rsidRPr="00F35A81">
              <w:rPr>
                <w:color w:val="000000"/>
                <w:sz w:val="22"/>
                <w:szCs w:val="22"/>
              </w:rPr>
              <w:t>4 370 464</w:t>
            </w:r>
          </w:p>
        </w:tc>
        <w:tc>
          <w:tcPr>
            <w:tcW w:w="1140" w:type="dxa"/>
            <w:tcBorders>
              <w:top w:val="nil"/>
              <w:left w:val="nil"/>
              <w:bottom w:val="single" w:sz="12" w:space="0" w:color="auto"/>
              <w:right w:val="single" w:sz="12" w:space="0" w:color="auto"/>
            </w:tcBorders>
            <w:shd w:val="clear" w:color="auto" w:fill="auto"/>
            <w:vAlign w:val="center"/>
            <w:hideMark/>
          </w:tcPr>
          <w:p w:rsidR="00F35A81" w:rsidRPr="00F35A81" w:rsidRDefault="00F35A81" w:rsidP="00F35A81">
            <w:pPr>
              <w:spacing w:after="0" w:line="240" w:lineRule="auto"/>
              <w:jc w:val="right"/>
              <w:rPr>
                <w:color w:val="000000"/>
                <w:szCs w:val="22"/>
              </w:rPr>
            </w:pPr>
            <w:r w:rsidRPr="00F35A81">
              <w:rPr>
                <w:color w:val="000000"/>
                <w:sz w:val="22"/>
                <w:szCs w:val="22"/>
              </w:rPr>
              <w:t>3 602 849</w:t>
            </w:r>
          </w:p>
        </w:tc>
      </w:tr>
    </w:tbl>
    <w:p w:rsidR="00435AB8" w:rsidRDefault="00D97430" w:rsidP="00D97430">
      <w:pPr>
        <w:pStyle w:val="dajepodtabulkou"/>
        <w:ind w:left="993"/>
      </w:pPr>
      <w:r>
        <w:t>Zdroj: Q – MONT s. r. o.</w:t>
      </w:r>
    </w:p>
    <w:p w:rsidR="00C04222" w:rsidRDefault="00A769FE" w:rsidP="002158D0">
      <w:pPr>
        <w:pStyle w:val="Odstavecnormln"/>
      </w:pPr>
      <w:r>
        <w:t xml:space="preserve">Pro potřeby určení platební situace společnosti byly z ukazatelů aktivity vybrány ukazatele obratu krátkodobých pohledávek a krátkodobých závazků. </w:t>
      </w:r>
      <w:r w:rsidR="00572869">
        <w:t>Při stanovení doby obratu pohledávek byly krátkodobé pohledávky upraveny o nedobytné pohledávky uvedené na ř. 2</w:t>
      </w:r>
      <w:r w:rsidR="007D1260">
        <w:t xml:space="preserve"> tabulky 19</w:t>
      </w:r>
      <w:r w:rsidR="00F37274">
        <w:t xml:space="preserve">. </w:t>
      </w:r>
      <w:r w:rsidR="00EF422B">
        <w:t>H</w:t>
      </w:r>
      <w:r>
        <w:t xml:space="preserve">odnoty </w:t>
      </w:r>
      <w:r w:rsidR="00EF422B">
        <w:t xml:space="preserve">ukazatelů </w:t>
      </w:r>
      <w:r>
        <w:t>jsou uvedeny níže.</w:t>
      </w:r>
    </w:p>
    <w:p w:rsidR="00306975" w:rsidRDefault="00306975" w:rsidP="00306975">
      <w:pPr>
        <w:pStyle w:val="Titulek"/>
      </w:pPr>
      <w:bookmarkStart w:id="219" w:name="_Ref350188782"/>
      <w:bookmarkStart w:id="220" w:name="_Ref350187536"/>
      <w:bookmarkStart w:id="221" w:name="_Toc353125959"/>
      <w:r>
        <w:t xml:space="preserve">Tabulka </w:t>
      </w:r>
      <w:r w:rsidR="00C96C2B">
        <w:fldChar w:fldCharType="begin"/>
      </w:r>
      <w:r w:rsidR="00C96C2B">
        <w:instrText xml:space="preserve"> SEQ Tabulka \* ARABIC </w:instrText>
      </w:r>
      <w:r w:rsidR="00C96C2B">
        <w:fldChar w:fldCharType="separate"/>
      </w:r>
      <w:r w:rsidR="002534BA">
        <w:rPr>
          <w:noProof/>
        </w:rPr>
        <w:t>20</w:t>
      </w:r>
      <w:r w:rsidR="00C96C2B">
        <w:rPr>
          <w:noProof/>
        </w:rPr>
        <w:fldChar w:fldCharType="end"/>
      </w:r>
      <w:bookmarkEnd w:id="219"/>
      <w:r>
        <w:t xml:space="preserve"> Ukazatele doby obratu závazků a pohledávek</w:t>
      </w:r>
      <w:bookmarkEnd w:id="220"/>
      <w:r w:rsidR="0079132B">
        <w:t>: Q – MONT s. r. o.</w:t>
      </w:r>
      <w:bookmarkEnd w:id="221"/>
    </w:p>
    <w:tbl>
      <w:tblPr>
        <w:tblW w:w="6020" w:type="dxa"/>
        <w:jc w:val="center"/>
        <w:tblInd w:w="55" w:type="dxa"/>
        <w:tblCellMar>
          <w:left w:w="70" w:type="dxa"/>
          <w:right w:w="70" w:type="dxa"/>
        </w:tblCellMar>
        <w:tblLook w:val="04A0" w:firstRow="1" w:lastRow="0" w:firstColumn="1" w:lastColumn="0" w:noHBand="0" w:noVBand="1"/>
      </w:tblPr>
      <w:tblGrid>
        <w:gridCol w:w="3140"/>
        <w:gridCol w:w="960"/>
        <w:gridCol w:w="960"/>
        <w:gridCol w:w="960"/>
      </w:tblGrid>
      <w:tr w:rsidR="00306975" w:rsidRPr="00260C1D" w:rsidTr="00C336D4">
        <w:trPr>
          <w:trHeight w:val="439"/>
          <w:jc w:val="center"/>
        </w:trPr>
        <w:tc>
          <w:tcPr>
            <w:tcW w:w="3140" w:type="dxa"/>
            <w:tcBorders>
              <w:top w:val="single" w:sz="12" w:space="0" w:color="auto"/>
              <w:left w:val="single" w:sz="12" w:space="0" w:color="auto"/>
              <w:bottom w:val="double" w:sz="6" w:space="0" w:color="auto"/>
              <w:right w:val="single" w:sz="4" w:space="0" w:color="auto"/>
            </w:tcBorders>
            <w:shd w:val="clear" w:color="auto" w:fill="E5DFEC" w:themeFill="accent4" w:themeFillTint="33"/>
            <w:noWrap/>
            <w:vAlign w:val="center"/>
            <w:hideMark/>
          </w:tcPr>
          <w:p w:rsidR="00306975" w:rsidRPr="00260C1D" w:rsidRDefault="00306975" w:rsidP="00D705A6">
            <w:pPr>
              <w:spacing w:after="0" w:line="240" w:lineRule="auto"/>
              <w:jc w:val="center"/>
              <w:rPr>
                <w:b/>
                <w:bCs/>
                <w:color w:val="000000"/>
                <w:szCs w:val="22"/>
              </w:rPr>
            </w:pPr>
            <w:r w:rsidRPr="00260C1D">
              <w:rPr>
                <w:b/>
                <w:bCs/>
                <w:color w:val="000000"/>
                <w:sz w:val="22"/>
                <w:szCs w:val="22"/>
              </w:rPr>
              <w:t>UKAZATEL</w:t>
            </w:r>
          </w:p>
        </w:tc>
        <w:tc>
          <w:tcPr>
            <w:tcW w:w="960" w:type="dxa"/>
            <w:tcBorders>
              <w:top w:val="single" w:sz="12" w:space="0" w:color="auto"/>
              <w:left w:val="nil"/>
              <w:bottom w:val="double" w:sz="6" w:space="0" w:color="auto"/>
              <w:right w:val="single" w:sz="4" w:space="0" w:color="auto"/>
            </w:tcBorders>
            <w:shd w:val="clear" w:color="auto" w:fill="E5DFEC" w:themeFill="accent4" w:themeFillTint="33"/>
            <w:noWrap/>
            <w:vAlign w:val="center"/>
            <w:hideMark/>
          </w:tcPr>
          <w:p w:rsidR="00306975" w:rsidRPr="00260C1D" w:rsidRDefault="00306975" w:rsidP="00D705A6">
            <w:pPr>
              <w:spacing w:after="0" w:line="240" w:lineRule="auto"/>
              <w:jc w:val="center"/>
              <w:rPr>
                <w:b/>
                <w:bCs/>
                <w:color w:val="000000"/>
                <w:szCs w:val="22"/>
              </w:rPr>
            </w:pPr>
            <w:r w:rsidRPr="00260C1D">
              <w:rPr>
                <w:b/>
                <w:bCs/>
                <w:color w:val="000000"/>
                <w:sz w:val="22"/>
                <w:szCs w:val="22"/>
              </w:rPr>
              <w:t>2009</w:t>
            </w:r>
          </w:p>
        </w:tc>
        <w:tc>
          <w:tcPr>
            <w:tcW w:w="960" w:type="dxa"/>
            <w:tcBorders>
              <w:top w:val="single" w:sz="12" w:space="0" w:color="auto"/>
              <w:left w:val="nil"/>
              <w:bottom w:val="double" w:sz="6" w:space="0" w:color="auto"/>
              <w:right w:val="single" w:sz="4" w:space="0" w:color="auto"/>
            </w:tcBorders>
            <w:shd w:val="clear" w:color="auto" w:fill="E5DFEC" w:themeFill="accent4" w:themeFillTint="33"/>
            <w:noWrap/>
            <w:vAlign w:val="center"/>
            <w:hideMark/>
          </w:tcPr>
          <w:p w:rsidR="00306975" w:rsidRPr="00260C1D" w:rsidRDefault="00306975" w:rsidP="00D705A6">
            <w:pPr>
              <w:spacing w:after="0" w:line="240" w:lineRule="auto"/>
              <w:jc w:val="center"/>
              <w:rPr>
                <w:b/>
                <w:bCs/>
                <w:color w:val="000000"/>
                <w:szCs w:val="22"/>
              </w:rPr>
            </w:pPr>
            <w:r w:rsidRPr="00260C1D">
              <w:rPr>
                <w:b/>
                <w:bCs/>
                <w:color w:val="000000"/>
                <w:sz w:val="22"/>
                <w:szCs w:val="22"/>
              </w:rPr>
              <w:t>2010</w:t>
            </w:r>
          </w:p>
        </w:tc>
        <w:tc>
          <w:tcPr>
            <w:tcW w:w="960" w:type="dxa"/>
            <w:tcBorders>
              <w:top w:val="single" w:sz="12" w:space="0" w:color="auto"/>
              <w:left w:val="nil"/>
              <w:bottom w:val="double" w:sz="6" w:space="0" w:color="auto"/>
              <w:right w:val="single" w:sz="12" w:space="0" w:color="auto"/>
            </w:tcBorders>
            <w:shd w:val="clear" w:color="auto" w:fill="E5DFEC" w:themeFill="accent4" w:themeFillTint="33"/>
            <w:noWrap/>
            <w:vAlign w:val="center"/>
            <w:hideMark/>
          </w:tcPr>
          <w:p w:rsidR="00306975" w:rsidRPr="00260C1D" w:rsidRDefault="00306975" w:rsidP="00D705A6">
            <w:pPr>
              <w:spacing w:after="0" w:line="240" w:lineRule="auto"/>
              <w:jc w:val="center"/>
              <w:rPr>
                <w:b/>
                <w:bCs/>
                <w:color w:val="000000"/>
                <w:szCs w:val="22"/>
              </w:rPr>
            </w:pPr>
            <w:r w:rsidRPr="00260C1D">
              <w:rPr>
                <w:b/>
                <w:bCs/>
                <w:color w:val="000000"/>
                <w:sz w:val="22"/>
                <w:szCs w:val="22"/>
              </w:rPr>
              <w:t>2011</w:t>
            </w:r>
          </w:p>
        </w:tc>
      </w:tr>
      <w:tr w:rsidR="00306975" w:rsidRPr="00260C1D" w:rsidTr="00D705A6">
        <w:trPr>
          <w:trHeight w:val="342"/>
          <w:jc w:val="center"/>
        </w:trPr>
        <w:tc>
          <w:tcPr>
            <w:tcW w:w="3140" w:type="dxa"/>
            <w:tcBorders>
              <w:top w:val="nil"/>
              <w:left w:val="single" w:sz="12" w:space="0" w:color="auto"/>
              <w:bottom w:val="single" w:sz="4" w:space="0" w:color="auto"/>
              <w:right w:val="single" w:sz="4" w:space="0" w:color="auto"/>
            </w:tcBorders>
            <w:shd w:val="clear" w:color="auto" w:fill="auto"/>
            <w:noWrap/>
            <w:vAlign w:val="center"/>
            <w:hideMark/>
          </w:tcPr>
          <w:p w:rsidR="00306975" w:rsidRPr="00260C1D" w:rsidRDefault="00744BD2" w:rsidP="00744BD2">
            <w:pPr>
              <w:spacing w:after="0" w:line="240" w:lineRule="auto"/>
              <w:jc w:val="left"/>
              <w:rPr>
                <w:color w:val="000000"/>
                <w:szCs w:val="22"/>
              </w:rPr>
            </w:pPr>
            <w:r>
              <w:rPr>
                <w:color w:val="000000"/>
                <w:sz w:val="22"/>
                <w:szCs w:val="22"/>
              </w:rPr>
              <w:t>Doba o</w:t>
            </w:r>
            <w:r w:rsidR="00306975" w:rsidRPr="00260C1D">
              <w:rPr>
                <w:color w:val="000000"/>
                <w:sz w:val="22"/>
                <w:szCs w:val="22"/>
              </w:rPr>
              <w:t>bratu pohledávek</w:t>
            </w:r>
          </w:p>
        </w:tc>
        <w:tc>
          <w:tcPr>
            <w:tcW w:w="960" w:type="dxa"/>
            <w:tcBorders>
              <w:top w:val="nil"/>
              <w:left w:val="nil"/>
              <w:bottom w:val="single" w:sz="4" w:space="0" w:color="auto"/>
              <w:right w:val="single" w:sz="4" w:space="0" w:color="auto"/>
            </w:tcBorders>
            <w:shd w:val="clear" w:color="auto" w:fill="auto"/>
            <w:noWrap/>
            <w:vAlign w:val="center"/>
            <w:hideMark/>
          </w:tcPr>
          <w:p w:rsidR="00306975" w:rsidRPr="00260C1D" w:rsidRDefault="00306975" w:rsidP="00D705A6">
            <w:pPr>
              <w:spacing w:after="0" w:line="240" w:lineRule="auto"/>
              <w:jc w:val="right"/>
              <w:rPr>
                <w:color w:val="000000"/>
                <w:szCs w:val="22"/>
              </w:rPr>
            </w:pPr>
            <w:r w:rsidRPr="00260C1D">
              <w:rPr>
                <w:color w:val="000000"/>
                <w:sz w:val="22"/>
                <w:szCs w:val="22"/>
              </w:rPr>
              <w:t>69,25</w:t>
            </w:r>
          </w:p>
        </w:tc>
        <w:tc>
          <w:tcPr>
            <w:tcW w:w="960" w:type="dxa"/>
            <w:tcBorders>
              <w:top w:val="nil"/>
              <w:left w:val="nil"/>
              <w:bottom w:val="single" w:sz="4" w:space="0" w:color="auto"/>
              <w:right w:val="single" w:sz="4" w:space="0" w:color="auto"/>
            </w:tcBorders>
            <w:shd w:val="clear" w:color="auto" w:fill="auto"/>
            <w:noWrap/>
            <w:vAlign w:val="center"/>
            <w:hideMark/>
          </w:tcPr>
          <w:p w:rsidR="00306975" w:rsidRPr="00260C1D" w:rsidRDefault="00306975" w:rsidP="00D705A6">
            <w:pPr>
              <w:spacing w:after="0" w:line="240" w:lineRule="auto"/>
              <w:jc w:val="right"/>
              <w:rPr>
                <w:color w:val="000000"/>
                <w:szCs w:val="22"/>
              </w:rPr>
            </w:pPr>
            <w:r w:rsidRPr="00260C1D">
              <w:rPr>
                <w:color w:val="000000"/>
                <w:sz w:val="22"/>
                <w:szCs w:val="22"/>
              </w:rPr>
              <w:t>28,98</w:t>
            </w:r>
          </w:p>
        </w:tc>
        <w:tc>
          <w:tcPr>
            <w:tcW w:w="960" w:type="dxa"/>
            <w:tcBorders>
              <w:top w:val="nil"/>
              <w:left w:val="nil"/>
              <w:bottom w:val="single" w:sz="4" w:space="0" w:color="auto"/>
              <w:right w:val="single" w:sz="12" w:space="0" w:color="auto"/>
            </w:tcBorders>
            <w:shd w:val="clear" w:color="auto" w:fill="auto"/>
            <w:noWrap/>
            <w:vAlign w:val="center"/>
            <w:hideMark/>
          </w:tcPr>
          <w:p w:rsidR="00306975" w:rsidRPr="00260C1D" w:rsidRDefault="00306975" w:rsidP="00D705A6">
            <w:pPr>
              <w:spacing w:after="0" w:line="240" w:lineRule="auto"/>
              <w:jc w:val="right"/>
              <w:rPr>
                <w:color w:val="000000"/>
                <w:szCs w:val="22"/>
              </w:rPr>
            </w:pPr>
            <w:r w:rsidRPr="00260C1D">
              <w:rPr>
                <w:color w:val="000000"/>
                <w:sz w:val="22"/>
                <w:szCs w:val="22"/>
              </w:rPr>
              <w:t>54,45</w:t>
            </w:r>
          </w:p>
        </w:tc>
      </w:tr>
      <w:tr w:rsidR="00306975" w:rsidRPr="00260C1D" w:rsidTr="00D705A6">
        <w:trPr>
          <w:trHeight w:val="342"/>
          <w:jc w:val="center"/>
        </w:trPr>
        <w:tc>
          <w:tcPr>
            <w:tcW w:w="3140" w:type="dxa"/>
            <w:tcBorders>
              <w:top w:val="nil"/>
              <w:left w:val="single" w:sz="12" w:space="0" w:color="auto"/>
              <w:bottom w:val="single" w:sz="12" w:space="0" w:color="auto"/>
              <w:right w:val="single" w:sz="4" w:space="0" w:color="auto"/>
            </w:tcBorders>
            <w:shd w:val="clear" w:color="auto" w:fill="auto"/>
            <w:noWrap/>
            <w:vAlign w:val="center"/>
            <w:hideMark/>
          </w:tcPr>
          <w:p w:rsidR="00306975" w:rsidRPr="00260C1D" w:rsidRDefault="00744BD2" w:rsidP="00744BD2">
            <w:pPr>
              <w:spacing w:after="0" w:line="240" w:lineRule="auto"/>
              <w:jc w:val="left"/>
              <w:rPr>
                <w:color w:val="000000"/>
                <w:szCs w:val="22"/>
              </w:rPr>
            </w:pPr>
            <w:r>
              <w:rPr>
                <w:color w:val="000000"/>
                <w:sz w:val="22"/>
                <w:szCs w:val="22"/>
              </w:rPr>
              <w:t>Doba o</w:t>
            </w:r>
            <w:r w:rsidR="00306975" w:rsidRPr="00260C1D">
              <w:rPr>
                <w:color w:val="000000"/>
                <w:sz w:val="22"/>
                <w:szCs w:val="22"/>
              </w:rPr>
              <w:t>bratu závazků</w:t>
            </w:r>
          </w:p>
        </w:tc>
        <w:tc>
          <w:tcPr>
            <w:tcW w:w="960" w:type="dxa"/>
            <w:tcBorders>
              <w:top w:val="nil"/>
              <w:left w:val="nil"/>
              <w:bottom w:val="single" w:sz="12" w:space="0" w:color="auto"/>
              <w:right w:val="single" w:sz="4" w:space="0" w:color="auto"/>
            </w:tcBorders>
            <w:shd w:val="clear" w:color="auto" w:fill="auto"/>
            <w:noWrap/>
            <w:vAlign w:val="center"/>
            <w:hideMark/>
          </w:tcPr>
          <w:p w:rsidR="00306975" w:rsidRPr="00260C1D" w:rsidRDefault="00306975" w:rsidP="00D705A6">
            <w:pPr>
              <w:spacing w:after="0" w:line="240" w:lineRule="auto"/>
              <w:jc w:val="right"/>
              <w:rPr>
                <w:color w:val="000000"/>
                <w:szCs w:val="22"/>
              </w:rPr>
            </w:pPr>
            <w:r w:rsidRPr="00260C1D">
              <w:rPr>
                <w:color w:val="000000"/>
                <w:sz w:val="22"/>
                <w:szCs w:val="22"/>
              </w:rPr>
              <w:t>1,46</w:t>
            </w:r>
          </w:p>
        </w:tc>
        <w:tc>
          <w:tcPr>
            <w:tcW w:w="960" w:type="dxa"/>
            <w:tcBorders>
              <w:top w:val="nil"/>
              <w:left w:val="nil"/>
              <w:bottom w:val="single" w:sz="12" w:space="0" w:color="auto"/>
              <w:right w:val="single" w:sz="4" w:space="0" w:color="auto"/>
            </w:tcBorders>
            <w:shd w:val="clear" w:color="auto" w:fill="auto"/>
            <w:noWrap/>
            <w:vAlign w:val="center"/>
            <w:hideMark/>
          </w:tcPr>
          <w:p w:rsidR="00306975" w:rsidRPr="00260C1D" w:rsidRDefault="00306975" w:rsidP="00D705A6">
            <w:pPr>
              <w:spacing w:after="0" w:line="240" w:lineRule="auto"/>
              <w:jc w:val="right"/>
              <w:rPr>
                <w:color w:val="000000"/>
                <w:szCs w:val="22"/>
              </w:rPr>
            </w:pPr>
            <w:r w:rsidRPr="00260C1D">
              <w:rPr>
                <w:color w:val="000000"/>
                <w:sz w:val="22"/>
                <w:szCs w:val="22"/>
              </w:rPr>
              <w:t>27,07</w:t>
            </w:r>
          </w:p>
        </w:tc>
        <w:tc>
          <w:tcPr>
            <w:tcW w:w="960" w:type="dxa"/>
            <w:tcBorders>
              <w:top w:val="nil"/>
              <w:left w:val="nil"/>
              <w:bottom w:val="single" w:sz="12" w:space="0" w:color="auto"/>
              <w:right w:val="single" w:sz="12" w:space="0" w:color="auto"/>
            </w:tcBorders>
            <w:shd w:val="clear" w:color="auto" w:fill="auto"/>
            <w:noWrap/>
            <w:vAlign w:val="center"/>
            <w:hideMark/>
          </w:tcPr>
          <w:p w:rsidR="00306975" w:rsidRPr="00260C1D" w:rsidRDefault="00306975" w:rsidP="00D705A6">
            <w:pPr>
              <w:spacing w:after="0" w:line="240" w:lineRule="auto"/>
              <w:jc w:val="right"/>
              <w:rPr>
                <w:color w:val="000000"/>
                <w:szCs w:val="22"/>
              </w:rPr>
            </w:pPr>
            <w:r w:rsidRPr="00260C1D">
              <w:rPr>
                <w:color w:val="000000"/>
                <w:sz w:val="22"/>
                <w:szCs w:val="22"/>
              </w:rPr>
              <w:t>22,94</w:t>
            </w:r>
          </w:p>
        </w:tc>
      </w:tr>
    </w:tbl>
    <w:p w:rsidR="00306975" w:rsidRDefault="00306975" w:rsidP="00306975">
      <w:pPr>
        <w:pStyle w:val="dajepodtabulkou"/>
        <w:ind w:left="1276"/>
      </w:pPr>
      <w:r>
        <w:t>Zdroj: vlastní zpracování</w:t>
      </w:r>
    </w:p>
    <w:p w:rsidR="00884C05" w:rsidRDefault="00884C05" w:rsidP="002158D0">
      <w:pPr>
        <w:pStyle w:val="Odstavecnormln"/>
      </w:pPr>
      <w:r>
        <w:t>Příklad výpočtu je uveden v</w:t>
      </w:r>
      <w:r w:rsidR="00744BD2">
        <w:t> příloze 15</w:t>
      </w:r>
      <w:r>
        <w:t xml:space="preserve"> na str. </w:t>
      </w:r>
      <w:r w:rsidR="003F74D2">
        <w:fldChar w:fldCharType="begin"/>
      </w:r>
      <w:r w:rsidR="003F74D2">
        <w:instrText xml:space="preserve"> PAGEREF _Ref352359844 \h </w:instrText>
      </w:r>
      <w:r w:rsidR="003F74D2">
        <w:fldChar w:fldCharType="separate"/>
      </w:r>
      <w:r w:rsidR="002534BA">
        <w:rPr>
          <w:noProof/>
        </w:rPr>
        <w:t>82</w:t>
      </w:r>
      <w:r w:rsidR="003F74D2">
        <w:fldChar w:fldCharType="end"/>
      </w:r>
      <w:r w:rsidR="007060B3">
        <w:t>.</w:t>
      </w:r>
    </w:p>
    <w:p w:rsidR="00306975" w:rsidRDefault="00A769FE" w:rsidP="002158D0">
      <w:pPr>
        <w:pStyle w:val="Odstavecnormln"/>
      </w:pPr>
      <w:r>
        <w:lastRenderedPageBreak/>
        <w:t>Na základě zjištěných ukazatelů lze konstatovat, že průměrná doba splatnosti pohledávek je vyšší než průměrná doba splatnosti závazků, to vypovídá o velmi dobré platební morálce společnos</w:t>
      </w:r>
      <w:r w:rsidR="008E6ED3">
        <w:t>ti Q – MONT s. r. o. Společnost</w:t>
      </w:r>
      <w:r>
        <w:t xml:space="preserve"> byla v roce 2009 schopna hradit své závazky okamžitě při jejich vzniku. V roce 2010 a 2011 hradila společnost krátkodobé závazky za více než 20 dnů po jejich vzniku. Doba obratu pohledávek je v celém sledovaném období přiměřená.</w:t>
      </w:r>
    </w:p>
    <w:p w:rsidR="009224DA" w:rsidRDefault="007A013C" w:rsidP="002158D0">
      <w:pPr>
        <w:pStyle w:val="Odstavecnormln"/>
      </w:pPr>
      <w:r>
        <w:t xml:space="preserve">Společnost v celém zkoumaném období eviduje na ř. 117 </w:t>
      </w:r>
      <w:r w:rsidR="008E6ED3">
        <w:t>výkazů rozvah</w:t>
      </w:r>
      <w:r w:rsidR="003F74D2">
        <w:t xml:space="preserve"> (viz</w:t>
      </w:r>
      <w:r w:rsidR="00744BD2">
        <w:t xml:space="preserve"> příloha 10</w:t>
      </w:r>
      <w:r w:rsidR="008E6ED3">
        <w:t xml:space="preserve"> na str.</w:t>
      </w:r>
      <w:r>
        <w:t xml:space="preserve"> </w:t>
      </w:r>
      <w:r w:rsidR="008E6ED3">
        <w:fldChar w:fldCharType="begin"/>
      </w:r>
      <w:r w:rsidR="008E6ED3">
        <w:instrText xml:space="preserve"> PAGEREF _Ref349671207 \h </w:instrText>
      </w:r>
      <w:r w:rsidR="008E6ED3">
        <w:fldChar w:fldCharType="separate"/>
      </w:r>
      <w:r w:rsidR="002534BA">
        <w:rPr>
          <w:noProof/>
        </w:rPr>
        <w:t>70</w:t>
      </w:r>
      <w:r w:rsidR="008E6ED3">
        <w:fldChar w:fldCharType="end"/>
      </w:r>
      <w:r w:rsidR="008E6ED3">
        <w:t xml:space="preserve">) </w:t>
      </w:r>
      <w:r>
        <w:t xml:space="preserve">krátkodobý bankovní úvěr. Jedná se </w:t>
      </w:r>
      <w:r w:rsidRPr="002158D0">
        <w:t>bankovní</w:t>
      </w:r>
      <w:r>
        <w:t xml:space="preserve"> úvěr</w:t>
      </w:r>
      <w:r w:rsidR="001B22B0">
        <w:t>y</w:t>
      </w:r>
      <w:r>
        <w:t xml:space="preserve"> se splatností delší než 1 rok (</w:t>
      </w:r>
      <w:r w:rsidR="00F74563">
        <w:t>viz</w:t>
      </w:r>
      <w:r w:rsidR="001B22B0">
        <w:t xml:space="preserve"> poznámka na str. </w:t>
      </w:r>
      <w:r w:rsidR="002332FB">
        <w:t>37</w:t>
      </w:r>
      <w:r w:rsidR="001B22B0">
        <w:t>)</w:t>
      </w:r>
      <w:r>
        <w:t xml:space="preserve">. Výše bankovního úvěru je po celé zkoumané období vyšší než výše celkových krátkodobých závazků. Z tohoto důvodu byly </w:t>
      </w:r>
      <w:r w:rsidR="000142F6">
        <w:t>v další kapitole</w:t>
      </w:r>
      <w:r>
        <w:t xml:space="preserve"> </w:t>
      </w:r>
      <w:r w:rsidR="000142F6">
        <w:t>stanoveny</w:t>
      </w:r>
      <w:r>
        <w:t xml:space="preserve"> ukazatele zadluženosti (ukazatel věřitelského rizika a míra zadluženosti).</w:t>
      </w:r>
    </w:p>
    <w:p w:rsidR="009224DA" w:rsidRDefault="009224DA">
      <w:pPr>
        <w:spacing w:after="200" w:line="276" w:lineRule="auto"/>
        <w:jc w:val="left"/>
      </w:pPr>
      <w:r>
        <w:br w:type="page"/>
      </w:r>
    </w:p>
    <w:p w:rsidR="00306975" w:rsidRDefault="00306975" w:rsidP="00306975">
      <w:pPr>
        <w:pStyle w:val="Nadpis3"/>
        <w:spacing w:line="360" w:lineRule="auto"/>
      </w:pPr>
      <w:bookmarkStart w:id="222" w:name="_Toc339528931"/>
      <w:bookmarkStart w:id="223" w:name="_Toc347167037"/>
      <w:bookmarkStart w:id="224" w:name="_Ref350448917"/>
      <w:bookmarkStart w:id="225" w:name="_Ref350448932"/>
      <w:bookmarkStart w:id="226" w:name="_Toc353126180"/>
      <w:bookmarkStart w:id="227" w:name="_Toc353439372"/>
      <w:r>
        <w:lastRenderedPageBreak/>
        <w:t>Ukazatele zadluženosti</w:t>
      </w:r>
      <w:bookmarkEnd w:id="222"/>
      <w:bookmarkEnd w:id="223"/>
      <w:bookmarkEnd w:id="224"/>
      <w:bookmarkEnd w:id="225"/>
      <w:bookmarkEnd w:id="226"/>
      <w:bookmarkEnd w:id="227"/>
    </w:p>
    <w:p w:rsidR="00C04222" w:rsidRDefault="008701EE" w:rsidP="002158D0">
      <w:pPr>
        <w:pStyle w:val="Odstavecnormln"/>
      </w:pPr>
      <w:r>
        <w:t>Pro zjištění ukazatelů zadluženosti byl níže sestaven přehled údajů nutných pro jejich výpočet. Údaje byly získány z rozvah společnosti (viz</w:t>
      </w:r>
      <w:r w:rsidR="00744BD2">
        <w:t xml:space="preserve"> příloha 10</w:t>
      </w:r>
      <w:r>
        <w:t xml:space="preserve"> na str. </w:t>
      </w:r>
      <w:r>
        <w:fldChar w:fldCharType="begin"/>
      </w:r>
      <w:r>
        <w:instrText xml:space="preserve"> PAGEREF _Ref349671207 \h </w:instrText>
      </w:r>
      <w:r>
        <w:fldChar w:fldCharType="separate"/>
      </w:r>
      <w:r w:rsidR="002534BA">
        <w:rPr>
          <w:noProof/>
        </w:rPr>
        <w:t>70</w:t>
      </w:r>
      <w:r>
        <w:fldChar w:fldCharType="end"/>
      </w:r>
      <w:r>
        <w:t>).</w:t>
      </w:r>
    </w:p>
    <w:p w:rsidR="00306975" w:rsidRDefault="00306975" w:rsidP="00306975">
      <w:pPr>
        <w:pStyle w:val="Titulek"/>
      </w:pPr>
      <w:bookmarkStart w:id="228" w:name="_Ref350447915"/>
      <w:bookmarkStart w:id="229" w:name="_Ref350447927"/>
      <w:bookmarkStart w:id="230" w:name="_Toc353125960"/>
      <w:r>
        <w:t xml:space="preserve">Tabulka </w:t>
      </w:r>
      <w:r w:rsidR="00C96C2B">
        <w:fldChar w:fldCharType="begin"/>
      </w:r>
      <w:r w:rsidR="00C96C2B">
        <w:instrText xml:space="preserve"> SEQ Tabulka \* ARABIC </w:instrText>
      </w:r>
      <w:r w:rsidR="00C96C2B">
        <w:fldChar w:fldCharType="separate"/>
      </w:r>
      <w:r w:rsidR="002534BA">
        <w:rPr>
          <w:noProof/>
        </w:rPr>
        <w:t>21</w:t>
      </w:r>
      <w:r w:rsidR="00C96C2B">
        <w:rPr>
          <w:noProof/>
        </w:rPr>
        <w:fldChar w:fldCharType="end"/>
      </w:r>
      <w:bookmarkEnd w:id="228"/>
      <w:r>
        <w:t xml:space="preserve"> Vybrané hodnoty pro zjištění ukazatele zadluženosti</w:t>
      </w:r>
      <w:bookmarkEnd w:id="229"/>
      <w:r w:rsidR="0079132B">
        <w:t>: Q – MONT s. r. o.</w:t>
      </w:r>
      <w:bookmarkEnd w:id="230"/>
    </w:p>
    <w:p w:rsidR="00306975" w:rsidRPr="005F40CD" w:rsidRDefault="00306975" w:rsidP="00306975">
      <w:pPr>
        <w:pStyle w:val="dajenadtabulkouazdroj"/>
        <w:ind w:left="993"/>
      </w:pPr>
      <w:r>
        <w:t>Údaje jsou uvedeny v celých Kč</w:t>
      </w:r>
    </w:p>
    <w:tbl>
      <w:tblPr>
        <w:tblW w:w="6588" w:type="dxa"/>
        <w:jc w:val="center"/>
        <w:tblCellMar>
          <w:left w:w="70" w:type="dxa"/>
          <w:right w:w="70" w:type="dxa"/>
        </w:tblCellMar>
        <w:tblLook w:val="04A0" w:firstRow="1" w:lastRow="0" w:firstColumn="1" w:lastColumn="0" w:noHBand="0" w:noVBand="1"/>
      </w:tblPr>
      <w:tblGrid>
        <w:gridCol w:w="568"/>
        <w:gridCol w:w="2600"/>
        <w:gridCol w:w="1140"/>
        <w:gridCol w:w="1140"/>
        <w:gridCol w:w="1140"/>
      </w:tblGrid>
      <w:tr w:rsidR="00405196" w:rsidRPr="00405196" w:rsidTr="00C336D4">
        <w:trPr>
          <w:trHeight w:val="439"/>
          <w:jc w:val="center"/>
        </w:trPr>
        <w:tc>
          <w:tcPr>
            <w:tcW w:w="568" w:type="dxa"/>
            <w:tcBorders>
              <w:top w:val="single" w:sz="12" w:space="0" w:color="auto"/>
              <w:left w:val="single" w:sz="12" w:space="0" w:color="auto"/>
              <w:bottom w:val="double" w:sz="6" w:space="0" w:color="auto"/>
              <w:right w:val="single" w:sz="4" w:space="0" w:color="auto"/>
            </w:tcBorders>
            <w:shd w:val="clear" w:color="auto" w:fill="E5DFEC" w:themeFill="accent4" w:themeFillTint="33"/>
            <w:noWrap/>
            <w:vAlign w:val="center"/>
            <w:hideMark/>
          </w:tcPr>
          <w:p w:rsidR="00405196" w:rsidRPr="00405196" w:rsidRDefault="00405196" w:rsidP="00405196">
            <w:pPr>
              <w:spacing w:after="0" w:line="240" w:lineRule="auto"/>
              <w:jc w:val="center"/>
              <w:rPr>
                <w:b/>
                <w:bCs/>
                <w:color w:val="000000"/>
                <w:szCs w:val="22"/>
              </w:rPr>
            </w:pPr>
            <w:proofErr w:type="gramStart"/>
            <w:r w:rsidRPr="00405196">
              <w:rPr>
                <w:b/>
                <w:bCs/>
                <w:color w:val="000000"/>
                <w:sz w:val="22"/>
                <w:szCs w:val="22"/>
              </w:rPr>
              <w:t>Č.Ř.</w:t>
            </w:r>
            <w:proofErr w:type="gramEnd"/>
          </w:p>
        </w:tc>
        <w:tc>
          <w:tcPr>
            <w:tcW w:w="2600" w:type="dxa"/>
            <w:tcBorders>
              <w:top w:val="single" w:sz="12" w:space="0" w:color="auto"/>
              <w:left w:val="nil"/>
              <w:bottom w:val="double" w:sz="6" w:space="0" w:color="auto"/>
              <w:right w:val="single" w:sz="4" w:space="0" w:color="auto"/>
            </w:tcBorders>
            <w:shd w:val="clear" w:color="auto" w:fill="E5DFEC" w:themeFill="accent4" w:themeFillTint="33"/>
            <w:noWrap/>
            <w:vAlign w:val="center"/>
            <w:hideMark/>
          </w:tcPr>
          <w:p w:rsidR="00405196" w:rsidRPr="00405196" w:rsidRDefault="00405196" w:rsidP="00405196">
            <w:pPr>
              <w:spacing w:after="0" w:line="240" w:lineRule="auto"/>
              <w:jc w:val="center"/>
              <w:rPr>
                <w:b/>
                <w:bCs/>
                <w:color w:val="000000"/>
                <w:szCs w:val="22"/>
              </w:rPr>
            </w:pPr>
            <w:r w:rsidRPr="00405196">
              <w:rPr>
                <w:b/>
                <w:bCs/>
                <w:color w:val="000000"/>
                <w:sz w:val="22"/>
                <w:szCs w:val="22"/>
              </w:rPr>
              <w:t>UKAZATEL</w:t>
            </w:r>
          </w:p>
        </w:tc>
        <w:tc>
          <w:tcPr>
            <w:tcW w:w="1140" w:type="dxa"/>
            <w:tcBorders>
              <w:top w:val="single" w:sz="12" w:space="0" w:color="auto"/>
              <w:left w:val="nil"/>
              <w:bottom w:val="double" w:sz="6" w:space="0" w:color="auto"/>
              <w:right w:val="single" w:sz="4" w:space="0" w:color="auto"/>
            </w:tcBorders>
            <w:shd w:val="clear" w:color="auto" w:fill="E5DFEC" w:themeFill="accent4" w:themeFillTint="33"/>
            <w:noWrap/>
            <w:vAlign w:val="center"/>
            <w:hideMark/>
          </w:tcPr>
          <w:p w:rsidR="00405196" w:rsidRPr="00405196" w:rsidRDefault="00405196" w:rsidP="00405196">
            <w:pPr>
              <w:spacing w:after="0" w:line="240" w:lineRule="auto"/>
              <w:jc w:val="center"/>
              <w:rPr>
                <w:b/>
                <w:bCs/>
                <w:color w:val="000000"/>
                <w:szCs w:val="22"/>
              </w:rPr>
            </w:pPr>
            <w:r w:rsidRPr="00405196">
              <w:rPr>
                <w:b/>
                <w:bCs/>
                <w:color w:val="000000"/>
                <w:sz w:val="22"/>
                <w:szCs w:val="22"/>
              </w:rPr>
              <w:t>2009</w:t>
            </w:r>
          </w:p>
        </w:tc>
        <w:tc>
          <w:tcPr>
            <w:tcW w:w="1140" w:type="dxa"/>
            <w:tcBorders>
              <w:top w:val="single" w:sz="12" w:space="0" w:color="auto"/>
              <w:left w:val="nil"/>
              <w:bottom w:val="double" w:sz="6" w:space="0" w:color="auto"/>
              <w:right w:val="single" w:sz="4" w:space="0" w:color="auto"/>
            </w:tcBorders>
            <w:shd w:val="clear" w:color="auto" w:fill="E5DFEC" w:themeFill="accent4" w:themeFillTint="33"/>
            <w:noWrap/>
            <w:vAlign w:val="center"/>
            <w:hideMark/>
          </w:tcPr>
          <w:p w:rsidR="00405196" w:rsidRPr="00405196" w:rsidRDefault="00405196" w:rsidP="00405196">
            <w:pPr>
              <w:spacing w:after="0" w:line="240" w:lineRule="auto"/>
              <w:jc w:val="center"/>
              <w:rPr>
                <w:b/>
                <w:bCs/>
                <w:color w:val="000000"/>
                <w:szCs w:val="22"/>
              </w:rPr>
            </w:pPr>
            <w:r w:rsidRPr="00405196">
              <w:rPr>
                <w:b/>
                <w:bCs/>
                <w:color w:val="000000"/>
                <w:sz w:val="22"/>
                <w:szCs w:val="22"/>
              </w:rPr>
              <w:t>2010</w:t>
            </w:r>
          </w:p>
        </w:tc>
        <w:tc>
          <w:tcPr>
            <w:tcW w:w="1140" w:type="dxa"/>
            <w:tcBorders>
              <w:top w:val="single" w:sz="12" w:space="0" w:color="auto"/>
              <w:left w:val="nil"/>
              <w:bottom w:val="double" w:sz="6" w:space="0" w:color="auto"/>
              <w:right w:val="single" w:sz="12" w:space="0" w:color="auto"/>
            </w:tcBorders>
            <w:shd w:val="clear" w:color="auto" w:fill="E5DFEC" w:themeFill="accent4" w:themeFillTint="33"/>
            <w:noWrap/>
            <w:vAlign w:val="center"/>
            <w:hideMark/>
          </w:tcPr>
          <w:p w:rsidR="00405196" w:rsidRPr="00405196" w:rsidRDefault="00405196" w:rsidP="00405196">
            <w:pPr>
              <w:spacing w:after="0" w:line="240" w:lineRule="auto"/>
              <w:jc w:val="center"/>
              <w:rPr>
                <w:b/>
                <w:bCs/>
                <w:color w:val="000000"/>
                <w:szCs w:val="22"/>
              </w:rPr>
            </w:pPr>
            <w:r w:rsidRPr="00405196">
              <w:rPr>
                <w:b/>
                <w:bCs/>
                <w:color w:val="000000"/>
                <w:sz w:val="22"/>
                <w:szCs w:val="22"/>
              </w:rPr>
              <w:t>2011</w:t>
            </w:r>
          </w:p>
        </w:tc>
      </w:tr>
      <w:tr w:rsidR="00405196" w:rsidRPr="00405196" w:rsidTr="002D496B">
        <w:trPr>
          <w:trHeight w:val="342"/>
          <w:jc w:val="center"/>
        </w:trPr>
        <w:tc>
          <w:tcPr>
            <w:tcW w:w="568" w:type="dxa"/>
            <w:tcBorders>
              <w:top w:val="nil"/>
              <w:left w:val="single" w:sz="12" w:space="0" w:color="auto"/>
              <w:bottom w:val="single" w:sz="4" w:space="0" w:color="auto"/>
              <w:right w:val="single" w:sz="4" w:space="0" w:color="auto"/>
            </w:tcBorders>
            <w:shd w:val="clear" w:color="auto" w:fill="auto"/>
            <w:noWrap/>
            <w:vAlign w:val="center"/>
            <w:hideMark/>
          </w:tcPr>
          <w:p w:rsidR="00405196" w:rsidRPr="00405196" w:rsidRDefault="00405196" w:rsidP="00405196">
            <w:pPr>
              <w:spacing w:after="0" w:line="240" w:lineRule="auto"/>
              <w:jc w:val="center"/>
              <w:rPr>
                <w:color w:val="000000"/>
                <w:szCs w:val="22"/>
              </w:rPr>
            </w:pPr>
            <w:r w:rsidRPr="00405196">
              <w:rPr>
                <w:color w:val="000000"/>
                <w:sz w:val="22"/>
                <w:szCs w:val="22"/>
              </w:rPr>
              <w:t>1</w:t>
            </w:r>
          </w:p>
        </w:tc>
        <w:tc>
          <w:tcPr>
            <w:tcW w:w="2600" w:type="dxa"/>
            <w:tcBorders>
              <w:top w:val="nil"/>
              <w:left w:val="nil"/>
              <w:bottom w:val="single" w:sz="4" w:space="0" w:color="auto"/>
              <w:right w:val="single" w:sz="4" w:space="0" w:color="auto"/>
            </w:tcBorders>
            <w:shd w:val="clear" w:color="000000" w:fill="FFFFFF"/>
            <w:noWrap/>
            <w:vAlign w:val="center"/>
            <w:hideMark/>
          </w:tcPr>
          <w:p w:rsidR="00405196" w:rsidRPr="00405196" w:rsidRDefault="00405196" w:rsidP="00405196">
            <w:pPr>
              <w:spacing w:after="0" w:line="240" w:lineRule="auto"/>
              <w:jc w:val="left"/>
              <w:rPr>
                <w:color w:val="000000"/>
                <w:szCs w:val="22"/>
              </w:rPr>
            </w:pPr>
            <w:r w:rsidRPr="00405196">
              <w:rPr>
                <w:color w:val="000000"/>
                <w:sz w:val="22"/>
                <w:szCs w:val="22"/>
              </w:rPr>
              <w:t>Celková aktiva</w:t>
            </w:r>
          </w:p>
        </w:tc>
        <w:tc>
          <w:tcPr>
            <w:tcW w:w="1140" w:type="dxa"/>
            <w:tcBorders>
              <w:top w:val="nil"/>
              <w:left w:val="nil"/>
              <w:bottom w:val="single" w:sz="4" w:space="0" w:color="auto"/>
              <w:right w:val="single" w:sz="4" w:space="0" w:color="auto"/>
            </w:tcBorders>
            <w:shd w:val="clear" w:color="000000" w:fill="FFFFFF"/>
            <w:noWrap/>
            <w:vAlign w:val="center"/>
            <w:hideMark/>
          </w:tcPr>
          <w:p w:rsidR="00405196" w:rsidRPr="00405196" w:rsidRDefault="00405196" w:rsidP="00405196">
            <w:pPr>
              <w:spacing w:after="0" w:line="240" w:lineRule="auto"/>
              <w:jc w:val="right"/>
              <w:rPr>
                <w:color w:val="000000"/>
                <w:szCs w:val="22"/>
              </w:rPr>
            </w:pPr>
            <w:r w:rsidRPr="00405196">
              <w:rPr>
                <w:color w:val="000000"/>
                <w:sz w:val="22"/>
                <w:szCs w:val="22"/>
              </w:rPr>
              <w:t>2 251 447</w:t>
            </w:r>
          </w:p>
        </w:tc>
        <w:tc>
          <w:tcPr>
            <w:tcW w:w="1140" w:type="dxa"/>
            <w:tcBorders>
              <w:top w:val="nil"/>
              <w:left w:val="nil"/>
              <w:bottom w:val="single" w:sz="4" w:space="0" w:color="auto"/>
              <w:right w:val="single" w:sz="4" w:space="0" w:color="auto"/>
            </w:tcBorders>
            <w:shd w:val="clear" w:color="000000" w:fill="FFFFFF"/>
            <w:noWrap/>
            <w:vAlign w:val="center"/>
            <w:hideMark/>
          </w:tcPr>
          <w:p w:rsidR="00405196" w:rsidRPr="00405196" w:rsidRDefault="00405196" w:rsidP="00405196">
            <w:pPr>
              <w:spacing w:after="0" w:line="240" w:lineRule="auto"/>
              <w:jc w:val="right"/>
              <w:rPr>
                <w:color w:val="000000"/>
                <w:szCs w:val="22"/>
              </w:rPr>
            </w:pPr>
            <w:r w:rsidRPr="00405196">
              <w:rPr>
                <w:color w:val="000000"/>
                <w:sz w:val="22"/>
                <w:szCs w:val="22"/>
              </w:rPr>
              <w:t>1 848 693</w:t>
            </w:r>
          </w:p>
        </w:tc>
        <w:tc>
          <w:tcPr>
            <w:tcW w:w="1140" w:type="dxa"/>
            <w:tcBorders>
              <w:top w:val="nil"/>
              <w:left w:val="nil"/>
              <w:bottom w:val="single" w:sz="4" w:space="0" w:color="auto"/>
              <w:right w:val="single" w:sz="12" w:space="0" w:color="auto"/>
            </w:tcBorders>
            <w:shd w:val="clear" w:color="000000" w:fill="FFFFFF"/>
            <w:noWrap/>
            <w:vAlign w:val="center"/>
            <w:hideMark/>
          </w:tcPr>
          <w:p w:rsidR="00405196" w:rsidRPr="00405196" w:rsidRDefault="00405196" w:rsidP="00405196">
            <w:pPr>
              <w:spacing w:after="0" w:line="240" w:lineRule="auto"/>
              <w:jc w:val="right"/>
              <w:rPr>
                <w:color w:val="000000"/>
                <w:szCs w:val="22"/>
              </w:rPr>
            </w:pPr>
            <w:r w:rsidRPr="00405196">
              <w:rPr>
                <w:color w:val="000000"/>
                <w:sz w:val="22"/>
                <w:szCs w:val="22"/>
              </w:rPr>
              <w:t>1 766 282</w:t>
            </w:r>
          </w:p>
        </w:tc>
      </w:tr>
      <w:tr w:rsidR="00405196" w:rsidRPr="00405196" w:rsidTr="002D496B">
        <w:trPr>
          <w:trHeight w:val="342"/>
          <w:jc w:val="center"/>
        </w:trPr>
        <w:tc>
          <w:tcPr>
            <w:tcW w:w="568" w:type="dxa"/>
            <w:tcBorders>
              <w:top w:val="nil"/>
              <w:left w:val="single" w:sz="12" w:space="0" w:color="auto"/>
              <w:bottom w:val="single" w:sz="4" w:space="0" w:color="auto"/>
              <w:right w:val="single" w:sz="4" w:space="0" w:color="auto"/>
            </w:tcBorders>
            <w:shd w:val="clear" w:color="auto" w:fill="auto"/>
            <w:noWrap/>
            <w:vAlign w:val="center"/>
            <w:hideMark/>
          </w:tcPr>
          <w:p w:rsidR="00405196" w:rsidRPr="00405196" w:rsidRDefault="002D496B" w:rsidP="00405196">
            <w:pPr>
              <w:spacing w:after="0" w:line="240" w:lineRule="auto"/>
              <w:jc w:val="center"/>
              <w:rPr>
                <w:color w:val="000000"/>
                <w:szCs w:val="22"/>
              </w:rPr>
            </w:pPr>
            <w:r>
              <w:rPr>
                <w:color w:val="000000"/>
                <w:sz w:val="22"/>
                <w:szCs w:val="22"/>
              </w:rPr>
              <w:t>2</w:t>
            </w:r>
          </w:p>
        </w:tc>
        <w:tc>
          <w:tcPr>
            <w:tcW w:w="2600" w:type="dxa"/>
            <w:tcBorders>
              <w:top w:val="nil"/>
              <w:left w:val="nil"/>
              <w:bottom w:val="single" w:sz="4" w:space="0" w:color="auto"/>
              <w:right w:val="single" w:sz="4" w:space="0" w:color="auto"/>
            </w:tcBorders>
            <w:shd w:val="clear" w:color="auto" w:fill="auto"/>
            <w:noWrap/>
            <w:vAlign w:val="center"/>
            <w:hideMark/>
          </w:tcPr>
          <w:p w:rsidR="00405196" w:rsidRPr="00405196" w:rsidRDefault="00405196" w:rsidP="00405196">
            <w:pPr>
              <w:spacing w:after="0" w:line="240" w:lineRule="auto"/>
              <w:jc w:val="left"/>
              <w:rPr>
                <w:color w:val="000000"/>
                <w:szCs w:val="22"/>
              </w:rPr>
            </w:pPr>
            <w:r w:rsidRPr="00405196">
              <w:rPr>
                <w:color w:val="000000"/>
                <w:sz w:val="22"/>
                <w:szCs w:val="22"/>
              </w:rPr>
              <w:t>Cizí zdroje</w:t>
            </w:r>
          </w:p>
        </w:tc>
        <w:tc>
          <w:tcPr>
            <w:tcW w:w="1140" w:type="dxa"/>
            <w:tcBorders>
              <w:top w:val="nil"/>
              <w:left w:val="nil"/>
              <w:bottom w:val="single" w:sz="4" w:space="0" w:color="auto"/>
              <w:right w:val="single" w:sz="4" w:space="0" w:color="auto"/>
            </w:tcBorders>
            <w:shd w:val="clear" w:color="auto" w:fill="auto"/>
            <w:noWrap/>
            <w:vAlign w:val="center"/>
            <w:hideMark/>
          </w:tcPr>
          <w:p w:rsidR="00405196" w:rsidRPr="00405196" w:rsidRDefault="00405196" w:rsidP="00405196">
            <w:pPr>
              <w:spacing w:after="0" w:line="240" w:lineRule="auto"/>
              <w:jc w:val="right"/>
              <w:rPr>
                <w:color w:val="000000"/>
                <w:szCs w:val="22"/>
              </w:rPr>
            </w:pPr>
            <w:r w:rsidRPr="00405196">
              <w:rPr>
                <w:color w:val="000000"/>
                <w:sz w:val="22"/>
                <w:szCs w:val="22"/>
              </w:rPr>
              <w:t>1 521 312</w:t>
            </w:r>
          </w:p>
        </w:tc>
        <w:tc>
          <w:tcPr>
            <w:tcW w:w="1140" w:type="dxa"/>
            <w:tcBorders>
              <w:top w:val="nil"/>
              <w:left w:val="nil"/>
              <w:bottom w:val="single" w:sz="4" w:space="0" w:color="auto"/>
              <w:right w:val="single" w:sz="4" w:space="0" w:color="auto"/>
            </w:tcBorders>
            <w:shd w:val="clear" w:color="auto" w:fill="auto"/>
            <w:noWrap/>
            <w:vAlign w:val="center"/>
            <w:hideMark/>
          </w:tcPr>
          <w:p w:rsidR="00405196" w:rsidRPr="00405196" w:rsidRDefault="00405196" w:rsidP="00405196">
            <w:pPr>
              <w:spacing w:after="0" w:line="240" w:lineRule="auto"/>
              <w:jc w:val="right"/>
              <w:rPr>
                <w:color w:val="000000"/>
                <w:szCs w:val="22"/>
              </w:rPr>
            </w:pPr>
            <w:r w:rsidRPr="00405196">
              <w:rPr>
                <w:color w:val="000000"/>
                <w:sz w:val="22"/>
                <w:szCs w:val="22"/>
              </w:rPr>
              <w:t>1 178 093</w:t>
            </w:r>
          </w:p>
        </w:tc>
        <w:tc>
          <w:tcPr>
            <w:tcW w:w="1140" w:type="dxa"/>
            <w:tcBorders>
              <w:top w:val="nil"/>
              <w:left w:val="nil"/>
              <w:bottom w:val="single" w:sz="4" w:space="0" w:color="auto"/>
              <w:right w:val="single" w:sz="12" w:space="0" w:color="auto"/>
            </w:tcBorders>
            <w:shd w:val="clear" w:color="auto" w:fill="auto"/>
            <w:noWrap/>
            <w:vAlign w:val="center"/>
            <w:hideMark/>
          </w:tcPr>
          <w:p w:rsidR="00405196" w:rsidRPr="00405196" w:rsidRDefault="00405196" w:rsidP="00405196">
            <w:pPr>
              <w:spacing w:after="0" w:line="240" w:lineRule="auto"/>
              <w:jc w:val="right"/>
              <w:rPr>
                <w:color w:val="000000"/>
                <w:szCs w:val="22"/>
              </w:rPr>
            </w:pPr>
            <w:r w:rsidRPr="00405196">
              <w:rPr>
                <w:color w:val="000000"/>
                <w:sz w:val="22"/>
                <w:szCs w:val="22"/>
              </w:rPr>
              <w:t>898 868</w:t>
            </w:r>
          </w:p>
        </w:tc>
      </w:tr>
      <w:tr w:rsidR="00405196" w:rsidRPr="00405196" w:rsidTr="002D496B">
        <w:trPr>
          <w:trHeight w:val="342"/>
          <w:jc w:val="center"/>
        </w:trPr>
        <w:tc>
          <w:tcPr>
            <w:tcW w:w="568" w:type="dxa"/>
            <w:tcBorders>
              <w:top w:val="nil"/>
              <w:left w:val="single" w:sz="12" w:space="0" w:color="auto"/>
              <w:bottom w:val="single" w:sz="12" w:space="0" w:color="auto"/>
              <w:right w:val="single" w:sz="4" w:space="0" w:color="auto"/>
            </w:tcBorders>
            <w:shd w:val="clear" w:color="auto" w:fill="auto"/>
            <w:noWrap/>
            <w:vAlign w:val="center"/>
            <w:hideMark/>
          </w:tcPr>
          <w:p w:rsidR="00405196" w:rsidRPr="00405196" w:rsidRDefault="002D496B" w:rsidP="00405196">
            <w:pPr>
              <w:spacing w:after="0" w:line="240" w:lineRule="auto"/>
              <w:jc w:val="center"/>
              <w:rPr>
                <w:color w:val="000000"/>
                <w:szCs w:val="22"/>
              </w:rPr>
            </w:pPr>
            <w:r>
              <w:rPr>
                <w:color w:val="000000"/>
                <w:sz w:val="22"/>
                <w:szCs w:val="22"/>
              </w:rPr>
              <w:t>3</w:t>
            </w:r>
          </w:p>
        </w:tc>
        <w:tc>
          <w:tcPr>
            <w:tcW w:w="2600" w:type="dxa"/>
            <w:tcBorders>
              <w:top w:val="nil"/>
              <w:left w:val="nil"/>
              <w:bottom w:val="single" w:sz="12" w:space="0" w:color="auto"/>
              <w:right w:val="single" w:sz="4" w:space="0" w:color="auto"/>
            </w:tcBorders>
            <w:shd w:val="clear" w:color="auto" w:fill="auto"/>
            <w:noWrap/>
            <w:vAlign w:val="center"/>
            <w:hideMark/>
          </w:tcPr>
          <w:p w:rsidR="00405196" w:rsidRPr="00405196" w:rsidRDefault="00405196" w:rsidP="00405196">
            <w:pPr>
              <w:spacing w:after="0" w:line="240" w:lineRule="auto"/>
              <w:jc w:val="left"/>
              <w:rPr>
                <w:color w:val="000000"/>
                <w:szCs w:val="22"/>
              </w:rPr>
            </w:pPr>
            <w:r w:rsidRPr="00405196">
              <w:rPr>
                <w:color w:val="000000"/>
                <w:sz w:val="22"/>
                <w:szCs w:val="22"/>
              </w:rPr>
              <w:t>Vlastní jmění</w:t>
            </w:r>
          </w:p>
        </w:tc>
        <w:tc>
          <w:tcPr>
            <w:tcW w:w="1140" w:type="dxa"/>
            <w:tcBorders>
              <w:top w:val="nil"/>
              <w:left w:val="nil"/>
              <w:bottom w:val="single" w:sz="12" w:space="0" w:color="auto"/>
              <w:right w:val="single" w:sz="4" w:space="0" w:color="auto"/>
            </w:tcBorders>
            <w:shd w:val="clear" w:color="auto" w:fill="auto"/>
            <w:noWrap/>
            <w:vAlign w:val="center"/>
            <w:hideMark/>
          </w:tcPr>
          <w:p w:rsidR="00405196" w:rsidRPr="00405196" w:rsidRDefault="00405196" w:rsidP="00405196">
            <w:pPr>
              <w:spacing w:after="0" w:line="240" w:lineRule="auto"/>
              <w:jc w:val="right"/>
              <w:rPr>
                <w:color w:val="000000"/>
                <w:szCs w:val="22"/>
              </w:rPr>
            </w:pPr>
            <w:r w:rsidRPr="00405196">
              <w:rPr>
                <w:color w:val="000000"/>
                <w:sz w:val="22"/>
                <w:szCs w:val="22"/>
              </w:rPr>
              <w:t>730 135</w:t>
            </w:r>
          </w:p>
        </w:tc>
        <w:tc>
          <w:tcPr>
            <w:tcW w:w="1140" w:type="dxa"/>
            <w:tcBorders>
              <w:top w:val="nil"/>
              <w:left w:val="nil"/>
              <w:bottom w:val="single" w:sz="12" w:space="0" w:color="auto"/>
              <w:right w:val="single" w:sz="4" w:space="0" w:color="auto"/>
            </w:tcBorders>
            <w:shd w:val="clear" w:color="auto" w:fill="auto"/>
            <w:noWrap/>
            <w:vAlign w:val="center"/>
            <w:hideMark/>
          </w:tcPr>
          <w:p w:rsidR="00405196" w:rsidRPr="00405196" w:rsidRDefault="00405196" w:rsidP="00405196">
            <w:pPr>
              <w:spacing w:after="0" w:line="240" w:lineRule="auto"/>
              <w:jc w:val="right"/>
              <w:rPr>
                <w:color w:val="000000"/>
                <w:szCs w:val="22"/>
              </w:rPr>
            </w:pPr>
            <w:r w:rsidRPr="00405196">
              <w:rPr>
                <w:color w:val="000000"/>
                <w:sz w:val="22"/>
                <w:szCs w:val="22"/>
              </w:rPr>
              <w:t>670 600</w:t>
            </w:r>
          </w:p>
        </w:tc>
        <w:tc>
          <w:tcPr>
            <w:tcW w:w="1140" w:type="dxa"/>
            <w:tcBorders>
              <w:top w:val="nil"/>
              <w:left w:val="nil"/>
              <w:bottom w:val="single" w:sz="12" w:space="0" w:color="auto"/>
              <w:right w:val="single" w:sz="12" w:space="0" w:color="auto"/>
            </w:tcBorders>
            <w:shd w:val="clear" w:color="auto" w:fill="auto"/>
            <w:noWrap/>
            <w:vAlign w:val="center"/>
            <w:hideMark/>
          </w:tcPr>
          <w:p w:rsidR="00405196" w:rsidRPr="00405196" w:rsidRDefault="00405196" w:rsidP="00405196">
            <w:pPr>
              <w:spacing w:after="0" w:line="240" w:lineRule="auto"/>
              <w:jc w:val="right"/>
              <w:rPr>
                <w:color w:val="000000"/>
                <w:szCs w:val="22"/>
              </w:rPr>
            </w:pPr>
            <w:r w:rsidRPr="00405196">
              <w:rPr>
                <w:color w:val="000000"/>
                <w:sz w:val="22"/>
                <w:szCs w:val="22"/>
              </w:rPr>
              <w:t>867 414</w:t>
            </w:r>
          </w:p>
        </w:tc>
      </w:tr>
    </w:tbl>
    <w:p w:rsidR="00306975" w:rsidRDefault="00306975" w:rsidP="00306975">
      <w:pPr>
        <w:pStyle w:val="dajepodtabulkou"/>
        <w:ind w:left="993"/>
      </w:pPr>
      <w:r>
        <w:t>Zdroj: Q – MONT s. r. o.</w:t>
      </w:r>
    </w:p>
    <w:p w:rsidR="00E17911" w:rsidRDefault="00A52DAB" w:rsidP="002158D0">
      <w:pPr>
        <w:pStyle w:val="Odstavecnormln"/>
      </w:pPr>
      <w:r>
        <w:t xml:space="preserve">Pro účely této práce byl vybrán ukazatel věřitelského rizika a </w:t>
      </w:r>
      <w:r w:rsidR="008D43CC">
        <w:t>koeficient samofinancování.</w:t>
      </w:r>
    </w:p>
    <w:p w:rsidR="00306975" w:rsidRDefault="00306975" w:rsidP="00306975">
      <w:pPr>
        <w:pStyle w:val="Titulek"/>
      </w:pPr>
      <w:bookmarkStart w:id="231" w:name="_Toc353125961"/>
      <w:r>
        <w:t xml:space="preserve">Tabulka </w:t>
      </w:r>
      <w:r w:rsidR="00C96C2B">
        <w:fldChar w:fldCharType="begin"/>
      </w:r>
      <w:r w:rsidR="00C96C2B">
        <w:instrText xml:space="preserve"> SEQ Tabulka \* ARABIC </w:instrText>
      </w:r>
      <w:r w:rsidR="00C96C2B">
        <w:fldChar w:fldCharType="separate"/>
      </w:r>
      <w:r w:rsidR="002534BA">
        <w:rPr>
          <w:noProof/>
        </w:rPr>
        <w:t>22</w:t>
      </w:r>
      <w:r w:rsidR="00C96C2B">
        <w:rPr>
          <w:noProof/>
        </w:rPr>
        <w:fldChar w:fldCharType="end"/>
      </w:r>
      <w:r>
        <w:t xml:space="preserve"> Ukazatel věřitelského rizika</w:t>
      </w:r>
      <w:r w:rsidR="00405196">
        <w:t xml:space="preserve"> a koeficient samofinancování</w:t>
      </w:r>
      <w:r w:rsidR="0079132B">
        <w:t>: Q – MONT s. r. o.</w:t>
      </w:r>
      <w:bookmarkEnd w:id="231"/>
    </w:p>
    <w:tbl>
      <w:tblPr>
        <w:tblW w:w="6800" w:type="dxa"/>
        <w:jc w:val="center"/>
        <w:tblInd w:w="55" w:type="dxa"/>
        <w:tblCellMar>
          <w:left w:w="70" w:type="dxa"/>
          <w:right w:w="70" w:type="dxa"/>
        </w:tblCellMar>
        <w:tblLook w:val="04A0" w:firstRow="1" w:lastRow="0" w:firstColumn="1" w:lastColumn="0" w:noHBand="0" w:noVBand="1"/>
      </w:tblPr>
      <w:tblGrid>
        <w:gridCol w:w="3380"/>
        <w:gridCol w:w="1140"/>
        <w:gridCol w:w="1140"/>
        <w:gridCol w:w="1140"/>
      </w:tblGrid>
      <w:tr w:rsidR="002D496B" w:rsidRPr="002D496B" w:rsidTr="00C336D4">
        <w:trPr>
          <w:trHeight w:val="439"/>
          <w:jc w:val="center"/>
        </w:trPr>
        <w:tc>
          <w:tcPr>
            <w:tcW w:w="3380" w:type="dxa"/>
            <w:tcBorders>
              <w:top w:val="single" w:sz="12" w:space="0" w:color="auto"/>
              <w:left w:val="single" w:sz="12" w:space="0" w:color="auto"/>
              <w:bottom w:val="double" w:sz="6" w:space="0" w:color="auto"/>
              <w:right w:val="single" w:sz="4" w:space="0" w:color="auto"/>
            </w:tcBorders>
            <w:shd w:val="clear" w:color="auto" w:fill="E5DFEC" w:themeFill="accent4" w:themeFillTint="33"/>
            <w:noWrap/>
            <w:vAlign w:val="center"/>
            <w:hideMark/>
          </w:tcPr>
          <w:p w:rsidR="002D496B" w:rsidRPr="002D496B" w:rsidRDefault="0010457F" w:rsidP="002D496B">
            <w:pPr>
              <w:spacing w:after="0" w:line="240" w:lineRule="auto"/>
              <w:jc w:val="center"/>
              <w:rPr>
                <w:b/>
                <w:bCs/>
                <w:color w:val="000000"/>
                <w:szCs w:val="22"/>
              </w:rPr>
            </w:pPr>
            <w:r>
              <w:rPr>
                <w:b/>
                <w:bCs/>
                <w:color w:val="000000"/>
                <w:sz w:val="22"/>
                <w:szCs w:val="22"/>
              </w:rPr>
              <w:t>TEXT</w:t>
            </w:r>
          </w:p>
        </w:tc>
        <w:tc>
          <w:tcPr>
            <w:tcW w:w="1140" w:type="dxa"/>
            <w:tcBorders>
              <w:top w:val="single" w:sz="12" w:space="0" w:color="auto"/>
              <w:left w:val="nil"/>
              <w:bottom w:val="double" w:sz="6" w:space="0" w:color="auto"/>
              <w:right w:val="single" w:sz="4" w:space="0" w:color="auto"/>
            </w:tcBorders>
            <w:shd w:val="clear" w:color="auto" w:fill="E5DFEC" w:themeFill="accent4" w:themeFillTint="33"/>
            <w:noWrap/>
            <w:vAlign w:val="center"/>
            <w:hideMark/>
          </w:tcPr>
          <w:p w:rsidR="002D496B" w:rsidRPr="002D496B" w:rsidRDefault="002D496B" w:rsidP="002D496B">
            <w:pPr>
              <w:spacing w:after="0" w:line="240" w:lineRule="auto"/>
              <w:jc w:val="center"/>
              <w:rPr>
                <w:b/>
                <w:bCs/>
                <w:color w:val="000000"/>
                <w:szCs w:val="22"/>
              </w:rPr>
            </w:pPr>
            <w:r w:rsidRPr="002D496B">
              <w:rPr>
                <w:b/>
                <w:bCs/>
                <w:color w:val="000000"/>
                <w:sz w:val="22"/>
                <w:szCs w:val="22"/>
              </w:rPr>
              <w:t>2009</w:t>
            </w:r>
          </w:p>
        </w:tc>
        <w:tc>
          <w:tcPr>
            <w:tcW w:w="1140" w:type="dxa"/>
            <w:tcBorders>
              <w:top w:val="single" w:sz="12" w:space="0" w:color="auto"/>
              <w:left w:val="nil"/>
              <w:bottom w:val="double" w:sz="6" w:space="0" w:color="auto"/>
              <w:right w:val="single" w:sz="4" w:space="0" w:color="auto"/>
            </w:tcBorders>
            <w:shd w:val="clear" w:color="auto" w:fill="E5DFEC" w:themeFill="accent4" w:themeFillTint="33"/>
            <w:noWrap/>
            <w:vAlign w:val="center"/>
            <w:hideMark/>
          </w:tcPr>
          <w:p w:rsidR="002D496B" w:rsidRPr="002D496B" w:rsidRDefault="002D496B" w:rsidP="002D496B">
            <w:pPr>
              <w:spacing w:after="0" w:line="240" w:lineRule="auto"/>
              <w:jc w:val="center"/>
              <w:rPr>
                <w:b/>
                <w:bCs/>
                <w:color w:val="000000"/>
                <w:szCs w:val="22"/>
              </w:rPr>
            </w:pPr>
            <w:r w:rsidRPr="002D496B">
              <w:rPr>
                <w:b/>
                <w:bCs/>
                <w:color w:val="000000"/>
                <w:sz w:val="22"/>
                <w:szCs w:val="22"/>
              </w:rPr>
              <w:t>2010</w:t>
            </w:r>
          </w:p>
        </w:tc>
        <w:tc>
          <w:tcPr>
            <w:tcW w:w="1140" w:type="dxa"/>
            <w:tcBorders>
              <w:top w:val="single" w:sz="12" w:space="0" w:color="auto"/>
              <w:left w:val="nil"/>
              <w:bottom w:val="double" w:sz="6" w:space="0" w:color="auto"/>
              <w:right w:val="single" w:sz="12" w:space="0" w:color="auto"/>
            </w:tcBorders>
            <w:shd w:val="clear" w:color="auto" w:fill="E5DFEC" w:themeFill="accent4" w:themeFillTint="33"/>
            <w:noWrap/>
            <w:vAlign w:val="center"/>
            <w:hideMark/>
          </w:tcPr>
          <w:p w:rsidR="002D496B" w:rsidRPr="002D496B" w:rsidRDefault="002D496B" w:rsidP="002D496B">
            <w:pPr>
              <w:spacing w:after="0" w:line="240" w:lineRule="auto"/>
              <w:jc w:val="center"/>
              <w:rPr>
                <w:b/>
                <w:bCs/>
                <w:color w:val="000000"/>
                <w:szCs w:val="22"/>
              </w:rPr>
            </w:pPr>
            <w:r w:rsidRPr="002D496B">
              <w:rPr>
                <w:b/>
                <w:bCs/>
                <w:color w:val="000000"/>
                <w:sz w:val="22"/>
                <w:szCs w:val="22"/>
              </w:rPr>
              <w:t>2011</w:t>
            </w:r>
          </w:p>
        </w:tc>
      </w:tr>
      <w:tr w:rsidR="002D496B" w:rsidRPr="002D496B" w:rsidTr="002D496B">
        <w:trPr>
          <w:trHeight w:val="342"/>
          <w:jc w:val="center"/>
        </w:trPr>
        <w:tc>
          <w:tcPr>
            <w:tcW w:w="3380" w:type="dxa"/>
            <w:tcBorders>
              <w:top w:val="nil"/>
              <w:left w:val="single" w:sz="12" w:space="0" w:color="auto"/>
              <w:bottom w:val="single" w:sz="4" w:space="0" w:color="auto"/>
              <w:right w:val="single" w:sz="4" w:space="0" w:color="auto"/>
            </w:tcBorders>
            <w:shd w:val="clear" w:color="auto" w:fill="auto"/>
            <w:noWrap/>
            <w:vAlign w:val="center"/>
            <w:hideMark/>
          </w:tcPr>
          <w:p w:rsidR="002D496B" w:rsidRPr="002D496B" w:rsidRDefault="002D496B" w:rsidP="002D496B">
            <w:pPr>
              <w:spacing w:after="0" w:line="240" w:lineRule="auto"/>
              <w:jc w:val="left"/>
              <w:rPr>
                <w:color w:val="000000"/>
                <w:szCs w:val="22"/>
              </w:rPr>
            </w:pPr>
            <w:r w:rsidRPr="002D496B">
              <w:rPr>
                <w:color w:val="000000"/>
                <w:sz w:val="22"/>
                <w:szCs w:val="22"/>
              </w:rPr>
              <w:t>Ukazatel věřitelského rizika</w:t>
            </w:r>
          </w:p>
        </w:tc>
        <w:tc>
          <w:tcPr>
            <w:tcW w:w="1140" w:type="dxa"/>
            <w:tcBorders>
              <w:top w:val="nil"/>
              <w:left w:val="nil"/>
              <w:bottom w:val="single" w:sz="4" w:space="0" w:color="auto"/>
              <w:right w:val="single" w:sz="4" w:space="0" w:color="auto"/>
            </w:tcBorders>
            <w:shd w:val="clear" w:color="auto" w:fill="auto"/>
            <w:noWrap/>
            <w:vAlign w:val="center"/>
            <w:hideMark/>
          </w:tcPr>
          <w:p w:rsidR="002D496B" w:rsidRPr="002D496B" w:rsidRDefault="002D496B" w:rsidP="002D496B">
            <w:pPr>
              <w:spacing w:after="0" w:line="240" w:lineRule="auto"/>
              <w:jc w:val="center"/>
              <w:rPr>
                <w:color w:val="000000"/>
                <w:szCs w:val="22"/>
              </w:rPr>
            </w:pPr>
            <w:r w:rsidRPr="002D496B">
              <w:rPr>
                <w:color w:val="000000"/>
                <w:sz w:val="22"/>
                <w:szCs w:val="22"/>
              </w:rPr>
              <w:t>0,68</w:t>
            </w:r>
          </w:p>
        </w:tc>
        <w:tc>
          <w:tcPr>
            <w:tcW w:w="1140" w:type="dxa"/>
            <w:tcBorders>
              <w:top w:val="nil"/>
              <w:left w:val="nil"/>
              <w:bottom w:val="single" w:sz="4" w:space="0" w:color="auto"/>
              <w:right w:val="single" w:sz="4" w:space="0" w:color="auto"/>
            </w:tcBorders>
            <w:shd w:val="clear" w:color="auto" w:fill="auto"/>
            <w:noWrap/>
            <w:vAlign w:val="center"/>
            <w:hideMark/>
          </w:tcPr>
          <w:p w:rsidR="002D496B" w:rsidRPr="002D496B" w:rsidRDefault="002D496B" w:rsidP="002D496B">
            <w:pPr>
              <w:spacing w:after="0" w:line="240" w:lineRule="auto"/>
              <w:jc w:val="center"/>
              <w:rPr>
                <w:color w:val="000000"/>
                <w:szCs w:val="22"/>
              </w:rPr>
            </w:pPr>
            <w:r w:rsidRPr="002D496B">
              <w:rPr>
                <w:color w:val="000000"/>
                <w:sz w:val="22"/>
                <w:szCs w:val="22"/>
              </w:rPr>
              <w:t>0,64</w:t>
            </w:r>
          </w:p>
        </w:tc>
        <w:tc>
          <w:tcPr>
            <w:tcW w:w="1140" w:type="dxa"/>
            <w:tcBorders>
              <w:top w:val="nil"/>
              <w:left w:val="nil"/>
              <w:bottom w:val="single" w:sz="4" w:space="0" w:color="auto"/>
              <w:right w:val="single" w:sz="12" w:space="0" w:color="auto"/>
            </w:tcBorders>
            <w:shd w:val="clear" w:color="auto" w:fill="auto"/>
            <w:noWrap/>
            <w:vAlign w:val="center"/>
            <w:hideMark/>
          </w:tcPr>
          <w:p w:rsidR="002D496B" w:rsidRPr="002D496B" w:rsidRDefault="002D496B" w:rsidP="002D496B">
            <w:pPr>
              <w:spacing w:after="0" w:line="240" w:lineRule="auto"/>
              <w:jc w:val="center"/>
              <w:rPr>
                <w:color w:val="000000"/>
                <w:szCs w:val="22"/>
              </w:rPr>
            </w:pPr>
            <w:r w:rsidRPr="002D496B">
              <w:rPr>
                <w:color w:val="000000"/>
                <w:sz w:val="22"/>
                <w:szCs w:val="22"/>
              </w:rPr>
              <w:t>0,51</w:t>
            </w:r>
          </w:p>
        </w:tc>
      </w:tr>
      <w:tr w:rsidR="002D496B" w:rsidRPr="002D496B" w:rsidTr="002D496B">
        <w:trPr>
          <w:trHeight w:val="342"/>
          <w:jc w:val="center"/>
        </w:trPr>
        <w:tc>
          <w:tcPr>
            <w:tcW w:w="3380" w:type="dxa"/>
            <w:tcBorders>
              <w:top w:val="nil"/>
              <w:left w:val="single" w:sz="12" w:space="0" w:color="auto"/>
              <w:bottom w:val="single" w:sz="12" w:space="0" w:color="auto"/>
              <w:right w:val="single" w:sz="4" w:space="0" w:color="auto"/>
            </w:tcBorders>
            <w:shd w:val="clear" w:color="auto" w:fill="auto"/>
            <w:noWrap/>
            <w:vAlign w:val="center"/>
            <w:hideMark/>
          </w:tcPr>
          <w:p w:rsidR="002D496B" w:rsidRPr="002D496B" w:rsidRDefault="002D496B" w:rsidP="002D496B">
            <w:pPr>
              <w:spacing w:after="0" w:line="240" w:lineRule="auto"/>
              <w:jc w:val="left"/>
              <w:rPr>
                <w:color w:val="000000"/>
                <w:szCs w:val="22"/>
              </w:rPr>
            </w:pPr>
            <w:r w:rsidRPr="002D496B">
              <w:rPr>
                <w:color w:val="000000"/>
                <w:sz w:val="22"/>
                <w:szCs w:val="22"/>
              </w:rPr>
              <w:t>Koeficient samofinancování</w:t>
            </w:r>
          </w:p>
        </w:tc>
        <w:tc>
          <w:tcPr>
            <w:tcW w:w="1140" w:type="dxa"/>
            <w:tcBorders>
              <w:top w:val="nil"/>
              <w:left w:val="nil"/>
              <w:bottom w:val="single" w:sz="12" w:space="0" w:color="auto"/>
              <w:right w:val="single" w:sz="4" w:space="0" w:color="auto"/>
            </w:tcBorders>
            <w:shd w:val="clear" w:color="auto" w:fill="auto"/>
            <w:noWrap/>
            <w:vAlign w:val="center"/>
            <w:hideMark/>
          </w:tcPr>
          <w:p w:rsidR="002D496B" w:rsidRPr="002D496B" w:rsidRDefault="002D496B" w:rsidP="002D496B">
            <w:pPr>
              <w:spacing w:after="0" w:line="240" w:lineRule="auto"/>
              <w:jc w:val="center"/>
              <w:rPr>
                <w:color w:val="000000"/>
                <w:szCs w:val="22"/>
              </w:rPr>
            </w:pPr>
            <w:r w:rsidRPr="002D496B">
              <w:rPr>
                <w:color w:val="000000"/>
                <w:sz w:val="22"/>
                <w:szCs w:val="22"/>
              </w:rPr>
              <w:t>0,32</w:t>
            </w:r>
          </w:p>
        </w:tc>
        <w:tc>
          <w:tcPr>
            <w:tcW w:w="1140" w:type="dxa"/>
            <w:tcBorders>
              <w:top w:val="nil"/>
              <w:left w:val="nil"/>
              <w:bottom w:val="single" w:sz="12" w:space="0" w:color="auto"/>
              <w:right w:val="single" w:sz="4" w:space="0" w:color="auto"/>
            </w:tcBorders>
            <w:shd w:val="clear" w:color="auto" w:fill="auto"/>
            <w:noWrap/>
            <w:vAlign w:val="center"/>
            <w:hideMark/>
          </w:tcPr>
          <w:p w:rsidR="002D496B" w:rsidRPr="002D496B" w:rsidRDefault="002D496B" w:rsidP="002D496B">
            <w:pPr>
              <w:spacing w:after="0" w:line="240" w:lineRule="auto"/>
              <w:jc w:val="center"/>
              <w:rPr>
                <w:color w:val="000000"/>
                <w:szCs w:val="22"/>
              </w:rPr>
            </w:pPr>
            <w:r w:rsidRPr="002D496B">
              <w:rPr>
                <w:color w:val="000000"/>
                <w:sz w:val="22"/>
                <w:szCs w:val="22"/>
              </w:rPr>
              <w:t>0,36</w:t>
            </w:r>
          </w:p>
        </w:tc>
        <w:tc>
          <w:tcPr>
            <w:tcW w:w="1140" w:type="dxa"/>
            <w:tcBorders>
              <w:top w:val="nil"/>
              <w:left w:val="nil"/>
              <w:bottom w:val="single" w:sz="12" w:space="0" w:color="auto"/>
              <w:right w:val="single" w:sz="12" w:space="0" w:color="auto"/>
            </w:tcBorders>
            <w:shd w:val="clear" w:color="auto" w:fill="auto"/>
            <w:noWrap/>
            <w:vAlign w:val="center"/>
            <w:hideMark/>
          </w:tcPr>
          <w:p w:rsidR="002D496B" w:rsidRPr="002D496B" w:rsidRDefault="002D496B" w:rsidP="002D496B">
            <w:pPr>
              <w:spacing w:after="0" w:line="240" w:lineRule="auto"/>
              <w:jc w:val="center"/>
              <w:rPr>
                <w:color w:val="000000"/>
                <w:szCs w:val="22"/>
              </w:rPr>
            </w:pPr>
            <w:r w:rsidRPr="002D496B">
              <w:rPr>
                <w:color w:val="000000"/>
                <w:sz w:val="22"/>
                <w:szCs w:val="22"/>
              </w:rPr>
              <w:t>0,49</w:t>
            </w:r>
          </w:p>
        </w:tc>
      </w:tr>
    </w:tbl>
    <w:p w:rsidR="00306975" w:rsidRDefault="00306975" w:rsidP="00306975">
      <w:pPr>
        <w:pStyle w:val="dajepodtabulkou"/>
        <w:ind w:left="993"/>
      </w:pPr>
      <w:r>
        <w:t>Zdroj: vlastní zpracování</w:t>
      </w:r>
    </w:p>
    <w:p w:rsidR="004D6EC1" w:rsidRDefault="004D6EC1" w:rsidP="002158D0">
      <w:pPr>
        <w:pStyle w:val="Odstavecnormln"/>
      </w:pPr>
      <w:r>
        <w:t>Příklad výpočtu je uveden v</w:t>
      </w:r>
      <w:r w:rsidR="00744BD2">
        <w:t> příloze 16</w:t>
      </w:r>
      <w:r w:rsidR="00405196">
        <w:t xml:space="preserve"> na str. </w:t>
      </w:r>
      <w:r w:rsidR="00405196">
        <w:fldChar w:fldCharType="begin"/>
      </w:r>
      <w:r w:rsidR="00405196">
        <w:instrText xml:space="preserve"> PAGEREF _Ref350448641 \h </w:instrText>
      </w:r>
      <w:r w:rsidR="00405196">
        <w:fldChar w:fldCharType="separate"/>
      </w:r>
      <w:r w:rsidR="002534BA">
        <w:rPr>
          <w:noProof/>
        </w:rPr>
        <w:t>82</w:t>
      </w:r>
      <w:r w:rsidR="00405196">
        <w:fldChar w:fldCharType="end"/>
      </w:r>
      <w:r w:rsidR="00405196">
        <w:t>.</w:t>
      </w:r>
    </w:p>
    <w:p w:rsidR="005E030A" w:rsidRDefault="005E030A" w:rsidP="002158D0">
      <w:pPr>
        <w:pStyle w:val="Odstavecnormln"/>
      </w:pPr>
      <w:r>
        <w:t>Ukazatel věřitelského rizika je ukazatelem celkové zadluženosti</w:t>
      </w:r>
      <w:r w:rsidR="00E17911">
        <w:t>.</w:t>
      </w:r>
      <w:r>
        <w:t xml:space="preserve"> Dle Mrkvičky by měla úroveň ukazatele dosahovat hodnoty 0,50</w:t>
      </w:r>
      <w:r w:rsidR="00405196">
        <w:t xml:space="preserve"> (MRKVIČKA,</w:t>
      </w:r>
      <w:r w:rsidR="0086093B">
        <w:t xml:space="preserve"> KOLÁŘ,</w:t>
      </w:r>
      <w:r w:rsidR="00405196">
        <w:t xml:space="preserve"> 2006, s. 88)</w:t>
      </w:r>
      <w:r>
        <w:t xml:space="preserve">. </w:t>
      </w:r>
      <w:r w:rsidR="00554A5D">
        <w:t xml:space="preserve">Ukazatel věřitelského rizika vykazuje </w:t>
      </w:r>
      <w:r w:rsidR="00377350">
        <w:t>v</w:t>
      </w:r>
      <w:r w:rsidR="002D496B">
        <w:t> celém sledovaném období</w:t>
      </w:r>
      <w:r w:rsidR="00377350">
        <w:t xml:space="preserve"> </w:t>
      </w:r>
      <w:r w:rsidR="00554A5D">
        <w:t xml:space="preserve">celkovou zadluženost společnosti </w:t>
      </w:r>
      <w:r w:rsidR="00377350">
        <w:t xml:space="preserve">okolo </w:t>
      </w:r>
      <w:r w:rsidR="002D496B">
        <w:t>60</w:t>
      </w:r>
      <w:r w:rsidR="00377350">
        <w:t xml:space="preserve"> %. S ohle</w:t>
      </w:r>
      <w:r w:rsidR="007060B3">
        <w:t>dem na ukazatele likvidity (viz</w:t>
      </w:r>
      <w:r w:rsidR="00377350">
        <w:t xml:space="preserve"> </w:t>
      </w:r>
      <w:proofErr w:type="gramStart"/>
      <w:r w:rsidR="00377350">
        <w:t xml:space="preserve">kapitola </w:t>
      </w:r>
      <w:r w:rsidR="00377350">
        <w:fldChar w:fldCharType="begin"/>
      </w:r>
      <w:r w:rsidR="00377350">
        <w:instrText xml:space="preserve"> REF _Ref350448853 \n \h </w:instrText>
      </w:r>
      <w:r w:rsidR="00377350">
        <w:fldChar w:fldCharType="separate"/>
      </w:r>
      <w:r w:rsidR="002534BA">
        <w:t>4.2.2</w:t>
      </w:r>
      <w:proofErr w:type="gramEnd"/>
      <w:r w:rsidR="00377350">
        <w:fldChar w:fldCharType="end"/>
      </w:r>
      <w:r w:rsidR="00554A5D">
        <w:t xml:space="preserve"> </w:t>
      </w:r>
      <w:r w:rsidR="00377350">
        <w:t xml:space="preserve">na str. </w:t>
      </w:r>
      <w:r w:rsidR="00377350">
        <w:fldChar w:fldCharType="begin"/>
      </w:r>
      <w:r w:rsidR="00377350">
        <w:instrText xml:space="preserve"> PAGEREF _Ref350448871 \h </w:instrText>
      </w:r>
      <w:r w:rsidR="00377350">
        <w:fldChar w:fldCharType="separate"/>
      </w:r>
      <w:r w:rsidR="002534BA">
        <w:rPr>
          <w:noProof/>
        </w:rPr>
        <w:t>35</w:t>
      </w:r>
      <w:r w:rsidR="00377350">
        <w:fldChar w:fldCharType="end"/>
      </w:r>
      <w:r w:rsidR="00377350">
        <w:t xml:space="preserve">) lze konstatovat, že je ukazatel věřitelského rizika silně ovlivněn dlouhodobým bankovním úvěrem poskytnutým společnosti Komerční bankou v roce </w:t>
      </w:r>
      <w:r w:rsidR="00CA02A1">
        <w:t>2009</w:t>
      </w:r>
      <w:r w:rsidR="00377350">
        <w:t xml:space="preserve">. Z výkazů rozvah za období 2009 – 2011 je patrné, že je úvěr společností Q – MONT s. r. o. splácen. Lze konstatovat, že hodnoty ukazatele věřitelského rizika jsou </w:t>
      </w:r>
      <w:r w:rsidR="00554A5D">
        <w:t>přijatelné.</w:t>
      </w:r>
    </w:p>
    <w:p w:rsidR="00306975" w:rsidRDefault="00306975" w:rsidP="002158D0">
      <w:pPr>
        <w:pStyle w:val="Odstavecnormln"/>
      </w:pPr>
      <w:r w:rsidRPr="00CD57F4">
        <w:lastRenderedPageBreak/>
        <w:t xml:space="preserve">Koeficient samofinancování je opakem celkové zadluženosti (jejich součet </w:t>
      </w:r>
      <w:r w:rsidR="00CA02A1">
        <w:t>je roven</w:t>
      </w:r>
      <w:r w:rsidR="002D496B">
        <w:t xml:space="preserve"> jedné</w:t>
      </w:r>
      <w:r w:rsidRPr="00CD57F4">
        <w:t xml:space="preserve">). Udává, do jaké míry je firma schopna pokrýt své potřeby z vlastních zdrojů. </w:t>
      </w:r>
      <w:r w:rsidR="004B0962">
        <w:br/>
      </w:r>
      <w:r w:rsidRPr="00CD57F4">
        <w:t>Je vyjádřením finanční stability a samostatnosti firmy.</w:t>
      </w:r>
      <w:r w:rsidR="00B61D0B">
        <w:t xml:space="preserve"> Lze konstatovat, že společnost financuje své potřeby ze 40 % z vlastních zdrojů.</w:t>
      </w:r>
    </w:p>
    <w:p w:rsidR="00435AB8" w:rsidRDefault="004F7161" w:rsidP="00435AB8">
      <w:pPr>
        <w:pStyle w:val="Nadpis3"/>
        <w:spacing w:line="360" w:lineRule="auto"/>
      </w:pPr>
      <w:bookmarkStart w:id="232" w:name="_Toc353126181"/>
      <w:bookmarkStart w:id="233" w:name="_Toc353439373"/>
      <w:r>
        <w:t>SHRNUTÍ</w:t>
      </w:r>
      <w:r w:rsidR="003444ED">
        <w:t xml:space="preserve"> – </w:t>
      </w:r>
      <w:r>
        <w:t>SPOLEČNOST</w:t>
      </w:r>
      <w:r w:rsidR="003444ED">
        <w:t xml:space="preserve"> Q – MONT s. r. o.</w:t>
      </w:r>
      <w:bookmarkEnd w:id="232"/>
      <w:bookmarkEnd w:id="233"/>
    </w:p>
    <w:p w:rsidR="00335DE1" w:rsidRDefault="0015467D" w:rsidP="002158D0">
      <w:pPr>
        <w:pStyle w:val="Odstavecnormln"/>
      </w:pPr>
      <w:r>
        <w:t>Majetek společnosti Q – MONT s. r. o. je v</w:t>
      </w:r>
      <w:r w:rsidR="004F7161">
        <w:t> </w:t>
      </w:r>
      <w:r>
        <w:t xml:space="preserve">období roků 2009 – 2011 tvořen </w:t>
      </w:r>
      <w:r w:rsidR="00335DE1">
        <w:t>stálými aktivy a oběžným majetkem.</w:t>
      </w:r>
    </w:p>
    <w:p w:rsidR="0015467D" w:rsidRDefault="00335DE1" w:rsidP="002158D0">
      <w:pPr>
        <w:pStyle w:val="Odstavecnormln"/>
      </w:pPr>
      <w:r>
        <w:t>V</w:t>
      </w:r>
      <w:r w:rsidR="004F7161">
        <w:t> </w:t>
      </w:r>
      <w:r>
        <w:t>položkách stálých aktiv jsou evidovány samostatné věci movité, které zahrnují</w:t>
      </w:r>
      <w:r w:rsidR="0015467D">
        <w:t xml:space="preserve"> pouze osobní auta</w:t>
      </w:r>
      <w:r>
        <w:t>. Osobní auta byla k</w:t>
      </w:r>
      <w:r w:rsidR="004F7161">
        <w:t> </w:t>
      </w:r>
      <w:r>
        <w:t>31. 12. 2011 účetně i daňově odepsána v</w:t>
      </w:r>
      <w:r w:rsidR="004F7161">
        <w:t> </w:t>
      </w:r>
      <w:r>
        <w:t>plné výši. Společnost je nadále eviduje v</w:t>
      </w:r>
      <w:r w:rsidR="004F7161">
        <w:t> </w:t>
      </w:r>
      <w:r>
        <w:t>majetku s</w:t>
      </w:r>
      <w:r w:rsidR="004F7161">
        <w:t> </w:t>
      </w:r>
      <w:r>
        <w:t>nulovou účetní hodnotou.</w:t>
      </w:r>
    </w:p>
    <w:p w:rsidR="00335DE1" w:rsidRPr="00335DE1" w:rsidRDefault="00335DE1" w:rsidP="002158D0">
      <w:pPr>
        <w:pStyle w:val="Odstavecnormln"/>
      </w:pPr>
      <w:r>
        <w:t xml:space="preserve">Oběžná aktiva společnosti jsou tvořena krátkodobými pohledávkami a krátkodobým finančním majetkem. </w:t>
      </w:r>
      <w:r w:rsidR="000F7841" w:rsidRPr="00335DE1">
        <w:t>Dle § 7 Zákona č. 563/1993 o účetnictví jsou účetní jednotky povinny vést účetnictví tak, aby účetní závěrka sestavená na jeho základě podávala věrný</w:t>
      </w:r>
      <w:r w:rsidR="000F7841" w:rsidRPr="00335DE1">
        <w:rPr>
          <w:rStyle w:val="Znakapoznpodarou"/>
        </w:rPr>
        <w:footnoteReference w:id="22"/>
      </w:r>
      <w:r w:rsidR="000F7841" w:rsidRPr="00335DE1">
        <w:t xml:space="preserve"> a poctivý</w:t>
      </w:r>
      <w:r w:rsidR="000F7841" w:rsidRPr="00335DE1">
        <w:rPr>
          <w:rStyle w:val="Znakapoznpodarou"/>
        </w:rPr>
        <w:footnoteReference w:id="23"/>
      </w:r>
      <w:r w:rsidR="000F7841" w:rsidRPr="00335DE1">
        <w:t xml:space="preserve"> obraz předmětu účetnictví a finanční situace účetní jednotky. </w:t>
      </w:r>
      <w:r w:rsidR="004B0962">
        <w:br/>
      </w:r>
      <w:r w:rsidR="000F7841" w:rsidRPr="00335DE1">
        <w:t>Ve společnosti Q – MONT s. r. o. nebyly v</w:t>
      </w:r>
      <w:r w:rsidR="004F7161">
        <w:t> </w:t>
      </w:r>
      <w:r w:rsidR="000F7841" w:rsidRPr="00335DE1">
        <w:t>celém zkoumaném období provedeny korekce krátkodobých pohledávek z</w:t>
      </w:r>
      <w:r w:rsidR="004F7161">
        <w:t> </w:t>
      </w:r>
      <w:r w:rsidR="000F7841" w:rsidRPr="00335DE1">
        <w:t xml:space="preserve">obchodních vztahů o pohledávky </w:t>
      </w:r>
      <w:r>
        <w:t xml:space="preserve">nedobytné a </w:t>
      </w:r>
      <w:r w:rsidR="000F7841" w:rsidRPr="00335DE1">
        <w:t>promlčené</w:t>
      </w:r>
      <w:r>
        <w:t xml:space="preserve"> (viz</w:t>
      </w:r>
      <w:r w:rsidR="007D1260">
        <w:t xml:space="preserve"> tabulka 14</w:t>
      </w:r>
      <w:r>
        <w:t xml:space="preserve"> na str. </w:t>
      </w:r>
      <w:r>
        <w:fldChar w:fldCharType="begin"/>
      </w:r>
      <w:r>
        <w:instrText xml:space="preserve"> PAGEREF _Ref349667652 \h </w:instrText>
      </w:r>
      <w:r>
        <w:fldChar w:fldCharType="separate"/>
      </w:r>
      <w:r w:rsidR="002534BA">
        <w:rPr>
          <w:noProof/>
        </w:rPr>
        <w:t>34</w:t>
      </w:r>
      <w:r>
        <w:fldChar w:fldCharType="end"/>
      </w:r>
      <w:r>
        <w:t>)</w:t>
      </w:r>
      <w:r w:rsidR="000F7841" w:rsidRPr="00335DE1">
        <w:t>.</w:t>
      </w:r>
      <w:r w:rsidR="0015467D" w:rsidRPr="00335DE1">
        <w:t xml:space="preserve"> Tím byla zkreslena celková výše krátkodobých pohledávek, oběžného majetku i celkových aktiv v</w:t>
      </w:r>
      <w:r w:rsidR="004F7161">
        <w:t> </w:t>
      </w:r>
      <w:r w:rsidR="0015467D" w:rsidRPr="00335DE1">
        <w:t xml:space="preserve">období </w:t>
      </w:r>
      <w:r w:rsidR="008E6ED3">
        <w:t xml:space="preserve">roku </w:t>
      </w:r>
      <w:r w:rsidR="0015467D" w:rsidRPr="00335DE1">
        <w:t xml:space="preserve">2009 </w:t>
      </w:r>
      <w:r w:rsidR="004F7161">
        <w:t>–</w:t>
      </w:r>
      <w:r w:rsidR="0015467D" w:rsidRPr="00335DE1">
        <w:t xml:space="preserve"> 2011. Tento nesoulad zkreslil také položky nákladů ve výkazech zisků a ztrát ve stejném období.</w:t>
      </w:r>
    </w:p>
    <w:p w:rsidR="0015467D" w:rsidRDefault="0015467D" w:rsidP="002158D0">
      <w:pPr>
        <w:pStyle w:val="Odstavecnormln"/>
      </w:pPr>
      <w:r>
        <w:t>Na základě zji</w:t>
      </w:r>
      <w:r w:rsidR="007060B3">
        <w:t>štěných ukazatelů likvidit (viz</w:t>
      </w:r>
      <w:r>
        <w:t xml:space="preserve"> </w:t>
      </w:r>
      <w:proofErr w:type="gramStart"/>
      <w:r>
        <w:t xml:space="preserve">kapitola </w:t>
      </w:r>
      <w:r>
        <w:fldChar w:fldCharType="begin"/>
      </w:r>
      <w:r>
        <w:instrText xml:space="preserve"> REF _Ref350536691 \r \h </w:instrText>
      </w:r>
      <w:r>
        <w:fldChar w:fldCharType="separate"/>
      </w:r>
      <w:r w:rsidR="002534BA">
        <w:t>4.2.2</w:t>
      </w:r>
      <w:proofErr w:type="gramEnd"/>
      <w:r>
        <w:fldChar w:fldCharType="end"/>
      </w:r>
      <w:r>
        <w:t xml:space="preserve"> na str. </w:t>
      </w:r>
      <w:r>
        <w:fldChar w:fldCharType="begin"/>
      </w:r>
      <w:r>
        <w:instrText xml:space="preserve"> PAGEREF _Ref350536707 \h </w:instrText>
      </w:r>
      <w:r>
        <w:fldChar w:fldCharType="separate"/>
      </w:r>
      <w:r w:rsidR="002534BA">
        <w:rPr>
          <w:noProof/>
        </w:rPr>
        <w:t>35</w:t>
      </w:r>
      <w:r>
        <w:fldChar w:fldCharType="end"/>
      </w:r>
      <w:r>
        <w:t>), lze konstatovat, že společnost měla v</w:t>
      </w:r>
      <w:r w:rsidR="004F7161">
        <w:t> </w:t>
      </w:r>
      <w:r>
        <w:t>celém sledovaném období dostatek prostředků k</w:t>
      </w:r>
      <w:r w:rsidR="004F7161">
        <w:t> </w:t>
      </w:r>
      <w:r>
        <w:t>úhradě krátkodobých závazků. Na základě doby o</w:t>
      </w:r>
      <w:r w:rsidR="007060B3">
        <w:t>bratu pohledávek a závazků (viz</w:t>
      </w:r>
      <w:r>
        <w:t xml:space="preserve"> </w:t>
      </w:r>
      <w:proofErr w:type="gramStart"/>
      <w:r>
        <w:t xml:space="preserve">kapitola </w:t>
      </w:r>
      <w:r>
        <w:fldChar w:fldCharType="begin"/>
      </w:r>
      <w:r>
        <w:instrText xml:space="preserve"> REF _Ref350536830 \n \h </w:instrText>
      </w:r>
      <w:r>
        <w:fldChar w:fldCharType="separate"/>
      </w:r>
      <w:r w:rsidR="002534BA">
        <w:t>4.2.3</w:t>
      </w:r>
      <w:proofErr w:type="gramEnd"/>
      <w:r>
        <w:fldChar w:fldCharType="end"/>
      </w:r>
      <w:r>
        <w:t xml:space="preserve"> na str. </w:t>
      </w:r>
      <w:r>
        <w:fldChar w:fldCharType="begin"/>
      </w:r>
      <w:r>
        <w:instrText xml:space="preserve"> PAGEREF _Ref350536843 \h </w:instrText>
      </w:r>
      <w:r>
        <w:fldChar w:fldCharType="separate"/>
      </w:r>
      <w:r w:rsidR="002534BA">
        <w:rPr>
          <w:noProof/>
        </w:rPr>
        <w:t>39</w:t>
      </w:r>
      <w:r>
        <w:fldChar w:fldCharType="end"/>
      </w:r>
      <w:r>
        <w:t>) lze konstatovat, že platební morálka společnosti byla ve sledovaném období velmi dobrá.</w:t>
      </w:r>
    </w:p>
    <w:p w:rsidR="00B64EF9" w:rsidRDefault="00335DE1" w:rsidP="002158D0">
      <w:pPr>
        <w:pStyle w:val="Odstavecnormln"/>
      </w:pPr>
      <w:r>
        <w:lastRenderedPageBreak/>
        <w:t>Celková zadluženost společnosti vykazuje vyšší hodnoty. Ukazatel věřitelského rizik</w:t>
      </w:r>
      <w:r w:rsidR="00EF370A">
        <w:t>a je silně ovlivněn dlouhodobým provozním bankovním úvěrem.</w:t>
      </w:r>
      <w:r>
        <w:t xml:space="preserve"> Přesto lze konstatovat, že je ukazatel věřitelskéh</w:t>
      </w:r>
      <w:r w:rsidR="00B64EF9">
        <w:t>o rizika přijatelný, neboť úvěr</w:t>
      </w:r>
      <w:r>
        <w:t xml:space="preserve"> </w:t>
      </w:r>
      <w:r w:rsidR="00B64EF9">
        <w:t>je společností splácen</w:t>
      </w:r>
      <w:r>
        <w:t xml:space="preserve"> a </w:t>
      </w:r>
      <w:r w:rsidR="00B64EF9">
        <w:t>je dodržován splátkový kalendář</w:t>
      </w:r>
      <w:r>
        <w:t xml:space="preserve">. Krátkodobé závazky jsou hrazeny bez problémů </w:t>
      </w:r>
      <w:r w:rsidR="004B0962">
        <w:br/>
      </w:r>
      <w:r>
        <w:t xml:space="preserve">(viz </w:t>
      </w:r>
      <w:proofErr w:type="gramStart"/>
      <w:r>
        <w:t xml:space="preserve">kapitola </w:t>
      </w:r>
      <w:r>
        <w:fldChar w:fldCharType="begin"/>
      </w:r>
      <w:r>
        <w:instrText xml:space="preserve"> REF _Ref350537578 \n \h </w:instrText>
      </w:r>
      <w:r>
        <w:fldChar w:fldCharType="separate"/>
      </w:r>
      <w:r w:rsidR="002534BA">
        <w:t>4.2.3</w:t>
      </w:r>
      <w:proofErr w:type="gramEnd"/>
      <w:r>
        <w:fldChar w:fldCharType="end"/>
      </w:r>
      <w:r>
        <w:t xml:space="preserve"> na str. </w:t>
      </w:r>
      <w:r w:rsidR="0054257D">
        <w:fldChar w:fldCharType="begin"/>
      </w:r>
      <w:r w:rsidR="0054257D">
        <w:instrText xml:space="preserve"> PAGEREF _Ref353440376 \h </w:instrText>
      </w:r>
      <w:r w:rsidR="0054257D">
        <w:fldChar w:fldCharType="separate"/>
      </w:r>
      <w:r w:rsidR="002534BA">
        <w:rPr>
          <w:noProof/>
        </w:rPr>
        <w:t>39</w:t>
      </w:r>
      <w:r w:rsidR="0054257D">
        <w:fldChar w:fldCharType="end"/>
      </w:r>
      <w:r>
        <w:t>).</w:t>
      </w:r>
    </w:p>
    <w:p w:rsidR="00034093" w:rsidRDefault="00034093" w:rsidP="000F7841">
      <w:pPr>
        <w:pStyle w:val="dajenadtabulkouazdroj"/>
        <w:rPr>
          <w:i w:val="0"/>
        </w:rPr>
      </w:pPr>
    </w:p>
    <w:p w:rsidR="00034093" w:rsidRDefault="00034093" w:rsidP="002158D0">
      <w:pPr>
        <w:pStyle w:val="Odstavecnormln"/>
      </w:pPr>
      <w:r>
        <w:t>Další kapitola je zaměřena na porovnání majetkové struktury společnosti KOVOVÝROBA s. r. o. a společnosti Q – MONT s. r. o.</w:t>
      </w:r>
    </w:p>
    <w:p w:rsidR="00534B12" w:rsidRDefault="00534B12">
      <w:pPr>
        <w:spacing w:after="200" w:line="276" w:lineRule="auto"/>
        <w:jc w:val="left"/>
        <w:rPr>
          <w:szCs w:val="24"/>
        </w:rPr>
      </w:pPr>
      <w:r>
        <w:rPr>
          <w:szCs w:val="24"/>
        </w:rPr>
        <w:br w:type="page"/>
      </w:r>
    </w:p>
    <w:p w:rsidR="00A764E2" w:rsidRDefault="00A764E2" w:rsidP="00A764E2">
      <w:pPr>
        <w:pStyle w:val="Nadpis2"/>
      </w:pPr>
      <w:bookmarkStart w:id="234" w:name="_Toc353126182"/>
      <w:bookmarkStart w:id="235" w:name="_Toc353439374"/>
      <w:bookmarkStart w:id="236" w:name="_Toc339528933"/>
      <w:bookmarkStart w:id="237" w:name="_Toc347167039"/>
      <w:r>
        <w:lastRenderedPageBreak/>
        <w:t>KOMPARACE MAJETKOVÉ STRUKTURY SPOLEČNOSTI KOVOVÝROBA s. r. o. a Q – MONT s. r. o.</w:t>
      </w:r>
      <w:bookmarkEnd w:id="234"/>
      <w:bookmarkEnd w:id="235"/>
    </w:p>
    <w:p w:rsidR="00A764E2" w:rsidRDefault="009152E2" w:rsidP="002158D0">
      <w:pPr>
        <w:pStyle w:val="Odstavecnormln"/>
      </w:pPr>
      <w:r>
        <w:t>Rozbor struktury společnosti KOVOVÝROBA s. r. o. a Q – MONT s. r. o. je podrobně proveden v</w:t>
      </w:r>
      <w:r w:rsidR="004F7161">
        <w:t> </w:t>
      </w:r>
      <w:proofErr w:type="gramStart"/>
      <w:r>
        <w:t xml:space="preserve">kapitole </w:t>
      </w:r>
      <w:r>
        <w:fldChar w:fldCharType="begin"/>
      </w:r>
      <w:r>
        <w:instrText xml:space="preserve"> REF _Ref351917812 \r \h </w:instrText>
      </w:r>
      <w:r>
        <w:fldChar w:fldCharType="separate"/>
      </w:r>
      <w:r w:rsidR="002534BA">
        <w:t>4.1.1</w:t>
      </w:r>
      <w:proofErr w:type="gramEnd"/>
      <w:r>
        <w:fldChar w:fldCharType="end"/>
      </w:r>
      <w:r>
        <w:t xml:space="preserve"> na str. </w:t>
      </w:r>
      <w:r>
        <w:fldChar w:fldCharType="begin"/>
      </w:r>
      <w:r>
        <w:instrText xml:space="preserve"> PAGEREF _Ref351917830 \h </w:instrText>
      </w:r>
      <w:r>
        <w:fldChar w:fldCharType="separate"/>
      </w:r>
      <w:r w:rsidR="002534BA">
        <w:rPr>
          <w:noProof/>
        </w:rPr>
        <w:t>20</w:t>
      </w:r>
      <w:r>
        <w:fldChar w:fldCharType="end"/>
      </w:r>
      <w:r>
        <w:t xml:space="preserve"> a v</w:t>
      </w:r>
      <w:r w:rsidR="004F7161">
        <w:t> </w:t>
      </w:r>
      <w:r>
        <w:t xml:space="preserve">kapitole </w:t>
      </w:r>
      <w:r>
        <w:fldChar w:fldCharType="begin"/>
      </w:r>
      <w:r>
        <w:instrText xml:space="preserve"> REF _Ref350700376 \r \h </w:instrText>
      </w:r>
      <w:r>
        <w:fldChar w:fldCharType="separate"/>
      </w:r>
      <w:r w:rsidR="002534BA">
        <w:t>4.2.1</w:t>
      </w:r>
      <w:r>
        <w:fldChar w:fldCharType="end"/>
      </w:r>
      <w:r>
        <w:t xml:space="preserve"> na str. </w:t>
      </w:r>
      <w:r>
        <w:fldChar w:fldCharType="begin"/>
      </w:r>
      <w:r>
        <w:instrText xml:space="preserve"> PAGEREF _Ref350700376 \h </w:instrText>
      </w:r>
      <w:r>
        <w:fldChar w:fldCharType="separate"/>
      </w:r>
      <w:r w:rsidR="002534BA">
        <w:rPr>
          <w:noProof/>
        </w:rPr>
        <w:t>32</w:t>
      </w:r>
      <w:r>
        <w:fldChar w:fldCharType="end"/>
      </w:r>
      <w:r>
        <w:t xml:space="preserve">. </w:t>
      </w:r>
      <w:bookmarkEnd w:id="236"/>
      <w:bookmarkEnd w:id="237"/>
      <w:r>
        <w:t>Pro porovnání struktury majetku obou společností je níže doplněno grafické znázornění, které zachycuje rozložení aktiv obou společností</w:t>
      </w:r>
      <w:r w:rsidR="002D4B1D">
        <w:t xml:space="preserve"> v</w:t>
      </w:r>
      <w:r w:rsidR="004F7161">
        <w:t> </w:t>
      </w:r>
      <w:r w:rsidR="002D4B1D">
        <w:t>období roku 2009 – 2011.</w:t>
      </w:r>
    </w:p>
    <w:p w:rsidR="003A68D6" w:rsidRDefault="00D20C0E" w:rsidP="00D20C0E">
      <w:pPr>
        <w:pStyle w:val="Titulek"/>
      </w:pPr>
      <w:bookmarkStart w:id="238" w:name="_Toc351999918"/>
      <w:bookmarkStart w:id="239" w:name="_Ref353118764"/>
      <w:r>
        <w:t xml:space="preserve">Obrázek </w:t>
      </w:r>
      <w:r w:rsidR="00C96C2B">
        <w:fldChar w:fldCharType="begin"/>
      </w:r>
      <w:r w:rsidR="00C96C2B">
        <w:instrText xml:space="preserve"> SEQ Obrázek \* A</w:instrText>
      </w:r>
      <w:r w:rsidR="00C96C2B">
        <w:instrText xml:space="preserve">RABIC </w:instrText>
      </w:r>
      <w:r w:rsidR="00C96C2B">
        <w:fldChar w:fldCharType="separate"/>
      </w:r>
      <w:r w:rsidR="002534BA">
        <w:rPr>
          <w:noProof/>
        </w:rPr>
        <w:t>2</w:t>
      </w:r>
      <w:r w:rsidR="00C96C2B">
        <w:rPr>
          <w:noProof/>
        </w:rPr>
        <w:fldChar w:fldCharType="end"/>
      </w:r>
      <w:r>
        <w:t xml:space="preserve"> Komparace struktury aktiv společnosti KOVOVÝROBA s. r. o. a </w:t>
      </w:r>
      <w:r w:rsidR="00034093">
        <w:t xml:space="preserve">společnosti </w:t>
      </w:r>
      <w:r w:rsidR="00034093">
        <w:br/>
      </w:r>
      <w:r>
        <w:t>Q – MONT s. r. o.</w:t>
      </w:r>
      <w:bookmarkEnd w:id="238"/>
      <w:bookmarkEnd w:id="239"/>
    </w:p>
    <w:p w:rsidR="00534B12" w:rsidRDefault="000B2176" w:rsidP="000B2176">
      <w:pPr>
        <w:jc w:val="center"/>
        <w:rPr>
          <w:bCs/>
        </w:rPr>
      </w:pPr>
      <w:r>
        <w:rPr>
          <w:noProof/>
        </w:rPr>
        <w:drawing>
          <wp:inline distT="0" distB="0" distL="0" distR="0" wp14:anchorId="5EBFC046" wp14:editId="7D40304B">
            <wp:extent cx="5400040" cy="3057688"/>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20C0E" w:rsidRDefault="00D20C0E" w:rsidP="00D20C0E">
      <w:pPr>
        <w:pStyle w:val="dajepodtabulkou"/>
        <w:ind w:left="0"/>
      </w:pPr>
      <w:r>
        <w:t>Zdroj: vlastní zpracování</w:t>
      </w:r>
    </w:p>
    <w:p w:rsidR="00842F2D" w:rsidRDefault="00842F2D" w:rsidP="002158D0">
      <w:pPr>
        <w:pStyle w:val="Odstavecnormln"/>
      </w:pPr>
      <w:r>
        <w:t>Z</w:t>
      </w:r>
      <w:r w:rsidR="004F7161">
        <w:t> </w:t>
      </w:r>
      <w:r>
        <w:t xml:space="preserve">obrázku je patrné, že </w:t>
      </w:r>
      <w:r w:rsidR="0093577B">
        <w:t xml:space="preserve">aktiva </w:t>
      </w:r>
      <w:r>
        <w:t>společnost</w:t>
      </w:r>
      <w:r w:rsidR="0093577B">
        <w:t xml:space="preserve"> KOVOVÝROBA s. r. o. stejně </w:t>
      </w:r>
      <w:r w:rsidR="009548C7">
        <w:t xml:space="preserve">tak </w:t>
      </w:r>
      <w:r w:rsidR="0093577B">
        <w:t xml:space="preserve">i aktiva společnosti Q </w:t>
      </w:r>
      <w:r w:rsidR="004F7161">
        <w:t>–</w:t>
      </w:r>
      <w:r w:rsidR="0093577B">
        <w:t xml:space="preserve"> MONT s. r. o. jsou z</w:t>
      </w:r>
      <w:r w:rsidR="004F7161">
        <w:t> </w:t>
      </w:r>
      <w:r w:rsidR="0093577B">
        <w:t>převážné části tvořena krátkodobými pohledávkami. Dlouhodobý majetek tvoří v</w:t>
      </w:r>
      <w:r w:rsidR="004F7161">
        <w:t> </w:t>
      </w:r>
      <w:r w:rsidR="0093577B">
        <w:t>obou společnostech nepatrnou část. Lze konstatovat, že společnosti Q – MONT s. r. o.</w:t>
      </w:r>
      <w:r w:rsidR="009548C7">
        <w:t xml:space="preserve"> disponovala v</w:t>
      </w:r>
      <w:r w:rsidR="004F7161">
        <w:t> </w:t>
      </w:r>
      <w:r w:rsidR="009548C7">
        <w:t xml:space="preserve">období roku 2009 </w:t>
      </w:r>
      <w:r w:rsidR="004F7161">
        <w:t>–</w:t>
      </w:r>
      <w:r w:rsidR="009548C7">
        <w:t xml:space="preserve"> 2011</w:t>
      </w:r>
      <w:r w:rsidR="0093577B">
        <w:t xml:space="preserve"> mnohem vyšším krátkodobým finančním majetkem než společnost </w:t>
      </w:r>
      <w:r w:rsidR="009548C7">
        <w:br/>
      </w:r>
      <w:r w:rsidR="0093577B">
        <w:t>KOVOVÝROBA s. r. o.</w:t>
      </w:r>
      <w:r w:rsidR="009548C7">
        <w:t xml:space="preserve"> Dále je z</w:t>
      </w:r>
      <w:r w:rsidR="004F7161">
        <w:t> </w:t>
      </w:r>
      <w:r w:rsidR="009548C7">
        <w:t xml:space="preserve">obrázku patrné, že společnost Q – MONT s. r. o. </w:t>
      </w:r>
      <w:r w:rsidR="00034093">
        <w:t>nepotřebovala k</w:t>
      </w:r>
      <w:r w:rsidR="004F7161">
        <w:t> </w:t>
      </w:r>
      <w:r w:rsidR="00034093">
        <w:t>uskutečňování</w:t>
      </w:r>
      <w:r w:rsidR="009548C7">
        <w:t xml:space="preserve"> </w:t>
      </w:r>
      <w:r w:rsidR="00034093">
        <w:t>své</w:t>
      </w:r>
      <w:r w:rsidR="009548C7">
        <w:t xml:space="preserve"> </w:t>
      </w:r>
      <w:r w:rsidR="00034093">
        <w:t>ekonomické</w:t>
      </w:r>
      <w:r w:rsidR="009548C7">
        <w:t xml:space="preserve"> činnost</w:t>
      </w:r>
      <w:r w:rsidR="00034093">
        <w:t>i</w:t>
      </w:r>
      <w:r w:rsidR="009548C7">
        <w:t xml:space="preserve"> v</w:t>
      </w:r>
      <w:r w:rsidR="004F7161">
        <w:t> </w:t>
      </w:r>
      <w:r w:rsidR="009548C7">
        <w:t xml:space="preserve">celém sledovaném období </w:t>
      </w:r>
      <w:r w:rsidR="009548C7">
        <w:lastRenderedPageBreak/>
        <w:t>žádné zásoby</w:t>
      </w:r>
      <w:r w:rsidR="00DC42D5">
        <w:t xml:space="preserve"> na </w:t>
      </w:r>
      <w:r w:rsidR="004403C7">
        <w:t>rozdíl od společnosti KOVOVÝROBA s. r. o., kde zásoby tvoří značnou část aktiv v</w:t>
      </w:r>
      <w:r w:rsidR="004F7161">
        <w:t> </w:t>
      </w:r>
      <w:r w:rsidR="004403C7">
        <w:t>roce 2010.</w:t>
      </w:r>
    </w:p>
    <w:p w:rsidR="00857541" w:rsidRDefault="00857541" w:rsidP="002158D0">
      <w:pPr>
        <w:pStyle w:val="Odstavecnormln"/>
      </w:pPr>
      <w:r>
        <w:t>Další obrázek zachycuje jaká je v</w:t>
      </w:r>
      <w:r w:rsidR="004F7161">
        <w:t> </w:t>
      </w:r>
      <w:r>
        <w:t>obou společnostech výše celkových aktiv a v</w:t>
      </w:r>
      <w:r w:rsidR="004F7161">
        <w:t> </w:t>
      </w:r>
      <w:r>
        <w:t>jaké míře jsou celkovými aktivy kryty cizí zdroje.</w:t>
      </w:r>
    </w:p>
    <w:p w:rsidR="00857541" w:rsidRDefault="00857541" w:rsidP="00857541">
      <w:pPr>
        <w:pStyle w:val="Titulek"/>
      </w:pPr>
      <w:bookmarkStart w:id="240" w:name="_Toc351999919"/>
      <w:bookmarkStart w:id="241" w:name="_Ref353119229"/>
      <w:r>
        <w:t xml:space="preserve">Obrázek </w:t>
      </w:r>
      <w:r w:rsidR="00C96C2B">
        <w:fldChar w:fldCharType="begin"/>
      </w:r>
      <w:r w:rsidR="00C96C2B">
        <w:instrText xml:space="preserve"> SEQ Obrázek \* ARABIC </w:instrText>
      </w:r>
      <w:r w:rsidR="00C96C2B">
        <w:fldChar w:fldCharType="separate"/>
      </w:r>
      <w:r w:rsidR="002534BA">
        <w:rPr>
          <w:noProof/>
        </w:rPr>
        <w:t>3</w:t>
      </w:r>
      <w:r w:rsidR="00C96C2B">
        <w:rPr>
          <w:noProof/>
        </w:rPr>
        <w:fldChar w:fldCharType="end"/>
      </w:r>
      <w:r>
        <w:t xml:space="preserve"> Komparace celkových aktiv a cizích zdrojů společnosti KOVOVÝROBA s. r. o. a </w:t>
      </w:r>
      <w:r w:rsidR="00034093">
        <w:t xml:space="preserve">společnosti </w:t>
      </w:r>
      <w:r>
        <w:t>Q – MONT s. r. o.</w:t>
      </w:r>
      <w:bookmarkEnd w:id="240"/>
      <w:bookmarkEnd w:id="241"/>
    </w:p>
    <w:p w:rsidR="00857541" w:rsidRDefault="00857541" w:rsidP="00842F2D">
      <w:r>
        <w:rPr>
          <w:noProof/>
        </w:rPr>
        <w:drawing>
          <wp:inline distT="0" distB="0" distL="0" distR="0" wp14:anchorId="2289988C" wp14:editId="13ADEA89">
            <wp:extent cx="5397689" cy="2866030"/>
            <wp:effectExtent l="0" t="0" r="12700" b="1079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24DA" w:rsidRDefault="009224DA" w:rsidP="009224DA">
      <w:pPr>
        <w:pStyle w:val="dajepodtabulkou"/>
        <w:ind w:left="0"/>
      </w:pPr>
      <w:r>
        <w:t>Zdroj: vlastní zpracování</w:t>
      </w:r>
    </w:p>
    <w:p w:rsidR="00857541" w:rsidRDefault="00857541" w:rsidP="002158D0">
      <w:pPr>
        <w:pStyle w:val="Odstavecnormln"/>
      </w:pPr>
      <w:r>
        <w:t>Z</w:t>
      </w:r>
      <w:r w:rsidR="004F7161">
        <w:t> </w:t>
      </w:r>
      <w:r>
        <w:t xml:space="preserve">obrázku je patrné, že </w:t>
      </w:r>
      <w:r w:rsidR="00CE5E10">
        <w:t xml:space="preserve">u </w:t>
      </w:r>
      <w:r>
        <w:t>společnost</w:t>
      </w:r>
      <w:r w:rsidR="00CE5E10">
        <w:t>i</w:t>
      </w:r>
      <w:r>
        <w:t xml:space="preserve"> KOVOVÝROBA s. r. o. v</w:t>
      </w:r>
      <w:r w:rsidR="004F7161">
        <w:t> </w:t>
      </w:r>
      <w:r>
        <w:t xml:space="preserve">období roku </w:t>
      </w:r>
      <w:r w:rsidR="00034093">
        <w:br/>
      </w:r>
      <w:r>
        <w:t xml:space="preserve">2010 – 2011 </w:t>
      </w:r>
      <w:r w:rsidR="00CE5E10">
        <w:t>nejsou</w:t>
      </w:r>
      <w:r>
        <w:t xml:space="preserve"> celkové cizí zdroje </w:t>
      </w:r>
      <w:r w:rsidR="00CE5E10">
        <w:t>kryty celkovými</w:t>
      </w:r>
      <w:r>
        <w:t xml:space="preserve"> aktiv</w:t>
      </w:r>
      <w:r w:rsidR="00CE5E10">
        <w:t>y</w:t>
      </w:r>
      <w:r>
        <w:t xml:space="preserve">. U společnosti </w:t>
      </w:r>
      <w:r>
        <w:br/>
        <w:t>Q – MONT s. r. o. jsou v</w:t>
      </w:r>
      <w:r w:rsidR="004F7161">
        <w:t> </w:t>
      </w:r>
      <w:r>
        <w:t xml:space="preserve">celém sledovaném období cizí zdroje </w:t>
      </w:r>
      <w:r w:rsidR="00034093">
        <w:t xml:space="preserve">dostatečně </w:t>
      </w:r>
      <w:r>
        <w:t>kryty celkovými aktivy společnosti.</w:t>
      </w:r>
    </w:p>
    <w:p w:rsidR="004D7B40" w:rsidRPr="004D7B40" w:rsidRDefault="000A4879" w:rsidP="002158D0">
      <w:pPr>
        <w:pStyle w:val="Odstavecnormln"/>
      </w:pPr>
      <w:r>
        <w:t>Pro úplnost je níže doplněn obráze</w:t>
      </w:r>
      <w:r w:rsidR="000D6C40">
        <w:t>k rentability celkových aktiv.</w:t>
      </w:r>
      <w:r w:rsidR="004D7B40">
        <w:t xml:space="preserve"> </w:t>
      </w:r>
      <w:r w:rsidR="004D7B40" w:rsidRPr="004D7B40">
        <w:t xml:space="preserve">Ukazatel rentability aktiv je dle Mrkvičky dán poměrem zisku před zdaněním a celkovými aktivy </w:t>
      </w:r>
      <w:r w:rsidR="00034093">
        <w:br/>
      </w:r>
      <w:r w:rsidR="004D7B40" w:rsidRPr="004D7B40">
        <w:t xml:space="preserve">a vyjadřuje </w:t>
      </w:r>
      <w:r w:rsidR="004D7B40">
        <w:t>výnosnost aktiv (MRKVIČKA, KOLÁŘ, 2006,</w:t>
      </w:r>
      <w:r w:rsidR="0063356E">
        <w:t xml:space="preserve"> </w:t>
      </w:r>
      <w:r w:rsidR="004D7B40">
        <w:t>s. 84).</w:t>
      </w:r>
    </w:p>
    <w:p w:rsidR="000A4879" w:rsidRDefault="000A4879" w:rsidP="002158D0">
      <w:pPr>
        <w:pStyle w:val="Odstavecnormln"/>
      </w:pPr>
    </w:p>
    <w:p w:rsidR="00337DD2" w:rsidRDefault="00337DD2" w:rsidP="00337DD2">
      <w:pPr>
        <w:pStyle w:val="Titulek"/>
      </w:pPr>
      <w:bookmarkStart w:id="242" w:name="_Toc351999920"/>
      <w:r>
        <w:lastRenderedPageBreak/>
        <w:t xml:space="preserve">Obrázek </w:t>
      </w:r>
      <w:r w:rsidR="00C96C2B">
        <w:fldChar w:fldCharType="begin"/>
      </w:r>
      <w:r w:rsidR="00C96C2B">
        <w:instrText xml:space="preserve"> SEQ Obrázek \* ARABIC </w:instrText>
      </w:r>
      <w:r w:rsidR="00C96C2B">
        <w:fldChar w:fldCharType="separate"/>
      </w:r>
      <w:r w:rsidR="002534BA">
        <w:rPr>
          <w:noProof/>
        </w:rPr>
        <w:t>4</w:t>
      </w:r>
      <w:r w:rsidR="00C96C2B">
        <w:rPr>
          <w:noProof/>
        </w:rPr>
        <w:fldChar w:fldCharType="end"/>
      </w:r>
      <w:r>
        <w:t xml:space="preserve"> Rentabilita </w:t>
      </w:r>
      <w:r w:rsidR="00034093">
        <w:t xml:space="preserve">celkových </w:t>
      </w:r>
      <w:r>
        <w:t xml:space="preserve">aktiv společnosti KOVOVÝROBA s. r. o. a společnosti </w:t>
      </w:r>
      <w:r>
        <w:br/>
        <w:t>Q – MONT s. r. o.</w:t>
      </w:r>
      <w:bookmarkEnd w:id="242"/>
    </w:p>
    <w:p w:rsidR="00337DD2" w:rsidRDefault="00337DD2" w:rsidP="00842F2D">
      <w:r>
        <w:rPr>
          <w:noProof/>
        </w:rPr>
        <w:drawing>
          <wp:inline distT="0" distB="0" distL="0" distR="0" wp14:anchorId="120B3BAD" wp14:editId="53FD0E46">
            <wp:extent cx="5397689" cy="3050275"/>
            <wp:effectExtent l="0" t="0" r="12700" b="1714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32B60" w:rsidRDefault="00832B60" w:rsidP="00832B60">
      <w:pPr>
        <w:pStyle w:val="dajepodtabulkou"/>
        <w:ind w:left="0"/>
      </w:pPr>
      <w:r>
        <w:t>Zdroj: vlastní zpracování</w:t>
      </w:r>
    </w:p>
    <w:p w:rsidR="00034093" w:rsidRDefault="0063356E" w:rsidP="002158D0">
      <w:pPr>
        <w:pStyle w:val="Odstavecnormln"/>
      </w:pPr>
      <w:r>
        <w:t>Z</w:t>
      </w:r>
      <w:r w:rsidR="004F7161">
        <w:t> </w:t>
      </w:r>
      <w:r>
        <w:t>o</w:t>
      </w:r>
      <w:r w:rsidR="00034093">
        <w:t>brázku je patrné, ž</w:t>
      </w:r>
      <w:bookmarkStart w:id="243" w:name="_GoBack"/>
      <w:bookmarkEnd w:id="243"/>
      <w:r w:rsidR="00034093">
        <w:t>e rentabilita</w:t>
      </w:r>
      <w:r>
        <w:t xml:space="preserve"> (výnosnost) celkových aktiv společnosti KOVOVÝROBA s. r. o. vykazuje záporné hodnoty (důvodem takových hodnot je skutečnost, že společnost v</w:t>
      </w:r>
      <w:r w:rsidR="004F7161">
        <w:t> </w:t>
      </w:r>
      <w:r>
        <w:t>období roku 2009 – 2011 hospodaří se ztrátou. Rentabilita celkových aktiv společnosti Q</w:t>
      </w:r>
      <w:r w:rsidR="00034093">
        <w:t xml:space="preserve"> </w:t>
      </w:r>
      <w:r w:rsidR="004F7161">
        <w:t>–</w:t>
      </w:r>
      <w:r w:rsidR="00034093">
        <w:t xml:space="preserve"> </w:t>
      </w:r>
      <w:r>
        <w:t>MONT s. r. o. se pohybuje v</w:t>
      </w:r>
      <w:r w:rsidR="004F7161">
        <w:t> </w:t>
      </w:r>
      <w:r>
        <w:t>kladných hodnotách. Výjimkou je rok 201</w:t>
      </w:r>
      <w:r w:rsidR="00C61A65">
        <w:t>0, kdy společnost hospodařila s mírnou</w:t>
      </w:r>
      <w:r>
        <w:t xml:space="preserve"> ztrátou.</w:t>
      </w:r>
    </w:p>
    <w:p w:rsidR="007E5C50" w:rsidRPr="004F7161" w:rsidRDefault="007E5C50" w:rsidP="00C31022">
      <w:pPr>
        <w:spacing w:after="120"/>
        <w:rPr>
          <w:b/>
        </w:rPr>
      </w:pPr>
      <w:r w:rsidRPr="004F7161">
        <w:rPr>
          <w:b/>
        </w:rPr>
        <w:t>SHRNUTÍ</w:t>
      </w:r>
    </w:p>
    <w:p w:rsidR="001141EC" w:rsidRDefault="004F7161" w:rsidP="002158D0">
      <w:pPr>
        <w:pStyle w:val="Odstavecnormln"/>
      </w:pPr>
      <w:r>
        <w:t xml:space="preserve">Závěrem lze konstatovat, že majetková struktura společnosti KOVOVÝROBA s. r. o. </w:t>
      </w:r>
      <w:r>
        <w:br/>
        <w:t>a společnosti Q – MONT s. r. o. je podobná a srovnatelná, neboť obě společnosti provozují činnost kovovýroby a zámečnictví.</w:t>
      </w:r>
      <w:r w:rsidR="00044355">
        <w:t xml:space="preserve"> Jejich ekonomická činnost spočívá především v zajištění služeb bez větších materiálových zásob. Výjimkou je pouze rok 2010, kde společnost KOVOVÝROBA s. r. o. vykazuje vysoký podíl zásob</w:t>
      </w:r>
      <w:r w:rsidR="00354C92">
        <w:t xml:space="preserve"> </w:t>
      </w:r>
      <w:r w:rsidR="001141EC">
        <w:br/>
      </w:r>
      <w:r w:rsidR="00354C92">
        <w:t xml:space="preserve">(viz obrázek 2 na str. </w:t>
      </w:r>
      <w:r w:rsidR="00354C92">
        <w:fldChar w:fldCharType="begin"/>
      </w:r>
      <w:r w:rsidR="00354C92">
        <w:instrText xml:space="preserve"> PAGEREF _Ref353118764 \h </w:instrText>
      </w:r>
      <w:r w:rsidR="00354C92">
        <w:fldChar w:fldCharType="separate"/>
      </w:r>
      <w:r w:rsidR="002534BA">
        <w:rPr>
          <w:noProof/>
        </w:rPr>
        <w:t>44</w:t>
      </w:r>
      <w:r w:rsidR="00354C92">
        <w:fldChar w:fldCharType="end"/>
      </w:r>
      <w:r w:rsidR="001141EC">
        <w:t>)</w:t>
      </w:r>
      <w:r w:rsidR="00044355">
        <w:t xml:space="preserve">. Zásoby jsou v tomto období tvořeny materiálem a z větší části rozpracovanou a nedokončenou výrobou. V účetních záznamech společnosti </w:t>
      </w:r>
      <w:r w:rsidR="00044355">
        <w:lastRenderedPageBreak/>
        <w:t>KOVOV</w:t>
      </w:r>
      <w:r w:rsidR="00364B0D">
        <w:t>ÝROBA s. r. o. nebylo možno</w:t>
      </w:r>
      <w:r w:rsidR="00044355">
        <w:t xml:space="preserve"> dohledat o jaký materiál a jakou konkrétní nedokončenou výrobu se jedná.</w:t>
      </w:r>
    </w:p>
    <w:p w:rsidR="009E2682" w:rsidRDefault="001141EC" w:rsidP="002158D0">
      <w:pPr>
        <w:pStyle w:val="Odstavecnormln"/>
      </w:pPr>
      <w:r>
        <w:t>V obou společnostech</w:t>
      </w:r>
      <w:r w:rsidR="009E2682">
        <w:t xml:space="preserve"> jsou celková aktiva tvořena převážně krátkodobými pohledávkami z obchodních vztahů. Dále lze konstatovat, že společnost </w:t>
      </w:r>
      <w:r>
        <w:br/>
      </w:r>
      <w:r w:rsidR="009E2682">
        <w:t>Q – MONT s. r. o. v celém sledovaném období disponovala vyšším krátkodobým finančním majetkem než společnost KOVOVÝROBA s. r. o.</w:t>
      </w:r>
      <w:r>
        <w:t>, kde finanční majetek tvoří zanedbatelnou část celkových aktiv.</w:t>
      </w:r>
      <w:r w:rsidR="009E2682">
        <w:t xml:space="preserve"> Nedostatek finančních prostředků je také jednou z příčin špatné finanční situace společnosti KOVOVÝROBA s. r. o. v období roku 2009 – 2011. Porovnáním celkových aktiv a celkových cizích zdrojů (viz obrázek 3 na str. </w:t>
      </w:r>
      <w:r w:rsidR="009E2682">
        <w:fldChar w:fldCharType="begin"/>
      </w:r>
      <w:r w:rsidR="009E2682">
        <w:instrText xml:space="preserve"> PAGEREF _Ref353119229 \h </w:instrText>
      </w:r>
      <w:r w:rsidR="009E2682">
        <w:fldChar w:fldCharType="separate"/>
      </w:r>
      <w:r w:rsidR="002534BA">
        <w:rPr>
          <w:noProof/>
        </w:rPr>
        <w:t>45</w:t>
      </w:r>
      <w:r w:rsidR="009E2682">
        <w:fldChar w:fldCharType="end"/>
      </w:r>
      <w:r w:rsidR="009E2682">
        <w:t>) bylo zjištěno, že celkové cizí zdroje společnosti Q –</w:t>
      </w:r>
      <w:r w:rsidR="0066034B">
        <w:t xml:space="preserve"> MON</w:t>
      </w:r>
      <w:r w:rsidR="009E2682">
        <w:t xml:space="preserve">T s. r. o. jsou v celém sledovaném období dostatečně kryty celkovými aktivy. </w:t>
      </w:r>
      <w:r>
        <w:t>U s</w:t>
      </w:r>
      <w:r w:rsidR="009E2682">
        <w:t>polečnost</w:t>
      </w:r>
      <w:r>
        <w:t>i</w:t>
      </w:r>
      <w:r w:rsidR="009E2682">
        <w:t xml:space="preserve"> KOVOVÝROBA s. r. o. v období roku 2010 a 2011 </w:t>
      </w:r>
      <w:r w:rsidR="000A0DB5" w:rsidRPr="000A0DB5">
        <w:t xml:space="preserve">celkové cizí zdroje </w:t>
      </w:r>
      <w:r w:rsidR="009E2682">
        <w:t xml:space="preserve">výrazně </w:t>
      </w:r>
      <w:r>
        <w:t>převyšují</w:t>
      </w:r>
      <w:r w:rsidR="009E2682">
        <w:t xml:space="preserve"> </w:t>
      </w:r>
      <w:r>
        <w:t xml:space="preserve">celková aktiva, tzn., že společnost </w:t>
      </w:r>
      <w:r w:rsidR="001E5AA4">
        <w:t>nebyla v tomto období</w:t>
      </w:r>
      <w:r>
        <w:t xml:space="preserve"> schopna hradit své závazky</w:t>
      </w:r>
      <w:r w:rsidR="001E5AA4">
        <w:t xml:space="preserve">. Z této skutečnosti vyplývá, že v období roku 2010 – 2011 byla společnost KOVOVÝROBA s. r. o. předlužená (společnost </w:t>
      </w:r>
      <w:r>
        <w:t xml:space="preserve">měla k 31. 12. 2010 celkem 19 věřitelů a k 31. 12. 2011 </w:t>
      </w:r>
      <w:r w:rsidR="00364B0D">
        <w:t xml:space="preserve">celkem </w:t>
      </w:r>
      <w:r>
        <w:t xml:space="preserve">23 věřitelů a </w:t>
      </w:r>
      <w:r w:rsidR="00364B0D">
        <w:t xml:space="preserve">souhrn závazků </w:t>
      </w:r>
      <w:r>
        <w:t xml:space="preserve">v období roku 2010 – 2011 převyšuje hodnotu </w:t>
      </w:r>
      <w:r w:rsidR="00364B0D">
        <w:t xml:space="preserve">celkového </w:t>
      </w:r>
      <w:r>
        <w:t>majetku společnosti</w:t>
      </w:r>
      <w:r w:rsidR="001E5AA4">
        <w:t>)</w:t>
      </w:r>
      <w:r>
        <w:t>.</w:t>
      </w:r>
    </w:p>
    <w:p w:rsidR="004F7161" w:rsidRDefault="004F7161" w:rsidP="002158D0">
      <w:pPr>
        <w:pStyle w:val="Odstavecnormln"/>
      </w:pPr>
      <w:r>
        <w:t xml:space="preserve">Výše aktiv (stálých a oběžných) je u obou společností rozdílná, neboť jejich hodnota závisí na mnoha faktorech, mezi které patří např. individuální potřeba dlouhodobých aktiv a jejich financování, potřeba zásob, </w:t>
      </w:r>
      <w:r w:rsidR="00895AC6">
        <w:t xml:space="preserve">doba </w:t>
      </w:r>
      <w:r>
        <w:t>splatnost</w:t>
      </w:r>
      <w:r w:rsidR="00895AC6">
        <w:t>i</w:t>
      </w:r>
      <w:r>
        <w:t xml:space="preserve"> pohledávek a platební morálka odběratelů</w:t>
      </w:r>
      <w:r w:rsidR="00A735EE">
        <w:t xml:space="preserve"> nebo</w:t>
      </w:r>
      <w:r>
        <w:t xml:space="preserve"> výše finančního majetku</w:t>
      </w:r>
      <w:r w:rsidR="00A735EE">
        <w:t>, která je nutná</w:t>
      </w:r>
      <w:r>
        <w:t xml:space="preserve"> k zajištění okamžitých potřeb společnosti</w:t>
      </w:r>
      <w:r w:rsidR="00895AC6">
        <w:t>.</w:t>
      </w:r>
    </w:p>
    <w:p w:rsidR="00034093" w:rsidRDefault="00034093" w:rsidP="00034093">
      <w:r>
        <w:br w:type="page"/>
      </w:r>
    </w:p>
    <w:p w:rsidR="00A764E2" w:rsidRDefault="00A764E2" w:rsidP="00A764E2">
      <w:pPr>
        <w:pStyle w:val="Nadpis1"/>
      </w:pPr>
      <w:bookmarkStart w:id="244" w:name="_Toc353126183"/>
      <w:bookmarkStart w:id="245" w:name="_Toc353439375"/>
      <w:r>
        <w:lastRenderedPageBreak/>
        <w:t>ZÁVĚR</w:t>
      </w:r>
      <w:bookmarkEnd w:id="244"/>
      <w:bookmarkEnd w:id="245"/>
    </w:p>
    <w:p w:rsidR="00BC16E2" w:rsidRDefault="00A764E2" w:rsidP="002158D0">
      <w:pPr>
        <w:pStyle w:val="Odstavecnormln"/>
      </w:pPr>
      <w:r w:rsidRPr="006C095D">
        <w:t xml:space="preserve">Hlavním cílem bakalářské práce </w:t>
      </w:r>
      <w:r>
        <w:t>bylo</w:t>
      </w:r>
      <w:r w:rsidRPr="006C095D">
        <w:t>, na základě teoretických poznatků o majetku podniku analyzovaných v</w:t>
      </w:r>
      <w:r>
        <w:t xml:space="preserve"> kapitole </w:t>
      </w:r>
      <w:r>
        <w:fldChar w:fldCharType="begin"/>
      </w:r>
      <w:r>
        <w:instrText xml:space="preserve"> REF _Ref350700011 \n \h </w:instrText>
      </w:r>
      <w:r>
        <w:fldChar w:fldCharType="separate"/>
      </w:r>
      <w:r w:rsidR="002534BA">
        <w:t>3</w:t>
      </w:r>
      <w:r>
        <w:fldChar w:fldCharType="end"/>
      </w:r>
      <w:r>
        <w:t xml:space="preserve"> na str. </w:t>
      </w:r>
      <w:r>
        <w:fldChar w:fldCharType="begin"/>
      </w:r>
      <w:r>
        <w:instrText xml:space="preserve"> PAGEREF _Ref350700021 \h </w:instrText>
      </w:r>
      <w:r>
        <w:fldChar w:fldCharType="separate"/>
      </w:r>
      <w:r w:rsidR="002534BA">
        <w:rPr>
          <w:noProof/>
        </w:rPr>
        <w:t>4</w:t>
      </w:r>
      <w:r>
        <w:fldChar w:fldCharType="end"/>
      </w:r>
      <w:r w:rsidR="00CB5154">
        <w:t xml:space="preserve">, provést rozbor, </w:t>
      </w:r>
      <w:r w:rsidRPr="006C095D">
        <w:t xml:space="preserve">komparaci </w:t>
      </w:r>
      <w:r w:rsidR="00CB5154">
        <w:t>a vyhodnocení</w:t>
      </w:r>
      <w:r w:rsidRPr="006C095D">
        <w:t xml:space="preserve"> struktury majetku </w:t>
      </w:r>
      <w:r w:rsidR="0035163B">
        <w:t>společnosti</w:t>
      </w:r>
      <w:r w:rsidRPr="006C095D">
        <w:t xml:space="preserve"> KOVOVÝROBA s. r. o.</w:t>
      </w:r>
      <w:r>
        <w:t xml:space="preserve"> a</w:t>
      </w:r>
      <w:r w:rsidR="0035163B">
        <w:t xml:space="preserve"> společnosti</w:t>
      </w:r>
      <w:r>
        <w:t xml:space="preserve"> </w:t>
      </w:r>
      <w:r w:rsidRPr="006C095D">
        <w:t>Q – MONT s. r. o. v období rok</w:t>
      </w:r>
      <w:r w:rsidR="0035163B">
        <w:t>u</w:t>
      </w:r>
      <w:r w:rsidRPr="006C095D">
        <w:t xml:space="preserve"> 2009 – 2011</w:t>
      </w:r>
      <w:r>
        <w:t xml:space="preserve">. </w:t>
      </w:r>
      <w:r w:rsidR="00CB5154">
        <w:t xml:space="preserve">Podrobný rozbor </w:t>
      </w:r>
      <w:r w:rsidR="00D77A9E">
        <w:t xml:space="preserve">a vyhodnocení </w:t>
      </w:r>
      <w:r w:rsidR="00CB5154">
        <w:t xml:space="preserve">aktiv </w:t>
      </w:r>
      <w:r w:rsidR="00BC16E2">
        <w:t xml:space="preserve">obou </w:t>
      </w:r>
      <w:r w:rsidR="00CB5154">
        <w:t xml:space="preserve">společností je proveden v kapitole </w:t>
      </w:r>
      <w:r w:rsidR="00CB5154">
        <w:fldChar w:fldCharType="begin"/>
      </w:r>
      <w:r w:rsidR="00CB5154">
        <w:instrText xml:space="preserve"> REF _Ref351995898 \r \h </w:instrText>
      </w:r>
      <w:r w:rsidR="00CB5154">
        <w:fldChar w:fldCharType="separate"/>
      </w:r>
      <w:r w:rsidR="002534BA">
        <w:t>4</w:t>
      </w:r>
      <w:r w:rsidR="00CB5154">
        <w:fldChar w:fldCharType="end"/>
      </w:r>
      <w:r w:rsidR="00CB5154">
        <w:t xml:space="preserve"> na str. </w:t>
      </w:r>
      <w:r w:rsidR="00CB5154">
        <w:fldChar w:fldCharType="begin"/>
      </w:r>
      <w:r w:rsidR="00CB5154">
        <w:instrText xml:space="preserve"> PAGEREF _Ref351995933 \h </w:instrText>
      </w:r>
      <w:r w:rsidR="00CB5154">
        <w:fldChar w:fldCharType="separate"/>
      </w:r>
      <w:r w:rsidR="002534BA">
        <w:rPr>
          <w:noProof/>
        </w:rPr>
        <w:t>19</w:t>
      </w:r>
      <w:r w:rsidR="00CB5154">
        <w:fldChar w:fldCharType="end"/>
      </w:r>
      <w:r w:rsidR="00BC16E2">
        <w:t>.</w:t>
      </w:r>
    </w:p>
    <w:p w:rsidR="00A764E2" w:rsidRDefault="00CB5154" w:rsidP="002158D0">
      <w:pPr>
        <w:pStyle w:val="Odstavecnormln"/>
      </w:pPr>
      <w:r>
        <w:t xml:space="preserve">Závěrem lze konstatovat, že </w:t>
      </w:r>
      <w:r w:rsidR="00BC16E2">
        <w:t xml:space="preserve">aktiva </w:t>
      </w:r>
      <w:r>
        <w:t>společnost</w:t>
      </w:r>
      <w:r w:rsidR="00BC16E2">
        <w:t>i</w:t>
      </w:r>
      <w:r>
        <w:t xml:space="preserve"> KOVOVÝROBA s. r. o.</w:t>
      </w:r>
      <w:r w:rsidR="00BC16E2">
        <w:t xml:space="preserve"> jsou </w:t>
      </w:r>
      <w:r w:rsidR="00AE63E6">
        <w:t xml:space="preserve">ve sledovaném období </w:t>
      </w:r>
      <w:r w:rsidR="00BC16E2">
        <w:t>tvořena samostatnými věcmi movitými a soubory věcí movitých (viz</w:t>
      </w:r>
      <w:r w:rsidR="007D1260">
        <w:t xml:space="preserve"> tabulka 2</w:t>
      </w:r>
      <w:r w:rsidR="00BC16E2">
        <w:t xml:space="preserve"> na str. </w:t>
      </w:r>
      <w:r w:rsidR="00BC16E2">
        <w:fldChar w:fldCharType="begin"/>
      </w:r>
      <w:r w:rsidR="00BC16E2">
        <w:instrText xml:space="preserve"> PAGEREF _Ref350625546 \h </w:instrText>
      </w:r>
      <w:r w:rsidR="00BC16E2">
        <w:fldChar w:fldCharType="separate"/>
      </w:r>
      <w:r w:rsidR="002534BA">
        <w:rPr>
          <w:noProof/>
        </w:rPr>
        <w:t>21</w:t>
      </w:r>
      <w:r w:rsidR="00BC16E2">
        <w:fldChar w:fldCharType="end"/>
      </w:r>
      <w:r w:rsidR="00BC16E2">
        <w:t>) a oběžným majetkem, který je tvořen převážně pohledávkami z obchodního styku a zásobami (viz</w:t>
      </w:r>
      <w:r w:rsidR="007D1260">
        <w:t xml:space="preserve"> tabulka 3</w:t>
      </w:r>
      <w:r w:rsidR="00BC16E2">
        <w:t xml:space="preserve"> na str. </w:t>
      </w:r>
      <w:r w:rsidR="00BC16E2">
        <w:fldChar w:fldCharType="begin"/>
      </w:r>
      <w:r w:rsidR="00BC16E2">
        <w:instrText xml:space="preserve"> PAGEREF _Ref348551689 \h </w:instrText>
      </w:r>
      <w:r w:rsidR="00BC16E2">
        <w:fldChar w:fldCharType="separate"/>
      </w:r>
      <w:r w:rsidR="002534BA">
        <w:rPr>
          <w:noProof/>
        </w:rPr>
        <w:t>22</w:t>
      </w:r>
      <w:r w:rsidR="00BC16E2">
        <w:fldChar w:fldCharType="end"/>
      </w:r>
      <w:r w:rsidR="00BC16E2">
        <w:t xml:space="preserve">). </w:t>
      </w:r>
      <w:r w:rsidR="00AE63E6">
        <w:t xml:space="preserve">Aktiva společnosti </w:t>
      </w:r>
      <w:r w:rsidR="00AC56C5">
        <w:br/>
      </w:r>
      <w:r w:rsidR="00AE63E6">
        <w:t xml:space="preserve">Q – MONT s. r. o. jsou tvořena </w:t>
      </w:r>
      <w:r w:rsidR="00D347FC">
        <w:t>také samostatnými věcmi movitými (viz</w:t>
      </w:r>
      <w:r w:rsidR="007D1260">
        <w:t xml:space="preserve"> tabulka 12</w:t>
      </w:r>
      <w:r w:rsidR="00D347FC">
        <w:t xml:space="preserve"> na str. </w:t>
      </w:r>
      <w:r w:rsidR="00D347FC">
        <w:fldChar w:fldCharType="begin"/>
      </w:r>
      <w:r w:rsidR="00D347FC">
        <w:instrText xml:space="preserve"> PAGEREF _Ref349402598 \h </w:instrText>
      </w:r>
      <w:r w:rsidR="00D347FC">
        <w:fldChar w:fldCharType="separate"/>
      </w:r>
      <w:r w:rsidR="002534BA">
        <w:rPr>
          <w:noProof/>
        </w:rPr>
        <w:t>32</w:t>
      </w:r>
      <w:r w:rsidR="00D347FC">
        <w:fldChar w:fldCharType="end"/>
      </w:r>
      <w:r w:rsidR="00D347FC">
        <w:t>) a oběžným majetkem, zvláště krátkodobými pohledávkami z obchodního styku a finančními prostředky v pokladně a na ban</w:t>
      </w:r>
      <w:r w:rsidR="002A62E5">
        <w:t>kovních účtech (viz</w:t>
      </w:r>
      <w:r w:rsidR="007D1260">
        <w:t xml:space="preserve"> tabulka 13</w:t>
      </w:r>
      <w:r w:rsidR="002A62E5">
        <w:t xml:space="preserve"> na str. </w:t>
      </w:r>
      <w:r w:rsidR="002A62E5">
        <w:fldChar w:fldCharType="begin"/>
      </w:r>
      <w:r w:rsidR="002A62E5">
        <w:instrText xml:space="preserve"> PAGEREF _Ref351996986 \h </w:instrText>
      </w:r>
      <w:r w:rsidR="002A62E5">
        <w:fldChar w:fldCharType="separate"/>
      </w:r>
      <w:r w:rsidR="002534BA">
        <w:rPr>
          <w:noProof/>
        </w:rPr>
        <w:t>33</w:t>
      </w:r>
      <w:r w:rsidR="002A62E5">
        <w:fldChar w:fldCharType="end"/>
      </w:r>
      <w:r w:rsidR="002A62E5">
        <w:t>).</w:t>
      </w:r>
    </w:p>
    <w:p w:rsidR="002A62E5" w:rsidRPr="001167FB" w:rsidRDefault="00E279DB" w:rsidP="002158D0">
      <w:pPr>
        <w:pStyle w:val="Odstavecnormln"/>
        <w:rPr>
          <w:b/>
        </w:rPr>
      </w:pPr>
      <w:r>
        <w:t xml:space="preserve">Hlavní ekonomickou činností společnosti KOVOVÝROBA s. r. o. a společnosti </w:t>
      </w:r>
      <w:r>
        <w:br/>
        <w:t>Q – MONT s. r. o</w:t>
      </w:r>
      <w:r w:rsidR="00337057">
        <w:t>.</w:t>
      </w:r>
      <w:r>
        <w:t xml:space="preserve"> je zámečnictví a kovovýroba. Činnost obou společností spočívá především v zajištění služeb bez větších materiálových zásob (materiál je většinou dodáván objednateli). Obě společnosti podnikají v pronajatých prostorech, nevlastní žádné budovy a v dlouhodobém majetku neevidují žádné nákladné strojní zařízení. </w:t>
      </w:r>
      <w:r w:rsidR="004C0A28">
        <w:t xml:space="preserve">Vyšší hodnota zásob je evidována společností KOVOVÝROBA s. r. o. pouze v roce 2010, kde značnou položku zásob tvoří rozpracovaná a nedokončená výroba </w:t>
      </w:r>
      <w:r w:rsidR="004C0A28">
        <w:br/>
        <w:t xml:space="preserve">k 31. 12. 2010. </w:t>
      </w:r>
      <w:r w:rsidR="003C4555">
        <w:t xml:space="preserve">Nejvyšší podíl na celkových aktivech obou společností tvoří krátkodobé pohledávky z obchodních vztahů. </w:t>
      </w:r>
      <w:r w:rsidR="001167FB">
        <w:t>Na základě těchto zjištění l</w:t>
      </w:r>
      <w:r w:rsidR="002A62E5">
        <w:t xml:space="preserve">ze konstatovat, že </w:t>
      </w:r>
      <w:r w:rsidR="002A62E5" w:rsidRPr="001167FB">
        <w:rPr>
          <w:b/>
        </w:rPr>
        <w:t>majetková struktura obou společností je p</w:t>
      </w:r>
      <w:r w:rsidR="00BF6694" w:rsidRPr="001167FB">
        <w:rPr>
          <w:b/>
        </w:rPr>
        <w:t>odobná.</w:t>
      </w:r>
    </w:p>
    <w:p w:rsidR="00FD57D4" w:rsidRDefault="00FD57D4" w:rsidP="002158D0">
      <w:pPr>
        <w:pStyle w:val="Odstavecnormln"/>
      </w:pPr>
      <w:r>
        <w:t>D</w:t>
      </w:r>
      <w:r w:rsidRPr="00FD57D4">
        <w:t xml:space="preserve">ílčím cílem práce </w:t>
      </w:r>
      <w:r>
        <w:t>bylo</w:t>
      </w:r>
      <w:r w:rsidRPr="00FD57D4">
        <w:t xml:space="preserve"> na základě teoretického definování</w:t>
      </w:r>
      <w:r w:rsidR="00BF6694">
        <w:t xml:space="preserve"> </w:t>
      </w:r>
      <w:r w:rsidRPr="00FD57D4">
        <w:t>a výpočtu základních ukazatelů analýzy finančního zdraví, tj. likvidity, čistého pracovního kapitálu, ukazatelů aktivity, tj. obratu zásob, pohledávek a závazků a ukazatele věřitelského rizika, určit možné příčiny problémů s platební schopností společnosti KOVOVÝROBA s. r. o</w:t>
      </w:r>
      <w:r>
        <w:t>.</w:t>
      </w:r>
    </w:p>
    <w:p w:rsidR="001D36DC" w:rsidRDefault="00BF6694" w:rsidP="002158D0">
      <w:pPr>
        <w:pStyle w:val="Odstavecnormln"/>
        <w:rPr>
          <w:b/>
        </w:rPr>
      </w:pPr>
      <w:r>
        <w:lastRenderedPageBreak/>
        <w:t xml:space="preserve">Lze konstatovat, že </w:t>
      </w:r>
      <w:r w:rsidRPr="007C11A4">
        <w:rPr>
          <w:b/>
        </w:rPr>
        <w:t>špatná platební schopnost společnosti KOVOVÝROBA s. r. o. je způsobena předlužením společnosti</w:t>
      </w:r>
      <w:r>
        <w:t>, neboť</w:t>
      </w:r>
      <w:r w:rsidR="0023584C">
        <w:t xml:space="preserve"> </w:t>
      </w:r>
      <w:r>
        <w:t xml:space="preserve">od roku 2010 </w:t>
      </w:r>
      <w:r w:rsidR="0023584C">
        <w:t xml:space="preserve">výše </w:t>
      </w:r>
      <w:r>
        <w:t xml:space="preserve">celkových </w:t>
      </w:r>
      <w:r w:rsidR="0023584C">
        <w:t xml:space="preserve">závazků společnosti převyšuje hodnotu </w:t>
      </w:r>
      <w:r>
        <w:t xml:space="preserve">celkového </w:t>
      </w:r>
      <w:r w:rsidR="007C11A4">
        <w:t>majetku.</w:t>
      </w:r>
      <w:r>
        <w:t xml:space="preserve"> Byly stanoveny ukazatele</w:t>
      </w:r>
      <w:r w:rsidR="0023584C">
        <w:t xml:space="preserve"> doby obratu pohledávek a závazků (viz </w:t>
      </w:r>
      <w:proofErr w:type="gramStart"/>
      <w:r w:rsidR="0023584C">
        <w:t xml:space="preserve">kapitola </w:t>
      </w:r>
      <w:r w:rsidR="0023584C">
        <w:fldChar w:fldCharType="begin"/>
      </w:r>
      <w:r w:rsidR="0023584C">
        <w:instrText xml:space="preserve"> REF _Ref348638528 \n \h </w:instrText>
      </w:r>
      <w:r w:rsidR="0023584C">
        <w:fldChar w:fldCharType="separate"/>
      </w:r>
      <w:r w:rsidR="002534BA">
        <w:t>4.1.3</w:t>
      </w:r>
      <w:proofErr w:type="gramEnd"/>
      <w:r w:rsidR="0023584C">
        <w:fldChar w:fldCharType="end"/>
      </w:r>
      <w:r w:rsidR="0023584C">
        <w:t xml:space="preserve"> na str. </w:t>
      </w:r>
      <w:r w:rsidR="0023584C">
        <w:fldChar w:fldCharType="begin"/>
      </w:r>
      <w:r w:rsidR="0023584C">
        <w:instrText xml:space="preserve"> PAGEREF _Ref348638551 \h </w:instrText>
      </w:r>
      <w:r w:rsidR="0023584C">
        <w:fldChar w:fldCharType="separate"/>
      </w:r>
      <w:r w:rsidR="002534BA">
        <w:rPr>
          <w:noProof/>
        </w:rPr>
        <w:t>27</w:t>
      </w:r>
      <w:r w:rsidR="0023584C">
        <w:fldChar w:fldCharType="end"/>
      </w:r>
      <w:r w:rsidR="0023584C">
        <w:t>)</w:t>
      </w:r>
      <w:r>
        <w:t xml:space="preserve">, na základě kterých lze </w:t>
      </w:r>
      <w:r w:rsidR="001167FB">
        <w:t>vyvodit</w:t>
      </w:r>
      <w:r>
        <w:t>, že</w:t>
      </w:r>
      <w:r w:rsidR="0023584C" w:rsidRPr="00A93E0A">
        <w:rPr>
          <w:b/>
        </w:rPr>
        <w:t xml:space="preserve"> </w:t>
      </w:r>
      <w:r w:rsidR="0023584C" w:rsidRPr="00BF6694">
        <w:t>se</w:t>
      </w:r>
      <w:r w:rsidR="0023584C" w:rsidRPr="00A93E0A">
        <w:rPr>
          <w:b/>
        </w:rPr>
        <w:t xml:space="preserve"> společnost KOVOVÝROBA </w:t>
      </w:r>
      <w:r w:rsidR="00BC3669">
        <w:rPr>
          <w:b/>
        </w:rPr>
        <w:t>s. r. o. nacházela</w:t>
      </w:r>
      <w:r w:rsidR="0023584C" w:rsidRPr="00A93E0A">
        <w:rPr>
          <w:b/>
        </w:rPr>
        <w:t xml:space="preserve"> od roku 2010 v prvotní platební neschopnosti</w:t>
      </w:r>
      <w:r w:rsidR="001D36DC">
        <w:rPr>
          <w:b/>
        </w:rPr>
        <w:t>.</w:t>
      </w:r>
    </w:p>
    <w:p w:rsidR="0023584C" w:rsidRDefault="0023584C" w:rsidP="002158D0">
      <w:pPr>
        <w:spacing w:after="120"/>
        <w:rPr>
          <w:b/>
        </w:rPr>
      </w:pPr>
      <w:r w:rsidRPr="00A93E0A">
        <w:rPr>
          <w:b/>
        </w:rPr>
        <w:t xml:space="preserve">Dle § 98 </w:t>
      </w:r>
      <w:r w:rsidR="0096551B">
        <w:rPr>
          <w:b/>
        </w:rPr>
        <w:t xml:space="preserve">zákona </w:t>
      </w:r>
      <w:r w:rsidRPr="00A93E0A">
        <w:rPr>
          <w:b/>
        </w:rPr>
        <w:t xml:space="preserve">č. 182/2006 Sb. o úpadku a způsobech jeho řešení (insolvenčního zákona) má dlužník, který je právnickou osobou </w:t>
      </w:r>
      <w:r w:rsidR="00BF6694">
        <w:rPr>
          <w:b/>
        </w:rPr>
        <w:t>povinnost</w:t>
      </w:r>
      <w:r w:rsidRPr="00A93E0A">
        <w:rPr>
          <w:b/>
        </w:rPr>
        <w:t xml:space="preserve"> podat insolvenční návrh bez zbytečného odkladu poté, co se dozvěděl nebo při náležité pečlivosti měl dozvědět o svém úpadku.</w:t>
      </w:r>
      <w:r w:rsidR="00BC3669">
        <w:rPr>
          <w:b/>
        </w:rPr>
        <w:t xml:space="preserve"> </w:t>
      </w:r>
      <w:r w:rsidR="00BC3669">
        <w:t>Lhůta, kdy se jednatelé měli dozvědět o skutečnosti, že se společnost nachází v úpadku nebo, že se jedná o hrozící úpadek</w:t>
      </w:r>
      <w:r w:rsidR="00BC3669">
        <w:rPr>
          <w:rStyle w:val="Znakapoznpodarou"/>
        </w:rPr>
        <w:footnoteReference w:id="24"/>
      </w:r>
      <w:r w:rsidR="00BC3669">
        <w:t xml:space="preserve">, může být stanovena s ohledem na termín podání přiznání </w:t>
      </w:r>
      <w:r w:rsidR="0035163B">
        <w:t xml:space="preserve">k dani z příjmu právnických osob </w:t>
      </w:r>
      <w:r w:rsidR="00BC3669">
        <w:t xml:space="preserve">za rok 2010, </w:t>
      </w:r>
      <w:r w:rsidR="0035163B">
        <w:br/>
      </w:r>
      <w:r w:rsidR="00BC3669">
        <w:t>tj. k 31. 3. 2011</w:t>
      </w:r>
      <w:r w:rsidR="00794D1E">
        <w:t>,</w:t>
      </w:r>
      <w:r w:rsidR="00BC3669">
        <w:t xml:space="preserve"> </w:t>
      </w:r>
      <w:r w:rsidR="00794D1E">
        <w:t xml:space="preserve">nebo </w:t>
      </w:r>
      <w:r w:rsidR="00BC3669">
        <w:t>v případě zpracování daňového přiznání</w:t>
      </w:r>
      <w:r w:rsidR="00794D1E">
        <w:t xml:space="preserve"> daňovým poradcem k 30. 6. 2011. Toto datum je termínem,</w:t>
      </w:r>
      <w:r w:rsidR="00BC3669">
        <w:t xml:space="preserve"> kdy jednatelé </w:t>
      </w:r>
      <w:r w:rsidR="00794D1E">
        <w:t xml:space="preserve">společnosti museli být nejpozději </w:t>
      </w:r>
      <w:r w:rsidR="00BC3669">
        <w:t xml:space="preserve">informováni o výsledcích hospodaření. </w:t>
      </w:r>
      <w:r w:rsidR="00BC3669" w:rsidRPr="00BC3669">
        <w:rPr>
          <w:b/>
        </w:rPr>
        <w:t>Lze konstatovat, že den 30. 6. 2011 je dnem úpadku</w:t>
      </w:r>
      <w:r w:rsidR="00794D1E">
        <w:rPr>
          <w:b/>
        </w:rPr>
        <w:t xml:space="preserve"> společnosti KOVOVÝROBA s. r. o.</w:t>
      </w:r>
    </w:p>
    <w:p w:rsidR="00161AE6" w:rsidRDefault="00161AE6" w:rsidP="002158D0">
      <w:pPr>
        <w:pStyle w:val="Odstavecnormln"/>
      </w:pPr>
      <w:r w:rsidRPr="00161AE6">
        <w:t>Závěrem je nutno ještě upozornit na skutečnost, že tato práce byla zaměřena na majetek podniku. V práci byla podrobně zkoumána aktiva společnosti KOVOVÝROBA s. r. o.</w:t>
      </w:r>
      <w:r>
        <w:t xml:space="preserve"> Nebyla zde však věnována dostatečná pozornost zdrojům financování aktiv, pasivům. Společnost eviduje k 31. 12. 201</w:t>
      </w:r>
      <w:r w:rsidR="001D36DC">
        <w:t>0 a k 31. 12 2011</w:t>
      </w:r>
      <w:r>
        <w:t xml:space="preserve"> příliš vys</w:t>
      </w:r>
      <w:r w:rsidR="001D36DC">
        <w:t>oké závazky z obchodních vztahů</w:t>
      </w:r>
      <w:r>
        <w:t xml:space="preserve">, u kterých by bylo přínosné, provést podrobný rozbor, neboť i toto může úzce souviset s výší ztráty </w:t>
      </w:r>
      <w:r w:rsidR="00BF6694">
        <w:t>vykazované v</w:t>
      </w:r>
      <w:r w:rsidR="00E67779">
        <w:t> tomto období</w:t>
      </w:r>
      <w:r w:rsidR="00BF6694">
        <w:t>.</w:t>
      </w:r>
    </w:p>
    <w:p w:rsidR="0023584C" w:rsidRDefault="00AC56C5" w:rsidP="002158D0">
      <w:pPr>
        <w:pStyle w:val="Odstavecnormln"/>
      </w:pPr>
      <w:r>
        <w:t>U s</w:t>
      </w:r>
      <w:r w:rsidR="0096551B">
        <w:t>polečnost</w:t>
      </w:r>
      <w:r>
        <w:t>i</w:t>
      </w:r>
      <w:r w:rsidR="0096551B">
        <w:t xml:space="preserve"> Q MONT s. r. o. </w:t>
      </w:r>
      <w:r>
        <w:t>bylo r</w:t>
      </w:r>
      <w:r w:rsidR="00855670">
        <w:t xml:space="preserve">ozborem pohledávek zjištěno, že společnost eviduje k 31. 12. 2011 v pohledávkách z obchodních vztahů promlčené a nedobytné pohledávky v celkové výši 533 tis. Kč. K těmto pohledávkám nebyly v účetnictví vytvořeny opravné položky, čímž byla zkreslena výše krátkodobých pohledávek, </w:t>
      </w:r>
      <w:r w:rsidR="00855670">
        <w:lastRenderedPageBreak/>
        <w:t xml:space="preserve">oběžných, celkových aktiv a nákladů. Pro zpracování základních ukazatelů finančního zdraví společnosti byla tato skutečnost zohledněna. </w:t>
      </w:r>
      <w:r w:rsidR="00380FA7">
        <w:t>Platební schopnost s</w:t>
      </w:r>
      <w:r w:rsidR="00855670">
        <w:t>polečnost</w:t>
      </w:r>
      <w:r w:rsidR="00380FA7">
        <w:t>i</w:t>
      </w:r>
      <w:r w:rsidR="00855670">
        <w:t xml:space="preserve"> </w:t>
      </w:r>
      <w:r w:rsidR="00380FA7">
        <w:t xml:space="preserve">byla po celé období roku 2009 – 2011 dobrá. Společnost byla schopna hradit závazky </w:t>
      </w:r>
      <w:r w:rsidR="00E8308F">
        <w:t>prostřednictvím</w:t>
      </w:r>
      <w:r w:rsidR="00380FA7">
        <w:t xml:space="preserve"> svých aktiv</w:t>
      </w:r>
      <w:r w:rsidR="00855670">
        <w:t xml:space="preserve">. </w:t>
      </w:r>
      <w:r w:rsidR="00B0777E">
        <w:t xml:space="preserve">Celková zadluženost společnosti je </w:t>
      </w:r>
      <w:r w:rsidR="00E8308F">
        <w:t xml:space="preserve">v celém zkoumaném období </w:t>
      </w:r>
      <w:r w:rsidR="00B0777E">
        <w:t>ovlivněna poskytnutým úvěrem, přesto je ukazatel věřitelského rizika přijatelný.</w:t>
      </w:r>
    </w:p>
    <w:p w:rsidR="00407BD3" w:rsidRDefault="00B0777E" w:rsidP="002158D0">
      <w:pPr>
        <w:pStyle w:val="Odstavecnormln"/>
      </w:pPr>
      <w:r>
        <w:t xml:space="preserve">Závěrem lze konstatovat, že je finanční situace společnosti Q – MONT s. r. o. velmi dobrá a stabilní. Společnost v celém zkoumaném období vykazuje vysoké hodnoty čistého pracovního kapitálu, což signalizuje schopnost společnosti zajistit bezproblémový chod její hospodářské činnosti. </w:t>
      </w:r>
      <w:r w:rsidR="00380FA7">
        <w:t xml:space="preserve">Závěrem </w:t>
      </w:r>
      <w:r w:rsidR="00EC06B2">
        <w:t>je nutno zdůraznit, že účetní jednoty jsou dle § 7 zákona o účetnictví č. 586/1991 Sb. povinny vést účetnictví tak, aby účetní závěrka sestavená na jeho základě podávala věrný a poctivý obraz předmětu účetnictví a finanční situace účetní jednotky (tzn., u promlčených a nedobytných pohledávek by měly být vytvořeny opravné položky).</w:t>
      </w:r>
    </w:p>
    <w:p w:rsidR="00AB6BB8" w:rsidRDefault="00AB6BB8">
      <w:pPr>
        <w:spacing w:after="200" w:line="276" w:lineRule="auto"/>
        <w:jc w:val="left"/>
      </w:pPr>
      <w:r>
        <w:br w:type="page"/>
      </w:r>
    </w:p>
    <w:p w:rsidR="005B5E23" w:rsidRDefault="005B5E23" w:rsidP="00B27DD0">
      <w:pPr>
        <w:pStyle w:val="Nadpis1"/>
        <w:numPr>
          <w:ilvl w:val="0"/>
          <w:numId w:val="0"/>
        </w:numPr>
        <w:ind w:left="357" w:hanging="357"/>
      </w:pPr>
      <w:bookmarkStart w:id="246" w:name="_Toc339528938"/>
      <w:bookmarkStart w:id="247" w:name="_Toc347167044"/>
      <w:bookmarkStart w:id="248" w:name="_Ref348718364"/>
      <w:bookmarkStart w:id="249" w:name="_Ref348718374"/>
      <w:bookmarkStart w:id="250" w:name="_Toc353126187"/>
      <w:bookmarkStart w:id="251" w:name="_Toc353439376"/>
      <w:bookmarkStart w:id="252" w:name="_Ref353440783"/>
      <w:r>
        <w:lastRenderedPageBreak/>
        <w:t>LITERATURA</w:t>
      </w:r>
      <w:bookmarkEnd w:id="246"/>
      <w:bookmarkEnd w:id="247"/>
      <w:bookmarkEnd w:id="248"/>
      <w:bookmarkEnd w:id="249"/>
      <w:bookmarkEnd w:id="250"/>
      <w:bookmarkEnd w:id="251"/>
      <w:bookmarkEnd w:id="252"/>
    </w:p>
    <w:p w:rsidR="00676804" w:rsidRDefault="00676804" w:rsidP="002158D0">
      <w:pPr>
        <w:pStyle w:val="Odstavecnormln"/>
      </w:pPr>
      <w:r>
        <w:t xml:space="preserve">HRDÝ, Milan a Michaela HOROVÁ, </w:t>
      </w:r>
      <w:r w:rsidRPr="00744816">
        <w:rPr>
          <w:i/>
        </w:rPr>
        <w:t>Finance podniku</w:t>
      </w:r>
      <w:r>
        <w:t xml:space="preserve">. ČR: </w:t>
      </w:r>
      <w:proofErr w:type="spellStart"/>
      <w:r>
        <w:t>Wolkers</w:t>
      </w:r>
      <w:proofErr w:type="spellEnd"/>
      <w:r>
        <w:t xml:space="preserve"> </w:t>
      </w:r>
      <w:proofErr w:type="spellStart"/>
      <w:r>
        <w:t>Kluwer</w:t>
      </w:r>
      <w:proofErr w:type="spellEnd"/>
      <w:r>
        <w:t xml:space="preserve"> ČR, 2009, ISBN 978-80-7357-492-5</w:t>
      </w:r>
      <w:r w:rsidR="00452C01">
        <w:t>.</w:t>
      </w:r>
    </w:p>
    <w:p w:rsidR="0038538C" w:rsidRDefault="0038538C" w:rsidP="002158D0">
      <w:pPr>
        <w:pStyle w:val="Odstavecnormln"/>
      </w:pPr>
      <w:r>
        <w:t xml:space="preserve">KLEINEBECKEL, H. </w:t>
      </w:r>
      <w:r w:rsidRPr="00744816">
        <w:rPr>
          <w:i/>
        </w:rPr>
        <w:t>Řízení financí a likvidity</w:t>
      </w:r>
      <w:r>
        <w:t xml:space="preserve">. 1993. </w:t>
      </w:r>
      <w:proofErr w:type="gramStart"/>
      <w:r>
        <w:t>Praha : BABTEXT</w:t>
      </w:r>
      <w:proofErr w:type="gramEnd"/>
      <w:r>
        <w:t xml:space="preserve">, 1993. </w:t>
      </w:r>
      <w:r w:rsidR="008E7078">
        <w:br/>
      </w:r>
      <w:r>
        <w:t>ISBN 80-85816-00-8.</w:t>
      </w:r>
    </w:p>
    <w:p w:rsidR="0038538C" w:rsidRDefault="0038538C" w:rsidP="002158D0">
      <w:pPr>
        <w:pStyle w:val="Odstavecnormln"/>
      </w:pPr>
      <w:r w:rsidRPr="004D3A08">
        <w:t xml:space="preserve">MRKVIČKA, Josef a Pavel KOLÁŘ. </w:t>
      </w:r>
      <w:r w:rsidRPr="004D3A08">
        <w:rPr>
          <w:i/>
          <w:iCs/>
        </w:rPr>
        <w:t>Finanční analýza</w:t>
      </w:r>
      <w:r w:rsidRPr="004D3A08">
        <w:t>. 2. přepracované vydání.</w:t>
      </w:r>
      <w:r>
        <w:br/>
      </w:r>
      <w:proofErr w:type="gramStart"/>
      <w:r w:rsidRPr="004D3A08">
        <w:t>Praha</w:t>
      </w:r>
      <w:r>
        <w:t xml:space="preserve"> </w:t>
      </w:r>
      <w:r w:rsidRPr="004D3A08">
        <w:t>: ASPI</w:t>
      </w:r>
      <w:proofErr w:type="gramEnd"/>
      <w:r w:rsidRPr="004D3A08">
        <w:t xml:space="preserve"> a. s., 2006. ISBN 80-7357-219-2.</w:t>
      </w:r>
    </w:p>
    <w:p w:rsidR="009D6A13" w:rsidRDefault="009D6A13" w:rsidP="002158D0">
      <w:pPr>
        <w:pStyle w:val="Odstavecnormln"/>
      </w:pPr>
      <w:r w:rsidRPr="00D00723">
        <w:t xml:space="preserve">NOVOTNÝ, Pavel. </w:t>
      </w:r>
      <w:r w:rsidRPr="00D00723">
        <w:rPr>
          <w:i/>
          <w:iCs/>
        </w:rPr>
        <w:t>Základy účetnictví</w:t>
      </w:r>
      <w:r w:rsidRPr="00D00723">
        <w:t xml:space="preserve">. 2007. vyd. </w:t>
      </w:r>
      <w:proofErr w:type="gramStart"/>
      <w:r w:rsidRPr="00D00723">
        <w:t>Praha</w:t>
      </w:r>
      <w:r w:rsidR="007B27B3">
        <w:t xml:space="preserve"> </w:t>
      </w:r>
      <w:r w:rsidRPr="00D00723">
        <w:t>: Vysoká</w:t>
      </w:r>
      <w:proofErr w:type="gramEnd"/>
      <w:r w:rsidRPr="00D00723">
        <w:t xml:space="preserve"> škola ekonomie </w:t>
      </w:r>
      <w:r w:rsidR="008E7078">
        <w:br/>
      </w:r>
      <w:r w:rsidRPr="00D00723">
        <w:t>a managementu, 2007. ISBN 978-80-86730-08-0.</w:t>
      </w:r>
    </w:p>
    <w:p w:rsidR="002B1D45" w:rsidRDefault="002B1D45" w:rsidP="002158D0">
      <w:pPr>
        <w:pStyle w:val="Odstavecnormln"/>
      </w:pPr>
      <w:r w:rsidRPr="002B1D45">
        <w:t xml:space="preserve">SEDLÁČEK, J. </w:t>
      </w:r>
      <w:r w:rsidRPr="00744816">
        <w:rPr>
          <w:i/>
        </w:rPr>
        <w:t>Finanční analýza podniku</w:t>
      </w:r>
      <w:r w:rsidRPr="002B1D45">
        <w:t xml:space="preserve">, </w:t>
      </w:r>
      <w:proofErr w:type="gramStart"/>
      <w:r w:rsidRPr="002B1D45">
        <w:t>Brno</w:t>
      </w:r>
      <w:r w:rsidR="007B27B3">
        <w:t xml:space="preserve"> </w:t>
      </w:r>
      <w:r w:rsidRPr="002B1D45">
        <w:t xml:space="preserve">: </w:t>
      </w:r>
      <w:proofErr w:type="spellStart"/>
      <w:r w:rsidRPr="002B1D45">
        <w:t>Computer</w:t>
      </w:r>
      <w:proofErr w:type="spellEnd"/>
      <w:proofErr w:type="gramEnd"/>
      <w:r w:rsidRPr="002B1D45">
        <w:t xml:space="preserve"> </w:t>
      </w:r>
      <w:proofErr w:type="spellStart"/>
      <w:r w:rsidRPr="002B1D45">
        <w:t>Press</w:t>
      </w:r>
      <w:proofErr w:type="spellEnd"/>
      <w:r w:rsidRPr="002B1D45">
        <w:t xml:space="preserve">, 2009. </w:t>
      </w:r>
      <w:r w:rsidRPr="002B1D45">
        <w:br/>
        <w:t>ISBN 978-80-251-1830-6.</w:t>
      </w:r>
    </w:p>
    <w:p w:rsidR="00CE07E4" w:rsidRDefault="00CE07E4" w:rsidP="002158D0">
      <w:pPr>
        <w:pStyle w:val="Odstavecnormln"/>
      </w:pPr>
      <w:r w:rsidRPr="00E7440A">
        <w:t xml:space="preserve">SYNEK, M. a E. KYSLINGEROVÁ. </w:t>
      </w:r>
      <w:r w:rsidRPr="00E7440A">
        <w:rPr>
          <w:i/>
          <w:iCs/>
        </w:rPr>
        <w:t>Podniková ekonomika</w:t>
      </w:r>
      <w:r w:rsidRPr="00E7440A">
        <w:t xml:space="preserve">. </w:t>
      </w:r>
      <w:proofErr w:type="gramStart"/>
      <w:r w:rsidRPr="00E7440A">
        <w:t>Praha</w:t>
      </w:r>
      <w:r>
        <w:t xml:space="preserve"> </w:t>
      </w:r>
      <w:r w:rsidRPr="00E7440A">
        <w:t>: C.</w:t>
      </w:r>
      <w:proofErr w:type="gramEnd"/>
      <w:r w:rsidRPr="00E7440A">
        <w:t xml:space="preserve"> H. Beck</w:t>
      </w:r>
      <w:r>
        <w:t>, 2010. ISBN 978-80-7400-336-3.</w:t>
      </w:r>
    </w:p>
    <w:p w:rsidR="002B1D45" w:rsidRDefault="002276B8" w:rsidP="002158D0">
      <w:pPr>
        <w:pStyle w:val="Odstavecnormln"/>
      </w:pPr>
      <w:r>
        <w:t xml:space="preserve">VALACH, J, a kol. </w:t>
      </w:r>
      <w:r w:rsidRPr="00744816">
        <w:rPr>
          <w:i/>
        </w:rPr>
        <w:t>Finanční řízení podn</w:t>
      </w:r>
      <w:r w:rsidR="00452C01" w:rsidRPr="00744816">
        <w:rPr>
          <w:i/>
        </w:rPr>
        <w:t>iku</w:t>
      </w:r>
      <w:r w:rsidR="00452C01">
        <w:t xml:space="preserve">. </w:t>
      </w:r>
      <w:proofErr w:type="gramStart"/>
      <w:r w:rsidR="00452C01">
        <w:t>Praha</w:t>
      </w:r>
      <w:r w:rsidR="007B27B3">
        <w:t xml:space="preserve"> </w:t>
      </w:r>
      <w:r w:rsidR="00452C01">
        <w:t>: EKOPRESS</w:t>
      </w:r>
      <w:proofErr w:type="gramEnd"/>
      <w:r w:rsidR="00452C01">
        <w:t>, 1997</w:t>
      </w:r>
      <w:r>
        <w:t xml:space="preserve">. </w:t>
      </w:r>
      <w:r w:rsidR="008E7078">
        <w:br/>
      </w:r>
      <w:r>
        <w:t>ISBN 80-901991-6-X.</w:t>
      </w:r>
    </w:p>
    <w:p w:rsidR="002C0BD3" w:rsidRDefault="002C0BD3" w:rsidP="002158D0">
      <w:pPr>
        <w:pStyle w:val="Odstavecnormln"/>
      </w:pPr>
      <w:r w:rsidRPr="00391444">
        <w:t xml:space="preserve">Vyhláška </w:t>
      </w:r>
      <w:r>
        <w:t xml:space="preserve">ministerstva financí </w:t>
      </w:r>
      <w:r w:rsidRPr="00391444">
        <w:t>č. 500/2002</w:t>
      </w:r>
      <w:r>
        <w:t xml:space="preserve"> Sb. ze dne 1. 1. 2003</w:t>
      </w:r>
      <w:r w:rsidRPr="00391444">
        <w:t xml:space="preserve">, kterou se provádějí některá ustanovení zákona č. 563/1991 Sb., o účetnictví, ve znění pozdějších předpisů, pro účetní jednotky, které jsou podnikateli účtujícími v soustavě podvojného účetnictví. In: </w:t>
      </w:r>
      <w:r w:rsidRPr="00391444">
        <w:rPr>
          <w:i/>
          <w:iCs/>
        </w:rPr>
        <w:t>Účetní průvodce DELFÍN</w:t>
      </w:r>
      <w:r w:rsidRPr="00391444">
        <w:t xml:space="preserve">. </w:t>
      </w:r>
      <w:proofErr w:type="gramStart"/>
      <w:r w:rsidRPr="00391444">
        <w:t>Ostrava</w:t>
      </w:r>
      <w:r>
        <w:t xml:space="preserve"> </w:t>
      </w:r>
      <w:r w:rsidR="00893DC8">
        <w:t xml:space="preserve">: </w:t>
      </w:r>
      <w:proofErr w:type="spellStart"/>
      <w:r w:rsidR="00893DC8">
        <w:t>Sagit</w:t>
      </w:r>
      <w:proofErr w:type="spellEnd"/>
      <w:proofErr w:type="gramEnd"/>
      <w:r w:rsidR="00893DC8">
        <w:t>, a. s.</w:t>
      </w:r>
    </w:p>
    <w:p w:rsidR="002C0BD3" w:rsidRDefault="002C0BD3" w:rsidP="002158D0">
      <w:pPr>
        <w:pStyle w:val="Odstavecnormln"/>
      </w:pPr>
      <w:r w:rsidRPr="00484599">
        <w:t>Zákon č. 182/2006Sb.</w:t>
      </w:r>
      <w:r w:rsidR="00DE727C">
        <w:t xml:space="preserve"> ze dne 1. 1. 2008</w:t>
      </w:r>
      <w:r>
        <w:t>,</w:t>
      </w:r>
      <w:r w:rsidRPr="00484599">
        <w:t xml:space="preserve"> </w:t>
      </w:r>
      <w:r>
        <w:t>I</w:t>
      </w:r>
      <w:r w:rsidRPr="00484599">
        <w:t xml:space="preserve">nsolvenční zákon. In: </w:t>
      </w:r>
      <w:r w:rsidRPr="00484599">
        <w:rPr>
          <w:i/>
          <w:iCs/>
        </w:rPr>
        <w:t>Účetní průvodce DELFÍN</w:t>
      </w:r>
      <w:r w:rsidRPr="00484599">
        <w:t xml:space="preserve">. Ostrava: </w:t>
      </w:r>
      <w:proofErr w:type="spellStart"/>
      <w:r w:rsidRPr="00484599">
        <w:t>Sagit</w:t>
      </w:r>
      <w:proofErr w:type="spellEnd"/>
      <w:r w:rsidRPr="00484599">
        <w:t>, a. s</w:t>
      </w:r>
      <w:r>
        <w:t>.</w:t>
      </w:r>
    </w:p>
    <w:p w:rsidR="002C0BD3" w:rsidRDefault="002C0BD3" w:rsidP="002158D0">
      <w:pPr>
        <w:pStyle w:val="Odstavecnormln"/>
      </w:pPr>
      <w:r w:rsidRPr="004D1654">
        <w:t>Zákon č. 513/1991 Sb.</w:t>
      </w:r>
      <w:r w:rsidR="00065478">
        <w:t xml:space="preserve"> ze dne 1. 1. 1992</w:t>
      </w:r>
      <w:r w:rsidRPr="004D1654">
        <w:t xml:space="preserve">, Obchodní zákoník. In: </w:t>
      </w:r>
      <w:r w:rsidRPr="004D1654">
        <w:rPr>
          <w:i/>
          <w:iCs/>
        </w:rPr>
        <w:t>Účetní průvodce DELFÍN</w:t>
      </w:r>
      <w:r w:rsidR="008E30ED">
        <w:t xml:space="preserve">. Ostrava: </w:t>
      </w:r>
      <w:proofErr w:type="spellStart"/>
      <w:r w:rsidR="008E30ED">
        <w:t>Sagit</w:t>
      </w:r>
      <w:proofErr w:type="spellEnd"/>
      <w:r w:rsidR="008E30ED">
        <w:t>, a. s.</w:t>
      </w:r>
    </w:p>
    <w:p w:rsidR="00193D94" w:rsidRDefault="002C0BD3" w:rsidP="002C0BD3">
      <w:pPr>
        <w:jc w:val="left"/>
      </w:pPr>
      <w:r w:rsidRPr="009761E5">
        <w:t>Zákon č. 586/1992 Sb.</w:t>
      </w:r>
      <w:r w:rsidR="00C33675">
        <w:t xml:space="preserve"> ze dne 1. 1. 1993, </w:t>
      </w:r>
      <w:r w:rsidRPr="009761E5">
        <w:t xml:space="preserve">o daních z příjmů. In: </w:t>
      </w:r>
      <w:r w:rsidRPr="009761E5">
        <w:rPr>
          <w:i/>
          <w:iCs/>
        </w:rPr>
        <w:t>Účetní průvodce DELFÍN</w:t>
      </w:r>
      <w:r w:rsidR="008E30ED">
        <w:t xml:space="preserve">. Ostrava: </w:t>
      </w:r>
      <w:proofErr w:type="spellStart"/>
      <w:r w:rsidR="008E30ED">
        <w:t>Sagit</w:t>
      </w:r>
      <w:proofErr w:type="spellEnd"/>
      <w:r w:rsidR="008E30ED">
        <w:t>, a. s.</w:t>
      </w:r>
      <w:r w:rsidRPr="009761E5">
        <w:t xml:space="preserve"> </w:t>
      </w:r>
    </w:p>
    <w:p w:rsidR="002C0BD3" w:rsidRDefault="002C0BD3" w:rsidP="002158D0">
      <w:pPr>
        <w:pStyle w:val="Odstavecnormln"/>
      </w:pPr>
      <w:r w:rsidRPr="009761E5">
        <w:lastRenderedPageBreak/>
        <w:t xml:space="preserve">Zákon č. 563/1991 Sb. </w:t>
      </w:r>
      <w:r w:rsidR="008E30ED">
        <w:t xml:space="preserve">ze dne 1. 1. 1992, </w:t>
      </w:r>
      <w:r w:rsidRPr="009761E5">
        <w:t xml:space="preserve">o účetnictví. In: </w:t>
      </w:r>
      <w:r w:rsidRPr="009761E5">
        <w:rPr>
          <w:i/>
          <w:iCs/>
        </w:rPr>
        <w:t>Účetní průvodce DELFÍN</w:t>
      </w:r>
      <w:r w:rsidR="008E30ED">
        <w:t xml:space="preserve">. Ostrava: </w:t>
      </w:r>
      <w:proofErr w:type="spellStart"/>
      <w:r w:rsidR="008E30ED">
        <w:t>Sagit</w:t>
      </w:r>
      <w:proofErr w:type="spellEnd"/>
      <w:r w:rsidR="008E30ED">
        <w:t>, a. s.</w:t>
      </w:r>
    </w:p>
    <w:p w:rsidR="002C0BD3" w:rsidRDefault="002C0BD3" w:rsidP="002158D0">
      <w:pPr>
        <w:pStyle w:val="Odstavecnormln"/>
        <w:jc w:val="left"/>
      </w:pPr>
      <w:r w:rsidRPr="00285A4B">
        <w:rPr>
          <w:i/>
          <w:iCs/>
        </w:rPr>
        <w:t>Nauka o podniku</w:t>
      </w:r>
      <w:r w:rsidRPr="00285A4B">
        <w:t xml:space="preserve"> [online]. 2007 [cit. 2013-03-28]. Dostupné z: </w:t>
      </w:r>
      <w:r>
        <w:t>&lt;</w:t>
      </w:r>
      <w:hyperlink r:id="rId19" w:history="1">
        <w:r w:rsidRPr="00586784">
          <w:rPr>
            <w:rStyle w:val="Hypertextovodkaz"/>
          </w:rPr>
          <w:t>http://nop.topsid.com/index.php?war=majetkova_a_kapitalova_vystavba_podniku</w:t>
        </w:r>
      </w:hyperlink>
      <w:r>
        <w:t>&gt;.</w:t>
      </w:r>
    </w:p>
    <w:p w:rsidR="00FA319B" w:rsidRDefault="00FA319B" w:rsidP="002C0BD3">
      <w:pPr>
        <w:jc w:val="left"/>
        <w:sectPr w:rsidR="00FA319B" w:rsidSect="000602C8">
          <w:footerReference w:type="default" r:id="rId20"/>
          <w:pgSz w:w="11906" w:h="16838"/>
          <w:pgMar w:top="1418" w:right="1134" w:bottom="1418" w:left="2268" w:header="709" w:footer="709" w:gutter="0"/>
          <w:pgNumType w:start="1"/>
          <w:cols w:space="708"/>
          <w:docGrid w:linePitch="360"/>
        </w:sectPr>
      </w:pPr>
    </w:p>
    <w:p w:rsidR="005B5E23" w:rsidRDefault="005B5E23" w:rsidP="00B27DD0">
      <w:pPr>
        <w:pStyle w:val="Nadpis1"/>
        <w:numPr>
          <w:ilvl w:val="0"/>
          <w:numId w:val="0"/>
        </w:numPr>
        <w:ind w:left="357" w:hanging="357"/>
      </w:pPr>
      <w:bookmarkStart w:id="253" w:name="_Toc339528939"/>
      <w:bookmarkStart w:id="254" w:name="_Toc347167045"/>
      <w:bookmarkStart w:id="255" w:name="_Toc353126188"/>
      <w:bookmarkStart w:id="256" w:name="_Toc353439377"/>
      <w:r>
        <w:lastRenderedPageBreak/>
        <w:t>PŘÍLOHY</w:t>
      </w:r>
      <w:bookmarkEnd w:id="253"/>
      <w:bookmarkEnd w:id="254"/>
      <w:bookmarkEnd w:id="255"/>
      <w:bookmarkEnd w:id="256"/>
    </w:p>
    <w:p w:rsidR="00E1187F" w:rsidRDefault="00E1187F" w:rsidP="00F3610D"/>
    <w:p w:rsidR="00F3610D" w:rsidRDefault="00F3610D" w:rsidP="00F3610D">
      <w:r>
        <w:t>SEZNAM PŘÍLOH</w:t>
      </w:r>
    </w:p>
    <w:p w:rsidR="00CC5E4D" w:rsidRDefault="00CC5E4D">
      <w:pPr>
        <w:pStyle w:val="Seznamobrzk"/>
        <w:tabs>
          <w:tab w:val="right" w:leader="dot" w:pos="8494"/>
        </w:tabs>
        <w:rPr>
          <w:rFonts w:asciiTheme="minorHAnsi" w:eastAsiaTheme="minorEastAsia" w:hAnsiTheme="minorHAnsi" w:cstheme="minorBidi"/>
          <w:noProof/>
          <w:sz w:val="22"/>
          <w:szCs w:val="22"/>
        </w:rPr>
      </w:pPr>
      <w:r>
        <w:fldChar w:fldCharType="begin"/>
      </w:r>
      <w:r>
        <w:instrText xml:space="preserve"> TOC \h \z \c "Příloha" </w:instrText>
      </w:r>
      <w:r>
        <w:fldChar w:fldCharType="separate"/>
      </w:r>
      <w:hyperlink w:anchor="_Toc353438795" w:history="1">
        <w:r w:rsidRPr="00CF0082">
          <w:rPr>
            <w:rStyle w:val="Hypertextovodkaz"/>
            <w:noProof/>
          </w:rPr>
          <w:t>Příloha 1 Upravené výkazy rozvah společnosti KOVOVÝROBA s. r. o. za období roku 2009 - 2011</w:t>
        </w:r>
        <w:r>
          <w:rPr>
            <w:noProof/>
            <w:webHidden/>
          </w:rPr>
          <w:tab/>
        </w:r>
        <w:r>
          <w:rPr>
            <w:noProof/>
            <w:webHidden/>
          </w:rPr>
          <w:fldChar w:fldCharType="begin"/>
        </w:r>
        <w:r>
          <w:rPr>
            <w:noProof/>
            <w:webHidden/>
          </w:rPr>
          <w:instrText xml:space="preserve"> PAGEREF _Toc353438795 \h </w:instrText>
        </w:r>
        <w:r>
          <w:rPr>
            <w:noProof/>
            <w:webHidden/>
          </w:rPr>
        </w:r>
        <w:r>
          <w:rPr>
            <w:noProof/>
            <w:webHidden/>
          </w:rPr>
          <w:fldChar w:fldCharType="separate"/>
        </w:r>
        <w:r w:rsidR="002534BA">
          <w:rPr>
            <w:noProof/>
            <w:webHidden/>
          </w:rPr>
          <w:t>54</w:t>
        </w:r>
        <w:r>
          <w:rPr>
            <w:noProof/>
            <w:webHidden/>
          </w:rPr>
          <w:fldChar w:fldCharType="end"/>
        </w:r>
      </w:hyperlink>
    </w:p>
    <w:p w:rsidR="00CC5E4D" w:rsidRDefault="00C96C2B">
      <w:pPr>
        <w:pStyle w:val="Seznamobrzk"/>
        <w:tabs>
          <w:tab w:val="right" w:leader="dot" w:pos="8494"/>
        </w:tabs>
        <w:rPr>
          <w:rFonts w:asciiTheme="minorHAnsi" w:eastAsiaTheme="minorEastAsia" w:hAnsiTheme="minorHAnsi" w:cstheme="minorBidi"/>
          <w:noProof/>
          <w:sz w:val="22"/>
          <w:szCs w:val="22"/>
        </w:rPr>
      </w:pPr>
      <w:hyperlink w:anchor="_Toc353438796" w:history="1">
        <w:r w:rsidR="00CC5E4D" w:rsidRPr="00CF0082">
          <w:rPr>
            <w:rStyle w:val="Hypertextovodkaz"/>
            <w:noProof/>
          </w:rPr>
          <w:t xml:space="preserve">Příloha 2 Upravené výkazy zisku a ztráty společnosti KOVOVÝROBA s. r. o. </w:t>
        </w:r>
        <w:r w:rsidR="00CC5E4D">
          <w:rPr>
            <w:rStyle w:val="Hypertextovodkaz"/>
            <w:noProof/>
          </w:rPr>
          <w:br/>
        </w:r>
        <w:r w:rsidR="00CC5E4D" w:rsidRPr="00CF0082">
          <w:rPr>
            <w:rStyle w:val="Hypertextovodkaz"/>
            <w:noProof/>
          </w:rPr>
          <w:t>za období roku 2009 - 2011</w:t>
        </w:r>
        <w:r w:rsidR="00CC5E4D">
          <w:rPr>
            <w:noProof/>
            <w:webHidden/>
          </w:rPr>
          <w:tab/>
        </w:r>
        <w:r w:rsidR="00CC5E4D">
          <w:rPr>
            <w:noProof/>
            <w:webHidden/>
          </w:rPr>
          <w:fldChar w:fldCharType="begin"/>
        </w:r>
        <w:r w:rsidR="00CC5E4D">
          <w:rPr>
            <w:noProof/>
            <w:webHidden/>
          </w:rPr>
          <w:instrText xml:space="preserve"> PAGEREF _Toc353438796 \h </w:instrText>
        </w:r>
        <w:r w:rsidR="00CC5E4D">
          <w:rPr>
            <w:noProof/>
            <w:webHidden/>
          </w:rPr>
        </w:r>
        <w:r w:rsidR="00CC5E4D">
          <w:rPr>
            <w:noProof/>
            <w:webHidden/>
          </w:rPr>
          <w:fldChar w:fldCharType="separate"/>
        </w:r>
        <w:r w:rsidR="002534BA">
          <w:rPr>
            <w:noProof/>
            <w:webHidden/>
          </w:rPr>
          <w:t>63</w:t>
        </w:r>
        <w:r w:rsidR="00CC5E4D">
          <w:rPr>
            <w:noProof/>
            <w:webHidden/>
          </w:rPr>
          <w:fldChar w:fldCharType="end"/>
        </w:r>
      </w:hyperlink>
    </w:p>
    <w:p w:rsidR="00CC5E4D" w:rsidRDefault="00C96C2B">
      <w:pPr>
        <w:pStyle w:val="Seznamobrzk"/>
        <w:tabs>
          <w:tab w:val="right" w:leader="dot" w:pos="8494"/>
        </w:tabs>
        <w:rPr>
          <w:rFonts w:asciiTheme="minorHAnsi" w:eastAsiaTheme="minorEastAsia" w:hAnsiTheme="minorHAnsi" w:cstheme="minorBidi"/>
          <w:noProof/>
          <w:sz w:val="22"/>
          <w:szCs w:val="22"/>
        </w:rPr>
      </w:pPr>
      <w:hyperlink w:anchor="_Toc353438797" w:history="1">
        <w:r w:rsidR="00CC5E4D" w:rsidRPr="00CF0082">
          <w:rPr>
            <w:rStyle w:val="Hypertextovodkaz"/>
            <w:noProof/>
          </w:rPr>
          <w:t>Příloha 3 Účty nákladů a výnosů společnosti KOVOVÝROBA s. r. o.</w:t>
        </w:r>
        <w:r w:rsidR="00CC5E4D">
          <w:rPr>
            <w:noProof/>
            <w:webHidden/>
          </w:rPr>
          <w:tab/>
        </w:r>
        <w:r w:rsidR="00CC5E4D">
          <w:rPr>
            <w:noProof/>
            <w:webHidden/>
          </w:rPr>
          <w:fldChar w:fldCharType="begin"/>
        </w:r>
        <w:r w:rsidR="00CC5E4D">
          <w:rPr>
            <w:noProof/>
            <w:webHidden/>
          </w:rPr>
          <w:instrText xml:space="preserve"> PAGEREF _Toc353438797 \h </w:instrText>
        </w:r>
        <w:r w:rsidR="00CC5E4D">
          <w:rPr>
            <w:noProof/>
            <w:webHidden/>
          </w:rPr>
        </w:r>
        <w:r w:rsidR="00CC5E4D">
          <w:rPr>
            <w:noProof/>
            <w:webHidden/>
          </w:rPr>
          <w:fldChar w:fldCharType="separate"/>
        </w:r>
        <w:r w:rsidR="002534BA">
          <w:rPr>
            <w:noProof/>
            <w:webHidden/>
          </w:rPr>
          <w:t>65</w:t>
        </w:r>
        <w:r w:rsidR="00CC5E4D">
          <w:rPr>
            <w:noProof/>
            <w:webHidden/>
          </w:rPr>
          <w:fldChar w:fldCharType="end"/>
        </w:r>
      </w:hyperlink>
    </w:p>
    <w:p w:rsidR="00CC5E4D" w:rsidRDefault="00C96C2B">
      <w:pPr>
        <w:pStyle w:val="Seznamobrzk"/>
        <w:tabs>
          <w:tab w:val="right" w:leader="dot" w:pos="8494"/>
        </w:tabs>
        <w:rPr>
          <w:rFonts w:asciiTheme="minorHAnsi" w:eastAsiaTheme="minorEastAsia" w:hAnsiTheme="minorHAnsi" w:cstheme="minorBidi"/>
          <w:noProof/>
          <w:sz w:val="22"/>
          <w:szCs w:val="22"/>
        </w:rPr>
      </w:pPr>
      <w:hyperlink w:anchor="_Toc353438798" w:history="1">
        <w:r w:rsidR="00CC5E4D" w:rsidRPr="00CF0082">
          <w:rPr>
            <w:rStyle w:val="Hypertextovodkaz"/>
            <w:noProof/>
          </w:rPr>
          <w:t>Příloha 4 Krátkodobé závazky a závazky okamžitě splatné</w:t>
        </w:r>
        <w:r w:rsidR="00CC5E4D">
          <w:rPr>
            <w:noProof/>
            <w:webHidden/>
          </w:rPr>
          <w:tab/>
        </w:r>
        <w:r w:rsidR="00CC5E4D">
          <w:rPr>
            <w:noProof/>
            <w:webHidden/>
          </w:rPr>
          <w:fldChar w:fldCharType="begin"/>
        </w:r>
        <w:r w:rsidR="00CC5E4D">
          <w:rPr>
            <w:noProof/>
            <w:webHidden/>
          </w:rPr>
          <w:instrText xml:space="preserve"> PAGEREF _Toc353438798 \h </w:instrText>
        </w:r>
        <w:r w:rsidR="00CC5E4D">
          <w:rPr>
            <w:noProof/>
            <w:webHidden/>
          </w:rPr>
        </w:r>
        <w:r w:rsidR="00CC5E4D">
          <w:rPr>
            <w:noProof/>
            <w:webHidden/>
          </w:rPr>
          <w:fldChar w:fldCharType="separate"/>
        </w:r>
        <w:r w:rsidR="002534BA">
          <w:rPr>
            <w:noProof/>
            <w:webHidden/>
          </w:rPr>
          <w:t>66</w:t>
        </w:r>
        <w:r w:rsidR="00CC5E4D">
          <w:rPr>
            <w:noProof/>
            <w:webHidden/>
          </w:rPr>
          <w:fldChar w:fldCharType="end"/>
        </w:r>
      </w:hyperlink>
    </w:p>
    <w:p w:rsidR="00CC5E4D" w:rsidRDefault="00C96C2B">
      <w:pPr>
        <w:pStyle w:val="Seznamobrzk"/>
        <w:tabs>
          <w:tab w:val="right" w:leader="dot" w:pos="8494"/>
        </w:tabs>
        <w:rPr>
          <w:rFonts w:asciiTheme="minorHAnsi" w:eastAsiaTheme="minorEastAsia" w:hAnsiTheme="minorHAnsi" w:cstheme="minorBidi"/>
          <w:noProof/>
          <w:sz w:val="22"/>
          <w:szCs w:val="22"/>
        </w:rPr>
      </w:pPr>
      <w:hyperlink w:anchor="_Toc353438799" w:history="1">
        <w:r w:rsidR="00CC5E4D" w:rsidRPr="00CF0082">
          <w:rPr>
            <w:rStyle w:val="Hypertextovodkaz"/>
            <w:noProof/>
          </w:rPr>
          <w:t>Příloha 5 Příklady výpočtu ukazatelů likvidity</w:t>
        </w:r>
        <w:r w:rsidR="00CC5E4D">
          <w:rPr>
            <w:noProof/>
            <w:webHidden/>
          </w:rPr>
          <w:tab/>
        </w:r>
        <w:r w:rsidR="00CC5E4D">
          <w:rPr>
            <w:noProof/>
            <w:webHidden/>
          </w:rPr>
          <w:fldChar w:fldCharType="begin"/>
        </w:r>
        <w:r w:rsidR="00CC5E4D">
          <w:rPr>
            <w:noProof/>
            <w:webHidden/>
          </w:rPr>
          <w:instrText xml:space="preserve"> PAGEREF _Toc353438799 \h </w:instrText>
        </w:r>
        <w:r w:rsidR="00CC5E4D">
          <w:rPr>
            <w:noProof/>
            <w:webHidden/>
          </w:rPr>
        </w:r>
        <w:r w:rsidR="00CC5E4D">
          <w:rPr>
            <w:noProof/>
            <w:webHidden/>
          </w:rPr>
          <w:fldChar w:fldCharType="separate"/>
        </w:r>
        <w:r w:rsidR="002534BA">
          <w:rPr>
            <w:noProof/>
            <w:webHidden/>
          </w:rPr>
          <w:t>68</w:t>
        </w:r>
        <w:r w:rsidR="00CC5E4D">
          <w:rPr>
            <w:noProof/>
            <w:webHidden/>
          </w:rPr>
          <w:fldChar w:fldCharType="end"/>
        </w:r>
      </w:hyperlink>
    </w:p>
    <w:p w:rsidR="00CC5E4D" w:rsidRDefault="00C96C2B">
      <w:pPr>
        <w:pStyle w:val="Seznamobrzk"/>
        <w:tabs>
          <w:tab w:val="right" w:leader="dot" w:pos="8494"/>
        </w:tabs>
        <w:rPr>
          <w:rFonts w:asciiTheme="minorHAnsi" w:eastAsiaTheme="minorEastAsia" w:hAnsiTheme="minorHAnsi" w:cstheme="minorBidi"/>
          <w:noProof/>
          <w:sz w:val="22"/>
          <w:szCs w:val="22"/>
        </w:rPr>
      </w:pPr>
      <w:hyperlink w:anchor="_Toc353438800" w:history="1">
        <w:r w:rsidR="00CC5E4D" w:rsidRPr="00CF0082">
          <w:rPr>
            <w:rStyle w:val="Hypertextovodkaz"/>
            <w:noProof/>
          </w:rPr>
          <w:t>Příloha 6 Příklad výpočtu čistého pracovního kapitálu</w:t>
        </w:r>
        <w:r w:rsidR="00CC5E4D">
          <w:rPr>
            <w:noProof/>
            <w:webHidden/>
          </w:rPr>
          <w:tab/>
        </w:r>
        <w:r w:rsidR="00CC5E4D">
          <w:rPr>
            <w:noProof/>
            <w:webHidden/>
          </w:rPr>
          <w:fldChar w:fldCharType="begin"/>
        </w:r>
        <w:r w:rsidR="00CC5E4D">
          <w:rPr>
            <w:noProof/>
            <w:webHidden/>
          </w:rPr>
          <w:instrText xml:space="preserve"> PAGEREF _Toc353438800 \h </w:instrText>
        </w:r>
        <w:r w:rsidR="00CC5E4D">
          <w:rPr>
            <w:noProof/>
            <w:webHidden/>
          </w:rPr>
        </w:r>
        <w:r w:rsidR="00CC5E4D">
          <w:rPr>
            <w:noProof/>
            <w:webHidden/>
          </w:rPr>
          <w:fldChar w:fldCharType="separate"/>
        </w:r>
        <w:r w:rsidR="002534BA">
          <w:rPr>
            <w:noProof/>
            <w:webHidden/>
          </w:rPr>
          <w:t>68</w:t>
        </w:r>
        <w:r w:rsidR="00CC5E4D">
          <w:rPr>
            <w:noProof/>
            <w:webHidden/>
          </w:rPr>
          <w:fldChar w:fldCharType="end"/>
        </w:r>
      </w:hyperlink>
    </w:p>
    <w:p w:rsidR="00CC5E4D" w:rsidRDefault="00C96C2B">
      <w:pPr>
        <w:pStyle w:val="Seznamobrzk"/>
        <w:tabs>
          <w:tab w:val="right" w:leader="dot" w:pos="8494"/>
        </w:tabs>
        <w:rPr>
          <w:rFonts w:asciiTheme="minorHAnsi" w:eastAsiaTheme="minorEastAsia" w:hAnsiTheme="minorHAnsi" w:cstheme="minorBidi"/>
          <w:noProof/>
          <w:sz w:val="22"/>
          <w:szCs w:val="22"/>
        </w:rPr>
      </w:pPr>
      <w:hyperlink w:anchor="_Toc353438801" w:history="1">
        <w:r w:rsidR="00CC5E4D" w:rsidRPr="00CF0082">
          <w:rPr>
            <w:rStyle w:val="Hypertextovodkaz"/>
            <w:noProof/>
          </w:rPr>
          <w:t>Příloha 7 Příklady výpočtu rychlosti obratu zásob a doby obratu zásob</w:t>
        </w:r>
        <w:r w:rsidR="00CC5E4D">
          <w:rPr>
            <w:noProof/>
            <w:webHidden/>
          </w:rPr>
          <w:tab/>
        </w:r>
        <w:r w:rsidR="00CC5E4D">
          <w:rPr>
            <w:noProof/>
            <w:webHidden/>
          </w:rPr>
          <w:fldChar w:fldCharType="begin"/>
        </w:r>
        <w:r w:rsidR="00CC5E4D">
          <w:rPr>
            <w:noProof/>
            <w:webHidden/>
          </w:rPr>
          <w:instrText xml:space="preserve"> PAGEREF _Toc353438801 \h </w:instrText>
        </w:r>
        <w:r w:rsidR="00CC5E4D">
          <w:rPr>
            <w:noProof/>
            <w:webHidden/>
          </w:rPr>
        </w:r>
        <w:r w:rsidR="00CC5E4D">
          <w:rPr>
            <w:noProof/>
            <w:webHidden/>
          </w:rPr>
          <w:fldChar w:fldCharType="separate"/>
        </w:r>
        <w:r w:rsidR="002534BA">
          <w:rPr>
            <w:noProof/>
            <w:webHidden/>
          </w:rPr>
          <w:t>69</w:t>
        </w:r>
        <w:r w:rsidR="00CC5E4D">
          <w:rPr>
            <w:noProof/>
            <w:webHidden/>
          </w:rPr>
          <w:fldChar w:fldCharType="end"/>
        </w:r>
      </w:hyperlink>
    </w:p>
    <w:p w:rsidR="00CC5E4D" w:rsidRDefault="00C96C2B">
      <w:pPr>
        <w:pStyle w:val="Seznamobrzk"/>
        <w:tabs>
          <w:tab w:val="right" w:leader="dot" w:pos="8494"/>
        </w:tabs>
        <w:rPr>
          <w:rFonts w:asciiTheme="minorHAnsi" w:eastAsiaTheme="minorEastAsia" w:hAnsiTheme="minorHAnsi" w:cstheme="minorBidi"/>
          <w:noProof/>
          <w:sz w:val="22"/>
          <w:szCs w:val="22"/>
        </w:rPr>
      </w:pPr>
      <w:hyperlink w:anchor="_Toc353438802" w:history="1">
        <w:r w:rsidR="00CC5E4D" w:rsidRPr="00CF0082">
          <w:rPr>
            <w:rStyle w:val="Hypertextovodkaz"/>
            <w:noProof/>
          </w:rPr>
          <w:t>Příloha 8 Příklady výpočtu doby obratu pohledávek a doby obratu závazků</w:t>
        </w:r>
        <w:r w:rsidR="00CC5E4D">
          <w:rPr>
            <w:noProof/>
            <w:webHidden/>
          </w:rPr>
          <w:tab/>
        </w:r>
        <w:r w:rsidR="00CC5E4D">
          <w:rPr>
            <w:noProof/>
            <w:webHidden/>
          </w:rPr>
          <w:fldChar w:fldCharType="begin"/>
        </w:r>
        <w:r w:rsidR="00CC5E4D">
          <w:rPr>
            <w:noProof/>
            <w:webHidden/>
          </w:rPr>
          <w:instrText xml:space="preserve"> PAGEREF _Toc353438802 \h </w:instrText>
        </w:r>
        <w:r w:rsidR="00CC5E4D">
          <w:rPr>
            <w:noProof/>
            <w:webHidden/>
          </w:rPr>
        </w:r>
        <w:r w:rsidR="00CC5E4D">
          <w:rPr>
            <w:noProof/>
            <w:webHidden/>
          </w:rPr>
          <w:fldChar w:fldCharType="separate"/>
        </w:r>
        <w:r w:rsidR="002534BA">
          <w:rPr>
            <w:noProof/>
            <w:webHidden/>
          </w:rPr>
          <w:t>69</w:t>
        </w:r>
        <w:r w:rsidR="00CC5E4D">
          <w:rPr>
            <w:noProof/>
            <w:webHidden/>
          </w:rPr>
          <w:fldChar w:fldCharType="end"/>
        </w:r>
      </w:hyperlink>
    </w:p>
    <w:p w:rsidR="00CC5E4D" w:rsidRDefault="00C96C2B">
      <w:pPr>
        <w:pStyle w:val="Seznamobrzk"/>
        <w:tabs>
          <w:tab w:val="right" w:leader="dot" w:pos="8494"/>
        </w:tabs>
        <w:rPr>
          <w:rFonts w:asciiTheme="minorHAnsi" w:eastAsiaTheme="minorEastAsia" w:hAnsiTheme="minorHAnsi" w:cstheme="minorBidi"/>
          <w:noProof/>
          <w:sz w:val="22"/>
          <w:szCs w:val="22"/>
        </w:rPr>
      </w:pPr>
      <w:hyperlink w:anchor="_Toc353438803" w:history="1">
        <w:r w:rsidR="00CC5E4D" w:rsidRPr="00CF0082">
          <w:rPr>
            <w:rStyle w:val="Hypertextovodkaz"/>
            <w:noProof/>
          </w:rPr>
          <w:t>Příloha 9 Příklad výpočtu ukazatele věřitelského rizika</w:t>
        </w:r>
        <w:r w:rsidR="00CC5E4D">
          <w:rPr>
            <w:noProof/>
            <w:webHidden/>
          </w:rPr>
          <w:tab/>
        </w:r>
        <w:r w:rsidR="00CC5E4D">
          <w:rPr>
            <w:noProof/>
            <w:webHidden/>
          </w:rPr>
          <w:fldChar w:fldCharType="begin"/>
        </w:r>
        <w:r w:rsidR="00CC5E4D">
          <w:rPr>
            <w:noProof/>
            <w:webHidden/>
          </w:rPr>
          <w:instrText xml:space="preserve"> PAGEREF _Toc353438803 \h </w:instrText>
        </w:r>
        <w:r w:rsidR="00CC5E4D">
          <w:rPr>
            <w:noProof/>
            <w:webHidden/>
          </w:rPr>
        </w:r>
        <w:r w:rsidR="00CC5E4D">
          <w:rPr>
            <w:noProof/>
            <w:webHidden/>
          </w:rPr>
          <w:fldChar w:fldCharType="separate"/>
        </w:r>
        <w:r w:rsidR="002534BA">
          <w:rPr>
            <w:noProof/>
            <w:webHidden/>
          </w:rPr>
          <w:t>69</w:t>
        </w:r>
        <w:r w:rsidR="00CC5E4D">
          <w:rPr>
            <w:noProof/>
            <w:webHidden/>
          </w:rPr>
          <w:fldChar w:fldCharType="end"/>
        </w:r>
      </w:hyperlink>
    </w:p>
    <w:p w:rsidR="00CC5E4D" w:rsidRDefault="00C96C2B">
      <w:pPr>
        <w:pStyle w:val="Seznamobrzk"/>
        <w:tabs>
          <w:tab w:val="right" w:leader="dot" w:pos="8494"/>
        </w:tabs>
        <w:rPr>
          <w:rFonts w:asciiTheme="minorHAnsi" w:eastAsiaTheme="minorEastAsia" w:hAnsiTheme="minorHAnsi" w:cstheme="minorBidi"/>
          <w:noProof/>
          <w:sz w:val="22"/>
          <w:szCs w:val="22"/>
        </w:rPr>
      </w:pPr>
      <w:hyperlink w:anchor="_Toc353438804" w:history="1">
        <w:r w:rsidR="00CC5E4D" w:rsidRPr="00CF0082">
          <w:rPr>
            <w:rStyle w:val="Hypertextovodkaz"/>
            <w:noProof/>
          </w:rPr>
          <w:t xml:space="preserve">Příloha 10 Upravené výkazy rozvah společnosti Q – MONT s. r. o. za období roku </w:t>
        </w:r>
        <w:r w:rsidR="00CC5E4D">
          <w:rPr>
            <w:rStyle w:val="Hypertextovodkaz"/>
            <w:noProof/>
          </w:rPr>
          <w:br/>
        </w:r>
        <w:r w:rsidR="00CC5E4D" w:rsidRPr="00CF0082">
          <w:rPr>
            <w:rStyle w:val="Hypertextovodkaz"/>
            <w:noProof/>
          </w:rPr>
          <w:t>2009 - 2011</w:t>
        </w:r>
        <w:r w:rsidR="00CC5E4D">
          <w:rPr>
            <w:noProof/>
            <w:webHidden/>
          </w:rPr>
          <w:tab/>
        </w:r>
        <w:r w:rsidR="00CC5E4D">
          <w:rPr>
            <w:noProof/>
            <w:webHidden/>
          </w:rPr>
          <w:fldChar w:fldCharType="begin"/>
        </w:r>
        <w:r w:rsidR="00CC5E4D">
          <w:rPr>
            <w:noProof/>
            <w:webHidden/>
          </w:rPr>
          <w:instrText xml:space="preserve"> PAGEREF _Toc353438804 \h </w:instrText>
        </w:r>
        <w:r w:rsidR="00CC5E4D">
          <w:rPr>
            <w:noProof/>
            <w:webHidden/>
          </w:rPr>
        </w:r>
        <w:r w:rsidR="00CC5E4D">
          <w:rPr>
            <w:noProof/>
            <w:webHidden/>
          </w:rPr>
          <w:fldChar w:fldCharType="separate"/>
        </w:r>
        <w:r w:rsidR="002534BA">
          <w:rPr>
            <w:noProof/>
            <w:webHidden/>
          </w:rPr>
          <w:t>70</w:t>
        </w:r>
        <w:r w:rsidR="00CC5E4D">
          <w:rPr>
            <w:noProof/>
            <w:webHidden/>
          </w:rPr>
          <w:fldChar w:fldCharType="end"/>
        </w:r>
      </w:hyperlink>
    </w:p>
    <w:p w:rsidR="00CC5E4D" w:rsidRDefault="00C96C2B">
      <w:pPr>
        <w:pStyle w:val="Seznamobrzk"/>
        <w:tabs>
          <w:tab w:val="right" w:leader="dot" w:pos="8494"/>
        </w:tabs>
        <w:rPr>
          <w:rFonts w:asciiTheme="minorHAnsi" w:eastAsiaTheme="minorEastAsia" w:hAnsiTheme="minorHAnsi" w:cstheme="minorBidi"/>
          <w:noProof/>
          <w:sz w:val="22"/>
          <w:szCs w:val="22"/>
        </w:rPr>
      </w:pPr>
      <w:hyperlink w:anchor="_Toc353438805" w:history="1">
        <w:r w:rsidR="00CC5E4D" w:rsidRPr="00CF0082">
          <w:rPr>
            <w:rStyle w:val="Hypertextovodkaz"/>
            <w:noProof/>
          </w:rPr>
          <w:t>Příloha 11 Upravené výkazy zisku a ztráty společnosti Q - MONT s. r. o. za období roku 2009 - 2011</w:t>
        </w:r>
        <w:r w:rsidR="00CC5E4D">
          <w:rPr>
            <w:noProof/>
            <w:webHidden/>
          </w:rPr>
          <w:tab/>
        </w:r>
        <w:r w:rsidR="00CC5E4D">
          <w:rPr>
            <w:noProof/>
            <w:webHidden/>
          </w:rPr>
          <w:fldChar w:fldCharType="begin"/>
        </w:r>
        <w:r w:rsidR="00CC5E4D">
          <w:rPr>
            <w:noProof/>
            <w:webHidden/>
          </w:rPr>
          <w:instrText xml:space="preserve"> PAGEREF _Toc353438805 \h </w:instrText>
        </w:r>
        <w:r w:rsidR="00CC5E4D">
          <w:rPr>
            <w:noProof/>
            <w:webHidden/>
          </w:rPr>
        </w:r>
        <w:r w:rsidR="00CC5E4D">
          <w:rPr>
            <w:noProof/>
            <w:webHidden/>
          </w:rPr>
          <w:fldChar w:fldCharType="separate"/>
        </w:r>
        <w:r w:rsidR="002534BA">
          <w:rPr>
            <w:noProof/>
            <w:webHidden/>
          </w:rPr>
          <w:t>78</w:t>
        </w:r>
        <w:r w:rsidR="00CC5E4D">
          <w:rPr>
            <w:noProof/>
            <w:webHidden/>
          </w:rPr>
          <w:fldChar w:fldCharType="end"/>
        </w:r>
      </w:hyperlink>
    </w:p>
    <w:p w:rsidR="00CC5E4D" w:rsidRDefault="00C96C2B">
      <w:pPr>
        <w:pStyle w:val="Seznamobrzk"/>
        <w:tabs>
          <w:tab w:val="right" w:leader="dot" w:pos="8494"/>
        </w:tabs>
        <w:rPr>
          <w:rFonts w:asciiTheme="minorHAnsi" w:eastAsiaTheme="minorEastAsia" w:hAnsiTheme="minorHAnsi" w:cstheme="minorBidi"/>
          <w:noProof/>
          <w:sz w:val="22"/>
          <w:szCs w:val="22"/>
        </w:rPr>
      </w:pPr>
      <w:hyperlink w:anchor="_Toc353438806" w:history="1">
        <w:r w:rsidR="00CC5E4D" w:rsidRPr="00CF0082">
          <w:rPr>
            <w:rStyle w:val="Hypertextovodkaz"/>
            <w:noProof/>
          </w:rPr>
          <w:t>Příloha 12 Účty nákladů a výnosů společnosti Q - MONT s. r. o.</w:t>
        </w:r>
        <w:r w:rsidR="00CC5E4D">
          <w:rPr>
            <w:noProof/>
            <w:webHidden/>
          </w:rPr>
          <w:tab/>
        </w:r>
        <w:r w:rsidR="00CC5E4D">
          <w:rPr>
            <w:noProof/>
            <w:webHidden/>
          </w:rPr>
          <w:fldChar w:fldCharType="begin"/>
        </w:r>
        <w:r w:rsidR="00CC5E4D">
          <w:rPr>
            <w:noProof/>
            <w:webHidden/>
          </w:rPr>
          <w:instrText xml:space="preserve"> PAGEREF _Toc353438806 \h </w:instrText>
        </w:r>
        <w:r w:rsidR="00CC5E4D">
          <w:rPr>
            <w:noProof/>
            <w:webHidden/>
          </w:rPr>
        </w:r>
        <w:r w:rsidR="00CC5E4D">
          <w:rPr>
            <w:noProof/>
            <w:webHidden/>
          </w:rPr>
          <w:fldChar w:fldCharType="separate"/>
        </w:r>
        <w:r w:rsidR="002534BA">
          <w:rPr>
            <w:noProof/>
            <w:webHidden/>
          </w:rPr>
          <w:t>80</w:t>
        </w:r>
        <w:r w:rsidR="00CC5E4D">
          <w:rPr>
            <w:noProof/>
            <w:webHidden/>
          </w:rPr>
          <w:fldChar w:fldCharType="end"/>
        </w:r>
      </w:hyperlink>
    </w:p>
    <w:p w:rsidR="00CC5E4D" w:rsidRDefault="00C96C2B">
      <w:pPr>
        <w:pStyle w:val="Seznamobrzk"/>
        <w:tabs>
          <w:tab w:val="right" w:leader="dot" w:pos="8494"/>
        </w:tabs>
        <w:rPr>
          <w:rFonts w:asciiTheme="minorHAnsi" w:eastAsiaTheme="minorEastAsia" w:hAnsiTheme="minorHAnsi" w:cstheme="minorBidi"/>
          <w:noProof/>
          <w:sz w:val="22"/>
          <w:szCs w:val="22"/>
        </w:rPr>
      </w:pPr>
      <w:hyperlink w:anchor="_Toc353438807" w:history="1">
        <w:r w:rsidR="00CC5E4D" w:rsidRPr="00CF0082">
          <w:rPr>
            <w:rStyle w:val="Hypertextovodkaz"/>
            <w:noProof/>
          </w:rPr>
          <w:t>Příloha 13 Příklad výpočtu ukazatelů likvidity</w:t>
        </w:r>
        <w:r w:rsidR="00CC5E4D">
          <w:rPr>
            <w:noProof/>
            <w:webHidden/>
          </w:rPr>
          <w:tab/>
        </w:r>
        <w:r w:rsidR="00CC5E4D">
          <w:rPr>
            <w:noProof/>
            <w:webHidden/>
          </w:rPr>
          <w:fldChar w:fldCharType="begin"/>
        </w:r>
        <w:r w:rsidR="00CC5E4D">
          <w:rPr>
            <w:noProof/>
            <w:webHidden/>
          </w:rPr>
          <w:instrText xml:space="preserve"> PAGEREF _Toc353438807 \h </w:instrText>
        </w:r>
        <w:r w:rsidR="00CC5E4D">
          <w:rPr>
            <w:noProof/>
            <w:webHidden/>
          </w:rPr>
        </w:r>
        <w:r w:rsidR="00CC5E4D">
          <w:rPr>
            <w:noProof/>
            <w:webHidden/>
          </w:rPr>
          <w:fldChar w:fldCharType="separate"/>
        </w:r>
        <w:r w:rsidR="002534BA">
          <w:rPr>
            <w:noProof/>
            <w:webHidden/>
          </w:rPr>
          <w:t>81</w:t>
        </w:r>
        <w:r w:rsidR="00CC5E4D">
          <w:rPr>
            <w:noProof/>
            <w:webHidden/>
          </w:rPr>
          <w:fldChar w:fldCharType="end"/>
        </w:r>
      </w:hyperlink>
    </w:p>
    <w:p w:rsidR="00CC5E4D" w:rsidRDefault="00C96C2B">
      <w:pPr>
        <w:pStyle w:val="Seznamobrzk"/>
        <w:tabs>
          <w:tab w:val="right" w:leader="dot" w:pos="8494"/>
        </w:tabs>
        <w:rPr>
          <w:rFonts w:asciiTheme="minorHAnsi" w:eastAsiaTheme="minorEastAsia" w:hAnsiTheme="minorHAnsi" w:cstheme="minorBidi"/>
          <w:noProof/>
          <w:sz w:val="22"/>
          <w:szCs w:val="22"/>
        </w:rPr>
      </w:pPr>
      <w:hyperlink w:anchor="_Toc353438808" w:history="1">
        <w:r w:rsidR="00CC5E4D" w:rsidRPr="00CF0082">
          <w:rPr>
            <w:rStyle w:val="Hypertextovodkaz"/>
            <w:noProof/>
          </w:rPr>
          <w:t>Příloha 14 Příklad výpočtu čistého pracovního kapitálu</w:t>
        </w:r>
        <w:r w:rsidR="00CC5E4D">
          <w:rPr>
            <w:noProof/>
            <w:webHidden/>
          </w:rPr>
          <w:tab/>
        </w:r>
        <w:r w:rsidR="00CC5E4D">
          <w:rPr>
            <w:noProof/>
            <w:webHidden/>
          </w:rPr>
          <w:fldChar w:fldCharType="begin"/>
        </w:r>
        <w:r w:rsidR="00CC5E4D">
          <w:rPr>
            <w:noProof/>
            <w:webHidden/>
          </w:rPr>
          <w:instrText xml:space="preserve"> PAGEREF _Toc353438808 \h </w:instrText>
        </w:r>
        <w:r w:rsidR="00CC5E4D">
          <w:rPr>
            <w:noProof/>
            <w:webHidden/>
          </w:rPr>
        </w:r>
        <w:r w:rsidR="00CC5E4D">
          <w:rPr>
            <w:noProof/>
            <w:webHidden/>
          </w:rPr>
          <w:fldChar w:fldCharType="separate"/>
        </w:r>
        <w:r w:rsidR="002534BA">
          <w:rPr>
            <w:noProof/>
            <w:webHidden/>
          </w:rPr>
          <w:t>82</w:t>
        </w:r>
        <w:r w:rsidR="00CC5E4D">
          <w:rPr>
            <w:noProof/>
            <w:webHidden/>
          </w:rPr>
          <w:fldChar w:fldCharType="end"/>
        </w:r>
      </w:hyperlink>
    </w:p>
    <w:p w:rsidR="00CC5E4D" w:rsidRDefault="00C96C2B">
      <w:pPr>
        <w:pStyle w:val="Seznamobrzk"/>
        <w:tabs>
          <w:tab w:val="right" w:leader="dot" w:pos="8494"/>
        </w:tabs>
        <w:rPr>
          <w:rFonts w:asciiTheme="minorHAnsi" w:eastAsiaTheme="minorEastAsia" w:hAnsiTheme="minorHAnsi" w:cstheme="minorBidi"/>
          <w:noProof/>
          <w:sz w:val="22"/>
          <w:szCs w:val="22"/>
        </w:rPr>
      </w:pPr>
      <w:hyperlink w:anchor="_Toc353438809" w:history="1">
        <w:r w:rsidR="00CC5E4D" w:rsidRPr="00CF0082">
          <w:rPr>
            <w:rStyle w:val="Hypertextovodkaz"/>
            <w:noProof/>
          </w:rPr>
          <w:t>Příloha 15 Příklad výpočtu doby obratu pohledávek a doby obratu závazků</w:t>
        </w:r>
        <w:r w:rsidR="00CC5E4D">
          <w:rPr>
            <w:noProof/>
            <w:webHidden/>
          </w:rPr>
          <w:tab/>
        </w:r>
        <w:r w:rsidR="00CC5E4D">
          <w:rPr>
            <w:noProof/>
            <w:webHidden/>
          </w:rPr>
          <w:fldChar w:fldCharType="begin"/>
        </w:r>
        <w:r w:rsidR="00CC5E4D">
          <w:rPr>
            <w:noProof/>
            <w:webHidden/>
          </w:rPr>
          <w:instrText xml:space="preserve"> PAGEREF _Toc353438809 \h </w:instrText>
        </w:r>
        <w:r w:rsidR="00CC5E4D">
          <w:rPr>
            <w:noProof/>
            <w:webHidden/>
          </w:rPr>
        </w:r>
        <w:r w:rsidR="00CC5E4D">
          <w:rPr>
            <w:noProof/>
            <w:webHidden/>
          </w:rPr>
          <w:fldChar w:fldCharType="separate"/>
        </w:r>
        <w:r w:rsidR="002534BA">
          <w:rPr>
            <w:noProof/>
            <w:webHidden/>
          </w:rPr>
          <w:t>82</w:t>
        </w:r>
        <w:r w:rsidR="00CC5E4D">
          <w:rPr>
            <w:noProof/>
            <w:webHidden/>
          </w:rPr>
          <w:fldChar w:fldCharType="end"/>
        </w:r>
      </w:hyperlink>
    </w:p>
    <w:p w:rsidR="00CC5E4D" w:rsidRDefault="00C96C2B">
      <w:pPr>
        <w:pStyle w:val="Seznamobrzk"/>
        <w:tabs>
          <w:tab w:val="right" w:leader="dot" w:pos="8494"/>
        </w:tabs>
        <w:rPr>
          <w:rFonts w:asciiTheme="minorHAnsi" w:eastAsiaTheme="minorEastAsia" w:hAnsiTheme="minorHAnsi" w:cstheme="minorBidi"/>
          <w:noProof/>
          <w:sz w:val="22"/>
          <w:szCs w:val="22"/>
        </w:rPr>
      </w:pPr>
      <w:hyperlink w:anchor="_Toc353438810" w:history="1">
        <w:r w:rsidR="00CC5E4D" w:rsidRPr="00CF0082">
          <w:rPr>
            <w:rStyle w:val="Hypertextovodkaz"/>
            <w:noProof/>
          </w:rPr>
          <w:t>Příloha 16 Příklad výpočtu ukazatele věřitelského rizika a koeficientu samofinancování</w:t>
        </w:r>
        <w:r w:rsidR="00CC5E4D">
          <w:rPr>
            <w:noProof/>
            <w:webHidden/>
          </w:rPr>
          <w:tab/>
        </w:r>
        <w:r w:rsidR="00CC5E4D">
          <w:rPr>
            <w:noProof/>
            <w:webHidden/>
          </w:rPr>
          <w:fldChar w:fldCharType="begin"/>
        </w:r>
        <w:r w:rsidR="00CC5E4D">
          <w:rPr>
            <w:noProof/>
            <w:webHidden/>
          </w:rPr>
          <w:instrText xml:space="preserve"> PAGEREF _Toc353438810 \h </w:instrText>
        </w:r>
        <w:r w:rsidR="00CC5E4D">
          <w:rPr>
            <w:noProof/>
            <w:webHidden/>
          </w:rPr>
        </w:r>
        <w:r w:rsidR="00CC5E4D">
          <w:rPr>
            <w:noProof/>
            <w:webHidden/>
          </w:rPr>
          <w:fldChar w:fldCharType="separate"/>
        </w:r>
        <w:r w:rsidR="002534BA">
          <w:rPr>
            <w:noProof/>
            <w:webHidden/>
          </w:rPr>
          <w:t>82</w:t>
        </w:r>
        <w:r w:rsidR="00CC5E4D">
          <w:rPr>
            <w:noProof/>
            <w:webHidden/>
          </w:rPr>
          <w:fldChar w:fldCharType="end"/>
        </w:r>
      </w:hyperlink>
    </w:p>
    <w:p w:rsidR="00E20FFE" w:rsidRDefault="00CC5E4D" w:rsidP="00CC5E4D">
      <w:pPr>
        <w:sectPr w:rsidR="00E20FFE" w:rsidSect="00CC5E4D">
          <w:pgSz w:w="11906" w:h="16838"/>
          <w:pgMar w:top="1418" w:right="1134" w:bottom="1418" w:left="2268" w:header="709" w:footer="709" w:gutter="0"/>
          <w:cols w:space="708"/>
          <w:docGrid w:linePitch="360"/>
        </w:sectPr>
      </w:pPr>
      <w:r>
        <w:fldChar w:fldCharType="end"/>
      </w:r>
    </w:p>
    <w:p w:rsidR="0039589D" w:rsidRPr="0039589D" w:rsidRDefault="0039589D" w:rsidP="00E20FFE">
      <w:pPr>
        <w:pStyle w:val="Nadpis2"/>
        <w:numPr>
          <w:ilvl w:val="0"/>
          <w:numId w:val="0"/>
        </w:numPr>
        <w:ind w:left="576" w:hanging="576"/>
      </w:pPr>
      <w:bookmarkStart w:id="257" w:name="_Toc353126189"/>
      <w:bookmarkStart w:id="258" w:name="_Toc353439378"/>
      <w:r>
        <w:lastRenderedPageBreak/>
        <w:t>Přílohy ke kapitole 4.1 Společnost KOVOVÝROBA s. r. o.</w:t>
      </w:r>
      <w:bookmarkEnd w:id="257"/>
      <w:bookmarkEnd w:id="258"/>
    </w:p>
    <w:p w:rsidR="00377196" w:rsidRPr="005202E0" w:rsidRDefault="005202E0" w:rsidP="000B4932">
      <w:pPr>
        <w:pStyle w:val="Titulek"/>
      </w:pPr>
      <w:bookmarkStart w:id="259" w:name="_Ref348711745"/>
      <w:bookmarkStart w:id="260" w:name="_Ref348554803"/>
      <w:bookmarkStart w:id="261" w:name="_Toc353437245"/>
      <w:bookmarkStart w:id="262" w:name="_Toc353438795"/>
      <w:r w:rsidRPr="005202E0">
        <w:t xml:space="preserve">Příloha </w:t>
      </w:r>
      <w:r w:rsidR="00C96C2B">
        <w:fldChar w:fldCharType="begin"/>
      </w:r>
      <w:r w:rsidR="00C96C2B">
        <w:instrText xml:space="preserve"> SEQ Příloha \* ARABIC </w:instrText>
      </w:r>
      <w:r w:rsidR="00C96C2B">
        <w:fldChar w:fldCharType="separate"/>
      </w:r>
      <w:r w:rsidR="002534BA">
        <w:rPr>
          <w:noProof/>
        </w:rPr>
        <w:t>1</w:t>
      </w:r>
      <w:r w:rsidR="00C96C2B">
        <w:rPr>
          <w:noProof/>
        </w:rPr>
        <w:fldChar w:fldCharType="end"/>
      </w:r>
      <w:bookmarkEnd w:id="259"/>
      <w:r w:rsidR="00377196" w:rsidRPr="005202E0">
        <w:t xml:space="preserve"> Upravené výkazy rozvah společnosti KOVOVÝROBA s. r. o. za obdo</w:t>
      </w:r>
      <w:r w:rsidR="00605E03" w:rsidRPr="005202E0">
        <w:t>b</w:t>
      </w:r>
      <w:r w:rsidR="00377196" w:rsidRPr="005202E0">
        <w:t>í roku 2009 - 2011</w:t>
      </w:r>
      <w:bookmarkEnd w:id="260"/>
      <w:bookmarkEnd w:id="261"/>
      <w:bookmarkEnd w:id="262"/>
    </w:p>
    <w:p w:rsidR="00377196" w:rsidRDefault="00377196" w:rsidP="00837C1D">
      <w:pPr>
        <w:pStyle w:val="Odstavecnormln"/>
      </w:pPr>
      <w:r>
        <w:t xml:space="preserve">Z důvodu přehlednosti byly výkazy rozvah společnosti KOVOVÝROBA s. r. o. </w:t>
      </w:r>
      <w:r w:rsidR="007E2F2B">
        <w:t>upraveny</w:t>
      </w:r>
      <w:r>
        <w:t xml:space="preserve"> do jedné tabulky.</w:t>
      </w:r>
      <w:r w:rsidR="007E2F2B">
        <w:t xml:space="preserve"> Označení položek a čísla řádků aktiv a pasiv odpovídají označení </w:t>
      </w:r>
      <w:r w:rsidR="00B6415D">
        <w:t xml:space="preserve">řádků ve </w:t>
      </w:r>
      <w:r w:rsidR="007E2F2B">
        <w:t>výkaz</w:t>
      </w:r>
      <w:r w:rsidR="00B6415D">
        <w:t>ech</w:t>
      </w:r>
      <w:r w:rsidR="007E2F2B">
        <w:t xml:space="preserve"> rozvah v plném rozsahu.</w:t>
      </w:r>
    </w:p>
    <w:p w:rsidR="007E2F2B" w:rsidRPr="00377196" w:rsidRDefault="007E2F2B" w:rsidP="00671C37">
      <w:pPr>
        <w:pStyle w:val="dajenadtabulkouazdroj"/>
      </w:pPr>
      <w:r>
        <w:t>Údaje jsou uvedeny v celých Kč</w:t>
      </w:r>
    </w:p>
    <w:tbl>
      <w:tblPr>
        <w:tblW w:w="14347" w:type="dxa"/>
        <w:jc w:val="center"/>
        <w:tblInd w:w="-72" w:type="dxa"/>
        <w:tblCellMar>
          <w:left w:w="70" w:type="dxa"/>
          <w:right w:w="70" w:type="dxa"/>
        </w:tblCellMar>
        <w:tblLook w:val="04A0" w:firstRow="1" w:lastRow="0" w:firstColumn="1" w:lastColumn="0" w:noHBand="0" w:noVBand="1"/>
      </w:tblPr>
      <w:tblGrid>
        <w:gridCol w:w="917"/>
        <w:gridCol w:w="2501"/>
        <w:gridCol w:w="582"/>
        <w:gridCol w:w="1145"/>
        <w:gridCol w:w="1230"/>
        <w:gridCol w:w="1074"/>
        <w:gridCol w:w="1145"/>
        <w:gridCol w:w="1230"/>
        <w:gridCol w:w="1074"/>
        <w:gridCol w:w="1145"/>
        <w:gridCol w:w="1230"/>
        <w:gridCol w:w="1074"/>
      </w:tblGrid>
      <w:tr w:rsidR="00377196" w:rsidRPr="00377196" w:rsidTr="00C336D4">
        <w:trPr>
          <w:trHeight w:val="495"/>
          <w:tblHeader/>
          <w:jc w:val="center"/>
        </w:trPr>
        <w:tc>
          <w:tcPr>
            <w:tcW w:w="917" w:type="dxa"/>
            <w:vMerge w:val="restart"/>
            <w:tcBorders>
              <w:top w:val="single" w:sz="12" w:space="0" w:color="auto"/>
              <w:left w:val="single" w:sz="12" w:space="0" w:color="auto"/>
              <w:bottom w:val="double" w:sz="6" w:space="0" w:color="000000"/>
              <w:right w:val="single" w:sz="4" w:space="0" w:color="auto"/>
            </w:tcBorders>
            <w:shd w:val="clear" w:color="auto" w:fill="E5DFEC" w:themeFill="accent4" w:themeFillTint="33"/>
            <w:vAlign w:val="center"/>
            <w:hideMark/>
          </w:tcPr>
          <w:p w:rsidR="00377196" w:rsidRPr="00377196" w:rsidRDefault="00377196" w:rsidP="00377196">
            <w:pPr>
              <w:spacing w:after="0" w:line="240" w:lineRule="auto"/>
              <w:jc w:val="center"/>
              <w:rPr>
                <w:b/>
                <w:bCs/>
                <w:color w:val="000000"/>
                <w:szCs w:val="22"/>
              </w:rPr>
            </w:pPr>
            <w:r w:rsidRPr="00377196">
              <w:rPr>
                <w:b/>
                <w:bCs/>
                <w:color w:val="000000"/>
                <w:sz w:val="22"/>
                <w:szCs w:val="22"/>
              </w:rPr>
              <w:t>OZN.</w:t>
            </w:r>
          </w:p>
        </w:tc>
        <w:tc>
          <w:tcPr>
            <w:tcW w:w="2501" w:type="dxa"/>
            <w:vMerge w:val="restart"/>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377196" w:rsidRPr="00377196" w:rsidRDefault="00C10B94" w:rsidP="00377196">
            <w:pPr>
              <w:spacing w:after="0" w:line="240" w:lineRule="auto"/>
              <w:jc w:val="center"/>
              <w:rPr>
                <w:b/>
                <w:bCs/>
                <w:color w:val="000000"/>
                <w:szCs w:val="22"/>
              </w:rPr>
            </w:pPr>
            <w:r>
              <w:rPr>
                <w:b/>
                <w:bCs/>
                <w:color w:val="000000"/>
                <w:sz w:val="22"/>
                <w:szCs w:val="22"/>
              </w:rPr>
              <w:t>AKTIVA</w:t>
            </w:r>
          </w:p>
        </w:tc>
        <w:tc>
          <w:tcPr>
            <w:tcW w:w="582" w:type="dxa"/>
            <w:vMerge w:val="restart"/>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377196" w:rsidRPr="00377196" w:rsidRDefault="00377196" w:rsidP="00581874">
            <w:pPr>
              <w:spacing w:after="0" w:line="240" w:lineRule="auto"/>
              <w:jc w:val="center"/>
              <w:rPr>
                <w:b/>
                <w:bCs/>
                <w:color w:val="000000"/>
                <w:szCs w:val="22"/>
              </w:rPr>
            </w:pPr>
            <w:proofErr w:type="gramStart"/>
            <w:r w:rsidRPr="00377196">
              <w:rPr>
                <w:b/>
                <w:bCs/>
                <w:color w:val="000000"/>
                <w:sz w:val="22"/>
                <w:szCs w:val="22"/>
              </w:rPr>
              <w:t>Č.Ř.</w:t>
            </w:r>
            <w:proofErr w:type="gramEnd"/>
          </w:p>
        </w:tc>
        <w:tc>
          <w:tcPr>
            <w:tcW w:w="3449" w:type="dxa"/>
            <w:gridSpan w:val="3"/>
            <w:tcBorders>
              <w:top w:val="single" w:sz="12" w:space="0" w:color="auto"/>
              <w:left w:val="nil"/>
              <w:bottom w:val="single" w:sz="4" w:space="0" w:color="auto"/>
              <w:right w:val="single" w:sz="4" w:space="0" w:color="auto"/>
            </w:tcBorders>
            <w:shd w:val="clear" w:color="auto" w:fill="E5DFEC" w:themeFill="accent4" w:themeFillTint="33"/>
            <w:vAlign w:val="center"/>
            <w:hideMark/>
          </w:tcPr>
          <w:p w:rsidR="00377196" w:rsidRPr="00377196" w:rsidRDefault="00377196" w:rsidP="00377196">
            <w:pPr>
              <w:spacing w:after="0" w:line="240" w:lineRule="auto"/>
              <w:jc w:val="center"/>
              <w:rPr>
                <w:b/>
                <w:bCs/>
                <w:color w:val="000000"/>
                <w:szCs w:val="22"/>
              </w:rPr>
            </w:pPr>
            <w:r w:rsidRPr="00377196">
              <w:rPr>
                <w:b/>
                <w:bCs/>
                <w:color w:val="000000"/>
                <w:sz w:val="22"/>
                <w:szCs w:val="22"/>
              </w:rPr>
              <w:t>2009</w:t>
            </w:r>
          </w:p>
        </w:tc>
        <w:tc>
          <w:tcPr>
            <w:tcW w:w="3449" w:type="dxa"/>
            <w:gridSpan w:val="3"/>
            <w:tcBorders>
              <w:top w:val="single" w:sz="12" w:space="0" w:color="auto"/>
              <w:left w:val="nil"/>
              <w:bottom w:val="single" w:sz="4" w:space="0" w:color="auto"/>
              <w:right w:val="single" w:sz="4" w:space="0" w:color="auto"/>
            </w:tcBorders>
            <w:shd w:val="clear" w:color="auto" w:fill="E5DFEC" w:themeFill="accent4" w:themeFillTint="33"/>
            <w:vAlign w:val="center"/>
            <w:hideMark/>
          </w:tcPr>
          <w:p w:rsidR="00377196" w:rsidRPr="00377196" w:rsidRDefault="00377196" w:rsidP="00377196">
            <w:pPr>
              <w:spacing w:after="0" w:line="240" w:lineRule="auto"/>
              <w:jc w:val="center"/>
              <w:rPr>
                <w:b/>
                <w:bCs/>
                <w:color w:val="000000"/>
                <w:szCs w:val="22"/>
              </w:rPr>
            </w:pPr>
            <w:r w:rsidRPr="00377196">
              <w:rPr>
                <w:b/>
                <w:bCs/>
                <w:color w:val="000000"/>
                <w:sz w:val="22"/>
                <w:szCs w:val="22"/>
              </w:rPr>
              <w:t>2010</w:t>
            </w:r>
          </w:p>
        </w:tc>
        <w:tc>
          <w:tcPr>
            <w:tcW w:w="3449" w:type="dxa"/>
            <w:gridSpan w:val="3"/>
            <w:tcBorders>
              <w:top w:val="single" w:sz="12" w:space="0" w:color="auto"/>
              <w:left w:val="nil"/>
              <w:bottom w:val="single" w:sz="4" w:space="0" w:color="auto"/>
              <w:right w:val="single" w:sz="12" w:space="0" w:color="000000"/>
            </w:tcBorders>
            <w:shd w:val="clear" w:color="auto" w:fill="E5DFEC" w:themeFill="accent4" w:themeFillTint="33"/>
            <w:vAlign w:val="center"/>
            <w:hideMark/>
          </w:tcPr>
          <w:p w:rsidR="00377196" w:rsidRPr="00377196" w:rsidRDefault="00377196" w:rsidP="00377196">
            <w:pPr>
              <w:spacing w:after="0" w:line="240" w:lineRule="auto"/>
              <w:jc w:val="center"/>
              <w:rPr>
                <w:b/>
                <w:bCs/>
                <w:color w:val="000000"/>
                <w:szCs w:val="22"/>
              </w:rPr>
            </w:pPr>
            <w:r w:rsidRPr="00377196">
              <w:rPr>
                <w:b/>
                <w:bCs/>
                <w:color w:val="000000"/>
                <w:sz w:val="22"/>
                <w:szCs w:val="22"/>
              </w:rPr>
              <w:t>2011</w:t>
            </w:r>
          </w:p>
        </w:tc>
      </w:tr>
      <w:tr w:rsidR="00377196" w:rsidRPr="00377196" w:rsidTr="00C336D4">
        <w:trPr>
          <w:trHeight w:val="495"/>
          <w:tblHeader/>
          <w:jc w:val="center"/>
        </w:trPr>
        <w:tc>
          <w:tcPr>
            <w:tcW w:w="917" w:type="dxa"/>
            <w:vMerge/>
            <w:tcBorders>
              <w:top w:val="single" w:sz="12" w:space="0" w:color="auto"/>
              <w:left w:val="single" w:sz="12" w:space="0" w:color="auto"/>
              <w:bottom w:val="double" w:sz="6" w:space="0" w:color="000000"/>
              <w:right w:val="single" w:sz="4" w:space="0" w:color="auto"/>
            </w:tcBorders>
            <w:shd w:val="clear" w:color="auto" w:fill="E5DFEC" w:themeFill="accent4" w:themeFillTint="33"/>
            <w:vAlign w:val="center"/>
            <w:hideMark/>
          </w:tcPr>
          <w:p w:rsidR="00377196" w:rsidRPr="00377196" w:rsidRDefault="00377196" w:rsidP="00377196">
            <w:pPr>
              <w:spacing w:after="0" w:line="240" w:lineRule="auto"/>
              <w:jc w:val="left"/>
              <w:rPr>
                <w:b/>
                <w:bCs/>
                <w:color w:val="000000"/>
                <w:szCs w:val="22"/>
              </w:rPr>
            </w:pPr>
          </w:p>
        </w:tc>
        <w:tc>
          <w:tcPr>
            <w:tcW w:w="2501" w:type="dxa"/>
            <w:vMerge/>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377196" w:rsidRPr="00377196" w:rsidRDefault="00377196" w:rsidP="00377196">
            <w:pPr>
              <w:spacing w:after="0" w:line="240" w:lineRule="auto"/>
              <w:jc w:val="left"/>
              <w:rPr>
                <w:b/>
                <w:bCs/>
                <w:color w:val="000000"/>
                <w:szCs w:val="22"/>
              </w:rPr>
            </w:pPr>
          </w:p>
        </w:tc>
        <w:tc>
          <w:tcPr>
            <w:tcW w:w="582" w:type="dxa"/>
            <w:vMerge/>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377196" w:rsidRPr="00377196" w:rsidRDefault="00377196" w:rsidP="00581874">
            <w:pPr>
              <w:spacing w:after="0" w:line="240" w:lineRule="auto"/>
              <w:jc w:val="center"/>
              <w:rPr>
                <w:b/>
                <w:bCs/>
                <w:color w:val="000000"/>
                <w:szCs w:val="22"/>
              </w:rPr>
            </w:pPr>
          </w:p>
        </w:tc>
        <w:tc>
          <w:tcPr>
            <w:tcW w:w="1145" w:type="dxa"/>
            <w:tcBorders>
              <w:top w:val="nil"/>
              <w:left w:val="nil"/>
              <w:bottom w:val="double" w:sz="6" w:space="0" w:color="auto"/>
              <w:right w:val="single" w:sz="4" w:space="0" w:color="auto"/>
            </w:tcBorders>
            <w:shd w:val="clear" w:color="auto" w:fill="E5DFEC" w:themeFill="accent4" w:themeFillTint="33"/>
            <w:vAlign w:val="center"/>
            <w:hideMark/>
          </w:tcPr>
          <w:p w:rsidR="00377196" w:rsidRPr="00377196" w:rsidRDefault="00377196" w:rsidP="00377196">
            <w:pPr>
              <w:spacing w:after="0" w:line="240" w:lineRule="auto"/>
              <w:jc w:val="center"/>
              <w:rPr>
                <w:b/>
                <w:bCs/>
                <w:color w:val="000000"/>
                <w:szCs w:val="22"/>
              </w:rPr>
            </w:pPr>
            <w:r w:rsidRPr="00377196">
              <w:rPr>
                <w:b/>
                <w:bCs/>
                <w:color w:val="000000"/>
                <w:sz w:val="22"/>
                <w:szCs w:val="22"/>
              </w:rPr>
              <w:t>brutto</w:t>
            </w:r>
          </w:p>
        </w:tc>
        <w:tc>
          <w:tcPr>
            <w:tcW w:w="1230" w:type="dxa"/>
            <w:tcBorders>
              <w:top w:val="nil"/>
              <w:left w:val="nil"/>
              <w:bottom w:val="double" w:sz="6" w:space="0" w:color="auto"/>
              <w:right w:val="single" w:sz="4" w:space="0" w:color="auto"/>
            </w:tcBorders>
            <w:shd w:val="clear" w:color="auto" w:fill="E5DFEC" w:themeFill="accent4" w:themeFillTint="33"/>
            <w:vAlign w:val="center"/>
            <w:hideMark/>
          </w:tcPr>
          <w:p w:rsidR="00377196" w:rsidRPr="00377196" w:rsidRDefault="00377196" w:rsidP="00377196">
            <w:pPr>
              <w:spacing w:after="0" w:line="240" w:lineRule="auto"/>
              <w:jc w:val="center"/>
              <w:rPr>
                <w:b/>
                <w:bCs/>
                <w:color w:val="000000"/>
                <w:szCs w:val="22"/>
              </w:rPr>
            </w:pPr>
            <w:r w:rsidRPr="00377196">
              <w:rPr>
                <w:b/>
                <w:bCs/>
                <w:color w:val="000000"/>
                <w:sz w:val="22"/>
                <w:szCs w:val="22"/>
              </w:rPr>
              <w:t>korekce</w:t>
            </w:r>
          </w:p>
        </w:tc>
        <w:tc>
          <w:tcPr>
            <w:tcW w:w="1074" w:type="dxa"/>
            <w:tcBorders>
              <w:top w:val="nil"/>
              <w:left w:val="nil"/>
              <w:bottom w:val="double" w:sz="6" w:space="0" w:color="auto"/>
              <w:right w:val="single" w:sz="4" w:space="0" w:color="auto"/>
            </w:tcBorders>
            <w:shd w:val="clear" w:color="auto" w:fill="E5DFEC" w:themeFill="accent4" w:themeFillTint="33"/>
            <w:vAlign w:val="center"/>
            <w:hideMark/>
          </w:tcPr>
          <w:p w:rsidR="00377196" w:rsidRPr="00377196" w:rsidRDefault="00377196" w:rsidP="00377196">
            <w:pPr>
              <w:spacing w:after="0" w:line="240" w:lineRule="auto"/>
              <w:jc w:val="center"/>
              <w:rPr>
                <w:b/>
                <w:bCs/>
                <w:color w:val="000000"/>
                <w:szCs w:val="22"/>
              </w:rPr>
            </w:pPr>
            <w:r w:rsidRPr="00377196">
              <w:rPr>
                <w:b/>
                <w:bCs/>
                <w:color w:val="000000"/>
                <w:sz w:val="22"/>
                <w:szCs w:val="22"/>
              </w:rPr>
              <w:t>netto</w:t>
            </w:r>
          </w:p>
        </w:tc>
        <w:tc>
          <w:tcPr>
            <w:tcW w:w="1145" w:type="dxa"/>
            <w:tcBorders>
              <w:top w:val="nil"/>
              <w:left w:val="nil"/>
              <w:bottom w:val="double" w:sz="6" w:space="0" w:color="auto"/>
              <w:right w:val="single" w:sz="4" w:space="0" w:color="auto"/>
            </w:tcBorders>
            <w:shd w:val="clear" w:color="auto" w:fill="E5DFEC" w:themeFill="accent4" w:themeFillTint="33"/>
            <w:vAlign w:val="center"/>
            <w:hideMark/>
          </w:tcPr>
          <w:p w:rsidR="00377196" w:rsidRPr="00377196" w:rsidRDefault="00377196" w:rsidP="00377196">
            <w:pPr>
              <w:spacing w:after="0" w:line="240" w:lineRule="auto"/>
              <w:jc w:val="center"/>
              <w:rPr>
                <w:b/>
                <w:bCs/>
                <w:color w:val="000000"/>
                <w:szCs w:val="22"/>
              </w:rPr>
            </w:pPr>
            <w:r w:rsidRPr="00377196">
              <w:rPr>
                <w:b/>
                <w:bCs/>
                <w:color w:val="000000"/>
                <w:sz w:val="22"/>
                <w:szCs w:val="22"/>
              </w:rPr>
              <w:t>brutto</w:t>
            </w:r>
          </w:p>
        </w:tc>
        <w:tc>
          <w:tcPr>
            <w:tcW w:w="1230" w:type="dxa"/>
            <w:tcBorders>
              <w:top w:val="nil"/>
              <w:left w:val="nil"/>
              <w:bottom w:val="double" w:sz="6" w:space="0" w:color="auto"/>
              <w:right w:val="single" w:sz="4" w:space="0" w:color="auto"/>
            </w:tcBorders>
            <w:shd w:val="clear" w:color="auto" w:fill="E5DFEC" w:themeFill="accent4" w:themeFillTint="33"/>
            <w:vAlign w:val="center"/>
            <w:hideMark/>
          </w:tcPr>
          <w:p w:rsidR="00377196" w:rsidRPr="00377196" w:rsidRDefault="00377196" w:rsidP="00377196">
            <w:pPr>
              <w:spacing w:after="0" w:line="240" w:lineRule="auto"/>
              <w:jc w:val="center"/>
              <w:rPr>
                <w:b/>
                <w:bCs/>
                <w:color w:val="000000"/>
                <w:szCs w:val="22"/>
              </w:rPr>
            </w:pPr>
            <w:r w:rsidRPr="00377196">
              <w:rPr>
                <w:b/>
                <w:bCs/>
                <w:color w:val="000000"/>
                <w:sz w:val="22"/>
                <w:szCs w:val="22"/>
              </w:rPr>
              <w:t>korekce</w:t>
            </w:r>
          </w:p>
        </w:tc>
        <w:tc>
          <w:tcPr>
            <w:tcW w:w="1074" w:type="dxa"/>
            <w:tcBorders>
              <w:top w:val="nil"/>
              <w:left w:val="nil"/>
              <w:bottom w:val="double" w:sz="6" w:space="0" w:color="auto"/>
              <w:right w:val="single" w:sz="4" w:space="0" w:color="auto"/>
            </w:tcBorders>
            <w:shd w:val="clear" w:color="auto" w:fill="E5DFEC" w:themeFill="accent4" w:themeFillTint="33"/>
            <w:vAlign w:val="center"/>
            <w:hideMark/>
          </w:tcPr>
          <w:p w:rsidR="00377196" w:rsidRPr="00377196" w:rsidRDefault="00377196" w:rsidP="00377196">
            <w:pPr>
              <w:spacing w:after="0" w:line="240" w:lineRule="auto"/>
              <w:jc w:val="center"/>
              <w:rPr>
                <w:b/>
                <w:bCs/>
                <w:color w:val="000000"/>
                <w:szCs w:val="22"/>
              </w:rPr>
            </w:pPr>
            <w:r w:rsidRPr="00377196">
              <w:rPr>
                <w:b/>
                <w:bCs/>
                <w:color w:val="000000"/>
                <w:sz w:val="22"/>
                <w:szCs w:val="22"/>
              </w:rPr>
              <w:t>netto</w:t>
            </w:r>
          </w:p>
        </w:tc>
        <w:tc>
          <w:tcPr>
            <w:tcW w:w="1145" w:type="dxa"/>
            <w:tcBorders>
              <w:top w:val="nil"/>
              <w:left w:val="nil"/>
              <w:bottom w:val="double" w:sz="6" w:space="0" w:color="auto"/>
              <w:right w:val="single" w:sz="4" w:space="0" w:color="auto"/>
            </w:tcBorders>
            <w:shd w:val="clear" w:color="auto" w:fill="E5DFEC" w:themeFill="accent4" w:themeFillTint="33"/>
            <w:vAlign w:val="center"/>
            <w:hideMark/>
          </w:tcPr>
          <w:p w:rsidR="00377196" w:rsidRPr="00377196" w:rsidRDefault="00377196" w:rsidP="00377196">
            <w:pPr>
              <w:spacing w:after="0" w:line="240" w:lineRule="auto"/>
              <w:jc w:val="center"/>
              <w:rPr>
                <w:b/>
                <w:bCs/>
                <w:color w:val="000000"/>
                <w:szCs w:val="22"/>
              </w:rPr>
            </w:pPr>
            <w:r w:rsidRPr="00377196">
              <w:rPr>
                <w:b/>
                <w:bCs/>
                <w:color w:val="000000"/>
                <w:sz w:val="22"/>
                <w:szCs w:val="22"/>
              </w:rPr>
              <w:t>brutto</w:t>
            </w:r>
          </w:p>
        </w:tc>
        <w:tc>
          <w:tcPr>
            <w:tcW w:w="1230" w:type="dxa"/>
            <w:tcBorders>
              <w:top w:val="nil"/>
              <w:left w:val="nil"/>
              <w:bottom w:val="double" w:sz="6" w:space="0" w:color="auto"/>
              <w:right w:val="single" w:sz="4" w:space="0" w:color="auto"/>
            </w:tcBorders>
            <w:shd w:val="clear" w:color="auto" w:fill="E5DFEC" w:themeFill="accent4" w:themeFillTint="33"/>
            <w:vAlign w:val="center"/>
            <w:hideMark/>
          </w:tcPr>
          <w:p w:rsidR="00377196" w:rsidRPr="00377196" w:rsidRDefault="00377196" w:rsidP="00377196">
            <w:pPr>
              <w:spacing w:after="0" w:line="240" w:lineRule="auto"/>
              <w:jc w:val="center"/>
              <w:rPr>
                <w:b/>
                <w:bCs/>
                <w:color w:val="000000"/>
                <w:szCs w:val="22"/>
              </w:rPr>
            </w:pPr>
            <w:r w:rsidRPr="00377196">
              <w:rPr>
                <w:b/>
                <w:bCs/>
                <w:color w:val="000000"/>
                <w:sz w:val="22"/>
                <w:szCs w:val="22"/>
              </w:rPr>
              <w:t>korekce</w:t>
            </w:r>
          </w:p>
        </w:tc>
        <w:tc>
          <w:tcPr>
            <w:tcW w:w="1074" w:type="dxa"/>
            <w:tcBorders>
              <w:top w:val="nil"/>
              <w:left w:val="nil"/>
              <w:bottom w:val="double" w:sz="6" w:space="0" w:color="auto"/>
              <w:right w:val="single" w:sz="12" w:space="0" w:color="auto"/>
            </w:tcBorders>
            <w:shd w:val="clear" w:color="auto" w:fill="E5DFEC" w:themeFill="accent4" w:themeFillTint="33"/>
            <w:vAlign w:val="center"/>
            <w:hideMark/>
          </w:tcPr>
          <w:p w:rsidR="00377196" w:rsidRPr="00377196" w:rsidRDefault="00377196" w:rsidP="00377196">
            <w:pPr>
              <w:spacing w:after="0" w:line="240" w:lineRule="auto"/>
              <w:jc w:val="center"/>
              <w:rPr>
                <w:b/>
                <w:bCs/>
                <w:color w:val="000000"/>
                <w:szCs w:val="22"/>
              </w:rPr>
            </w:pPr>
            <w:r w:rsidRPr="00377196">
              <w:rPr>
                <w:b/>
                <w:bCs/>
                <w:color w:val="000000"/>
                <w:sz w:val="22"/>
                <w:szCs w:val="22"/>
              </w:rPr>
              <w:t>netto</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AKTIVA CELKEM</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1</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298 812</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298 812</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1 573 397</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1 573 397</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1 162 030</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-44 500</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1 117 530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A.</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Pohledávky za upsaný základní kapitál</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2</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B.</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Dlouhodobý majetek</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3</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57 300</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57 300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170 129</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170 129</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163 500</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-44 500</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119 000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proofErr w:type="gramStart"/>
            <w:r w:rsidRPr="00377196">
              <w:rPr>
                <w:color w:val="000000"/>
                <w:sz w:val="22"/>
                <w:szCs w:val="22"/>
              </w:rPr>
              <w:t>B.  I.</w:t>
            </w:r>
            <w:proofErr w:type="gramEnd"/>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Dlouhodobý nehmotný majetek</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4</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proofErr w:type="gramStart"/>
            <w:r w:rsidRPr="00377196">
              <w:rPr>
                <w:color w:val="000000"/>
                <w:sz w:val="22"/>
                <w:szCs w:val="22"/>
              </w:rPr>
              <w:t>B.  I.1.</w:t>
            </w:r>
            <w:proofErr w:type="gramEnd"/>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Zřizovací výdaje</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5</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2.</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Nehmotné výsledky výzkumu a vývoje</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6</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3.</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Software</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7</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lastRenderedPageBreak/>
              <w:t xml:space="preserve">    </w:t>
            </w:r>
            <w:r w:rsidR="0021609E">
              <w:rPr>
                <w:color w:val="000000"/>
                <w:sz w:val="22"/>
                <w:szCs w:val="22"/>
              </w:rPr>
              <w:t xml:space="preserve">  </w:t>
            </w:r>
            <w:r w:rsidRPr="00377196">
              <w:rPr>
                <w:color w:val="000000"/>
                <w:sz w:val="22"/>
                <w:szCs w:val="22"/>
              </w:rPr>
              <w:t xml:space="preserve">  4.</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Ocenitelná práva</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8</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5.</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Goodwill</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9</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6.</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Jiný dlouhodobý nehmotný majetek</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10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7.</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Nedokončený dlouhodobý nehmotný majetek</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11</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600"/>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8.</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Poskytnuté zálohy na dlouhodobý nehmotný majetek</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12</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B. II.</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Dlouhodobý hmotný majetek</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13</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57 300</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57 300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170 129</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170 129</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163 500</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-44 500</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119 000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B. </w:t>
            </w:r>
            <w:proofErr w:type="gramStart"/>
            <w:r w:rsidRPr="00377196">
              <w:rPr>
                <w:color w:val="000000"/>
                <w:sz w:val="22"/>
                <w:szCs w:val="22"/>
              </w:rPr>
              <w:t>II.1.</w:t>
            </w:r>
            <w:proofErr w:type="gramEnd"/>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Pozemky</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14</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2.</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Stavby</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15</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600"/>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3.</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Samostatné movité věci a soubory movitých věcí</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16</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57 300</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57 300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170 129</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170 129</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163 500</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-44 500</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119 000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4.</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Pěstitelské celky trvalých porostů</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17</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5.</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Dospělá zvířata a jejich skupiny</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18</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lastRenderedPageBreak/>
              <w:t xml:space="preserve">  </w:t>
            </w:r>
            <w:r w:rsidR="0021609E">
              <w:rPr>
                <w:color w:val="000000"/>
                <w:sz w:val="22"/>
                <w:szCs w:val="22"/>
              </w:rPr>
              <w:t xml:space="preserve">   </w:t>
            </w:r>
            <w:r w:rsidRPr="00377196">
              <w:rPr>
                <w:color w:val="000000"/>
                <w:sz w:val="22"/>
                <w:szCs w:val="22"/>
              </w:rPr>
              <w:t xml:space="preserve">    6.</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Jiný dlouhodobý hmotný majetek</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19</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7.</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Nedokončený dlouhodobý hmotný majetek</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20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600"/>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8.</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Poskytnuté zálohy na dlouhodobý hmotný majetek</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21</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9.</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Oceňovací rozdíl k nabytému majetku</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22</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proofErr w:type="gramStart"/>
            <w:r w:rsidRPr="00377196">
              <w:rPr>
                <w:color w:val="000000"/>
                <w:sz w:val="22"/>
                <w:szCs w:val="22"/>
              </w:rPr>
              <w:t>B.III</w:t>
            </w:r>
            <w:proofErr w:type="gramEnd"/>
            <w:r w:rsidRPr="00377196">
              <w:rPr>
                <w:color w:val="000000"/>
                <w:sz w:val="22"/>
                <w:szCs w:val="22"/>
              </w:rPr>
              <w:t>.</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Dlouhodobý finanční majetek</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23</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proofErr w:type="gramStart"/>
            <w:r w:rsidRPr="00377196">
              <w:rPr>
                <w:color w:val="000000"/>
                <w:sz w:val="22"/>
                <w:szCs w:val="22"/>
              </w:rPr>
              <w:t>B.III</w:t>
            </w:r>
            <w:proofErr w:type="gramEnd"/>
            <w:r w:rsidRPr="00377196">
              <w:rPr>
                <w:color w:val="000000"/>
                <w:sz w:val="22"/>
                <w:szCs w:val="22"/>
              </w:rPr>
              <w:t>.1.</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Podíly v ovládaných a řízených osobách</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24</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600"/>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2.</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Podíly v účetních jednotkách pod podstatným vlivem</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25</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3.</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Ostatní dlouhodobé cenné papíry a podíly</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26</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600"/>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4.</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Půjčky a úvěry - ovládající a řídící osoba, podstatný vliv</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27</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lastRenderedPageBreak/>
              <w:t xml:space="preserve">   </w:t>
            </w:r>
            <w:r w:rsidR="0021609E">
              <w:rPr>
                <w:color w:val="000000"/>
                <w:sz w:val="22"/>
                <w:szCs w:val="22"/>
              </w:rPr>
              <w:t xml:space="preserve">   </w:t>
            </w:r>
            <w:r w:rsidRPr="00377196">
              <w:rPr>
                <w:color w:val="000000"/>
                <w:sz w:val="22"/>
                <w:szCs w:val="22"/>
              </w:rPr>
              <w:t xml:space="preserve">   5.</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Jiný dlouhodobý finanční majetek</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28</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6.</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Pořizovaný dlouhodobý finanční majetek</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29</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600"/>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7.</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Poskytnuté zálohy na dlouhodobý finanční majetek</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30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C.</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Oběžná aktiva</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31</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241 512</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241 512</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1 403 268</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1 403 268</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998 530</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998 530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proofErr w:type="gramStart"/>
            <w:r w:rsidRPr="00377196">
              <w:rPr>
                <w:color w:val="000000"/>
                <w:sz w:val="22"/>
                <w:szCs w:val="22"/>
              </w:rPr>
              <w:t>C.  I.</w:t>
            </w:r>
            <w:proofErr w:type="gramEnd"/>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Zásoby</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32</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625 600</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625 600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235 000</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235 000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proofErr w:type="gramStart"/>
            <w:r w:rsidRPr="00377196">
              <w:rPr>
                <w:color w:val="000000"/>
                <w:sz w:val="22"/>
                <w:szCs w:val="22"/>
              </w:rPr>
              <w:t>C.  I.</w:t>
            </w:r>
            <w:r w:rsidR="0021609E">
              <w:rPr>
                <w:color w:val="000000"/>
                <w:sz w:val="22"/>
                <w:szCs w:val="22"/>
              </w:rPr>
              <w:t xml:space="preserve"> </w:t>
            </w:r>
            <w:r w:rsidRPr="00377196">
              <w:rPr>
                <w:color w:val="000000"/>
                <w:sz w:val="22"/>
                <w:szCs w:val="22"/>
              </w:rPr>
              <w:t>1.</w:t>
            </w:r>
            <w:proofErr w:type="gramEnd"/>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Materiál</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33</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250 000</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250 000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235 000</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235 000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2.</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Nedokončená výroba a polotovary</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34</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375 600</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375 600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3.</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Výrobky</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35</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4.</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Mladá a ostatní zvířata a jejich skupiny</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36</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5.</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Zboží</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37</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6.</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Poskytnuté zálohy na zásoby</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38</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C. II.</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Dlouhodobé pohledávky</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39</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lastRenderedPageBreak/>
              <w:t xml:space="preserve">C. </w:t>
            </w:r>
            <w:proofErr w:type="gramStart"/>
            <w:r w:rsidRPr="00377196">
              <w:rPr>
                <w:color w:val="000000"/>
                <w:sz w:val="22"/>
                <w:szCs w:val="22"/>
              </w:rPr>
              <w:t>II.1.</w:t>
            </w:r>
            <w:proofErr w:type="gramEnd"/>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Pohledávky z obchodních vztahů</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40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21609E" w:rsidP="00377196">
            <w:pPr>
              <w:spacing w:after="0" w:line="240" w:lineRule="auto"/>
              <w:jc w:val="left"/>
              <w:rPr>
                <w:color w:val="000000"/>
                <w:szCs w:val="22"/>
              </w:rPr>
            </w:pPr>
            <w:r>
              <w:rPr>
                <w:color w:val="000000"/>
                <w:sz w:val="22"/>
                <w:szCs w:val="22"/>
              </w:rPr>
              <w:t xml:space="preserve">   </w:t>
            </w:r>
            <w:r w:rsidR="00377196" w:rsidRPr="00377196">
              <w:rPr>
                <w:color w:val="000000"/>
                <w:sz w:val="22"/>
                <w:szCs w:val="22"/>
              </w:rPr>
              <w:t xml:space="preserve">      2.</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Pohledávky - ovládající a řídící osoba</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41</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3.</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Pohledávky - podstatný vliv</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42</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600"/>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4.</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Pohledávky za spol., členy družstva a za účastníky sdružení</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43</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5.</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Dlouhodobé poskytnuté zálohy</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44</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6.</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Dohadné účty aktivní</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45</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7.</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Jiné pohledávky</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46</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8.</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Odložená daňová pohledávka</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47</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proofErr w:type="gramStart"/>
            <w:r w:rsidRPr="00377196">
              <w:rPr>
                <w:color w:val="000000"/>
                <w:sz w:val="22"/>
                <w:szCs w:val="22"/>
              </w:rPr>
              <w:t>C.III</w:t>
            </w:r>
            <w:proofErr w:type="gramEnd"/>
            <w:r w:rsidRPr="00377196">
              <w:rPr>
                <w:color w:val="000000"/>
                <w:sz w:val="22"/>
                <w:szCs w:val="22"/>
              </w:rPr>
              <w:t>.</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Krátkodobé pohledávky</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48</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240 838</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240 838</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758 192</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758 192</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701 508</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701 508</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proofErr w:type="gramStart"/>
            <w:r w:rsidRPr="00377196">
              <w:rPr>
                <w:color w:val="000000"/>
                <w:sz w:val="22"/>
                <w:szCs w:val="22"/>
              </w:rPr>
              <w:t>C.III</w:t>
            </w:r>
            <w:proofErr w:type="gramEnd"/>
            <w:r w:rsidRPr="00377196">
              <w:rPr>
                <w:color w:val="000000"/>
                <w:sz w:val="22"/>
                <w:szCs w:val="22"/>
              </w:rPr>
              <w:t>.1.</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Pohledávky z obchodních vztahů</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49</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240 838</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240 838</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738 192</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738 192</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701 508</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701 508</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2.</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Pohledávky - ovládající a řídící osoba</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50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lastRenderedPageBreak/>
              <w:t xml:space="preserve">   </w:t>
            </w:r>
            <w:r w:rsidR="0021609E">
              <w:rPr>
                <w:color w:val="000000"/>
                <w:sz w:val="22"/>
                <w:szCs w:val="22"/>
              </w:rPr>
              <w:t xml:space="preserve">   </w:t>
            </w:r>
            <w:r w:rsidRPr="00377196">
              <w:rPr>
                <w:color w:val="000000"/>
                <w:sz w:val="22"/>
                <w:szCs w:val="22"/>
              </w:rPr>
              <w:t xml:space="preserve">   3.</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Pohledávky - podstatný vliv</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51</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600"/>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4.</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Pohledávky za spol., členy družstva a za účastníky sdružení</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52</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5.</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Sociální zabezpečení a zdravotní pojištění</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53</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6.</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Stát - daňové pohledávky</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54</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7.</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Krátkodobé poskytnuté zálohy</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55</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20 000</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20 000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8.</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Dohadné účty aktivní</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56</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9.</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Jiné pohledávky</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57</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C. IV.</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Krátkodobý finanční majetek</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58</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675</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675</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19 476</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19 476</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62 022</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62 022</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21609E" w:rsidP="00377196">
            <w:pPr>
              <w:spacing w:after="0" w:line="240" w:lineRule="auto"/>
              <w:jc w:val="left"/>
              <w:rPr>
                <w:color w:val="000000"/>
                <w:szCs w:val="22"/>
              </w:rPr>
            </w:pPr>
            <w:proofErr w:type="gramStart"/>
            <w:r>
              <w:rPr>
                <w:color w:val="000000"/>
                <w:sz w:val="22"/>
                <w:szCs w:val="22"/>
              </w:rPr>
              <w:t>C.</w:t>
            </w:r>
            <w:r w:rsidR="00377196" w:rsidRPr="00377196">
              <w:rPr>
                <w:color w:val="000000"/>
                <w:sz w:val="22"/>
                <w:szCs w:val="22"/>
              </w:rPr>
              <w:t>IV</w:t>
            </w:r>
            <w:proofErr w:type="gramEnd"/>
            <w:r w:rsidR="00377196" w:rsidRPr="00377196">
              <w:rPr>
                <w:color w:val="000000"/>
                <w:sz w:val="22"/>
                <w:szCs w:val="22"/>
              </w:rPr>
              <w:t>.1.</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Peníze</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59</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-44 470</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-44 470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-41 604</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-41 604</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-20 741</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-20 741</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2.</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Účty v bankách</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60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45 144</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45 144</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61 080</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61 080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82 763</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82 763</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3.</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Krátkodobé cenné papíry a podíly</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61</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4.</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Pořizovaný krátkodobý </w:t>
            </w:r>
            <w:r w:rsidRPr="00377196">
              <w:rPr>
                <w:color w:val="000000"/>
                <w:sz w:val="22"/>
                <w:szCs w:val="22"/>
              </w:rPr>
              <w:lastRenderedPageBreak/>
              <w:t>finanční majetek</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lastRenderedPageBreak/>
              <w:t>62</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proofErr w:type="gramStart"/>
            <w:r w:rsidRPr="00377196">
              <w:rPr>
                <w:color w:val="000000"/>
                <w:sz w:val="22"/>
                <w:szCs w:val="22"/>
              </w:rPr>
              <w:lastRenderedPageBreak/>
              <w:t>D.  I.</w:t>
            </w:r>
            <w:proofErr w:type="gramEnd"/>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Časové rozlišení</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63</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proofErr w:type="gramStart"/>
            <w:r w:rsidRPr="00377196">
              <w:rPr>
                <w:color w:val="000000"/>
                <w:sz w:val="22"/>
                <w:szCs w:val="22"/>
              </w:rPr>
              <w:t>D.  I.1.</w:t>
            </w:r>
            <w:proofErr w:type="gramEnd"/>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Náklady příštích období</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64</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2.</w:t>
            </w:r>
          </w:p>
        </w:tc>
        <w:tc>
          <w:tcPr>
            <w:tcW w:w="2501"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Komplexní náklady příštích období</w:t>
            </w:r>
          </w:p>
        </w:tc>
        <w:tc>
          <w:tcPr>
            <w:tcW w:w="582"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65</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4"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4"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r w:rsidR="00377196" w:rsidRPr="00377196" w:rsidTr="005B2D51">
        <w:trPr>
          <w:trHeight w:val="342"/>
          <w:jc w:val="center"/>
        </w:trPr>
        <w:tc>
          <w:tcPr>
            <w:tcW w:w="917" w:type="dxa"/>
            <w:tcBorders>
              <w:top w:val="nil"/>
              <w:left w:val="single" w:sz="12" w:space="0" w:color="auto"/>
              <w:bottom w:val="single" w:sz="12"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xml:space="preserve">    </w:t>
            </w:r>
            <w:r w:rsidR="0021609E">
              <w:rPr>
                <w:color w:val="000000"/>
                <w:sz w:val="22"/>
                <w:szCs w:val="22"/>
              </w:rPr>
              <w:t xml:space="preserve">   </w:t>
            </w:r>
            <w:r w:rsidRPr="00377196">
              <w:rPr>
                <w:color w:val="000000"/>
                <w:sz w:val="22"/>
                <w:szCs w:val="22"/>
              </w:rPr>
              <w:t xml:space="preserve">  3.</w:t>
            </w:r>
          </w:p>
        </w:tc>
        <w:tc>
          <w:tcPr>
            <w:tcW w:w="2501" w:type="dxa"/>
            <w:tcBorders>
              <w:top w:val="nil"/>
              <w:left w:val="nil"/>
              <w:bottom w:val="single" w:sz="12"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Příjmy příštích období</w:t>
            </w:r>
          </w:p>
        </w:tc>
        <w:tc>
          <w:tcPr>
            <w:tcW w:w="582" w:type="dxa"/>
            <w:tcBorders>
              <w:top w:val="nil"/>
              <w:left w:val="nil"/>
              <w:bottom w:val="single" w:sz="12" w:space="0" w:color="auto"/>
              <w:right w:val="single" w:sz="4" w:space="0" w:color="auto"/>
            </w:tcBorders>
            <w:shd w:val="clear" w:color="auto" w:fill="auto"/>
            <w:vAlign w:val="center"/>
            <w:hideMark/>
          </w:tcPr>
          <w:p w:rsidR="00377196" w:rsidRPr="00377196" w:rsidRDefault="00377196" w:rsidP="00581874">
            <w:pPr>
              <w:spacing w:after="0" w:line="240" w:lineRule="auto"/>
              <w:jc w:val="center"/>
              <w:rPr>
                <w:color w:val="000000"/>
                <w:szCs w:val="22"/>
              </w:rPr>
            </w:pPr>
            <w:r w:rsidRPr="00377196">
              <w:rPr>
                <w:color w:val="000000"/>
                <w:sz w:val="22"/>
                <w:szCs w:val="22"/>
              </w:rPr>
              <w:t>66</w:t>
            </w:r>
          </w:p>
        </w:tc>
        <w:tc>
          <w:tcPr>
            <w:tcW w:w="1145" w:type="dxa"/>
            <w:tcBorders>
              <w:top w:val="nil"/>
              <w:left w:val="nil"/>
              <w:bottom w:val="single" w:sz="12"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12"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12"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12"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12"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12" w:space="0" w:color="auto"/>
              <w:right w:val="single" w:sz="4"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c>
          <w:tcPr>
            <w:tcW w:w="1145" w:type="dxa"/>
            <w:tcBorders>
              <w:top w:val="nil"/>
              <w:left w:val="nil"/>
              <w:bottom w:val="single" w:sz="12"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230" w:type="dxa"/>
            <w:tcBorders>
              <w:top w:val="nil"/>
              <w:left w:val="nil"/>
              <w:bottom w:val="single" w:sz="12" w:space="0" w:color="auto"/>
              <w:right w:val="single" w:sz="4" w:space="0" w:color="auto"/>
            </w:tcBorders>
            <w:shd w:val="clear" w:color="auto" w:fill="auto"/>
            <w:vAlign w:val="center"/>
            <w:hideMark/>
          </w:tcPr>
          <w:p w:rsidR="00377196" w:rsidRPr="00377196" w:rsidRDefault="00377196" w:rsidP="00377196">
            <w:pPr>
              <w:spacing w:after="0" w:line="240" w:lineRule="auto"/>
              <w:jc w:val="left"/>
              <w:rPr>
                <w:color w:val="000000"/>
                <w:szCs w:val="22"/>
              </w:rPr>
            </w:pPr>
            <w:r w:rsidRPr="00377196">
              <w:rPr>
                <w:color w:val="000000"/>
                <w:sz w:val="22"/>
                <w:szCs w:val="22"/>
              </w:rPr>
              <w:t> </w:t>
            </w:r>
          </w:p>
        </w:tc>
        <w:tc>
          <w:tcPr>
            <w:tcW w:w="1074" w:type="dxa"/>
            <w:tcBorders>
              <w:top w:val="nil"/>
              <w:left w:val="nil"/>
              <w:bottom w:val="single" w:sz="12" w:space="0" w:color="auto"/>
              <w:right w:val="single" w:sz="12" w:space="0" w:color="auto"/>
            </w:tcBorders>
            <w:shd w:val="clear" w:color="auto" w:fill="auto"/>
            <w:vAlign w:val="center"/>
            <w:hideMark/>
          </w:tcPr>
          <w:p w:rsidR="00377196" w:rsidRPr="00377196" w:rsidRDefault="00377196" w:rsidP="00377196">
            <w:pPr>
              <w:spacing w:after="0" w:line="240" w:lineRule="auto"/>
              <w:jc w:val="right"/>
              <w:rPr>
                <w:color w:val="000000"/>
                <w:szCs w:val="22"/>
              </w:rPr>
            </w:pPr>
            <w:r w:rsidRPr="00377196">
              <w:rPr>
                <w:color w:val="000000"/>
                <w:sz w:val="22"/>
                <w:szCs w:val="22"/>
              </w:rPr>
              <w:t>0</w:t>
            </w:r>
          </w:p>
        </w:tc>
      </w:tr>
    </w:tbl>
    <w:p w:rsidR="00C10B94" w:rsidRDefault="00C10B94">
      <w:pPr>
        <w:sectPr w:rsidR="00C10B94" w:rsidSect="00FA319B">
          <w:headerReference w:type="default" r:id="rId21"/>
          <w:pgSz w:w="16838" w:h="11906" w:orient="landscape"/>
          <w:pgMar w:top="1418" w:right="1134" w:bottom="1418" w:left="2268" w:header="709" w:footer="709" w:gutter="0"/>
          <w:cols w:space="708"/>
          <w:docGrid w:linePitch="360"/>
        </w:sectPr>
      </w:pPr>
    </w:p>
    <w:tbl>
      <w:tblPr>
        <w:tblW w:w="9072" w:type="dxa"/>
        <w:jc w:val="center"/>
        <w:tblInd w:w="55" w:type="dxa"/>
        <w:tblCellMar>
          <w:left w:w="70" w:type="dxa"/>
          <w:right w:w="70" w:type="dxa"/>
        </w:tblCellMar>
        <w:tblLook w:val="04A0" w:firstRow="1" w:lastRow="0" w:firstColumn="1" w:lastColumn="0" w:noHBand="0" w:noVBand="1"/>
      </w:tblPr>
      <w:tblGrid>
        <w:gridCol w:w="865"/>
        <w:gridCol w:w="4350"/>
        <w:gridCol w:w="643"/>
        <w:gridCol w:w="1050"/>
        <w:gridCol w:w="1050"/>
        <w:gridCol w:w="1114"/>
      </w:tblGrid>
      <w:tr w:rsidR="00C10B94" w:rsidRPr="00C10B94" w:rsidTr="00C336D4">
        <w:trPr>
          <w:trHeight w:val="495"/>
          <w:tblHeader/>
          <w:jc w:val="center"/>
        </w:trPr>
        <w:tc>
          <w:tcPr>
            <w:tcW w:w="800" w:type="dxa"/>
            <w:tcBorders>
              <w:top w:val="single" w:sz="12" w:space="0" w:color="auto"/>
              <w:left w:val="single" w:sz="12" w:space="0" w:color="auto"/>
              <w:bottom w:val="double" w:sz="6" w:space="0" w:color="auto"/>
              <w:right w:val="single" w:sz="4" w:space="0" w:color="auto"/>
            </w:tcBorders>
            <w:shd w:val="clear" w:color="auto" w:fill="E5DFEC" w:themeFill="accent4" w:themeFillTint="33"/>
            <w:vAlign w:val="center"/>
            <w:hideMark/>
          </w:tcPr>
          <w:p w:rsidR="00C10B94" w:rsidRPr="00C10B94" w:rsidRDefault="00C10B94" w:rsidP="00C10B94">
            <w:pPr>
              <w:spacing w:after="0" w:line="240" w:lineRule="auto"/>
              <w:jc w:val="center"/>
              <w:rPr>
                <w:b/>
                <w:bCs/>
                <w:color w:val="000000"/>
                <w:szCs w:val="22"/>
              </w:rPr>
            </w:pPr>
            <w:r w:rsidRPr="00C10B94">
              <w:rPr>
                <w:b/>
                <w:bCs/>
                <w:color w:val="000000"/>
                <w:sz w:val="22"/>
                <w:szCs w:val="22"/>
              </w:rPr>
              <w:lastRenderedPageBreak/>
              <w:t>OZN.</w:t>
            </w:r>
          </w:p>
        </w:tc>
        <w:tc>
          <w:tcPr>
            <w:tcW w:w="4060"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C10B94" w:rsidRPr="00C10B94" w:rsidRDefault="00C10B94" w:rsidP="00C10B94">
            <w:pPr>
              <w:spacing w:after="0" w:line="240" w:lineRule="auto"/>
              <w:jc w:val="center"/>
              <w:rPr>
                <w:b/>
                <w:bCs/>
                <w:color w:val="000000"/>
                <w:szCs w:val="22"/>
              </w:rPr>
            </w:pPr>
            <w:r w:rsidRPr="00C10B94">
              <w:rPr>
                <w:b/>
                <w:bCs/>
                <w:color w:val="000000"/>
                <w:sz w:val="22"/>
                <w:szCs w:val="22"/>
              </w:rPr>
              <w:t>PASIVA</w:t>
            </w:r>
          </w:p>
        </w:tc>
        <w:tc>
          <w:tcPr>
            <w:tcW w:w="600"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C10B94" w:rsidRPr="00C10B94" w:rsidRDefault="00C10B94" w:rsidP="00C10B94">
            <w:pPr>
              <w:spacing w:after="0" w:line="240" w:lineRule="auto"/>
              <w:jc w:val="center"/>
              <w:rPr>
                <w:b/>
                <w:bCs/>
                <w:color w:val="000000"/>
                <w:szCs w:val="22"/>
              </w:rPr>
            </w:pPr>
            <w:proofErr w:type="gramStart"/>
            <w:r w:rsidRPr="00C10B94">
              <w:rPr>
                <w:b/>
                <w:bCs/>
                <w:color w:val="000000"/>
                <w:sz w:val="22"/>
                <w:szCs w:val="22"/>
              </w:rPr>
              <w:t>Č.Ř.</w:t>
            </w:r>
            <w:proofErr w:type="gramEnd"/>
          </w:p>
        </w:tc>
        <w:tc>
          <w:tcPr>
            <w:tcW w:w="980"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C10B94" w:rsidRPr="00C10B94" w:rsidRDefault="00C10B94" w:rsidP="00C10B94">
            <w:pPr>
              <w:spacing w:after="0" w:line="240" w:lineRule="auto"/>
              <w:jc w:val="center"/>
              <w:rPr>
                <w:b/>
                <w:bCs/>
                <w:color w:val="000000"/>
                <w:szCs w:val="22"/>
              </w:rPr>
            </w:pPr>
            <w:r w:rsidRPr="00C10B94">
              <w:rPr>
                <w:b/>
                <w:bCs/>
                <w:color w:val="000000"/>
                <w:sz w:val="22"/>
                <w:szCs w:val="22"/>
              </w:rPr>
              <w:t>2009</w:t>
            </w:r>
          </w:p>
        </w:tc>
        <w:tc>
          <w:tcPr>
            <w:tcW w:w="980"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C10B94" w:rsidRPr="00C10B94" w:rsidRDefault="00C10B94" w:rsidP="00C10B94">
            <w:pPr>
              <w:spacing w:after="0" w:line="240" w:lineRule="auto"/>
              <w:jc w:val="center"/>
              <w:rPr>
                <w:b/>
                <w:bCs/>
                <w:color w:val="000000"/>
                <w:szCs w:val="22"/>
              </w:rPr>
            </w:pPr>
            <w:r w:rsidRPr="00C10B94">
              <w:rPr>
                <w:b/>
                <w:bCs/>
                <w:color w:val="000000"/>
                <w:sz w:val="22"/>
                <w:szCs w:val="22"/>
              </w:rPr>
              <w:t>2010</w:t>
            </w:r>
          </w:p>
        </w:tc>
        <w:tc>
          <w:tcPr>
            <w:tcW w:w="1040" w:type="dxa"/>
            <w:tcBorders>
              <w:top w:val="single" w:sz="12" w:space="0" w:color="auto"/>
              <w:left w:val="nil"/>
              <w:bottom w:val="double" w:sz="6" w:space="0" w:color="auto"/>
              <w:right w:val="single" w:sz="12" w:space="0" w:color="auto"/>
            </w:tcBorders>
            <w:shd w:val="clear" w:color="auto" w:fill="E5DFEC" w:themeFill="accent4" w:themeFillTint="33"/>
            <w:vAlign w:val="center"/>
            <w:hideMark/>
          </w:tcPr>
          <w:p w:rsidR="00C10B94" w:rsidRPr="00C10B94" w:rsidRDefault="00C10B94" w:rsidP="00C10B94">
            <w:pPr>
              <w:spacing w:after="0" w:line="240" w:lineRule="auto"/>
              <w:jc w:val="center"/>
              <w:rPr>
                <w:b/>
                <w:bCs/>
                <w:color w:val="000000"/>
                <w:szCs w:val="22"/>
              </w:rPr>
            </w:pPr>
            <w:r w:rsidRPr="00C10B94">
              <w:rPr>
                <w:b/>
                <w:bCs/>
                <w:color w:val="000000"/>
                <w:sz w:val="22"/>
                <w:szCs w:val="22"/>
              </w:rPr>
              <w:t>2011</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PASIVA CELKEM</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67</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298 812</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1 573 397</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1 117 530</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A.</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Vlastní kapitál</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68</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142 798</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-539 922</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-2 990 299</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proofErr w:type="gramStart"/>
            <w:r w:rsidRPr="00C10B94">
              <w:rPr>
                <w:color w:val="000000"/>
                <w:sz w:val="22"/>
                <w:szCs w:val="22"/>
              </w:rPr>
              <w:t>A.  I.</w:t>
            </w:r>
            <w:proofErr w:type="gramEnd"/>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Základní kapitál</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69</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200 000</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200 000</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200 000</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proofErr w:type="gramStart"/>
            <w:r w:rsidRPr="00C10B94">
              <w:rPr>
                <w:color w:val="000000"/>
                <w:sz w:val="22"/>
                <w:szCs w:val="22"/>
              </w:rPr>
              <w:t>A.  I.1.</w:t>
            </w:r>
            <w:proofErr w:type="gramEnd"/>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Základní kapitál</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70</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200 000</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200 000</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200 000</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2.</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Vlastní akcie a vlastní obchodní podíly (-)</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71</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3.</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Změny základního kapitálu</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72</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A. II.</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Kapitálové fondy</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73</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A. </w:t>
            </w:r>
            <w:proofErr w:type="gramStart"/>
            <w:r w:rsidRPr="00C10B94">
              <w:rPr>
                <w:color w:val="000000"/>
                <w:sz w:val="22"/>
                <w:szCs w:val="22"/>
              </w:rPr>
              <w:t>II.1.</w:t>
            </w:r>
            <w:proofErr w:type="gramEnd"/>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Emisní ážio</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74</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2.</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Ostatní kapitálové fondy</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75</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600"/>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3.</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Oceňovací rozdíly z přecenění majetku a závazků</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76</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600"/>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4.</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Oceňovací rozdíly z přecenění při přeměnách společností</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77</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5.</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Rozdíly z přeměn společností</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78</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600"/>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proofErr w:type="gramStart"/>
            <w:r w:rsidRPr="00C10B94">
              <w:rPr>
                <w:color w:val="000000"/>
                <w:sz w:val="22"/>
                <w:szCs w:val="22"/>
              </w:rPr>
              <w:t>A.III</w:t>
            </w:r>
            <w:proofErr w:type="gramEnd"/>
            <w:r w:rsidRPr="00C10B94">
              <w:rPr>
                <w:color w:val="000000"/>
                <w:sz w:val="22"/>
                <w:szCs w:val="22"/>
              </w:rPr>
              <w:t>.</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Rezervní fondy, nedělitelný fond a ostatní fondy ze zisku</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79</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proofErr w:type="gramStart"/>
            <w:r w:rsidRPr="00C10B94">
              <w:rPr>
                <w:color w:val="000000"/>
                <w:sz w:val="22"/>
                <w:szCs w:val="22"/>
              </w:rPr>
              <w:t>A.III</w:t>
            </w:r>
            <w:proofErr w:type="gramEnd"/>
            <w:r w:rsidRPr="00C10B94">
              <w:rPr>
                <w:color w:val="000000"/>
                <w:sz w:val="22"/>
                <w:szCs w:val="22"/>
              </w:rPr>
              <w:t>.1.</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Zákonný rezervní fond / Nedělitelný fond</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80</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2.</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Statutární a ostatní fondy</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81</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A. IV.</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Výsledek hospodaření minulých let</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82</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-57 202</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-721 890</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21609E" w:rsidP="00C10B94">
            <w:pPr>
              <w:spacing w:after="0" w:line="240" w:lineRule="auto"/>
              <w:jc w:val="left"/>
              <w:rPr>
                <w:color w:val="000000"/>
                <w:szCs w:val="22"/>
              </w:rPr>
            </w:pPr>
            <w:proofErr w:type="gramStart"/>
            <w:r>
              <w:rPr>
                <w:color w:val="000000"/>
                <w:sz w:val="22"/>
                <w:szCs w:val="22"/>
              </w:rPr>
              <w:t>A.</w:t>
            </w:r>
            <w:r w:rsidR="00C10B94" w:rsidRPr="00C10B94">
              <w:rPr>
                <w:color w:val="000000"/>
                <w:sz w:val="22"/>
                <w:szCs w:val="22"/>
              </w:rPr>
              <w:t>IV</w:t>
            </w:r>
            <w:proofErr w:type="gramEnd"/>
            <w:r w:rsidR="00C10B94" w:rsidRPr="00C10B94">
              <w:rPr>
                <w:color w:val="000000"/>
                <w:sz w:val="22"/>
                <w:szCs w:val="22"/>
              </w:rPr>
              <w:t>.1.</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Nerozdělený zisk minulých let</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83</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2.</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Neuhrazená ztráta minulých let</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84</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-57 202</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-721 890</w:t>
            </w:r>
          </w:p>
        </w:tc>
      </w:tr>
      <w:tr w:rsidR="00C10B94" w:rsidRPr="00C10B94" w:rsidTr="002263DB">
        <w:trPr>
          <w:trHeight w:val="600"/>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21609E" w:rsidP="00C10B94">
            <w:pPr>
              <w:spacing w:after="0" w:line="240" w:lineRule="auto"/>
              <w:jc w:val="left"/>
              <w:rPr>
                <w:color w:val="000000"/>
                <w:szCs w:val="22"/>
              </w:rPr>
            </w:pPr>
            <w:r>
              <w:rPr>
                <w:color w:val="000000"/>
                <w:sz w:val="22"/>
                <w:szCs w:val="22"/>
              </w:rPr>
              <w:t>A.</w:t>
            </w:r>
            <w:r w:rsidR="00C10B94" w:rsidRPr="00C10B94">
              <w:rPr>
                <w:color w:val="000000"/>
                <w:sz w:val="22"/>
                <w:szCs w:val="22"/>
              </w:rPr>
              <w:t xml:space="preserve"> V.</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Výsledek hospodaření běžného účetního období (+/-)</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85</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-57 202</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-682 720</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-2 468 409</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B.</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Cizí zdroje</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86</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156 014</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2 113 319</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4 107 828</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proofErr w:type="gramStart"/>
            <w:r w:rsidRPr="00C10B94">
              <w:rPr>
                <w:color w:val="000000"/>
                <w:sz w:val="22"/>
                <w:szCs w:val="22"/>
              </w:rPr>
              <w:t>B.  I.</w:t>
            </w:r>
            <w:proofErr w:type="gramEnd"/>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Rezervy</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87</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proofErr w:type="gramStart"/>
            <w:r w:rsidRPr="00C10B94">
              <w:rPr>
                <w:color w:val="000000"/>
                <w:sz w:val="22"/>
                <w:szCs w:val="22"/>
              </w:rPr>
              <w:t>B.  I.1.</w:t>
            </w:r>
            <w:proofErr w:type="gramEnd"/>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Rezervy podle zvláštních právních předpisů</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88</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2.</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Rezerva na důchody a podobné závazky</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89</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3.</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Rezerva na daň z příjmů</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90</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4.</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Ostatní rezervy</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91</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B. II.</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Dlouhodobé závazky</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92</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B. </w:t>
            </w:r>
            <w:proofErr w:type="gramStart"/>
            <w:r w:rsidRPr="00C10B94">
              <w:rPr>
                <w:color w:val="000000"/>
                <w:sz w:val="22"/>
                <w:szCs w:val="22"/>
              </w:rPr>
              <w:t>II.1.</w:t>
            </w:r>
            <w:proofErr w:type="gramEnd"/>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Závazky z obchodních vztahů</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93</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2.</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Závazky - ovládající a řídící osoba</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94</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3.</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Závazky - podstatný vliv</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95</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600"/>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lastRenderedPageBreak/>
              <w:t xml:space="preserve">   </w:t>
            </w:r>
            <w:r w:rsidR="0021609E">
              <w:rPr>
                <w:color w:val="000000"/>
                <w:sz w:val="22"/>
                <w:szCs w:val="22"/>
              </w:rPr>
              <w:t xml:space="preserve">   </w:t>
            </w:r>
            <w:r w:rsidRPr="00C10B94">
              <w:rPr>
                <w:color w:val="000000"/>
                <w:sz w:val="22"/>
                <w:szCs w:val="22"/>
              </w:rPr>
              <w:t xml:space="preserve">   4.</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Závazky ke spol., členům družstva a k účastníkům sdružení</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96</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5.</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Dlouhodobé přijaté zálohy</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97</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6.</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Vydané dluhopisy</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98</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7.</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Dlouhodobé směnky k úhradě</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99</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8.</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Dohadné účty pasivní</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100</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9.</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Jiné závazky</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101</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10.</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Odložený daňový závazek</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102</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proofErr w:type="gramStart"/>
            <w:r w:rsidRPr="00C10B94">
              <w:rPr>
                <w:color w:val="000000"/>
                <w:sz w:val="22"/>
                <w:szCs w:val="22"/>
              </w:rPr>
              <w:t>B.III</w:t>
            </w:r>
            <w:proofErr w:type="gramEnd"/>
            <w:r w:rsidRPr="00C10B94">
              <w:rPr>
                <w:color w:val="000000"/>
                <w:sz w:val="22"/>
                <w:szCs w:val="22"/>
              </w:rPr>
              <w:t>.</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Krátkodobé závazky</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103</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156 014</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2 113 319</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4 107 828</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proofErr w:type="gramStart"/>
            <w:r w:rsidRPr="00C10B94">
              <w:rPr>
                <w:color w:val="000000"/>
                <w:sz w:val="22"/>
                <w:szCs w:val="22"/>
              </w:rPr>
              <w:t>B.III</w:t>
            </w:r>
            <w:proofErr w:type="gramEnd"/>
            <w:r w:rsidRPr="00C10B94">
              <w:rPr>
                <w:color w:val="000000"/>
                <w:sz w:val="22"/>
                <w:szCs w:val="22"/>
              </w:rPr>
              <w:t>.1.</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Závazky z obchodních vztahů</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104</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78 150</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1 287 568</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2 494 755</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2.</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Závazky - ovládající a řídící osoba</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105</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3.</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Závazky - podstatný vliv</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106</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600"/>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4.</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Závazky ke spol., členům družstva a k účastníkům sdružení</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107</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59 832</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271 832</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432 652</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5.</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Závazky k zaměstnancům</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108</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117 202</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467 088</w:t>
            </w:r>
          </w:p>
        </w:tc>
      </w:tr>
      <w:tr w:rsidR="00C10B94" w:rsidRPr="00C10B94" w:rsidTr="002263DB">
        <w:trPr>
          <w:trHeight w:val="600"/>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6.</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Závazky ze sociálního zabezpečení a zdravotního pojištění</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109</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123 243</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356 607</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7.</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Stát - daňové závazky</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110</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18 032</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273 474</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356 726</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8.</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Krátkodobé přijaté zálohy</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111</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40 000</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9.</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Vydané dluhopisy</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112</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10.</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Dohadné účty pasivní</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113</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11.</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Jiné závazky</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114</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B. IV.</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Bankovní úvěry a výpomoci</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115</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600"/>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21609E" w:rsidP="00C10B94">
            <w:pPr>
              <w:spacing w:after="0" w:line="240" w:lineRule="auto"/>
              <w:jc w:val="left"/>
              <w:rPr>
                <w:color w:val="000000"/>
                <w:szCs w:val="22"/>
              </w:rPr>
            </w:pPr>
            <w:proofErr w:type="gramStart"/>
            <w:r>
              <w:rPr>
                <w:color w:val="000000"/>
                <w:sz w:val="22"/>
                <w:szCs w:val="22"/>
              </w:rPr>
              <w:t>B.</w:t>
            </w:r>
            <w:r w:rsidR="00C10B94" w:rsidRPr="00C10B94">
              <w:rPr>
                <w:color w:val="000000"/>
                <w:sz w:val="22"/>
                <w:szCs w:val="22"/>
              </w:rPr>
              <w:t>IV</w:t>
            </w:r>
            <w:proofErr w:type="gramEnd"/>
            <w:r w:rsidR="00C10B94" w:rsidRPr="00C10B94">
              <w:rPr>
                <w:color w:val="000000"/>
                <w:sz w:val="22"/>
                <w:szCs w:val="22"/>
              </w:rPr>
              <w:t>.1.</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Bankovní úvěry dlouhodobé</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116</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2.</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Krátkodobé bankovní úvěry</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117</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 xml:space="preserve">   3.</w:t>
            </w:r>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Krátkodobé finanční výpomoci</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118</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proofErr w:type="gramStart"/>
            <w:r w:rsidRPr="00C10B94">
              <w:rPr>
                <w:color w:val="000000"/>
                <w:sz w:val="22"/>
                <w:szCs w:val="22"/>
              </w:rPr>
              <w:t>C.  I.</w:t>
            </w:r>
            <w:proofErr w:type="gramEnd"/>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Časové rozlišení</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119</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proofErr w:type="gramStart"/>
            <w:r w:rsidRPr="00C10B94">
              <w:rPr>
                <w:color w:val="000000"/>
                <w:sz w:val="22"/>
                <w:szCs w:val="22"/>
              </w:rPr>
              <w:t>C.  I.1.</w:t>
            </w:r>
            <w:proofErr w:type="gramEnd"/>
          </w:p>
        </w:tc>
        <w:tc>
          <w:tcPr>
            <w:tcW w:w="406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Výdaje příštích období</w:t>
            </w:r>
          </w:p>
        </w:tc>
        <w:tc>
          <w:tcPr>
            <w:tcW w:w="60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120</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4"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4"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r w:rsidR="00C10B94" w:rsidRPr="00C10B94" w:rsidTr="002263DB">
        <w:trPr>
          <w:trHeight w:val="342"/>
          <w:jc w:val="center"/>
        </w:trPr>
        <w:tc>
          <w:tcPr>
            <w:tcW w:w="800" w:type="dxa"/>
            <w:tcBorders>
              <w:top w:val="nil"/>
              <w:left w:val="single" w:sz="12" w:space="0" w:color="auto"/>
              <w:bottom w:val="single" w:sz="12"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xml:space="preserve">      </w:t>
            </w:r>
            <w:r w:rsidR="0021609E">
              <w:rPr>
                <w:color w:val="000000"/>
                <w:sz w:val="22"/>
                <w:szCs w:val="22"/>
              </w:rPr>
              <w:t xml:space="preserve">  </w:t>
            </w:r>
            <w:r w:rsidRPr="00C10B94">
              <w:rPr>
                <w:color w:val="000000"/>
                <w:sz w:val="22"/>
                <w:szCs w:val="22"/>
              </w:rPr>
              <w:t>2.</w:t>
            </w:r>
          </w:p>
        </w:tc>
        <w:tc>
          <w:tcPr>
            <w:tcW w:w="4060" w:type="dxa"/>
            <w:tcBorders>
              <w:top w:val="nil"/>
              <w:left w:val="nil"/>
              <w:bottom w:val="single" w:sz="12"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Výnosy příštích období</w:t>
            </w:r>
          </w:p>
        </w:tc>
        <w:tc>
          <w:tcPr>
            <w:tcW w:w="600" w:type="dxa"/>
            <w:tcBorders>
              <w:top w:val="nil"/>
              <w:left w:val="nil"/>
              <w:bottom w:val="single" w:sz="12" w:space="0" w:color="auto"/>
              <w:right w:val="single" w:sz="4" w:space="0" w:color="auto"/>
            </w:tcBorders>
            <w:shd w:val="clear" w:color="auto" w:fill="auto"/>
            <w:vAlign w:val="center"/>
            <w:hideMark/>
          </w:tcPr>
          <w:p w:rsidR="00C10B94" w:rsidRPr="00C10B94" w:rsidRDefault="00C10B94" w:rsidP="00C10B94">
            <w:pPr>
              <w:spacing w:after="0" w:line="240" w:lineRule="auto"/>
              <w:jc w:val="right"/>
              <w:rPr>
                <w:color w:val="000000"/>
                <w:szCs w:val="22"/>
              </w:rPr>
            </w:pPr>
            <w:r w:rsidRPr="00C10B94">
              <w:rPr>
                <w:color w:val="000000"/>
                <w:sz w:val="22"/>
                <w:szCs w:val="22"/>
              </w:rPr>
              <w:t>121</w:t>
            </w:r>
          </w:p>
        </w:tc>
        <w:tc>
          <w:tcPr>
            <w:tcW w:w="980" w:type="dxa"/>
            <w:tcBorders>
              <w:top w:val="nil"/>
              <w:left w:val="nil"/>
              <w:bottom w:val="single" w:sz="12"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980" w:type="dxa"/>
            <w:tcBorders>
              <w:top w:val="nil"/>
              <w:left w:val="nil"/>
              <w:bottom w:val="single" w:sz="12" w:space="0" w:color="auto"/>
              <w:right w:val="single" w:sz="4"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c>
          <w:tcPr>
            <w:tcW w:w="1040" w:type="dxa"/>
            <w:tcBorders>
              <w:top w:val="nil"/>
              <w:left w:val="nil"/>
              <w:bottom w:val="single" w:sz="12" w:space="0" w:color="auto"/>
              <w:right w:val="single" w:sz="12" w:space="0" w:color="auto"/>
            </w:tcBorders>
            <w:shd w:val="clear" w:color="auto" w:fill="auto"/>
            <w:vAlign w:val="center"/>
            <w:hideMark/>
          </w:tcPr>
          <w:p w:rsidR="00C10B94" w:rsidRPr="00C10B94" w:rsidRDefault="00C10B94" w:rsidP="00C10B94">
            <w:pPr>
              <w:spacing w:after="0" w:line="240" w:lineRule="auto"/>
              <w:jc w:val="left"/>
              <w:rPr>
                <w:color w:val="000000"/>
                <w:szCs w:val="22"/>
              </w:rPr>
            </w:pPr>
            <w:r w:rsidRPr="00C10B94">
              <w:rPr>
                <w:color w:val="000000"/>
                <w:sz w:val="22"/>
                <w:szCs w:val="22"/>
              </w:rPr>
              <w:t> </w:t>
            </w:r>
          </w:p>
        </w:tc>
      </w:tr>
    </w:tbl>
    <w:p w:rsidR="00C10B94" w:rsidRDefault="00F25EEA" w:rsidP="00C43FD2">
      <w:pPr>
        <w:pStyle w:val="dajepodtabulkou"/>
      </w:pPr>
      <w:r>
        <w:t xml:space="preserve">Zdroj: </w:t>
      </w:r>
      <w:r w:rsidR="0020303E">
        <w:t>KOVOVÝROBA s. r. o.</w:t>
      </w:r>
    </w:p>
    <w:p w:rsidR="00E66739" w:rsidRPr="009F40BD" w:rsidRDefault="009F40BD" w:rsidP="00897452">
      <w:pPr>
        <w:pStyle w:val="Titulek"/>
      </w:pPr>
      <w:bookmarkStart w:id="263" w:name="_Ref348633888"/>
      <w:bookmarkStart w:id="264" w:name="_Ref348633906"/>
      <w:bookmarkStart w:id="265" w:name="_Toc353437246"/>
      <w:bookmarkStart w:id="266" w:name="_Toc353438796"/>
      <w:r w:rsidRPr="009F40BD">
        <w:lastRenderedPageBreak/>
        <w:t xml:space="preserve">Příloha </w:t>
      </w:r>
      <w:r w:rsidR="00C96C2B">
        <w:fldChar w:fldCharType="begin"/>
      </w:r>
      <w:r w:rsidR="00C96C2B">
        <w:instrText xml:space="preserve"> SEQ Příloha \* ARABIC </w:instrText>
      </w:r>
      <w:r w:rsidR="00C96C2B">
        <w:fldChar w:fldCharType="separate"/>
      </w:r>
      <w:r w:rsidR="002534BA">
        <w:rPr>
          <w:noProof/>
        </w:rPr>
        <w:t>2</w:t>
      </w:r>
      <w:r w:rsidR="00C96C2B">
        <w:rPr>
          <w:noProof/>
        </w:rPr>
        <w:fldChar w:fldCharType="end"/>
      </w:r>
      <w:bookmarkEnd w:id="263"/>
      <w:r w:rsidR="00E61ECB">
        <w:t xml:space="preserve"> Upravené výkazy zisku</w:t>
      </w:r>
      <w:r w:rsidRPr="009F40BD">
        <w:t xml:space="preserve"> a ztrát</w:t>
      </w:r>
      <w:r w:rsidR="00E61ECB">
        <w:t>y</w:t>
      </w:r>
      <w:r w:rsidRPr="009F40BD">
        <w:t xml:space="preserve"> společnosti </w:t>
      </w:r>
      <w:r w:rsidR="009F4D1D">
        <w:t>KOVOVÝROBA</w:t>
      </w:r>
      <w:r w:rsidRPr="009F40BD">
        <w:t xml:space="preserve"> s. r. o. za období roku 2009 - 2011</w:t>
      </w:r>
      <w:bookmarkEnd w:id="264"/>
      <w:bookmarkEnd w:id="265"/>
      <w:bookmarkEnd w:id="266"/>
    </w:p>
    <w:p w:rsidR="002646A4" w:rsidRDefault="002646A4" w:rsidP="00837C1D">
      <w:pPr>
        <w:pStyle w:val="Odstavecnormln"/>
      </w:pPr>
      <w:r>
        <w:t>Z důvod</w:t>
      </w:r>
      <w:r w:rsidR="00D30246">
        <w:t>u přehlednosti byly výkazy zisku</w:t>
      </w:r>
      <w:r>
        <w:t xml:space="preserve"> a ztrát</w:t>
      </w:r>
      <w:r w:rsidR="00D30246">
        <w:t>y</w:t>
      </w:r>
      <w:r>
        <w:t xml:space="preserve"> společnosti KOVOVÝROBA s. r. o. upraveny do jedné tabulky. Označení položek a čísla řádků </w:t>
      </w:r>
      <w:r w:rsidR="008B4E94">
        <w:t>tabulky</w:t>
      </w:r>
      <w:r>
        <w:t xml:space="preserve"> odpovídají označení </w:t>
      </w:r>
      <w:r w:rsidR="008B4E94">
        <w:t xml:space="preserve">řádků </w:t>
      </w:r>
      <w:r>
        <w:t>výkazů zisků a ztrát v plném rozsahu.</w:t>
      </w:r>
    </w:p>
    <w:p w:rsidR="009F40BD" w:rsidRDefault="009312CC" w:rsidP="00671C37">
      <w:pPr>
        <w:pStyle w:val="dajenadtabulkouazdroj"/>
      </w:pPr>
      <w:r>
        <w:t>Údaje jsou uvedeny v celých Kč</w:t>
      </w:r>
    </w:p>
    <w:tbl>
      <w:tblPr>
        <w:tblW w:w="9340" w:type="dxa"/>
        <w:jc w:val="center"/>
        <w:tblInd w:w="55" w:type="dxa"/>
        <w:tblCellMar>
          <w:left w:w="70" w:type="dxa"/>
          <w:right w:w="70" w:type="dxa"/>
        </w:tblCellMar>
        <w:tblLook w:val="04A0" w:firstRow="1" w:lastRow="0" w:firstColumn="1" w:lastColumn="0" w:noHBand="0" w:noVBand="1"/>
      </w:tblPr>
      <w:tblGrid>
        <w:gridCol w:w="760"/>
        <w:gridCol w:w="4340"/>
        <w:gridCol w:w="700"/>
        <w:gridCol w:w="1180"/>
        <w:gridCol w:w="1180"/>
        <w:gridCol w:w="1180"/>
      </w:tblGrid>
      <w:tr w:rsidR="00941CAB" w:rsidRPr="00941CAB" w:rsidTr="00C336D4">
        <w:trPr>
          <w:trHeight w:val="510"/>
          <w:tblHeader/>
          <w:jc w:val="center"/>
        </w:trPr>
        <w:tc>
          <w:tcPr>
            <w:tcW w:w="760" w:type="dxa"/>
            <w:tcBorders>
              <w:top w:val="single" w:sz="12" w:space="0" w:color="auto"/>
              <w:left w:val="single" w:sz="12" w:space="0" w:color="auto"/>
              <w:bottom w:val="double" w:sz="6" w:space="0" w:color="auto"/>
              <w:right w:val="single" w:sz="4" w:space="0" w:color="auto"/>
            </w:tcBorders>
            <w:shd w:val="clear" w:color="auto" w:fill="E5DFEC" w:themeFill="accent4" w:themeFillTint="33"/>
            <w:vAlign w:val="center"/>
            <w:hideMark/>
          </w:tcPr>
          <w:p w:rsidR="00941CAB" w:rsidRPr="00941CAB" w:rsidRDefault="00941CAB" w:rsidP="00941CAB">
            <w:pPr>
              <w:spacing w:after="0" w:line="240" w:lineRule="auto"/>
              <w:jc w:val="center"/>
              <w:rPr>
                <w:b/>
                <w:bCs/>
                <w:color w:val="000000"/>
                <w:szCs w:val="22"/>
              </w:rPr>
            </w:pPr>
            <w:r w:rsidRPr="00941CAB">
              <w:rPr>
                <w:b/>
                <w:bCs/>
                <w:color w:val="000000"/>
                <w:sz w:val="22"/>
                <w:szCs w:val="22"/>
              </w:rPr>
              <w:t>OZN.</w:t>
            </w:r>
          </w:p>
        </w:tc>
        <w:tc>
          <w:tcPr>
            <w:tcW w:w="4340"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941CAB" w:rsidRPr="00941CAB" w:rsidRDefault="00941CAB" w:rsidP="00941CAB">
            <w:pPr>
              <w:spacing w:after="0" w:line="240" w:lineRule="auto"/>
              <w:jc w:val="center"/>
              <w:rPr>
                <w:b/>
                <w:bCs/>
                <w:color w:val="000000"/>
                <w:szCs w:val="22"/>
              </w:rPr>
            </w:pPr>
            <w:r w:rsidRPr="00941CAB">
              <w:rPr>
                <w:b/>
                <w:bCs/>
                <w:color w:val="000000"/>
                <w:sz w:val="22"/>
                <w:szCs w:val="22"/>
              </w:rPr>
              <w:t>VÝKAZ ZISK</w:t>
            </w:r>
            <w:r w:rsidR="00F14556">
              <w:rPr>
                <w:b/>
                <w:bCs/>
                <w:color w:val="000000"/>
                <w:sz w:val="22"/>
                <w:szCs w:val="22"/>
              </w:rPr>
              <w:t>U</w:t>
            </w:r>
            <w:r w:rsidRPr="00941CAB">
              <w:rPr>
                <w:b/>
                <w:bCs/>
                <w:color w:val="000000"/>
                <w:sz w:val="22"/>
                <w:szCs w:val="22"/>
              </w:rPr>
              <w:t xml:space="preserve"> A ZTRÁT</w:t>
            </w:r>
            <w:r w:rsidR="00F14556">
              <w:rPr>
                <w:b/>
                <w:bCs/>
                <w:color w:val="000000"/>
                <w:sz w:val="22"/>
                <w:szCs w:val="22"/>
              </w:rPr>
              <w:t>Y</w:t>
            </w:r>
          </w:p>
        </w:tc>
        <w:tc>
          <w:tcPr>
            <w:tcW w:w="700"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941CAB" w:rsidRPr="00941CAB" w:rsidRDefault="00941CAB" w:rsidP="00941CAB">
            <w:pPr>
              <w:spacing w:after="0" w:line="240" w:lineRule="auto"/>
              <w:jc w:val="center"/>
              <w:rPr>
                <w:b/>
                <w:bCs/>
                <w:color w:val="000000"/>
                <w:szCs w:val="22"/>
              </w:rPr>
            </w:pPr>
            <w:proofErr w:type="gramStart"/>
            <w:r w:rsidRPr="00941CAB">
              <w:rPr>
                <w:b/>
                <w:bCs/>
                <w:color w:val="000000"/>
                <w:sz w:val="22"/>
                <w:szCs w:val="22"/>
              </w:rPr>
              <w:t>Č.Ř.</w:t>
            </w:r>
            <w:proofErr w:type="gramEnd"/>
          </w:p>
        </w:tc>
        <w:tc>
          <w:tcPr>
            <w:tcW w:w="1180"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941CAB" w:rsidRPr="00941CAB" w:rsidRDefault="00941CAB" w:rsidP="00941CAB">
            <w:pPr>
              <w:spacing w:after="0" w:line="240" w:lineRule="auto"/>
              <w:jc w:val="center"/>
              <w:rPr>
                <w:b/>
                <w:bCs/>
                <w:color w:val="000000"/>
                <w:szCs w:val="22"/>
              </w:rPr>
            </w:pPr>
            <w:r w:rsidRPr="00941CAB">
              <w:rPr>
                <w:b/>
                <w:bCs/>
                <w:color w:val="000000"/>
                <w:sz w:val="22"/>
                <w:szCs w:val="22"/>
              </w:rPr>
              <w:t>2009</w:t>
            </w:r>
          </w:p>
        </w:tc>
        <w:tc>
          <w:tcPr>
            <w:tcW w:w="1180"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941CAB" w:rsidRPr="00941CAB" w:rsidRDefault="00941CAB" w:rsidP="00941CAB">
            <w:pPr>
              <w:spacing w:after="0" w:line="240" w:lineRule="auto"/>
              <w:jc w:val="center"/>
              <w:rPr>
                <w:b/>
                <w:bCs/>
                <w:color w:val="000000"/>
                <w:szCs w:val="22"/>
              </w:rPr>
            </w:pPr>
            <w:r w:rsidRPr="00941CAB">
              <w:rPr>
                <w:b/>
                <w:bCs/>
                <w:color w:val="000000"/>
                <w:sz w:val="22"/>
                <w:szCs w:val="22"/>
              </w:rPr>
              <w:t>2010</w:t>
            </w:r>
          </w:p>
        </w:tc>
        <w:tc>
          <w:tcPr>
            <w:tcW w:w="1180" w:type="dxa"/>
            <w:tcBorders>
              <w:top w:val="single" w:sz="12" w:space="0" w:color="auto"/>
              <w:left w:val="nil"/>
              <w:bottom w:val="double" w:sz="6" w:space="0" w:color="auto"/>
              <w:right w:val="single" w:sz="12" w:space="0" w:color="auto"/>
            </w:tcBorders>
            <w:shd w:val="clear" w:color="auto" w:fill="E5DFEC" w:themeFill="accent4" w:themeFillTint="33"/>
            <w:vAlign w:val="center"/>
            <w:hideMark/>
          </w:tcPr>
          <w:p w:rsidR="00941CAB" w:rsidRPr="00941CAB" w:rsidRDefault="00941CAB" w:rsidP="00941CAB">
            <w:pPr>
              <w:spacing w:after="0" w:line="240" w:lineRule="auto"/>
              <w:jc w:val="center"/>
              <w:rPr>
                <w:b/>
                <w:bCs/>
                <w:color w:val="000000"/>
                <w:szCs w:val="22"/>
              </w:rPr>
            </w:pPr>
            <w:r w:rsidRPr="00941CAB">
              <w:rPr>
                <w:b/>
                <w:bCs/>
                <w:color w:val="000000"/>
                <w:sz w:val="22"/>
                <w:szCs w:val="22"/>
              </w:rPr>
              <w:t>2011</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I.</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Tržby za prodej zboží</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1</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A.</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Náklady vynaložené na prodané zboží</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2</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Obchodní marže</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3</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II.</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Výkony</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4</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205 462</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4 137 504</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3 901 811</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w:t>
            </w:r>
            <w:proofErr w:type="gramStart"/>
            <w:r w:rsidRPr="00941CAB">
              <w:rPr>
                <w:color w:val="000000"/>
                <w:sz w:val="22"/>
                <w:szCs w:val="22"/>
              </w:rPr>
              <w:t>II.1.</w:t>
            </w:r>
            <w:proofErr w:type="gramEnd"/>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Tržby za prodej vlastních výrobků a služeb</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5</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205 462</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4 137 504</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4 277 411</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w:t>
            </w:r>
            <w:r w:rsidR="0058489A">
              <w:rPr>
                <w:color w:val="000000"/>
                <w:sz w:val="22"/>
                <w:szCs w:val="22"/>
              </w:rPr>
              <w:t xml:space="preserve"> </w:t>
            </w:r>
            <w:r w:rsidRPr="00941CAB">
              <w:rPr>
                <w:color w:val="000000"/>
                <w:sz w:val="22"/>
                <w:szCs w:val="22"/>
              </w:rPr>
              <w:t xml:space="preserve">  2.</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Změna stavu zásob vlastní činnosti</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6</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-375 600</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w:t>
            </w:r>
            <w:r w:rsidR="0058489A">
              <w:rPr>
                <w:color w:val="000000"/>
                <w:sz w:val="22"/>
                <w:szCs w:val="22"/>
              </w:rPr>
              <w:t xml:space="preserve"> </w:t>
            </w:r>
            <w:r w:rsidRPr="00941CAB">
              <w:rPr>
                <w:color w:val="000000"/>
                <w:sz w:val="22"/>
                <w:szCs w:val="22"/>
              </w:rPr>
              <w:t xml:space="preserve">    3.</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Aktivace</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7</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B.</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Výkonová spotřeba</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8</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167 379</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3 049 044</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4 074 803</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B.    1.</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Spotřeba materiálu a energie</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9</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115 277</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2 346 067</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2 965 103</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B.    2.</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Služby</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10</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52 102</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702 977</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1 109 699</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Přidaná hodnota</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11</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38 083</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1 088 459</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-172 991</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C.</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Osobní náklady</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12</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1 205 257</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1 446 967</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proofErr w:type="gramStart"/>
            <w:r w:rsidRPr="00941CAB">
              <w:rPr>
                <w:color w:val="000000"/>
                <w:sz w:val="22"/>
                <w:szCs w:val="22"/>
              </w:rPr>
              <w:t>C.    1.</w:t>
            </w:r>
            <w:proofErr w:type="gramEnd"/>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Mzdové náklady</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13</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1 071 394</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999 593</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proofErr w:type="gramStart"/>
            <w:r w:rsidRPr="00941CAB">
              <w:rPr>
                <w:color w:val="000000"/>
                <w:sz w:val="22"/>
                <w:szCs w:val="22"/>
              </w:rPr>
              <w:t>C.    2.</w:t>
            </w:r>
            <w:proofErr w:type="gramEnd"/>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Odměny členům orgánů společnosti a družstva</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14</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600"/>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proofErr w:type="gramStart"/>
            <w:r w:rsidRPr="00941CAB">
              <w:rPr>
                <w:color w:val="000000"/>
                <w:sz w:val="22"/>
                <w:szCs w:val="22"/>
              </w:rPr>
              <w:t>C.    3.</w:t>
            </w:r>
            <w:proofErr w:type="gramEnd"/>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Náklady na sociální zabezpečení a zdravotní pojištění</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15</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126 701</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441 537</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proofErr w:type="gramStart"/>
            <w:r w:rsidRPr="00941CAB">
              <w:rPr>
                <w:color w:val="000000"/>
                <w:sz w:val="22"/>
                <w:szCs w:val="22"/>
              </w:rPr>
              <w:t>C.    4.</w:t>
            </w:r>
            <w:proofErr w:type="gramEnd"/>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Sociální náklady</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16</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7 162</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5 837</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D.</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Daně a poplatky</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17</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800</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4 000</w:t>
            </w:r>
          </w:p>
        </w:tc>
      </w:tr>
      <w:tr w:rsidR="00941CAB" w:rsidRPr="00941CAB" w:rsidTr="00253C54">
        <w:trPr>
          <w:trHeight w:val="600"/>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E.</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Odpisy dlouhodobého nehmotného a hmotného majetku</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18</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56 040</w:t>
            </w:r>
          </w:p>
        </w:tc>
      </w:tr>
      <w:tr w:rsidR="00941CAB" w:rsidRPr="00941CAB" w:rsidTr="00253C54">
        <w:trPr>
          <w:trHeight w:val="600"/>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III.</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Tržby z prodeje dlouhodobého nehmotného majetku a materiálu</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19</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w:t>
            </w:r>
            <w:proofErr w:type="gramStart"/>
            <w:r w:rsidRPr="00941CAB">
              <w:rPr>
                <w:color w:val="000000"/>
                <w:sz w:val="22"/>
                <w:szCs w:val="22"/>
              </w:rPr>
              <w:t>III.1.</w:t>
            </w:r>
            <w:proofErr w:type="gramEnd"/>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Tržby z prodeje dlouhodobého majetku</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20</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2.</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Tržby z prodeje materiálu</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21</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600"/>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F.</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Zůstatková cena prodaného dlouhodobého majetku a materiálu</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22</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600"/>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lastRenderedPageBreak/>
              <w:t>F.    1.</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Zůstatková cena prodaného dlouhodobého majetku</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23</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2.</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Prodaný materiál</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24</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600"/>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G.</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Změna stavu rez. a </w:t>
            </w:r>
            <w:proofErr w:type="spellStart"/>
            <w:r w:rsidRPr="00941CAB">
              <w:rPr>
                <w:color w:val="000000"/>
                <w:sz w:val="22"/>
                <w:szCs w:val="22"/>
              </w:rPr>
              <w:t>opr.</w:t>
            </w:r>
            <w:proofErr w:type="gramStart"/>
            <w:r w:rsidRPr="00941CAB">
              <w:rPr>
                <w:color w:val="000000"/>
                <w:sz w:val="22"/>
                <w:szCs w:val="22"/>
              </w:rPr>
              <w:t>pol.v</w:t>
            </w:r>
            <w:proofErr w:type="spellEnd"/>
            <w:r w:rsidRPr="00941CAB">
              <w:rPr>
                <w:color w:val="000000"/>
                <w:sz w:val="22"/>
                <w:szCs w:val="22"/>
              </w:rPr>
              <w:t xml:space="preserve"> </w:t>
            </w:r>
            <w:proofErr w:type="spellStart"/>
            <w:r w:rsidRPr="00941CAB">
              <w:rPr>
                <w:color w:val="000000"/>
                <w:sz w:val="22"/>
                <w:szCs w:val="22"/>
              </w:rPr>
              <w:t>prov</w:t>
            </w:r>
            <w:proofErr w:type="gramEnd"/>
            <w:r w:rsidRPr="00941CAB">
              <w:rPr>
                <w:color w:val="000000"/>
                <w:sz w:val="22"/>
                <w:szCs w:val="22"/>
              </w:rPr>
              <w:t>.obl.a</w:t>
            </w:r>
            <w:proofErr w:type="spellEnd"/>
            <w:r w:rsidRPr="00941CAB">
              <w:rPr>
                <w:color w:val="000000"/>
                <w:sz w:val="22"/>
                <w:szCs w:val="22"/>
              </w:rPr>
              <w:t xml:space="preserve"> </w:t>
            </w:r>
            <w:proofErr w:type="spellStart"/>
            <w:r w:rsidRPr="00941CAB">
              <w:rPr>
                <w:color w:val="000000"/>
                <w:sz w:val="22"/>
                <w:szCs w:val="22"/>
              </w:rPr>
              <w:t>komplex.nákl.př.obd</w:t>
            </w:r>
            <w:proofErr w:type="spellEnd"/>
            <w:r w:rsidRPr="00941CAB">
              <w:rPr>
                <w:color w:val="000000"/>
                <w:sz w:val="22"/>
                <w:szCs w:val="22"/>
              </w:rPr>
              <w:t>.</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25</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IV.</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Ostatní provozní výnosy</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26</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0</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2</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10</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H.</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Ostatní provozní náklady</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27</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70 000</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286 008</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413 555</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V.</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Převod provozních výnosů</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28</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I.</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Převod provozních nákladů</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29</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Provozní výsledek hospodaření</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30</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-31 917</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-403 604</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-2 093 544</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VI.</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Tržby z prodeje cenných papírů a podílů</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31</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J.</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Prodané cenné papíry a podíly</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32</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VII.</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Výnosy z dlouhodobého finančního majetku</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33</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600"/>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w:t>
            </w:r>
            <w:proofErr w:type="gramStart"/>
            <w:r w:rsidRPr="00941CAB">
              <w:rPr>
                <w:color w:val="000000"/>
                <w:sz w:val="22"/>
                <w:szCs w:val="22"/>
              </w:rPr>
              <w:t>VII.1.</w:t>
            </w:r>
            <w:proofErr w:type="gramEnd"/>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Výnosy z pod. v </w:t>
            </w:r>
            <w:proofErr w:type="spellStart"/>
            <w:r w:rsidRPr="00941CAB">
              <w:rPr>
                <w:color w:val="000000"/>
                <w:sz w:val="22"/>
                <w:szCs w:val="22"/>
              </w:rPr>
              <w:t>ovl.a</w:t>
            </w:r>
            <w:proofErr w:type="spellEnd"/>
            <w:r w:rsidRPr="00941CAB">
              <w:rPr>
                <w:color w:val="000000"/>
                <w:sz w:val="22"/>
                <w:szCs w:val="22"/>
              </w:rPr>
              <w:t xml:space="preserve"> </w:t>
            </w:r>
            <w:proofErr w:type="spellStart"/>
            <w:proofErr w:type="gramStart"/>
            <w:r w:rsidRPr="00941CAB">
              <w:rPr>
                <w:color w:val="000000"/>
                <w:sz w:val="22"/>
                <w:szCs w:val="22"/>
              </w:rPr>
              <w:t>říz</w:t>
            </w:r>
            <w:proofErr w:type="gramEnd"/>
            <w:r w:rsidRPr="00941CAB">
              <w:rPr>
                <w:color w:val="000000"/>
                <w:sz w:val="22"/>
                <w:szCs w:val="22"/>
              </w:rPr>
              <w:t>.</w:t>
            </w:r>
            <w:proofErr w:type="gramStart"/>
            <w:r w:rsidRPr="00941CAB">
              <w:rPr>
                <w:color w:val="000000"/>
                <w:sz w:val="22"/>
                <w:szCs w:val="22"/>
              </w:rPr>
              <w:t>os</w:t>
            </w:r>
            <w:proofErr w:type="spellEnd"/>
            <w:proofErr w:type="gramEnd"/>
            <w:r w:rsidRPr="00941CAB">
              <w:rPr>
                <w:color w:val="000000"/>
                <w:sz w:val="22"/>
                <w:szCs w:val="22"/>
              </w:rPr>
              <w:t xml:space="preserve">. a v </w:t>
            </w:r>
            <w:proofErr w:type="spellStart"/>
            <w:r w:rsidRPr="00941CAB">
              <w:rPr>
                <w:color w:val="000000"/>
                <w:sz w:val="22"/>
                <w:szCs w:val="22"/>
              </w:rPr>
              <w:t>úč.jedn.pod</w:t>
            </w:r>
            <w:proofErr w:type="spellEnd"/>
            <w:r w:rsidRPr="00941CAB">
              <w:rPr>
                <w:color w:val="000000"/>
                <w:sz w:val="22"/>
                <w:szCs w:val="22"/>
              </w:rPr>
              <w:t xml:space="preserve"> </w:t>
            </w:r>
            <w:proofErr w:type="spellStart"/>
            <w:r w:rsidRPr="00941CAB">
              <w:rPr>
                <w:color w:val="000000"/>
                <w:sz w:val="22"/>
                <w:szCs w:val="22"/>
              </w:rPr>
              <w:t>podst.vlivem</w:t>
            </w:r>
            <w:proofErr w:type="spellEnd"/>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34</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600"/>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2.</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Výnosy z ostatních dlouhodobých cenných papírů a podílů</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35</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600"/>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3.</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Výnosy z ostatního dlouhodobého finančního majetku</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36</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VIII.</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Výnosy z krátkodobého finančního majetku</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37</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K.</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Náklady z finančního majetku</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38</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IX.</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Výnosy z přecenění cenných papírů a derivátů</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39</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L.</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Náklady z přecenění cenných papírů a derivátů</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40</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600"/>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M.</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Změna stavu rezerv a opravných položek ve finanční oblasti</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41</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X.</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Výnosové úroky</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42</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1</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2</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5</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N.</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Nákladové úroky</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43</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6</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5</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0</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XI.</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Ostatní finanční výnosy</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44</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5 100</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O.</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Ostatní finanční náklady</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45</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25 281</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279 113</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361 937</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XII.</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Převod finančních výnosů</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46</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P.</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Převod finančních nákladů</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47</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Finanční výsledek hospodaření</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48</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-25 286</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-279 116</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-356 833</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Q.</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Daň z příjmů za běžnou činnost</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49</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Q.    1.</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splatná</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50</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lastRenderedPageBreak/>
              <w:t xml:space="preserve">      2.</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odložená</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51</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Výsledek hospodaření za běžnou činnost</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52</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-57 202</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-682 720</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-2 450 376</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XIII.</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Mimořádné výnosy</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53</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R.</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Mimořádné náklady</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54</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S.</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Daň z příjmů z mimořádné činnosti</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55</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proofErr w:type="gramStart"/>
            <w:r w:rsidRPr="00941CAB">
              <w:rPr>
                <w:color w:val="000000"/>
                <w:sz w:val="22"/>
                <w:szCs w:val="22"/>
              </w:rPr>
              <w:t>S.    1.</w:t>
            </w:r>
            <w:proofErr w:type="gramEnd"/>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splatná</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56</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2.</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odložená</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57</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Mimořádný výsledek hospodaření</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58</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600"/>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T.</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Převod podílu na výsledku hospodaření společníkům</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59</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w:t>
            </w:r>
          </w:p>
        </w:tc>
      </w:tr>
      <w:tr w:rsidR="00941CAB" w:rsidRPr="00941CAB" w:rsidTr="00253C54">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w:t>
            </w:r>
          </w:p>
        </w:tc>
        <w:tc>
          <w:tcPr>
            <w:tcW w:w="434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Výsledek hospodaření za účetní období (+/)</w:t>
            </w:r>
          </w:p>
        </w:tc>
        <w:tc>
          <w:tcPr>
            <w:tcW w:w="70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60</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-57 202</w:t>
            </w:r>
          </w:p>
        </w:tc>
        <w:tc>
          <w:tcPr>
            <w:tcW w:w="1180" w:type="dxa"/>
            <w:tcBorders>
              <w:top w:val="nil"/>
              <w:left w:val="nil"/>
              <w:bottom w:val="single" w:sz="4"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-682 720</w:t>
            </w:r>
          </w:p>
        </w:tc>
        <w:tc>
          <w:tcPr>
            <w:tcW w:w="1180" w:type="dxa"/>
            <w:tcBorders>
              <w:top w:val="nil"/>
              <w:left w:val="nil"/>
              <w:bottom w:val="single" w:sz="4"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-2 450 376</w:t>
            </w:r>
          </w:p>
        </w:tc>
      </w:tr>
      <w:tr w:rsidR="00941CAB" w:rsidRPr="00941CAB" w:rsidTr="00253C54">
        <w:trPr>
          <w:trHeight w:val="342"/>
          <w:jc w:val="center"/>
        </w:trPr>
        <w:tc>
          <w:tcPr>
            <w:tcW w:w="760" w:type="dxa"/>
            <w:tcBorders>
              <w:top w:val="nil"/>
              <w:left w:val="single" w:sz="12" w:space="0" w:color="auto"/>
              <w:bottom w:val="single" w:sz="12"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 xml:space="preserve"> ****</w:t>
            </w:r>
          </w:p>
        </w:tc>
        <w:tc>
          <w:tcPr>
            <w:tcW w:w="4340" w:type="dxa"/>
            <w:tcBorders>
              <w:top w:val="nil"/>
              <w:left w:val="nil"/>
              <w:bottom w:val="single" w:sz="12" w:space="0" w:color="auto"/>
              <w:right w:val="single" w:sz="4" w:space="0" w:color="auto"/>
            </w:tcBorders>
            <w:shd w:val="clear" w:color="auto" w:fill="auto"/>
            <w:vAlign w:val="center"/>
            <w:hideMark/>
          </w:tcPr>
          <w:p w:rsidR="00941CAB" w:rsidRPr="00941CAB" w:rsidRDefault="00941CAB" w:rsidP="00941CAB">
            <w:pPr>
              <w:spacing w:after="0" w:line="240" w:lineRule="auto"/>
              <w:jc w:val="left"/>
              <w:rPr>
                <w:color w:val="000000"/>
                <w:szCs w:val="22"/>
              </w:rPr>
            </w:pPr>
            <w:r w:rsidRPr="00941CAB">
              <w:rPr>
                <w:color w:val="000000"/>
                <w:sz w:val="22"/>
                <w:szCs w:val="22"/>
              </w:rPr>
              <w:t>Výsledek hospodaření před zdaněním</w:t>
            </w:r>
          </w:p>
        </w:tc>
        <w:tc>
          <w:tcPr>
            <w:tcW w:w="700" w:type="dxa"/>
            <w:tcBorders>
              <w:top w:val="nil"/>
              <w:left w:val="nil"/>
              <w:bottom w:val="single" w:sz="12" w:space="0" w:color="auto"/>
              <w:right w:val="single" w:sz="4" w:space="0" w:color="auto"/>
            </w:tcBorders>
            <w:shd w:val="clear" w:color="auto" w:fill="auto"/>
            <w:vAlign w:val="center"/>
            <w:hideMark/>
          </w:tcPr>
          <w:p w:rsidR="00941CAB" w:rsidRPr="00941CAB" w:rsidRDefault="00941CAB" w:rsidP="00941CAB">
            <w:pPr>
              <w:spacing w:after="0" w:line="240" w:lineRule="auto"/>
              <w:jc w:val="center"/>
              <w:rPr>
                <w:color w:val="000000"/>
                <w:szCs w:val="22"/>
              </w:rPr>
            </w:pPr>
            <w:r w:rsidRPr="00941CAB">
              <w:rPr>
                <w:color w:val="000000"/>
                <w:sz w:val="22"/>
                <w:szCs w:val="22"/>
              </w:rPr>
              <w:t>61</w:t>
            </w:r>
          </w:p>
        </w:tc>
        <w:tc>
          <w:tcPr>
            <w:tcW w:w="1180" w:type="dxa"/>
            <w:tcBorders>
              <w:top w:val="nil"/>
              <w:left w:val="nil"/>
              <w:bottom w:val="single" w:sz="12"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-57 202</w:t>
            </w:r>
          </w:p>
        </w:tc>
        <w:tc>
          <w:tcPr>
            <w:tcW w:w="1180" w:type="dxa"/>
            <w:tcBorders>
              <w:top w:val="nil"/>
              <w:left w:val="nil"/>
              <w:bottom w:val="single" w:sz="12" w:space="0" w:color="auto"/>
              <w:right w:val="single" w:sz="4"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-682 720</w:t>
            </w:r>
          </w:p>
        </w:tc>
        <w:tc>
          <w:tcPr>
            <w:tcW w:w="1180" w:type="dxa"/>
            <w:tcBorders>
              <w:top w:val="nil"/>
              <w:left w:val="nil"/>
              <w:bottom w:val="single" w:sz="12" w:space="0" w:color="auto"/>
              <w:right w:val="single" w:sz="12" w:space="0" w:color="auto"/>
            </w:tcBorders>
            <w:shd w:val="clear" w:color="auto" w:fill="auto"/>
            <w:vAlign w:val="center"/>
            <w:hideMark/>
          </w:tcPr>
          <w:p w:rsidR="00941CAB" w:rsidRPr="00941CAB" w:rsidRDefault="00941CAB" w:rsidP="00941CAB">
            <w:pPr>
              <w:spacing w:after="0" w:line="240" w:lineRule="auto"/>
              <w:jc w:val="right"/>
              <w:rPr>
                <w:color w:val="000000"/>
                <w:szCs w:val="22"/>
              </w:rPr>
            </w:pPr>
            <w:r w:rsidRPr="00941CAB">
              <w:rPr>
                <w:color w:val="000000"/>
                <w:sz w:val="22"/>
                <w:szCs w:val="22"/>
              </w:rPr>
              <w:t>-2 450 376</w:t>
            </w:r>
          </w:p>
        </w:tc>
      </w:tr>
    </w:tbl>
    <w:p w:rsidR="009312CC" w:rsidRDefault="005545F9" w:rsidP="00C43FD2">
      <w:pPr>
        <w:pStyle w:val="dajepodtabulkou"/>
      </w:pPr>
      <w:r>
        <w:t>Zdroj: KOVOVÝROBA s. r. o.</w:t>
      </w:r>
    </w:p>
    <w:p w:rsidR="008413EA" w:rsidRPr="008413EA" w:rsidRDefault="008413EA" w:rsidP="00897452">
      <w:pPr>
        <w:pStyle w:val="Titulek"/>
      </w:pPr>
      <w:bookmarkStart w:id="267" w:name="_Ref352356273"/>
      <w:bookmarkStart w:id="268" w:name="_Ref352356284"/>
      <w:bookmarkStart w:id="269" w:name="_Toc353437247"/>
      <w:bookmarkStart w:id="270" w:name="_Toc353438797"/>
      <w:bookmarkStart w:id="271" w:name="_Ref348555133"/>
      <w:r w:rsidRPr="008413EA">
        <w:t xml:space="preserve">Příloha </w:t>
      </w:r>
      <w:r w:rsidR="00C96C2B">
        <w:fldChar w:fldCharType="begin"/>
      </w:r>
      <w:r w:rsidR="00C96C2B">
        <w:instrText xml:space="preserve"> SEQ Příloha \* ARABIC </w:instrText>
      </w:r>
      <w:r w:rsidR="00C96C2B">
        <w:fldChar w:fldCharType="separate"/>
      </w:r>
      <w:r w:rsidR="002534BA">
        <w:rPr>
          <w:noProof/>
        </w:rPr>
        <w:t>3</w:t>
      </w:r>
      <w:r w:rsidR="00C96C2B">
        <w:rPr>
          <w:noProof/>
        </w:rPr>
        <w:fldChar w:fldCharType="end"/>
      </w:r>
      <w:bookmarkEnd w:id="267"/>
      <w:r w:rsidRPr="008413EA">
        <w:t xml:space="preserve"> Účty </w:t>
      </w:r>
      <w:r w:rsidR="00801E57">
        <w:t>nákladů a výnosů</w:t>
      </w:r>
      <w:r w:rsidR="009819A7">
        <w:t xml:space="preserve"> společnosti KOVOVÝROBA s. r. o.</w:t>
      </w:r>
      <w:bookmarkEnd w:id="268"/>
      <w:bookmarkEnd w:id="269"/>
      <w:bookmarkEnd w:id="270"/>
    </w:p>
    <w:p w:rsidR="008413EA" w:rsidRDefault="008413EA" w:rsidP="00671C37">
      <w:pPr>
        <w:pStyle w:val="dajenadtabulkouazdroj"/>
      </w:pPr>
      <w:r>
        <w:t>Údaje jsou uvedeny v celých Kč</w:t>
      </w:r>
    </w:p>
    <w:tbl>
      <w:tblPr>
        <w:tblW w:w="8480" w:type="dxa"/>
        <w:jc w:val="center"/>
        <w:tblInd w:w="55" w:type="dxa"/>
        <w:tblCellMar>
          <w:left w:w="70" w:type="dxa"/>
          <w:right w:w="70" w:type="dxa"/>
        </w:tblCellMar>
        <w:tblLook w:val="04A0" w:firstRow="1" w:lastRow="0" w:firstColumn="1" w:lastColumn="0" w:noHBand="0" w:noVBand="1"/>
      </w:tblPr>
      <w:tblGrid>
        <w:gridCol w:w="960"/>
        <w:gridCol w:w="3320"/>
        <w:gridCol w:w="1400"/>
        <w:gridCol w:w="1400"/>
        <w:gridCol w:w="1400"/>
      </w:tblGrid>
      <w:tr w:rsidR="008413EA" w:rsidRPr="008413EA" w:rsidTr="00C336D4">
        <w:trPr>
          <w:trHeight w:val="360"/>
          <w:tblHeader/>
          <w:jc w:val="center"/>
        </w:trPr>
        <w:tc>
          <w:tcPr>
            <w:tcW w:w="8480" w:type="dxa"/>
            <w:gridSpan w:val="5"/>
            <w:tcBorders>
              <w:top w:val="single" w:sz="12" w:space="0" w:color="auto"/>
              <w:left w:val="single" w:sz="12" w:space="0" w:color="auto"/>
              <w:bottom w:val="single" w:sz="4" w:space="0" w:color="auto"/>
              <w:right w:val="single" w:sz="12" w:space="0" w:color="000000"/>
            </w:tcBorders>
            <w:shd w:val="clear" w:color="auto" w:fill="E5DFEC" w:themeFill="accent4" w:themeFillTint="33"/>
            <w:vAlign w:val="center"/>
            <w:hideMark/>
          </w:tcPr>
          <w:p w:rsidR="008413EA" w:rsidRPr="008413EA" w:rsidRDefault="0010457F" w:rsidP="0010457F">
            <w:pPr>
              <w:spacing w:after="0" w:line="240" w:lineRule="auto"/>
              <w:jc w:val="center"/>
              <w:rPr>
                <w:b/>
                <w:bCs/>
                <w:color w:val="000000"/>
                <w:szCs w:val="22"/>
              </w:rPr>
            </w:pPr>
            <w:r>
              <w:rPr>
                <w:b/>
                <w:bCs/>
                <w:color w:val="000000"/>
                <w:sz w:val="22"/>
                <w:szCs w:val="22"/>
              </w:rPr>
              <w:t>ÚČTY</w:t>
            </w:r>
            <w:r w:rsidR="008413EA" w:rsidRPr="008413EA">
              <w:rPr>
                <w:b/>
                <w:bCs/>
                <w:color w:val="000000"/>
                <w:sz w:val="22"/>
                <w:szCs w:val="22"/>
              </w:rPr>
              <w:t xml:space="preserve"> </w:t>
            </w:r>
            <w:r>
              <w:rPr>
                <w:b/>
                <w:bCs/>
                <w:color w:val="000000"/>
                <w:sz w:val="22"/>
                <w:szCs w:val="22"/>
              </w:rPr>
              <w:t>VÝKAZU</w:t>
            </w:r>
            <w:r w:rsidR="008413EA" w:rsidRPr="008413EA">
              <w:rPr>
                <w:b/>
                <w:bCs/>
                <w:color w:val="000000"/>
                <w:sz w:val="22"/>
                <w:szCs w:val="22"/>
              </w:rPr>
              <w:t xml:space="preserve"> </w:t>
            </w:r>
            <w:r w:rsidR="00D30246">
              <w:rPr>
                <w:b/>
                <w:bCs/>
                <w:color w:val="000000"/>
                <w:sz w:val="22"/>
                <w:szCs w:val="22"/>
              </w:rPr>
              <w:t>ZISKU</w:t>
            </w:r>
            <w:r w:rsidR="008413EA" w:rsidRPr="008413EA">
              <w:rPr>
                <w:b/>
                <w:bCs/>
                <w:color w:val="000000"/>
                <w:sz w:val="22"/>
                <w:szCs w:val="22"/>
              </w:rPr>
              <w:t xml:space="preserve"> </w:t>
            </w:r>
            <w:r>
              <w:rPr>
                <w:b/>
                <w:bCs/>
                <w:color w:val="000000"/>
                <w:sz w:val="22"/>
                <w:szCs w:val="22"/>
              </w:rPr>
              <w:t>A ZTRÁT</w:t>
            </w:r>
            <w:r w:rsidR="00D30246">
              <w:rPr>
                <w:b/>
                <w:bCs/>
                <w:color w:val="000000"/>
                <w:sz w:val="22"/>
                <w:szCs w:val="22"/>
              </w:rPr>
              <w:t>Y</w:t>
            </w:r>
          </w:p>
        </w:tc>
      </w:tr>
      <w:tr w:rsidR="008413EA" w:rsidRPr="008413EA" w:rsidTr="00C336D4">
        <w:trPr>
          <w:trHeight w:val="439"/>
          <w:tblHeader/>
          <w:jc w:val="center"/>
        </w:trPr>
        <w:tc>
          <w:tcPr>
            <w:tcW w:w="960" w:type="dxa"/>
            <w:tcBorders>
              <w:top w:val="nil"/>
              <w:left w:val="single" w:sz="12" w:space="0" w:color="auto"/>
              <w:bottom w:val="double" w:sz="6" w:space="0" w:color="auto"/>
              <w:right w:val="single" w:sz="4" w:space="0" w:color="auto"/>
            </w:tcBorders>
            <w:shd w:val="clear" w:color="auto" w:fill="E5DFEC" w:themeFill="accent4" w:themeFillTint="33"/>
            <w:vAlign w:val="center"/>
            <w:hideMark/>
          </w:tcPr>
          <w:p w:rsidR="008413EA" w:rsidRPr="008413EA" w:rsidRDefault="0010457F" w:rsidP="008413EA">
            <w:pPr>
              <w:spacing w:after="0" w:line="240" w:lineRule="auto"/>
              <w:jc w:val="center"/>
              <w:rPr>
                <w:b/>
                <w:bCs/>
                <w:color w:val="000000"/>
                <w:szCs w:val="22"/>
              </w:rPr>
            </w:pPr>
            <w:r>
              <w:rPr>
                <w:b/>
                <w:bCs/>
                <w:color w:val="000000"/>
                <w:sz w:val="22"/>
                <w:szCs w:val="22"/>
              </w:rPr>
              <w:t>ÚČET</w:t>
            </w:r>
          </w:p>
        </w:tc>
        <w:tc>
          <w:tcPr>
            <w:tcW w:w="3320" w:type="dxa"/>
            <w:tcBorders>
              <w:top w:val="nil"/>
              <w:left w:val="nil"/>
              <w:bottom w:val="double" w:sz="6" w:space="0" w:color="auto"/>
              <w:right w:val="single" w:sz="4" w:space="0" w:color="auto"/>
            </w:tcBorders>
            <w:shd w:val="clear" w:color="auto" w:fill="E5DFEC" w:themeFill="accent4" w:themeFillTint="33"/>
            <w:vAlign w:val="center"/>
            <w:hideMark/>
          </w:tcPr>
          <w:p w:rsidR="008413EA" w:rsidRPr="008413EA" w:rsidRDefault="0010457F" w:rsidP="008413EA">
            <w:pPr>
              <w:spacing w:after="0" w:line="240" w:lineRule="auto"/>
              <w:jc w:val="center"/>
              <w:rPr>
                <w:b/>
                <w:bCs/>
                <w:color w:val="000000"/>
                <w:szCs w:val="22"/>
              </w:rPr>
            </w:pPr>
            <w:r>
              <w:rPr>
                <w:b/>
                <w:bCs/>
                <w:color w:val="000000"/>
                <w:sz w:val="22"/>
                <w:szCs w:val="22"/>
              </w:rPr>
              <w:t>NÁZEV ÚČTU</w:t>
            </w:r>
          </w:p>
        </w:tc>
        <w:tc>
          <w:tcPr>
            <w:tcW w:w="1400" w:type="dxa"/>
            <w:tcBorders>
              <w:top w:val="nil"/>
              <w:left w:val="nil"/>
              <w:bottom w:val="double" w:sz="6" w:space="0" w:color="auto"/>
              <w:right w:val="single" w:sz="4" w:space="0" w:color="auto"/>
            </w:tcBorders>
            <w:shd w:val="clear" w:color="auto" w:fill="E5DFEC" w:themeFill="accent4" w:themeFillTint="33"/>
            <w:vAlign w:val="center"/>
            <w:hideMark/>
          </w:tcPr>
          <w:p w:rsidR="008413EA" w:rsidRPr="008413EA" w:rsidRDefault="00A25895" w:rsidP="008413EA">
            <w:pPr>
              <w:spacing w:after="0" w:line="240" w:lineRule="auto"/>
              <w:jc w:val="center"/>
              <w:rPr>
                <w:b/>
                <w:bCs/>
                <w:color w:val="000000"/>
                <w:szCs w:val="22"/>
              </w:rPr>
            </w:pPr>
            <w:r>
              <w:rPr>
                <w:b/>
                <w:bCs/>
                <w:color w:val="000000"/>
                <w:sz w:val="22"/>
                <w:szCs w:val="22"/>
              </w:rPr>
              <w:t>2</w:t>
            </w:r>
            <w:r w:rsidR="008413EA" w:rsidRPr="008413EA">
              <w:rPr>
                <w:b/>
                <w:bCs/>
                <w:color w:val="000000"/>
                <w:sz w:val="22"/>
                <w:szCs w:val="22"/>
              </w:rPr>
              <w:t>009</w:t>
            </w:r>
          </w:p>
        </w:tc>
        <w:tc>
          <w:tcPr>
            <w:tcW w:w="1400" w:type="dxa"/>
            <w:tcBorders>
              <w:top w:val="nil"/>
              <w:left w:val="nil"/>
              <w:bottom w:val="double" w:sz="6" w:space="0" w:color="auto"/>
              <w:right w:val="single" w:sz="4" w:space="0" w:color="auto"/>
            </w:tcBorders>
            <w:shd w:val="clear" w:color="auto" w:fill="E5DFEC" w:themeFill="accent4" w:themeFillTint="33"/>
            <w:vAlign w:val="center"/>
            <w:hideMark/>
          </w:tcPr>
          <w:p w:rsidR="008413EA" w:rsidRPr="008413EA" w:rsidRDefault="00A25895" w:rsidP="008413EA">
            <w:pPr>
              <w:spacing w:after="0" w:line="240" w:lineRule="auto"/>
              <w:jc w:val="center"/>
              <w:rPr>
                <w:b/>
                <w:bCs/>
                <w:color w:val="000000"/>
                <w:szCs w:val="22"/>
              </w:rPr>
            </w:pPr>
            <w:r>
              <w:rPr>
                <w:b/>
                <w:bCs/>
                <w:color w:val="000000"/>
                <w:sz w:val="22"/>
                <w:szCs w:val="22"/>
              </w:rPr>
              <w:t>2</w:t>
            </w:r>
            <w:r w:rsidR="008413EA" w:rsidRPr="008413EA">
              <w:rPr>
                <w:b/>
                <w:bCs/>
                <w:color w:val="000000"/>
                <w:sz w:val="22"/>
                <w:szCs w:val="22"/>
              </w:rPr>
              <w:t>010</w:t>
            </w:r>
          </w:p>
        </w:tc>
        <w:tc>
          <w:tcPr>
            <w:tcW w:w="1400" w:type="dxa"/>
            <w:tcBorders>
              <w:top w:val="nil"/>
              <w:left w:val="nil"/>
              <w:bottom w:val="double" w:sz="6" w:space="0" w:color="auto"/>
              <w:right w:val="single" w:sz="12" w:space="0" w:color="auto"/>
            </w:tcBorders>
            <w:shd w:val="clear" w:color="auto" w:fill="E5DFEC" w:themeFill="accent4" w:themeFillTint="33"/>
            <w:vAlign w:val="center"/>
            <w:hideMark/>
          </w:tcPr>
          <w:p w:rsidR="008413EA" w:rsidRPr="008413EA" w:rsidRDefault="00A25895" w:rsidP="008413EA">
            <w:pPr>
              <w:spacing w:after="0" w:line="240" w:lineRule="auto"/>
              <w:jc w:val="center"/>
              <w:rPr>
                <w:b/>
                <w:bCs/>
                <w:color w:val="000000"/>
                <w:szCs w:val="22"/>
              </w:rPr>
            </w:pPr>
            <w:r>
              <w:rPr>
                <w:b/>
                <w:bCs/>
                <w:color w:val="000000"/>
                <w:sz w:val="22"/>
                <w:szCs w:val="22"/>
              </w:rPr>
              <w:t>2</w:t>
            </w:r>
            <w:r w:rsidR="008413EA" w:rsidRPr="008413EA">
              <w:rPr>
                <w:b/>
                <w:bCs/>
                <w:color w:val="000000"/>
                <w:sz w:val="22"/>
                <w:szCs w:val="22"/>
              </w:rPr>
              <w:t>011</w:t>
            </w:r>
          </w:p>
        </w:tc>
      </w:tr>
      <w:tr w:rsidR="008413EA" w:rsidRPr="008413EA" w:rsidTr="00D05E8D">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8413EA" w:rsidRPr="008413EA" w:rsidRDefault="008413EA" w:rsidP="0087437F">
            <w:pPr>
              <w:spacing w:after="0" w:line="240" w:lineRule="auto"/>
              <w:jc w:val="center"/>
              <w:rPr>
                <w:color w:val="000000"/>
                <w:szCs w:val="22"/>
              </w:rPr>
            </w:pPr>
            <w:r w:rsidRPr="008413EA">
              <w:rPr>
                <w:color w:val="000000"/>
                <w:sz w:val="22"/>
                <w:szCs w:val="22"/>
              </w:rPr>
              <w:t>501</w:t>
            </w:r>
          </w:p>
        </w:tc>
        <w:tc>
          <w:tcPr>
            <w:tcW w:w="3320" w:type="dxa"/>
            <w:tcBorders>
              <w:top w:val="nil"/>
              <w:left w:val="nil"/>
              <w:bottom w:val="single" w:sz="4" w:space="0" w:color="auto"/>
              <w:right w:val="single" w:sz="4" w:space="0" w:color="auto"/>
            </w:tcBorders>
            <w:shd w:val="clear" w:color="auto" w:fill="auto"/>
            <w:vAlign w:val="center"/>
            <w:hideMark/>
          </w:tcPr>
          <w:p w:rsidR="008413EA" w:rsidRPr="008413EA" w:rsidRDefault="008B11CE" w:rsidP="008413EA">
            <w:pPr>
              <w:spacing w:after="0" w:line="240" w:lineRule="auto"/>
              <w:jc w:val="left"/>
              <w:rPr>
                <w:color w:val="000000"/>
                <w:szCs w:val="22"/>
              </w:rPr>
            </w:pPr>
            <w:r>
              <w:rPr>
                <w:color w:val="000000"/>
                <w:sz w:val="22"/>
                <w:szCs w:val="22"/>
              </w:rPr>
              <w:t>Spotřeba mater</w:t>
            </w:r>
            <w:r w:rsidR="008413EA" w:rsidRPr="008413EA">
              <w:rPr>
                <w:color w:val="000000"/>
                <w:sz w:val="22"/>
                <w:szCs w:val="22"/>
              </w:rPr>
              <w:t>iálu</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115 277</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1 860 703</w:t>
            </w:r>
          </w:p>
        </w:tc>
        <w:tc>
          <w:tcPr>
            <w:tcW w:w="1400" w:type="dxa"/>
            <w:tcBorders>
              <w:top w:val="nil"/>
              <w:left w:val="nil"/>
              <w:bottom w:val="single" w:sz="4" w:space="0" w:color="auto"/>
              <w:right w:val="single" w:sz="12"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2 775 923</w:t>
            </w:r>
          </w:p>
        </w:tc>
      </w:tr>
      <w:tr w:rsidR="008413EA" w:rsidRPr="008413EA" w:rsidTr="00D05E8D">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8413EA" w:rsidRPr="008413EA" w:rsidRDefault="008413EA" w:rsidP="0087437F">
            <w:pPr>
              <w:spacing w:after="0" w:line="240" w:lineRule="auto"/>
              <w:jc w:val="center"/>
              <w:rPr>
                <w:color w:val="000000"/>
                <w:szCs w:val="22"/>
              </w:rPr>
            </w:pPr>
            <w:r w:rsidRPr="008413EA">
              <w:rPr>
                <w:color w:val="000000"/>
                <w:sz w:val="22"/>
                <w:szCs w:val="22"/>
              </w:rPr>
              <w:t>502</w:t>
            </w:r>
          </w:p>
        </w:tc>
        <w:tc>
          <w:tcPr>
            <w:tcW w:w="332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left"/>
              <w:rPr>
                <w:color w:val="000000"/>
                <w:szCs w:val="22"/>
              </w:rPr>
            </w:pPr>
            <w:r w:rsidRPr="008413EA">
              <w:rPr>
                <w:color w:val="000000"/>
                <w:sz w:val="22"/>
                <w:szCs w:val="22"/>
              </w:rPr>
              <w:t>Spotřeba energie</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0</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485 364</w:t>
            </w:r>
          </w:p>
        </w:tc>
        <w:tc>
          <w:tcPr>
            <w:tcW w:w="1400" w:type="dxa"/>
            <w:tcBorders>
              <w:top w:val="nil"/>
              <w:left w:val="nil"/>
              <w:bottom w:val="single" w:sz="4" w:space="0" w:color="auto"/>
              <w:right w:val="single" w:sz="12"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189 180</w:t>
            </w:r>
          </w:p>
        </w:tc>
      </w:tr>
      <w:tr w:rsidR="008413EA" w:rsidRPr="008413EA" w:rsidTr="00D05E8D">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8413EA" w:rsidRPr="008413EA" w:rsidRDefault="008413EA" w:rsidP="0087437F">
            <w:pPr>
              <w:spacing w:after="0" w:line="240" w:lineRule="auto"/>
              <w:jc w:val="center"/>
              <w:rPr>
                <w:color w:val="000000"/>
                <w:szCs w:val="22"/>
              </w:rPr>
            </w:pPr>
            <w:r w:rsidRPr="008413EA">
              <w:rPr>
                <w:color w:val="000000"/>
                <w:sz w:val="22"/>
                <w:szCs w:val="22"/>
              </w:rPr>
              <w:t>511</w:t>
            </w:r>
          </w:p>
        </w:tc>
        <w:tc>
          <w:tcPr>
            <w:tcW w:w="332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left"/>
              <w:rPr>
                <w:color w:val="000000"/>
                <w:szCs w:val="22"/>
              </w:rPr>
            </w:pPr>
            <w:r w:rsidRPr="008413EA">
              <w:rPr>
                <w:color w:val="000000"/>
                <w:sz w:val="22"/>
                <w:szCs w:val="22"/>
              </w:rPr>
              <w:t>Opravy a udržování</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6 011</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121 004</w:t>
            </w:r>
          </w:p>
        </w:tc>
        <w:tc>
          <w:tcPr>
            <w:tcW w:w="1400" w:type="dxa"/>
            <w:tcBorders>
              <w:top w:val="nil"/>
              <w:left w:val="nil"/>
              <w:bottom w:val="single" w:sz="4" w:space="0" w:color="auto"/>
              <w:right w:val="single" w:sz="12"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11 531</w:t>
            </w:r>
          </w:p>
        </w:tc>
      </w:tr>
      <w:tr w:rsidR="008413EA" w:rsidRPr="008413EA" w:rsidTr="00D05E8D">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8413EA" w:rsidRPr="008413EA" w:rsidRDefault="008413EA" w:rsidP="0087437F">
            <w:pPr>
              <w:spacing w:after="0" w:line="240" w:lineRule="auto"/>
              <w:jc w:val="center"/>
              <w:rPr>
                <w:color w:val="000000"/>
                <w:szCs w:val="22"/>
              </w:rPr>
            </w:pPr>
            <w:r w:rsidRPr="008413EA">
              <w:rPr>
                <w:color w:val="000000"/>
                <w:sz w:val="22"/>
                <w:szCs w:val="22"/>
              </w:rPr>
              <w:t>512</w:t>
            </w:r>
          </w:p>
        </w:tc>
        <w:tc>
          <w:tcPr>
            <w:tcW w:w="332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left"/>
              <w:rPr>
                <w:color w:val="000000"/>
                <w:szCs w:val="22"/>
              </w:rPr>
            </w:pPr>
            <w:r w:rsidRPr="008413EA">
              <w:rPr>
                <w:color w:val="000000"/>
                <w:sz w:val="22"/>
                <w:szCs w:val="22"/>
              </w:rPr>
              <w:t>Cestovné</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18 370</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35 699</w:t>
            </w:r>
          </w:p>
        </w:tc>
        <w:tc>
          <w:tcPr>
            <w:tcW w:w="1400" w:type="dxa"/>
            <w:tcBorders>
              <w:top w:val="nil"/>
              <w:left w:val="nil"/>
              <w:bottom w:val="single" w:sz="4" w:space="0" w:color="auto"/>
              <w:right w:val="single" w:sz="12"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0</w:t>
            </w:r>
          </w:p>
        </w:tc>
      </w:tr>
      <w:tr w:rsidR="008413EA" w:rsidRPr="008413EA" w:rsidTr="00D05E8D">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8413EA" w:rsidRPr="008413EA" w:rsidRDefault="008413EA" w:rsidP="0087437F">
            <w:pPr>
              <w:spacing w:after="0" w:line="240" w:lineRule="auto"/>
              <w:jc w:val="center"/>
              <w:rPr>
                <w:color w:val="000000"/>
                <w:szCs w:val="22"/>
              </w:rPr>
            </w:pPr>
            <w:r w:rsidRPr="008413EA">
              <w:rPr>
                <w:color w:val="000000"/>
                <w:sz w:val="22"/>
                <w:szCs w:val="22"/>
              </w:rPr>
              <w:t>518</w:t>
            </w:r>
          </w:p>
        </w:tc>
        <w:tc>
          <w:tcPr>
            <w:tcW w:w="332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left"/>
              <w:rPr>
                <w:color w:val="000000"/>
                <w:szCs w:val="22"/>
              </w:rPr>
            </w:pPr>
            <w:r w:rsidRPr="008413EA">
              <w:rPr>
                <w:color w:val="000000"/>
                <w:sz w:val="22"/>
                <w:szCs w:val="22"/>
              </w:rPr>
              <w:t>Ostatní služby</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27 721</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546 274</w:t>
            </w:r>
          </w:p>
        </w:tc>
        <w:tc>
          <w:tcPr>
            <w:tcW w:w="1400" w:type="dxa"/>
            <w:tcBorders>
              <w:top w:val="nil"/>
              <w:left w:val="nil"/>
              <w:bottom w:val="single" w:sz="4" w:space="0" w:color="auto"/>
              <w:right w:val="single" w:sz="12"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1 098 169</w:t>
            </w:r>
          </w:p>
        </w:tc>
      </w:tr>
      <w:tr w:rsidR="008413EA" w:rsidRPr="008413EA" w:rsidTr="00D05E8D">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8413EA" w:rsidRPr="008413EA" w:rsidRDefault="008413EA" w:rsidP="0087437F">
            <w:pPr>
              <w:spacing w:after="0" w:line="240" w:lineRule="auto"/>
              <w:jc w:val="center"/>
              <w:rPr>
                <w:color w:val="000000"/>
                <w:szCs w:val="22"/>
              </w:rPr>
            </w:pPr>
            <w:r w:rsidRPr="008413EA">
              <w:rPr>
                <w:color w:val="000000"/>
                <w:sz w:val="22"/>
                <w:szCs w:val="22"/>
              </w:rPr>
              <w:t>521</w:t>
            </w:r>
          </w:p>
        </w:tc>
        <w:tc>
          <w:tcPr>
            <w:tcW w:w="332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left"/>
              <w:rPr>
                <w:color w:val="000000"/>
                <w:szCs w:val="22"/>
              </w:rPr>
            </w:pPr>
            <w:r w:rsidRPr="008413EA">
              <w:rPr>
                <w:color w:val="000000"/>
                <w:sz w:val="22"/>
                <w:szCs w:val="22"/>
              </w:rPr>
              <w:t>Mzdové náklady</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0</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1 071 394</w:t>
            </w:r>
          </w:p>
        </w:tc>
        <w:tc>
          <w:tcPr>
            <w:tcW w:w="1400" w:type="dxa"/>
            <w:tcBorders>
              <w:top w:val="nil"/>
              <w:left w:val="nil"/>
              <w:bottom w:val="single" w:sz="4" w:space="0" w:color="auto"/>
              <w:right w:val="single" w:sz="12"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999 593</w:t>
            </w:r>
          </w:p>
        </w:tc>
      </w:tr>
      <w:tr w:rsidR="008413EA" w:rsidRPr="008413EA" w:rsidTr="00D05E8D">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8413EA" w:rsidRPr="008413EA" w:rsidRDefault="008413EA" w:rsidP="0087437F">
            <w:pPr>
              <w:spacing w:after="0" w:line="240" w:lineRule="auto"/>
              <w:jc w:val="center"/>
              <w:rPr>
                <w:color w:val="000000"/>
                <w:szCs w:val="22"/>
              </w:rPr>
            </w:pPr>
            <w:r w:rsidRPr="008413EA">
              <w:rPr>
                <w:color w:val="000000"/>
                <w:sz w:val="22"/>
                <w:szCs w:val="22"/>
              </w:rPr>
              <w:t>524</w:t>
            </w:r>
          </w:p>
        </w:tc>
        <w:tc>
          <w:tcPr>
            <w:tcW w:w="332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left"/>
              <w:rPr>
                <w:color w:val="000000"/>
                <w:szCs w:val="22"/>
              </w:rPr>
            </w:pPr>
            <w:r w:rsidRPr="008413EA">
              <w:rPr>
                <w:color w:val="000000"/>
                <w:sz w:val="22"/>
                <w:szCs w:val="22"/>
              </w:rPr>
              <w:t>Zákonné sociální pojištění</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0</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126 701</w:t>
            </w:r>
          </w:p>
        </w:tc>
        <w:tc>
          <w:tcPr>
            <w:tcW w:w="1400" w:type="dxa"/>
            <w:tcBorders>
              <w:top w:val="nil"/>
              <w:left w:val="nil"/>
              <w:bottom w:val="single" w:sz="4" w:space="0" w:color="auto"/>
              <w:right w:val="single" w:sz="12"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441 537</w:t>
            </w:r>
          </w:p>
        </w:tc>
      </w:tr>
      <w:tr w:rsidR="008413EA" w:rsidRPr="008413EA" w:rsidTr="00D05E8D">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8413EA" w:rsidRPr="008413EA" w:rsidRDefault="008413EA" w:rsidP="0087437F">
            <w:pPr>
              <w:spacing w:after="0" w:line="240" w:lineRule="auto"/>
              <w:jc w:val="center"/>
              <w:rPr>
                <w:color w:val="000000"/>
                <w:szCs w:val="22"/>
              </w:rPr>
            </w:pPr>
            <w:r w:rsidRPr="008413EA">
              <w:rPr>
                <w:color w:val="000000"/>
                <w:sz w:val="22"/>
                <w:szCs w:val="22"/>
              </w:rPr>
              <w:t>527</w:t>
            </w:r>
          </w:p>
        </w:tc>
        <w:tc>
          <w:tcPr>
            <w:tcW w:w="332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left"/>
              <w:rPr>
                <w:color w:val="000000"/>
                <w:szCs w:val="22"/>
              </w:rPr>
            </w:pPr>
            <w:r w:rsidRPr="008413EA">
              <w:rPr>
                <w:color w:val="000000"/>
                <w:sz w:val="22"/>
                <w:szCs w:val="22"/>
              </w:rPr>
              <w:t>Zákonné sociální náklady</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0</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7 162</w:t>
            </w:r>
          </w:p>
        </w:tc>
        <w:tc>
          <w:tcPr>
            <w:tcW w:w="1400" w:type="dxa"/>
            <w:tcBorders>
              <w:top w:val="nil"/>
              <w:left w:val="nil"/>
              <w:bottom w:val="single" w:sz="4" w:space="0" w:color="auto"/>
              <w:right w:val="single" w:sz="12"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5 837</w:t>
            </w:r>
          </w:p>
        </w:tc>
      </w:tr>
      <w:tr w:rsidR="008413EA" w:rsidRPr="008413EA" w:rsidTr="00D05E8D">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8413EA" w:rsidRPr="008413EA" w:rsidRDefault="008413EA" w:rsidP="0087437F">
            <w:pPr>
              <w:spacing w:after="0" w:line="240" w:lineRule="auto"/>
              <w:jc w:val="center"/>
              <w:rPr>
                <w:color w:val="000000"/>
                <w:szCs w:val="22"/>
              </w:rPr>
            </w:pPr>
            <w:r w:rsidRPr="008413EA">
              <w:rPr>
                <w:color w:val="000000"/>
                <w:sz w:val="22"/>
                <w:szCs w:val="22"/>
              </w:rPr>
              <w:t>531</w:t>
            </w:r>
          </w:p>
        </w:tc>
        <w:tc>
          <w:tcPr>
            <w:tcW w:w="332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left"/>
              <w:rPr>
                <w:color w:val="000000"/>
                <w:szCs w:val="22"/>
              </w:rPr>
            </w:pPr>
            <w:r w:rsidRPr="008413EA">
              <w:rPr>
                <w:color w:val="000000"/>
                <w:sz w:val="22"/>
                <w:szCs w:val="22"/>
              </w:rPr>
              <w:t>Daň silniční</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0</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800</w:t>
            </w:r>
          </w:p>
        </w:tc>
        <w:tc>
          <w:tcPr>
            <w:tcW w:w="1400" w:type="dxa"/>
            <w:tcBorders>
              <w:top w:val="nil"/>
              <w:left w:val="nil"/>
              <w:bottom w:val="single" w:sz="4" w:space="0" w:color="auto"/>
              <w:right w:val="single" w:sz="12"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4 000</w:t>
            </w:r>
          </w:p>
        </w:tc>
      </w:tr>
      <w:tr w:rsidR="008413EA" w:rsidRPr="008413EA" w:rsidTr="00D05E8D">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8413EA" w:rsidRPr="008413EA" w:rsidRDefault="008413EA" w:rsidP="0087437F">
            <w:pPr>
              <w:spacing w:after="0" w:line="240" w:lineRule="auto"/>
              <w:jc w:val="center"/>
              <w:rPr>
                <w:color w:val="000000"/>
                <w:szCs w:val="22"/>
              </w:rPr>
            </w:pPr>
            <w:r w:rsidRPr="008413EA">
              <w:rPr>
                <w:color w:val="000000"/>
                <w:sz w:val="22"/>
                <w:szCs w:val="22"/>
              </w:rPr>
              <w:t>544</w:t>
            </w:r>
          </w:p>
        </w:tc>
        <w:tc>
          <w:tcPr>
            <w:tcW w:w="332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left"/>
              <w:rPr>
                <w:color w:val="000000"/>
                <w:szCs w:val="22"/>
              </w:rPr>
            </w:pPr>
            <w:r w:rsidRPr="008413EA">
              <w:rPr>
                <w:color w:val="000000"/>
                <w:sz w:val="22"/>
                <w:szCs w:val="22"/>
              </w:rPr>
              <w:t>Smluvní pokuty a úroky z prodlení</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0</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0</w:t>
            </w:r>
          </w:p>
        </w:tc>
        <w:tc>
          <w:tcPr>
            <w:tcW w:w="1400" w:type="dxa"/>
            <w:tcBorders>
              <w:top w:val="nil"/>
              <w:left w:val="nil"/>
              <w:bottom w:val="single" w:sz="4" w:space="0" w:color="auto"/>
              <w:right w:val="single" w:sz="12"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1 448</w:t>
            </w:r>
          </w:p>
        </w:tc>
      </w:tr>
      <w:tr w:rsidR="008413EA" w:rsidRPr="008413EA" w:rsidTr="00D05E8D">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8413EA" w:rsidRPr="008413EA" w:rsidRDefault="008413EA" w:rsidP="0087437F">
            <w:pPr>
              <w:spacing w:after="0" w:line="240" w:lineRule="auto"/>
              <w:jc w:val="center"/>
              <w:rPr>
                <w:color w:val="000000"/>
                <w:szCs w:val="22"/>
              </w:rPr>
            </w:pPr>
            <w:r w:rsidRPr="008413EA">
              <w:rPr>
                <w:color w:val="000000"/>
                <w:sz w:val="22"/>
                <w:szCs w:val="22"/>
              </w:rPr>
              <w:t>548</w:t>
            </w:r>
          </w:p>
        </w:tc>
        <w:tc>
          <w:tcPr>
            <w:tcW w:w="3320" w:type="dxa"/>
            <w:tcBorders>
              <w:top w:val="nil"/>
              <w:left w:val="nil"/>
              <w:bottom w:val="single" w:sz="4" w:space="0" w:color="auto"/>
              <w:right w:val="single" w:sz="4" w:space="0" w:color="auto"/>
            </w:tcBorders>
            <w:shd w:val="clear" w:color="auto" w:fill="auto"/>
            <w:vAlign w:val="center"/>
            <w:hideMark/>
          </w:tcPr>
          <w:p w:rsidR="008413EA" w:rsidRPr="008413EA" w:rsidRDefault="008B11CE" w:rsidP="008413EA">
            <w:pPr>
              <w:spacing w:after="0" w:line="240" w:lineRule="auto"/>
              <w:jc w:val="left"/>
              <w:rPr>
                <w:color w:val="000000"/>
                <w:szCs w:val="22"/>
              </w:rPr>
            </w:pPr>
            <w:r>
              <w:rPr>
                <w:color w:val="000000"/>
                <w:sz w:val="22"/>
                <w:szCs w:val="22"/>
              </w:rPr>
              <w:t>Ostatní</w:t>
            </w:r>
            <w:r w:rsidR="008413EA" w:rsidRPr="008413EA">
              <w:rPr>
                <w:color w:val="000000"/>
                <w:sz w:val="22"/>
                <w:szCs w:val="22"/>
              </w:rPr>
              <w:t xml:space="preserve"> provozní náklady</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70 000</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286 008</w:t>
            </w:r>
          </w:p>
        </w:tc>
        <w:tc>
          <w:tcPr>
            <w:tcW w:w="1400" w:type="dxa"/>
            <w:tcBorders>
              <w:top w:val="nil"/>
              <w:left w:val="nil"/>
              <w:bottom w:val="single" w:sz="4" w:space="0" w:color="auto"/>
              <w:right w:val="single" w:sz="12"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412 107</w:t>
            </w:r>
          </w:p>
        </w:tc>
      </w:tr>
      <w:tr w:rsidR="008413EA" w:rsidRPr="008413EA" w:rsidTr="00D05E8D">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8413EA" w:rsidRPr="008413EA" w:rsidRDefault="008413EA" w:rsidP="0087437F">
            <w:pPr>
              <w:spacing w:after="0" w:line="240" w:lineRule="auto"/>
              <w:jc w:val="center"/>
              <w:rPr>
                <w:color w:val="000000"/>
                <w:szCs w:val="22"/>
              </w:rPr>
            </w:pPr>
            <w:r w:rsidRPr="008413EA">
              <w:rPr>
                <w:color w:val="000000"/>
                <w:sz w:val="22"/>
                <w:szCs w:val="22"/>
              </w:rPr>
              <w:t>551</w:t>
            </w:r>
          </w:p>
        </w:tc>
        <w:tc>
          <w:tcPr>
            <w:tcW w:w="332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left"/>
              <w:rPr>
                <w:color w:val="000000"/>
                <w:szCs w:val="22"/>
              </w:rPr>
            </w:pPr>
            <w:r w:rsidRPr="008413EA">
              <w:rPr>
                <w:color w:val="000000"/>
                <w:sz w:val="22"/>
                <w:szCs w:val="22"/>
              </w:rPr>
              <w:t xml:space="preserve">Odpisy </w:t>
            </w:r>
            <w:proofErr w:type="spellStart"/>
            <w:r w:rsidRPr="008413EA">
              <w:rPr>
                <w:color w:val="000000"/>
                <w:sz w:val="22"/>
                <w:szCs w:val="22"/>
              </w:rPr>
              <w:t>dlouh</w:t>
            </w:r>
            <w:proofErr w:type="spellEnd"/>
            <w:r w:rsidRPr="008413EA">
              <w:rPr>
                <w:color w:val="000000"/>
                <w:sz w:val="22"/>
                <w:szCs w:val="22"/>
              </w:rPr>
              <w:t xml:space="preserve">. </w:t>
            </w:r>
            <w:proofErr w:type="spellStart"/>
            <w:r w:rsidRPr="008413EA">
              <w:rPr>
                <w:color w:val="000000"/>
                <w:sz w:val="22"/>
                <w:szCs w:val="22"/>
              </w:rPr>
              <w:t>nehm</w:t>
            </w:r>
            <w:proofErr w:type="spellEnd"/>
            <w:r w:rsidRPr="008413EA">
              <w:rPr>
                <w:color w:val="000000"/>
                <w:sz w:val="22"/>
                <w:szCs w:val="22"/>
              </w:rPr>
              <w:t xml:space="preserve"> a hm. </w:t>
            </w:r>
            <w:proofErr w:type="gramStart"/>
            <w:r w:rsidRPr="008413EA">
              <w:rPr>
                <w:color w:val="000000"/>
                <w:sz w:val="22"/>
                <w:szCs w:val="22"/>
              </w:rPr>
              <w:t>majetku</w:t>
            </w:r>
            <w:proofErr w:type="gramEnd"/>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0</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0</w:t>
            </w:r>
          </w:p>
        </w:tc>
        <w:tc>
          <w:tcPr>
            <w:tcW w:w="1400" w:type="dxa"/>
            <w:tcBorders>
              <w:top w:val="nil"/>
              <w:left w:val="nil"/>
              <w:bottom w:val="single" w:sz="4" w:space="0" w:color="auto"/>
              <w:right w:val="single" w:sz="12"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56 040</w:t>
            </w:r>
          </w:p>
        </w:tc>
      </w:tr>
      <w:tr w:rsidR="008413EA" w:rsidRPr="008413EA" w:rsidTr="00D05E8D">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8413EA" w:rsidRPr="008413EA" w:rsidRDefault="008413EA" w:rsidP="0087437F">
            <w:pPr>
              <w:spacing w:after="0" w:line="240" w:lineRule="auto"/>
              <w:jc w:val="center"/>
              <w:rPr>
                <w:color w:val="000000"/>
                <w:szCs w:val="22"/>
              </w:rPr>
            </w:pPr>
            <w:r w:rsidRPr="008413EA">
              <w:rPr>
                <w:color w:val="000000"/>
                <w:sz w:val="22"/>
                <w:szCs w:val="22"/>
              </w:rPr>
              <w:t>562</w:t>
            </w:r>
          </w:p>
        </w:tc>
        <w:tc>
          <w:tcPr>
            <w:tcW w:w="332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left"/>
              <w:rPr>
                <w:color w:val="000000"/>
                <w:szCs w:val="22"/>
              </w:rPr>
            </w:pPr>
            <w:r w:rsidRPr="008413EA">
              <w:rPr>
                <w:color w:val="000000"/>
                <w:sz w:val="22"/>
                <w:szCs w:val="22"/>
              </w:rPr>
              <w:t>Úroky</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6</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5</w:t>
            </w:r>
          </w:p>
        </w:tc>
        <w:tc>
          <w:tcPr>
            <w:tcW w:w="1400" w:type="dxa"/>
            <w:tcBorders>
              <w:top w:val="nil"/>
              <w:left w:val="nil"/>
              <w:bottom w:val="single" w:sz="4" w:space="0" w:color="auto"/>
              <w:right w:val="single" w:sz="12"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0</w:t>
            </w:r>
          </w:p>
        </w:tc>
      </w:tr>
      <w:tr w:rsidR="008413EA" w:rsidRPr="008413EA" w:rsidTr="00D05E8D">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8413EA" w:rsidRPr="008413EA" w:rsidRDefault="008413EA" w:rsidP="0087437F">
            <w:pPr>
              <w:spacing w:after="0" w:line="240" w:lineRule="auto"/>
              <w:jc w:val="center"/>
              <w:rPr>
                <w:color w:val="000000"/>
                <w:szCs w:val="22"/>
              </w:rPr>
            </w:pPr>
            <w:r w:rsidRPr="008413EA">
              <w:rPr>
                <w:color w:val="000000"/>
                <w:sz w:val="22"/>
                <w:szCs w:val="22"/>
              </w:rPr>
              <w:t>568</w:t>
            </w:r>
          </w:p>
        </w:tc>
        <w:tc>
          <w:tcPr>
            <w:tcW w:w="332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left"/>
              <w:rPr>
                <w:color w:val="000000"/>
                <w:szCs w:val="22"/>
              </w:rPr>
            </w:pPr>
            <w:r w:rsidRPr="008413EA">
              <w:rPr>
                <w:color w:val="000000"/>
                <w:sz w:val="22"/>
                <w:szCs w:val="22"/>
              </w:rPr>
              <w:t>Ostatní finanční náklady</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25 281</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279 113</w:t>
            </w:r>
          </w:p>
        </w:tc>
        <w:tc>
          <w:tcPr>
            <w:tcW w:w="1400" w:type="dxa"/>
            <w:tcBorders>
              <w:top w:val="nil"/>
              <w:left w:val="nil"/>
              <w:bottom w:val="single" w:sz="4" w:space="0" w:color="auto"/>
              <w:right w:val="single" w:sz="12"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361 937</w:t>
            </w:r>
          </w:p>
        </w:tc>
      </w:tr>
      <w:tr w:rsidR="008413EA" w:rsidRPr="008413EA" w:rsidTr="00D05E8D">
        <w:trPr>
          <w:trHeight w:val="439"/>
          <w:jc w:val="center"/>
        </w:trPr>
        <w:tc>
          <w:tcPr>
            <w:tcW w:w="4280" w:type="dxa"/>
            <w:gridSpan w:val="2"/>
            <w:tcBorders>
              <w:top w:val="single" w:sz="4" w:space="0" w:color="auto"/>
              <w:left w:val="single" w:sz="12" w:space="0" w:color="auto"/>
              <w:bottom w:val="single" w:sz="4" w:space="0" w:color="auto"/>
              <w:right w:val="single" w:sz="4" w:space="0" w:color="auto"/>
            </w:tcBorders>
            <w:shd w:val="clear" w:color="000000" w:fill="D9D9D9"/>
            <w:vAlign w:val="center"/>
            <w:hideMark/>
          </w:tcPr>
          <w:p w:rsidR="008413EA" w:rsidRPr="008413EA" w:rsidRDefault="008413EA" w:rsidP="008413EA">
            <w:pPr>
              <w:spacing w:after="0" w:line="240" w:lineRule="auto"/>
              <w:jc w:val="left"/>
              <w:rPr>
                <w:b/>
                <w:bCs/>
                <w:color w:val="000000"/>
                <w:szCs w:val="22"/>
              </w:rPr>
            </w:pPr>
            <w:r w:rsidRPr="008413EA">
              <w:rPr>
                <w:b/>
                <w:bCs/>
                <w:color w:val="000000"/>
                <w:sz w:val="22"/>
                <w:szCs w:val="22"/>
              </w:rPr>
              <w:lastRenderedPageBreak/>
              <w:t>Náklady celkem</w:t>
            </w:r>
          </w:p>
        </w:tc>
        <w:tc>
          <w:tcPr>
            <w:tcW w:w="1400" w:type="dxa"/>
            <w:tcBorders>
              <w:top w:val="nil"/>
              <w:left w:val="nil"/>
              <w:bottom w:val="single" w:sz="4" w:space="0" w:color="auto"/>
              <w:right w:val="single" w:sz="4" w:space="0" w:color="auto"/>
            </w:tcBorders>
            <w:shd w:val="clear" w:color="000000" w:fill="D9D9D9"/>
            <w:vAlign w:val="center"/>
            <w:hideMark/>
          </w:tcPr>
          <w:p w:rsidR="008413EA" w:rsidRPr="008413EA" w:rsidRDefault="008413EA" w:rsidP="008413EA">
            <w:pPr>
              <w:spacing w:after="0" w:line="240" w:lineRule="auto"/>
              <w:jc w:val="right"/>
              <w:rPr>
                <w:b/>
                <w:bCs/>
                <w:color w:val="000000"/>
                <w:szCs w:val="22"/>
              </w:rPr>
            </w:pPr>
            <w:r w:rsidRPr="008413EA">
              <w:rPr>
                <w:b/>
                <w:bCs/>
                <w:color w:val="000000"/>
                <w:sz w:val="22"/>
                <w:szCs w:val="22"/>
              </w:rPr>
              <w:t>262 666</w:t>
            </w:r>
          </w:p>
        </w:tc>
        <w:tc>
          <w:tcPr>
            <w:tcW w:w="1400" w:type="dxa"/>
            <w:tcBorders>
              <w:top w:val="nil"/>
              <w:left w:val="nil"/>
              <w:bottom w:val="single" w:sz="4" w:space="0" w:color="auto"/>
              <w:right w:val="single" w:sz="4" w:space="0" w:color="auto"/>
            </w:tcBorders>
            <w:shd w:val="clear" w:color="000000" w:fill="D9D9D9"/>
            <w:vAlign w:val="center"/>
            <w:hideMark/>
          </w:tcPr>
          <w:p w:rsidR="008413EA" w:rsidRPr="008413EA" w:rsidRDefault="008413EA" w:rsidP="008413EA">
            <w:pPr>
              <w:spacing w:after="0" w:line="240" w:lineRule="auto"/>
              <w:jc w:val="right"/>
              <w:rPr>
                <w:b/>
                <w:bCs/>
                <w:color w:val="000000"/>
                <w:szCs w:val="22"/>
              </w:rPr>
            </w:pPr>
            <w:r w:rsidRPr="008413EA">
              <w:rPr>
                <w:b/>
                <w:bCs/>
                <w:color w:val="000000"/>
                <w:sz w:val="22"/>
                <w:szCs w:val="22"/>
              </w:rPr>
              <w:t>4 820 228</w:t>
            </w:r>
          </w:p>
        </w:tc>
        <w:tc>
          <w:tcPr>
            <w:tcW w:w="1400" w:type="dxa"/>
            <w:tcBorders>
              <w:top w:val="nil"/>
              <w:left w:val="nil"/>
              <w:bottom w:val="single" w:sz="4" w:space="0" w:color="auto"/>
              <w:right w:val="single" w:sz="12" w:space="0" w:color="auto"/>
            </w:tcBorders>
            <w:shd w:val="clear" w:color="000000" w:fill="D9D9D9"/>
            <w:vAlign w:val="center"/>
            <w:hideMark/>
          </w:tcPr>
          <w:p w:rsidR="008413EA" w:rsidRPr="008413EA" w:rsidRDefault="008413EA" w:rsidP="008413EA">
            <w:pPr>
              <w:spacing w:after="0" w:line="240" w:lineRule="auto"/>
              <w:jc w:val="right"/>
              <w:rPr>
                <w:b/>
                <w:bCs/>
                <w:color w:val="000000"/>
                <w:szCs w:val="22"/>
              </w:rPr>
            </w:pPr>
            <w:r w:rsidRPr="008413EA">
              <w:rPr>
                <w:b/>
                <w:bCs/>
                <w:color w:val="000000"/>
                <w:sz w:val="22"/>
                <w:szCs w:val="22"/>
              </w:rPr>
              <w:t>6 357 303</w:t>
            </w:r>
          </w:p>
        </w:tc>
      </w:tr>
      <w:tr w:rsidR="008413EA" w:rsidRPr="008413EA" w:rsidTr="00D05E8D">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8413EA" w:rsidRPr="008413EA" w:rsidRDefault="008413EA" w:rsidP="00A25895">
            <w:pPr>
              <w:spacing w:after="0" w:line="240" w:lineRule="auto"/>
              <w:jc w:val="center"/>
              <w:rPr>
                <w:color w:val="000000"/>
                <w:szCs w:val="22"/>
              </w:rPr>
            </w:pPr>
            <w:r w:rsidRPr="008413EA">
              <w:rPr>
                <w:color w:val="000000"/>
                <w:sz w:val="22"/>
                <w:szCs w:val="22"/>
              </w:rPr>
              <w:t>602</w:t>
            </w:r>
          </w:p>
        </w:tc>
        <w:tc>
          <w:tcPr>
            <w:tcW w:w="332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left"/>
              <w:rPr>
                <w:color w:val="000000"/>
                <w:szCs w:val="22"/>
              </w:rPr>
            </w:pPr>
            <w:r w:rsidRPr="008413EA">
              <w:rPr>
                <w:color w:val="000000"/>
                <w:sz w:val="22"/>
                <w:szCs w:val="22"/>
              </w:rPr>
              <w:t>Tržby z prodeje služeb</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205 462</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4 137 504</w:t>
            </w:r>
          </w:p>
        </w:tc>
        <w:tc>
          <w:tcPr>
            <w:tcW w:w="1400" w:type="dxa"/>
            <w:tcBorders>
              <w:top w:val="nil"/>
              <w:left w:val="nil"/>
              <w:bottom w:val="single" w:sz="4" w:space="0" w:color="auto"/>
              <w:right w:val="single" w:sz="12"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4 277 411</w:t>
            </w:r>
          </w:p>
        </w:tc>
      </w:tr>
      <w:tr w:rsidR="008413EA" w:rsidRPr="008413EA" w:rsidTr="00D05E8D">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8413EA" w:rsidRPr="008413EA" w:rsidRDefault="008413EA" w:rsidP="00A25895">
            <w:pPr>
              <w:spacing w:after="0" w:line="240" w:lineRule="auto"/>
              <w:jc w:val="center"/>
              <w:rPr>
                <w:color w:val="000000"/>
                <w:szCs w:val="22"/>
              </w:rPr>
            </w:pPr>
            <w:r w:rsidRPr="008413EA">
              <w:rPr>
                <w:color w:val="000000"/>
                <w:sz w:val="22"/>
                <w:szCs w:val="22"/>
              </w:rPr>
              <w:t>611</w:t>
            </w:r>
          </w:p>
        </w:tc>
        <w:tc>
          <w:tcPr>
            <w:tcW w:w="332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left"/>
              <w:rPr>
                <w:color w:val="000000"/>
                <w:szCs w:val="22"/>
              </w:rPr>
            </w:pPr>
            <w:r w:rsidRPr="008413EA">
              <w:rPr>
                <w:color w:val="000000"/>
                <w:sz w:val="22"/>
                <w:szCs w:val="22"/>
              </w:rPr>
              <w:t>Změna stavu nedokončené výroby</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0</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0</w:t>
            </w:r>
          </w:p>
        </w:tc>
        <w:tc>
          <w:tcPr>
            <w:tcW w:w="1400" w:type="dxa"/>
            <w:tcBorders>
              <w:top w:val="nil"/>
              <w:left w:val="nil"/>
              <w:bottom w:val="single" w:sz="4" w:space="0" w:color="auto"/>
              <w:right w:val="single" w:sz="12"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-375 600</w:t>
            </w:r>
          </w:p>
        </w:tc>
      </w:tr>
      <w:tr w:rsidR="008413EA" w:rsidRPr="008413EA" w:rsidTr="00D05E8D">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8413EA" w:rsidRPr="008413EA" w:rsidRDefault="008413EA" w:rsidP="00A25895">
            <w:pPr>
              <w:spacing w:after="0" w:line="240" w:lineRule="auto"/>
              <w:jc w:val="center"/>
              <w:rPr>
                <w:color w:val="000000"/>
                <w:szCs w:val="22"/>
              </w:rPr>
            </w:pPr>
            <w:r w:rsidRPr="008413EA">
              <w:rPr>
                <w:color w:val="000000"/>
                <w:sz w:val="22"/>
                <w:szCs w:val="22"/>
              </w:rPr>
              <w:t>648</w:t>
            </w:r>
          </w:p>
        </w:tc>
        <w:tc>
          <w:tcPr>
            <w:tcW w:w="332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left"/>
              <w:rPr>
                <w:color w:val="000000"/>
                <w:szCs w:val="22"/>
              </w:rPr>
            </w:pPr>
            <w:r w:rsidRPr="008413EA">
              <w:rPr>
                <w:color w:val="000000"/>
                <w:sz w:val="22"/>
                <w:szCs w:val="22"/>
              </w:rPr>
              <w:t>Ostatní provozní výnosy</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0</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2</w:t>
            </w:r>
          </w:p>
        </w:tc>
        <w:tc>
          <w:tcPr>
            <w:tcW w:w="1400" w:type="dxa"/>
            <w:tcBorders>
              <w:top w:val="nil"/>
              <w:left w:val="nil"/>
              <w:bottom w:val="single" w:sz="4" w:space="0" w:color="auto"/>
              <w:right w:val="single" w:sz="12"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10</w:t>
            </w:r>
          </w:p>
        </w:tc>
      </w:tr>
      <w:tr w:rsidR="008413EA" w:rsidRPr="008413EA" w:rsidTr="00D05E8D">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8413EA" w:rsidRPr="008413EA" w:rsidRDefault="008413EA" w:rsidP="00A25895">
            <w:pPr>
              <w:spacing w:after="0" w:line="240" w:lineRule="auto"/>
              <w:jc w:val="center"/>
              <w:rPr>
                <w:color w:val="000000"/>
                <w:szCs w:val="22"/>
              </w:rPr>
            </w:pPr>
            <w:r w:rsidRPr="008413EA">
              <w:rPr>
                <w:color w:val="000000"/>
                <w:sz w:val="22"/>
                <w:szCs w:val="22"/>
              </w:rPr>
              <w:t>662</w:t>
            </w:r>
          </w:p>
        </w:tc>
        <w:tc>
          <w:tcPr>
            <w:tcW w:w="332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left"/>
              <w:rPr>
                <w:color w:val="000000"/>
                <w:szCs w:val="22"/>
              </w:rPr>
            </w:pPr>
            <w:r w:rsidRPr="008413EA">
              <w:rPr>
                <w:color w:val="000000"/>
                <w:sz w:val="22"/>
                <w:szCs w:val="22"/>
              </w:rPr>
              <w:t>Úroky</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1</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2</w:t>
            </w:r>
          </w:p>
        </w:tc>
        <w:tc>
          <w:tcPr>
            <w:tcW w:w="1400" w:type="dxa"/>
            <w:tcBorders>
              <w:top w:val="nil"/>
              <w:left w:val="nil"/>
              <w:bottom w:val="single" w:sz="4" w:space="0" w:color="auto"/>
              <w:right w:val="single" w:sz="12"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5</w:t>
            </w:r>
          </w:p>
        </w:tc>
      </w:tr>
      <w:tr w:rsidR="008413EA" w:rsidRPr="008413EA" w:rsidTr="00D05E8D">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8413EA" w:rsidRPr="008413EA" w:rsidRDefault="008413EA" w:rsidP="00A25895">
            <w:pPr>
              <w:spacing w:after="0" w:line="240" w:lineRule="auto"/>
              <w:jc w:val="center"/>
              <w:rPr>
                <w:color w:val="000000"/>
                <w:szCs w:val="22"/>
              </w:rPr>
            </w:pPr>
            <w:r w:rsidRPr="008413EA">
              <w:rPr>
                <w:color w:val="000000"/>
                <w:sz w:val="22"/>
                <w:szCs w:val="22"/>
              </w:rPr>
              <w:t>668</w:t>
            </w:r>
          </w:p>
        </w:tc>
        <w:tc>
          <w:tcPr>
            <w:tcW w:w="332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left"/>
              <w:rPr>
                <w:color w:val="000000"/>
                <w:szCs w:val="22"/>
              </w:rPr>
            </w:pPr>
            <w:r w:rsidRPr="008413EA">
              <w:rPr>
                <w:color w:val="000000"/>
                <w:sz w:val="22"/>
                <w:szCs w:val="22"/>
              </w:rPr>
              <w:t>Ostatní finanční výnosy</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0</w:t>
            </w:r>
          </w:p>
        </w:tc>
        <w:tc>
          <w:tcPr>
            <w:tcW w:w="1400" w:type="dxa"/>
            <w:tcBorders>
              <w:top w:val="nil"/>
              <w:left w:val="nil"/>
              <w:bottom w:val="single" w:sz="4" w:space="0" w:color="auto"/>
              <w:right w:val="single" w:sz="4"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0</w:t>
            </w:r>
          </w:p>
        </w:tc>
        <w:tc>
          <w:tcPr>
            <w:tcW w:w="1400" w:type="dxa"/>
            <w:tcBorders>
              <w:top w:val="nil"/>
              <w:left w:val="nil"/>
              <w:bottom w:val="single" w:sz="4" w:space="0" w:color="auto"/>
              <w:right w:val="single" w:sz="12" w:space="0" w:color="auto"/>
            </w:tcBorders>
            <w:shd w:val="clear" w:color="auto" w:fill="auto"/>
            <w:vAlign w:val="center"/>
            <w:hideMark/>
          </w:tcPr>
          <w:p w:rsidR="008413EA" w:rsidRPr="008413EA" w:rsidRDefault="008413EA" w:rsidP="008413EA">
            <w:pPr>
              <w:spacing w:after="0" w:line="240" w:lineRule="auto"/>
              <w:jc w:val="right"/>
              <w:rPr>
                <w:color w:val="000000"/>
                <w:szCs w:val="22"/>
              </w:rPr>
            </w:pPr>
            <w:r w:rsidRPr="008413EA">
              <w:rPr>
                <w:color w:val="000000"/>
                <w:sz w:val="22"/>
                <w:szCs w:val="22"/>
              </w:rPr>
              <w:t>5 100</w:t>
            </w:r>
          </w:p>
        </w:tc>
      </w:tr>
      <w:tr w:rsidR="008413EA" w:rsidRPr="008413EA" w:rsidTr="00D05E8D">
        <w:trPr>
          <w:trHeight w:val="439"/>
          <w:jc w:val="center"/>
        </w:trPr>
        <w:tc>
          <w:tcPr>
            <w:tcW w:w="4280" w:type="dxa"/>
            <w:gridSpan w:val="2"/>
            <w:tcBorders>
              <w:top w:val="single" w:sz="4" w:space="0" w:color="auto"/>
              <w:left w:val="single" w:sz="12" w:space="0" w:color="auto"/>
              <w:bottom w:val="single" w:sz="4" w:space="0" w:color="auto"/>
              <w:right w:val="single" w:sz="4" w:space="0" w:color="auto"/>
            </w:tcBorders>
            <w:shd w:val="clear" w:color="000000" w:fill="D9D9D9"/>
            <w:vAlign w:val="center"/>
            <w:hideMark/>
          </w:tcPr>
          <w:p w:rsidR="008413EA" w:rsidRPr="008413EA" w:rsidRDefault="008413EA" w:rsidP="008413EA">
            <w:pPr>
              <w:spacing w:after="0" w:line="240" w:lineRule="auto"/>
              <w:jc w:val="left"/>
              <w:rPr>
                <w:b/>
                <w:bCs/>
                <w:color w:val="000000"/>
                <w:szCs w:val="22"/>
              </w:rPr>
            </w:pPr>
            <w:r w:rsidRPr="008413EA">
              <w:rPr>
                <w:b/>
                <w:bCs/>
                <w:color w:val="000000"/>
                <w:sz w:val="22"/>
                <w:szCs w:val="22"/>
              </w:rPr>
              <w:t>Výnosy celkem</w:t>
            </w:r>
          </w:p>
        </w:tc>
        <w:tc>
          <w:tcPr>
            <w:tcW w:w="1400" w:type="dxa"/>
            <w:tcBorders>
              <w:top w:val="nil"/>
              <w:left w:val="nil"/>
              <w:bottom w:val="single" w:sz="4" w:space="0" w:color="auto"/>
              <w:right w:val="single" w:sz="4" w:space="0" w:color="auto"/>
            </w:tcBorders>
            <w:shd w:val="clear" w:color="000000" w:fill="D9D9D9"/>
            <w:vAlign w:val="center"/>
            <w:hideMark/>
          </w:tcPr>
          <w:p w:rsidR="008413EA" w:rsidRPr="008413EA" w:rsidRDefault="008413EA" w:rsidP="008413EA">
            <w:pPr>
              <w:spacing w:after="0" w:line="240" w:lineRule="auto"/>
              <w:jc w:val="right"/>
              <w:rPr>
                <w:b/>
                <w:bCs/>
                <w:color w:val="000000"/>
                <w:szCs w:val="22"/>
              </w:rPr>
            </w:pPr>
            <w:r w:rsidRPr="008413EA">
              <w:rPr>
                <w:b/>
                <w:bCs/>
                <w:color w:val="000000"/>
                <w:sz w:val="22"/>
                <w:szCs w:val="22"/>
              </w:rPr>
              <w:t>205 463</w:t>
            </w:r>
          </w:p>
        </w:tc>
        <w:tc>
          <w:tcPr>
            <w:tcW w:w="1400" w:type="dxa"/>
            <w:tcBorders>
              <w:top w:val="nil"/>
              <w:left w:val="nil"/>
              <w:bottom w:val="single" w:sz="4" w:space="0" w:color="auto"/>
              <w:right w:val="single" w:sz="4" w:space="0" w:color="auto"/>
            </w:tcBorders>
            <w:shd w:val="clear" w:color="000000" w:fill="D9D9D9"/>
            <w:vAlign w:val="center"/>
            <w:hideMark/>
          </w:tcPr>
          <w:p w:rsidR="008413EA" w:rsidRPr="008413EA" w:rsidRDefault="008413EA" w:rsidP="008413EA">
            <w:pPr>
              <w:spacing w:after="0" w:line="240" w:lineRule="auto"/>
              <w:jc w:val="right"/>
              <w:rPr>
                <w:b/>
                <w:bCs/>
                <w:color w:val="000000"/>
                <w:szCs w:val="22"/>
              </w:rPr>
            </w:pPr>
            <w:r w:rsidRPr="008413EA">
              <w:rPr>
                <w:b/>
                <w:bCs/>
                <w:color w:val="000000"/>
                <w:sz w:val="22"/>
                <w:szCs w:val="22"/>
              </w:rPr>
              <w:t>4 137 508</w:t>
            </w:r>
          </w:p>
        </w:tc>
        <w:tc>
          <w:tcPr>
            <w:tcW w:w="1400" w:type="dxa"/>
            <w:tcBorders>
              <w:top w:val="nil"/>
              <w:left w:val="nil"/>
              <w:bottom w:val="single" w:sz="4" w:space="0" w:color="auto"/>
              <w:right w:val="single" w:sz="12" w:space="0" w:color="auto"/>
            </w:tcBorders>
            <w:shd w:val="clear" w:color="000000" w:fill="D9D9D9"/>
            <w:vAlign w:val="center"/>
            <w:hideMark/>
          </w:tcPr>
          <w:p w:rsidR="008413EA" w:rsidRPr="008413EA" w:rsidRDefault="008413EA" w:rsidP="008413EA">
            <w:pPr>
              <w:spacing w:after="0" w:line="240" w:lineRule="auto"/>
              <w:jc w:val="right"/>
              <w:rPr>
                <w:b/>
                <w:bCs/>
                <w:color w:val="000000"/>
                <w:szCs w:val="22"/>
              </w:rPr>
            </w:pPr>
            <w:r w:rsidRPr="008413EA">
              <w:rPr>
                <w:b/>
                <w:bCs/>
                <w:color w:val="000000"/>
                <w:sz w:val="22"/>
                <w:szCs w:val="22"/>
              </w:rPr>
              <w:t>3 906 927</w:t>
            </w:r>
          </w:p>
        </w:tc>
      </w:tr>
      <w:tr w:rsidR="008413EA" w:rsidRPr="008413EA" w:rsidTr="00D05E8D">
        <w:trPr>
          <w:trHeight w:val="439"/>
          <w:jc w:val="center"/>
        </w:trPr>
        <w:tc>
          <w:tcPr>
            <w:tcW w:w="4280" w:type="dxa"/>
            <w:gridSpan w:val="2"/>
            <w:tcBorders>
              <w:top w:val="single" w:sz="4" w:space="0" w:color="auto"/>
              <w:left w:val="single" w:sz="12" w:space="0" w:color="auto"/>
              <w:bottom w:val="single" w:sz="12" w:space="0" w:color="auto"/>
              <w:right w:val="single" w:sz="4" w:space="0" w:color="auto"/>
            </w:tcBorders>
            <w:shd w:val="clear" w:color="000000" w:fill="D9D9D9"/>
            <w:vAlign w:val="center"/>
            <w:hideMark/>
          </w:tcPr>
          <w:p w:rsidR="008413EA" w:rsidRPr="008413EA" w:rsidRDefault="008413EA" w:rsidP="008413EA">
            <w:pPr>
              <w:spacing w:after="0" w:line="240" w:lineRule="auto"/>
              <w:jc w:val="left"/>
              <w:rPr>
                <w:b/>
                <w:bCs/>
                <w:color w:val="000000"/>
                <w:szCs w:val="22"/>
              </w:rPr>
            </w:pPr>
            <w:r w:rsidRPr="008413EA">
              <w:rPr>
                <w:b/>
                <w:bCs/>
                <w:color w:val="000000"/>
                <w:sz w:val="22"/>
                <w:szCs w:val="22"/>
              </w:rPr>
              <w:t>Zisk (+) / Ztráta (-)</w:t>
            </w:r>
          </w:p>
        </w:tc>
        <w:tc>
          <w:tcPr>
            <w:tcW w:w="1400" w:type="dxa"/>
            <w:tcBorders>
              <w:top w:val="nil"/>
              <w:left w:val="nil"/>
              <w:bottom w:val="single" w:sz="12" w:space="0" w:color="auto"/>
              <w:right w:val="single" w:sz="4" w:space="0" w:color="auto"/>
            </w:tcBorders>
            <w:shd w:val="clear" w:color="000000" w:fill="D9D9D9"/>
            <w:vAlign w:val="center"/>
            <w:hideMark/>
          </w:tcPr>
          <w:p w:rsidR="008413EA" w:rsidRPr="008413EA" w:rsidRDefault="008413EA" w:rsidP="008413EA">
            <w:pPr>
              <w:spacing w:after="0" w:line="240" w:lineRule="auto"/>
              <w:jc w:val="right"/>
              <w:rPr>
                <w:b/>
                <w:bCs/>
                <w:color w:val="000000"/>
                <w:szCs w:val="22"/>
              </w:rPr>
            </w:pPr>
            <w:r w:rsidRPr="008413EA">
              <w:rPr>
                <w:b/>
                <w:bCs/>
                <w:color w:val="000000"/>
                <w:sz w:val="22"/>
                <w:szCs w:val="22"/>
              </w:rPr>
              <w:t>-57 202</w:t>
            </w:r>
          </w:p>
        </w:tc>
        <w:tc>
          <w:tcPr>
            <w:tcW w:w="1400" w:type="dxa"/>
            <w:tcBorders>
              <w:top w:val="nil"/>
              <w:left w:val="nil"/>
              <w:bottom w:val="single" w:sz="12" w:space="0" w:color="auto"/>
              <w:right w:val="single" w:sz="4" w:space="0" w:color="auto"/>
            </w:tcBorders>
            <w:shd w:val="clear" w:color="000000" w:fill="D9D9D9"/>
            <w:vAlign w:val="center"/>
            <w:hideMark/>
          </w:tcPr>
          <w:p w:rsidR="008413EA" w:rsidRPr="008413EA" w:rsidRDefault="008413EA" w:rsidP="008413EA">
            <w:pPr>
              <w:spacing w:after="0" w:line="240" w:lineRule="auto"/>
              <w:jc w:val="right"/>
              <w:rPr>
                <w:b/>
                <w:bCs/>
                <w:color w:val="000000"/>
                <w:szCs w:val="22"/>
              </w:rPr>
            </w:pPr>
            <w:r w:rsidRPr="008413EA">
              <w:rPr>
                <w:b/>
                <w:bCs/>
                <w:color w:val="000000"/>
                <w:sz w:val="22"/>
                <w:szCs w:val="22"/>
              </w:rPr>
              <w:t>-682 720</w:t>
            </w:r>
          </w:p>
        </w:tc>
        <w:tc>
          <w:tcPr>
            <w:tcW w:w="1400" w:type="dxa"/>
            <w:tcBorders>
              <w:top w:val="nil"/>
              <w:left w:val="nil"/>
              <w:bottom w:val="single" w:sz="12" w:space="0" w:color="auto"/>
              <w:right w:val="single" w:sz="12" w:space="0" w:color="auto"/>
            </w:tcBorders>
            <w:shd w:val="clear" w:color="000000" w:fill="D9D9D9"/>
            <w:vAlign w:val="center"/>
            <w:hideMark/>
          </w:tcPr>
          <w:p w:rsidR="008413EA" w:rsidRPr="008413EA" w:rsidRDefault="008413EA" w:rsidP="008413EA">
            <w:pPr>
              <w:spacing w:after="0" w:line="240" w:lineRule="auto"/>
              <w:jc w:val="right"/>
              <w:rPr>
                <w:b/>
                <w:bCs/>
                <w:color w:val="000000"/>
                <w:szCs w:val="22"/>
              </w:rPr>
            </w:pPr>
            <w:r w:rsidRPr="008413EA">
              <w:rPr>
                <w:b/>
                <w:bCs/>
                <w:color w:val="000000"/>
                <w:sz w:val="22"/>
                <w:szCs w:val="22"/>
              </w:rPr>
              <w:t>-2 450 376</w:t>
            </w:r>
          </w:p>
        </w:tc>
      </w:tr>
    </w:tbl>
    <w:p w:rsidR="008413EA" w:rsidRPr="008413EA" w:rsidRDefault="008413EA" w:rsidP="00C43FD2">
      <w:pPr>
        <w:pStyle w:val="dajepodtabulkou"/>
      </w:pPr>
      <w:r>
        <w:t xml:space="preserve">Zdroj: </w:t>
      </w:r>
      <w:r w:rsidR="0020303E">
        <w:t>KOVOVÝROBA s. r. o.</w:t>
      </w:r>
    </w:p>
    <w:p w:rsidR="00077690" w:rsidRDefault="00077690" w:rsidP="00077690">
      <w:pPr>
        <w:pStyle w:val="Titulek"/>
      </w:pPr>
      <w:bookmarkStart w:id="272" w:name="_Ref350444983"/>
      <w:bookmarkStart w:id="273" w:name="_Ref350444995"/>
      <w:bookmarkStart w:id="274" w:name="_Toc353437248"/>
      <w:bookmarkStart w:id="275" w:name="_Toc353438798"/>
      <w:bookmarkStart w:id="276" w:name="_Ref348815652"/>
      <w:bookmarkStart w:id="277" w:name="_Ref348815682"/>
      <w:r>
        <w:t xml:space="preserve">Příloha </w:t>
      </w:r>
      <w:r w:rsidR="00C96C2B">
        <w:fldChar w:fldCharType="begin"/>
      </w:r>
      <w:r w:rsidR="00C96C2B">
        <w:instrText xml:space="preserve"> SEQ Příloha \* ARABIC </w:instrText>
      </w:r>
      <w:r w:rsidR="00C96C2B">
        <w:fldChar w:fldCharType="separate"/>
      </w:r>
      <w:r w:rsidR="002534BA">
        <w:rPr>
          <w:noProof/>
        </w:rPr>
        <w:t>4</w:t>
      </w:r>
      <w:r w:rsidR="00C96C2B">
        <w:rPr>
          <w:noProof/>
        </w:rPr>
        <w:fldChar w:fldCharType="end"/>
      </w:r>
      <w:bookmarkEnd w:id="272"/>
      <w:r>
        <w:t xml:space="preserve"> Krátkodobé závazky a závazky okamžitě splatné</w:t>
      </w:r>
      <w:bookmarkEnd w:id="273"/>
      <w:bookmarkEnd w:id="274"/>
      <w:bookmarkEnd w:id="275"/>
    </w:p>
    <w:p w:rsidR="00077690" w:rsidRDefault="00AC76CF" w:rsidP="00837C1D">
      <w:pPr>
        <w:pStyle w:val="Odstavecnormln"/>
      </w:pPr>
      <w:r>
        <w:t xml:space="preserve">Pro výpočet okamžité likvidity bylo nutné vyčlenit z krátkodobých závazků závazky okamžitě splatné. Z účetnictví společnosti KOVOVÝROBA s. r. o. byly okamžitě splatné závazky z obchodních vztahů získány ze saldokont dodavatelů. Okamžitě splatné závazky k zaměstnancům, závazky ze sociálního a zdravotního pojištění byly získány úpravou celkových závazků o dobírky a odvody </w:t>
      </w:r>
      <w:r w:rsidR="007E0959">
        <w:t xml:space="preserve">z mezd </w:t>
      </w:r>
      <w:r>
        <w:t>za prosinec příslušného roku. Okamžitě splatné závazky ke státu byly získány úpravou celkových závazků o prosincové odvody daně ze závislé činnosti z mezd a o odvod DPH za 4. čtvrtletí příslušného roku.</w:t>
      </w:r>
      <w:r w:rsidR="0003790F">
        <w:t xml:space="preserve"> Níže jsou uvedeny přehledy za jednotlivá období.</w:t>
      </w:r>
    </w:p>
    <w:p w:rsidR="0003790F" w:rsidRDefault="0003790F" w:rsidP="0003790F">
      <w:pPr>
        <w:pStyle w:val="dajenadtabulkouazdroj"/>
        <w:ind w:left="1134"/>
      </w:pPr>
      <w:r>
        <w:t>Údaje jsou uvedeny v celých Kč</w:t>
      </w:r>
    </w:p>
    <w:tbl>
      <w:tblPr>
        <w:tblW w:w="6896" w:type="dxa"/>
        <w:jc w:val="center"/>
        <w:tblInd w:w="-476" w:type="dxa"/>
        <w:tblCellMar>
          <w:left w:w="70" w:type="dxa"/>
          <w:right w:w="70" w:type="dxa"/>
        </w:tblCellMar>
        <w:tblLook w:val="04A0" w:firstRow="1" w:lastRow="0" w:firstColumn="1" w:lastColumn="0" w:noHBand="0" w:noVBand="1"/>
      </w:tblPr>
      <w:tblGrid>
        <w:gridCol w:w="3208"/>
        <w:gridCol w:w="1154"/>
        <w:gridCol w:w="1159"/>
        <w:gridCol w:w="1375"/>
      </w:tblGrid>
      <w:tr w:rsidR="0003790F" w:rsidRPr="0003790F" w:rsidTr="00C336D4">
        <w:trPr>
          <w:trHeight w:val="885"/>
          <w:tblHeader/>
          <w:jc w:val="center"/>
        </w:trPr>
        <w:tc>
          <w:tcPr>
            <w:tcW w:w="3208" w:type="dxa"/>
            <w:tcBorders>
              <w:top w:val="single" w:sz="12" w:space="0" w:color="auto"/>
              <w:left w:val="single" w:sz="12" w:space="0" w:color="auto"/>
              <w:bottom w:val="double" w:sz="6" w:space="0" w:color="auto"/>
              <w:right w:val="single" w:sz="4" w:space="0" w:color="auto"/>
            </w:tcBorders>
            <w:shd w:val="clear" w:color="auto" w:fill="E5DFEC" w:themeFill="accent4" w:themeFillTint="33"/>
            <w:vAlign w:val="center"/>
            <w:hideMark/>
          </w:tcPr>
          <w:p w:rsidR="0003790F" w:rsidRPr="0003790F" w:rsidRDefault="00714CFE" w:rsidP="0003790F">
            <w:pPr>
              <w:spacing w:after="0" w:line="240" w:lineRule="auto"/>
              <w:jc w:val="center"/>
              <w:rPr>
                <w:b/>
                <w:bCs/>
                <w:color w:val="000000"/>
                <w:szCs w:val="22"/>
              </w:rPr>
            </w:pPr>
            <w:r>
              <w:rPr>
                <w:b/>
                <w:bCs/>
                <w:color w:val="000000"/>
                <w:sz w:val="22"/>
                <w:szCs w:val="22"/>
              </w:rPr>
              <w:t>ROK</w:t>
            </w:r>
            <w:r w:rsidR="0003790F" w:rsidRPr="0003790F">
              <w:rPr>
                <w:b/>
                <w:bCs/>
                <w:color w:val="000000"/>
                <w:sz w:val="22"/>
                <w:szCs w:val="22"/>
              </w:rPr>
              <w:t xml:space="preserve"> 2009</w:t>
            </w:r>
          </w:p>
        </w:tc>
        <w:tc>
          <w:tcPr>
            <w:tcW w:w="1154"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03790F" w:rsidRPr="0003790F" w:rsidRDefault="00714CFE" w:rsidP="0003790F">
            <w:pPr>
              <w:spacing w:after="0" w:line="240" w:lineRule="auto"/>
              <w:jc w:val="center"/>
              <w:rPr>
                <w:b/>
                <w:bCs/>
                <w:color w:val="000000"/>
                <w:szCs w:val="22"/>
              </w:rPr>
            </w:pPr>
            <w:r>
              <w:rPr>
                <w:b/>
                <w:bCs/>
                <w:color w:val="000000"/>
                <w:sz w:val="22"/>
                <w:szCs w:val="22"/>
              </w:rPr>
              <w:t>CELKEM</w:t>
            </w:r>
          </w:p>
        </w:tc>
        <w:tc>
          <w:tcPr>
            <w:tcW w:w="1159"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03790F" w:rsidRPr="0003790F" w:rsidRDefault="00714CFE" w:rsidP="00714CFE">
            <w:pPr>
              <w:spacing w:after="0" w:line="240" w:lineRule="auto"/>
              <w:jc w:val="center"/>
              <w:rPr>
                <w:b/>
                <w:bCs/>
                <w:color w:val="000000"/>
                <w:szCs w:val="22"/>
              </w:rPr>
            </w:pPr>
            <w:r>
              <w:rPr>
                <w:b/>
                <w:bCs/>
                <w:color w:val="000000"/>
                <w:sz w:val="22"/>
                <w:szCs w:val="22"/>
              </w:rPr>
              <w:t>SPLATNÉ PO</w:t>
            </w:r>
            <w:r w:rsidR="0003790F" w:rsidRPr="0003790F">
              <w:rPr>
                <w:b/>
                <w:bCs/>
                <w:color w:val="000000"/>
                <w:sz w:val="22"/>
                <w:szCs w:val="22"/>
              </w:rPr>
              <w:t xml:space="preserve"> 31. 12.</w:t>
            </w:r>
          </w:p>
        </w:tc>
        <w:tc>
          <w:tcPr>
            <w:tcW w:w="1375" w:type="dxa"/>
            <w:tcBorders>
              <w:top w:val="single" w:sz="12" w:space="0" w:color="auto"/>
              <w:left w:val="nil"/>
              <w:bottom w:val="double" w:sz="6" w:space="0" w:color="auto"/>
              <w:right w:val="single" w:sz="12" w:space="0" w:color="auto"/>
            </w:tcBorders>
            <w:shd w:val="clear" w:color="auto" w:fill="E5DFEC" w:themeFill="accent4" w:themeFillTint="33"/>
            <w:vAlign w:val="center"/>
            <w:hideMark/>
          </w:tcPr>
          <w:p w:rsidR="0003790F" w:rsidRPr="0003790F" w:rsidRDefault="00714CFE" w:rsidP="00714CFE">
            <w:pPr>
              <w:spacing w:after="0" w:line="240" w:lineRule="auto"/>
              <w:jc w:val="center"/>
              <w:rPr>
                <w:b/>
                <w:bCs/>
                <w:color w:val="000000"/>
                <w:szCs w:val="22"/>
              </w:rPr>
            </w:pPr>
            <w:r>
              <w:rPr>
                <w:b/>
                <w:bCs/>
                <w:color w:val="000000"/>
                <w:sz w:val="22"/>
                <w:szCs w:val="22"/>
              </w:rPr>
              <w:t>OKAMŽITĚ</w:t>
            </w:r>
            <w:r w:rsidR="0003790F" w:rsidRPr="0003790F">
              <w:rPr>
                <w:b/>
                <w:bCs/>
                <w:color w:val="000000"/>
                <w:sz w:val="22"/>
                <w:szCs w:val="22"/>
              </w:rPr>
              <w:t xml:space="preserve"> </w:t>
            </w:r>
            <w:proofErr w:type="gramStart"/>
            <w:r>
              <w:rPr>
                <w:b/>
                <w:bCs/>
                <w:color w:val="000000"/>
                <w:sz w:val="22"/>
                <w:szCs w:val="22"/>
              </w:rPr>
              <w:t>SPLATNÉ</w:t>
            </w:r>
            <w:r w:rsidR="0003790F" w:rsidRPr="0003790F">
              <w:rPr>
                <w:b/>
                <w:bCs/>
                <w:color w:val="000000"/>
                <w:sz w:val="22"/>
                <w:szCs w:val="22"/>
              </w:rPr>
              <w:t xml:space="preserve">       </w:t>
            </w:r>
            <w:r>
              <w:rPr>
                <w:b/>
                <w:bCs/>
                <w:color w:val="000000"/>
                <w:sz w:val="22"/>
                <w:szCs w:val="22"/>
              </w:rPr>
              <w:t>K</w:t>
            </w:r>
            <w:r w:rsidR="0003790F" w:rsidRPr="0003790F">
              <w:rPr>
                <w:b/>
                <w:bCs/>
                <w:color w:val="000000"/>
                <w:sz w:val="22"/>
                <w:szCs w:val="22"/>
              </w:rPr>
              <w:t xml:space="preserve"> 31</w:t>
            </w:r>
            <w:proofErr w:type="gramEnd"/>
            <w:r w:rsidR="0003790F" w:rsidRPr="0003790F">
              <w:rPr>
                <w:b/>
                <w:bCs/>
                <w:color w:val="000000"/>
                <w:sz w:val="22"/>
                <w:szCs w:val="22"/>
              </w:rPr>
              <w:t>. 12.</w:t>
            </w:r>
          </w:p>
        </w:tc>
      </w:tr>
      <w:tr w:rsidR="0003790F" w:rsidRPr="0003790F" w:rsidTr="00C63680">
        <w:trPr>
          <w:trHeight w:val="342"/>
          <w:jc w:val="center"/>
        </w:trPr>
        <w:tc>
          <w:tcPr>
            <w:tcW w:w="3208" w:type="dxa"/>
            <w:tcBorders>
              <w:top w:val="nil"/>
              <w:left w:val="single" w:sz="12" w:space="0" w:color="auto"/>
              <w:bottom w:val="single" w:sz="4" w:space="0" w:color="auto"/>
              <w:right w:val="single" w:sz="4" w:space="0" w:color="auto"/>
            </w:tcBorders>
            <w:shd w:val="clear" w:color="auto" w:fill="auto"/>
            <w:vAlign w:val="center"/>
            <w:hideMark/>
          </w:tcPr>
          <w:p w:rsidR="0003790F" w:rsidRPr="0003790F" w:rsidRDefault="0003790F" w:rsidP="0003790F">
            <w:pPr>
              <w:spacing w:after="0" w:line="240" w:lineRule="auto"/>
              <w:jc w:val="left"/>
              <w:rPr>
                <w:color w:val="000000"/>
                <w:szCs w:val="22"/>
              </w:rPr>
            </w:pPr>
            <w:r w:rsidRPr="0003790F">
              <w:rPr>
                <w:color w:val="000000"/>
                <w:sz w:val="22"/>
                <w:szCs w:val="22"/>
              </w:rPr>
              <w:t>Závazky z obchodních vztahů</w:t>
            </w:r>
          </w:p>
        </w:tc>
        <w:tc>
          <w:tcPr>
            <w:tcW w:w="1154" w:type="dxa"/>
            <w:tcBorders>
              <w:top w:val="nil"/>
              <w:left w:val="nil"/>
              <w:bottom w:val="single" w:sz="4" w:space="0" w:color="auto"/>
              <w:right w:val="single" w:sz="4" w:space="0" w:color="auto"/>
            </w:tcBorders>
            <w:shd w:val="clear" w:color="auto" w:fill="auto"/>
            <w:vAlign w:val="center"/>
            <w:hideMark/>
          </w:tcPr>
          <w:p w:rsidR="0003790F" w:rsidRPr="0003790F" w:rsidRDefault="0003790F" w:rsidP="0003790F">
            <w:pPr>
              <w:spacing w:after="0" w:line="240" w:lineRule="auto"/>
              <w:jc w:val="right"/>
              <w:rPr>
                <w:color w:val="000000"/>
                <w:szCs w:val="22"/>
              </w:rPr>
            </w:pPr>
            <w:r w:rsidRPr="0003790F">
              <w:rPr>
                <w:color w:val="000000"/>
                <w:sz w:val="22"/>
                <w:szCs w:val="22"/>
              </w:rPr>
              <w:t>78 150</w:t>
            </w:r>
          </w:p>
        </w:tc>
        <w:tc>
          <w:tcPr>
            <w:tcW w:w="1159" w:type="dxa"/>
            <w:tcBorders>
              <w:top w:val="nil"/>
              <w:left w:val="nil"/>
              <w:bottom w:val="single" w:sz="4" w:space="0" w:color="auto"/>
              <w:right w:val="single" w:sz="4" w:space="0" w:color="auto"/>
            </w:tcBorders>
            <w:shd w:val="clear" w:color="auto" w:fill="auto"/>
            <w:vAlign w:val="center"/>
            <w:hideMark/>
          </w:tcPr>
          <w:p w:rsidR="0003790F" w:rsidRPr="0003790F" w:rsidRDefault="0003790F" w:rsidP="0003790F">
            <w:pPr>
              <w:spacing w:after="0" w:line="240" w:lineRule="auto"/>
              <w:jc w:val="right"/>
              <w:rPr>
                <w:color w:val="000000"/>
                <w:szCs w:val="22"/>
              </w:rPr>
            </w:pPr>
            <w:r w:rsidRPr="0003790F">
              <w:rPr>
                <w:color w:val="000000"/>
                <w:sz w:val="22"/>
                <w:szCs w:val="22"/>
              </w:rPr>
              <w:t>0</w:t>
            </w:r>
          </w:p>
        </w:tc>
        <w:tc>
          <w:tcPr>
            <w:tcW w:w="1375" w:type="dxa"/>
            <w:tcBorders>
              <w:top w:val="nil"/>
              <w:left w:val="nil"/>
              <w:bottom w:val="single" w:sz="4" w:space="0" w:color="auto"/>
              <w:right w:val="single" w:sz="12" w:space="0" w:color="auto"/>
            </w:tcBorders>
            <w:shd w:val="clear" w:color="auto" w:fill="auto"/>
            <w:vAlign w:val="center"/>
            <w:hideMark/>
          </w:tcPr>
          <w:p w:rsidR="0003790F" w:rsidRPr="0003790F" w:rsidRDefault="0003790F" w:rsidP="0003790F">
            <w:pPr>
              <w:spacing w:after="0" w:line="240" w:lineRule="auto"/>
              <w:jc w:val="right"/>
              <w:rPr>
                <w:color w:val="000000"/>
                <w:szCs w:val="22"/>
              </w:rPr>
            </w:pPr>
            <w:r w:rsidRPr="0003790F">
              <w:rPr>
                <w:color w:val="000000"/>
                <w:sz w:val="22"/>
                <w:szCs w:val="22"/>
              </w:rPr>
              <w:t>78 150</w:t>
            </w:r>
          </w:p>
        </w:tc>
      </w:tr>
      <w:tr w:rsidR="0003790F" w:rsidRPr="0003790F" w:rsidTr="00C63680">
        <w:trPr>
          <w:trHeight w:val="342"/>
          <w:jc w:val="center"/>
        </w:trPr>
        <w:tc>
          <w:tcPr>
            <w:tcW w:w="3208" w:type="dxa"/>
            <w:tcBorders>
              <w:top w:val="nil"/>
              <w:left w:val="single" w:sz="12" w:space="0" w:color="auto"/>
              <w:bottom w:val="single" w:sz="4" w:space="0" w:color="auto"/>
              <w:right w:val="single" w:sz="4" w:space="0" w:color="auto"/>
            </w:tcBorders>
            <w:shd w:val="clear" w:color="auto" w:fill="auto"/>
            <w:vAlign w:val="center"/>
            <w:hideMark/>
          </w:tcPr>
          <w:p w:rsidR="0003790F" w:rsidRPr="0003790F" w:rsidRDefault="0003790F" w:rsidP="0003790F">
            <w:pPr>
              <w:spacing w:after="0" w:line="240" w:lineRule="auto"/>
              <w:jc w:val="left"/>
              <w:rPr>
                <w:color w:val="000000"/>
                <w:szCs w:val="22"/>
              </w:rPr>
            </w:pPr>
            <w:r w:rsidRPr="0003790F">
              <w:rPr>
                <w:color w:val="000000"/>
                <w:sz w:val="22"/>
                <w:szCs w:val="22"/>
              </w:rPr>
              <w:t>Závazky ke společníkům</w:t>
            </w:r>
          </w:p>
        </w:tc>
        <w:tc>
          <w:tcPr>
            <w:tcW w:w="1154" w:type="dxa"/>
            <w:tcBorders>
              <w:top w:val="nil"/>
              <w:left w:val="nil"/>
              <w:bottom w:val="single" w:sz="4" w:space="0" w:color="auto"/>
              <w:right w:val="single" w:sz="4" w:space="0" w:color="auto"/>
            </w:tcBorders>
            <w:shd w:val="clear" w:color="auto" w:fill="auto"/>
            <w:vAlign w:val="center"/>
            <w:hideMark/>
          </w:tcPr>
          <w:p w:rsidR="0003790F" w:rsidRPr="0003790F" w:rsidRDefault="0003790F" w:rsidP="0003790F">
            <w:pPr>
              <w:spacing w:after="0" w:line="240" w:lineRule="auto"/>
              <w:jc w:val="right"/>
              <w:rPr>
                <w:color w:val="000000"/>
                <w:szCs w:val="22"/>
              </w:rPr>
            </w:pPr>
            <w:r w:rsidRPr="0003790F">
              <w:rPr>
                <w:color w:val="000000"/>
                <w:sz w:val="22"/>
                <w:szCs w:val="22"/>
              </w:rPr>
              <w:t>59 832</w:t>
            </w:r>
          </w:p>
        </w:tc>
        <w:tc>
          <w:tcPr>
            <w:tcW w:w="1159" w:type="dxa"/>
            <w:tcBorders>
              <w:top w:val="nil"/>
              <w:left w:val="nil"/>
              <w:bottom w:val="single" w:sz="4" w:space="0" w:color="auto"/>
              <w:right w:val="single" w:sz="4" w:space="0" w:color="auto"/>
            </w:tcBorders>
            <w:shd w:val="clear" w:color="auto" w:fill="auto"/>
            <w:vAlign w:val="center"/>
            <w:hideMark/>
          </w:tcPr>
          <w:p w:rsidR="0003790F" w:rsidRPr="0003790F" w:rsidRDefault="0003790F" w:rsidP="0003790F">
            <w:pPr>
              <w:spacing w:after="0" w:line="240" w:lineRule="auto"/>
              <w:jc w:val="right"/>
              <w:rPr>
                <w:color w:val="000000"/>
                <w:szCs w:val="22"/>
              </w:rPr>
            </w:pPr>
            <w:r w:rsidRPr="0003790F">
              <w:rPr>
                <w:color w:val="000000"/>
                <w:sz w:val="22"/>
                <w:szCs w:val="22"/>
              </w:rPr>
              <w:t>0</w:t>
            </w:r>
          </w:p>
        </w:tc>
        <w:tc>
          <w:tcPr>
            <w:tcW w:w="1375" w:type="dxa"/>
            <w:tcBorders>
              <w:top w:val="nil"/>
              <w:left w:val="nil"/>
              <w:bottom w:val="single" w:sz="4" w:space="0" w:color="auto"/>
              <w:right w:val="single" w:sz="12" w:space="0" w:color="auto"/>
            </w:tcBorders>
            <w:shd w:val="clear" w:color="auto" w:fill="auto"/>
            <w:vAlign w:val="center"/>
            <w:hideMark/>
          </w:tcPr>
          <w:p w:rsidR="0003790F" w:rsidRPr="0003790F" w:rsidRDefault="0003790F" w:rsidP="0003790F">
            <w:pPr>
              <w:spacing w:after="0" w:line="240" w:lineRule="auto"/>
              <w:jc w:val="right"/>
              <w:rPr>
                <w:color w:val="000000"/>
                <w:szCs w:val="22"/>
              </w:rPr>
            </w:pPr>
            <w:r w:rsidRPr="0003790F">
              <w:rPr>
                <w:color w:val="000000"/>
                <w:sz w:val="22"/>
                <w:szCs w:val="22"/>
              </w:rPr>
              <w:t>59 832</w:t>
            </w:r>
          </w:p>
        </w:tc>
      </w:tr>
      <w:tr w:rsidR="0003790F" w:rsidRPr="0003790F" w:rsidTr="00C63680">
        <w:trPr>
          <w:trHeight w:val="342"/>
          <w:jc w:val="center"/>
        </w:trPr>
        <w:tc>
          <w:tcPr>
            <w:tcW w:w="3208" w:type="dxa"/>
            <w:tcBorders>
              <w:top w:val="nil"/>
              <w:left w:val="single" w:sz="12" w:space="0" w:color="auto"/>
              <w:bottom w:val="single" w:sz="4" w:space="0" w:color="auto"/>
              <w:right w:val="single" w:sz="4" w:space="0" w:color="auto"/>
            </w:tcBorders>
            <w:shd w:val="clear" w:color="auto" w:fill="auto"/>
            <w:vAlign w:val="center"/>
            <w:hideMark/>
          </w:tcPr>
          <w:p w:rsidR="0003790F" w:rsidRPr="0003790F" w:rsidRDefault="0003790F" w:rsidP="0003790F">
            <w:pPr>
              <w:spacing w:after="0" w:line="240" w:lineRule="auto"/>
              <w:jc w:val="left"/>
              <w:rPr>
                <w:color w:val="000000"/>
                <w:szCs w:val="22"/>
              </w:rPr>
            </w:pPr>
            <w:r w:rsidRPr="0003790F">
              <w:rPr>
                <w:color w:val="000000"/>
                <w:sz w:val="22"/>
                <w:szCs w:val="22"/>
              </w:rPr>
              <w:t>Závazky k zaměstnancům</w:t>
            </w:r>
          </w:p>
        </w:tc>
        <w:tc>
          <w:tcPr>
            <w:tcW w:w="1154" w:type="dxa"/>
            <w:tcBorders>
              <w:top w:val="nil"/>
              <w:left w:val="nil"/>
              <w:bottom w:val="single" w:sz="4" w:space="0" w:color="auto"/>
              <w:right w:val="single" w:sz="4" w:space="0" w:color="auto"/>
            </w:tcBorders>
            <w:shd w:val="clear" w:color="auto" w:fill="auto"/>
            <w:vAlign w:val="center"/>
            <w:hideMark/>
          </w:tcPr>
          <w:p w:rsidR="0003790F" w:rsidRPr="0003790F" w:rsidRDefault="0003790F" w:rsidP="0003790F">
            <w:pPr>
              <w:spacing w:after="0" w:line="240" w:lineRule="auto"/>
              <w:jc w:val="right"/>
              <w:rPr>
                <w:color w:val="000000"/>
                <w:szCs w:val="22"/>
              </w:rPr>
            </w:pPr>
            <w:r w:rsidRPr="0003790F">
              <w:rPr>
                <w:color w:val="000000"/>
                <w:sz w:val="22"/>
                <w:szCs w:val="22"/>
              </w:rPr>
              <w:t>0</w:t>
            </w:r>
          </w:p>
        </w:tc>
        <w:tc>
          <w:tcPr>
            <w:tcW w:w="1159" w:type="dxa"/>
            <w:tcBorders>
              <w:top w:val="nil"/>
              <w:left w:val="nil"/>
              <w:bottom w:val="single" w:sz="4" w:space="0" w:color="auto"/>
              <w:right w:val="single" w:sz="4" w:space="0" w:color="auto"/>
            </w:tcBorders>
            <w:shd w:val="clear" w:color="auto" w:fill="auto"/>
            <w:vAlign w:val="center"/>
            <w:hideMark/>
          </w:tcPr>
          <w:p w:rsidR="0003790F" w:rsidRPr="0003790F" w:rsidRDefault="0003790F" w:rsidP="0003790F">
            <w:pPr>
              <w:spacing w:after="0" w:line="240" w:lineRule="auto"/>
              <w:jc w:val="right"/>
              <w:rPr>
                <w:color w:val="000000"/>
                <w:szCs w:val="22"/>
              </w:rPr>
            </w:pPr>
            <w:r w:rsidRPr="0003790F">
              <w:rPr>
                <w:color w:val="000000"/>
                <w:sz w:val="22"/>
                <w:szCs w:val="22"/>
              </w:rPr>
              <w:t>0</w:t>
            </w:r>
          </w:p>
        </w:tc>
        <w:tc>
          <w:tcPr>
            <w:tcW w:w="1375" w:type="dxa"/>
            <w:tcBorders>
              <w:top w:val="nil"/>
              <w:left w:val="nil"/>
              <w:bottom w:val="single" w:sz="4" w:space="0" w:color="auto"/>
              <w:right w:val="single" w:sz="12" w:space="0" w:color="auto"/>
            </w:tcBorders>
            <w:shd w:val="clear" w:color="auto" w:fill="auto"/>
            <w:vAlign w:val="center"/>
            <w:hideMark/>
          </w:tcPr>
          <w:p w:rsidR="0003790F" w:rsidRPr="0003790F" w:rsidRDefault="0003790F" w:rsidP="0003790F">
            <w:pPr>
              <w:spacing w:after="0" w:line="240" w:lineRule="auto"/>
              <w:jc w:val="right"/>
              <w:rPr>
                <w:color w:val="000000"/>
                <w:szCs w:val="22"/>
              </w:rPr>
            </w:pPr>
            <w:r w:rsidRPr="0003790F">
              <w:rPr>
                <w:color w:val="000000"/>
                <w:sz w:val="22"/>
                <w:szCs w:val="22"/>
              </w:rPr>
              <w:t>0</w:t>
            </w:r>
          </w:p>
        </w:tc>
      </w:tr>
      <w:tr w:rsidR="0003790F" w:rsidRPr="0003790F" w:rsidTr="00C63680">
        <w:trPr>
          <w:trHeight w:val="600"/>
          <w:jc w:val="center"/>
        </w:trPr>
        <w:tc>
          <w:tcPr>
            <w:tcW w:w="3208" w:type="dxa"/>
            <w:tcBorders>
              <w:top w:val="nil"/>
              <w:left w:val="single" w:sz="12" w:space="0" w:color="auto"/>
              <w:bottom w:val="single" w:sz="4" w:space="0" w:color="auto"/>
              <w:right w:val="single" w:sz="4" w:space="0" w:color="auto"/>
            </w:tcBorders>
            <w:shd w:val="clear" w:color="auto" w:fill="auto"/>
            <w:vAlign w:val="center"/>
            <w:hideMark/>
          </w:tcPr>
          <w:p w:rsidR="0003790F" w:rsidRPr="0003790F" w:rsidRDefault="0003790F" w:rsidP="0003790F">
            <w:pPr>
              <w:spacing w:after="0" w:line="240" w:lineRule="auto"/>
              <w:jc w:val="left"/>
              <w:rPr>
                <w:color w:val="000000"/>
                <w:szCs w:val="22"/>
              </w:rPr>
            </w:pPr>
            <w:r w:rsidRPr="0003790F">
              <w:rPr>
                <w:color w:val="000000"/>
                <w:sz w:val="22"/>
                <w:szCs w:val="22"/>
              </w:rPr>
              <w:t>Závazky ze sociálního a zdravotního pojištění</w:t>
            </w:r>
          </w:p>
        </w:tc>
        <w:tc>
          <w:tcPr>
            <w:tcW w:w="1154" w:type="dxa"/>
            <w:tcBorders>
              <w:top w:val="nil"/>
              <w:left w:val="nil"/>
              <w:bottom w:val="single" w:sz="4" w:space="0" w:color="auto"/>
              <w:right w:val="single" w:sz="4" w:space="0" w:color="auto"/>
            </w:tcBorders>
            <w:shd w:val="clear" w:color="auto" w:fill="auto"/>
            <w:vAlign w:val="center"/>
            <w:hideMark/>
          </w:tcPr>
          <w:p w:rsidR="0003790F" w:rsidRPr="0003790F" w:rsidRDefault="0003790F" w:rsidP="0003790F">
            <w:pPr>
              <w:spacing w:after="0" w:line="240" w:lineRule="auto"/>
              <w:jc w:val="right"/>
              <w:rPr>
                <w:color w:val="000000"/>
                <w:szCs w:val="22"/>
              </w:rPr>
            </w:pPr>
            <w:r w:rsidRPr="0003790F">
              <w:rPr>
                <w:color w:val="000000"/>
                <w:sz w:val="22"/>
                <w:szCs w:val="22"/>
              </w:rPr>
              <w:t>0</w:t>
            </w:r>
          </w:p>
        </w:tc>
        <w:tc>
          <w:tcPr>
            <w:tcW w:w="1159" w:type="dxa"/>
            <w:tcBorders>
              <w:top w:val="nil"/>
              <w:left w:val="nil"/>
              <w:bottom w:val="single" w:sz="4" w:space="0" w:color="auto"/>
              <w:right w:val="single" w:sz="4" w:space="0" w:color="auto"/>
            </w:tcBorders>
            <w:shd w:val="clear" w:color="auto" w:fill="auto"/>
            <w:vAlign w:val="center"/>
            <w:hideMark/>
          </w:tcPr>
          <w:p w:rsidR="0003790F" w:rsidRPr="0003790F" w:rsidRDefault="0003790F" w:rsidP="0003790F">
            <w:pPr>
              <w:spacing w:after="0" w:line="240" w:lineRule="auto"/>
              <w:jc w:val="right"/>
              <w:rPr>
                <w:color w:val="000000"/>
                <w:szCs w:val="22"/>
              </w:rPr>
            </w:pPr>
            <w:r w:rsidRPr="0003790F">
              <w:rPr>
                <w:color w:val="000000"/>
                <w:sz w:val="22"/>
                <w:szCs w:val="22"/>
              </w:rPr>
              <w:t>0</w:t>
            </w:r>
          </w:p>
        </w:tc>
        <w:tc>
          <w:tcPr>
            <w:tcW w:w="1375" w:type="dxa"/>
            <w:tcBorders>
              <w:top w:val="nil"/>
              <w:left w:val="nil"/>
              <w:bottom w:val="single" w:sz="4" w:space="0" w:color="auto"/>
              <w:right w:val="single" w:sz="12" w:space="0" w:color="auto"/>
            </w:tcBorders>
            <w:shd w:val="clear" w:color="auto" w:fill="auto"/>
            <w:vAlign w:val="center"/>
            <w:hideMark/>
          </w:tcPr>
          <w:p w:rsidR="0003790F" w:rsidRPr="0003790F" w:rsidRDefault="0003790F" w:rsidP="0003790F">
            <w:pPr>
              <w:spacing w:after="0" w:line="240" w:lineRule="auto"/>
              <w:jc w:val="right"/>
              <w:rPr>
                <w:color w:val="000000"/>
                <w:szCs w:val="22"/>
              </w:rPr>
            </w:pPr>
            <w:r w:rsidRPr="0003790F">
              <w:rPr>
                <w:color w:val="000000"/>
                <w:sz w:val="22"/>
                <w:szCs w:val="22"/>
              </w:rPr>
              <w:t>0</w:t>
            </w:r>
          </w:p>
        </w:tc>
      </w:tr>
      <w:tr w:rsidR="0003790F" w:rsidRPr="0003790F" w:rsidTr="00C63680">
        <w:trPr>
          <w:trHeight w:val="342"/>
          <w:jc w:val="center"/>
        </w:trPr>
        <w:tc>
          <w:tcPr>
            <w:tcW w:w="3208" w:type="dxa"/>
            <w:tcBorders>
              <w:top w:val="nil"/>
              <w:left w:val="single" w:sz="12" w:space="0" w:color="auto"/>
              <w:bottom w:val="single" w:sz="4" w:space="0" w:color="auto"/>
              <w:right w:val="single" w:sz="4" w:space="0" w:color="auto"/>
            </w:tcBorders>
            <w:shd w:val="clear" w:color="auto" w:fill="auto"/>
            <w:vAlign w:val="center"/>
            <w:hideMark/>
          </w:tcPr>
          <w:p w:rsidR="0003790F" w:rsidRPr="0003790F" w:rsidRDefault="0003790F" w:rsidP="0003790F">
            <w:pPr>
              <w:spacing w:after="0" w:line="240" w:lineRule="auto"/>
              <w:jc w:val="left"/>
              <w:rPr>
                <w:color w:val="000000"/>
                <w:szCs w:val="22"/>
              </w:rPr>
            </w:pPr>
            <w:r w:rsidRPr="0003790F">
              <w:rPr>
                <w:color w:val="000000"/>
                <w:sz w:val="22"/>
                <w:szCs w:val="22"/>
              </w:rPr>
              <w:t>Stát - daňové závazky</w:t>
            </w:r>
          </w:p>
        </w:tc>
        <w:tc>
          <w:tcPr>
            <w:tcW w:w="1154" w:type="dxa"/>
            <w:tcBorders>
              <w:top w:val="nil"/>
              <w:left w:val="nil"/>
              <w:bottom w:val="single" w:sz="4" w:space="0" w:color="auto"/>
              <w:right w:val="single" w:sz="4" w:space="0" w:color="auto"/>
            </w:tcBorders>
            <w:shd w:val="clear" w:color="auto" w:fill="auto"/>
            <w:vAlign w:val="center"/>
            <w:hideMark/>
          </w:tcPr>
          <w:p w:rsidR="0003790F" w:rsidRPr="0003790F" w:rsidRDefault="0003790F" w:rsidP="0003790F">
            <w:pPr>
              <w:spacing w:after="0" w:line="240" w:lineRule="auto"/>
              <w:jc w:val="right"/>
              <w:rPr>
                <w:color w:val="000000"/>
                <w:szCs w:val="22"/>
              </w:rPr>
            </w:pPr>
            <w:r w:rsidRPr="0003790F">
              <w:rPr>
                <w:color w:val="000000"/>
                <w:sz w:val="22"/>
                <w:szCs w:val="22"/>
              </w:rPr>
              <w:t>18 032</w:t>
            </w:r>
          </w:p>
        </w:tc>
        <w:tc>
          <w:tcPr>
            <w:tcW w:w="1159" w:type="dxa"/>
            <w:tcBorders>
              <w:top w:val="nil"/>
              <w:left w:val="nil"/>
              <w:bottom w:val="single" w:sz="4" w:space="0" w:color="auto"/>
              <w:right w:val="single" w:sz="4" w:space="0" w:color="auto"/>
            </w:tcBorders>
            <w:shd w:val="clear" w:color="auto" w:fill="auto"/>
            <w:vAlign w:val="center"/>
            <w:hideMark/>
          </w:tcPr>
          <w:p w:rsidR="0003790F" w:rsidRPr="0003790F" w:rsidRDefault="0003790F" w:rsidP="0003790F">
            <w:pPr>
              <w:spacing w:after="0" w:line="240" w:lineRule="auto"/>
              <w:jc w:val="right"/>
              <w:rPr>
                <w:color w:val="000000"/>
                <w:szCs w:val="22"/>
              </w:rPr>
            </w:pPr>
            <w:r w:rsidRPr="0003790F">
              <w:rPr>
                <w:color w:val="000000"/>
                <w:sz w:val="22"/>
                <w:szCs w:val="22"/>
              </w:rPr>
              <w:t>18 032</w:t>
            </w:r>
          </w:p>
        </w:tc>
        <w:tc>
          <w:tcPr>
            <w:tcW w:w="1375" w:type="dxa"/>
            <w:tcBorders>
              <w:top w:val="nil"/>
              <w:left w:val="nil"/>
              <w:bottom w:val="single" w:sz="4" w:space="0" w:color="auto"/>
              <w:right w:val="single" w:sz="12" w:space="0" w:color="auto"/>
            </w:tcBorders>
            <w:shd w:val="clear" w:color="auto" w:fill="auto"/>
            <w:vAlign w:val="center"/>
            <w:hideMark/>
          </w:tcPr>
          <w:p w:rsidR="0003790F" w:rsidRPr="0003790F" w:rsidRDefault="0003790F" w:rsidP="0003790F">
            <w:pPr>
              <w:spacing w:after="0" w:line="240" w:lineRule="auto"/>
              <w:jc w:val="right"/>
              <w:rPr>
                <w:color w:val="000000"/>
                <w:szCs w:val="22"/>
              </w:rPr>
            </w:pPr>
            <w:r w:rsidRPr="0003790F">
              <w:rPr>
                <w:color w:val="000000"/>
                <w:sz w:val="22"/>
                <w:szCs w:val="22"/>
              </w:rPr>
              <w:t>0</w:t>
            </w:r>
          </w:p>
        </w:tc>
      </w:tr>
      <w:tr w:rsidR="0003790F" w:rsidRPr="0003790F" w:rsidTr="00C63680">
        <w:trPr>
          <w:trHeight w:val="342"/>
          <w:jc w:val="center"/>
        </w:trPr>
        <w:tc>
          <w:tcPr>
            <w:tcW w:w="3208" w:type="dxa"/>
            <w:tcBorders>
              <w:top w:val="nil"/>
              <w:left w:val="single" w:sz="12" w:space="0" w:color="auto"/>
              <w:bottom w:val="single" w:sz="4" w:space="0" w:color="auto"/>
              <w:right w:val="single" w:sz="4" w:space="0" w:color="auto"/>
            </w:tcBorders>
            <w:shd w:val="clear" w:color="auto" w:fill="auto"/>
            <w:vAlign w:val="center"/>
            <w:hideMark/>
          </w:tcPr>
          <w:p w:rsidR="0003790F" w:rsidRPr="0003790F" w:rsidRDefault="0003790F" w:rsidP="0003790F">
            <w:pPr>
              <w:spacing w:after="0" w:line="240" w:lineRule="auto"/>
              <w:jc w:val="left"/>
              <w:rPr>
                <w:color w:val="000000"/>
                <w:szCs w:val="22"/>
              </w:rPr>
            </w:pPr>
            <w:r w:rsidRPr="0003790F">
              <w:rPr>
                <w:color w:val="000000"/>
                <w:sz w:val="22"/>
                <w:szCs w:val="22"/>
              </w:rPr>
              <w:lastRenderedPageBreak/>
              <w:t>Krátkodobé přijaté zálohy</w:t>
            </w:r>
          </w:p>
        </w:tc>
        <w:tc>
          <w:tcPr>
            <w:tcW w:w="1154" w:type="dxa"/>
            <w:tcBorders>
              <w:top w:val="nil"/>
              <w:left w:val="nil"/>
              <w:bottom w:val="single" w:sz="4" w:space="0" w:color="auto"/>
              <w:right w:val="single" w:sz="4" w:space="0" w:color="auto"/>
            </w:tcBorders>
            <w:shd w:val="clear" w:color="auto" w:fill="auto"/>
            <w:vAlign w:val="center"/>
            <w:hideMark/>
          </w:tcPr>
          <w:p w:rsidR="0003790F" w:rsidRPr="0003790F" w:rsidRDefault="0003790F" w:rsidP="0003790F">
            <w:pPr>
              <w:spacing w:after="0" w:line="240" w:lineRule="auto"/>
              <w:jc w:val="right"/>
              <w:rPr>
                <w:color w:val="000000"/>
                <w:szCs w:val="22"/>
              </w:rPr>
            </w:pPr>
            <w:r w:rsidRPr="0003790F">
              <w:rPr>
                <w:color w:val="000000"/>
                <w:sz w:val="22"/>
                <w:szCs w:val="22"/>
              </w:rPr>
              <w:t>0</w:t>
            </w:r>
          </w:p>
        </w:tc>
        <w:tc>
          <w:tcPr>
            <w:tcW w:w="1159" w:type="dxa"/>
            <w:tcBorders>
              <w:top w:val="nil"/>
              <w:left w:val="nil"/>
              <w:bottom w:val="single" w:sz="4" w:space="0" w:color="auto"/>
              <w:right w:val="single" w:sz="4" w:space="0" w:color="auto"/>
            </w:tcBorders>
            <w:shd w:val="clear" w:color="auto" w:fill="auto"/>
            <w:vAlign w:val="center"/>
            <w:hideMark/>
          </w:tcPr>
          <w:p w:rsidR="0003790F" w:rsidRPr="0003790F" w:rsidRDefault="0003790F" w:rsidP="0003790F">
            <w:pPr>
              <w:spacing w:after="0" w:line="240" w:lineRule="auto"/>
              <w:jc w:val="right"/>
              <w:rPr>
                <w:color w:val="000000"/>
                <w:szCs w:val="22"/>
              </w:rPr>
            </w:pPr>
            <w:r w:rsidRPr="0003790F">
              <w:rPr>
                <w:color w:val="000000"/>
                <w:sz w:val="22"/>
                <w:szCs w:val="22"/>
              </w:rPr>
              <w:t>0</w:t>
            </w:r>
          </w:p>
        </w:tc>
        <w:tc>
          <w:tcPr>
            <w:tcW w:w="1375" w:type="dxa"/>
            <w:tcBorders>
              <w:top w:val="nil"/>
              <w:left w:val="nil"/>
              <w:bottom w:val="single" w:sz="4" w:space="0" w:color="auto"/>
              <w:right w:val="single" w:sz="12" w:space="0" w:color="auto"/>
            </w:tcBorders>
            <w:shd w:val="clear" w:color="auto" w:fill="auto"/>
            <w:vAlign w:val="center"/>
            <w:hideMark/>
          </w:tcPr>
          <w:p w:rsidR="0003790F" w:rsidRPr="0003790F" w:rsidRDefault="0003790F" w:rsidP="0003790F">
            <w:pPr>
              <w:spacing w:after="0" w:line="240" w:lineRule="auto"/>
              <w:jc w:val="right"/>
              <w:rPr>
                <w:color w:val="000000"/>
                <w:szCs w:val="22"/>
              </w:rPr>
            </w:pPr>
            <w:r w:rsidRPr="0003790F">
              <w:rPr>
                <w:color w:val="000000"/>
                <w:sz w:val="22"/>
                <w:szCs w:val="22"/>
              </w:rPr>
              <w:t>0</w:t>
            </w:r>
          </w:p>
        </w:tc>
      </w:tr>
      <w:tr w:rsidR="0003790F" w:rsidRPr="0003790F" w:rsidTr="00C63680">
        <w:trPr>
          <w:trHeight w:val="439"/>
          <w:jc w:val="center"/>
        </w:trPr>
        <w:tc>
          <w:tcPr>
            <w:tcW w:w="3208" w:type="dxa"/>
            <w:tcBorders>
              <w:top w:val="nil"/>
              <w:left w:val="single" w:sz="12" w:space="0" w:color="auto"/>
              <w:bottom w:val="single" w:sz="12" w:space="0" w:color="auto"/>
              <w:right w:val="single" w:sz="4" w:space="0" w:color="auto"/>
            </w:tcBorders>
            <w:shd w:val="clear" w:color="auto" w:fill="auto"/>
            <w:vAlign w:val="center"/>
            <w:hideMark/>
          </w:tcPr>
          <w:p w:rsidR="0003790F" w:rsidRPr="0003790F" w:rsidRDefault="0003790F" w:rsidP="0003790F">
            <w:pPr>
              <w:spacing w:after="0" w:line="240" w:lineRule="auto"/>
              <w:jc w:val="left"/>
              <w:rPr>
                <w:b/>
                <w:bCs/>
                <w:color w:val="000000"/>
                <w:szCs w:val="22"/>
              </w:rPr>
            </w:pPr>
            <w:r w:rsidRPr="0003790F">
              <w:rPr>
                <w:b/>
                <w:bCs/>
                <w:color w:val="000000"/>
                <w:sz w:val="22"/>
                <w:szCs w:val="22"/>
              </w:rPr>
              <w:t>Krátkodobé závazky celkem</w:t>
            </w:r>
          </w:p>
        </w:tc>
        <w:tc>
          <w:tcPr>
            <w:tcW w:w="1154" w:type="dxa"/>
            <w:tcBorders>
              <w:top w:val="nil"/>
              <w:left w:val="nil"/>
              <w:bottom w:val="single" w:sz="12" w:space="0" w:color="auto"/>
              <w:right w:val="single" w:sz="4" w:space="0" w:color="auto"/>
            </w:tcBorders>
            <w:shd w:val="clear" w:color="auto" w:fill="auto"/>
            <w:vAlign w:val="center"/>
            <w:hideMark/>
          </w:tcPr>
          <w:p w:rsidR="0003790F" w:rsidRPr="0003790F" w:rsidRDefault="0003790F" w:rsidP="0003790F">
            <w:pPr>
              <w:spacing w:after="0" w:line="240" w:lineRule="auto"/>
              <w:jc w:val="right"/>
              <w:rPr>
                <w:b/>
                <w:bCs/>
                <w:color w:val="000000"/>
                <w:szCs w:val="22"/>
              </w:rPr>
            </w:pPr>
            <w:r w:rsidRPr="0003790F">
              <w:rPr>
                <w:b/>
                <w:bCs/>
                <w:color w:val="000000"/>
                <w:sz w:val="22"/>
                <w:szCs w:val="22"/>
              </w:rPr>
              <w:t>156 014</w:t>
            </w:r>
          </w:p>
        </w:tc>
        <w:tc>
          <w:tcPr>
            <w:tcW w:w="1159" w:type="dxa"/>
            <w:tcBorders>
              <w:top w:val="nil"/>
              <w:left w:val="nil"/>
              <w:bottom w:val="single" w:sz="12" w:space="0" w:color="auto"/>
              <w:right w:val="single" w:sz="4" w:space="0" w:color="auto"/>
            </w:tcBorders>
            <w:shd w:val="clear" w:color="auto" w:fill="auto"/>
            <w:vAlign w:val="center"/>
            <w:hideMark/>
          </w:tcPr>
          <w:p w:rsidR="0003790F" w:rsidRPr="0003790F" w:rsidRDefault="0003790F" w:rsidP="0003790F">
            <w:pPr>
              <w:spacing w:after="0" w:line="240" w:lineRule="auto"/>
              <w:jc w:val="right"/>
              <w:rPr>
                <w:b/>
                <w:bCs/>
                <w:color w:val="000000"/>
                <w:szCs w:val="22"/>
              </w:rPr>
            </w:pPr>
            <w:r w:rsidRPr="0003790F">
              <w:rPr>
                <w:b/>
                <w:bCs/>
                <w:color w:val="000000"/>
                <w:sz w:val="22"/>
                <w:szCs w:val="22"/>
              </w:rPr>
              <w:t>18 032</w:t>
            </w:r>
          </w:p>
        </w:tc>
        <w:tc>
          <w:tcPr>
            <w:tcW w:w="1375" w:type="dxa"/>
            <w:tcBorders>
              <w:top w:val="nil"/>
              <w:left w:val="nil"/>
              <w:bottom w:val="single" w:sz="12" w:space="0" w:color="auto"/>
              <w:right w:val="single" w:sz="12" w:space="0" w:color="auto"/>
            </w:tcBorders>
            <w:shd w:val="clear" w:color="auto" w:fill="auto"/>
            <w:vAlign w:val="center"/>
            <w:hideMark/>
          </w:tcPr>
          <w:p w:rsidR="0003790F" w:rsidRPr="0003790F" w:rsidRDefault="0003790F" w:rsidP="0003790F">
            <w:pPr>
              <w:spacing w:after="0" w:line="240" w:lineRule="auto"/>
              <w:jc w:val="right"/>
              <w:rPr>
                <w:b/>
                <w:bCs/>
                <w:color w:val="000000"/>
                <w:szCs w:val="22"/>
              </w:rPr>
            </w:pPr>
            <w:r w:rsidRPr="0003790F">
              <w:rPr>
                <w:b/>
                <w:bCs/>
                <w:color w:val="000000"/>
                <w:sz w:val="22"/>
                <w:szCs w:val="22"/>
              </w:rPr>
              <w:t>137 982</w:t>
            </w:r>
          </w:p>
        </w:tc>
      </w:tr>
    </w:tbl>
    <w:p w:rsidR="0003790F" w:rsidRDefault="0003790F" w:rsidP="0003790F">
      <w:pPr>
        <w:pStyle w:val="dajepodtabulkou"/>
        <w:ind w:left="1134"/>
      </w:pPr>
      <w:r>
        <w:t>Zdroj: KOVOVÝROBA s. r. o.</w:t>
      </w:r>
    </w:p>
    <w:p w:rsidR="00E94330" w:rsidRDefault="00E94330" w:rsidP="00E94330">
      <w:pPr>
        <w:pStyle w:val="dajenadtabulkouazdroj"/>
        <w:ind w:left="1134"/>
      </w:pPr>
      <w:r w:rsidRPr="00E94330">
        <w:t>Údaje jsou uvedeny v celých Kč</w:t>
      </w:r>
    </w:p>
    <w:tbl>
      <w:tblPr>
        <w:tblW w:w="6919" w:type="dxa"/>
        <w:jc w:val="center"/>
        <w:tblInd w:w="-444" w:type="dxa"/>
        <w:tblCellMar>
          <w:left w:w="70" w:type="dxa"/>
          <w:right w:w="70" w:type="dxa"/>
        </w:tblCellMar>
        <w:tblLook w:val="04A0" w:firstRow="1" w:lastRow="0" w:firstColumn="1" w:lastColumn="0" w:noHBand="0" w:noVBand="1"/>
      </w:tblPr>
      <w:tblGrid>
        <w:gridCol w:w="3231"/>
        <w:gridCol w:w="1154"/>
        <w:gridCol w:w="1159"/>
        <w:gridCol w:w="1375"/>
      </w:tblGrid>
      <w:tr w:rsidR="00E94330" w:rsidRPr="00E94330" w:rsidTr="00C336D4">
        <w:trPr>
          <w:trHeight w:val="885"/>
          <w:jc w:val="center"/>
        </w:trPr>
        <w:tc>
          <w:tcPr>
            <w:tcW w:w="3231" w:type="dxa"/>
            <w:tcBorders>
              <w:top w:val="single" w:sz="12" w:space="0" w:color="auto"/>
              <w:left w:val="single" w:sz="12" w:space="0" w:color="auto"/>
              <w:bottom w:val="double" w:sz="6" w:space="0" w:color="auto"/>
              <w:right w:val="single" w:sz="4" w:space="0" w:color="auto"/>
            </w:tcBorders>
            <w:shd w:val="clear" w:color="auto" w:fill="E5DFEC" w:themeFill="accent4" w:themeFillTint="33"/>
            <w:vAlign w:val="center"/>
            <w:hideMark/>
          </w:tcPr>
          <w:p w:rsidR="00E94330" w:rsidRPr="00E94330" w:rsidRDefault="00C01552" w:rsidP="00E94330">
            <w:pPr>
              <w:spacing w:after="0" w:line="240" w:lineRule="auto"/>
              <w:jc w:val="center"/>
              <w:rPr>
                <w:b/>
                <w:bCs/>
                <w:color w:val="000000"/>
                <w:szCs w:val="22"/>
              </w:rPr>
            </w:pPr>
            <w:r>
              <w:rPr>
                <w:b/>
                <w:bCs/>
                <w:color w:val="000000"/>
                <w:sz w:val="22"/>
                <w:szCs w:val="22"/>
              </w:rPr>
              <w:t>ROK</w:t>
            </w:r>
            <w:r w:rsidR="00E94330" w:rsidRPr="00E94330">
              <w:rPr>
                <w:b/>
                <w:bCs/>
                <w:color w:val="000000"/>
                <w:sz w:val="22"/>
                <w:szCs w:val="22"/>
              </w:rPr>
              <w:t xml:space="preserve"> 2010</w:t>
            </w:r>
          </w:p>
        </w:tc>
        <w:tc>
          <w:tcPr>
            <w:tcW w:w="1154"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E94330" w:rsidRPr="00E94330" w:rsidRDefault="00C01552" w:rsidP="00E94330">
            <w:pPr>
              <w:spacing w:after="0" w:line="240" w:lineRule="auto"/>
              <w:jc w:val="center"/>
              <w:rPr>
                <w:b/>
                <w:bCs/>
                <w:color w:val="000000"/>
                <w:szCs w:val="22"/>
              </w:rPr>
            </w:pPr>
            <w:r>
              <w:rPr>
                <w:b/>
                <w:bCs/>
                <w:color w:val="000000"/>
                <w:sz w:val="22"/>
                <w:szCs w:val="22"/>
              </w:rPr>
              <w:t>CELKEM</w:t>
            </w:r>
          </w:p>
        </w:tc>
        <w:tc>
          <w:tcPr>
            <w:tcW w:w="1159"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E94330" w:rsidRPr="00E94330" w:rsidRDefault="00C01552" w:rsidP="00C01552">
            <w:pPr>
              <w:spacing w:after="0" w:line="240" w:lineRule="auto"/>
              <w:jc w:val="center"/>
              <w:rPr>
                <w:b/>
                <w:bCs/>
                <w:color w:val="000000"/>
                <w:szCs w:val="22"/>
              </w:rPr>
            </w:pPr>
            <w:r>
              <w:rPr>
                <w:b/>
                <w:bCs/>
                <w:color w:val="000000"/>
                <w:sz w:val="22"/>
                <w:szCs w:val="22"/>
              </w:rPr>
              <w:t>SPLATNÉ</w:t>
            </w:r>
            <w:r w:rsidR="00E94330" w:rsidRPr="00E94330">
              <w:rPr>
                <w:b/>
                <w:bCs/>
                <w:color w:val="000000"/>
                <w:sz w:val="22"/>
                <w:szCs w:val="22"/>
              </w:rPr>
              <w:t xml:space="preserve"> </w:t>
            </w:r>
            <w:r>
              <w:rPr>
                <w:b/>
                <w:bCs/>
                <w:color w:val="000000"/>
                <w:sz w:val="22"/>
                <w:szCs w:val="22"/>
              </w:rPr>
              <w:t>PO</w:t>
            </w:r>
            <w:r w:rsidR="00E94330" w:rsidRPr="00E94330">
              <w:rPr>
                <w:b/>
                <w:bCs/>
                <w:color w:val="000000"/>
                <w:sz w:val="22"/>
                <w:szCs w:val="22"/>
              </w:rPr>
              <w:t xml:space="preserve"> 31. 12.</w:t>
            </w:r>
          </w:p>
        </w:tc>
        <w:tc>
          <w:tcPr>
            <w:tcW w:w="1375" w:type="dxa"/>
            <w:tcBorders>
              <w:top w:val="single" w:sz="12" w:space="0" w:color="auto"/>
              <w:left w:val="nil"/>
              <w:bottom w:val="double" w:sz="6" w:space="0" w:color="auto"/>
              <w:right w:val="single" w:sz="12" w:space="0" w:color="auto"/>
            </w:tcBorders>
            <w:shd w:val="clear" w:color="auto" w:fill="E5DFEC" w:themeFill="accent4" w:themeFillTint="33"/>
            <w:vAlign w:val="center"/>
            <w:hideMark/>
          </w:tcPr>
          <w:p w:rsidR="00E94330" w:rsidRPr="00E94330" w:rsidRDefault="00C01552" w:rsidP="00C01552">
            <w:pPr>
              <w:spacing w:after="0" w:line="240" w:lineRule="auto"/>
              <w:jc w:val="center"/>
              <w:rPr>
                <w:b/>
                <w:bCs/>
                <w:color w:val="000000"/>
                <w:szCs w:val="22"/>
              </w:rPr>
            </w:pPr>
            <w:r>
              <w:rPr>
                <w:b/>
                <w:bCs/>
                <w:color w:val="000000"/>
                <w:sz w:val="22"/>
                <w:szCs w:val="22"/>
              </w:rPr>
              <w:t>OKAMŽITĚ</w:t>
            </w:r>
            <w:r w:rsidR="00E94330" w:rsidRPr="00E94330">
              <w:rPr>
                <w:b/>
                <w:bCs/>
                <w:color w:val="000000"/>
                <w:sz w:val="22"/>
                <w:szCs w:val="22"/>
              </w:rPr>
              <w:t xml:space="preserve"> </w:t>
            </w:r>
            <w:proofErr w:type="gramStart"/>
            <w:r>
              <w:rPr>
                <w:b/>
                <w:bCs/>
                <w:color w:val="000000"/>
                <w:sz w:val="22"/>
                <w:szCs w:val="22"/>
              </w:rPr>
              <w:t>SPLATNÉ</w:t>
            </w:r>
            <w:r w:rsidR="00E94330" w:rsidRPr="00E94330">
              <w:rPr>
                <w:b/>
                <w:bCs/>
                <w:color w:val="000000"/>
                <w:sz w:val="22"/>
                <w:szCs w:val="22"/>
              </w:rPr>
              <w:t xml:space="preserve">        </w:t>
            </w:r>
            <w:r>
              <w:rPr>
                <w:b/>
                <w:bCs/>
                <w:color w:val="000000"/>
                <w:sz w:val="22"/>
                <w:szCs w:val="22"/>
              </w:rPr>
              <w:t>K</w:t>
            </w:r>
            <w:r w:rsidR="00E94330" w:rsidRPr="00E94330">
              <w:rPr>
                <w:b/>
                <w:bCs/>
                <w:color w:val="000000"/>
                <w:sz w:val="22"/>
                <w:szCs w:val="22"/>
              </w:rPr>
              <w:t xml:space="preserve"> 31</w:t>
            </w:r>
            <w:proofErr w:type="gramEnd"/>
            <w:r w:rsidR="00E94330" w:rsidRPr="00E94330">
              <w:rPr>
                <w:b/>
                <w:bCs/>
                <w:color w:val="000000"/>
                <w:sz w:val="22"/>
                <w:szCs w:val="22"/>
              </w:rPr>
              <w:t>. 12.</w:t>
            </w:r>
          </w:p>
        </w:tc>
      </w:tr>
      <w:tr w:rsidR="00E94330" w:rsidRPr="00E94330" w:rsidTr="00C63680">
        <w:trPr>
          <w:trHeight w:val="342"/>
          <w:jc w:val="center"/>
        </w:trPr>
        <w:tc>
          <w:tcPr>
            <w:tcW w:w="3231" w:type="dxa"/>
            <w:tcBorders>
              <w:top w:val="nil"/>
              <w:left w:val="single" w:sz="12" w:space="0" w:color="auto"/>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left"/>
              <w:rPr>
                <w:color w:val="000000"/>
                <w:szCs w:val="22"/>
              </w:rPr>
            </w:pPr>
            <w:r w:rsidRPr="00E94330">
              <w:rPr>
                <w:color w:val="000000"/>
                <w:sz w:val="22"/>
                <w:szCs w:val="22"/>
              </w:rPr>
              <w:t>Závazky z obchodních vztahů</w:t>
            </w:r>
          </w:p>
        </w:tc>
        <w:tc>
          <w:tcPr>
            <w:tcW w:w="1154"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1 287 568</w:t>
            </w:r>
          </w:p>
        </w:tc>
        <w:tc>
          <w:tcPr>
            <w:tcW w:w="1159"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57 831</w:t>
            </w:r>
          </w:p>
        </w:tc>
        <w:tc>
          <w:tcPr>
            <w:tcW w:w="1375" w:type="dxa"/>
            <w:tcBorders>
              <w:top w:val="nil"/>
              <w:left w:val="nil"/>
              <w:bottom w:val="single" w:sz="4" w:space="0" w:color="auto"/>
              <w:right w:val="single" w:sz="12"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1 229 737</w:t>
            </w:r>
          </w:p>
        </w:tc>
      </w:tr>
      <w:tr w:rsidR="00E94330" w:rsidRPr="00E94330" w:rsidTr="00C63680">
        <w:trPr>
          <w:trHeight w:val="342"/>
          <w:jc w:val="center"/>
        </w:trPr>
        <w:tc>
          <w:tcPr>
            <w:tcW w:w="3231" w:type="dxa"/>
            <w:tcBorders>
              <w:top w:val="nil"/>
              <w:left w:val="single" w:sz="12" w:space="0" w:color="auto"/>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left"/>
              <w:rPr>
                <w:color w:val="000000"/>
                <w:szCs w:val="22"/>
              </w:rPr>
            </w:pPr>
            <w:r w:rsidRPr="00E94330">
              <w:rPr>
                <w:color w:val="000000"/>
                <w:sz w:val="22"/>
                <w:szCs w:val="22"/>
              </w:rPr>
              <w:t>Závazky ke společníkům</w:t>
            </w:r>
          </w:p>
        </w:tc>
        <w:tc>
          <w:tcPr>
            <w:tcW w:w="1154"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271 832</w:t>
            </w:r>
          </w:p>
        </w:tc>
        <w:tc>
          <w:tcPr>
            <w:tcW w:w="1159"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0</w:t>
            </w:r>
          </w:p>
        </w:tc>
        <w:tc>
          <w:tcPr>
            <w:tcW w:w="1375" w:type="dxa"/>
            <w:tcBorders>
              <w:top w:val="nil"/>
              <w:left w:val="nil"/>
              <w:bottom w:val="single" w:sz="4" w:space="0" w:color="auto"/>
              <w:right w:val="single" w:sz="12"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271 832</w:t>
            </w:r>
          </w:p>
        </w:tc>
      </w:tr>
      <w:tr w:rsidR="00E94330" w:rsidRPr="00E94330" w:rsidTr="00C63680">
        <w:trPr>
          <w:trHeight w:val="342"/>
          <w:jc w:val="center"/>
        </w:trPr>
        <w:tc>
          <w:tcPr>
            <w:tcW w:w="3231" w:type="dxa"/>
            <w:tcBorders>
              <w:top w:val="nil"/>
              <w:left w:val="single" w:sz="12" w:space="0" w:color="auto"/>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left"/>
              <w:rPr>
                <w:color w:val="000000"/>
                <w:szCs w:val="22"/>
              </w:rPr>
            </w:pPr>
            <w:r w:rsidRPr="00E94330">
              <w:rPr>
                <w:color w:val="000000"/>
                <w:sz w:val="22"/>
                <w:szCs w:val="22"/>
              </w:rPr>
              <w:t>Závazky k zaměstnancům</w:t>
            </w:r>
          </w:p>
        </w:tc>
        <w:tc>
          <w:tcPr>
            <w:tcW w:w="1154"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117 202</w:t>
            </w:r>
          </w:p>
        </w:tc>
        <w:tc>
          <w:tcPr>
            <w:tcW w:w="1159"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83 677</w:t>
            </w:r>
          </w:p>
        </w:tc>
        <w:tc>
          <w:tcPr>
            <w:tcW w:w="1375" w:type="dxa"/>
            <w:tcBorders>
              <w:top w:val="nil"/>
              <w:left w:val="nil"/>
              <w:bottom w:val="single" w:sz="4" w:space="0" w:color="auto"/>
              <w:right w:val="single" w:sz="12"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33 525</w:t>
            </w:r>
          </w:p>
        </w:tc>
      </w:tr>
      <w:tr w:rsidR="00E94330" w:rsidRPr="00E94330" w:rsidTr="00C63680">
        <w:trPr>
          <w:trHeight w:val="600"/>
          <w:jc w:val="center"/>
        </w:trPr>
        <w:tc>
          <w:tcPr>
            <w:tcW w:w="3231" w:type="dxa"/>
            <w:tcBorders>
              <w:top w:val="nil"/>
              <w:left w:val="single" w:sz="12" w:space="0" w:color="auto"/>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left"/>
              <w:rPr>
                <w:color w:val="000000"/>
                <w:szCs w:val="22"/>
              </w:rPr>
            </w:pPr>
            <w:r w:rsidRPr="00E94330">
              <w:rPr>
                <w:color w:val="000000"/>
                <w:sz w:val="22"/>
                <w:szCs w:val="22"/>
              </w:rPr>
              <w:t>Závazky ze sociálního a zdravotního pojištění</w:t>
            </w:r>
          </w:p>
        </w:tc>
        <w:tc>
          <w:tcPr>
            <w:tcW w:w="1154"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123 243</w:t>
            </w:r>
          </w:p>
        </w:tc>
        <w:tc>
          <w:tcPr>
            <w:tcW w:w="1159"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36 937</w:t>
            </w:r>
          </w:p>
        </w:tc>
        <w:tc>
          <w:tcPr>
            <w:tcW w:w="1375" w:type="dxa"/>
            <w:tcBorders>
              <w:top w:val="nil"/>
              <w:left w:val="nil"/>
              <w:bottom w:val="single" w:sz="4" w:space="0" w:color="auto"/>
              <w:right w:val="single" w:sz="12"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86 306</w:t>
            </w:r>
          </w:p>
        </w:tc>
      </w:tr>
      <w:tr w:rsidR="00E94330" w:rsidRPr="00E94330" w:rsidTr="00C63680">
        <w:trPr>
          <w:trHeight w:val="342"/>
          <w:jc w:val="center"/>
        </w:trPr>
        <w:tc>
          <w:tcPr>
            <w:tcW w:w="3231" w:type="dxa"/>
            <w:tcBorders>
              <w:top w:val="nil"/>
              <w:left w:val="single" w:sz="12" w:space="0" w:color="auto"/>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left"/>
              <w:rPr>
                <w:color w:val="000000"/>
                <w:szCs w:val="22"/>
              </w:rPr>
            </w:pPr>
            <w:r w:rsidRPr="00E94330">
              <w:rPr>
                <w:color w:val="000000"/>
                <w:sz w:val="22"/>
                <w:szCs w:val="22"/>
              </w:rPr>
              <w:t>Stát - daňové závazky</w:t>
            </w:r>
          </w:p>
        </w:tc>
        <w:tc>
          <w:tcPr>
            <w:tcW w:w="1154"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273 474</w:t>
            </w:r>
          </w:p>
        </w:tc>
        <w:tc>
          <w:tcPr>
            <w:tcW w:w="1159"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75 380</w:t>
            </w:r>
          </w:p>
        </w:tc>
        <w:tc>
          <w:tcPr>
            <w:tcW w:w="1375" w:type="dxa"/>
            <w:tcBorders>
              <w:top w:val="nil"/>
              <w:left w:val="nil"/>
              <w:bottom w:val="single" w:sz="4" w:space="0" w:color="auto"/>
              <w:right w:val="single" w:sz="12"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198 094</w:t>
            </w:r>
          </w:p>
        </w:tc>
      </w:tr>
      <w:tr w:rsidR="00E94330" w:rsidRPr="00E94330" w:rsidTr="00C63680">
        <w:trPr>
          <w:trHeight w:val="342"/>
          <w:jc w:val="center"/>
        </w:trPr>
        <w:tc>
          <w:tcPr>
            <w:tcW w:w="3231" w:type="dxa"/>
            <w:tcBorders>
              <w:top w:val="nil"/>
              <w:left w:val="single" w:sz="12" w:space="0" w:color="auto"/>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left"/>
              <w:rPr>
                <w:color w:val="000000"/>
                <w:szCs w:val="22"/>
              </w:rPr>
            </w:pPr>
            <w:r w:rsidRPr="00E94330">
              <w:rPr>
                <w:color w:val="000000"/>
                <w:sz w:val="22"/>
                <w:szCs w:val="22"/>
              </w:rPr>
              <w:t>Krátkodobé přijaté zálohy</w:t>
            </w:r>
          </w:p>
        </w:tc>
        <w:tc>
          <w:tcPr>
            <w:tcW w:w="1154"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40 000</w:t>
            </w:r>
          </w:p>
        </w:tc>
        <w:tc>
          <w:tcPr>
            <w:tcW w:w="1159"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0</w:t>
            </w:r>
          </w:p>
        </w:tc>
        <w:tc>
          <w:tcPr>
            <w:tcW w:w="1375" w:type="dxa"/>
            <w:tcBorders>
              <w:top w:val="nil"/>
              <w:left w:val="nil"/>
              <w:bottom w:val="single" w:sz="4" w:space="0" w:color="auto"/>
              <w:right w:val="single" w:sz="12"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40 000</w:t>
            </w:r>
          </w:p>
        </w:tc>
      </w:tr>
      <w:tr w:rsidR="00E94330" w:rsidRPr="00E94330" w:rsidTr="00C63680">
        <w:trPr>
          <w:trHeight w:val="439"/>
          <w:jc w:val="center"/>
        </w:trPr>
        <w:tc>
          <w:tcPr>
            <w:tcW w:w="3231" w:type="dxa"/>
            <w:tcBorders>
              <w:top w:val="nil"/>
              <w:left w:val="single" w:sz="12" w:space="0" w:color="auto"/>
              <w:bottom w:val="single" w:sz="12" w:space="0" w:color="auto"/>
              <w:right w:val="single" w:sz="4" w:space="0" w:color="auto"/>
            </w:tcBorders>
            <w:shd w:val="clear" w:color="auto" w:fill="auto"/>
            <w:vAlign w:val="center"/>
            <w:hideMark/>
          </w:tcPr>
          <w:p w:rsidR="00E94330" w:rsidRPr="00E94330" w:rsidRDefault="00E94330" w:rsidP="00E94330">
            <w:pPr>
              <w:spacing w:after="0" w:line="240" w:lineRule="auto"/>
              <w:jc w:val="left"/>
              <w:rPr>
                <w:b/>
                <w:bCs/>
                <w:color w:val="000000"/>
                <w:szCs w:val="22"/>
              </w:rPr>
            </w:pPr>
            <w:r w:rsidRPr="00E94330">
              <w:rPr>
                <w:b/>
                <w:bCs/>
                <w:color w:val="000000"/>
                <w:sz w:val="22"/>
                <w:szCs w:val="22"/>
              </w:rPr>
              <w:t>Krátkodobé závazky celkem</w:t>
            </w:r>
          </w:p>
        </w:tc>
        <w:tc>
          <w:tcPr>
            <w:tcW w:w="1154" w:type="dxa"/>
            <w:tcBorders>
              <w:top w:val="nil"/>
              <w:left w:val="nil"/>
              <w:bottom w:val="single" w:sz="12"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b/>
                <w:bCs/>
                <w:color w:val="000000"/>
                <w:szCs w:val="22"/>
              </w:rPr>
            </w:pPr>
            <w:r w:rsidRPr="00E94330">
              <w:rPr>
                <w:b/>
                <w:bCs/>
                <w:color w:val="000000"/>
                <w:sz w:val="22"/>
                <w:szCs w:val="22"/>
              </w:rPr>
              <w:t>2 113 319</w:t>
            </w:r>
          </w:p>
        </w:tc>
        <w:tc>
          <w:tcPr>
            <w:tcW w:w="1159" w:type="dxa"/>
            <w:tcBorders>
              <w:top w:val="nil"/>
              <w:left w:val="nil"/>
              <w:bottom w:val="single" w:sz="12"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b/>
                <w:bCs/>
                <w:color w:val="000000"/>
                <w:szCs w:val="22"/>
              </w:rPr>
            </w:pPr>
            <w:r w:rsidRPr="00E94330">
              <w:rPr>
                <w:b/>
                <w:bCs/>
                <w:color w:val="000000"/>
                <w:sz w:val="22"/>
                <w:szCs w:val="22"/>
              </w:rPr>
              <w:t>253 825</w:t>
            </w:r>
          </w:p>
        </w:tc>
        <w:tc>
          <w:tcPr>
            <w:tcW w:w="1375" w:type="dxa"/>
            <w:tcBorders>
              <w:top w:val="nil"/>
              <w:left w:val="nil"/>
              <w:bottom w:val="single" w:sz="12" w:space="0" w:color="auto"/>
              <w:right w:val="single" w:sz="12" w:space="0" w:color="auto"/>
            </w:tcBorders>
            <w:shd w:val="clear" w:color="auto" w:fill="auto"/>
            <w:vAlign w:val="center"/>
            <w:hideMark/>
          </w:tcPr>
          <w:p w:rsidR="00E94330" w:rsidRPr="00E94330" w:rsidRDefault="00E94330" w:rsidP="00E94330">
            <w:pPr>
              <w:spacing w:after="0" w:line="240" w:lineRule="auto"/>
              <w:jc w:val="right"/>
              <w:rPr>
                <w:b/>
                <w:bCs/>
                <w:color w:val="000000"/>
                <w:szCs w:val="22"/>
              </w:rPr>
            </w:pPr>
            <w:r w:rsidRPr="00E94330">
              <w:rPr>
                <w:b/>
                <w:bCs/>
                <w:color w:val="000000"/>
                <w:sz w:val="22"/>
                <w:szCs w:val="22"/>
              </w:rPr>
              <w:t>1 859 494</w:t>
            </w:r>
          </w:p>
        </w:tc>
      </w:tr>
    </w:tbl>
    <w:p w:rsidR="00E94330" w:rsidRDefault="00E94330" w:rsidP="00E94330">
      <w:pPr>
        <w:pStyle w:val="dajepodtabulkou"/>
        <w:ind w:left="1134"/>
      </w:pPr>
      <w:r>
        <w:t>Zdroj: KOVOVÝROBA s. r. o.</w:t>
      </w:r>
    </w:p>
    <w:p w:rsidR="00E94330" w:rsidRDefault="00E94330" w:rsidP="00E94330">
      <w:pPr>
        <w:pStyle w:val="dajenadtabulkouazdroj"/>
        <w:ind w:left="1134"/>
      </w:pPr>
      <w:r w:rsidRPr="00E94330">
        <w:t>Údaje jsou uvedeny v celých Kč</w:t>
      </w:r>
    </w:p>
    <w:tbl>
      <w:tblPr>
        <w:tblW w:w="7036" w:type="dxa"/>
        <w:jc w:val="center"/>
        <w:tblInd w:w="-561" w:type="dxa"/>
        <w:tblCellMar>
          <w:left w:w="70" w:type="dxa"/>
          <w:right w:w="70" w:type="dxa"/>
        </w:tblCellMar>
        <w:tblLook w:val="04A0" w:firstRow="1" w:lastRow="0" w:firstColumn="1" w:lastColumn="0" w:noHBand="0" w:noVBand="1"/>
      </w:tblPr>
      <w:tblGrid>
        <w:gridCol w:w="3348"/>
        <w:gridCol w:w="1154"/>
        <w:gridCol w:w="1159"/>
        <w:gridCol w:w="1375"/>
      </w:tblGrid>
      <w:tr w:rsidR="00E94330" w:rsidRPr="00E94330" w:rsidTr="00C336D4">
        <w:trPr>
          <w:trHeight w:val="885"/>
          <w:jc w:val="center"/>
        </w:trPr>
        <w:tc>
          <w:tcPr>
            <w:tcW w:w="3348" w:type="dxa"/>
            <w:tcBorders>
              <w:top w:val="single" w:sz="12" w:space="0" w:color="auto"/>
              <w:left w:val="single" w:sz="12" w:space="0" w:color="auto"/>
              <w:bottom w:val="double" w:sz="6" w:space="0" w:color="auto"/>
              <w:right w:val="single" w:sz="4" w:space="0" w:color="auto"/>
            </w:tcBorders>
            <w:shd w:val="clear" w:color="auto" w:fill="E5DFEC" w:themeFill="accent4" w:themeFillTint="33"/>
            <w:vAlign w:val="center"/>
            <w:hideMark/>
          </w:tcPr>
          <w:p w:rsidR="00E94330" w:rsidRPr="00E94330" w:rsidRDefault="00C01552" w:rsidP="00E94330">
            <w:pPr>
              <w:spacing w:after="0" w:line="240" w:lineRule="auto"/>
              <w:jc w:val="center"/>
              <w:rPr>
                <w:b/>
                <w:bCs/>
                <w:color w:val="000000"/>
                <w:szCs w:val="22"/>
              </w:rPr>
            </w:pPr>
            <w:r>
              <w:rPr>
                <w:b/>
                <w:bCs/>
                <w:color w:val="000000"/>
                <w:sz w:val="22"/>
                <w:szCs w:val="22"/>
              </w:rPr>
              <w:t>ROK</w:t>
            </w:r>
            <w:r w:rsidR="00E94330" w:rsidRPr="00E94330">
              <w:rPr>
                <w:b/>
                <w:bCs/>
                <w:color w:val="000000"/>
                <w:sz w:val="22"/>
                <w:szCs w:val="22"/>
              </w:rPr>
              <w:t xml:space="preserve"> 2011</w:t>
            </w:r>
          </w:p>
        </w:tc>
        <w:tc>
          <w:tcPr>
            <w:tcW w:w="1154"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E94330" w:rsidRPr="00E94330" w:rsidRDefault="00C01552" w:rsidP="00E94330">
            <w:pPr>
              <w:spacing w:after="0" w:line="240" w:lineRule="auto"/>
              <w:jc w:val="center"/>
              <w:rPr>
                <w:b/>
                <w:bCs/>
                <w:color w:val="000000"/>
                <w:szCs w:val="22"/>
              </w:rPr>
            </w:pPr>
            <w:r>
              <w:rPr>
                <w:b/>
                <w:bCs/>
                <w:color w:val="000000"/>
                <w:sz w:val="22"/>
                <w:szCs w:val="22"/>
              </w:rPr>
              <w:t>CELKEM</w:t>
            </w:r>
          </w:p>
        </w:tc>
        <w:tc>
          <w:tcPr>
            <w:tcW w:w="1159"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E94330" w:rsidRPr="00E94330" w:rsidRDefault="00C01552" w:rsidP="00C01552">
            <w:pPr>
              <w:spacing w:after="0" w:line="240" w:lineRule="auto"/>
              <w:jc w:val="center"/>
              <w:rPr>
                <w:b/>
                <w:bCs/>
                <w:color w:val="000000"/>
                <w:szCs w:val="22"/>
              </w:rPr>
            </w:pPr>
            <w:r>
              <w:rPr>
                <w:b/>
                <w:bCs/>
                <w:color w:val="000000"/>
                <w:sz w:val="22"/>
                <w:szCs w:val="22"/>
              </w:rPr>
              <w:t>SPLATNÉ</w:t>
            </w:r>
            <w:r w:rsidR="00E94330" w:rsidRPr="00E94330">
              <w:rPr>
                <w:b/>
                <w:bCs/>
                <w:color w:val="000000"/>
                <w:sz w:val="22"/>
                <w:szCs w:val="22"/>
              </w:rPr>
              <w:t xml:space="preserve"> </w:t>
            </w:r>
            <w:r>
              <w:rPr>
                <w:b/>
                <w:bCs/>
                <w:color w:val="000000"/>
                <w:sz w:val="22"/>
                <w:szCs w:val="22"/>
              </w:rPr>
              <w:t>PO</w:t>
            </w:r>
            <w:r w:rsidR="00E94330" w:rsidRPr="00E94330">
              <w:rPr>
                <w:b/>
                <w:bCs/>
                <w:color w:val="000000"/>
                <w:sz w:val="22"/>
                <w:szCs w:val="22"/>
              </w:rPr>
              <w:t xml:space="preserve"> 31. 12.</w:t>
            </w:r>
          </w:p>
        </w:tc>
        <w:tc>
          <w:tcPr>
            <w:tcW w:w="1375" w:type="dxa"/>
            <w:tcBorders>
              <w:top w:val="single" w:sz="12" w:space="0" w:color="auto"/>
              <w:left w:val="nil"/>
              <w:bottom w:val="double" w:sz="6" w:space="0" w:color="auto"/>
              <w:right w:val="single" w:sz="12" w:space="0" w:color="auto"/>
            </w:tcBorders>
            <w:shd w:val="clear" w:color="auto" w:fill="E5DFEC" w:themeFill="accent4" w:themeFillTint="33"/>
            <w:vAlign w:val="center"/>
            <w:hideMark/>
          </w:tcPr>
          <w:p w:rsidR="00E94330" w:rsidRPr="00E94330" w:rsidRDefault="00C01552" w:rsidP="00C01552">
            <w:pPr>
              <w:spacing w:after="0" w:line="240" w:lineRule="auto"/>
              <w:jc w:val="center"/>
              <w:rPr>
                <w:b/>
                <w:bCs/>
                <w:color w:val="000000"/>
                <w:szCs w:val="22"/>
              </w:rPr>
            </w:pPr>
            <w:r>
              <w:rPr>
                <w:b/>
                <w:bCs/>
                <w:color w:val="000000"/>
                <w:sz w:val="22"/>
                <w:szCs w:val="22"/>
              </w:rPr>
              <w:t>OKAMŽITĚ</w:t>
            </w:r>
            <w:r w:rsidR="00E94330" w:rsidRPr="00E94330">
              <w:rPr>
                <w:b/>
                <w:bCs/>
                <w:color w:val="000000"/>
                <w:sz w:val="22"/>
                <w:szCs w:val="22"/>
              </w:rPr>
              <w:t xml:space="preserve"> </w:t>
            </w:r>
            <w:proofErr w:type="gramStart"/>
            <w:r>
              <w:rPr>
                <w:b/>
                <w:bCs/>
                <w:color w:val="000000"/>
                <w:sz w:val="22"/>
                <w:szCs w:val="22"/>
              </w:rPr>
              <w:t>SPLATNÉ</w:t>
            </w:r>
            <w:r w:rsidR="00E94330" w:rsidRPr="00E94330">
              <w:rPr>
                <w:b/>
                <w:bCs/>
                <w:color w:val="000000"/>
                <w:sz w:val="22"/>
                <w:szCs w:val="22"/>
              </w:rPr>
              <w:t xml:space="preserve">         </w:t>
            </w:r>
            <w:r>
              <w:rPr>
                <w:b/>
                <w:bCs/>
                <w:color w:val="000000"/>
                <w:sz w:val="22"/>
                <w:szCs w:val="22"/>
              </w:rPr>
              <w:t>K</w:t>
            </w:r>
            <w:r w:rsidR="00E94330" w:rsidRPr="00E94330">
              <w:rPr>
                <w:b/>
                <w:bCs/>
                <w:color w:val="000000"/>
                <w:sz w:val="22"/>
                <w:szCs w:val="22"/>
              </w:rPr>
              <w:t xml:space="preserve"> 31</w:t>
            </w:r>
            <w:proofErr w:type="gramEnd"/>
            <w:r w:rsidR="00E94330" w:rsidRPr="00E94330">
              <w:rPr>
                <w:b/>
                <w:bCs/>
                <w:color w:val="000000"/>
                <w:sz w:val="22"/>
                <w:szCs w:val="22"/>
              </w:rPr>
              <w:t>. 12.</w:t>
            </w:r>
          </w:p>
        </w:tc>
      </w:tr>
      <w:tr w:rsidR="00E94330" w:rsidRPr="00E94330" w:rsidTr="00C63680">
        <w:trPr>
          <w:trHeight w:val="342"/>
          <w:jc w:val="center"/>
        </w:trPr>
        <w:tc>
          <w:tcPr>
            <w:tcW w:w="3348" w:type="dxa"/>
            <w:tcBorders>
              <w:top w:val="nil"/>
              <w:left w:val="single" w:sz="12" w:space="0" w:color="auto"/>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left"/>
              <w:rPr>
                <w:color w:val="000000"/>
                <w:szCs w:val="22"/>
              </w:rPr>
            </w:pPr>
            <w:r w:rsidRPr="00E94330">
              <w:rPr>
                <w:color w:val="000000"/>
                <w:sz w:val="22"/>
                <w:szCs w:val="22"/>
              </w:rPr>
              <w:t>Závazky z obchodních vztahů</w:t>
            </w:r>
          </w:p>
        </w:tc>
        <w:tc>
          <w:tcPr>
            <w:tcW w:w="1154"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2 494 755</w:t>
            </w:r>
          </w:p>
        </w:tc>
        <w:tc>
          <w:tcPr>
            <w:tcW w:w="1159"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88 472</w:t>
            </w:r>
          </w:p>
        </w:tc>
        <w:tc>
          <w:tcPr>
            <w:tcW w:w="1375" w:type="dxa"/>
            <w:tcBorders>
              <w:top w:val="nil"/>
              <w:left w:val="nil"/>
              <w:bottom w:val="single" w:sz="4" w:space="0" w:color="auto"/>
              <w:right w:val="single" w:sz="12"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2 406 283</w:t>
            </w:r>
          </w:p>
        </w:tc>
      </w:tr>
      <w:tr w:rsidR="00E94330" w:rsidRPr="00E94330" w:rsidTr="00C63680">
        <w:trPr>
          <w:trHeight w:val="342"/>
          <w:jc w:val="center"/>
        </w:trPr>
        <w:tc>
          <w:tcPr>
            <w:tcW w:w="3348" w:type="dxa"/>
            <w:tcBorders>
              <w:top w:val="nil"/>
              <w:left w:val="single" w:sz="12" w:space="0" w:color="auto"/>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left"/>
              <w:rPr>
                <w:color w:val="000000"/>
                <w:szCs w:val="22"/>
              </w:rPr>
            </w:pPr>
            <w:r w:rsidRPr="00E94330">
              <w:rPr>
                <w:color w:val="000000"/>
                <w:sz w:val="22"/>
                <w:szCs w:val="22"/>
              </w:rPr>
              <w:t>Závazky ke společníkům</w:t>
            </w:r>
          </w:p>
        </w:tc>
        <w:tc>
          <w:tcPr>
            <w:tcW w:w="1154"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432 652</w:t>
            </w:r>
          </w:p>
        </w:tc>
        <w:tc>
          <w:tcPr>
            <w:tcW w:w="1159"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0</w:t>
            </w:r>
          </w:p>
        </w:tc>
        <w:tc>
          <w:tcPr>
            <w:tcW w:w="1375" w:type="dxa"/>
            <w:tcBorders>
              <w:top w:val="nil"/>
              <w:left w:val="nil"/>
              <w:bottom w:val="single" w:sz="4" w:space="0" w:color="auto"/>
              <w:right w:val="single" w:sz="12"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432 652</w:t>
            </w:r>
          </w:p>
        </w:tc>
      </w:tr>
      <w:tr w:rsidR="00E94330" w:rsidRPr="00E94330" w:rsidTr="00C63680">
        <w:trPr>
          <w:trHeight w:val="342"/>
          <w:jc w:val="center"/>
        </w:trPr>
        <w:tc>
          <w:tcPr>
            <w:tcW w:w="3348" w:type="dxa"/>
            <w:tcBorders>
              <w:top w:val="nil"/>
              <w:left w:val="single" w:sz="12" w:space="0" w:color="auto"/>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left"/>
              <w:rPr>
                <w:color w:val="000000"/>
                <w:szCs w:val="22"/>
              </w:rPr>
            </w:pPr>
            <w:r w:rsidRPr="00E94330">
              <w:rPr>
                <w:color w:val="000000"/>
                <w:sz w:val="22"/>
                <w:szCs w:val="22"/>
              </w:rPr>
              <w:t>Závazky k zaměstnancům</w:t>
            </w:r>
          </w:p>
        </w:tc>
        <w:tc>
          <w:tcPr>
            <w:tcW w:w="1154"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467 088</w:t>
            </w:r>
          </w:p>
        </w:tc>
        <w:tc>
          <w:tcPr>
            <w:tcW w:w="1159"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75 465</w:t>
            </w:r>
          </w:p>
        </w:tc>
        <w:tc>
          <w:tcPr>
            <w:tcW w:w="1375" w:type="dxa"/>
            <w:tcBorders>
              <w:top w:val="nil"/>
              <w:left w:val="nil"/>
              <w:bottom w:val="single" w:sz="4" w:space="0" w:color="auto"/>
              <w:right w:val="single" w:sz="12"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391 623</w:t>
            </w:r>
          </w:p>
        </w:tc>
      </w:tr>
      <w:tr w:rsidR="00E94330" w:rsidRPr="00E94330" w:rsidTr="00C63680">
        <w:trPr>
          <w:trHeight w:val="600"/>
          <w:jc w:val="center"/>
        </w:trPr>
        <w:tc>
          <w:tcPr>
            <w:tcW w:w="3348" w:type="dxa"/>
            <w:tcBorders>
              <w:top w:val="nil"/>
              <w:left w:val="single" w:sz="12" w:space="0" w:color="auto"/>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left"/>
              <w:rPr>
                <w:color w:val="000000"/>
                <w:szCs w:val="22"/>
              </w:rPr>
            </w:pPr>
            <w:r w:rsidRPr="00E94330">
              <w:rPr>
                <w:color w:val="000000"/>
                <w:sz w:val="22"/>
                <w:szCs w:val="22"/>
              </w:rPr>
              <w:t>Závazky ze sociálního a zdravotního pojištění</w:t>
            </w:r>
          </w:p>
        </w:tc>
        <w:tc>
          <w:tcPr>
            <w:tcW w:w="1154"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356 607</w:t>
            </w:r>
          </w:p>
        </w:tc>
        <w:tc>
          <w:tcPr>
            <w:tcW w:w="1159"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39 714</w:t>
            </w:r>
          </w:p>
        </w:tc>
        <w:tc>
          <w:tcPr>
            <w:tcW w:w="1375" w:type="dxa"/>
            <w:tcBorders>
              <w:top w:val="nil"/>
              <w:left w:val="nil"/>
              <w:bottom w:val="single" w:sz="4" w:space="0" w:color="auto"/>
              <w:right w:val="single" w:sz="12"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316 893</w:t>
            </w:r>
          </w:p>
        </w:tc>
      </w:tr>
      <w:tr w:rsidR="00E94330" w:rsidRPr="00E94330" w:rsidTr="00C63680">
        <w:trPr>
          <w:trHeight w:val="342"/>
          <w:jc w:val="center"/>
        </w:trPr>
        <w:tc>
          <w:tcPr>
            <w:tcW w:w="3348" w:type="dxa"/>
            <w:tcBorders>
              <w:top w:val="nil"/>
              <w:left w:val="single" w:sz="12" w:space="0" w:color="auto"/>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left"/>
              <w:rPr>
                <w:color w:val="000000"/>
                <w:szCs w:val="22"/>
              </w:rPr>
            </w:pPr>
            <w:r w:rsidRPr="00E94330">
              <w:rPr>
                <w:color w:val="000000"/>
                <w:sz w:val="22"/>
                <w:szCs w:val="22"/>
              </w:rPr>
              <w:t>Stát - daňové závazky</w:t>
            </w:r>
          </w:p>
        </w:tc>
        <w:tc>
          <w:tcPr>
            <w:tcW w:w="1154"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356 726</w:t>
            </w:r>
          </w:p>
        </w:tc>
        <w:tc>
          <w:tcPr>
            <w:tcW w:w="1159"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52 401</w:t>
            </w:r>
          </w:p>
        </w:tc>
        <w:tc>
          <w:tcPr>
            <w:tcW w:w="1375" w:type="dxa"/>
            <w:tcBorders>
              <w:top w:val="nil"/>
              <w:left w:val="nil"/>
              <w:bottom w:val="single" w:sz="4" w:space="0" w:color="auto"/>
              <w:right w:val="single" w:sz="12"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304 325</w:t>
            </w:r>
          </w:p>
        </w:tc>
      </w:tr>
      <w:tr w:rsidR="00E94330" w:rsidRPr="00E94330" w:rsidTr="00C63680">
        <w:trPr>
          <w:trHeight w:val="342"/>
          <w:jc w:val="center"/>
        </w:trPr>
        <w:tc>
          <w:tcPr>
            <w:tcW w:w="3348" w:type="dxa"/>
            <w:tcBorders>
              <w:top w:val="nil"/>
              <w:left w:val="single" w:sz="12" w:space="0" w:color="auto"/>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left"/>
              <w:rPr>
                <w:color w:val="000000"/>
                <w:szCs w:val="22"/>
              </w:rPr>
            </w:pPr>
            <w:r w:rsidRPr="00E94330">
              <w:rPr>
                <w:color w:val="000000"/>
                <w:sz w:val="22"/>
                <w:szCs w:val="22"/>
              </w:rPr>
              <w:t>Krátkodobé přijaté zálohy</w:t>
            </w:r>
          </w:p>
        </w:tc>
        <w:tc>
          <w:tcPr>
            <w:tcW w:w="1154"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0</w:t>
            </w:r>
          </w:p>
        </w:tc>
        <w:tc>
          <w:tcPr>
            <w:tcW w:w="1159" w:type="dxa"/>
            <w:tcBorders>
              <w:top w:val="nil"/>
              <w:left w:val="nil"/>
              <w:bottom w:val="single" w:sz="4"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0</w:t>
            </w:r>
          </w:p>
        </w:tc>
        <w:tc>
          <w:tcPr>
            <w:tcW w:w="1375" w:type="dxa"/>
            <w:tcBorders>
              <w:top w:val="nil"/>
              <w:left w:val="nil"/>
              <w:bottom w:val="single" w:sz="4" w:space="0" w:color="auto"/>
              <w:right w:val="single" w:sz="12" w:space="0" w:color="auto"/>
            </w:tcBorders>
            <w:shd w:val="clear" w:color="auto" w:fill="auto"/>
            <w:vAlign w:val="center"/>
            <w:hideMark/>
          </w:tcPr>
          <w:p w:rsidR="00E94330" w:rsidRPr="00E94330" w:rsidRDefault="00E94330" w:rsidP="00E94330">
            <w:pPr>
              <w:spacing w:after="0" w:line="240" w:lineRule="auto"/>
              <w:jc w:val="right"/>
              <w:rPr>
                <w:color w:val="000000"/>
                <w:szCs w:val="22"/>
              </w:rPr>
            </w:pPr>
            <w:r w:rsidRPr="00E94330">
              <w:rPr>
                <w:color w:val="000000"/>
                <w:sz w:val="22"/>
                <w:szCs w:val="22"/>
              </w:rPr>
              <w:t>0</w:t>
            </w:r>
          </w:p>
        </w:tc>
      </w:tr>
      <w:tr w:rsidR="00E94330" w:rsidRPr="00E94330" w:rsidTr="00C63680">
        <w:trPr>
          <w:trHeight w:val="439"/>
          <w:jc w:val="center"/>
        </w:trPr>
        <w:tc>
          <w:tcPr>
            <w:tcW w:w="3348" w:type="dxa"/>
            <w:tcBorders>
              <w:top w:val="nil"/>
              <w:left w:val="single" w:sz="12" w:space="0" w:color="auto"/>
              <w:bottom w:val="single" w:sz="12" w:space="0" w:color="auto"/>
              <w:right w:val="single" w:sz="4" w:space="0" w:color="auto"/>
            </w:tcBorders>
            <w:shd w:val="clear" w:color="auto" w:fill="auto"/>
            <w:vAlign w:val="center"/>
            <w:hideMark/>
          </w:tcPr>
          <w:p w:rsidR="00E94330" w:rsidRPr="00E94330" w:rsidRDefault="00E94330" w:rsidP="00E94330">
            <w:pPr>
              <w:spacing w:after="0" w:line="240" w:lineRule="auto"/>
              <w:jc w:val="left"/>
              <w:rPr>
                <w:b/>
                <w:bCs/>
                <w:color w:val="000000"/>
                <w:szCs w:val="22"/>
              </w:rPr>
            </w:pPr>
            <w:r w:rsidRPr="00E94330">
              <w:rPr>
                <w:b/>
                <w:bCs/>
                <w:color w:val="000000"/>
                <w:sz w:val="22"/>
                <w:szCs w:val="22"/>
              </w:rPr>
              <w:t>Krátkodobé závazky celkem</w:t>
            </w:r>
          </w:p>
        </w:tc>
        <w:tc>
          <w:tcPr>
            <w:tcW w:w="1154" w:type="dxa"/>
            <w:tcBorders>
              <w:top w:val="nil"/>
              <w:left w:val="nil"/>
              <w:bottom w:val="single" w:sz="12"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b/>
                <w:bCs/>
                <w:color w:val="000000"/>
                <w:szCs w:val="22"/>
              </w:rPr>
            </w:pPr>
            <w:r w:rsidRPr="00E94330">
              <w:rPr>
                <w:b/>
                <w:bCs/>
                <w:color w:val="000000"/>
                <w:sz w:val="22"/>
                <w:szCs w:val="22"/>
              </w:rPr>
              <w:t>4 107 828</w:t>
            </w:r>
          </w:p>
        </w:tc>
        <w:tc>
          <w:tcPr>
            <w:tcW w:w="1159" w:type="dxa"/>
            <w:tcBorders>
              <w:top w:val="nil"/>
              <w:left w:val="nil"/>
              <w:bottom w:val="single" w:sz="12" w:space="0" w:color="auto"/>
              <w:right w:val="single" w:sz="4" w:space="0" w:color="auto"/>
            </w:tcBorders>
            <w:shd w:val="clear" w:color="auto" w:fill="auto"/>
            <w:vAlign w:val="center"/>
            <w:hideMark/>
          </w:tcPr>
          <w:p w:rsidR="00E94330" w:rsidRPr="00E94330" w:rsidRDefault="00E94330" w:rsidP="00E94330">
            <w:pPr>
              <w:spacing w:after="0" w:line="240" w:lineRule="auto"/>
              <w:jc w:val="right"/>
              <w:rPr>
                <w:b/>
                <w:bCs/>
                <w:color w:val="000000"/>
                <w:szCs w:val="22"/>
              </w:rPr>
            </w:pPr>
            <w:r w:rsidRPr="00E94330">
              <w:rPr>
                <w:b/>
                <w:bCs/>
                <w:color w:val="000000"/>
                <w:sz w:val="22"/>
                <w:szCs w:val="22"/>
              </w:rPr>
              <w:t>256 052</w:t>
            </w:r>
          </w:p>
        </w:tc>
        <w:tc>
          <w:tcPr>
            <w:tcW w:w="1375" w:type="dxa"/>
            <w:tcBorders>
              <w:top w:val="nil"/>
              <w:left w:val="nil"/>
              <w:bottom w:val="single" w:sz="12" w:space="0" w:color="auto"/>
              <w:right w:val="single" w:sz="12" w:space="0" w:color="auto"/>
            </w:tcBorders>
            <w:shd w:val="clear" w:color="auto" w:fill="auto"/>
            <w:vAlign w:val="center"/>
            <w:hideMark/>
          </w:tcPr>
          <w:p w:rsidR="00E94330" w:rsidRPr="00E94330" w:rsidRDefault="00E94330" w:rsidP="00E94330">
            <w:pPr>
              <w:spacing w:after="0" w:line="240" w:lineRule="auto"/>
              <w:jc w:val="right"/>
              <w:rPr>
                <w:b/>
                <w:bCs/>
                <w:color w:val="000000"/>
                <w:szCs w:val="22"/>
              </w:rPr>
            </w:pPr>
            <w:r w:rsidRPr="00E94330">
              <w:rPr>
                <w:b/>
                <w:bCs/>
                <w:color w:val="000000"/>
                <w:sz w:val="22"/>
                <w:szCs w:val="22"/>
              </w:rPr>
              <w:t>3 851 776</w:t>
            </w:r>
          </w:p>
        </w:tc>
      </w:tr>
    </w:tbl>
    <w:p w:rsidR="00E94330" w:rsidRDefault="00E94330" w:rsidP="00E94330">
      <w:pPr>
        <w:pStyle w:val="dajepodtabulkou"/>
        <w:ind w:left="1134"/>
      </w:pPr>
      <w:r>
        <w:t>Zdroj: KOVOVÝROBA s. r. o.</w:t>
      </w:r>
    </w:p>
    <w:p w:rsidR="001C0781" w:rsidRPr="001C0781" w:rsidRDefault="001C0781" w:rsidP="00897452">
      <w:pPr>
        <w:pStyle w:val="Titulek"/>
      </w:pPr>
      <w:bookmarkStart w:id="278" w:name="_Ref350445102"/>
      <w:bookmarkStart w:id="279" w:name="_Ref350445093"/>
      <w:bookmarkStart w:id="280" w:name="_Toc353437249"/>
      <w:bookmarkStart w:id="281" w:name="_Toc353438799"/>
      <w:r w:rsidRPr="001C0781">
        <w:lastRenderedPageBreak/>
        <w:t xml:space="preserve">Příloha </w:t>
      </w:r>
      <w:r w:rsidR="00C96C2B">
        <w:fldChar w:fldCharType="begin"/>
      </w:r>
      <w:r w:rsidR="00C96C2B">
        <w:instrText xml:space="preserve"> SEQ Příloha \* ARABIC </w:instrText>
      </w:r>
      <w:r w:rsidR="00C96C2B">
        <w:fldChar w:fldCharType="separate"/>
      </w:r>
      <w:r w:rsidR="002534BA">
        <w:rPr>
          <w:noProof/>
        </w:rPr>
        <w:t>5</w:t>
      </w:r>
      <w:r w:rsidR="00C96C2B">
        <w:rPr>
          <w:noProof/>
        </w:rPr>
        <w:fldChar w:fldCharType="end"/>
      </w:r>
      <w:bookmarkEnd w:id="276"/>
      <w:bookmarkEnd w:id="278"/>
      <w:r w:rsidRPr="001C0781">
        <w:t xml:space="preserve"> Příklady výpočtu ukazatelů likvidity</w:t>
      </w:r>
      <w:bookmarkEnd w:id="271"/>
      <w:bookmarkEnd w:id="277"/>
      <w:bookmarkEnd w:id="279"/>
      <w:bookmarkEnd w:id="280"/>
      <w:bookmarkEnd w:id="281"/>
    </w:p>
    <w:p w:rsidR="009D0A6B" w:rsidRDefault="009D0A6B" w:rsidP="00837C1D">
      <w:pPr>
        <w:pStyle w:val="Odstavecnormln"/>
      </w:pPr>
      <w:r>
        <w:t>Pro výpočet ukazatelů likvidity uvedených v</w:t>
      </w:r>
      <w:r w:rsidR="00A60412">
        <w:t> tabulce 5 Ukazatele likvidity</w:t>
      </w:r>
      <w:r>
        <w:t xml:space="preserve"> na str. </w:t>
      </w:r>
      <w:r>
        <w:fldChar w:fldCharType="begin"/>
      </w:r>
      <w:r>
        <w:instrText xml:space="preserve"> PAGEREF _Ref348632955 \h </w:instrText>
      </w:r>
      <w:r>
        <w:fldChar w:fldCharType="separate"/>
      </w:r>
      <w:r w:rsidR="002534BA">
        <w:rPr>
          <w:noProof/>
        </w:rPr>
        <w:t>25</w:t>
      </w:r>
      <w:r>
        <w:fldChar w:fldCharType="end"/>
      </w:r>
      <w:r w:rsidR="008B7DCA">
        <w:t xml:space="preserve"> </w:t>
      </w:r>
      <w:r>
        <w:t>byl sestaven přehled</w:t>
      </w:r>
      <w:r w:rsidR="00793BAF">
        <w:t xml:space="preserve"> (viz</w:t>
      </w:r>
      <w:r w:rsidR="00A60412">
        <w:t xml:space="preserve"> tabulka 4 Vybrané hodnoty aktiv a pasiv</w:t>
      </w:r>
      <w:r w:rsidR="00793BAF">
        <w:t xml:space="preserve"> na str. </w:t>
      </w:r>
      <w:r w:rsidR="00793BAF">
        <w:fldChar w:fldCharType="begin"/>
      </w:r>
      <w:r w:rsidR="00793BAF">
        <w:instrText xml:space="preserve"> PAGEREF _Ref348551392 \h </w:instrText>
      </w:r>
      <w:r w:rsidR="00793BAF">
        <w:fldChar w:fldCharType="separate"/>
      </w:r>
      <w:r w:rsidR="002534BA">
        <w:rPr>
          <w:noProof/>
        </w:rPr>
        <w:t>24</w:t>
      </w:r>
      <w:r w:rsidR="00793BAF">
        <w:fldChar w:fldCharType="end"/>
      </w:r>
      <w:r w:rsidR="00793BAF">
        <w:t>)</w:t>
      </w:r>
      <w:r>
        <w:t>, ve kterém jsou uvedeny vybrané hodnoty aktiv a pasiv nezbytných pro určení běžné, pohotové a okamžité likvidity v jednotlivých letech zkoumaného období.</w:t>
      </w:r>
    </w:p>
    <w:p w:rsidR="001C0781" w:rsidRDefault="001C0781" w:rsidP="00837C1D">
      <w:pPr>
        <w:pStyle w:val="Odstavecnormln"/>
      </w:pPr>
      <w:r>
        <w:t xml:space="preserve">Ve  vzorcích jsou </w:t>
      </w:r>
      <w:r w:rsidR="009D0A6B">
        <w:t xml:space="preserve">pro přehlednost vedle názvů </w:t>
      </w:r>
      <w:r w:rsidR="00A60412">
        <w:t>proměnných uvedena</w:t>
      </w:r>
      <w:r>
        <w:t xml:space="preserve"> odpovídající čísla řádků z</w:t>
      </w:r>
      <w:r w:rsidR="00A60412">
        <w:t> tabulky 4 Vybrané hodnoty aktiv a pasiv</w:t>
      </w:r>
      <w:r w:rsidR="00793BAF">
        <w:t xml:space="preserve"> na str. </w:t>
      </w:r>
      <w:r w:rsidR="00793BAF">
        <w:fldChar w:fldCharType="begin"/>
      </w:r>
      <w:r w:rsidR="00793BAF">
        <w:instrText xml:space="preserve"> PAGEREF _Ref348551392 \h </w:instrText>
      </w:r>
      <w:r w:rsidR="00793BAF">
        <w:fldChar w:fldCharType="separate"/>
      </w:r>
      <w:r w:rsidR="002534BA">
        <w:rPr>
          <w:noProof/>
        </w:rPr>
        <w:t>24</w:t>
      </w:r>
      <w:r w:rsidR="00793BAF">
        <w:fldChar w:fldCharType="end"/>
      </w:r>
      <w:r w:rsidR="00793BAF">
        <w:t>.</w:t>
      </w:r>
    </w:p>
    <w:p w:rsidR="001C0781" w:rsidRPr="00D05E8D" w:rsidRDefault="00C96C2B" w:rsidP="001C0781">
      <w:pPr>
        <w:rPr>
          <w:b/>
        </w:rPr>
      </w:pPr>
      <m:oMathPara>
        <m:oMathParaPr>
          <m:jc m:val="center"/>
        </m:oMathParaPr>
        <m:oMath>
          <m:sSub>
            <m:sSubPr>
              <m:ctrlPr>
                <w:rPr>
                  <w:rFonts w:ascii="Cambria Math" w:hAnsi="Cambria Math"/>
                  <w:i/>
                </w:rPr>
              </m:ctrlPr>
            </m:sSubPr>
            <m:e>
              <m:r>
                <m:rPr>
                  <m:nor/>
                </m:rPr>
                <m:t>Běžná likvidita</m:t>
              </m:r>
            </m:e>
            <m:sub>
              <m:r>
                <m:rPr>
                  <m:nor/>
                </m:rPr>
                <m:t>2009</m:t>
              </m:r>
            </m:sub>
          </m:sSub>
          <m:r>
            <m:rPr>
              <m:nor/>
            </m:rPr>
            <m:t>=</m:t>
          </m:r>
          <m:f>
            <m:fPr>
              <m:ctrlPr>
                <w:rPr>
                  <w:rFonts w:ascii="Cambria Math" w:hAnsi="Cambria Math"/>
                </w:rPr>
              </m:ctrlPr>
            </m:fPr>
            <m:num>
              <m:r>
                <m:rPr>
                  <m:nor/>
                </m:rPr>
                <m:t>oběžná aktiva (ř. 1)</m:t>
              </m:r>
            </m:num>
            <m:den>
              <m:r>
                <m:rPr>
                  <m:nor/>
                </m:rPr>
                <m:t>krátkodobé závazky (ř. 6)</m:t>
              </m:r>
            </m:den>
          </m:f>
          <m:r>
            <m:rPr>
              <m:nor/>
            </m:rPr>
            <m:t xml:space="preserve">= </m:t>
          </m:r>
          <m:f>
            <m:fPr>
              <m:ctrlPr>
                <w:rPr>
                  <w:rFonts w:ascii="Cambria Math" w:hAnsi="Cambria Math"/>
                </w:rPr>
              </m:ctrlPr>
            </m:fPr>
            <m:num>
              <m:r>
                <m:rPr>
                  <m:nor/>
                </m:rPr>
                <m:t>241.512</m:t>
              </m:r>
            </m:num>
            <m:den>
              <m:r>
                <m:rPr>
                  <m:nor/>
                </m:rPr>
                <m:t>156.014</m:t>
              </m:r>
            </m:den>
          </m:f>
          <m:r>
            <m:rPr>
              <m:nor/>
            </m:rPr>
            <m:t>=</m:t>
          </m:r>
          <m:r>
            <m:rPr>
              <m:nor/>
            </m:rPr>
            <w:rPr>
              <w:b/>
            </w:rPr>
            <m:t>1,55</m:t>
          </m:r>
        </m:oMath>
      </m:oMathPara>
    </w:p>
    <w:p w:rsidR="001C0781" w:rsidRPr="00D05E8D" w:rsidRDefault="00C96C2B" w:rsidP="001C0781">
      <w:pPr>
        <w:rPr>
          <w:rFonts w:ascii="Cambria Math" w:hAnsi="Cambria Math"/>
          <w:oMath/>
        </w:rPr>
      </w:pPr>
      <m:oMathPara>
        <m:oMathParaPr>
          <m:jc m:val="center"/>
        </m:oMathParaPr>
        <m:oMath>
          <m:sSub>
            <m:sSubPr>
              <m:ctrlPr>
                <w:rPr>
                  <w:rFonts w:ascii="Cambria Math" w:hAnsi="Cambria Math"/>
                  <w:i/>
                </w:rPr>
              </m:ctrlPr>
            </m:sSubPr>
            <m:e>
              <m:r>
                <m:rPr>
                  <m:nor/>
                </m:rPr>
                <m:t>Pohotová likvidita</m:t>
              </m:r>
            </m:e>
            <m:sub>
              <m:r>
                <m:rPr>
                  <m:nor/>
                </m:rPr>
                <m:t>2009</m:t>
              </m:r>
            </m:sub>
          </m:sSub>
          <m:r>
            <m:rPr>
              <m:nor/>
            </m:rPr>
            <m:t>=</m:t>
          </m:r>
          <m:f>
            <m:fPr>
              <m:ctrlPr>
                <w:rPr>
                  <w:rFonts w:ascii="Cambria Math" w:hAnsi="Cambria Math"/>
                </w:rPr>
              </m:ctrlPr>
            </m:fPr>
            <m:num>
              <m:r>
                <m:rPr>
                  <m:nor/>
                </m:rPr>
                <m:t>oběžná aktiva</m:t>
              </m:r>
              <m:r>
                <m:rPr>
                  <m:sty m:val="p"/>
                </m:rPr>
                <w:rPr>
                  <w:rFonts w:ascii="Cambria Math" w:hAnsi="Cambria Math"/>
                </w:rPr>
                <m:t xml:space="preserve"> </m:t>
              </m:r>
              <m:d>
                <m:dPr>
                  <m:ctrlPr>
                    <w:rPr>
                      <w:rFonts w:ascii="Cambria Math" w:hAnsi="Cambria Math"/>
                    </w:rPr>
                  </m:ctrlPr>
                </m:dPr>
                <m:e>
                  <m:r>
                    <m:rPr>
                      <m:nor/>
                    </m:rPr>
                    <m:t>ř. 1</m:t>
                  </m:r>
                </m:e>
              </m:d>
              <m:r>
                <m:rPr>
                  <m:nor/>
                </m:rPr>
                <m:t>-zásoby(ř. 2)</m:t>
              </m:r>
            </m:num>
            <m:den>
              <m:r>
                <m:rPr>
                  <m:nor/>
                </m:rPr>
                <m:t>krátkodobé závazky (ř. 6)</m:t>
              </m:r>
            </m:den>
          </m:f>
          <m:r>
            <m:rPr>
              <m:nor/>
            </m:rPr>
            <m:t>=</m:t>
          </m:r>
          <m:r>
            <w:rPr>
              <w:rFonts w:ascii="Cambria Math" w:hAnsi="Cambria Math"/>
            </w:rPr>
            <m:t xml:space="preserve"> </m:t>
          </m:r>
          <m:f>
            <m:fPr>
              <m:ctrlPr>
                <w:rPr>
                  <w:rFonts w:ascii="Cambria Math" w:hAnsi="Cambria Math"/>
                  <w:i/>
                </w:rPr>
              </m:ctrlPr>
            </m:fPr>
            <m:num>
              <m:r>
                <m:rPr>
                  <m:nor/>
                </m:rPr>
                <m:t>241.512-0</m:t>
              </m:r>
            </m:num>
            <m:den>
              <m:r>
                <m:rPr>
                  <m:nor/>
                </m:rPr>
                <m:t>156.014</m:t>
              </m:r>
            </m:den>
          </m:f>
          <m:r>
            <m:rPr>
              <m:nor/>
            </m:rPr>
            <m:t>=</m:t>
          </m:r>
          <m:r>
            <m:rPr>
              <m:nor/>
            </m:rPr>
            <w:rPr>
              <w:b/>
            </w:rPr>
            <m:t>1,55</m:t>
          </m:r>
        </m:oMath>
      </m:oMathPara>
    </w:p>
    <w:p w:rsidR="001C0781" w:rsidRPr="00D46F78" w:rsidRDefault="00C96C2B" w:rsidP="001C0781">
      <m:oMathPara>
        <m:oMathParaPr>
          <m:jc m:val="center"/>
        </m:oMathParaPr>
        <m:oMath>
          <m:sSub>
            <m:sSubPr>
              <m:ctrlPr>
                <w:rPr>
                  <w:rFonts w:ascii="Cambria Math" w:hAnsi="Cambria Math"/>
                  <w:i/>
                </w:rPr>
              </m:ctrlPr>
            </m:sSubPr>
            <m:e>
              <m:r>
                <m:rPr>
                  <m:nor/>
                </m:rPr>
                <m:t>Okamžitá likvidita</m:t>
              </m:r>
            </m:e>
            <m:sub>
              <m:r>
                <m:rPr>
                  <m:nor/>
                </m:rPr>
                <m:t>2009</m:t>
              </m:r>
            </m:sub>
          </m:sSub>
          <m:r>
            <m:rPr>
              <m:nor/>
            </m:rPr>
            <m:t>=</m:t>
          </m:r>
          <m:f>
            <m:fPr>
              <m:ctrlPr>
                <w:rPr>
                  <w:rFonts w:ascii="Cambria Math" w:hAnsi="Cambria Math"/>
                  <w:bCs/>
                </w:rPr>
              </m:ctrlPr>
            </m:fPr>
            <m:num>
              <m:r>
                <m:rPr>
                  <m:nor/>
                </m:rPr>
                <m:t>finanční prostředky</m:t>
              </m:r>
              <m:r>
                <m:rPr>
                  <m:sty m:val="p"/>
                </m:rPr>
                <w:rPr>
                  <w:rFonts w:ascii="Cambria Math" w:hAnsi="Cambria Math"/>
                </w:rPr>
                <m:t xml:space="preserve"> </m:t>
              </m:r>
              <m:d>
                <m:dPr>
                  <m:ctrlPr>
                    <w:rPr>
                      <w:rFonts w:ascii="Cambria Math" w:hAnsi="Cambria Math"/>
                    </w:rPr>
                  </m:ctrlPr>
                </m:dPr>
                <m:e>
                  <m:r>
                    <m:rPr>
                      <m:nor/>
                    </m:rPr>
                    <m:t>ř.  5</m:t>
                  </m:r>
                </m:e>
              </m:d>
            </m:num>
            <m:den>
              <m:r>
                <m:rPr>
                  <m:nor/>
                </m:rPr>
                <m:t>okamžité splatné závazky (ř. 7+ř. 8+ř. 9+ř. 10+ř. 11</m:t>
              </m:r>
              <m:r>
                <m:rPr>
                  <m:sty m:val="p"/>
                </m:rPr>
                <w:rPr>
                  <w:rFonts w:ascii="Cambria Math" w:hAnsi="Cambria Math"/>
                </w:rPr>
                <m:t xml:space="preserve"> </m:t>
              </m:r>
            </m:den>
          </m:f>
        </m:oMath>
      </m:oMathPara>
    </w:p>
    <w:p w:rsidR="001C0781" w:rsidRPr="00702515" w:rsidRDefault="001C0781" w:rsidP="001C0781">
      <w:pPr>
        <w:rPr>
          <w:rFonts w:ascii="Cambria Math" w:hAnsi="Cambria Math"/>
          <w:oMath/>
        </w:rPr>
      </w:pPr>
      <m:oMathPara>
        <m:oMathParaPr>
          <m:jc m:val="center"/>
        </m:oMathParaPr>
        <m:oMath>
          <m:r>
            <m:rPr>
              <m:nor/>
            </m:rPr>
            <m:t>=</m:t>
          </m:r>
          <m:f>
            <m:fPr>
              <m:ctrlPr>
                <w:rPr>
                  <w:rFonts w:ascii="Cambria Math" w:hAnsi="Cambria Math"/>
                  <w:bCs/>
                  <w:i/>
                </w:rPr>
              </m:ctrlPr>
            </m:fPr>
            <m:num>
              <m:r>
                <m:rPr>
                  <m:nor/>
                </m:rPr>
                <m:t>675</m:t>
              </m:r>
            </m:num>
            <m:den>
              <m:eqArr>
                <m:eqArrPr>
                  <m:ctrlPr>
                    <w:rPr>
                      <w:rFonts w:ascii="Cambria Math" w:hAnsi="Cambria Math"/>
                    </w:rPr>
                  </m:ctrlPr>
                </m:eqArrPr>
                <m:e>
                  <m:r>
                    <m:rPr>
                      <m:nor/>
                    </m:rPr>
                    <m:t>78.150+</m:t>
                  </m:r>
                  <m:r>
                    <m:rPr>
                      <m:nor/>
                    </m:rPr>
                    <w:rPr>
                      <w:rFonts w:ascii="Cambria Math"/>
                    </w:rPr>
                    <m:t>59.832</m:t>
                  </m:r>
                  <m:r>
                    <m:rPr>
                      <m:nor/>
                    </m:rPr>
                    <m:t>+0+0+</m:t>
                  </m:r>
                  <m:r>
                    <m:rPr>
                      <m:nor/>
                    </m:rPr>
                    <w:rPr>
                      <w:rFonts w:ascii="Cambria Math"/>
                    </w:rPr>
                    <m:t>0</m:t>
                  </m:r>
                </m:e>
                <m:e/>
              </m:eqArr>
            </m:den>
          </m:f>
          <m:r>
            <m:rPr>
              <m:nor/>
            </m:rPr>
            <m:t>=</m:t>
          </m:r>
          <m:r>
            <m:rPr>
              <m:nor/>
            </m:rPr>
            <w:rPr>
              <w:b/>
            </w:rPr>
            <m:t>0,0</m:t>
          </m:r>
          <m:r>
            <m:rPr>
              <m:nor/>
            </m:rPr>
            <w:rPr>
              <w:rFonts w:ascii="Cambria Math"/>
              <w:b/>
            </w:rPr>
            <m:t>04</m:t>
          </m:r>
        </m:oMath>
      </m:oMathPara>
    </w:p>
    <w:p w:rsidR="001C0781" w:rsidRDefault="00702515" w:rsidP="00897452">
      <w:pPr>
        <w:pStyle w:val="Titulek"/>
      </w:pPr>
      <w:bookmarkStart w:id="282" w:name="_Ref350698706"/>
      <w:bookmarkStart w:id="283" w:name="_Ref348555350"/>
      <w:bookmarkStart w:id="284" w:name="_Toc353437250"/>
      <w:bookmarkStart w:id="285" w:name="_Toc353438800"/>
      <w:r w:rsidRPr="00702515">
        <w:t xml:space="preserve">Příloha </w:t>
      </w:r>
      <w:r w:rsidR="00C96C2B">
        <w:fldChar w:fldCharType="begin"/>
      </w:r>
      <w:r w:rsidR="00C96C2B">
        <w:instrText xml:space="preserve"> SEQ Příloha \* ARABIC </w:instrText>
      </w:r>
      <w:r w:rsidR="00C96C2B">
        <w:fldChar w:fldCharType="separate"/>
      </w:r>
      <w:r w:rsidR="002534BA">
        <w:rPr>
          <w:noProof/>
        </w:rPr>
        <w:t>6</w:t>
      </w:r>
      <w:r w:rsidR="00C96C2B">
        <w:rPr>
          <w:noProof/>
        </w:rPr>
        <w:fldChar w:fldCharType="end"/>
      </w:r>
      <w:bookmarkEnd w:id="282"/>
      <w:r w:rsidR="00B47BF2">
        <w:t xml:space="preserve"> Příklad</w:t>
      </w:r>
      <w:r w:rsidRPr="00702515">
        <w:t xml:space="preserve"> výpočtu čistého pracovního kapitálu</w:t>
      </w:r>
      <w:bookmarkEnd w:id="283"/>
      <w:bookmarkEnd w:id="284"/>
      <w:bookmarkEnd w:id="285"/>
    </w:p>
    <w:p w:rsidR="00702515" w:rsidRDefault="00702515" w:rsidP="00702515">
      <w:pPr>
        <w:rPr>
          <w:u w:val="single"/>
        </w:rPr>
      </w:pPr>
      <w:r w:rsidRPr="00864DF2">
        <w:rPr>
          <w:u w:val="single"/>
        </w:rPr>
        <w:t>Příklad výpočtu:</w:t>
      </w:r>
    </w:p>
    <w:p w:rsidR="00702515" w:rsidRDefault="00702515" w:rsidP="00837C1D">
      <w:pPr>
        <w:pStyle w:val="Odstavecnormln"/>
      </w:pPr>
      <w:r w:rsidRPr="00FB1183">
        <w:t>Pro výpočet byly použity hodnoty uvedené v</w:t>
      </w:r>
      <w:r w:rsidR="00A60412">
        <w:t> tabulce 4 Vybrané hodnoty aktiv a pasiv</w:t>
      </w:r>
      <w:r>
        <w:t xml:space="preserve"> na str. </w:t>
      </w:r>
      <w:r>
        <w:fldChar w:fldCharType="begin"/>
      </w:r>
      <w:r>
        <w:instrText xml:space="preserve"> PAGEREF _Ref348551392 \h </w:instrText>
      </w:r>
      <w:r>
        <w:fldChar w:fldCharType="separate"/>
      </w:r>
      <w:r w:rsidR="002534BA">
        <w:rPr>
          <w:noProof/>
        </w:rPr>
        <w:t>24</w:t>
      </w:r>
      <w:r>
        <w:fldChar w:fldCharType="end"/>
      </w:r>
      <w:r w:rsidR="008B7DCA">
        <w:t>.</w:t>
      </w:r>
    </w:p>
    <w:p w:rsidR="00C63680" w:rsidRPr="00D05E8D" w:rsidRDefault="00C96C2B" w:rsidP="00702515">
      <w:pPr>
        <w:rPr>
          <w:b/>
        </w:rPr>
      </w:pPr>
      <m:oMathPara>
        <m:oMathParaPr>
          <m:jc m:val="center"/>
        </m:oMathParaPr>
        <m:oMath>
          <m:sSub>
            <m:sSubPr>
              <m:ctrlPr>
                <w:rPr>
                  <w:rFonts w:ascii="Cambria Math" w:hAnsi="Cambria Math"/>
                </w:rPr>
              </m:ctrlPr>
            </m:sSubPr>
            <m:e>
              <m:r>
                <m:rPr>
                  <m:nor/>
                </m:rPr>
                <m:t>Čistý pracovní kapitál</m:t>
              </m:r>
            </m:e>
            <m:sub>
              <m:r>
                <m:rPr>
                  <m:nor/>
                </m:rPr>
                <m:t>2009</m:t>
              </m:r>
            </m:sub>
          </m:sSub>
          <m:r>
            <m:rPr>
              <m:nor/>
            </m:rPr>
            <m:t>= Celková oběžná aktiva</m:t>
          </m:r>
          <m:r>
            <w:rPr>
              <w:rFonts w:ascii="Cambria Math" w:hAnsi="Cambria Math"/>
            </w:rPr>
            <m:t xml:space="preserve"> </m:t>
          </m:r>
          <m:d>
            <m:dPr>
              <m:ctrlPr>
                <w:rPr>
                  <w:rFonts w:ascii="Cambria Math" w:hAnsi="Cambria Math"/>
                  <w:i/>
                </w:rPr>
              </m:ctrlPr>
            </m:dPr>
            <m:e>
              <m:r>
                <m:rPr>
                  <m:nor/>
                </m:rPr>
                <m:t>ř. 1</m:t>
              </m:r>
            </m:e>
          </m:d>
          <m:r>
            <m:rPr>
              <m:nor/>
            </m:rPr>
            <m:t>-celkové krátkodobé závazky</m:t>
          </m:r>
          <m:d>
            <m:dPr>
              <m:ctrlPr>
                <w:rPr>
                  <w:rFonts w:ascii="Cambria Math" w:hAnsi="Cambria Math"/>
                  <w:i/>
                </w:rPr>
              </m:ctrlPr>
            </m:dPr>
            <m:e>
              <m:r>
                <m:rPr>
                  <m:nor/>
                </m:rPr>
                <m:t>ř. 6</m:t>
              </m:r>
            </m:e>
          </m:d>
          <m:r>
            <w:rPr>
              <w:rFonts w:ascii="Cambria Math" w:hAnsi="Cambria Math"/>
            </w:rPr>
            <m:t xml:space="preserve"> = </m:t>
          </m:r>
          <m:r>
            <m:rPr>
              <m:nor/>
            </m:rPr>
            <m:t>241.512 -156.014=</m:t>
          </m:r>
          <m:r>
            <m:rPr>
              <m:nor/>
            </m:rPr>
            <w:rPr>
              <w:b/>
            </w:rPr>
            <m:t>85.498</m:t>
          </m:r>
        </m:oMath>
      </m:oMathPara>
    </w:p>
    <w:p w:rsidR="00C63680" w:rsidRDefault="00C63680">
      <w:pPr>
        <w:spacing w:after="200" w:line="276" w:lineRule="auto"/>
        <w:jc w:val="left"/>
        <w:rPr>
          <w:b/>
        </w:rPr>
      </w:pPr>
      <w:r>
        <w:rPr>
          <w:b/>
        </w:rPr>
        <w:br w:type="page"/>
      </w:r>
    </w:p>
    <w:p w:rsidR="00702515" w:rsidRDefault="00951E23" w:rsidP="00897452">
      <w:pPr>
        <w:pStyle w:val="Titulek"/>
      </w:pPr>
      <w:bookmarkStart w:id="286" w:name="_Ref350449834"/>
      <w:bookmarkStart w:id="287" w:name="_Ref348555530"/>
      <w:bookmarkStart w:id="288" w:name="_Toc353437251"/>
      <w:bookmarkStart w:id="289" w:name="_Toc353438801"/>
      <w:r w:rsidRPr="00951E23">
        <w:lastRenderedPageBreak/>
        <w:t xml:space="preserve">Příloha </w:t>
      </w:r>
      <w:r w:rsidR="00C96C2B">
        <w:fldChar w:fldCharType="begin"/>
      </w:r>
      <w:r w:rsidR="00C96C2B">
        <w:instrText xml:space="preserve"> SEQ Příloha \* ARABIC </w:instrText>
      </w:r>
      <w:r w:rsidR="00C96C2B">
        <w:fldChar w:fldCharType="separate"/>
      </w:r>
      <w:r w:rsidR="002534BA">
        <w:rPr>
          <w:noProof/>
        </w:rPr>
        <w:t>7</w:t>
      </w:r>
      <w:r w:rsidR="00C96C2B">
        <w:rPr>
          <w:noProof/>
        </w:rPr>
        <w:fldChar w:fldCharType="end"/>
      </w:r>
      <w:bookmarkEnd w:id="286"/>
      <w:r w:rsidRPr="00951E23">
        <w:t xml:space="preserve"> Příklady výpočtu rychlosti obratu zásob a doby obratu zásob</w:t>
      </w:r>
      <w:bookmarkEnd w:id="287"/>
      <w:bookmarkEnd w:id="288"/>
      <w:bookmarkEnd w:id="289"/>
    </w:p>
    <w:p w:rsidR="007E0959" w:rsidRPr="007E0959" w:rsidRDefault="007E0959" w:rsidP="00837C1D">
      <w:pPr>
        <w:pStyle w:val="Odstavecnormln"/>
      </w:pPr>
      <w:r>
        <w:t xml:space="preserve">Pro výpočet byly použity hodnoty uvedené v tabulce </w:t>
      </w:r>
      <w:r w:rsidR="00A60412">
        <w:t>7 Vybrané hodnoty z účetnictví a výkazů rozvah</w:t>
      </w:r>
      <w:r>
        <w:t xml:space="preserve"> na str. </w:t>
      </w:r>
      <w:r>
        <w:fldChar w:fldCharType="begin"/>
      </w:r>
      <w:r>
        <w:instrText xml:space="preserve"> PAGEREF _Ref352358875 \h </w:instrText>
      </w:r>
      <w:r>
        <w:fldChar w:fldCharType="separate"/>
      </w:r>
      <w:r w:rsidR="002534BA">
        <w:rPr>
          <w:noProof/>
        </w:rPr>
        <w:t>27</w:t>
      </w:r>
      <w:r>
        <w:fldChar w:fldCharType="end"/>
      </w:r>
      <w:r>
        <w:t>.</w:t>
      </w:r>
    </w:p>
    <w:p w:rsidR="00951E23" w:rsidRDefault="00951E23" w:rsidP="00951E23">
      <w:pPr>
        <w:rPr>
          <w:u w:val="single"/>
        </w:rPr>
      </w:pPr>
      <w:r w:rsidRPr="00B33F21">
        <w:rPr>
          <w:u w:val="single"/>
        </w:rPr>
        <w:t>Příklad výpočtu:</w:t>
      </w:r>
    </w:p>
    <w:p w:rsidR="00951E23" w:rsidRPr="00D05E8D" w:rsidRDefault="00951E23" w:rsidP="00951E23">
      <w:pPr>
        <w:rPr>
          <w:rFonts w:ascii="Cambria Math" w:hAnsi="Cambria Math"/>
          <w:oMath/>
        </w:rPr>
      </w:pPr>
      <m:oMathPara>
        <m:oMathParaPr>
          <m:jc m:val="center"/>
        </m:oMathParaPr>
        <m:oMath>
          <m:r>
            <m:rPr>
              <m:nor/>
            </m:rPr>
            <m:t>rychlost obratu zásob =</m:t>
          </m:r>
          <m:r>
            <w:rPr>
              <w:rFonts w:ascii="Cambria Math" w:hAnsi="Cambria Math"/>
            </w:rPr>
            <m:t xml:space="preserve"> </m:t>
          </m:r>
          <m:f>
            <m:fPr>
              <m:ctrlPr>
                <w:rPr>
                  <w:rFonts w:ascii="Cambria Math" w:hAnsi="Cambria Math"/>
                  <w:i/>
                </w:rPr>
              </m:ctrlPr>
            </m:fPr>
            <m:num>
              <m:r>
                <m:rPr>
                  <m:nor/>
                </m:rPr>
                <m:t>tržby</m:t>
              </m:r>
            </m:num>
            <m:den>
              <m:r>
                <m:rPr>
                  <m:nor/>
                </m:rPr>
                <m:t>zásoby</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color w:val="000000"/>
                  <w:sz w:val="22"/>
                  <w:szCs w:val="22"/>
                </w:rPr>
                <m:t>4 137 504</m:t>
              </m:r>
            </m:num>
            <m:den>
              <m:r>
                <m:rPr>
                  <m:sty m:val="p"/>
                </m:rPr>
                <w:rPr>
                  <w:rFonts w:ascii="Cambria Math" w:hAnsi="Cambria Math"/>
                  <w:color w:val="000000"/>
                  <w:sz w:val="22"/>
                  <w:szCs w:val="22"/>
                </w:rPr>
                <m:t>625 600</m:t>
              </m:r>
            </m:den>
          </m:f>
          <m:r>
            <m:rPr>
              <m:sty m:val="p"/>
            </m:rPr>
            <w:rPr>
              <w:rFonts w:ascii="Cambria Math" w:hAnsi="Cambria Math"/>
            </w:rPr>
            <m:t>=</m:t>
          </m:r>
          <m:r>
            <m:rPr>
              <m:sty m:val="b"/>
            </m:rPr>
            <w:rPr>
              <w:rFonts w:ascii="Cambria Math" w:hAnsi="Cambria Math"/>
            </w:rPr>
            <m:t>6,61</m:t>
          </m:r>
        </m:oMath>
      </m:oMathPara>
    </w:p>
    <w:p w:rsidR="00951E23" w:rsidRPr="00D05E8D" w:rsidRDefault="00C96C2B" w:rsidP="00951E23">
      <w:pPr>
        <w:rPr>
          <w:rFonts w:ascii="Cambria Math" w:hAnsi="Cambria Math"/>
          <w:oMath/>
        </w:rPr>
      </w:pPr>
      <m:oMathPara>
        <m:oMathParaPr>
          <m:jc m:val="center"/>
        </m:oMathParaPr>
        <m:oMath>
          <m:sSub>
            <m:sSubPr>
              <m:ctrlPr>
                <w:rPr>
                  <w:rFonts w:ascii="Cambria Math" w:hAnsi="Cambria Math"/>
                  <w:i/>
                </w:rPr>
              </m:ctrlPr>
            </m:sSubPr>
            <m:e>
              <m:r>
                <m:rPr>
                  <m:nor/>
                </m:rPr>
                <m:t>doba obratu zásob</m:t>
              </m:r>
            </m:e>
            <m:sub>
              <m:r>
                <m:rPr>
                  <m:nor/>
                </m:rPr>
                <m:t>2010</m:t>
              </m:r>
            </m:sub>
          </m:sSub>
          <m:r>
            <m:rPr>
              <m:nor/>
            </m:rPr>
            <m:t>=</m:t>
          </m:r>
          <m:r>
            <w:rPr>
              <w:rFonts w:ascii="Cambria Math" w:hAnsi="Cambria Math"/>
            </w:rPr>
            <m:t xml:space="preserve"> </m:t>
          </m:r>
          <m:f>
            <m:fPr>
              <m:ctrlPr>
                <w:rPr>
                  <w:rFonts w:ascii="Cambria Math" w:hAnsi="Cambria Math"/>
                  <w:i/>
                </w:rPr>
              </m:ctrlPr>
            </m:fPr>
            <m:num>
              <m:r>
                <m:rPr>
                  <m:nor/>
                </m:rPr>
                <m:t>zásoby</m:t>
              </m:r>
            </m:num>
            <m:den>
              <m:r>
                <m:rPr>
                  <m:nor/>
                </m:rPr>
                <m:t>celkové náklady/365</m:t>
              </m:r>
            </m:den>
          </m:f>
          <m:r>
            <m:rPr>
              <m:nor/>
            </m:rPr>
            <m:t>=</m:t>
          </m:r>
          <m:r>
            <w:rPr>
              <w:rFonts w:ascii="Cambria Math" w:hAnsi="Cambria Math"/>
            </w:rPr>
            <m:t xml:space="preserve"> </m:t>
          </m:r>
          <m:f>
            <m:fPr>
              <m:ctrlPr>
                <w:rPr>
                  <w:rFonts w:ascii="Cambria Math" w:hAnsi="Cambria Math"/>
                  <w:i/>
                </w:rPr>
              </m:ctrlPr>
            </m:fPr>
            <m:num>
              <m:r>
                <m:rPr>
                  <m:nor/>
                </m:rPr>
                <m:t>625.600</m:t>
              </m:r>
            </m:num>
            <m:den>
              <m:f>
                <m:fPr>
                  <m:ctrlPr>
                    <w:rPr>
                      <w:rFonts w:ascii="Cambria Math" w:hAnsi="Cambria Math"/>
                      <w:i/>
                    </w:rPr>
                  </m:ctrlPr>
                </m:fPr>
                <m:num>
                  <m:r>
                    <m:rPr>
                      <m:nor/>
                    </m:rPr>
                    <m:t>4.820.228</m:t>
                  </m:r>
                </m:num>
                <m:den>
                  <m:r>
                    <m:rPr>
                      <m:nor/>
                    </m:rPr>
                    <m:t>365</m:t>
                  </m:r>
                </m:den>
              </m:f>
            </m:den>
          </m:f>
          <m:r>
            <m:rPr>
              <m:nor/>
            </m:rPr>
            <m:t xml:space="preserve">= </m:t>
          </m:r>
          <m:r>
            <m:rPr>
              <m:nor/>
            </m:rPr>
            <w:rPr>
              <w:b/>
            </w:rPr>
            <m:t>47,37</m:t>
          </m:r>
        </m:oMath>
      </m:oMathPara>
    </w:p>
    <w:p w:rsidR="00951E23" w:rsidRDefault="001C2E79" w:rsidP="00897452">
      <w:pPr>
        <w:pStyle w:val="Titulek"/>
      </w:pPr>
      <w:bookmarkStart w:id="290" w:name="_Ref350449852"/>
      <w:bookmarkStart w:id="291" w:name="_Ref348635177"/>
      <w:bookmarkStart w:id="292" w:name="_Toc353437252"/>
      <w:bookmarkStart w:id="293" w:name="_Toc353438802"/>
      <w:r w:rsidRPr="001C2E79">
        <w:t xml:space="preserve">Příloha </w:t>
      </w:r>
      <w:r w:rsidR="00C96C2B">
        <w:fldChar w:fldCharType="begin"/>
      </w:r>
      <w:r w:rsidR="00C96C2B">
        <w:instrText xml:space="preserve"> SEQ Příloha \* ARABIC </w:instrText>
      </w:r>
      <w:r w:rsidR="00C96C2B">
        <w:fldChar w:fldCharType="separate"/>
      </w:r>
      <w:r w:rsidR="002534BA">
        <w:rPr>
          <w:noProof/>
        </w:rPr>
        <w:t>8</w:t>
      </w:r>
      <w:r w:rsidR="00C96C2B">
        <w:rPr>
          <w:noProof/>
        </w:rPr>
        <w:fldChar w:fldCharType="end"/>
      </w:r>
      <w:bookmarkEnd w:id="290"/>
      <w:r w:rsidRPr="001C2E79">
        <w:t xml:space="preserve"> Příklady výpočtu </w:t>
      </w:r>
      <w:r w:rsidR="008636BE">
        <w:t>doby obratu pohledávek</w:t>
      </w:r>
      <w:r w:rsidRPr="001C2E79">
        <w:t xml:space="preserve"> a doby obratu </w:t>
      </w:r>
      <w:bookmarkEnd w:id="291"/>
      <w:r w:rsidR="008636BE">
        <w:t>závazků</w:t>
      </w:r>
      <w:bookmarkEnd w:id="292"/>
      <w:bookmarkEnd w:id="293"/>
    </w:p>
    <w:p w:rsidR="001C2E79" w:rsidRPr="001C2E79" w:rsidRDefault="001C2E79" w:rsidP="00837C1D">
      <w:pPr>
        <w:pStyle w:val="Odstavecnormln"/>
      </w:pPr>
      <w:r>
        <w:t>Pro výpočet doby obratu pohledávek</w:t>
      </w:r>
      <w:r w:rsidR="00F74563">
        <w:t xml:space="preserve"> </w:t>
      </w:r>
      <w:r w:rsidR="008636BE">
        <w:t xml:space="preserve">a doby obratu závazků </w:t>
      </w:r>
      <w:r w:rsidR="00F74563">
        <w:t>byly použity hodnoty uvedené v</w:t>
      </w:r>
      <w:r w:rsidR="00A60412">
        <w:t> tabulce 7 Vybrané hodnoty z účetnictví a výkazů rozvah</w:t>
      </w:r>
      <w:r w:rsidR="00F74563">
        <w:t xml:space="preserve"> </w:t>
      </w:r>
      <w:r>
        <w:t xml:space="preserve">na str. </w:t>
      </w:r>
      <w:r>
        <w:fldChar w:fldCharType="begin"/>
      </w:r>
      <w:r>
        <w:instrText xml:space="preserve"> PAGEREF _Ref348634233 \h </w:instrText>
      </w:r>
      <w:r>
        <w:fldChar w:fldCharType="separate"/>
      </w:r>
      <w:r w:rsidR="002534BA">
        <w:rPr>
          <w:noProof/>
        </w:rPr>
        <w:t>27</w:t>
      </w:r>
      <w:r>
        <w:fldChar w:fldCharType="end"/>
      </w:r>
      <w:r>
        <w:t>.</w:t>
      </w:r>
    </w:p>
    <w:p w:rsidR="001C2E79" w:rsidRPr="00D05E8D" w:rsidRDefault="00C96C2B" w:rsidP="001C2E79">
      <w:pPr>
        <w:rPr>
          <w:oMath/>
        </w:rPr>
      </w:pPr>
      <m:oMathPara>
        <m:oMathParaPr>
          <m:jc m:val="center"/>
        </m:oMathParaPr>
        <m:oMath>
          <m:sSub>
            <m:sSubPr>
              <m:ctrlPr>
                <w:rPr>
                  <w:rFonts w:ascii="Cambria Math" w:hAnsi="Cambria Math"/>
                </w:rPr>
              </m:ctrlPr>
            </m:sSubPr>
            <m:e>
              <m:r>
                <m:rPr>
                  <m:nor/>
                </m:rPr>
                <m:t>Doba obratu pohledávek</m:t>
              </m:r>
            </m:e>
            <m:sub>
              <m:r>
                <m:rPr>
                  <m:nor/>
                </m:rPr>
                <m:t>2009</m:t>
              </m:r>
            </m:sub>
          </m:sSub>
          <m:r>
            <m:rPr>
              <m:nor/>
            </m:rPr>
            <m:t>=</m:t>
          </m:r>
          <m:r>
            <w:rPr>
              <w:rFonts w:ascii="Cambria Math" w:hAnsi="Cambria Math"/>
            </w:rPr>
            <m:t xml:space="preserve"> </m:t>
          </m:r>
          <m:f>
            <m:fPr>
              <m:ctrlPr>
                <w:rPr>
                  <w:rFonts w:ascii="Cambria Math" w:hAnsi="Cambria Math"/>
                  <w:i/>
                </w:rPr>
              </m:ctrlPr>
            </m:fPr>
            <m:num>
              <m:r>
                <m:rPr>
                  <m:nor/>
                </m:rPr>
                <m:t>pohledávky</m:t>
              </m:r>
              <m:r>
                <m:rPr>
                  <m:nor/>
                </m:rPr>
                <w:rPr>
                  <w:rFonts w:ascii="Cambria Math"/>
                </w:rPr>
                <m:t xml:space="preserve"> (</m:t>
              </m:r>
              <m:r>
                <m:rPr>
                  <m:nor/>
                </m:rPr>
                <w:rPr>
                  <w:rFonts w:ascii="Cambria Math"/>
                </w:rPr>
                <m:t>ř</m:t>
              </m:r>
              <m:r>
                <m:rPr>
                  <m:nor/>
                </m:rPr>
                <w:rPr>
                  <w:rFonts w:ascii="Cambria Math"/>
                </w:rPr>
                <m:t>. 2)</m:t>
              </m:r>
            </m:num>
            <m:den>
              <m:r>
                <m:rPr>
                  <m:nor/>
                </m:rPr>
                <m:t>tržby</m:t>
              </m:r>
              <m:r>
                <m:rPr>
                  <m:nor/>
                </m:rPr>
                <w:rPr>
                  <w:rFonts w:ascii="Cambria Math"/>
                </w:rPr>
                <m:t xml:space="preserve"> (</m:t>
              </m:r>
              <m:r>
                <m:rPr>
                  <m:nor/>
                </m:rPr>
                <w:rPr>
                  <w:rFonts w:ascii="Cambria Math"/>
                </w:rPr>
                <m:t>ř</m:t>
              </m:r>
              <m:r>
                <m:rPr>
                  <m:nor/>
                </m:rPr>
                <w:rPr>
                  <w:rFonts w:ascii="Cambria Math"/>
                </w:rPr>
                <m:t xml:space="preserve">. 6) </m:t>
              </m:r>
              <m:r>
                <m:rPr>
                  <m:nor/>
                </m:rPr>
                <m:t>/</m:t>
              </m:r>
              <m:r>
                <m:rPr>
                  <m:nor/>
                </m:rPr>
                <w:rPr>
                  <w:rFonts w:ascii="Cambria Math"/>
                </w:rPr>
                <m:t xml:space="preserve"> </m:t>
              </m:r>
              <m:r>
                <m:rPr>
                  <m:nor/>
                </m:rPr>
                <m:t>365</m:t>
              </m:r>
            </m:den>
          </m:f>
          <m:r>
            <m:rPr>
              <m:nor/>
            </m:rPr>
            <m:t>=</m:t>
          </m:r>
          <m:f>
            <m:fPr>
              <m:ctrlPr>
                <w:rPr>
                  <w:rFonts w:ascii="Cambria Math" w:hAnsi="Cambria Math"/>
                </w:rPr>
              </m:ctrlPr>
            </m:fPr>
            <m:num>
              <m:r>
                <m:rPr>
                  <m:nor/>
                </m:rPr>
                <m:t>240.838</m:t>
              </m:r>
            </m:num>
            <m:den>
              <m:r>
                <m:rPr>
                  <m:nor/>
                </m:rPr>
                <m:t>205.462/365</m:t>
              </m:r>
            </m:den>
          </m:f>
          <m:r>
            <m:rPr>
              <m:nor/>
            </m:rPr>
            <m:t>=</m:t>
          </m:r>
          <m:r>
            <m:rPr>
              <m:nor/>
            </m:rPr>
            <w:rPr>
              <w:b/>
            </w:rPr>
            <m:t>427,84</m:t>
          </m:r>
        </m:oMath>
      </m:oMathPara>
    </w:p>
    <w:p w:rsidR="00BB7EDF" w:rsidRPr="00D05E8D" w:rsidRDefault="00C96C2B" w:rsidP="0070363E">
      <m:oMathPara>
        <m:oMathParaPr>
          <m:jc m:val="center"/>
        </m:oMathParaPr>
        <m:oMath>
          <m:sSub>
            <m:sSubPr>
              <m:ctrlPr>
                <w:rPr>
                  <w:rFonts w:ascii="Cambria Math" w:hAnsi="Cambria Math"/>
                </w:rPr>
              </m:ctrlPr>
            </m:sSubPr>
            <m:e>
              <m:r>
                <m:rPr>
                  <m:nor/>
                </m:rPr>
                <w:rPr>
                  <w:rFonts w:ascii="Cambria Math" w:hAnsi="Cambria Math"/>
                </w:rPr>
                <m:t>Doba obratu závazků</m:t>
              </m:r>
            </m:e>
            <m:sub>
              <m:r>
                <m:rPr>
                  <m:nor/>
                </m:rPr>
                <w:rPr>
                  <w:rFonts w:ascii="Cambria Math" w:hAnsi="Cambria Math"/>
                </w:rPr>
                <m:t>2009</m:t>
              </m:r>
            </m:sub>
          </m:sSub>
          <m:r>
            <m:rPr>
              <m:nor/>
            </m:rPr>
            <m:t>=</m:t>
          </m:r>
          <m:f>
            <m:fPr>
              <m:ctrlPr>
                <w:rPr>
                  <w:rFonts w:ascii="Cambria Math" w:hAnsi="Cambria Math"/>
                  <w:i/>
                </w:rPr>
              </m:ctrlPr>
            </m:fPr>
            <m:num>
              <m:r>
                <m:rPr>
                  <m:nor/>
                </m:rPr>
                <m:t>závazky vůči dodavatelům</m:t>
              </m:r>
              <m:r>
                <m:rPr>
                  <m:nor/>
                </m:rPr>
                <w:rPr>
                  <w:rFonts w:ascii="Cambria Math"/>
                </w:rPr>
                <m:t xml:space="preserve"> (</m:t>
              </m:r>
              <m:r>
                <m:rPr>
                  <m:nor/>
                </m:rPr>
                <w:rPr>
                  <w:rFonts w:ascii="Cambria Math"/>
                </w:rPr>
                <m:t>ř</m:t>
              </m:r>
              <m:r>
                <m:rPr>
                  <m:nor/>
                </m:rPr>
                <w:rPr>
                  <w:rFonts w:ascii="Cambria Math"/>
                </w:rPr>
                <m:t xml:space="preserve">. 3 + </m:t>
              </m:r>
              <m:r>
                <m:rPr>
                  <m:nor/>
                </m:rPr>
                <w:rPr>
                  <w:rFonts w:ascii="Cambria Math"/>
                </w:rPr>
                <m:t>ř</m:t>
              </m:r>
              <m:r>
                <m:rPr>
                  <m:nor/>
                </m:rPr>
                <w:rPr>
                  <w:rFonts w:ascii="Cambria Math"/>
                </w:rPr>
                <m:t>. 4)</m:t>
              </m:r>
            </m:num>
            <m:den>
              <m:r>
                <m:rPr>
                  <m:nor/>
                </m:rPr>
                <m:t>tržby na fakturu</m:t>
              </m:r>
              <m:r>
                <m:rPr>
                  <m:nor/>
                </m:rPr>
                <w:rPr>
                  <w:rFonts w:ascii="Cambria Math"/>
                </w:rPr>
                <m:t xml:space="preserve"> (</m:t>
              </m:r>
              <m:r>
                <m:rPr>
                  <m:nor/>
                </m:rPr>
                <w:rPr>
                  <w:rFonts w:ascii="Cambria Math"/>
                </w:rPr>
                <m:t>ř</m:t>
              </m:r>
              <m:r>
                <m:rPr>
                  <m:nor/>
                </m:rPr>
                <w:rPr>
                  <w:rFonts w:ascii="Cambria Math"/>
                </w:rPr>
                <m:t xml:space="preserve">. 5) </m:t>
              </m:r>
              <m:r>
                <m:rPr>
                  <m:nor/>
                </m:rPr>
                <m:t>/</m:t>
              </m:r>
              <m:r>
                <m:rPr>
                  <m:nor/>
                </m:rPr>
                <w:rPr>
                  <w:rFonts w:ascii="Cambria Math"/>
                </w:rPr>
                <m:t xml:space="preserve"> </m:t>
              </m:r>
              <m:r>
                <m:rPr>
                  <m:nor/>
                </m:rPr>
                <m:t>36</m:t>
              </m:r>
              <m:r>
                <m:rPr>
                  <m:nor/>
                </m:rPr>
                <w:rPr>
                  <w:rFonts w:ascii="Cambria Math"/>
                </w:rPr>
                <m:t>5</m:t>
              </m:r>
            </m:den>
          </m:f>
          <m:r>
            <m:rPr>
              <m:nor/>
            </m:rPr>
            <w:rPr>
              <w:rFonts w:ascii="Cambria Math" w:hAnsi="Cambria Math"/>
            </w:rPr>
            <m:t>=</m:t>
          </m:r>
          <m:r>
            <w:rPr>
              <w:rFonts w:ascii="Cambria Math" w:hAnsi="Cambria Math"/>
            </w:rPr>
            <m:t xml:space="preserve"> </m:t>
          </m:r>
        </m:oMath>
      </m:oMathPara>
    </w:p>
    <w:p w:rsidR="0070363E" w:rsidRPr="00D05E8D" w:rsidRDefault="00BB7EDF" w:rsidP="0070363E">
      <w:pPr>
        <w:rPr>
          <w:oMath/>
        </w:rPr>
      </w:pPr>
      <m:oMathPara>
        <m:oMathParaPr>
          <m:jc m:val="center"/>
        </m:oMathParaPr>
        <m:oMath>
          <m:r>
            <w:rPr>
              <w:rFonts w:ascii="Cambria Math" w:hAnsi="Cambria Math"/>
            </w:rPr>
            <m:t xml:space="preserve">= </m:t>
          </m:r>
          <m:f>
            <m:fPr>
              <m:ctrlPr>
                <w:rPr>
                  <w:rFonts w:ascii="Cambria Math" w:hAnsi="Cambria Math"/>
                  <w:i/>
                </w:rPr>
              </m:ctrlPr>
            </m:fPr>
            <m:num>
              <m:r>
                <m:rPr>
                  <m:nor/>
                </m:rPr>
                <w:rPr>
                  <w:rFonts w:ascii="Cambria Math" w:hAnsi="Cambria Math"/>
                </w:rPr>
                <m:t>78.150 + 0</m:t>
              </m:r>
            </m:num>
            <m:den>
              <m:r>
                <m:rPr>
                  <m:nor/>
                </m:rPr>
                <w:rPr>
                  <w:rFonts w:ascii="Cambria Math" w:hAnsi="Cambria Math"/>
                </w:rPr>
                <m:t>205.462/365</m:t>
              </m:r>
            </m:den>
          </m:f>
          <m:r>
            <m:rPr>
              <m:nor/>
            </m:rPr>
            <w:rPr>
              <w:rFonts w:ascii="Cambria Math" w:hAnsi="Cambria Math"/>
            </w:rPr>
            <m:t>=</m:t>
          </m:r>
          <m:r>
            <m:rPr>
              <m:nor/>
            </m:rPr>
            <w:rPr>
              <w:rFonts w:ascii="Cambria Math" w:hAnsi="Cambria Math"/>
              <w:b/>
            </w:rPr>
            <m:t>138,83</m:t>
          </m:r>
        </m:oMath>
      </m:oMathPara>
    </w:p>
    <w:p w:rsidR="0070363E" w:rsidRDefault="000A3D75" w:rsidP="00897452">
      <w:pPr>
        <w:pStyle w:val="Titulek"/>
      </w:pPr>
      <w:bookmarkStart w:id="294" w:name="_Ref348815387"/>
      <w:bookmarkStart w:id="295" w:name="_Ref348815397"/>
      <w:bookmarkStart w:id="296" w:name="_Toc353437253"/>
      <w:bookmarkStart w:id="297" w:name="_Toc353438803"/>
      <w:r w:rsidRPr="000A3D75">
        <w:t xml:space="preserve">Příloha </w:t>
      </w:r>
      <w:r w:rsidR="00C96C2B">
        <w:fldChar w:fldCharType="begin"/>
      </w:r>
      <w:r w:rsidR="00C96C2B">
        <w:instrText xml:space="preserve"> SEQ Příloha \* ARABIC </w:instrText>
      </w:r>
      <w:r w:rsidR="00C96C2B">
        <w:fldChar w:fldCharType="separate"/>
      </w:r>
      <w:r w:rsidR="002534BA">
        <w:rPr>
          <w:noProof/>
        </w:rPr>
        <w:t>9</w:t>
      </w:r>
      <w:r w:rsidR="00C96C2B">
        <w:rPr>
          <w:noProof/>
        </w:rPr>
        <w:fldChar w:fldCharType="end"/>
      </w:r>
      <w:bookmarkEnd w:id="294"/>
      <w:r w:rsidRPr="000A3D75">
        <w:t xml:space="preserve"> Příklad výpočtu ukazatele věřitelského r</w:t>
      </w:r>
      <w:r w:rsidR="00733768">
        <w:t>i</w:t>
      </w:r>
      <w:r w:rsidRPr="000A3D75">
        <w:t>zika</w:t>
      </w:r>
      <w:bookmarkEnd w:id="295"/>
      <w:bookmarkEnd w:id="296"/>
      <w:bookmarkEnd w:id="297"/>
    </w:p>
    <w:p w:rsidR="006A0E8A" w:rsidRPr="006A0E8A" w:rsidRDefault="006A0E8A" w:rsidP="00837C1D">
      <w:pPr>
        <w:pStyle w:val="Odstavecnormln"/>
      </w:pPr>
      <w:r>
        <w:t>Pro výpočet byly použity hodnoty uvedené v</w:t>
      </w:r>
      <w:r w:rsidR="00B14A69">
        <w:t> </w:t>
      </w:r>
      <w:r>
        <w:t>tabulce</w:t>
      </w:r>
      <w:r w:rsidR="00B14A69">
        <w:t xml:space="preserve"> 10 Porovnání celkových aktiv a cizích zdrojů</w:t>
      </w:r>
      <w:r>
        <w:t xml:space="preserve"> na str. </w:t>
      </w:r>
      <w:r>
        <w:fldChar w:fldCharType="begin"/>
      </w:r>
      <w:r>
        <w:instrText xml:space="preserve"> PAGEREF _Ref348814018 \h </w:instrText>
      </w:r>
      <w:r>
        <w:fldChar w:fldCharType="separate"/>
      </w:r>
      <w:r w:rsidR="002534BA">
        <w:rPr>
          <w:noProof/>
        </w:rPr>
        <w:t>29</w:t>
      </w:r>
      <w:r>
        <w:fldChar w:fldCharType="end"/>
      </w:r>
      <w:r>
        <w:t>.</w:t>
      </w:r>
    </w:p>
    <w:p w:rsidR="000A3D75" w:rsidRPr="00A1547F" w:rsidRDefault="000A3D75" w:rsidP="000A3D75">
      <w:pPr>
        <w:rPr>
          <w:oMath/>
        </w:rPr>
      </w:pPr>
      <m:oMathPara>
        <m:oMath>
          <m:r>
            <m:rPr>
              <m:nor/>
            </m:rPr>
            <m:t>Ukazatel věřitelského rizika=</m:t>
          </m:r>
          <m:r>
            <w:rPr>
              <w:rFonts w:ascii="Cambria Math" w:hAnsi="Cambria Math"/>
            </w:rPr>
            <m:t xml:space="preserve"> </m:t>
          </m:r>
          <m:f>
            <m:fPr>
              <m:ctrlPr>
                <w:rPr>
                  <w:rFonts w:ascii="Cambria Math" w:hAnsi="Cambria Math"/>
                  <w:i/>
                </w:rPr>
              </m:ctrlPr>
            </m:fPr>
            <m:num>
              <m:r>
                <m:rPr>
                  <m:nor/>
                </m:rPr>
                <m:t>celkové závazky</m:t>
              </m:r>
              <m:r>
                <m:rPr>
                  <m:nor/>
                </m:rPr>
                <w:rPr>
                  <w:rFonts w:ascii="Cambria Math"/>
                </w:rPr>
                <m:t xml:space="preserve"> (ciz</m:t>
              </m:r>
              <m:r>
                <m:rPr>
                  <m:nor/>
                </m:rPr>
                <w:rPr>
                  <w:rFonts w:ascii="Cambria Math"/>
                </w:rPr>
                <m:t>í</m:t>
              </m:r>
              <m:r>
                <m:rPr>
                  <m:nor/>
                </m:rPr>
                <w:rPr>
                  <w:rFonts w:ascii="Cambria Math"/>
                </w:rPr>
                <m:t xml:space="preserve"> zdroje)</m:t>
              </m:r>
            </m:num>
            <m:den>
              <m:r>
                <m:rPr>
                  <m:nor/>
                </m:rPr>
                <m:t>celková aktiva</m:t>
              </m:r>
            </m:den>
          </m:f>
          <m:r>
            <m:rPr>
              <m:sty m:val="p"/>
            </m:rPr>
            <w:rPr>
              <w:rFonts w:ascii="Cambria Math"/>
            </w:rPr>
            <m:t xml:space="preserve">= </m:t>
          </m:r>
          <m:f>
            <m:fPr>
              <m:ctrlPr>
                <w:rPr>
                  <w:rFonts w:ascii="Cambria Math" w:hAnsi="Cambria Math"/>
                </w:rPr>
              </m:ctrlPr>
            </m:fPr>
            <m:num>
              <m:r>
                <w:rPr>
                  <w:rFonts w:ascii="Cambria Math"/>
                </w:rPr>
                <m:t>156.014</m:t>
              </m:r>
            </m:num>
            <m:den>
              <m:r>
                <w:rPr>
                  <w:rFonts w:ascii="Cambria Math"/>
                </w:rPr>
                <m:t>298.812</m:t>
              </m:r>
            </m:den>
          </m:f>
          <m:r>
            <m:rPr>
              <m:sty m:val="p"/>
            </m:rPr>
            <w:rPr>
              <w:rFonts w:ascii="Cambria Math"/>
            </w:rPr>
            <m:t>=</m:t>
          </m:r>
          <m:r>
            <m:rPr>
              <m:sty m:val="b"/>
            </m:rPr>
            <w:rPr>
              <w:rFonts w:ascii="Cambria Math"/>
            </w:rPr>
            <m:t>0,52</m:t>
          </m:r>
        </m:oMath>
      </m:oMathPara>
    </w:p>
    <w:p w:rsidR="009C0A3F" w:rsidRDefault="009C0A3F" w:rsidP="001C2E79"/>
    <w:p w:rsidR="009C0A3F" w:rsidRDefault="009C0A3F" w:rsidP="001C2E79">
      <w:pPr>
        <w:sectPr w:rsidR="009C0A3F" w:rsidSect="00C10B94">
          <w:headerReference w:type="default" r:id="rId22"/>
          <w:pgSz w:w="11906" w:h="16838"/>
          <w:pgMar w:top="1418" w:right="1134" w:bottom="1418" w:left="2268" w:header="709" w:footer="709" w:gutter="0"/>
          <w:cols w:space="708"/>
          <w:docGrid w:linePitch="360"/>
        </w:sectPr>
      </w:pPr>
    </w:p>
    <w:p w:rsidR="001E3E4E" w:rsidRDefault="002D3DBD" w:rsidP="00E20FFE">
      <w:pPr>
        <w:pStyle w:val="Nadpis2"/>
        <w:numPr>
          <w:ilvl w:val="0"/>
          <w:numId w:val="0"/>
        </w:numPr>
        <w:ind w:left="576" w:hanging="576"/>
      </w:pPr>
      <w:bookmarkStart w:id="298" w:name="_Toc353126190"/>
      <w:bookmarkStart w:id="299" w:name="_Toc353439379"/>
      <w:bookmarkStart w:id="300" w:name="_Ref349576458"/>
      <w:bookmarkStart w:id="301" w:name="_Ref349576470"/>
      <w:r>
        <w:lastRenderedPageBreak/>
        <w:t>Přílohy ke kapitole 4.2</w:t>
      </w:r>
      <w:r w:rsidR="001E3E4E">
        <w:t xml:space="preserve"> Společnost Q – MONT s. r. o.</w:t>
      </w:r>
      <w:bookmarkEnd w:id="298"/>
      <w:bookmarkEnd w:id="299"/>
    </w:p>
    <w:p w:rsidR="009C0A3F" w:rsidRPr="005202E0" w:rsidRDefault="009C0A3F" w:rsidP="009C0A3F">
      <w:pPr>
        <w:pStyle w:val="Titulek"/>
      </w:pPr>
      <w:bookmarkStart w:id="302" w:name="_Ref349671184"/>
      <w:bookmarkStart w:id="303" w:name="_Ref349671207"/>
      <w:bookmarkStart w:id="304" w:name="_Toc353437254"/>
      <w:bookmarkStart w:id="305" w:name="_Toc353438804"/>
      <w:r>
        <w:t xml:space="preserve">Příloha </w:t>
      </w:r>
      <w:r w:rsidR="00C96C2B">
        <w:fldChar w:fldCharType="begin"/>
      </w:r>
      <w:r w:rsidR="00C96C2B">
        <w:instrText xml:space="preserve"> SEQ Příloha \* ARABIC </w:instrText>
      </w:r>
      <w:r w:rsidR="00C96C2B">
        <w:fldChar w:fldCharType="separate"/>
      </w:r>
      <w:r w:rsidR="002534BA">
        <w:rPr>
          <w:noProof/>
        </w:rPr>
        <w:t>10</w:t>
      </w:r>
      <w:r w:rsidR="00C96C2B">
        <w:rPr>
          <w:noProof/>
        </w:rPr>
        <w:fldChar w:fldCharType="end"/>
      </w:r>
      <w:bookmarkEnd w:id="300"/>
      <w:bookmarkEnd w:id="302"/>
      <w:r w:rsidRPr="005202E0">
        <w:t xml:space="preserve"> Upravené výkazy rozvah společnosti </w:t>
      </w:r>
      <w:r>
        <w:t>Q – MONT</w:t>
      </w:r>
      <w:r w:rsidRPr="005202E0">
        <w:t xml:space="preserve"> s. r. o. za období roku 2009 - 2011</w:t>
      </w:r>
      <w:bookmarkEnd w:id="301"/>
      <w:bookmarkEnd w:id="303"/>
      <w:bookmarkEnd w:id="304"/>
      <w:bookmarkEnd w:id="305"/>
    </w:p>
    <w:p w:rsidR="009C0A3F" w:rsidRDefault="009C0A3F" w:rsidP="00837C1D">
      <w:pPr>
        <w:pStyle w:val="Odstavecnormln"/>
      </w:pPr>
      <w:r>
        <w:t xml:space="preserve">Z důvodu přehlednosti byly výkazy rozvah společnosti Q - MONT s. r. o. upraveny do jedné tabulky. Označení položek a čísla řádků aktiv a pasiv odpovídají označení </w:t>
      </w:r>
      <w:r w:rsidR="004D5534">
        <w:t xml:space="preserve">položek ve </w:t>
      </w:r>
      <w:r>
        <w:t>výkaz</w:t>
      </w:r>
      <w:r w:rsidR="003E6708">
        <w:t>ech</w:t>
      </w:r>
      <w:r>
        <w:t xml:space="preserve"> rozvah v plném rozsahu.</w:t>
      </w:r>
    </w:p>
    <w:p w:rsidR="009C0A3F" w:rsidRPr="00377196" w:rsidRDefault="009C0A3F" w:rsidP="009C0A3F">
      <w:pPr>
        <w:pStyle w:val="dajenadtabulkouazdroj"/>
      </w:pPr>
      <w:r>
        <w:t>Údaje jsou uvedeny v celých Kč</w:t>
      </w:r>
    </w:p>
    <w:tbl>
      <w:tblPr>
        <w:tblW w:w="14710" w:type="dxa"/>
        <w:jc w:val="center"/>
        <w:tblCellMar>
          <w:left w:w="70" w:type="dxa"/>
          <w:right w:w="70" w:type="dxa"/>
        </w:tblCellMar>
        <w:tblLook w:val="04A0" w:firstRow="1" w:lastRow="0" w:firstColumn="1" w:lastColumn="0" w:noHBand="0" w:noVBand="1"/>
      </w:tblPr>
      <w:tblGrid>
        <w:gridCol w:w="818"/>
        <w:gridCol w:w="3586"/>
        <w:gridCol w:w="568"/>
        <w:gridCol w:w="1052"/>
        <w:gridCol w:w="992"/>
        <w:gridCol w:w="1134"/>
        <w:gridCol w:w="1134"/>
        <w:gridCol w:w="992"/>
        <w:gridCol w:w="1134"/>
        <w:gridCol w:w="1134"/>
        <w:gridCol w:w="993"/>
        <w:gridCol w:w="1173"/>
      </w:tblGrid>
      <w:tr w:rsidR="00313F21" w:rsidRPr="00153C93" w:rsidTr="00C336D4">
        <w:trPr>
          <w:trHeight w:val="495"/>
          <w:tblHeader/>
          <w:jc w:val="center"/>
        </w:trPr>
        <w:tc>
          <w:tcPr>
            <w:tcW w:w="818" w:type="dxa"/>
            <w:vMerge w:val="restart"/>
            <w:tcBorders>
              <w:top w:val="single" w:sz="12" w:space="0" w:color="auto"/>
              <w:left w:val="single" w:sz="12" w:space="0" w:color="auto"/>
              <w:bottom w:val="double" w:sz="6" w:space="0" w:color="000000"/>
              <w:right w:val="single" w:sz="4" w:space="0" w:color="auto"/>
            </w:tcBorders>
            <w:shd w:val="clear" w:color="auto" w:fill="E5DFEC" w:themeFill="accent4" w:themeFillTint="33"/>
            <w:vAlign w:val="center"/>
            <w:hideMark/>
          </w:tcPr>
          <w:p w:rsidR="00153C93" w:rsidRPr="00153C93" w:rsidRDefault="00153C93" w:rsidP="00153C93">
            <w:pPr>
              <w:spacing w:after="0" w:line="240" w:lineRule="auto"/>
              <w:jc w:val="center"/>
              <w:rPr>
                <w:b/>
                <w:bCs/>
                <w:color w:val="000000"/>
                <w:szCs w:val="22"/>
              </w:rPr>
            </w:pPr>
            <w:r w:rsidRPr="00153C93">
              <w:rPr>
                <w:b/>
                <w:bCs/>
                <w:color w:val="000000"/>
                <w:sz w:val="22"/>
                <w:szCs w:val="22"/>
              </w:rPr>
              <w:t>OZN.</w:t>
            </w:r>
          </w:p>
        </w:tc>
        <w:tc>
          <w:tcPr>
            <w:tcW w:w="3586" w:type="dxa"/>
            <w:vMerge w:val="restart"/>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153C93" w:rsidRPr="00153C93" w:rsidRDefault="00153C93" w:rsidP="00153C93">
            <w:pPr>
              <w:spacing w:after="0" w:line="240" w:lineRule="auto"/>
              <w:jc w:val="center"/>
              <w:rPr>
                <w:b/>
                <w:bCs/>
                <w:color w:val="000000"/>
                <w:szCs w:val="22"/>
              </w:rPr>
            </w:pPr>
            <w:r w:rsidRPr="00153C93">
              <w:rPr>
                <w:b/>
                <w:bCs/>
                <w:color w:val="000000"/>
                <w:sz w:val="22"/>
                <w:szCs w:val="22"/>
              </w:rPr>
              <w:t>AKTIVA</w:t>
            </w:r>
          </w:p>
        </w:tc>
        <w:tc>
          <w:tcPr>
            <w:tcW w:w="568" w:type="dxa"/>
            <w:vMerge w:val="restart"/>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153C93" w:rsidRPr="00153C93" w:rsidRDefault="00153C93" w:rsidP="00153C93">
            <w:pPr>
              <w:spacing w:after="0" w:line="240" w:lineRule="auto"/>
              <w:jc w:val="center"/>
              <w:rPr>
                <w:b/>
                <w:bCs/>
                <w:color w:val="000000"/>
                <w:szCs w:val="22"/>
              </w:rPr>
            </w:pPr>
            <w:proofErr w:type="gramStart"/>
            <w:r w:rsidRPr="00153C93">
              <w:rPr>
                <w:b/>
                <w:bCs/>
                <w:color w:val="000000"/>
                <w:sz w:val="22"/>
                <w:szCs w:val="22"/>
              </w:rPr>
              <w:t>Č.Ř.</w:t>
            </w:r>
            <w:proofErr w:type="gramEnd"/>
          </w:p>
        </w:tc>
        <w:tc>
          <w:tcPr>
            <w:tcW w:w="3178" w:type="dxa"/>
            <w:gridSpan w:val="3"/>
            <w:tcBorders>
              <w:top w:val="single" w:sz="12" w:space="0" w:color="auto"/>
              <w:left w:val="nil"/>
              <w:bottom w:val="single" w:sz="4" w:space="0" w:color="auto"/>
              <w:right w:val="single" w:sz="4" w:space="0" w:color="auto"/>
            </w:tcBorders>
            <w:shd w:val="clear" w:color="auto" w:fill="E5DFEC" w:themeFill="accent4" w:themeFillTint="33"/>
            <w:vAlign w:val="center"/>
            <w:hideMark/>
          </w:tcPr>
          <w:p w:rsidR="00153C93" w:rsidRPr="00153C93" w:rsidRDefault="00153C93" w:rsidP="00153C93">
            <w:pPr>
              <w:spacing w:after="0" w:line="240" w:lineRule="auto"/>
              <w:jc w:val="center"/>
              <w:rPr>
                <w:b/>
                <w:bCs/>
                <w:color w:val="000000"/>
                <w:szCs w:val="22"/>
              </w:rPr>
            </w:pPr>
            <w:r w:rsidRPr="00153C93">
              <w:rPr>
                <w:b/>
                <w:bCs/>
                <w:color w:val="000000"/>
                <w:sz w:val="22"/>
                <w:szCs w:val="22"/>
              </w:rPr>
              <w:t>2009</w:t>
            </w:r>
          </w:p>
        </w:tc>
        <w:tc>
          <w:tcPr>
            <w:tcW w:w="3260" w:type="dxa"/>
            <w:gridSpan w:val="3"/>
            <w:tcBorders>
              <w:top w:val="single" w:sz="12" w:space="0" w:color="auto"/>
              <w:left w:val="nil"/>
              <w:bottom w:val="single" w:sz="4" w:space="0" w:color="auto"/>
              <w:right w:val="single" w:sz="4" w:space="0" w:color="auto"/>
            </w:tcBorders>
            <w:shd w:val="clear" w:color="auto" w:fill="E5DFEC" w:themeFill="accent4" w:themeFillTint="33"/>
            <w:vAlign w:val="center"/>
            <w:hideMark/>
          </w:tcPr>
          <w:p w:rsidR="00153C93" w:rsidRPr="00153C93" w:rsidRDefault="00153C93" w:rsidP="00153C93">
            <w:pPr>
              <w:spacing w:after="0" w:line="240" w:lineRule="auto"/>
              <w:jc w:val="center"/>
              <w:rPr>
                <w:b/>
                <w:bCs/>
                <w:color w:val="000000"/>
                <w:szCs w:val="22"/>
              </w:rPr>
            </w:pPr>
            <w:r w:rsidRPr="00153C93">
              <w:rPr>
                <w:b/>
                <w:bCs/>
                <w:color w:val="000000"/>
                <w:sz w:val="22"/>
                <w:szCs w:val="22"/>
              </w:rPr>
              <w:t>2010</w:t>
            </w:r>
          </w:p>
        </w:tc>
        <w:tc>
          <w:tcPr>
            <w:tcW w:w="3300" w:type="dxa"/>
            <w:gridSpan w:val="3"/>
            <w:tcBorders>
              <w:top w:val="single" w:sz="12" w:space="0" w:color="auto"/>
              <w:left w:val="nil"/>
              <w:bottom w:val="single" w:sz="4" w:space="0" w:color="auto"/>
              <w:right w:val="single" w:sz="12" w:space="0" w:color="000000"/>
            </w:tcBorders>
            <w:shd w:val="clear" w:color="auto" w:fill="E5DFEC" w:themeFill="accent4" w:themeFillTint="33"/>
            <w:vAlign w:val="center"/>
            <w:hideMark/>
          </w:tcPr>
          <w:p w:rsidR="00153C93" w:rsidRPr="00153C93" w:rsidRDefault="00153C93" w:rsidP="00153C93">
            <w:pPr>
              <w:spacing w:after="0" w:line="240" w:lineRule="auto"/>
              <w:jc w:val="center"/>
              <w:rPr>
                <w:b/>
                <w:bCs/>
                <w:color w:val="000000"/>
                <w:szCs w:val="22"/>
              </w:rPr>
            </w:pPr>
            <w:r w:rsidRPr="00153C93">
              <w:rPr>
                <w:b/>
                <w:bCs/>
                <w:color w:val="000000"/>
                <w:sz w:val="22"/>
                <w:szCs w:val="22"/>
              </w:rPr>
              <w:t>2011</w:t>
            </w:r>
          </w:p>
        </w:tc>
      </w:tr>
      <w:tr w:rsidR="00313F21" w:rsidRPr="00153C93" w:rsidTr="00C336D4">
        <w:trPr>
          <w:trHeight w:val="495"/>
          <w:tblHeader/>
          <w:jc w:val="center"/>
        </w:trPr>
        <w:tc>
          <w:tcPr>
            <w:tcW w:w="818" w:type="dxa"/>
            <w:vMerge/>
            <w:tcBorders>
              <w:top w:val="single" w:sz="12" w:space="0" w:color="auto"/>
              <w:left w:val="single" w:sz="12" w:space="0" w:color="auto"/>
              <w:bottom w:val="double" w:sz="6" w:space="0" w:color="000000"/>
              <w:right w:val="single" w:sz="4" w:space="0" w:color="auto"/>
            </w:tcBorders>
            <w:shd w:val="clear" w:color="auto" w:fill="E5DFEC" w:themeFill="accent4" w:themeFillTint="33"/>
            <w:vAlign w:val="center"/>
            <w:hideMark/>
          </w:tcPr>
          <w:p w:rsidR="00153C93" w:rsidRPr="00153C93" w:rsidRDefault="00153C93" w:rsidP="00153C93">
            <w:pPr>
              <w:spacing w:after="0" w:line="240" w:lineRule="auto"/>
              <w:jc w:val="left"/>
              <w:rPr>
                <w:b/>
                <w:bCs/>
                <w:color w:val="000000"/>
                <w:szCs w:val="22"/>
              </w:rPr>
            </w:pPr>
          </w:p>
        </w:tc>
        <w:tc>
          <w:tcPr>
            <w:tcW w:w="3586" w:type="dxa"/>
            <w:vMerge/>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153C93" w:rsidRPr="00153C93" w:rsidRDefault="00153C93" w:rsidP="00153C93">
            <w:pPr>
              <w:spacing w:after="0" w:line="240" w:lineRule="auto"/>
              <w:jc w:val="left"/>
              <w:rPr>
                <w:b/>
                <w:bCs/>
                <w:color w:val="000000"/>
                <w:szCs w:val="22"/>
              </w:rPr>
            </w:pPr>
          </w:p>
        </w:tc>
        <w:tc>
          <w:tcPr>
            <w:tcW w:w="568" w:type="dxa"/>
            <w:vMerge/>
            <w:tcBorders>
              <w:top w:val="single" w:sz="12" w:space="0" w:color="auto"/>
              <w:left w:val="single" w:sz="4" w:space="0" w:color="auto"/>
              <w:bottom w:val="double" w:sz="6" w:space="0" w:color="000000"/>
              <w:right w:val="single" w:sz="4" w:space="0" w:color="auto"/>
            </w:tcBorders>
            <w:shd w:val="clear" w:color="auto" w:fill="E5DFEC" w:themeFill="accent4" w:themeFillTint="33"/>
            <w:vAlign w:val="center"/>
            <w:hideMark/>
          </w:tcPr>
          <w:p w:rsidR="00153C93" w:rsidRPr="00153C93" w:rsidRDefault="00153C93" w:rsidP="00153C93">
            <w:pPr>
              <w:spacing w:after="0" w:line="240" w:lineRule="auto"/>
              <w:jc w:val="left"/>
              <w:rPr>
                <w:b/>
                <w:bCs/>
                <w:color w:val="000000"/>
                <w:szCs w:val="22"/>
              </w:rPr>
            </w:pPr>
          </w:p>
        </w:tc>
        <w:tc>
          <w:tcPr>
            <w:tcW w:w="1052" w:type="dxa"/>
            <w:tcBorders>
              <w:top w:val="nil"/>
              <w:left w:val="nil"/>
              <w:bottom w:val="double" w:sz="6" w:space="0" w:color="auto"/>
              <w:right w:val="single" w:sz="4" w:space="0" w:color="auto"/>
            </w:tcBorders>
            <w:shd w:val="clear" w:color="auto" w:fill="E5DFEC" w:themeFill="accent4" w:themeFillTint="33"/>
            <w:vAlign w:val="center"/>
            <w:hideMark/>
          </w:tcPr>
          <w:p w:rsidR="00153C93" w:rsidRPr="00153C93" w:rsidRDefault="00153C93" w:rsidP="00153C93">
            <w:pPr>
              <w:spacing w:after="0" w:line="240" w:lineRule="auto"/>
              <w:jc w:val="center"/>
              <w:rPr>
                <w:b/>
                <w:bCs/>
                <w:color w:val="000000"/>
                <w:szCs w:val="22"/>
              </w:rPr>
            </w:pPr>
            <w:r w:rsidRPr="00153C93">
              <w:rPr>
                <w:b/>
                <w:bCs/>
                <w:color w:val="000000"/>
                <w:sz w:val="22"/>
                <w:szCs w:val="22"/>
              </w:rPr>
              <w:t>brutto</w:t>
            </w:r>
          </w:p>
        </w:tc>
        <w:tc>
          <w:tcPr>
            <w:tcW w:w="992" w:type="dxa"/>
            <w:tcBorders>
              <w:top w:val="nil"/>
              <w:left w:val="nil"/>
              <w:bottom w:val="double" w:sz="6" w:space="0" w:color="auto"/>
              <w:right w:val="single" w:sz="4" w:space="0" w:color="auto"/>
            </w:tcBorders>
            <w:shd w:val="clear" w:color="auto" w:fill="E5DFEC" w:themeFill="accent4" w:themeFillTint="33"/>
            <w:vAlign w:val="center"/>
            <w:hideMark/>
          </w:tcPr>
          <w:p w:rsidR="00153C93" w:rsidRPr="00153C93" w:rsidRDefault="00153C93" w:rsidP="00153C93">
            <w:pPr>
              <w:spacing w:after="0" w:line="240" w:lineRule="auto"/>
              <w:jc w:val="center"/>
              <w:rPr>
                <w:b/>
                <w:bCs/>
                <w:color w:val="000000"/>
                <w:szCs w:val="22"/>
              </w:rPr>
            </w:pPr>
            <w:r w:rsidRPr="00153C93">
              <w:rPr>
                <w:b/>
                <w:bCs/>
                <w:color w:val="000000"/>
                <w:sz w:val="22"/>
                <w:szCs w:val="22"/>
              </w:rPr>
              <w:t>korekce</w:t>
            </w:r>
          </w:p>
        </w:tc>
        <w:tc>
          <w:tcPr>
            <w:tcW w:w="1134" w:type="dxa"/>
            <w:tcBorders>
              <w:top w:val="nil"/>
              <w:left w:val="nil"/>
              <w:bottom w:val="double" w:sz="6" w:space="0" w:color="auto"/>
              <w:right w:val="single" w:sz="4" w:space="0" w:color="auto"/>
            </w:tcBorders>
            <w:shd w:val="clear" w:color="auto" w:fill="E5DFEC" w:themeFill="accent4" w:themeFillTint="33"/>
            <w:vAlign w:val="center"/>
            <w:hideMark/>
          </w:tcPr>
          <w:p w:rsidR="00153C93" w:rsidRPr="00153C93" w:rsidRDefault="00153C93" w:rsidP="00153C93">
            <w:pPr>
              <w:spacing w:after="0" w:line="240" w:lineRule="auto"/>
              <w:jc w:val="center"/>
              <w:rPr>
                <w:b/>
                <w:bCs/>
                <w:color w:val="000000"/>
                <w:szCs w:val="22"/>
              </w:rPr>
            </w:pPr>
            <w:r w:rsidRPr="00153C93">
              <w:rPr>
                <w:b/>
                <w:bCs/>
                <w:color w:val="000000"/>
                <w:sz w:val="22"/>
                <w:szCs w:val="22"/>
              </w:rPr>
              <w:t>netto</w:t>
            </w:r>
          </w:p>
        </w:tc>
        <w:tc>
          <w:tcPr>
            <w:tcW w:w="1134" w:type="dxa"/>
            <w:tcBorders>
              <w:top w:val="nil"/>
              <w:left w:val="nil"/>
              <w:bottom w:val="double" w:sz="6" w:space="0" w:color="auto"/>
              <w:right w:val="single" w:sz="4" w:space="0" w:color="auto"/>
            </w:tcBorders>
            <w:shd w:val="clear" w:color="auto" w:fill="E5DFEC" w:themeFill="accent4" w:themeFillTint="33"/>
            <w:vAlign w:val="center"/>
            <w:hideMark/>
          </w:tcPr>
          <w:p w:rsidR="00153C93" w:rsidRPr="00153C93" w:rsidRDefault="00153C93" w:rsidP="00153C93">
            <w:pPr>
              <w:spacing w:after="0" w:line="240" w:lineRule="auto"/>
              <w:jc w:val="center"/>
              <w:rPr>
                <w:b/>
                <w:bCs/>
                <w:color w:val="000000"/>
                <w:szCs w:val="22"/>
              </w:rPr>
            </w:pPr>
            <w:r w:rsidRPr="00153C93">
              <w:rPr>
                <w:b/>
                <w:bCs/>
                <w:color w:val="000000"/>
                <w:sz w:val="22"/>
                <w:szCs w:val="22"/>
              </w:rPr>
              <w:t>brutto</w:t>
            </w:r>
          </w:p>
        </w:tc>
        <w:tc>
          <w:tcPr>
            <w:tcW w:w="992" w:type="dxa"/>
            <w:tcBorders>
              <w:top w:val="nil"/>
              <w:left w:val="nil"/>
              <w:bottom w:val="double" w:sz="6" w:space="0" w:color="auto"/>
              <w:right w:val="single" w:sz="4" w:space="0" w:color="auto"/>
            </w:tcBorders>
            <w:shd w:val="clear" w:color="auto" w:fill="E5DFEC" w:themeFill="accent4" w:themeFillTint="33"/>
            <w:vAlign w:val="center"/>
            <w:hideMark/>
          </w:tcPr>
          <w:p w:rsidR="00153C93" w:rsidRPr="00153C93" w:rsidRDefault="00153C93" w:rsidP="00153C93">
            <w:pPr>
              <w:spacing w:after="0" w:line="240" w:lineRule="auto"/>
              <w:jc w:val="center"/>
              <w:rPr>
                <w:b/>
                <w:bCs/>
                <w:color w:val="000000"/>
                <w:szCs w:val="22"/>
              </w:rPr>
            </w:pPr>
            <w:r w:rsidRPr="00153C93">
              <w:rPr>
                <w:b/>
                <w:bCs/>
                <w:color w:val="000000"/>
                <w:sz w:val="22"/>
                <w:szCs w:val="22"/>
              </w:rPr>
              <w:t>korekce</w:t>
            </w:r>
          </w:p>
        </w:tc>
        <w:tc>
          <w:tcPr>
            <w:tcW w:w="1134" w:type="dxa"/>
            <w:tcBorders>
              <w:top w:val="nil"/>
              <w:left w:val="nil"/>
              <w:bottom w:val="double" w:sz="6" w:space="0" w:color="auto"/>
              <w:right w:val="single" w:sz="4" w:space="0" w:color="auto"/>
            </w:tcBorders>
            <w:shd w:val="clear" w:color="auto" w:fill="E5DFEC" w:themeFill="accent4" w:themeFillTint="33"/>
            <w:vAlign w:val="center"/>
            <w:hideMark/>
          </w:tcPr>
          <w:p w:rsidR="00153C93" w:rsidRPr="00153C93" w:rsidRDefault="00153C93" w:rsidP="00153C93">
            <w:pPr>
              <w:spacing w:after="0" w:line="240" w:lineRule="auto"/>
              <w:jc w:val="center"/>
              <w:rPr>
                <w:b/>
                <w:bCs/>
                <w:color w:val="000000"/>
                <w:szCs w:val="22"/>
              </w:rPr>
            </w:pPr>
            <w:r w:rsidRPr="00153C93">
              <w:rPr>
                <w:b/>
                <w:bCs/>
                <w:color w:val="000000"/>
                <w:sz w:val="22"/>
                <w:szCs w:val="22"/>
              </w:rPr>
              <w:t>netto</w:t>
            </w:r>
          </w:p>
        </w:tc>
        <w:tc>
          <w:tcPr>
            <w:tcW w:w="1134" w:type="dxa"/>
            <w:tcBorders>
              <w:top w:val="nil"/>
              <w:left w:val="nil"/>
              <w:bottom w:val="double" w:sz="6" w:space="0" w:color="auto"/>
              <w:right w:val="single" w:sz="4" w:space="0" w:color="auto"/>
            </w:tcBorders>
            <w:shd w:val="clear" w:color="auto" w:fill="E5DFEC" w:themeFill="accent4" w:themeFillTint="33"/>
            <w:vAlign w:val="center"/>
            <w:hideMark/>
          </w:tcPr>
          <w:p w:rsidR="00153C93" w:rsidRPr="00153C93" w:rsidRDefault="00153C93" w:rsidP="00153C93">
            <w:pPr>
              <w:spacing w:after="0" w:line="240" w:lineRule="auto"/>
              <w:jc w:val="center"/>
              <w:rPr>
                <w:b/>
                <w:bCs/>
                <w:color w:val="000000"/>
                <w:szCs w:val="22"/>
              </w:rPr>
            </w:pPr>
            <w:r w:rsidRPr="00153C93">
              <w:rPr>
                <w:b/>
                <w:bCs/>
                <w:color w:val="000000"/>
                <w:sz w:val="22"/>
                <w:szCs w:val="22"/>
              </w:rPr>
              <w:t>brutto</w:t>
            </w:r>
          </w:p>
        </w:tc>
        <w:tc>
          <w:tcPr>
            <w:tcW w:w="993" w:type="dxa"/>
            <w:tcBorders>
              <w:top w:val="nil"/>
              <w:left w:val="nil"/>
              <w:bottom w:val="double" w:sz="6" w:space="0" w:color="auto"/>
              <w:right w:val="single" w:sz="4" w:space="0" w:color="auto"/>
            </w:tcBorders>
            <w:shd w:val="clear" w:color="auto" w:fill="E5DFEC" w:themeFill="accent4" w:themeFillTint="33"/>
            <w:vAlign w:val="center"/>
            <w:hideMark/>
          </w:tcPr>
          <w:p w:rsidR="00153C93" w:rsidRPr="00153C93" w:rsidRDefault="00153C93" w:rsidP="00153C93">
            <w:pPr>
              <w:spacing w:after="0" w:line="240" w:lineRule="auto"/>
              <w:jc w:val="center"/>
              <w:rPr>
                <w:b/>
                <w:bCs/>
                <w:color w:val="000000"/>
                <w:szCs w:val="22"/>
              </w:rPr>
            </w:pPr>
            <w:r w:rsidRPr="00153C93">
              <w:rPr>
                <w:b/>
                <w:bCs/>
                <w:color w:val="000000"/>
                <w:sz w:val="22"/>
                <w:szCs w:val="22"/>
              </w:rPr>
              <w:t>korekce</w:t>
            </w:r>
          </w:p>
        </w:tc>
        <w:tc>
          <w:tcPr>
            <w:tcW w:w="1173" w:type="dxa"/>
            <w:tcBorders>
              <w:top w:val="nil"/>
              <w:left w:val="nil"/>
              <w:bottom w:val="double" w:sz="6" w:space="0" w:color="auto"/>
              <w:right w:val="single" w:sz="12" w:space="0" w:color="auto"/>
            </w:tcBorders>
            <w:shd w:val="clear" w:color="auto" w:fill="E5DFEC" w:themeFill="accent4" w:themeFillTint="33"/>
            <w:vAlign w:val="center"/>
            <w:hideMark/>
          </w:tcPr>
          <w:p w:rsidR="00153C93" w:rsidRPr="00153C93" w:rsidRDefault="00153C93" w:rsidP="00153C93">
            <w:pPr>
              <w:spacing w:after="0" w:line="240" w:lineRule="auto"/>
              <w:jc w:val="center"/>
              <w:rPr>
                <w:b/>
                <w:bCs/>
                <w:color w:val="000000"/>
                <w:szCs w:val="22"/>
              </w:rPr>
            </w:pPr>
            <w:r w:rsidRPr="00153C93">
              <w:rPr>
                <w:b/>
                <w:bCs/>
                <w:color w:val="000000"/>
                <w:sz w:val="22"/>
                <w:szCs w:val="22"/>
              </w:rPr>
              <w:t>netto</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AKTIVA CELKEM</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1</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2 780 210</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-528 763</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2 251 447</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2 377 457</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-528 763</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1 848 693</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2 293 015</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-526 733</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1 766 282</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A.</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Pohledávky za upsaný základní kapitál</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2</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B.</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Dlouhodobý majetek</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3</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566 389</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-498 742</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67 647</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566 389</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-498 742</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67 647</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496 712</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-496 712</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proofErr w:type="gramStart"/>
            <w:r w:rsidRPr="00153C93">
              <w:rPr>
                <w:color w:val="000000"/>
                <w:sz w:val="22"/>
                <w:szCs w:val="22"/>
              </w:rPr>
              <w:t>B.  I.</w:t>
            </w:r>
            <w:proofErr w:type="gramEnd"/>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Dlouhodobý nehmotný majetek</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4</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proofErr w:type="gramStart"/>
            <w:r w:rsidRPr="00153C93">
              <w:rPr>
                <w:color w:val="000000"/>
                <w:sz w:val="22"/>
                <w:szCs w:val="22"/>
              </w:rPr>
              <w:t>B.  I. 1.</w:t>
            </w:r>
            <w:proofErr w:type="gramEnd"/>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Zřizovací výdaje</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5</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2.</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Nehmotné výsledky výzkumu a vývoje</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6</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3.</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Software</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7</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4.</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Ocenitelná práva</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8</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lastRenderedPageBreak/>
              <w:t xml:space="preserve">      5.</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Goodwill</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9</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6.</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Jiný dlouhodobý nehmotný majetek</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10</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600"/>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7.</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Nedokončený dlouhodobý nehmotný majetek</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11</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600"/>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8.</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Poskytnuté zálohy na dlouhodobý nehmotný majetek</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12</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B. II.</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Dlouhodobý hmotný majetek</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13</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566 389</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-498 742</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67 647</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566 389</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-498 742</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67 647</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496 712</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-496 712</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B. II. 1.</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Pozemky</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14</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2.</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Stavby</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15</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600"/>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3.</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Samostatné movité věci a soubory movitých věcí</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16</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566 389</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-498 742</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67 647</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566 389</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-498 742</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67 647</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496 712</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-496 712</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4.</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Pěstitelské celky trvalých porostů</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17</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5.</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Dospělá zvířata a jejich skupiny</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18</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6.</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Jiný dlouhodobý hmotný majetek</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19</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7.</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Nedokončený dlouhodobý hmotný majetek</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20</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600"/>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lastRenderedPageBreak/>
              <w:t xml:space="preserve">      8.</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Poskytnuté zálohy na dlouhodobý hmotný majetek</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21</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9.</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Oceňovací rozdíl k nabytému majetku</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22</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proofErr w:type="gramStart"/>
            <w:r w:rsidRPr="00153C93">
              <w:rPr>
                <w:color w:val="000000"/>
                <w:sz w:val="22"/>
                <w:szCs w:val="22"/>
              </w:rPr>
              <w:t>B.III</w:t>
            </w:r>
            <w:proofErr w:type="gramEnd"/>
            <w:r w:rsidRPr="00153C93">
              <w:rPr>
                <w:color w:val="000000"/>
                <w:sz w:val="22"/>
                <w:szCs w:val="22"/>
              </w:rPr>
              <w:t>.</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Dlouhodobý finanční majetek</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23</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proofErr w:type="gramStart"/>
            <w:r w:rsidRPr="00153C93">
              <w:rPr>
                <w:color w:val="000000"/>
                <w:sz w:val="22"/>
                <w:szCs w:val="22"/>
              </w:rPr>
              <w:t>B.III</w:t>
            </w:r>
            <w:proofErr w:type="gramEnd"/>
            <w:r w:rsidRPr="00153C93">
              <w:rPr>
                <w:color w:val="000000"/>
                <w:sz w:val="22"/>
                <w:szCs w:val="22"/>
              </w:rPr>
              <w:t>.1.</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Podíly v ovládaných a řízených osobách</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24</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600"/>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2.</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Podíly v účetních jednotkách pod podstatným vlivem</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25</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3.</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Ostatní dlouhodobé cenné papíry a podíly</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26</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600"/>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4.</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Půjčky a úvěry - ovládající a řídící osoba, podstatný vliv</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27</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5.</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Jiný dlouhodobý finanční majetek</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28</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6.</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Pořizovaný dlouhodobý finanční majetek</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29</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600"/>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7.</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Poskytnuté zálohy na dlouhodobý finanční majetek</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30</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C.</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Oběžná aktiva</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31</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2 213 821</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-30 021</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2 183 800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1 811 068</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-30 021</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1 781 047</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1 796 303</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-30 021</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1 766 282</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proofErr w:type="gramStart"/>
            <w:r w:rsidRPr="00153C93">
              <w:rPr>
                <w:color w:val="000000"/>
                <w:sz w:val="22"/>
                <w:szCs w:val="22"/>
              </w:rPr>
              <w:lastRenderedPageBreak/>
              <w:t>C.  I.</w:t>
            </w:r>
            <w:proofErr w:type="gramEnd"/>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Zásoby</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32</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proofErr w:type="gramStart"/>
            <w:r w:rsidRPr="00153C93">
              <w:rPr>
                <w:color w:val="000000"/>
                <w:sz w:val="22"/>
                <w:szCs w:val="22"/>
              </w:rPr>
              <w:t>C.  I. 1.</w:t>
            </w:r>
            <w:proofErr w:type="gramEnd"/>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Materiál</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33</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2.</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Nedokončená výroba a polotovary</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34</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3.</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Výrobky</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35</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4.</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Mladá a ostatní zvířata a jejich skupiny</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36</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5.</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Zboží</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37</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6.</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Poskytnuté zálohy na zásoby</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38</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C. II.</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Dlouhodobé pohledávky</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39</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C. II. 1.</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Pohledávky z obchodních vztahů</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40</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2.</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Pohledávky - ovládající a řídící osoba</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41</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3.</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Pohledávky - podstatný vliv</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42</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600"/>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4.</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Pohledávky za spol., členy družstva a za účastníky sdružení</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43</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5.</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Dlouhodobé poskytnuté zálohy</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44</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6.</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Dohadné účty aktivní</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45</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lastRenderedPageBreak/>
              <w:t xml:space="preserve">      7.</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Jiné pohledávky</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46</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8.</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Odložená daňová pohledávka</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47</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proofErr w:type="gramStart"/>
            <w:r w:rsidRPr="00153C93">
              <w:rPr>
                <w:color w:val="000000"/>
                <w:sz w:val="22"/>
                <w:szCs w:val="22"/>
              </w:rPr>
              <w:t>C.III</w:t>
            </w:r>
            <w:proofErr w:type="gramEnd"/>
            <w:r w:rsidRPr="00153C93">
              <w:rPr>
                <w:color w:val="000000"/>
                <w:sz w:val="22"/>
                <w:szCs w:val="22"/>
              </w:rPr>
              <w:t>.</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Krátkodobé pohledávky</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48</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1 445 291</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-30 021</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1 415 270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1 427 927</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-30 021</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1 397 906</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1 504 255</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-30 021</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1 474 234</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proofErr w:type="gramStart"/>
            <w:r w:rsidRPr="00153C93">
              <w:rPr>
                <w:color w:val="000000"/>
                <w:sz w:val="22"/>
                <w:szCs w:val="22"/>
              </w:rPr>
              <w:t>C.III</w:t>
            </w:r>
            <w:proofErr w:type="gramEnd"/>
            <w:r w:rsidRPr="00153C93">
              <w:rPr>
                <w:color w:val="000000"/>
                <w:sz w:val="22"/>
                <w:szCs w:val="22"/>
              </w:rPr>
              <w:t>. 1.</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Pohledávky z obchodních vztahů</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49</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1 407 591</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-30 021</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1 377 570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875 462</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-30 021</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845 441</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1 100 025</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-30 021</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1 070 004</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2.</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Pohledávky - ovládající a řídící osoba</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50</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3.</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Pohledávky - podstatný vliv</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51</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600"/>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4.</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Pohledávky za spol., členy družstva a za účastníky sdružení</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52</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5.</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Sociální zabezpečení a zdravotní pojištění</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53</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6.</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Stát - daňové pohledávky</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54</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37 700</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37 700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52 465</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52 465</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4 230</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4 230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7.</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Krátkodobé poskytnuté zálohy</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55</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8.</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Dohadné účty aktivní</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56</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9.</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Jiné pohledávky</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57</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500 000</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500 000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400 000</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400 000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C. IV.</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Krátkodobý finanční majetek</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58</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768 531</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768 531</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383 141</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383 141</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292 048</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292 048</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3B3431" w:rsidP="00153C93">
            <w:pPr>
              <w:spacing w:after="0" w:line="240" w:lineRule="auto"/>
              <w:jc w:val="left"/>
              <w:rPr>
                <w:color w:val="000000"/>
                <w:szCs w:val="22"/>
              </w:rPr>
            </w:pPr>
            <w:proofErr w:type="gramStart"/>
            <w:r>
              <w:rPr>
                <w:color w:val="000000"/>
                <w:sz w:val="22"/>
                <w:szCs w:val="22"/>
              </w:rPr>
              <w:t>C.</w:t>
            </w:r>
            <w:r w:rsidR="00153C93" w:rsidRPr="00153C93">
              <w:rPr>
                <w:color w:val="000000"/>
                <w:sz w:val="22"/>
                <w:szCs w:val="22"/>
              </w:rPr>
              <w:t>IV</w:t>
            </w:r>
            <w:proofErr w:type="gramEnd"/>
            <w:r w:rsidR="00153C93" w:rsidRPr="00153C93">
              <w:rPr>
                <w:color w:val="000000"/>
                <w:sz w:val="22"/>
                <w:szCs w:val="22"/>
              </w:rPr>
              <w:t>.1.</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Peníze</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59</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364 050</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364 050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186 677</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186 677</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169 413</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169 413</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lastRenderedPageBreak/>
              <w:t xml:space="preserve">      2.</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Účty v bankách</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60</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404 481</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404 481</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196 464</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196 464</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122 635</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122 635</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3.</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Krátkodobé cenné papíry a podíly</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61</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4.</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Pořizovaný krátkodobý finanční majetek</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62</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proofErr w:type="gramStart"/>
            <w:r w:rsidRPr="00153C93">
              <w:rPr>
                <w:color w:val="000000"/>
                <w:sz w:val="22"/>
                <w:szCs w:val="22"/>
              </w:rPr>
              <w:t>D.  I.</w:t>
            </w:r>
            <w:proofErr w:type="gramEnd"/>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Časové rozlišení</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63</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proofErr w:type="gramStart"/>
            <w:r w:rsidRPr="00153C93">
              <w:rPr>
                <w:color w:val="000000"/>
                <w:sz w:val="22"/>
                <w:szCs w:val="22"/>
              </w:rPr>
              <w:t>D.  I. 1.</w:t>
            </w:r>
            <w:proofErr w:type="gramEnd"/>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Náklady příštích období</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64</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2.</w:t>
            </w:r>
          </w:p>
        </w:tc>
        <w:tc>
          <w:tcPr>
            <w:tcW w:w="3586"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Komplexní náklady příštích období</w:t>
            </w:r>
          </w:p>
        </w:tc>
        <w:tc>
          <w:tcPr>
            <w:tcW w:w="568"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65</w:t>
            </w:r>
          </w:p>
        </w:tc>
        <w:tc>
          <w:tcPr>
            <w:tcW w:w="105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4"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r w:rsidR="00313F21" w:rsidRPr="00153C93" w:rsidTr="00313F21">
        <w:trPr>
          <w:trHeight w:val="342"/>
          <w:jc w:val="center"/>
        </w:trPr>
        <w:tc>
          <w:tcPr>
            <w:tcW w:w="818" w:type="dxa"/>
            <w:tcBorders>
              <w:top w:val="nil"/>
              <w:left w:val="single" w:sz="12" w:space="0" w:color="auto"/>
              <w:bottom w:val="single" w:sz="12"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 xml:space="preserve">      3.</w:t>
            </w:r>
          </w:p>
        </w:tc>
        <w:tc>
          <w:tcPr>
            <w:tcW w:w="3586" w:type="dxa"/>
            <w:tcBorders>
              <w:top w:val="nil"/>
              <w:left w:val="nil"/>
              <w:bottom w:val="single" w:sz="12"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Příjmy příštích období</w:t>
            </w:r>
          </w:p>
        </w:tc>
        <w:tc>
          <w:tcPr>
            <w:tcW w:w="568" w:type="dxa"/>
            <w:tcBorders>
              <w:top w:val="nil"/>
              <w:left w:val="nil"/>
              <w:bottom w:val="single" w:sz="12" w:space="0" w:color="auto"/>
              <w:right w:val="single" w:sz="4" w:space="0" w:color="auto"/>
            </w:tcBorders>
            <w:shd w:val="clear" w:color="auto" w:fill="auto"/>
            <w:vAlign w:val="center"/>
            <w:hideMark/>
          </w:tcPr>
          <w:p w:rsidR="00153C93" w:rsidRPr="00153C93" w:rsidRDefault="00153C93" w:rsidP="00153C93">
            <w:pPr>
              <w:spacing w:after="0" w:line="240" w:lineRule="auto"/>
              <w:jc w:val="center"/>
              <w:rPr>
                <w:color w:val="000000"/>
                <w:szCs w:val="22"/>
              </w:rPr>
            </w:pPr>
            <w:r w:rsidRPr="00153C93">
              <w:rPr>
                <w:color w:val="000000"/>
                <w:sz w:val="22"/>
                <w:szCs w:val="22"/>
              </w:rPr>
              <w:t>66</w:t>
            </w:r>
          </w:p>
        </w:tc>
        <w:tc>
          <w:tcPr>
            <w:tcW w:w="1052" w:type="dxa"/>
            <w:tcBorders>
              <w:top w:val="nil"/>
              <w:left w:val="nil"/>
              <w:bottom w:val="single" w:sz="12"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12"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12"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12"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2" w:type="dxa"/>
            <w:tcBorders>
              <w:top w:val="nil"/>
              <w:left w:val="nil"/>
              <w:bottom w:val="single" w:sz="12"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34" w:type="dxa"/>
            <w:tcBorders>
              <w:top w:val="nil"/>
              <w:left w:val="nil"/>
              <w:bottom w:val="single" w:sz="12" w:space="0" w:color="auto"/>
              <w:right w:val="single" w:sz="4"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c>
          <w:tcPr>
            <w:tcW w:w="1134" w:type="dxa"/>
            <w:tcBorders>
              <w:top w:val="nil"/>
              <w:left w:val="nil"/>
              <w:bottom w:val="single" w:sz="12"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993" w:type="dxa"/>
            <w:tcBorders>
              <w:top w:val="nil"/>
              <w:left w:val="nil"/>
              <w:bottom w:val="single" w:sz="12" w:space="0" w:color="auto"/>
              <w:right w:val="single" w:sz="4" w:space="0" w:color="auto"/>
            </w:tcBorders>
            <w:shd w:val="clear" w:color="auto" w:fill="auto"/>
            <w:vAlign w:val="center"/>
            <w:hideMark/>
          </w:tcPr>
          <w:p w:rsidR="00153C93" w:rsidRPr="00153C93" w:rsidRDefault="00153C93" w:rsidP="00153C93">
            <w:pPr>
              <w:spacing w:after="0" w:line="240" w:lineRule="auto"/>
              <w:jc w:val="left"/>
              <w:rPr>
                <w:color w:val="000000"/>
                <w:szCs w:val="22"/>
              </w:rPr>
            </w:pPr>
            <w:r w:rsidRPr="00153C93">
              <w:rPr>
                <w:color w:val="000000"/>
                <w:sz w:val="22"/>
                <w:szCs w:val="22"/>
              </w:rPr>
              <w:t> </w:t>
            </w:r>
          </w:p>
        </w:tc>
        <w:tc>
          <w:tcPr>
            <w:tcW w:w="1173" w:type="dxa"/>
            <w:tcBorders>
              <w:top w:val="nil"/>
              <w:left w:val="nil"/>
              <w:bottom w:val="single" w:sz="12" w:space="0" w:color="auto"/>
              <w:right w:val="single" w:sz="12" w:space="0" w:color="auto"/>
            </w:tcBorders>
            <w:shd w:val="clear" w:color="auto" w:fill="auto"/>
            <w:vAlign w:val="center"/>
            <w:hideMark/>
          </w:tcPr>
          <w:p w:rsidR="00153C93" w:rsidRPr="00153C93" w:rsidRDefault="00153C93" w:rsidP="00153C93">
            <w:pPr>
              <w:spacing w:after="0" w:line="240" w:lineRule="auto"/>
              <w:jc w:val="right"/>
              <w:rPr>
                <w:color w:val="000000"/>
                <w:szCs w:val="22"/>
              </w:rPr>
            </w:pPr>
            <w:r w:rsidRPr="00153C93">
              <w:rPr>
                <w:color w:val="000000"/>
                <w:sz w:val="22"/>
                <w:szCs w:val="22"/>
              </w:rPr>
              <w:t>0</w:t>
            </w:r>
          </w:p>
        </w:tc>
      </w:tr>
    </w:tbl>
    <w:p w:rsidR="00153C93" w:rsidRDefault="00153C93" w:rsidP="001C2E79"/>
    <w:p w:rsidR="00153C93" w:rsidRDefault="00153C93" w:rsidP="001C2E79">
      <w:pPr>
        <w:sectPr w:rsidR="00153C93" w:rsidSect="00153C93">
          <w:headerReference w:type="default" r:id="rId23"/>
          <w:pgSz w:w="16838" w:h="11906" w:orient="landscape"/>
          <w:pgMar w:top="1418" w:right="1134" w:bottom="1418" w:left="2268" w:header="709" w:footer="709" w:gutter="0"/>
          <w:cols w:space="708"/>
          <w:docGrid w:linePitch="360"/>
        </w:sectPr>
      </w:pPr>
    </w:p>
    <w:tbl>
      <w:tblPr>
        <w:tblW w:w="8660" w:type="dxa"/>
        <w:jc w:val="center"/>
        <w:tblCellMar>
          <w:left w:w="70" w:type="dxa"/>
          <w:right w:w="70" w:type="dxa"/>
        </w:tblCellMar>
        <w:tblLook w:val="04A0" w:firstRow="1" w:lastRow="0" w:firstColumn="1" w:lastColumn="0" w:noHBand="0" w:noVBand="1"/>
      </w:tblPr>
      <w:tblGrid>
        <w:gridCol w:w="820"/>
        <w:gridCol w:w="3940"/>
        <w:gridCol w:w="600"/>
        <w:gridCol w:w="1100"/>
        <w:gridCol w:w="1100"/>
        <w:gridCol w:w="1100"/>
      </w:tblGrid>
      <w:tr w:rsidR="003B3431" w:rsidRPr="003B3431" w:rsidTr="00C336D4">
        <w:trPr>
          <w:trHeight w:val="495"/>
          <w:tblHeader/>
          <w:jc w:val="center"/>
        </w:trPr>
        <w:tc>
          <w:tcPr>
            <w:tcW w:w="820" w:type="dxa"/>
            <w:tcBorders>
              <w:top w:val="single" w:sz="12" w:space="0" w:color="auto"/>
              <w:left w:val="single" w:sz="12" w:space="0" w:color="auto"/>
              <w:bottom w:val="double" w:sz="6" w:space="0" w:color="auto"/>
              <w:right w:val="single" w:sz="4" w:space="0" w:color="auto"/>
            </w:tcBorders>
            <w:shd w:val="clear" w:color="auto" w:fill="E5DFEC" w:themeFill="accent4" w:themeFillTint="33"/>
            <w:vAlign w:val="center"/>
            <w:hideMark/>
          </w:tcPr>
          <w:p w:rsidR="003B3431" w:rsidRPr="003B3431" w:rsidRDefault="003B3431" w:rsidP="003B3431">
            <w:pPr>
              <w:spacing w:after="0" w:line="240" w:lineRule="auto"/>
              <w:jc w:val="center"/>
              <w:rPr>
                <w:b/>
                <w:bCs/>
                <w:color w:val="000000"/>
                <w:szCs w:val="22"/>
              </w:rPr>
            </w:pPr>
            <w:r w:rsidRPr="003B3431">
              <w:rPr>
                <w:b/>
                <w:bCs/>
                <w:color w:val="000000"/>
                <w:sz w:val="22"/>
                <w:szCs w:val="22"/>
              </w:rPr>
              <w:lastRenderedPageBreak/>
              <w:t>OZN.</w:t>
            </w:r>
          </w:p>
        </w:tc>
        <w:tc>
          <w:tcPr>
            <w:tcW w:w="3940"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3B3431" w:rsidRPr="003B3431" w:rsidRDefault="003B3431" w:rsidP="003B3431">
            <w:pPr>
              <w:spacing w:after="0" w:line="240" w:lineRule="auto"/>
              <w:jc w:val="center"/>
              <w:rPr>
                <w:b/>
                <w:bCs/>
                <w:color w:val="000000"/>
                <w:szCs w:val="22"/>
              </w:rPr>
            </w:pPr>
            <w:r w:rsidRPr="003B3431">
              <w:rPr>
                <w:b/>
                <w:bCs/>
                <w:color w:val="000000"/>
                <w:sz w:val="22"/>
                <w:szCs w:val="22"/>
              </w:rPr>
              <w:t>PASIVA</w:t>
            </w:r>
          </w:p>
        </w:tc>
        <w:tc>
          <w:tcPr>
            <w:tcW w:w="600"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3B3431" w:rsidRPr="003B3431" w:rsidRDefault="003B3431" w:rsidP="003B3431">
            <w:pPr>
              <w:spacing w:after="0" w:line="240" w:lineRule="auto"/>
              <w:jc w:val="center"/>
              <w:rPr>
                <w:b/>
                <w:bCs/>
                <w:color w:val="000000"/>
                <w:szCs w:val="22"/>
              </w:rPr>
            </w:pPr>
            <w:proofErr w:type="gramStart"/>
            <w:r w:rsidRPr="003B3431">
              <w:rPr>
                <w:b/>
                <w:bCs/>
                <w:color w:val="000000"/>
                <w:sz w:val="22"/>
                <w:szCs w:val="22"/>
              </w:rPr>
              <w:t>Č.Ř.</w:t>
            </w:r>
            <w:proofErr w:type="gramEnd"/>
          </w:p>
        </w:tc>
        <w:tc>
          <w:tcPr>
            <w:tcW w:w="1100"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3B3431" w:rsidRPr="003B3431" w:rsidRDefault="003B3431" w:rsidP="003B3431">
            <w:pPr>
              <w:spacing w:after="0" w:line="240" w:lineRule="auto"/>
              <w:jc w:val="center"/>
              <w:rPr>
                <w:b/>
                <w:bCs/>
                <w:color w:val="000000"/>
                <w:szCs w:val="22"/>
              </w:rPr>
            </w:pPr>
            <w:r w:rsidRPr="003B3431">
              <w:rPr>
                <w:b/>
                <w:bCs/>
                <w:color w:val="000000"/>
                <w:sz w:val="22"/>
                <w:szCs w:val="22"/>
              </w:rPr>
              <w:t>2009</w:t>
            </w:r>
          </w:p>
        </w:tc>
        <w:tc>
          <w:tcPr>
            <w:tcW w:w="1100"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3B3431" w:rsidRPr="003B3431" w:rsidRDefault="003B3431" w:rsidP="003B3431">
            <w:pPr>
              <w:spacing w:after="0" w:line="240" w:lineRule="auto"/>
              <w:jc w:val="center"/>
              <w:rPr>
                <w:b/>
                <w:bCs/>
                <w:color w:val="000000"/>
                <w:szCs w:val="22"/>
              </w:rPr>
            </w:pPr>
            <w:r w:rsidRPr="003B3431">
              <w:rPr>
                <w:b/>
                <w:bCs/>
                <w:color w:val="000000"/>
                <w:sz w:val="22"/>
                <w:szCs w:val="22"/>
              </w:rPr>
              <w:t>2010</w:t>
            </w:r>
          </w:p>
        </w:tc>
        <w:tc>
          <w:tcPr>
            <w:tcW w:w="1100" w:type="dxa"/>
            <w:tcBorders>
              <w:top w:val="single" w:sz="12" w:space="0" w:color="auto"/>
              <w:left w:val="nil"/>
              <w:bottom w:val="double" w:sz="6" w:space="0" w:color="auto"/>
              <w:right w:val="single" w:sz="12" w:space="0" w:color="auto"/>
            </w:tcBorders>
            <w:shd w:val="clear" w:color="auto" w:fill="E5DFEC" w:themeFill="accent4" w:themeFillTint="33"/>
            <w:vAlign w:val="center"/>
            <w:hideMark/>
          </w:tcPr>
          <w:p w:rsidR="003B3431" w:rsidRPr="003B3431" w:rsidRDefault="003B3431" w:rsidP="003B3431">
            <w:pPr>
              <w:spacing w:after="0" w:line="240" w:lineRule="auto"/>
              <w:jc w:val="center"/>
              <w:rPr>
                <w:b/>
                <w:bCs/>
                <w:color w:val="000000"/>
                <w:szCs w:val="22"/>
              </w:rPr>
            </w:pPr>
            <w:r w:rsidRPr="003B3431">
              <w:rPr>
                <w:b/>
                <w:bCs/>
                <w:color w:val="000000"/>
                <w:sz w:val="22"/>
                <w:szCs w:val="22"/>
              </w:rPr>
              <w:t>2011</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PASIVA CELKEM</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67</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2 251 447</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1 848 693</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1 766 282</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A.</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Vlastní kapitál</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68</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730 135</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670 601</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867 414</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proofErr w:type="gramStart"/>
            <w:r w:rsidRPr="003B3431">
              <w:rPr>
                <w:color w:val="000000"/>
                <w:sz w:val="22"/>
                <w:szCs w:val="22"/>
              </w:rPr>
              <w:t>A.  I.</w:t>
            </w:r>
            <w:proofErr w:type="gramEnd"/>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Základní kapitál</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69</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100 000</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100 000</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100 000</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proofErr w:type="gramStart"/>
            <w:r w:rsidRPr="003B3431">
              <w:rPr>
                <w:color w:val="000000"/>
                <w:sz w:val="22"/>
                <w:szCs w:val="22"/>
              </w:rPr>
              <w:t>A.  I. 1.</w:t>
            </w:r>
            <w:proofErr w:type="gramEnd"/>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Základní kapitál</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70</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100 000</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100 000</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100 000</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2.</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Vlastní akcie a vlastní obchodní podíly (-)</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71</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3.</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Změny základního kapitálu</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72</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A. II.</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Kapitálové fondy</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73</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A. II. 1.</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Emisní ážio</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74</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2.</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Ostatní kapitálové fondy</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75</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600"/>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3.</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Oceňovací rozdíly z přecenění majetku a závazků</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76</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600"/>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4.</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Oceňovací rozdíly z přecenění při přeměnách společností</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77</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5.</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Rozdíly z přeměn společností</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78</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600"/>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proofErr w:type="gramStart"/>
            <w:r w:rsidRPr="003B3431">
              <w:rPr>
                <w:color w:val="000000"/>
                <w:sz w:val="22"/>
                <w:szCs w:val="22"/>
              </w:rPr>
              <w:t>A.III</w:t>
            </w:r>
            <w:proofErr w:type="gramEnd"/>
            <w:r w:rsidRPr="003B3431">
              <w:rPr>
                <w:color w:val="000000"/>
                <w:sz w:val="22"/>
                <w:szCs w:val="22"/>
              </w:rPr>
              <w:t>.</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Rezervní fondy, nedělitelný fond a ostatní fondy ze zisku</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79</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10 000</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10 000</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10 000</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proofErr w:type="gramStart"/>
            <w:r w:rsidRPr="003B3431">
              <w:rPr>
                <w:color w:val="000000"/>
                <w:sz w:val="22"/>
                <w:szCs w:val="22"/>
              </w:rPr>
              <w:t>A.III</w:t>
            </w:r>
            <w:proofErr w:type="gramEnd"/>
            <w:r w:rsidRPr="003B3431">
              <w:rPr>
                <w:color w:val="000000"/>
                <w:sz w:val="22"/>
                <w:szCs w:val="22"/>
              </w:rPr>
              <w:t>. 1.</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Zákonný rezervní fond / Nedělitelný fond</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80</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10 000</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10 000</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10 000</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2.</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Statutární a ostatní fondy</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81</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proofErr w:type="gramStart"/>
            <w:r w:rsidRPr="003B3431">
              <w:rPr>
                <w:color w:val="000000"/>
                <w:sz w:val="22"/>
                <w:szCs w:val="22"/>
              </w:rPr>
              <w:t>A.IV</w:t>
            </w:r>
            <w:proofErr w:type="gramEnd"/>
            <w:r w:rsidRPr="003B3431">
              <w:rPr>
                <w:color w:val="000000"/>
                <w:sz w:val="22"/>
                <w:szCs w:val="22"/>
              </w:rPr>
              <w:t>.</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Výsledek hospodaření minulých let</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82</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486 135</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620 135</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560 601</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proofErr w:type="gramStart"/>
            <w:r w:rsidRPr="003B3431">
              <w:rPr>
                <w:color w:val="000000"/>
                <w:sz w:val="22"/>
                <w:szCs w:val="22"/>
              </w:rPr>
              <w:t>A.IV</w:t>
            </w:r>
            <w:proofErr w:type="gramEnd"/>
            <w:r w:rsidRPr="003B3431">
              <w:rPr>
                <w:color w:val="000000"/>
                <w:sz w:val="22"/>
                <w:szCs w:val="22"/>
              </w:rPr>
              <w:t>.1.</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Nerozdělený zisk minulých let</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83</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486 135</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620 135</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560 601</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2.</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Neuhrazená ztráta minulých let</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84</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600"/>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proofErr w:type="gramStart"/>
            <w:r w:rsidRPr="003B3431">
              <w:rPr>
                <w:color w:val="000000"/>
                <w:sz w:val="22"/>
                <w:szCs w:val="22"/>
              </w:rPr>
              <w:t>A.  V.</w:t>
            </w:r>
            <w:proofErr w:type="gramEnd"/>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Výsledek hospodaření běžného účetního období (+/-)</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85</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134 000</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-59 534</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196 813</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B.</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Cizí zdroje</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86</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1 521 312</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1 178 093</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898 868</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proofErr w:type="gramStart"/>
            <w:r w:rsidRPr="003B3431">
              <w:rPr>
                <w:color w:val="000000"/>
                <w:sz w:val="22"/>
                <w:szCs w:val="22"/>
              </w:rPr>
              <w:t>B.  I.</w:t>
            </w:r>
            <w:proofErr w:type="gramEnd"/>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Rezervy</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87</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proofErr w:type="gramStart"/>
            <w:r w:rsidRPr="003B3431">
              <w:rPr>
                <w:color w:val="000000"/>
                <w:sz w:val="22"/>
                <w:szCs w:val="22"/>
              </w:rPr>
              <w:t>B.  I. 1.</w:t>
            </w:r>
            <w:proofErr w:type="gramEnd"/>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Rezervy podle zvláštních právních předpisů</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88</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2.</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Rezerva na důchody a podobné závazky</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89</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3.</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Rezerva na daň z příjmů</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90</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4.</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Ostatní rezervy</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91</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B. II.</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Dlouhodobé závazky</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92</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B. II. 1.</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Závazky z obchodních vztahů</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93</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2.</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Závazky - ovládající a řídící osoba</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94</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lastRenderedPageBreak/>
              <w:t xml:space="preserve">      3.</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Závazky - podstatný vliv</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95</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600"/>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4.</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Závazky ke spol., členům družstva a k účastníkům sdružení</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96</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5.</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Dlouhodobé přijaté zálohy</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97</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6.</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Vydané dluhopisy</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98</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7.</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Dlouhodobé směnky k úhradě</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99</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8.</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Dohadné účty pasivní</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100</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9.</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Jiné závazky</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101</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10.</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Odložený daňový závazek</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102</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proofErr w:type="gramStart"/>
            <w:r w:rsidRPr="003B3431">
              <w:rPr>
                <w:color w:val="000000"/>
                <w:sz w:val="22"/>
                <w:szCs w:val="22"/>
              </w:rPr>
              <w:t>B.III</w:t>
            </w:r>
            <w:proofErr w:type="gramEnd"/>
            <w:r w:rsidRPr="003B3431">
              <w:rPr>
                <w:color w:val="000000"/>
                <w:sz w:val="22"/>
                <w:szCs w:val="22"/>
              </w:rPr>
              <w:t>.</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Krátkodobé závazky</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103</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517 757</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478 153</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398 968</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proofErr w:type="gramStart"/>
            <w:r w:rsidRPr="003B3431">
              <w:rPr>
                <w:color w:val="000000"/>
                <w:sz w:val="22"/>
                <w:szCs w:val="22"/>
              </w:rPr>
              <w:t>B.III</w:t>
            </w:r>
            <w:proofErr w:type="gramEnd"/>
            <w:r w:rsidRPr="003B3431">
              <w:rPr>
                <w:color w:val="000000"/>
                <w:sz w:val="22"/>
                <w:szCs w:val="22"/>
              </w:rPr>
              <w:t>. 1.</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Závazky z obchodních vztahů</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104</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24 813</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186 339</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105 506</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2.</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Závazky - ovládající a řídící osoba</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105</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3.</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Závazky - podstatný vliv</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106</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600"/>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4.</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Závazky ke spol., členům družstva a k účastníkům sdružení</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107</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37 879</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37 752</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28 954</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5.</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Závazky k zaměstnancům</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108</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37 347</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9 984</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23 908</w:t>
            </w:r>
          </w:p>
        </w:tc>
      </w:tr>
      <w:tr w:rsidR="003B3431" w:rsidRPr="003B3431" w:rsidTr="003B3431">
        <w:trPr>
          <w:trHeight w:val="600"/>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6.</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Závazky ze sociálního zabezpečení a zdravotního pojištění</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109</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83 087</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24 966</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25 993</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7.</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Stát - daňové závazky</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110</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334 632</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85 784</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81 279</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8.</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Krátkodobé přijaté zálohy</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111</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133 328</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133 328</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9.</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Vydané dluhopisy</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112</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10.</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Dohadné účty pasivní</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113</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11.</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Jiné závazky</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114</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B. IV.</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Bankovní úvěry a výpomoci</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115</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1 003 554</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699 940</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499 900</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xml:space="preserve">B. </w:t>
            </w:r>
            <w:proofErr w:type="gramStart"/>
            <w:r w:rsidRPr="003B3431">
              <w:rPr>
                <w:color w:val="000000"/>
                <w:sz w:val="22"/>
                <w:szCs w:val="22"/>
              </w:rPr>
              <w:t>IV.1.</w:t>
            </w:r>
            <w:proofErr w:type="gramEnd"/>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Bankovní úvěry dlouhodobé</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116</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2.</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Krátkodobé bankovní úvěry</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117</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1 003 554</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699 940</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499 900</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3.</w:t>
            </w:r>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Krátkodobé finanční výpomoci</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118</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proofErr w:type="gramStart"/>
            <w:r w:rsidRPr="003B3431">
              <w:rPr>
                <w:color w:val="000000"/>
                <w:sz w:val="22"/>
                <w:szCs w:val="22"/>
              </w:rPr>
              <w:t>C.  I.</w:t>
            </w:r>
            <w:proofErr w:type="gramEnd"/>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Časové rozlišení</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119</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proofErr w:type="gramStart"/>
            <w:r w:rsidRPr="003B3431">
              <w:rPr>
                <w:color w:val="000000"/>
                <w:sz w:val="22"/>
                <w:szCs w:val="22"/>
              </w:rPr>
              <w:t>C.  I. 1.</w:t>
            </w:r>
            <w:proofErr w:type="gramEnd"/>
          </w:p>
        </w:tc>
        <w:tc>
          <w:tcPr>
            <w:tcW w:w="394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Výdaje příštích období</w:t>
            </w:r>
          </w:p>
        </w:tc>
        <w:tc>
          <w:tcPr>
            <w:tcW w:w="6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120</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4"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r w:rsidR="003B3431" w:rsidRPr="003B3431" w:rsidTr="003B3431">
        <w:trPr>
          <w:trHeight w:val="342"/>
          <w:jc w:val="center"/>
        </w:trPr>
        <w:tc>
          <w:tcPr>
            <w:tcW w:w="820" w:type="dxa"/>
            <w:tcBorders>
              <w:top w:val="nil"/>
              <w:left w:val="single" w:sz="12" w:space="0" w:color="auto"/>
              <w:bottom w:val="single" w:sz="12" w:space="0" w:color="auto"/>
              <w:right w:val="single" w:sz="4" w:space="0" w:color="auto"/>
            </w:tcBorders>
            <w:shd w:val="clear" w:color="auto" w:fill="auto"/>
            <w:vAlign w:val="center"/>
            <w:hideMark/>
          </w:tcPr>
          <w:p w:rsidR="003B3431" w:rsidRPr="003B3431" w:rsidRDefault="003B3431" w:rsidP="003B3431">
            <w:pPr>
              <w:spacing w:after="0" w:line="240" w:lineRule="auto"/>
              <w:jc w:val="right"/>
              <w:rPr>
                <w:color w:val="000000"/>
                <w:szCs w:val="22"/>
              </w:rPr>
            </w:pPr>
            <w:r w:rsidRPr="003B3431">
              <w:rPr>
                <w:color w:val="000000"/>
                <w:sz w:val="22"/>
                <w:szCs w:val="22"/>
              </w:rPr>
              <w:t xml:space="preserve">      2.</w:t>
            </w:r>
          </w:p>
        </w:tc>
        <w:tc>
          <w:tcPr>
            <w:tcW w:w="3940" w:type="dxa"/>
            <w:tcBorders>
              <w:top w:val="nil"/>
              <w:left w:val="nil"/>
              <w:bottom w:val="single" w:sz="12"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Výnosy příštích období</w:t>
            </w:r>
          </w:p>
        </w:tc>
        <w:tc>
          <w:tcPr>
            <w:tcW w:w="600" w:type="dxa"/>
            <w:tcBorders>
              <w:top w:val="nil"/>
              <w:left w:val="nil"/>
              <w:bottom w:val="single" w:sz="12" w:space="0" w:color="auto"/>
              <w:right w:val="single" w:sz="4" w:space="0" w:color="auto"/>
            </w:tcBorders>
            <w:shd w:val="clear" w:color="auto" w:fill="auto"/>
            <w:vAlign w:val="center"/>
            <w:hideMark/>
          </w:tcPr>
          <w:p w:rsidR="003B3431" w:rsidRPr="003B3431" w:rsidRDefault="003B3431" w:rsidP="003B3431">
            <w:pPr>
              <w:spacing w:after="0" w:line="240" w:lineRule="auto"/>
              <w:jc w:val="center"/>
              <w:rPr>
                <w:color w:val="000000"/>
                <w:szCs w:val="22"/>
              </w:rPr>
            </w:pPr>
            <w:r w:rsidRPr="003B3431">
              <w:rPr>
                <w:color w:val="000000"/>
                <w:sz w:val="22"/>
                <w:szCs w:val="22"/>
              </w:rPr>
              <w:t>121</w:t>
            </w:r>
          </w:p>
        </w:tc>
        <w:tc>
          <w:tcPr>
            <w:tcW w:w="1100" w:type="dxa"/>
            <w:tcBorders>
              <w:top w:val="nil"/>
              <w:left w:val="nil"/>
              <w:bottom w:val="single" w:sz="12"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12" w:space="0" w:color="auto"/>
              <w:right w:val="single" w:sz="4"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c>
          <w:tcPr>
            <w:tcW w:w="1100" w:type="dxa"/>
            <w:tcBorders>
              <w:top w:val="nil"/>
              <w:left w:val="nil"/>
              <w:bottom w:val="single" w:sz="12" w:space="0" w:color="auto"/>
              <w:right w:val="single" w:sz="12" w:space="0" w:color="auto"/>
            </w:tcBorders>
            <w:shd w:val="clear" w:color="auto" w:fill="auto"/>
            <w:vAlign w:val="center"/>
            <w:hideMark/>
          </w:tcPr>
          <w:p w:rsidR="003B3431" w:rsidRPr="003B3431" w:rsidRDefault="003B3431" w:rsidP="003B3431">
            <w:pPr>
              <w:spacing w:after="0" w:line="240" w:lineRule="auto"/>
              <w:jc w:val="left"/>
              <w:rPr>
                <w:color w:val="000000"/>
                <w:szCs w:val="22"/>
              </w:rPr>
            </w:pPr>
            <w:r w:rsidRPr="003B3431">
              <w:rPr>
                <w:color w:val="000000"/>
                <w:sz w:val="22"/>
                <w:szCs w:val="22"/>
              </w:rPr>
              <w:t> </w:t>
            </w:r>
          </w:p>
        </w:tc>
      </w:tr>
    </w:tbl>
    <w:p w:rsidR="009C0A3F" w:rsidRDefault="00105AC8" w:rsidP="00FC285D">
      <w:pPr>
        <w:pStyle w:val="dajepodtabulkou"/>
        <w:ind w:left="0"/>
      </w:pPr>
      <w:r>
        <w:t>Zdroj: Q – MONT s. r. o.</w:t>
      </w:r>
    </w:p>
    <w:p w:rsidR="00E608EF" w:rsidRDefault="00E608EF" w:rsidP="00FC285D">
      <w:pPr>
        <w:pStyle w:val="dajepodtabulkou"/>
        <w:ind w:left="0"/>
      </w:pPr>
    </w:p>
    <w:p w:rsidR="00E608EF" w:rsidRPr="009F40BD" w:rsidRDefault="00E608EF" w:rsidP="00E608EF">
      <w:pPr>
        <w:pStyle w:val="Titulek"/>
      </w:pPr>
      <w:bookmarkStart w:id="306" w:name="_Toc353437255"/>
      <w:bookmarkStart w:id="307" w:name="_Toc353438805"/>
      <w:r>
        <w:lastRenderedPageBreak/>
        <w:t xml:space="preserve">Příloha </w:t>
      </w:r>
      <w:r w:rsidR="00C96C2B">
        <w:fldChar w:fldCharType="begin"/>
      </w:r>
      <w:r w:rsidR="00C96C2B">
        <w:instrText xml:space="preserve"> SEQ Příloha \* ARABIC </w:instrText>
      </w:r>
      <w:r w:rsidR="00C96C2B">
        <w:fldChar w:fldCharType="separate"/>
      </w:r>
      <w:r w:rsidR="002534BA">
        <w:rPr>
          <w:noProof/>
        </w:rPr>
        <w:t>11</w:t>
      </w:r>
      <w:r w:rsidR="00C96C2B">
        <w:rPr>
          <w:noProof/>
        </w:rPr>
        <w:fldChar w:fldCharType="end"/>
      </w:r>
      <w:r w:rsidR="00D30246">
        <w:t xml:space="preserve"> Upravené výkazy zisku</w:t>
      </w:r>
      <w:r w:rsidRPr="009F40BD">
        <w:t xml:space="preserve"> a ztrát</w:t>
      </w:r>
      <w:r w:rsidR="00D30246">
        <w:t>y</w:t>
      </w:r>
      <w:r w:rsidRPr="009F40BD">
        <w:t xml:space="preserve"> společnosti </w:t>
      </w:r>
      <w:r>
        <w:t>Q - MONT</w:t>
      </w:r>
      <w:r w:rsidRPr="009F40BD">
        <w:t xml:space="preserve"> s. r. o. za období roku 2009 - 2011</w:t>
      </w:r>
      <w:bookmarkEnd w:id="306"/>
      <w:bookmarkEnd w:id="307"/>
    </w:p>
    <w:p w:rsidR="00E608EF" w:rsidRDefault="00E608EF" w:rsidP="00837C1D">
      <w:pPr>
        <w:pStyle w:val="Odstavecnormln"/>
      </w:pPr>
      <w:r>
        <w:t>Z důvod</w:t>
      </w:r>
      <w:r w:rsidR="00D30246">
        <w:t>u přehlednosti byly výkazy zisku</w:t>
      </w:r>
      <w:r>
        <w:t xml:space="preserve"> a ztrát</w:t>
      </w:r>
      <w:r w:rsidR="00D30246">
        <w:t>y</w:t>
      </w:r>
      <w:r>
        <w:t xml:space="preserve"> společnosti Q - MONT s. r. o. upraveny do jedné tabulky. Označení položek a čísla řádků </w:t>
      </w:r>
      <w:r w:rsidR="00A720AB">
        <w:t>tabulky</w:t>
      </w:r>
      <w:r>
        <w:t xml:space="preserve"> odpovídají označení </w:t>
      </w:r>
      <w:r w:rsidR="00A720AB">
        <w:t>položek uvedených ve výkazech</w:t>
      </w:r>
      <w:r>
        <w:t xml:space="preserve"> zisků a ztrát v plném rozsahu.</w:t>
      </w:r>
    </w:p>
    <w:p w:rsidR="00E608EF" w:rsidRDefault="003D5672" w:rsidP="003D5672">
      <w:pPr>
        <w:pStyle w:val="dajenadtabulkouazdroj"/>
      </w:pPr>
      <w:r>
        <w:t>Údaje jsou uvedeny v celých Kč</w:t>
      </w:r>
    </w:p>
    <w:tbl>
      <w:tblPr>
        <w:tblW w:w="9740" w:type="dxa"/>
        <w:jc w:val="center"/>
        <w:tblCellMar>
          <w:left w:w="70" w:type="dxa"/>
          <w:right w:w="70" w:type="dxa"/>
        </w:tblCellMar>
        <w:tblLook w:val="04A0" w:firstRow="1" w:lastRow="0" w:firstColumn="1" w:lastColumn="0" w:noHBand="0" w:noVBand="1"/>
      </w:tblPr>
      <w:tblGrid>
        <w:gridCol w:w="760"/>
        <w:gridCol w:w="4740"/>
        <w:gridCol w:w="700"/>
        <w:gridCol w:w="1180"/>
        <w:gridCol w:w="1180"/>
        <w:gridCol w:w="1180"/>
      </w:tblGrid>
      <w:tr w:rsidR="003D5672" w:rsidRPr="003D5672" w:rsidTr="00C336D4">
        <w:trPr>
          <w:trHeight w:val="510"/>
          <w:tblHeader/>
          <w:jc w:val="center"/>
        </w:trPr>
        <w:tc>
          <w:tcPr>
            <w:tcW w:w="760" w:type="dxa"/>
            <w:tcBorders>
              <w:top w:val="single" w:sz="12" w:space="0" w:color="auto"/>
              <w:left w:val="single" w:sz="12" w:space="0" w:color="auto"/>
              <w:bottom w:val="double" w:sz="6" w:space="0" w:color="auto"/>
              <w:right w:val="single" w:sz="4" w:space="0" w:color="auto"/>
            </w:tcBorders>
            <w:shd w:val="clear" w:color="auto" w:fill="E5DFEC" w:themeFill="accent4" w:themeFillTint="33"/>
            <w:vAlign w:val="center"/>
            <w:hideMark/>
          </w:tcPr>
          <w:p w:rsidR="003D5672" w:rsidRPr="003D5672" w:rsidRDefault="003D5672" w:rsidP="003D5672">
            <w:pPr>
              <w:spacing w:after="0" w:line="240" w:lineRule="auto"/>
              <w:jc w:val="center"/>
              <w:rPr>
                <w:b/>
                <w:bCs/>
                <w:color w:val="000000"/>
                <w:szCs w:val="22"/>
              </w:rPr>
            </w:pPr>
            <w:r w:rsidRPr="003D5672">
              <w:rPr>
                <w:b/>
                <w:bCs/>
                <w:color w:val="000000"/>
                <w:sz w:val="22"/>
                <w:szCs w:val="22"/>
              </w:rPr>
              <w:t>OZN.</w:t>
            </w:r>
          </w:p>
        </w:tc>
        <w:tc>
          <w:tcPr>
            <w:tcW w:w="4740"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3D5672" w:rsidRPr="003D5672" w:rsidRDefault="003D5672" w:rsidP="00D30246">
            <w:pPr>
              <w:spacing w:after="0" w:line="240" w:lineRule="auto"/>
              <w:jc w:val="center"/>
              <w:rPr>
                <w:b/>
                <w:bCs/>
                <w:color w:val="000000"/>
                <w:szCs w:val="22"/>
              </w:rPr>
            </w:pPr>
            <w:r w:rsidRPr="003D5672">
              <w:rPr>
                <w:b/>
                <w:bCs/>
                <w:color w:val="000000"/>
                <w:sz w:val="22"/>
                <w:szCs w:val="22"/>
              </w:rPr>
              <w:t>VÝKAZ ZISK</w:t>
            </w:r>
            <w:r w:rsidR="00D30246">
              <w:rPr>
                <w:b/>
                <w:bCs/>
                <w:color w:val="000000"/>
                <w:sz w:val="22"/>
                <w:szCs w:val="22"/>
              </w:rPr>
              <w:t>U</w:t>
            </w:r>
            <w:r w:rsidRPr="003D5672">
              <w:rPr>
                <w:b/>
                <w:bCs/>
                <w:color w:val="000000"/>
                <w:sz w:val="22"/>
                <w:szCs w:val="22"/>
              </w:rPr>
              <w:t xml:space="preserve"> A ZTRÁT</w:t>
            </w:r>
            <w:r w:rsidR="00D30246">
              <w:rPr>
                <w:b/>
                <w:bCs/>
                <w:color w:val="000000"/>
                <w:sz w:val="22"/>
                <w:szCs w:val="22"/>
              </w:rPr>
              <w:t>Y</w:t>
            </w:r>
          </w:p>
        </w:tc>
        <w:tc>
          <w:tcPr>
            <w:tcW w:w="700"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3D5672" w:rsidRPr="003D5672" w:rsidRDefault="003D5672" w:rsidP="003D5672">
            <w:pPr>
              <w:spacing w:after="0" w:line="240" w:lineRule="auto"/>
              <w:jc w:val="center"/>
              <w:rPr>
                <w:b/>
                <w:bCs/>
                <w:color w:val="000000"/>
                <w:szCs w:val="22"/>
              </w:rPr>
            </w:pPr>
            <w:proofErr w:type="gramStart"/>
            <w:r w:rsidRPr="003D5672">
              <w:rPr>
                <w:b/>
                <w:bCs/>
                <w:color w:val="000000"/>
                <w:sz w:val="22"/>
                <w:szCs w:val="22"/>
              </w:rPr>
              <w:t>Č.Ř.</w:t>
            </w:r>
            <w:proofErr w:type="gramEnd"/>
          </w:p>
        </w:tc>
        <w:tc>
          <w:tcPr>
            <w:tcW w:w="1180"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3D5672" w:rsidRPr="003D5672" w:rsidRDefault="003D5672" w:rsidP="003D5672">
            <w:pPr>
              <w:spacing w:after="0" w:line="240" w:lineRule="auto"/>
              <w:jc w:val="center"/>
              <w:rPr>
                <w:b/>
                <w:bCs/>
                <w:color w:val="000000"/>
                <w:szCs w:val="22"/>
              </w:rPr>
            </w:pPr>
            <w:r w:rsidRPr="003D5672">
              <w:rPr>
                <w:b/>
                <w:bCs/>
                <w:color w:val="000000"/>
                <w:sz w:val="22"/>
                <w:szCs w:val="22"/>
              </w:rPr>
              <w:t>2009</w:t>
            </w:r>
          </w:p>
        </w:tc>
        <w:tc>
          <w:tcPr>
            <w:tcW w:w="1180" w:type="dxa"/>
            <w:tcBorders>
              <w:top w:val="single" w:sz="12" w:space="0" w:color="auto"/>
              <w:left w:val="nil"/>
              <w:bottom w:val="double" w:sz="6" w:space="0" w:color="auto"/>
              <w:right w:val="single" w:sz="4" w:space="0" w:color="auto"/>
            </w:tcBorders>
            <w:shd w:val="clear" w:color="auto" w:fill="E5DFEC" w:themeFill="accent4" w:themeFillTint="33"/>
            <w:vAlign w:val="center"/>
            <w:hideMark/>
          </w:tcPr>
          <w:p w:rsidR="003D5672" w:rsidRPr="003D5672" w:rsidRDefault="003D5672" w:rsidP="003D5672">
            <w:pPr>
              <w:spacing w:after="0" w:line="240" w:lineRule="auto"/>
              <w:jc w:val="center"/>
              <w:rPr>
                <w:b/>
                <w:bCs/>
                <w:color w:val="000000"/>
                <w:szCs w:val="22"/>
              </w:rPr>
            </w:pPr>
            <w:r w:rsidRPr="003D5672">
              <w:rPr>
                <w:b/>
                <w:bCs/>
                <w:color w:val="000000"/>
                <w:sz w:val="22"/>
                <w:szCs w:val="22"/>
              </w:rPr>
              <w:t>2010</w:t>
            </w:r>
          </w:p>
        </w:tc>
        <w:tc>
          <w:tcPr>
            <w:tcW w:w="1180" w:type="dxa"/>
            <w:tcBorders>
              <w:top w:val="single" w:sz="12" w:space="0" w:color="auto"/>
              <w:left w:val="nil"/>
              <w:bottom w:val="double" w:sz="6" w:space="0" w:color="auto"/>
              <w:right w:val="single" w:sz="12" w:space="0" w:color="auto"/>
            </w:tcBorders>
            <w:shd w:val="clear" w:color="auto" w:fill="E5DFEC" w:themeFill="accent4" w:themeFillTint="33"/>
            <w:vAlign w:val="center"/>
            <w:hideMark/>
          </w:tcPr>
          <w:p w:rsidR="003D5672" w:rsidRPr="003D5672" w:rsidRDefault="003D5672" w:rsidP="003D5672">
            <w:pPr>
              <w:spacing w:after="0" w:line="240" w:lineRule="auto"/>
              <w:jc w:val="center"/>
              <w:rPr>
                <w:b/>
                <w:bCs/>
                <w:color w:val="000000"/>
                <w:szCs w:val="22"/>
              </w:rPr>
            </w:pPr>
            <w:r w:rsidRPr="003D5672">
              <w:rPr>
                <w:b/>
                <w:bCs/>
                <w:color w:val="000000"/>
                <w:sz w:val="22"/>
                <w:szCs w:val="22"/>
              </w:rPr>
              <w:t>2011</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I.</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Tržby za prodej zboží</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1</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A.</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Náklady vynaložené na prodané zboží</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2</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Obchodní marže</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3</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II.</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Výkony</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4</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6 184 011</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4 310 882</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3 799 646</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II. 1.</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Tržby za prodej vlastních výrobků a služeb</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5</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6 184 011</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4 310 882</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3 799 646</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2.</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Změna stavu zásob vlastní činnosti</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6</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3.</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Aktivace</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7</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B.</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Výkonová spotřeba</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8</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3 916 617</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3 041 528</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2 523 771</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B.    1.</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Spotřeba materiálu a energie</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9</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139 894</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122 635</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61 373</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B.    2.</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Služby</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10</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3 776 722</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2 918 894</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2 462 398</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Přidaná hodnota</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11</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2 267 394</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1 269 354</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1 275 875</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C.</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Osobní náklady</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12</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1 828 798</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1 182 131</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861 313</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proofErr w:type="gramStart"/>
            <w:r w:rsidRPr="003D5672">
              <w:rPr>
                <w:color w:val="000000"/>
                <w:sz w:val="22"/>
                <w:szCs w:val="22"/>
              </w:rPr>
              <w:t>C.    1.</w:t>
            </w:r>
            <w:proofErr w:type="gramEnd"/>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Mzdové náklady</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13</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1 404 773</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876 967</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608 557</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proofErr w:type="gramStart"/>
            <w:r w:rsidRPr="003D5672">
              <w:rPr>
                <w:color w:val="000000"/>
                <w:sz w:val="22"/>
                <w:szCs w:val="22"/>
              </w:rPr>
              <w:t>C.    2.</w:t>
            </w:r>
            <w:proofErr w:type="gramEnd"/>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Odměny členům orgánů společnosti a družstva</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14</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proofErr w:type="gramStart"/>
            <w:r w:rsidRPr="003D5672">
              <w:rPr>
                <w:color w:val="000000"/>
                <w:sz w:val="22"/>
                <w:szCs w:val="22"/>
              </w:rPr>
              <w:t>C.    3.</w:t>
            </w:r>
            <w:proofErr w:type="gramEnd"/>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Náklady na sociální zabezpečení a zdravotní pojištění</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15</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412 300</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299 692</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249 824</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proofErr w:type="gramStart"/>
            <w:r w:rsidRPr="003D5672">
              <w:rPr>
                <w:color w:val="000000"/>
                <w:sz w:val="22"/>
                <w:szCs w:val="22"/>
              </w:rPr>
              <w:t>C.    4.</w:t>
            </w:r>
            <w:proofErr w:type="gramEnd"/>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Sociální náklady</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16</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11 725</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5 472</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2 932</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D.</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Daně a poplatky</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17</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4 238</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12 500</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9 000</w:t>
            </w:r>
          </w:p>
        </w:tc>
      </w:tr>
      <w:tr w:rsidR="003D5672" w:rsidRPr="003D5672" w:rsidTr="00976D16">
        <w:trPr>
          <w:trHeight w:val="600"/>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E.</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Odpisy dlouhodobého nehmotného a hmotného majetku</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18</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80 155</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3 353</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67 647</w:t>
            </w:r>
          </w:p>
        </w:tc>
      </w:tr>
      <w:tr w:rsidR="003D5672" w:rsidRPr="003D5672" w:rsidTr="00976D16">
        <w:trPr>
          <w:trHeight w:val="600"/>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III.</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Tržby z prodeje dlouhodobého nehmotného majetku a materiálu</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19</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III. 1.</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Tržby z prodeje dlouhodobého majetku</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20</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2.</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Tržby z prodeje materiálu</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21</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600"/>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F.</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Zůstatková cena prodaného dlouhodobého majetku a materiálu</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22</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F.    1.</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Zůstatková cena prodaného dlouhodobého majetku</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23</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lastRenderedPageBreak/>
              <w:t xml:space="preserve">       2.</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Prodaný materiál</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24</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600"/>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G.</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976D16">
            <w:pPr>
              <w:spacing w:after="0" w:line="240" w:lineRule="auto"/>
              <w:jc w:val="left"/>
              <w:rPr>
                <w:color w:val="000000"/>
                <w:szCs w:val="22"/>
              </w:rPr>
            </w:pPr>
            <w:r w:rsidRPr="003D5672">
              <w:rPr>
                <w:color w:val="000000"/>
                <w:sz w:val="22"/>
                <w:szCs w:val="22"/>
              </w:rPr>
              <w:t xml:space="preserve">Změna stavu </w:t>
            </w:r>
            <w:proofErr w:type="gramStart"/>
            <w:r w:rsidRPr="003D5672">
              <w:rPr>
                <w:color w:val="000000"/>
                <w:sz w:val="22"/>
                <w:szCs w:val="22"/>
              </w:rPr>
              <w:t xml:space="preserve">rez. a </w:t>
            </w:r>
            <w:proofErr w:type="spellStart"/>
            <w:r w:rsidRPr="003D5672">
              <w:rPr>
                <w:color w:val="000000"/>
                <w:sz w:val="22"/>
                <w:szCs w:val="22"/>
              </w:rPr>
              <w:t>opr</w:t>
            </w:r>
            <w:proofErr w:type="gramEnd"/>
            <w:r w:rsidRPr="003D5672">
              <w:rPr>
                <w:color w:val="000000"/>
                <w:sz w:val="22"/>
                <w:szCs w:val="22"/>
              </w:rPr>
              <w:t>.pol</w:t>
            </w:r>
            <w:r w:rsidR="00976D16">
              <w:rPr>
                <w:color w:val="000000"/>
                <w:sz w:val="22"/>
                <w:szCs w:val="22"/>
              </w:rPr>
              <w:t>ožek</w:t>
            </w:r>
            <w:proofErr w:type="spellEnd"/>
            <w:r w:rsidR="00976D16">
              <w:rPr>
                <w:color w:val="000000"/>
                <w:sz w:val="22"/>
                <w:szCs w:val="22"/>
              </w:rPr>
              <w:t xml:space="preserve"> </w:t>
            </w:r>
            <w:r w:rsidRPr="003D5672">
              <w:rPr>
                <w:color w:val="000000"/>
                <w:sz w:val="22"/>
                <w:szCs w:val="22"/>
              </w:rPr>
              <w:t xml:space="preserve">v </w:t>
            </w:r>
            <w:proofErr w:type="spellStart"/>
            <w:r w:rsidRPr="003D5672">
              <w:rPr>
                <w:color w:val="000000"/>
                <w:sz w:val="22"/>
                <w:szCs w:val="22"/>
              </w:rPr>
              <w:t>prov.ob</w:t>
            </w:r>
            <w:r w:rsidR="00976D16">
              <w:rPr>
                <w:color w:val="000000"/>
                <w:sz w:val="22"/>
                <w:szCs w:val="22"/>
              </w:rPr>
              <w:t>a</w:t>
            </w:r>
            <w:r w:rsidRPr="003D5672">
              <w:rPr>
                <w:color w:val="000000"/>
                <w:sz w:val="22"/>
                <w:szCs w:val="22"/>
              </w:rPr>
              <w:t>l</w:t>
            </w:r>
            <w:r w:rsidR="00976D16">
              <w:rPr>
                <w:color w:val="000000"/>
                <w:sz w:val="22"/>
                <w:szCs w:val="22"/>
              </w:rPr>
              <w:t>asti</w:t>
            </w:r>
            <w:proofErr w:type="spellEnd"/>
            <w:r w:rsidR="00976D16">
              <w:rPr>
                <w:color w:val="000000"/>
                <w:sz w:val="22"/>
                <w:szCs w:val="22"/>
              </w:rPr>
              <w:t xml:space="preserve"> </w:t>
            </w:r>
            <w:r w:rsidR="00976D16">
              <w:rPr>
                <w:color w:val="000000"/>
                <w:sz w:val="22"/>
                <w:szCs w:val="22"/>
              </w:rPr>
              <w:br/>
            </w:r>
            <w:r w:rsidRPr="003D5672">
              <w:rPr>
                <w:color w:val="000000"/>
                <w:sz w:val="22"/>
                <w:szCs w:val="22"/>
              </w:rPr>
              <w:t xml:space="preserve">a </w:t>
            </w:r>
            <w:proofErr w:type="spellStart"/>
            <w:r w:rsidRPr="003D5672">
              <w:rPr>
                <w:color w:val="000000"/>
                <w:sz w:val="22"/>
                <w:szCs w:val="22"/>
              </w:rPr>
              <w:t>komplex.nákl.př</w:t>
            </w:r>
            <w:r w:rsidR="00976D16">
              <w:rPr>
                <w:color w:val="000000"/>
                <w:sz w:val="22"/>
                <w:szCs w:val="22"/>
              </w:rPr>
              <w:t>íštích</w:t>
            </w:r>
            <w:proofErr w:type="spellEnd"/>
            <w:r w:rsidR="00976D16">
              <w:rPr>
                <w:color w:val="000000"/>
                <w:sz w:val="22"/>
                <w:szCs w:val="22"/>
              </w:rPr>
              <w:t xml:space="preserve"> </w:t>
            </w:r>
            <w:r w:rsidRPr="003D5672">
              <w:rPr>
                <w:color w:val="000000"/>
                <w:sz w:val="22"/>
                <w:szCs w:val="22"/>
              </w:rPr>
              <w:t>obd</w:t>
            </w:r>
            <w:r w:rsidR="00976D16">
              <w:rPr>
                <w:color w:val="000000"/>
                <w:sz w:val="22"/>
                <w:szCs w:val="22"/>
              </w:rPr>
              <w:t>obí</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25</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IV.</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Ostatní provozní výnosy</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26</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0</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2</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H.</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Ostatní provozní náklady</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27</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3</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V.</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Převod provozních výnosů</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28</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I.</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Převod provozních nákladů</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29</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Provozní výsledek hospodaření</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30</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354 204</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71 367</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337 916</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VI.</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Tržby z prodeje cenných papírů a podílů</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31</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J.</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Prodané cenné papíry a podíly</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32</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VII.</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Výnosy z dlouhodobého finančního majetku</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33</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600"/>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w:t>
            </w:r>
            <w:proofErr w:type="gramStart"/>
            <w:r w:rsidRPr="003D5672">
              <w:rPr>
                <w:color w:val="000000"/>
                <w:sz w:val="22"/>
                <w:szCs w:val="22"/>
              </w:rPr>
              <w:t>VII.1.</w:t>
            </w:r>
            <w:proofErr w:type="gramEnd"/>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Výnosy z pod. v </w:t>
            </w:r>
            <w:proofErr w:type="spellStart"/>
            <w:r w:rsidRPr="003D5672">
              <w:rPr>
                <w:color w:val="000000"/>
                <w:sz w:val="22"/>
                <w:szCs w:val="22"/>
              </w:rPr>
              <w:t>ovl.a</w:t>
            </w:r>
            <w:proofErr w:type="spellEnd"/>
            <w:r w:rsidRPr="003D5672">
              <w:rPr>
                <w:color w:val="000000"/>
                <w:sz w:val="22"/>
                <w:szCs w:val="22"/>
              </w:rPr>
              <w:t xml:space="preserve"> </w:t>
            </w:r>
            <w:proofErr w:type="spellStart"/>
            <w:proofErr w:type="gramStart"/>
            <w:r w:rsidRPr="003D5672">
              <w:rPr>
                <w:color w:val="000000"/>
                <w:sz w:val="22"/>
                <w:szCs w:val="22"/>
              </w:rPr>
              <w:t>říz</w:t>
            </w:r>
            <w:proofErr w:type="gramEnd"/>
            <w:r w:rsidRPr="003D5672">
              <w:rPr>
                <w:color w:val="000000"/>
                <w:sz w:val="22"/>
                <w:szCs w:val="22"/>
              </w:rPr>
              <w:t>.</w:t>
            </w:r>
            <w:proofErr w:type="gramStart"/>
            <w:r w:rsidRPr="003D5672">
              <w:rPr>
                <w:color w:val="000000"/>
                <w:sz w:val="22"/>
                <w:szCs w:val="22"/>
              </w:rPr>
              <w:t>os</w:t>
            </w:r>
            <w:proofErr w:type="spellEnd"/>
            <w:proofErr w:type="gramEnd"/>
            <w:r w:rsidRPr="003D5672">
              <w:rPr>
                <w:color w:val="000000"/>
                <w:sz w:val="22"/>
                <w:szCs w:val="22"/>
              </w:rPr>
              <w:t xml:space="preserve">. a v </w:t>
            </w:r>
            <w:proofErr w:type="spellStart"/>
            <w:r w:rsidRPr="003D5672">
              <w:rPr>
                <w:color w:val="000000"/>
                <w:sz w:val="22"/>
                <w:szCs w:val="22"/>
              </w:rPr>
              <w:t>úč.jedn.pod</w:t>
            </w:r>
            <w:proofErr w:type="spellEnd"/>
            <w:r w:rsidRPr="003D5672">
              <w:rPr>
                <w:color w:val="000000"/>
                <w:sz w:val="22"/>
                <w:szCs w:val="22"/>
              </w:rPr>
              <w:t xml:space="preserve"> </w:t>
            </w:r>
            <w:proofErr w:type="spellStart"/>
            <w:r w:rsidRPr="003D5672">
              <w:rPr>
                <w:color w:val="000000"/>
                <w:sz w:val="22"/>
                <w:szCs w:val="22"/>
              </w:rPr>
              <w:t>podst.vlivem</w:t>
            </w:r>
            <w:proofErr w:type="spellEnd"/>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34</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600"/>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2.</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Výnosy z ostatních dlouhodobých cenných papírů a podílů</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35</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3.</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Výnosy z ostatního dlouhodobého finančního majetku</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36</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VIII.</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Výnosy z krátkodobého finančního majetku</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37</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K.</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Náklady z finančního majetku</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38</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IX.</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Výnosy z přecenění cenných papírů a derivátů</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39</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L.</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Náklady z přecenění cenných papírů a derivátů</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40</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600"/>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M.</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Změna stavu rezerv a opravných položek ve finanční oblasti</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41</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X.</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Výnosové úroky</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42</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108</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48</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14</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N.</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Nákladové úroky</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43</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114 935</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84 352</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45 113</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XI.</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Ostatní finanční výnosy</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44</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O.</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Ostatní finanční náklady</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45</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69 478</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46 597</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48 884</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XII.</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Převod finančních výnosů</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46</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P.</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Převod finančních nákladů</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47</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Finanční výsledek hospodaření</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48</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-184 304</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-130 901</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-93 983</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Q.</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Daň z příjmů za běžnou činnost</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49</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35 900</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47 120</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Q.    1.</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splatná</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50</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35 900</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47 120</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2.</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odložená</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51</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Výsledek hospodaření za běžnou činnost</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52</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134 000</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-59 534</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196 813</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lastRenderedPageBreak/>
              <w:t xml:space="preserve"> XIII.</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Mimořádné výnosy</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53</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R.</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Mimořádné náklady</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54</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S.</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Daň z příjmů z mimořádné činnosti</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55</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proofErr w:type="gramStart"/>
            <w:r w:rsidRPr="003D5672">
              <w:rPr>
                <w:color w:val="000000"/>
                <w:sz w:val="22"/>
                <w:szCs w:val="22"/>
              </w:rPr>
              <w:t>S.    1.</w:t>
            </w:r>
            <w:proofErr w:type="gramEnd"/>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splatná</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56</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2.</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odložená</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57</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Mimořádný výsledek hospodaření</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58</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T.</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Převod podílu na výsledku hospodaření společníkům</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59</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w:t>
            </w:r>
          </w:p>
        </w:tc>
      </w:tr>
      <w:tr w:rsidR="003D5672" w:rsidRPr="003D5672" w:rsidTr="00976D16">
        <w:trPr>
          <w:trHeight w:val="342"/>
          <w:jc w:val="center"/>
        </w:trPr>
        <w:tc>
          <w:tcPr>
            <w:tcW w:w="760" w:type="dxa"/>
            <w:tcBorders>
              <w:top w:val="nil"/>
              <w:left w:val="single" w:sz="12" w:space="0" w:color="auto"/>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w:t>
            </w:r>
          </w:p>
        </w:tc>
        <w:tc>
          <w:tcPr>
            <w:tcW w:w="474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Výsledek hospodaření za účetní období (+/)</w:t>
            </w:r>
          </w:p>
        </w:tc>
        <w:tc>
          <w:tcPr>
            <w:tcW w:w="70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60</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134 000</w:t>
            </w:r>
          </w:p>
        </w:tc>
        <w:tc>
          <w:tcPr>
            <w:tcW w:w="1180" w:type="dxa"/>
            <w:tcBorders>
              <w:top w:val="nil"/>
              <w:left w:val="nil"/>
              <w:bottom w:val="single" w:sz="4"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-59 534</w:t>
            </w:r>
          </w:p>
        </w:tc>
        <w:tc>
          <w:tcPr>
            <w:tcW w:w="1180" w:type="dxa"/>
            <w:tcBorders>
              <w:top w:val="nil"/>
              <w:left w:val="nil"/>
              <w:bottom w:val="single" w:sz="4"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196 813</w:t>
            </w:r>
          </w:p>
        </w:tc>
      </w:tr>
      <w:tr w:rsidR="003D5672" w:rsidRPr="003D5672" w:rsidTr="00976D16">
        <w:trPr>
          <w:trHeight w:val="342"/>
          <w:jc w:val="center"/>
        </w:trPr>
        <w:tc>
          <w:tcPr>
            <w:tcW w:w="760" w:type="dxa"/>
            <w:tcBorders>
              <w:top w:val="nil"/>
              <w:left w:val="single" w:sz="12" w:space="0" w:color="auto"/>
              <w:bottom w:val="single" w:sz="12"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 xml:space="preserve"> ****</w:t>
            </w:r>
          </w:p>
        </w:tc>
        <w:tc>
          <w:tcPr>
            <w:tcW w:w="4740" w:type="dxa"/>
            <w:tcBorders>
              <w:top w:val="nil"/>
              <w:left w:val="nil"/>
              <w:bottom w:val="single" w:sz="12" w:space="0" w:color="auto"/>
              <w:right w:val="single" w:sz="4" w:space="0" w:color="auto"/>
            </w:tcBorders>
            <w:shd w:val="clear" w:color="auto" w:fill="auto"/>
            <w:vAlign w:val="center"/>
            <w:hideMark/>
          </w:tcPr>
          <w:p w:rsidR="003D5672" w:rsidRPr="003D5672" w:rsidRDefault="003D5672" w:rsidP="003D5672">
            <w:pPr>
              <w:spacing w:after="0" w:line="240" w:lineRule="auto"/>
              <w:jc w:val="left"/>
              <w:rPr>
                <w:color w:val="000000"/>
                <w:szCs w:val="22"/>
              </w:rPr>
            </w:pPr>
            <w:r w:rsidRPr="003D5672">
              <w:rPr>
                <w:color w:val="000000"/>
                <w:sz w:val="22"/>
                <w:szCs w:val="22"/>
              </w:rPr>
              <w:t>Výsledek hospodaření před zdaněním</w:t>
            </w:r>
          </w:p>
        </w:tc>
        <w:tc>
          <w:tcPr>
            <w:tcW w:w="700" w:type="dxa"/>
            <w:tcBorders>
              <w:top w:val="nil"/>
              <w:left w:val="nil"/>
              <w:bottom w:val="single" w:sz="12" w:space="0" w:color="auto"/>
              <w:right w:val="single" w:sz="4" w:space="0" w:color="auto"/>
            </w:tcBorders>
            <w:shd w:val="clear" w:color="auto" w:fill="auto"/>
            <w:vAlign w:val="center"/>
            <w:hideMark/>
          </w:tcPr>
          <w:p w:rsidR="003D5672" w:rsidRPr="003D5672" w:rsidRDefault="003D5672" w:rsidP="003D5672">
            <w:pPr>
              <w:spacing w:after="0" w:line="240" w:lineRule="auto"/>
              <w:jc w:val="center"/>
              <w:rPr>
                <w:color w:val="000000"/>
                <w:szCs w:val="22"/>
              </w:rPr>
            </w:pPr>
            <w:r w:rsidRPr="003D5672">
              <w:rPr>
                <w:color w:val="000000"/>
                <w:sz w:val="22"/>
                <w:szCs w:val="22"/>
              </w:rPr>
              <w:t>61</w:t>
            </w:r>
          </w:p>
        </w:tc>
        <w:tc>
          <w:tcPr>
            <w:tcW w:w="1180" w:type="dxa"/>
            <w:tcBorders>
              <w:top w:val="nil"/>
              <w:left w:val="nil"/>
              <w:bottom w:val="single" w:sz="12"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169 900</w:t>
            </w:r>
          </w:p>
        </w:tc>
        <w:tc>
          <w:tcPr>
            <w:tcW w:w="1180" w:type="dxa"/>
            <w:tcBorders>
              <w:top w:val="nil"/>
              <w:left w:val="nil"/>
              <w:bottom w:val="single" w:sz="12" w:space="0" w:color="auto"/>
              <w:right w:val="single" w:sz="4"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-59 534</w:t>
            </w:r>
          </w:p>
        </w:tc>
        <w:tc>
          <w:tcPr>
            <w:tcW w:w="1180" w:type="dxa"/>
            <w:tcBorders>
              <w:top w:val="nil"/>
              <w:left w:val="nil"/>
              <w:bottom w:val="single" w:sz="12" w:space="0" w:color="auto"/>
              <w:right w:val="single" w:sz="12" w:space="0" w:color="auto"/>
            </w:tcBorders>
            <w:shd w:val="clear" w:color="auto" w:fill="auto"/>
            <w:vAlign w:val="center"/>
            <w:hideMark/>
          </w:tcPr>
          <w:p w:rsidR="003D5672" w:rsidRPr="003D5672" w:rsidRDefault="003D5672" w:rsidP="003D5672">
            <w:pPr>
              <w:spacing w:after="0" w:line="240" w:lineRule="auto"/>
              <w:jc w:val="right"/>
              <w:rPr>
                <w:color w:val="000000"/>
                <w:szCs w:val="22"/>
              </w:rPr>
            </w:pPr>
            <w:r w:rsidRPr="003D5672">
              <w:rPr>
                <w:color w:val="000000"/>
                <w:sz w:val="22"/>
                <w:szCs w:val="22"/>
              </w:rPr>
              <w:t>243 933</w:t>
            </w:r>
          </w:p>
        </w:tc>
      </w:tr>
    </w:tbl>
    <w:p w:rsidR="003D5672" w:rsidRDefault="00A029D1" w:rsidP="00E608EF">
      <w:r>
        <w:t>Zdroj: Q – MONT s. r. o.</w:t>
      </w:r>
    </w:p>
    <w:p w:rsidR="00E25629" w:rsidRDefault="00E25629" w:rsidP="00E25629">
      <w:pPr>
        <w:pStyle w:val="Titulek"/>
      </w:pPr>
      <w:bookmarkStart w:id="308" w:name="_Ref352358044"/>
      <w:bookmarkStart w:id="309" w:name="_Ref352359808"/>
      <w:bookmarkStart w:id="310" w:name="_Toc353437256"/>
      <w:bookmarkStart w:id="311" w:name="_Toc353438806"/>
      <w:r>
        <w:t xml:space="preserve">Příloha </w:t>
      </w:r>
      <w:r w:rsidR="00C96C2B">
        <w:fldChar w:fldCharType="begin"/>
      </w:r>
      <w:r w:rsidR="00C96C2B">
        <w:instrText xml:space="preserve"> SEQ Příloha \* ARABIC </w:instrText>
      </w:r>
      <w:r w:rsidR="00C96C2B">
        <w:fldChar w:fldCharType="separate"/>
      </w:r>
      <w:r w:rsidR="002534BA">
        <w:rPr>
          <w:noProof/>
        </w:rPr>
        <w:t>12</w:t>
      </w:r>
      <w:r w:rsidR="00C96C2B">
        <w:rPr>
          <w:noProof/>
        </w:rPr>
        <w:fldChar w:fldCharType="end"/>
      </w:r>
      <w:bookmarkEnd w:id="308"/>
      <w:r>
        <w:t xml:space="preserve"> </w:t>
      </w:r>
      <w:r w:rsidRPr="008413EA">
        <w:t xml:space="preserve">Účty </w:t>
      </w:r>
      <w:r>
        <w:t>nákladů a výnosů společnosti Q - MONT s. r. o.</w:t>
      </w:r>
      <w:bookmarkEnd w:id="309"/>
      <w:bookmarkEnd w:id="310"/>
      <w:bookmarkEnd w:id="311"/>
    </w:p>
    <w:p w:rsidR="009819A7" w:rsidRPr="008413EA" w:rsidRDefault="009819A7" w:rsidP="007F450B">
      <w:pPr>
        <w:pStyle w:val="dajenadtabulkouazdroj"/>
      </w:pPr>
      <w:r>
        <w:t>Údaje jsou uvedeny v celých Kč</w:t>
      </w:r>
    </w:p>
    <w:tbl>
      <w:tblPr>
        <w:tblW w:w="8480" w:type="dxa"/>
        <w:jc w:val="center"/>
        <w:tblInd w:w="55" w:type="dxa"/>
        <w:tblCellMar>
          <w:left w:w="70" w:type="dxa"/>
          <w:right w:w="70" w:type="dxa"/>
        </w:tblCellMar>
        <w:tblLook w:val="04A0" w:firstRow="1" w:lastRow="0" w:firstColumn="1" w:lastColumn="0" w:noHBand="0" w:noVBand="1"/>
      </w:tblPr>
      <w:tblGrid>
        <w:gridCol w:w="960"/>
        <w:gridCol w:w="3320"/>
        <w:gridCol w:w="1400"/>
        <w:gridCol w:w="1400"/>
        <w:gridCol w:w="1400"/>
      </w:tblGrid>
      <w:tr w:rsidR="00E65F72" w:rsidRPr="00E65F72" w:rsidTr="00C336D4">
        <w:trPr>
          <w:trHeight w:val="439"/>
          <w:tblHeader/>
          <w:jc w:val="center"/>
        </w:trPr>
        <w:tc>
          <w:tcPr>
            <w:tcW w:w="8480" w:type="dxa"/>
            <w:gridSpan w:val="5"/>
            <w:tcBorders>
              <w:top w:val="single" w:sz="12" w:space="0" w:color="auto"/>
              <w:left w:val="single" w:sz="12" w:space="0" w:color="auto"/>
              <w:bottom w:val="single" w:sz="4" w:space="0" w:color="auto"/>
              <w:right w:val="single" w:sz="12" w:space="0" w:color="000000"/>
            </w:tcBorders>
            <w:shd w:val="clear" w:color="auto" w:fill="E5DFEC" w:themeFill="accent4" w:themeFillTint="33"/>
            <w:vAlign w:val="center"/>
            <w:hideMark/>
          </w:tcPr>
          <w:p w:rsidR="00E65F72" w:rsidRPr="00E65F72" w:rsidRDefault="00483709" w:rsidP="00E65F72">
            <w:pPr>
              <w:spacing w:after="0" w:line="240" w:lineRule="auto"/>
              <w:jc w:val="center"/>
              <w:rPr>
                <w:b/>
                <w:bCs/>
                <w:color w:val="000000"/>
                <w:szCs w:val="22"/>
              </w:rPr>
            </w:pPr>
            <w:r>
              <w:rPr>
                <w:b/>
                <w:bCs/>
                <w:color w:val="000000"/>
                <w:sz w:val="22"/>
                <w:szCs w:val="22"/>
              </w:rPr>
              <w:t>ÚČTY VÝKAZU ZISKU</w:t>
            </w:r>
            <w:r w:rsidR="00C01552">
              <w:rPr>
                <w:b/>
                <w:bCs/>
                <w:color w:val="000000"/>
                <w:sz w:val="22"/>
                <w:szCs w:val="22"/>
              </w:rPr>
              <w:t xml:space="preserve"> A ZTRÁT</w:t>
            </w:r>
            <w:r>
              <w:rPr>
                <w:b/>
                <w:bCs/>
                <w:color w:val="000000"/>
                <w:sz w:val="22"/>
                <w:szCs w:val="22"/>
              </w:rPr>
              <w:t>Y</w:t>
            </w:r>
          </w:p>
        </w:tc>
      </w:tr>
      <w:tr w:rsidR="00E65F72" w:rsidRPr="00E65F72" w:rsidTr="00C336D4">
        <w:trPr>
          <w:trHeight w:val="439"/>
          <w:tblHeader/>
          <w:jc w:val="center"/>
        </w:trPr>
        <w:tc>
          <w:tcPr>
            <w:tcW w:w="960" w:type="dxa"/>
            <w:tcBorders>
              <w:top w:val="nil"/>
              <w:left w:val="single" w:sz="12" w:space="0" w:color="auto"/>
              <w:bottom w:val="double" w:sz="6" w:space="0" w:color="auto"/>
              <w:right w:val="single" w:sz="4" w:space="0" w:color="auto"/>
            </w:tcBorders>
            <w:shd w:val="clear" w:color="auto" w:fill="E5DFEC" w:themeFill="accent4" w:themeFillTint="33"/>
            <w:vAlign w:val="center"/>
            <w:hideMark/>
          </w:tcPr>
          <w:p w:rsidR="00E65F72" w:rsidRPr="00E65F72" w:rsidRDefault="00C01552" w:rsidP="00E65F72">
            <w:pPr>
              <w:spacing w:after="0" w:line="240" w:lineRule="auto"/>
              <w:jc w:val="center"/>
              <w:rPr>
                <w:b/>
                <w:bCs/>
                <w:color w:val="000000"/>
                <w:szCs w:val="22"/>
              </w:rPr>
            </w:pPr>
            <w:r>
              <w:rPr>
                <w:b/>
                <w:bCs/>
                <w:color w:val="000000"/>
                <w:sz w:val="22"/>
                <w:szCs w:val="22"/>
              </w:rPr>
              <w:t>ÚČET</w:t>
            </w:r>
          </w:p>
        </w:tc>
        <w:tc>
          <w:tcPr>
            <w:tcW w:w="3320" w:type="dxa"/>
            <w:tcBorders>
              <w:top w:val="nil"/>
              <w:left w:val="nil"/>
              <w:bottom w:val="double" w:sz="6" w:space="0" w:color="auto"/>
              <w:right w:val="single" w:sz="4" w:space="0" w:color="auto"/>
            </w:tcBorders>
            <w:shd w:val="clear" w:color="auto" w:fill="E5DFEC" w:themeFill="accent4" w:themeFillTint="33"/>
            <w:vAlign w:val="center"/>
            <w:hideMark/>
          </w:tcPr>
          <w:p w:rsidR="00E65F72" w:rsidRPr="00E65F72" w:rsidRDefault="00C01552" w:rsidP="00C01552">
            <w:pPr>
              <w:spacing w:after="0" w:line="240" w:lineRule="auto"/>
              <w:jc w:val="center"/>
              <w:rPr>
                <w:b/>
                <w:bCs/>
                <w:color w:val="000000"/>
                <w:szCs w:val="22"/>
              </w:rPr>
            </w:pPr>
            <w:r>
              <w:rPr>
                <w:b/>
                <w:bCs/>
                <w:color w:val="000000"/>
                <w:sz w:val="22"/>
                <w:szCs w:val="22"/>
              </w:rPr>
              <w:t>NÁZEV</w:t>
            </w:r>
            <w:r w:rsidR="00E65F72" w:rsidRPr="00E65F72">
              <w:rPr>
                <w:b/>
                <w:bCs/>
                <w:color w:val="000000"/>
                <w:sz w:val="22"/>
                <w:szCs w:val="22"/>
              </w:rPr>
              <w:t xml:space="preserve"> </w:t>
            </w:r>
            <w:r>
              <w:rPr>
                <w:b/>
                <w:bCs/>
                <w:color w:val="000000"/>
                <w:sz w:val="22"/>
                <w:szCs w:val="22"/>
              </w:rPr>
              <w:t>ÚČTU</w:t>
            </w:r>
          </w:p>
        </w:tc>
        <w:tc>
          <w:tcPr>
            <w:tcW w:w="1400" w:type="dxa"/>
            <w:tcBorders>
              <w:top w:val="nil"/>
              <w:left w:val="nil"/>
              <w:bottom w:val="double" w:sz="6" w:space="0" w:color="auto"/>
              <w:right w:val="single" w:sz="4" w:space="0" w:color="auto"/>
            </w:tcBorders>
            <w:shd w:val="clear" w:color="auto" w:fill="E5DFEC" w:themeFill="accent4" w:themeFillTint="33"/>
            <w:vAlign w:val="center"/>
            <w:hideMark/>
          </w:tcPr>
          <w:p w:rsidR="00E65F72" w:rsidRPr="00E65F72" w:rsidRDefault="00E65F72" w:rsidP="00E65F72">
            <w:pPr>
              <w:spacing w:after="0" w:line="240" w:lineRule="auto"/>
              <w:jc w:val="center"/>
              <w:rPr>
                <w:b/>
                <w:bCs/>
                <w:color w:val="000000"/>
                <w:szCs w:val="22"/>
              </w:rPr>
            </w:pPr>
            <w:r w:rsidRPr="00E65F72">
              <w:rPr>
                <w:b/>
                <w:bCs/>
                <w:color w:val="000000"/>
                <w:sz w:val="22"/>
                <w:szCs w:val="22"/>
              </w:rPr>
              <w:t>2 009</w:t>
            </w:r>
          </w:p>
        </w:tc>
        <w:tc>
          <w:tcPr>
            <w:tcW w:w="1400" w:type="dxa"/>
            <w:tcBorders>
              <w:top w:val="nil"/>
              <w:left w:val="nil"/>
              <w:bottom w:val="double" w:sz="6" w:space="0" w:color="auto"/>
              <w:right w:val="single" w:sz="4" w:space="0" w:color="auto"/>
            </w:tcBorders>
            <w:shd w:val="clear" w:color="auto" w:fill="E5DFEC" w:themeFill="accent4" w:themeFillTint="33"/>
            <w:vAlign w:val="center"/>
            <w:hideMark/>
          </w:tcPr>
          <w:p w:rsidR="00E65F72" w:rsidRPr="00E65F72" w:rsidRDefault="00E65F72" w:rsidP="00E65F72">
            <w:pPr>
              <w:spacing w:after="0" w:line="240" w:lineRule="auto"/>
              <w:jc w:val="center"/>
              <w:rPr>
                <w:b/>
                <w:bCs/>
                <w:color w:val="000000"/>
                <w:szCs w:val="22"/>
              </w:rPr>
            </w:pPr>
            <w:r w:rsidRPr="00E65F72">
              <w:rPr>
                <w:b/>
                <w:bCs/>
                <w:color w:val="000000"/>
                <w:sz w:val="22"/>
                <w:szCs w:val="22"/>
              </w:rPr>
              <w:t>2 010</w:t>
            </w:r>
          </w:p>
        </w:tc>
        <w:tc>
          <w:tcPr>
            <w:tcW w:w="1400" w:type="dxa"/>
            <w:tcBorders>
              <w:top w:val="nil"/>
              <w:left w:val="nil"/>
              <w:bottom w:val="double" w:sz="6" w:space="0" w:color="auto"/>
              <w:right w:val="single" w:sz="12" w:space="0" w:color="auto"/>
            </w:tcBorders>
            <w:shd w:val="clear" w:color="auto" w:fill="E5DFEC" w:themeFill="accent4" w:themeFillTint="33"/>
            <w:vAlign w:val="center"/>
            <w:hideMark/>
          </w:tcPr>
          <w:p w:rsidR="00E65F72" w:rsidRPr="00E65F72" w:rsidRDefault="00E65F72" w:rsidP="00E65F72">
            <w:pPr>
              <w:spacing w:after="0" w:line="240" w:lineRule="auto"/>
              <w:jc w:val="center"/>
              <w:rPr>
                <w:b/>
                <w:bCs/>
                <w:color w:val="000000"/>
                <w:szCs w:val="22"/>
              </w:rPr>
            </w:pPr>
            <w:r w:rsidRPr="00E65F72">
              <w:rPr>
                <w:b/>
                <w:bCs/>
                <w:color w:val="000000"/>
                <w:sz w:val="22"/>
                <w:szCs w:val="22"/>
              </w:rPr>
              <w:t>2 011</w:t>
            </w:r>
          </w:p>
        </w:tc>
      </w:tr>
      <w:tr w:rsidR="00E65F72" w:rsidRPr="00E65F72" w:rsidTr="0087437F">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center"/>
              <w:rPr>
                <w:color w:val="000000"/>
                <w:szCs w:val="22"/>
              </w:rPr>
            </w:pPr>
            <w:r w:rsidRPr="00E65F72">
              <w:rPr>
                <w:color w:val="000000"/>
                <w:sz w:val="22"/>
                <w:szCs w:val="22"/>
              </w:rPr>
              <w:t>501</w:t>
            </w:r>
          </w:p>
        </w:tc>
        <w:tc>
          <w:tcPr>
            <w:tcW w:w="332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Pr>
                <w:color w:val="000000"/>
                <w:sz w:val="22"/>
                <w:szCs w:val="22"/>
              </w:rPr>
              <w:t>Spotřeba mater</w:t>
            </w:r>
            <w:r w:rsidRPr="00E65F72">
              <w:rPr>
                <w:color w:val="000000"/>
                <w:sz w:val="22"/>
                <w:szCs w:val="22"/>
              </w:rPr>
              <w:t>iálu</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139 894</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96 996</w:t>
            </w:r>
          </w:p>
        </w:tc>
        <w:tc>
          <w:tcPr>
            <w:tcW w:w="1400" w:type="dxa"/>
            <w:tcBorders>
              <w:top w:val="nil"/>
              <w:left w:val="nil"/>
              <w:bottom w:val="single" w:sz="4" w:space="0" w:color="auto"/>
              <w:right w:val="single" w:sz="12"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55 876</w:t>
            </w:r>
          </w:p>
        </w:tc>
      </w:tr>
      <w:tr w:rsidR="00E65F72" w:rsidRPr="00E65F72" w:rsidTr="0087437F">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center"/>
              <w:rPr>
                <w:color w:val="000000"/>
                <w:szCs w:val="22"/>
              </w:rPr>
            </w:pPr>
            <w:r w:rsidRPr="00E65F72">
              <w:rPr>
                <w:color w:val="000000"/>
                <w:sz w:val="22"/>
                <w:szCs w:val="22"/>
              </w:rPr>
              <w:t>502</w:t>
            </w:r>
          </w:p>
        </w:tc>
        <w:tc>
          <w:tcPr>
            <w:tcW w:w="332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sidRPr="00E65F72">
              <w:rPr>
                <w:color w:val="000000"/>
                <w:sz w:val="22"/>
                <w:szCs w:val="22"/>
              </w:rPr>
              <w:t>Spotřeba energie</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0</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25 638</w:t>
            </w:r>
          </w:p>
        </w:tc>
        <w:tc>
          <w:tcPr>
            <w:tcW w:w="1400" w:type="dxa"/>
            <w:tcBorders>
              <w:top w:val="nil"/>
              <w:left w:val="nil"/>
              <w:bottom w:val="single" w:sz="4" w:space="0" w:color="auto"/>
              <w:right w:val="single" w:sz="12"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5 497</w:t>
            </w:r>
          </w:p>
        </w:tc>
      </w:tr>
      <w:tr w:rsidR="00E65F72" w:rsidRPr="00E65F72" w:rsidTr="0087437F">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center"/>
              <w:rPr>
                <w:color w:val="000000"/>
                <w:szCs w:val="22"/>
              </w:rPr>
            </w:pPr>
            <w:r w:rsidRPr="00E65F72">
              <w:rPr>
                <w:color w:val="000000"/>
                <w:sz w:val="22"/>
                <w:szCs w:val="22"/>
              </w:rPr>
              <w:t>511</w:t>
            </w:r>
          </w:p>
        </w:tc>
        <w:tc>
          <w:tcPr>
            <w:tcW w:w="332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sidRPr="00E65F72">
              <w:rPr>
                <w:color w:val="000000"/>
                <w:sz w:val="22"/>
                <w:szCs w:val="22"/>
              </w:rPr>
              <w:t>Opravy a udržování</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104 182</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31 309</w:t>
            </w:r>
          </w:p>
        </w:tc>
        <w:tc>
          <w:tcPr>
            <w:tcW w:w="1400" w:type="dxa"/>
            <w:tcBorders>
              <w:top w:val="nil"/>
              <w:left w:val="nil"/>
              <w:bottom w:val="single" w:sz="4" w:space="0" w:color="auto"/>
              <w:right w:val="single" w:sz="12"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10 418</w:t>
            </w:r>
          </w:p>
        </w:tc>
      </w:tr>
      <w:tr w:rsidR="00E65F72" w:rsidRPr="00E65F72" w:rsidTr="0087437F">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center"/>
              <w:rPr>
                <w:color w:val="000000"/>
                <w:szCs w:val="22"/>
              </w:rPr>
            </w:pPr>
            <w:r w:rsidRPr="00E65F72">
              <w:rPr>
                <w:color w:val="000000"/>
                <w:sz w:val="22"/>
                <w:szCs w:val="22"/>
              </w:rPr>
              <w:t>512</w:t>
            </w:r>
          </w:p>
        </w:tc>
        <w:tc>
          <w:tcPr>
            <w:tcW w:w="332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sidRPr="00E65F72">
              <w:rPr>
                <w:color w:val="000000"/>
                <w:sz w:val="22"/>
                <w:szCs w:val="22"/>
              </w:rPr>
              <w:t>Cestovné</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101 376</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0</w:t>
            </w:r>
          </w:p>
        </w:tc>
        <w:tc>
          <w:tcPr>
            <w:tcW w:w="1400" w:type="dxa"/>
            <w:tcBorders>
              <w:top w:val="nil"/>
              <w:left w:val="nil"/>
              <w:bottom w:val="single" w:sz="4" w:space="0" w:color="auto"/>
              <w:right w:val="single" w:sz="12"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31 141</w:t>
            </w:r>
          </w:p>
        </w:tc>
      </w:tr>
      <w:tr w:rsidR="00E65F72" w:rsidRPr="00E65F72" w:rsidTr="0087437F">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center"/>
              <w:rPr>
                <w:color w:val="000000"/>
                <w:szCs w:val="22"/>
              </w:rPr>
            </w:pPr>
            <w:r w:rsidRPr="00E65F72">
              <w:rPr>
                <w:color w:val="000000"/>
                <w:sz w:val="22"/>
                <w:szCs w:val="22"/>
              </w:rPr>
              <w:t>518</w:t>
            </w:r>
          </w:p>
        </w:tc>
        <w:tc>
          <w:tcPr>
            <w:tcW w:w="332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sidRPr="00E65F72">
              <w:rPr>
                <w:color w:val="000000"/>
                <w:sz w:val="22"/>
                <w:szCs w:val="22"/>
              </w:rPr>
              <w:t>Ostatní služby</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3 571 165</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2 887 585</w:t>
            </w:r>
          </w:p>
        </w:tc>
        <w:tc>
          <w:tcPr>
            <w:tcW w:w="1400" w:type="dxa"/>
            <w:tcBorders>
              <w:top w:val="nil"/>
              <w:left w:val="nil"/>
              <w:bottom w:val="single" w:sz="4" w:space="0" w:color="auto"/>
              <w:right w:val="single" w:sz="12"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2 420 840</w:t>
            </w:r>
          </w:p>
        </w:tc>
      </w:tr>
      <w:tr w:rsidR="00E65F72" w:rsidRPr="00E65F72" w:rsidTr="0087437F">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center"/>
              <w:rPr>
                <w:color w:val="000000"/>
                <w:szCs w:val="22"/>
              </w:rPr>
            </w:pPr>
            <w:r w:rsidRPr="00E65F72">
              <w:rPr>
                <w:color w:val="000000"/>
                <w:sz w:val="22"/>
                <w:szCs w:val="22"/>
              </w:rPr>
              <w:t>521</w:t>
            </w:r>
          </w:p>
        </w:tc>
        <w:tc>
          <w:tcPr>
            <w:tcW w:w="332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sidRPr="00E65F72">
              <w:rPr>
                <w:color w:val="000000"/>
                <w:sz w:val="22"/>
                <w:szCs w:val="22"/>
              </w:rPr>
              <w:t>Mzdové náklady</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870 718</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335 836</w:t>
            </w:r>
          </w:p>
        </w:tc>
        <w:tc>
          <w:tcPr>
            <w:tcW w:w="1400" w:type="dxa"/>
            <w:tcBorders>
              <w:top w:val="nil"/>
              <w:left w:val="nil"/>
              <w:bottom w:val="single" w:sz="4" w:space="0" w:color="auto"/>
              <w:right w:val="single" w:sz="12"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163 657</w:t>
            </w:r>
          </w:p>
        </w:tc>
      </w:tr>
      <w:tr w:rsidR="00E65F72" w:rsidRPr="00E65F72" w:rsidTr="0087437F">
        <w:trPr>
          <w:trHeight w:val="600"/>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center"/>
              <w:rPr>
                <w:color w:val="000000"/>
                <w:szCs w:val="22"/>
              </w:rPr>
            </w:pPr>
            <w:r w:rsidRPr="00E65F72">
              <w:rPr>
                <w:color w:val="000000"/>
                <w:sz w:val="22"/>
                <w:szCs w:val="22"/>
              </w:rPr>
              <w:t>522</w:t>
            </w:r>
          </w:p>
        </w:tc>
        <w:tc>
          <w:tcPr>
            <w:tcW w:w="332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sidRPr="00E65F72">
              <w:rPr>
                <w:color w:val="000000"/>
                <w:sz w:val="22"/>
                <w:szCs w:val="22"/>
              </w:rPr>
              <w:t>Příjmy společníků a členů družstva ze závislé činnosti</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534 055</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541 131</w:t>
            </w:r>
          </w:p>
        </w:tc>
        <w:tc>
          <w:tcPr>
            <w:tcW w:w="1400" w:type="dxa"/>
            <w:tcBorders>
              <w:top w:val="nil"/>
              <w:left w:val="nil"/>
              <w:bottom w:val="single" w:sz="4" w:space="0" w:color="auto"/>
              <w:right w:val="single" w:sz="12"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444 900</w:t>
            </w:r>
          </w:p>
        </w:tc>
      </w:tr>
      <w:tr w:rsidR="00E65F72" w:rsidRPr="00E65F72" w:rsidTr="0087437F">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center"/>
              <w:rPr>
                <w:color w:val="000000"/>
                <w:szCs w:val="22"/>
              </w:rPr>
            </w:pPr>
            <w:r w:rsidRPr="00E65F72">
              <w:rPr>
                <w:color w:val="000000"/>
                <w:sz w:val="22"/>
                <w:szCs w:val="22"/>
              </w:rPr>
              <w:t>524</w:t>
            </w:r>
          </w:p>
        </w:tc>
        <w:tc>
          <w:tcPr>
            <w:tcW w:w="332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sidRPr="00E65F72">
              <w:rPr>
                <w:color w:val="000000"/>
                <w:sz w:val="22"/>
                <w:szCs w:val="22"/>
              </w:rPr>
              <w:t>Zákonné sociální pojištění</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412 300</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299 692</w:t>
            </w:r>
          </w:p>
        </w:tc>
        <w:tc>
          <w:tcPr>
            <w:tcW w:w="1400" w:type="dxa"/>
            <w:tcBorders>
              <w:top w:val="nil"/>
              <w:left w:val="nil"/>
              <w:bottom w:val="single" w:sz="4" w:space="0" w:color="auto"/>
              <w:right w:val="single" w:sz="12"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249 824</w:t>
            </w:r>
          </w:p>
        </w:tc>
      </w:tr>
      <w:tr w:rsidR="00E65F72" w:rsidRPr="00E65F72" w:rsidTr="0087437F">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center"/>
              <w:rPr>
                <w:color w:val="000000"/>
                <w:szCs w:val="22"/>
              </w:rPr>
            </w:pPr>
            <w:r w:rsidRPr="00E65F72">
              <w:rPr>
                <w:color w:val="000000"/>
                <w:sz w:val="22"/>
                <w:szCs w:val="22"/>
              </w:rPr>
              <w:t>527</w:t>
            </w:r>
          </w:p>
        </w:tc>
        <w:tc>
          <w:tcPr>
            <w:tcW w:w="332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sidRPr="00E65F72">
              <w:rPr>
                <w:color w:val="000000"/>
                <w:sz w:val="22"/>
                <w:szCs w:val="22"/>
              </w:rPr>
              <w:t>Zákonné sociální náklady</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11 725</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5 472</w:t>
            </w:r>
          </w:p>
        </w:tc>
        <w:tc>
          <w:tcPr>
            <w:tcW w:w="1400" w:type="dxa"/>
            <w:tcBorders>
              <w:top w:val="nil"/>
              <w:left w:val="nil"/>
              <w:bottom w:val="single" w:sz="4" w:space="0" w:color="auto"/>
              <w:right w:val="single" w:sz="12"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2 932</w:t>
            </w:r>
          </w:p>
        </w:tc>
      </w:tr>
      <w:tr w:rsidR="00E65F72" w:rsidRPr="00E65F72" w:rsidTr="0087437F">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center"/>
              <w:rPr>
                <w:color w:val="000000"/>
                <w:szCs w:val="22"/>
              </w:rPr>
            </w:pPr>
            <w:r w:rsidRPr="00E65F72">
              <w:rPr>
                <w:color w:val="000000"/>
                <w:sz w:val="22"/>
                <w:szCs w:val="22"/>
              </w:rPr>
              <w:t>531</w:t>
            </w:r>
          </w:p>
        </w:tc>
        <w:tc>
          <w:tcPr>
            <w:tcW w:w="332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sidRPr="00E65F72">
              <w:rPr>
                <w:color w:val="000000"/>
                <w:sz w:val="22"/>
                <w:szCs w:val="22"/>
              </w:rPr>
              <w:t>Daň silniční</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4 238</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12 500</w:t>
            </w:r>
          </w:p>
        </w:tc>
        <w:tc>
          <w:tcPr>
            <w:tcW w:w="1400" w:type="dxa"/>
            <w:tcBorders>
              <w:top w:val="nil"/>
              <w:left w:val="nil"/>
              <w:bottom w:val="single" w:sz="4" w:space="0" w:color="auto"/>
              <w:right w:val="single" w:sz="12"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9 000</w:t>
            </w:r>
          </w:p>
        </w:tc>
      </w:tr>
      <w:tr w:rsidR="00E65F72" w:rsidRPr="00E65F72" w:rsidTr="0087437F">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center"/>
              <w:rPr>
                <w:color w:val="000000"/>
                <w:szCs w:val="22"/>
              </w:rPr>
            </w:pPr>
            <w:r w:rsidRPr="00E65F72">
              <w:rPr>
                <w:color w:val="000000"/>
                <w:sz w:val="22"/>
                <w:szCs w:val="22"/>
              </w:rPr>
              <w:t>544</w:t>
            </w:r>
          </w:p>
        </w:tc>
        <w:tc>
          <w:tcPr>
            <w:tcW w:w="332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sidRPr="00E65F72">
              <w:rPr>
                <w:color w:val="000000"/>
                <w:sz w:val="22"/>
                <w:szCs w:val="22"/>
              </w:rPr>
              <w:t>Smluvní pokuty a úroky z prodlení</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0</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0</w:t>
            </w:r>
          </w:p>
        </w:tc>
        <w:tc>
          <w:tcPr>
            <w:tcW w:w="1400" w:type="dxa"/>
            <w:tcBorders>
              <w:top w:val="nil"/>
              <w:left w:val="nil"/>
              <w:bottom w:val="single" w:sz="4" w:space="0" w:color="auto"/>
              <w:right w:val="single" w:sz="12"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0</w:t>
            </w:r>
          </w:p>
        </w:tc>
      </w:tr>
      <w:tr w:rsidR="00E65F72" w:rsidRPr="00E65F72" w:rsidTr="0087437F">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center"/>
              <w:rPr>
                <w:color w:val="000000"/>
                <w:szCs w:val="22"/>
              </w:rPr>
            </w:pPr>
            <w:r w:rsidRPr="00E65F72">
              <w:rPr>
                <w:color w:val="000000"/>
                <w:sz w:val="22"/>
                <w:szCs w:val="22"/>
              </w:rPr>
              <w:t>548</w:t>
            </w:r>
          </w:p>
        </w:tc>
        <w:tc>
          <w:tcPr>
            <w:tcW w:w="3320" w:type="dxa"/>
            <w:tcBorders>
              <w:top w:val="nil"/>
              <w:left w:val="nil"/>
              <w:bottom w:val="single" w:sz="4" w:space="0" w:color="auto"/>
              <w:right w:val="single" w:sz="4" w:space="0" w:color="auto"/>
            </w:tcBorders>
            <w:shd w:val="clear" w:color="auto" w:fill="auto"/>
            <w:vAlign w:val="center"/>
            <w:hideMark/>
          </w:tcPr>
          <w:p w:rsidR="00E65F72" w:rsidRPr="00E65F72" w:rsidRDefault="009B386E" w:rsidP="00E65F72">
            <w:pPr>
              <w:spacing w:after="0" w:line="240" w:lineRule="auto"/>
              <w:jc w:val="left"/>
              <w:rPr>
                <w:color w:val="000000"/>
                <w:szCs w:val="22"/>
              </w:rPr>
            </w:pPr>
            <w:r>
              <w:rPr>
                <w:color w:val="000000"/>
                <w:sz w:val="22"/>
                <w:szCs w:val="22"/>
              </w:rPr>
              <w:t>Ostatní</w:t>
            </w:r>
            <w:r w:rsidR="00E65F72" w:rsidRPr="00E65F72">
              <w:rPr>
                <w:color w:val="000000"/>
                <w:sz w:val="22"/>
                <w:szCs w:val="22"/>
              </w:rPr>
              <w:t xml:space="preserve"> provozní náklady</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1</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3</w:t>
            </w:r>
          </w:p>
        </w:tc>
        <w:tc>
          <w:tcPr>
            <w:tcW w:w="1400" w:type="dxa"/>
            <w:tcBorders>
              <w:top w:val="nil"/>
              <w:left w:val="nil"/>
              <w:bottom w:val="single" w:sz="4" w:space="0" w:color="auto"/>
              <w:right w:val="single" w:sz="12"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1</w:t>
            </w:r>
          </w:p>
        </w:tc>
      </w:tr>
      <w:tr w:rsidR="00E65F72" w:rsidRPr="00E65F72" w:rsidTr="0087437F">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center"/>
              <w:rPr>
                <w:color w:val="000000"/>
                <w:szCs w:val="22"/>
              </w:rPr>
            </w:pPr>
            <w:r w:rsidRPr="00E65F72">
              <w:rPr>
                <w:color w:val="000000"/>
                <w:sz w:val="22"/>
                <w:szCs w:val="22"/>
              </w:rPr>
              <w:t>551</w:t>
            </w:r>
          </w:p>
        </w:tc>
        <w:tc>
          <w:tcPr>
            <w:tcW w:w="332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sidRPr="00E65F72">
              <w:rPr>
                <w:color w:val="000000"/>
                <w:sz w:val="22"/>
                <w:szCs w:val="22"/>
              </w:rPr>
              <w:t xml:space="preserve">Odpisy </w:t>
            </w:r>
            <w:proofErr w:type="spellStart"/>
            <w:r w:rsidRPr="00E65F72">
              <w:rPr>
                <w:color w:val="000000"/>
                <w:sz w:val="22"/>
                <w:szCs w:val="22"/>
              </w:rPr>
              <w:t>dlouh</w:t>
            </w:r>
            <w:proofErr w:type="spellEnd"/>
            <w:r w:rsidRPr="00E65F72">
              <w:rPr>
                <w:color w:val="000000"/>
                <w:sz w:val="22"/>
                <w:szCs w:val="22"/>
              </w:rPr>
              <w:t xml:space="preserve">. </w:t>
            </w:r>
            <w:proofErr w:type="spellStart"/>
            <w:r w:rsidRPr="00E65F72">
              <w:rPr>
                <w:color w:val="000000"/>
                <w:sz w:val="22"/>
                <w:szCs w:val="22"/>
              </w:rPr>
              <w:t>nehm</w:t>
            </w:r>
            <w:proofErr w:type="spellEnd"/>
            <w:r w:rsidRPr="00E65F72">
              <w:rPr>
                <w:color w:val="000000"/>
                <w:sz w:val="22"/>
                <w:szCs w:val="22"/>
              </w:rPr>
              <w:t xml:space="preserve"> a hm. </w:t>
            </w:r>
            <w:proofErr w:type="gramStart"/>
            <w:r w:rsidRPr="00E65F72">
              <w:rPr>
                <w:color w:val="000000"/>
                <w:sz w:val="22"/>
                <w:szCs w:val="22"/>
              </w:rPr>
              <w:t>majetku</w:t>
            </w:r>
            <w:proofErr w:type="gramEnd"/>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80 155</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3 353</w:t>
            </w:r>
          </w:p>
        </w:tc>
        <w:tc>
          <w:tcPr>
            <w:tcW w:w="1400" w:type="dxa"/>
            <w:tcBorders>
              <w:top w:val="nil"/>
              <w:left w:val="nil"/>
              <w:bottom w:val="single" w:sz="4" w:space="0" w:color="auto"/>
              <w:right w:val="single" w:sz="12"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67 647</w:t>
            </w:r>
          </w:p>
        </w:tc>
      </w:tr>
      <w:tr w:rsidR="00E65F72" w:rsidRPr="00E65F72" w:rsidTr="0087437F">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center"/>
              <w:rPr>
                <w:color w:val="000000"/>
                <w:szCs w:val="22"/>
              </w:rPr>
            </w:pPr>
            <w:r w:rsidRPr="00E65F72">
              <w:rPr>
                <w:color w:val="000000"/>
                <w:sz w:val="22"/>
                <w:szCs w:val="22"/>
              </w:rPr>
              <w:t>562</w:t>
            </w:r>
          </w:p>
        </w:tc>
        <w:tc>
          <w:tcPr>
            <w:tcW w:w="332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sidRPr="00E65F72">
              <w:rPr>
                <w:color w:val="000000"/>
                <w:sz w:val="22"/>
                <w:szCs w:val="22"/>
              </w:rPr>
              <w:t>Úroky</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114 935</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84 352</w:t>
            </w:r>
          </w:p>
        </w:tc>
        <w:tc>
          <w:tcPr>
            <w:tcW w:w="1400" w:type="dxa"/>
            <w:tcBorders>
              <w:top w:val="nil"/>
              <w:left w:val="nil"/>
              <w:bottom w:val="single" w:sz="4" w:space="0" w:color="auto"/>
              <w:right w:val="single" w:sz="12"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45 113</w:t>
            </w:r>
          </w:p>
        </w:tc>
      </w:tr>
      <w:tr w:rsidR="00E65F72" w:rsidRPr="00E65F72" w:rsidTr="0087437F">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center"/>
              <w:rPr>
                <w:color w:val="000000"/>
                <w:szCs w:val="22"/>
              </w:rPr>
            </w:pPr>
            <w:r w:rsidRPr="00E65F72">
              <w:rPr>
                <w:color w:val="000000"/>
                <w:sz w:val="22"/>
                <w:szCs w:val="22"/>
              </w:rPr>
              <w:t>568</w:t>
            </w:r>
          </w:p>
        </w:tc>
        <w:tc>
          <w:tcPr>
            <w:tcW w:w="332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sidRPr="00E65F72">
              <w:rPr>
                <w:color w:val="000000"/>
                <w:sz w:val="22"/>
                <w:szCs w:val="22"/>
              </w:rPr>
              <w:t>Ostatní finanční náklady</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69 478</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46 597</w:t>
            </w:r>
          </w:p>
        </w:tc>
        <w:tc>
          <w:tcPr>
            <w:tcW w:w="1400" w:type="dxa"/>
            <w:tcBorders>
              <w:top w:val="nil"/>
              <w:left w:val="nil"/>
              <w:bottom w:val="single" w:sz="4" w:space="0" w:color="auto"/>
              <w:right w:val="single" w:sz="12"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48 884</w:t>
            </w:r>
          </w:p>
        </w:tc>
      </w:tr>
      <w:tr w:rsidR="00E65F72" w:rsidRPr="00E65F72" w:rsidTr="0087437F">
        <w:trPr>
          <w:trHeight w:val="600"/>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center"/>
              <w:rPr>
                <w:color w:val="000000"/>
                <w:szCs w:val="22"/>
              </w:rPr>
            </w:pPr>
            <w:r w:rsidRPr="00E65F72">
              <w:rPr>
                <w:color w:val="000000"/>
                <w:sz w:val="22"/>
                <w:szCs w:val="22"/>
              </w:rPr>
              <w:lastRenderedPageBreak/>
              <w:t>591</w:t>
            </w:r>
          </w:p>
        </w:tc>
        <w:tc>
          <w:tcPr>
            <w:tcW w:w="332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sidRPr="00E65F72">
              <w:rPr>
                <w:color w:val="000000"/>
                <w:sz w:val="22"/>
                <w:szCs w:val="22"/>
              </w:rPr>
              <w:t>Daň z příjmu z běžné činnosti - splatná</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35 900</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sidRPr="00E65F72">
              <w:rPr>
                <w:color w:val="000000"/>
                <w:sz w:val="22"/>
                <w:szCs w:val="22"/>
              </w:rPr>
              <w:t> </w:t>
            </w:r>
          </w:p>
        </w:tc>
        <w:tc>
          <w:tcPr>
            <w:tcW w:w="1400" w:type="dxa"/>
            <w:tcBorders>
              <w:top w:val="nil"/>
              <w:left w:val="nil"/>
              <w:bottom w:val="single" w:sz="4" w:space="0" w:color="auto"/>
              <w:right w:val="single" w:sz="12"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47 120</w:t>
            </w:r>
          </w:p>
        </w:tc>
      </w:tr>
      <w:tr w:rsidR="00E65F72" w:rsidRPr="00E65F72" w:rsidTr="0087437F">
        <w:trPr>
          <w:trHeight w:val="439"/>
          <w:jc w:val="center"/>
        </w:trPr>
        <w:tc>
          <w:tcPr>
            <w:tcW w:w="4280" w:type="dxa"/>
            <w:gridSpan w:val="2"/>
            <w:tcBorders>
              <w:top w:val="single" w:sz="4" w:space="0" w:color="auto"/>
              <w:left w:val="single" w:sz="12" w:space="0" w:color="auto"/>
              <w:bottom w:val="single" w:sz="4" w:space="0" w:color="auto"/>
              <w:right w:val="single" w:sz="4" w:space="0" w:color="auto"/>
            </w:tcBorders>
            <w:shd w:val="clear" w:color="000000" w:fill="D9D9D9"/>
            <w:vAlign w:val="center"/>
            <w:hideMark/>
          </w:tcPr>
          <w:p w:rsidR="00E65F72" w:rsidRPr="00E65F72" w:rsidRDefault="00E65F72" w:rsidP="00E65F72">
            <w:pPr>
              <w:spacing w:after="0" w:line="240" w:lineRule="auto"/>
              <w:jc w:val="left"/>
              <w:rPr>
                <w:b/>
                <w:bCs/>
                <w:color w:val="000000"/>
                <w:szCs w:val="22"/>
              </w:rPr>
            </w:pPr>
            <w:r w:rsidRPr="00E65F72">
              <w:rPr>
                <w:b/>
                <w:bCs/>
                <w:color w:val="000000"/>
                <w:sz w:val="22"/>
                <w:szCs w:val="22"/>
              </w:rPr>
              <w:t>Náklady celkem</w:t>
            </w:r>
          </w:p>
        </w:tc>
        <w:tc>
          <w:tcPr>
            <w:tcW w:w="1400" w:type="dxa"/>
            <w:tcBorders>
              <w:top w:val="nil"/>
              <w:left w:val="nil"/>
              <w:bottom w:val="single" w:sz="4" w:space="0" w:color="auto"/>
              <w:right w:val="single" w:sz="4" w:space="0" w:color="auto"/>
            </w:tcBorders>
            <w:shd w:val="clear" w:color="000000" w:fill="D9D9D9"/>
            <w:vAlign w:val="center"/>
            <w:hideMark/>
          </w:tcPr>
          <w:p w:rsidR="00E65F72" w:rsidRPr="00E65F72" w:rsidRDefault="00E65F72" w:rsidP="00E65F72">
            <w:pPr>
              <w:spacing w:after="0" w:line="240" w:lineRule="auto"/>
              <w:jc w:val="right"/>
              <w:rPr>
                <w:b/>
                <w:bCs/>
                <w:color w:val="000000"/>
                <w:szCs w:val="22"/>
              </w:rPr>
            </w:pPr>
            <w:r w:rsidRPr="00E65F72">
              <w:rPr>
                <w:b/>
                <w:bCs/>
                <w:color w:val="000000"/>
                <w:sz w:val="22"/>
                <w:szCs w:val="22"/>
              </w:rPr>
              <w:t>6 050 122</w:t>
            </w:r>
          </w:p>
        </w:tc>
        <w:tc>
          <w:tcPr>
            <w:tcW w:w="1400" w:type="dxa"/>
            <w:tcBorders>
              <w:top w:val="nil"/>
              <w:left w:val="nil"/>
              <w:bottom w:val="single" w:sz="4" w:space="0" w:color="auto"/>
              <w:right w:val="single" w:sz="4" w:space="0" w:color="auto"/>
            </w:tcBorders>
            <w:shd w:val="clear" w:color="000000" w:fill="D9D9D9"/>
            <w:vAlign w:val="center"/>
            <w:hideMark/>
          </w:tcPr>
          <w:p w:rsidR="00E65F72" w:rsidRPr="00E65F72" w:rsidRDefault="00E65F72" w:rsidP="00E65F72">
            <w:pPr>
              <w:spacing w:after="0" w:line="240" w:lineRule="auto"/>
              <w:jc w:val="right"/>
              <w:rPr>
                <w:b/>
                <w:bCs/>
                <w:color w:val="000000"/>
                <w:szCs w:val="22"/>
              </w:rPr>
            </w:pPr>
            <w:r w:rsidRPr="00E65F72">
              <w:rPr>
                <w:b/>
                <w:bCs/>
                <w:color w:val="000000"/>
                <w:sz w:val="22"/>
                <w:szCs w:val="22"/>
              </w:rPr>
              <w:t>4 370 464</w:t>
            </w:r>
          </w:p>
        </w:tc>
        <w:tc>
          <w:tcPr>
            <w:tcW w:w="1400" w:type="dxa"/>
            <w:tcBorders>
              <w:top w:val="nil"/>
              <w:left w:val="nil"/>
              <w:bottom w:val="single" w:sz="4" w:space="0" w:color="auto"/>
              <w:right w:val="single" w:sz="12" w:space="0" w:color="auto"/>
            </w:tcBorders>
            <w:shd w:val="clear" w:color="000000" w:fill="D9D9D9"/>
            <w:vAlign w:val="center"/>
            <w:hideMark/>
          </w:tcPr>
          <w:p w:rsidR="00E65F72" w:rsidRPr="00E65F72" w:rsidRDefault="00E65F72" w:rsidP="00E65F72">
            <w:pPr>
              <w:spacing w:after="0" w:line="240" w:lineRule="auto"/>
              <w:jc w:val="right"/>
              <w:rPr>
                <w:b/>
                <w:bCs/>
                <w:color w:val="000000"/>
                <w:szCs w:val="22"/>
              </w:rPr>
            </w:pPr>
            <w:r w:rsidRPr="00E65F72">
              <w:rPr>
                <w:b/>
                <w:bCs/>
                <w:color w:val="000000"/>
                <w:sz w:val="22"/>
                <w:szCs w:val="22"/>
              </w:rPr>
              <w:t>3 602 849</w:t>
            </w:r>
          </w:p>
        </w:tc>
      </w:tr>
      <w:tr w:rsidR="00E65F72" w:rsidRPr="00E65F72" w:rsidTr="0087437F">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center"/>
              <w:rPr>
                <w:color w:val="000000"/>
                <w:szCs w:val="22"/>
              </w:rPr>
            </w:pPr>
            <w:r w:rsidRPr="00E65F72">
              <w:rPr>
                <w:color w:val="000000"/>
                <w:sz w:val="22"/>
                <w:szCs w:val="22"/>
              </w:rPr>
              <w:t>602</w:t>
            </w:r>
          </w:p>
        </w:tc>
        <w:tc>
          <w:tcPr>
            <w:tcW w:w="332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sidRPr="00E65F72">
              <w:rPr>
                <w:color w:val="000000"/>
                <w:sz w:val="22"/>
                <w:szCs w:val="22"/>
              </w:rPr>
              <w:t>Tržby z prodeje služeb</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6 184 011</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4 310 882</w:t>
            </w:r>
          </w:p>
        </w:tc>
        <w:tc>
          <w:tcPr>
            <w:tcW w:w="1400" w:type="dxa"/>
            <w:tcBorders>
              <w:top w:val="nil"/>
              <w:left w:val="nil"/>
              <w:bottom w:val="single" w:sz="4" w:space="0" w:color="auto"/>
              <w:right w:val="single" w:sz="12"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3 799 646</w:t>
            </w:r>
          </w:p>
        </w:tc>
      </w:tr>
      <w:tr w:rsidR="00E65F72" w:rsidRPr="00E65F72" w:rsidTr="0087437F">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center"/>
              <w:rPr>
                <w:color w:val="000000"/>
                <w:szCs w:val="22"/>
              </w:rPr>
            </w:pPr>
            <w:r w:rsidRPr="00E65F72">
              <w:rPr>
                <w:color w:val="000000"/>
                <w:sz w:val="22"/>
                <w:szCs w:val="22"/>
              </w:rPr>
              <w:t>648</w:t>
            </w:r>
          </w:p>
        </w:tc>
        <w:tc>
          <w:tcPr>
            <w:tcW w:w="332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sidRPr="00E65F72">
              <w:rPr>
                <w:color w:val="000000"/>
                <w:sz w:val="22"/>
                <w:szCs w:val="22"/>
              </w:rPr>
              <w:t>Ostatní provozní výnosy</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1</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0</w:t>
            </w:r>
          </w:p>
        </w:tc>
        <w:tc>
          <w:tcPr>
            <w:tcW w:w="1400" w:type="dxa"/>
            <w:tcBorders>
              <w:top w:val="nil"/>
              <w:left w:val="nil"/>
              <w:bottom w:val="single" w:sz="4" w:space="0" w:color="auto"/>
              <w:right w:val="single" w:sz="12"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2</w:t>
            </w:r>
          </w:p>
        </w:tc>
      </w:tr>
      <w:tr w:rsidR="00E65F72" w:rsidRPr="00E65F72" w:rsidTr="0087437F">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center"/>
              <w:rPr>
                <w:color w:val="000000"/>
                <w:szCs w:val="22"/>
              </w:rPr>
            </w:pPr>
            <w:r w:rsidRPr="00E65F72">
              <w:rPr>
                <w:color w:val="000000"/>
                <w:sz w:val="22"/>
                <w:szCs w:val="22"/>
              </w:rPr>
              <w:t>662</w:t>
            </w:r>
          </w:p>
        </w:tc>
        <w:tc>
          <w:tcPr>
            <w:tcW w:w="332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sidRPr="00E65F72">
              <w:rPr>
                <w:color w:val="000000"/>
                <w:sz w:val="22"/>
                <w:szCs w:val="22"/>
              </w:rPr>
              <w:t>Úroky</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108</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48</w:t>
            </w:r>
          </w:p>
        </w:tc>
        <w:tc>
          <w:tcPr>
            <w:tcW w:w="1400" w:type="dxa"/>
            <w:tcBorders>
              <w:top w:val="nil"/>
              <w:left w:val="nil"/>
              <w:bottom w:val="single" w:sz="4" w:space="0" w:color="auto"/>
              <w:right w:val="single" w:sz="12"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14</w:t>
            </w:r>
          </w:p>
        </w:tc>
      </w:tr>
      <w:tr w:rsidR="00E65F72" w:rsidRPr="00E65F72" w:rsidTr="0087437F">
        <w:trPr>
          <w:trHeight w:val="342"/>
          <w:jc w:val="center"/>
        </w:trPr>
        <w:tc>
          <w:tcPr>
            <w:tcW w:w="960" w:type="dxa"/>
            <w:tcBorders>
              <w:top w:val="nil"/>
              <w:left w:val="single" w:sz="12" w:space="0" w:color="auto"/>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center"/>
              <w:rPr>
                <w:color w:val="000000"/>
                <w:szCs w:val="22"/>
              </w:rPr>
            </w:pPr>
            <w:r w:rsidRPr="00E65F72">
              <w:rPr>
                <w:color w:val="000000"/>
                <w:sz w:val="22"/>
                <w:szCs w:val="22"/>
              </w:rPr>
              <w:t>668</w:t>
            </w:r>
          </w:p>
        </w:tc>
        <w:tc>
          <w:tcPr>
            <w:tcW w:w="332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sidRPr="00E65F72">
              <w:rPr>
                <w:color w:val="000000"/>
                <w:sz w:val="22"/>
                <w:szCs w:val="22"/>
              </w:rPr>
              <w:t>Ostatní finanční výnosy</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right"/>
              <w:rPr>
                <w:color w:val="000000"/>
                <w:szCs w:val="22"/>
              </w:rPr>
            </w:pPr>
            <w:r w:rsidRPr="00E65F72">
              <w:rPr>
                <w:color w:val="000000"/>
                <w:sz w:val="22"/>
                <w:szCs w:val="22"/>
              </w:rPr>
              <w:t>1</w:t>
            </w:r>
          </w:p>
        </w:tc>
        <w:tc>
          <w:tcPr>
            <w:tcW w:w="1400" w:type="dxa"/>
            <w:tcBorders>
              <w:top w:val="nil"/>
              <w:left w:val="nil"/>
              <w:bottom w:val="single" w:sz="4" w:space="0" w:color="auto"/>
              <w:right w:val="single" w:sz="4"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sidRPr="00E65F72">
              <w:rPr>
                <w:color w:val="000000"/>
                <w:sz w:val="22"/>
                <w:szCs w:val="22"/>
              </w:rPr>
              <w:t> </w:t>
            </w:r>
          </w:p>
        </w:tc>
        <w:tc>
          <w:tcPr>
            <w:tcW w:w="1400" w:type="dxa"/>
            <w:tcBorders>
              <w:top w:val="nil"/>
              <w:left w:val="nil"/>
              <w:bottom w:val="single" w:sz="4" w:space="0" w:color="auto"/>
              <w:right w:val="single" w:sz="12" w:space="0" w:color="auto"/>
            </w:tcBorders>
            <w:shd w:val="clear" w:color="auto" w:fill="auto"/>
            <w:vAlign w:val="center"/>
            <w:hideMark/>
          </w:tcPr>
          <w:p w:rsidR="00E65F72" w:rsidRPr="00E65F72" w:rsidRDefault="00E65F72" w:rsidP="00E65F72">
            <w:pPr>
              <w:spacing w:after="0" w:line="240" w:lineRule="auto"/>
              <w:jc w:val="left"/>
              <w:rPr>
                <w:color w:val="000000"/>
                <w:szCs w:val="22"/>
              </w:rPr>
            </w:pPr>
            <w:r w:rsidRPr="00E65F72">
              <w:rPr>
                <w:color w:val="000000"/>
                <w:sz w:val="22"/>
                <w:szCs w:val="22"/>
              </w:rPr>
              <w:t> </w:t>
            </w:r>
          </w:p>
        </w:tc>
      </w:tr>
      <w:tr w:rsidR="00E65F72" w:rsidRPr="00E65F72" w:rsidTr="0087437F">
        <w:trPr>
          <w:trHeight w:val="439"/>
          <w:jc w:val="center"/>
        </w:trPr>
        <w:tc>
          <w:tcPr>
            <w:tcW w:w="4280" w:type="dxa"/>
            <w:gridSpan w:val="2"/>
            <w:tcBorders>
              <w:top w:val="single" w:sz="4" w:space="0" w:color="auto"/>
              <w:left w:val="single" w:sz="12" w:space="0" w:color="auto"/>
              <w:bottom w:val="single" w:sz="4" w:space="0" w:color="auto"/>
              <w:right w:val="single" w:sz="4" w:space="0" w:color="auto"/>
            </w:tcBorders>
            <w:shd w:val="clear" w:color="000000" w:fill="D9D9D9"/>
            <w:vAlign w:val="center"/>
            <w:hideMark/>
          </w:tcPr>
          <w:p w:rsidR="00E65F72" w:rsidRPr="00E65F72" w:rsidRDefault="00E65F72" w:rsidP="00E65F72">
            <w:pPr>
              <w:spacing w:after="0" w:line="240" w:lineRule="auto"/>
              <w:jc w:val="left"/>
              <w:rPr>
                <w:b/>
                <w:bCs/>
                <w:color w:val="000000"/>
                <w:szCs w:val="22"/>
              </w:rPr>
            </w:pPr>
            <w:r w:rsidRPr="00E65F72">
              <w:rPr>
                <w:b/>
                <w:bCs/>
                <w:color w:val="000000"/>
                <w:sz w:val="22"/>
                <w:szCs w:val="22"/>
              </w:rPr>
              <w:t>Výnosy celkem</w:t>
            </w:r>
          </w:p>
        </w:tc>
        <w:tc>
          <w:tcPr>
            <w:tcW w:w="1400" w:type="dxa"/>
            <w:tcBorders>
              <w:top w:val="nil"/>
              <w:left w:val="nil"/>
              <w:bottom w:val="single" w:sz="4" w:space="0" w:color="auto"/>
              <w:right w:val="single" w:sz="4" w:space="0" w:color="auto"/>
            </w:tcBorders>
            <w:shd w:val="clear" w:color="000000" w:fill="D9D9D9"/>
            <w:vAlign w:val="center"/>
            <w:hideMark/>
          </w:tcPr>
          <w:p w:rsidR="00E65F72" w:rsidRPr="00E65F72" w:rsidRDefault="00E65F72" w:rsidP="00E65F72">
            <w:pPr>
              <w:spacing w:after="0" w:line="240" w:lineRule="auto"/>
              <w:jc w:val="right"/>
              <w:rPr>
                <w:b/>
                <w:bCs/>
                <w:color w:val="000000"/>
                <w:szCs w:val="22"/>
              </w:rPr>
            </w:pPr>
            <w:r w:rsidRPr="00E65F72">
              <w:rPr>
                <w:b/>
                <w:bCs/>
                <w:color w:val="000000"/>
                <w:sz w:val="22"/>
                <w:szCs w:val="22"/>
              </w:rPr>
              <w:t>6 184 121</w:t>
            </w:r>
          </w:p>
        </w:tc>
        <w:tc>
          <w:tcPr>
            <w:tcW w:w="1400" w:type="dxa"/>
            <w:tcBorders>
              <w:top w:val="nil"/>
              <w:left w:val="nil"/>
              <w:bottom w:val="single" w:sz="4" w:space="0" w:color="auto"/>
              <w:right w:val="single" w:sz="4" w:space="0" w:color="auto"/>
            </w:tcBorders>
            <w:shd w:val="clear" w:color="000000" w:fill="D9D9D9"/>
            <w:vAlign w:val="center"/>
            <w:hideMark/>
          </w:tcPr>
          <w:p w:rsidR="00E65F72" w:rsidRPr="00E65F72" w:rsidRDefault="00E65F72" w:rsidP="00E65F72">
            <w:pPr>
              <w:spacing w:after="0" w:line="240" w:lineRule="auto"/>
              <w:jc w:val="right"/>
              <w:rPr>
                <w:b/>
                <w:bCs/>
                <w:color w:val="000000"/>
                <w:szCs w:val="22"/>
              </w:rPr>
            </w:pPr>
            <w:r w:rsidRPr="00E65F72">
              <w:rPr>
                <w:b/>
                <w:bCs/>
                <w:color w:val="000000"/>
                <w:sz w:val="22"/>
                <w:szCs w:val="22"/>
              </w:rPr>
              <w:t>4 310 930</w:t>
            </w:r>
          </w:p>
        </w:tc>
        <w:tc>
          <w:tcPr>
            <w:tcW w:w="1400" w:type="dxa"/>
            <w:tcBorders>
              <w:top w:val="nil"/>
              <w:left w:val="nil"/>
              <w:bottom w:val="single" w:sz="4" w:space="0" w:color="auto"/>
              <w:right w:val="single" w:sz="12" w:space="0" w:color="auto"/>
            </w:tcBorders>
            <w:shd w:val="clear" w:color="000000" w:fill="D9D9D9"/>
            <w:vAlign w:val="center"/>
            <w:hideMark/>
          </w:tcPr>
          <w:p w:rsidR="00E65F72" w:rsidRPr="00E65F72" w:rsidRDefault="00E65F72" w:rsidP="00E65F72">
            <w:pPr>
              <w:spacing w:after="0" w:line="240" w:lineRule="auto"/>
              <w:jc w:val="right"/>
              <w:rPr>
                <w:b/>
                <w:bCs/>
                <w:color w:val="000000"/>
                <w:szCs w:val="22"/>
              </w:rPr>
            </w:pPr>
            <w:r w:rsidRPr="00E65F72">
              <w:rPr>
                <w:b/>
                <w:bCs/>
                <w:color w:val="000000"/>
                <w:sz w:val="22"/>
                <w:szCs w:val="22"/>
              </w:rPr>
              <w:t>3 799 662</w:t>
            </w:r>
          </w:p>
        </w:tc>
      </w:tr>
      <w:tr w:rsidR="00E65F72" w:rsidRPr="00E65F72" w:rsidTr="0087437F">
        <w:trPr>
          <w:trHeight w:val="342"/>
          <w:jc w:val="center"/>
        </w:trPr>
        <w:tc>
          <w:tcPr>
            <w:tcW w:w="4280" w:type="dxa"/>
            <w:gridSpan w:val="2"/>
            <w:tcBorders>
              <w:top w:val="single" w:sz="4" w:space="0" w:color="auto"/>
              <w:left w:val="single" w:sz="12" w:space="0" w:color="auto"/>
              <w:bottom w:val="single" w:sz="12" w:space="0" w:color="auto"/>
              <w:right w:val="single" w:sz="4" w:space="0" w:color="auto"/>
            </w:tcBorders>
            <w:shd w:val="clear" w:color="000000" w:fill="D9D9D9"/>
            <w:vAlign w:val="center"/>
            <w:hideMark/>
          </w:tcPr>
          <w:p w:rsidR="00E65F72" w:rsidRPr="00E65F72" w:rsidRDefault="00E65F72" w:rsidP="00E65F72">
            <w:pPr>
              <w:spacing w:after="0" w:line="240" w:lineRule="auto"/>
              <w:jc w:val="left"/>
              <w:rPr>
                <w:b/>
                <w:bCs/>
                <w:color w:val="000000"/>
                <w:szCs w:val="22"/>
              </w:rPr>
            </w:pPr>
            <w:r w:rsidRPr="00E65F72">
              <w:rPr>
                <w:b/>
                <w:bCs/>
                <w:color w:val="000000"/>
                <w:sz w:val="22"/>
                <w:szCs w:val="22"/>
              </w:rPr>
              <w:t>Zisk (+) / Ztráta (-)</w:t>
            </w:r>
          </w:p>
        </w:tc>
        <w:tc>
          <w:tcPr>
            <w:tcW w:w="1400" w:type="dxa"/>
            <w:tcBorders>
              <w:top w:val="nil"/>
              <w:left w:val="nil"/>
              <w:bottom w:val="single" w:sz="12" w:space="0" w:color="auto"/>
              <w:right w:val="single" w:sz="4" w:space="0" w:color="auto"/>
            </w:tcBorders>
            <w:shd w:val="clear" w:color="000000" w:fill="D9D9D9"/>
            <w:vAlign w:val="center"/>
            <w:hideMark/>
          </w:tcPr>
          <w:p w:rsidR="00E65F72" w:rsidRPr="00E65F72" w:rsidRDefault="00E65F72" w:rsidP="00E65F72">
            <w:pPr>
              <w:spacing w:after="0" w:line="240" w:lineRule="auto"/>
              <w:jc w:val="right"/>
              <w:rPr>
                <w:b/>
                <w:bCs/>
                <w:color w:val="000000"/>
                <w:szCs w:val="22"/>
              </w:rPr>
            </w:pPr>
            <w:r w:rsidRPr="00E65F72">
              <w:rPr>
                <w:b/>
                <w:bCs/>
                <w:color w:val="000000"/>
                <w:sz w:val="22"/>
                <w:szCs w:val="22"/>
              </w:rPr>
              <w:t>134 000</w:t>
            </w:r>
          </w:p>
        </w:tc>
        <w:tc>
          <w:tcPr>
            <w:tcW w:w="1400" w:type="dxa"/>
            <w:tcBorders>
              <w:top w:val="nil"/>
              <w:left w:val="nil"/>
              <w:bottom w:val="single" w:sz="12" w:space="0" w:color="auto"/>
              <w:right w:val="single" w:sz="4" w:space="0" w:color="auto"/>
            </w:tcBorders>
            <w:shd w:val="clear" w:color="000000" w:fill="D9D9D9"/>
            <w:vAlign w:val="center"/>
            <w:hideMark/>
          </w:tcPr>
          <w:p w:rsidR="00E65F72" w:rsidRPr="00E65F72" w:rsidRDefault="00E65F72" w:rsidP="00E65F72">
            <w:pPr>
              <w:spacing w:after="0" w:line="240" w:lineRule="auto"/>
              <w:jc w:val="right"/>
              <w:rPr>
                <w:b/>
                <w:bCs/>
                <w:color w:val="000000"/>
                <w:szCs w:val="22"/>
              </w:rPr>
            </w:pPr>
            <w:r w:rsidRPr="00E65F72">
              <w:rPr>
                <w:b/>
                <w:bCs/>
                <w:color w:val="000000"/>
                <w:sz w:val="22"/>
                <w:szCs w:val="22"/>
              </w:rPr>
              <w:t>-59 534</w:t>
            </w:r>
          </w:p>
        </w:tc>
        <w:tc>
          <w:tcPr>
            <w:tcW w:w="1400" w:type="dxa"/>
            <w:tcBorders>
              <w:top w:val="nil"/>
              <w:left w:val="nil"/>
              <w:bottom w:val="single" w:sz="12" w:space="0" w:color="auto"/>
              <w:right w:val="single" w:sz="12" w:space="0" w:color="auto"/>
            </w:tcBorders>
            <w:shd w:val="clear" w:color="000000" w:fill="D9D9D9"/>
            <w:vAlign w:val="center"/>
            <w:hideMark/>
          </w:tcPr>
          <w:p w:rsidR="00E65F72" w:rsidRPr="00E65F72" w:rsidRDefault="00E65F72" w:rsidP="00E65F72">
            <w:pPr>
              <w:spacing w:after="0" w:line="240" w:lineRule="auto"/>
              <w:jc w:val="right"/>
              <w:rPr>
                <w:b/>
                <w:bCs/>
                <w:color w:val="000000"/>
                <w:szCs w:val="22"/>
              </w:rPr>
            </w:pPr>
            <w:r w:rsidRPr="00E65F72">
              <w:rPr>
                <w:b/>
                <w:bCs/>
                <w:color w:val="000000"/>
                <w:sz w:val="22"/>
                <w:szCs w:val="22"/>
              </w:rPr>
              <w:t>196 813</w:t>
            </w:r>
          </w:p>
        </w:tc>
      </w:tr>
    </w:tbl>
    <w:p w:rsidR="00E65F72" w:rsidRDefault="001F7AC2" w:rsidP="00E608EF">
      <w:r>
        <w:t>Zdroj: Q – MONT s. r. o.</w:t>
      </w:r>
    </w:p>
    <w:p w:rsidR="00E25629" w:rsidRDefault="00E25629" w:rsidP="00E25629">
      <w:pPr>
        <w:pStyle w:val="Titulek"/>
      </w:pPr>
      <w:bookmarkStart w:id="312" w:name="_Toc353437257"/>
      <w:bookmarkStart w:id="313" w:name="_Toc353438807"/>
      <w:bookmarkStart w:id="314" w:name="_Ref353440197"/>
      <w:r>
        <w:t xml:space="preserve">Příloha </w:t>
      </w:r>
      <w:r w:rsidR="00C96C2B">
        <w:fldChar w:fldCharType="begin"/>
      </w:r>
      <w:r w:rsidR="00C96C2B">
        <w:instrText xml:space="preserve"> SEQ Příloha \* ARABIC </w:instrText>
      </w:r>
      <w:r w:rsidR="00C96C2B">
        <w:fldChar w:fldCharType="separate"/>
      </w:r>
      <w:r w:rsidR="002534BA">
        <w:rPr>
          <w:noProof/>
        </w:rPr>
        <w:t>13</w:t>
      </w:r>
      <w:r w:rsidR="00C96C2B">
        <w:rPr>
          <w:noProof/>
        </w:rPr>
        <w:fldChar w:fldCharType="end"/>
      </w:r>
      <w:r>
        <w:t xml:space="preserve"> Příklad výpočtu ukazatelů likvidity</w:t>
      </w:r>
      <w:bookmarkEnd w:id="312"/>
      <w:bookmarkEnd w:id="313"/>
      <w:bookmarkEnd w:id="314"/>
    </w:p>
    <w:p w:rsidR="002B4E6C" w:rsidRDefault="002B4E6C" w:rsidP="00837C1D">
      <w:pPr>
        <w:pStyle w:val="Odstavecnormln"/>
      </w:pPr>
      <w:r>
        <w:t>Pro výpočet ukazatelů likvidity uvedených v</w:t>
      </w:r>
      <w:r w:rsidR="00B14A69">
        <w:t> tabulce 16</w:t>
      </w:r>
      <w:r>
        <w:t xml:space="preserve"> na str.</w:t>
      </w:r>
      <w:r w:rsidR="004C1FCA">
        <w:t xml:space="preserve"> </w:t>
      </w:r>
      <w:r w:rsidR="004C1FCA">
        <w:fldChar w:fldCharType="begin"/>
      </w:r>
      <w:r w:rsidR="004C1FCA">
        <w:instrText xml:space="preserve"> PAGEREF _Ref349670304 \h </w:instrText>
      </w:r>
      <w:r w:rsidR="004C1FCA">
        <w:fldChar w:fldCharType="separate"/>
      </w:r>
      <w:r w:rsidR="002534BA">
        <w:rPr>
          <w:noProof/>
        </w:rPr>
        <w:t>37</w:t>
      </w:r>
      <w:r w:rsidR="004C1FCA">
        <w:fldChar w:fldCharType="end"/>
      </w:r>
      <w:r>
        <w:t xml:space="preserve"> byl sestaven přehled (viz</w:t>
      </w:r>
      <w:r w:rsidR="00B14A69">
        <w:t xml:space="preserve"> tabulka 15</w:t>
      </w:r>
      <w:r>
        <w:t xml:space="preserve"> na str. </w:t>
      </w:r>
      <w:r w:rsidR="004C1FCA">
        <w:fldChar w:fldCharType="begin"/>
      </w:r>
      <w:r w:rsidR="004C1FCA">
        <w:instrText xml:space="preserve"> PAGEREF _Ref349667746 \h </w:instrText>
      </w:r>
      <w:r w:rsidR="004C1FCA">
        <w:fldChar w:fldCharType="separate"/>
      </w:r>
      <w:r w:rsidR="002534BA">
        <w:rPr>
          <w:noProof/>
        </w:rPr>
        <w:t>36</w:t>
      </w:r>
      <w:r w:rsidR="004C1FCA">
        <w:fldChar w:fldCharType="end"/>
      </w:r>
      <w:r>
        <w:t>), ve kterém jsou uvedeny vybrané hodnoty aktiv a pasiv nezbytných pro určení běžné, pohotové a okamžité likvidity v jednotlivých letech zkoumaného období.</w:t>
      </w:r>
    </w:p>
    <w:p w:rsidR="002B4E6C" w:rsidRDefault="002B4E6C" w:rsidP="00837C1D">
      <w:pPr>
        <w:pStyle w:val="Odstavecnormln"/>
      </w:pPr>
      <w:r>
        <w:t>Ve  vzorcích jsou pro přehlednost vedle názvů proměnných uvedeny odpovídající čísla řádků z</w:t>
      </w:r>
      <w:r w:rsidR="00B14A69">
        <w:t xml:space="preserve"> tabulky </w:t>
      </w:r>
      <w:r w:rsidR="00744BD2">
        <w:t>15</w:t>
      </w:r>
      <w:r w:rsidR="00B14A69">
        <w:t xml:space="preserve"> Vybrané hodnoty aktiv a pasiv </w:t>
      </w:r>
      <w:r>
        <w:t xml:space="preserve">na str. </w:t>
      </w:r>
      <w:r w:rsidR="00BB0445">
        <w:fldChar w:fldCharType="begin"/>
      </w:r>
      <w:r w:rsidR="00BB0445">
        <w:instrText xml:space="preserve"> PAGEREF _Ref349667746 \h </w:instrText>
      </w:r>
      <w:r w:rsidR="00BB0445">
        <w:fldChar w:fldCharType="separate"/>
      </w:r>
      <w:r w:rsidR="002534BA">
        <w:rPr>
          <w:noProof/>
        </w:rPr>
        <w:t>36</w:t>
      </w:r>
      <w:r w:rsidR="00BB0445">
        <w:fldChar w:fldCharType="end"/>
      </w:r>
      <w:r>
        <w:t>.</w:t>
      </w:r>
    </w:p>
    <w:p w:rsidR="00BB0445" w:rsidRPr="00BB0445" w:rsidRDefault="00C96C2B" w:rsidP="002B4E6C">
      <m:oMathPara>
        <m:oMath>
          <m:sSub>
            <m:sSubPr>
              <m:ctrlPr>
                <w:rPr>
                  <w:rFonts w:ascii="Cambria Math" w:hAnsi="Cambria Math"/>
                  <w:i/>
                </w:rPr>
              </m:ctrlPr>
            </m:sSubPr>
            <m:e>
              <m:r>
                <m:rPr>
                  <m:nor/>
                </m:rPr>
                <m:t>Běžná likvidita</m:t>
              </m:r>
            </m:e>
            <m:sub>
              <m:r>
                <m:rPr>
                  <m:nor/>
                </m:rPr>
                <m:t>2009</m:t>
              </m:r>
            </m:sub>
          </m:sSub>
          <m:r>
            <m:rPr>
              <m:nor/>
            </m:rPr>
            <m:t>=</m:t>
          </m:r>
          <m:f>
            <m:fPr>
              <m:ctrlPr>
                <w:rPr>
                  <w:rFonts w:ascii="Cambria Math" w:hAnsi="Cambria Math"/>
                </w:rPr>
              </m:ctrlPr>
            </m:fPr>
            <m:num>
              <m:r>
                <m:rPr>
                  <m:nor/>
                </m:rPr>
                <m:t>oběžná aktiva</m:t>
              </m:r>
              <m:r>
                <m:rPr>
                  <m:nor/>
                </m:rPr>
                <w:rPr>
                  <w:rFonts w:ascii="Cambria Math"/>
                </w:rPr>
                <m:t xml:space="preserve"> upraven</m:t>
              </m:r>
              <m:r>
                <m:rPr>
                  <m:nor/>
                </m:rPr>
                <w:rPr>
                  <w:rFonts w:ascii="Cambria Math"/>
                </w:rPr>
                <m:t>á</m:t>
              </m:r>
              <m:r>
                <m:rPr>
                  <m:nor/>
                </m:rPr>
                <w:rPr>
                  <w:rFonts w:ascii="Cambria Math"/>
                </w:rPr>
                <m:t xml:space="preserve"> o nedob. a proml</m:t>
              </m:r>
              <m:r>
                <m:rPr>
                  <m:nor/>
                </m:rPr>
                <w:rPr>
                  <w:rFonts w:ascii="Cambria Math"/>
                </w:rPr>
                <m:t>č</m:t>
              </m:r>
              <m:r>
                <m:rPr>
                  <m:nor/>
                </m:rPr>
                <w:rPr>
                  <w:rFonts w:ascii="Cambria Math"/>
                </w:rPr>
                <m:t>. pohl. (</m:t>
              </m:r>
              <m:r>
                <m:rPr>
                  <m:nor/>
                </m:rPr>
                <m:t>ř. 1</m:t>
              </m:r>
              <m:r>
                <m:rPr>
                  <m:nor/>
                </m:rPr>
                <w:rPr>
                  <w:rFonts w:ascii="Cambria Math"/>
                </w:rPr>
                <m:t xml:space="preserve"> - </m:t>
              </m:r>
              <m:r>
                <m:rPr>
                  <m:nor/>
                </m:rPr>
                <w:rPr>
                  <w:rFonts w:ascii="Cambria Math"/>
                </w:rPr>
                <m:t>ř</m:t>
              </m:r>
              <m:r>
                <m:rPr>
                  <m:nor/>
                </m:rPr>
                <w:rPr>
                  <w:rFonts w:ascii="Cambria Math"/>
                </w:rPr>
                <m:t>. 4</m:t>
              </m:r>
              <m:r>
                <m:rPr>
                  <m:nor/>
                </m:rPr>
                <m:t>)</m:t>
              </m:r>
            </m:num>
            <m:den>
              <m:r>
                <m:rPr>
                  <m:nor/>
                </m:rPr>
                <m:t>krátkodobé závazky (ř. 6)</m:t>
              </m:r>
            </m:den>
          </m:f>
        </m:oMath>
      </m:oMathPara>
    </w:p>
    <w:p w:rsidR="002B4E6C" w:rsidRPr="0061200E" w:rsidRDefault="0061200E" w:rsidP="002B4E6C">
      <w:pPr>
        <w:rPr>
          <w:oMath/>
        </w:rPr>
      </w:pPr>
      <m:oMathPara>
        <m:oMath>
          <m:r>
            <m:rPr>
              <m:nor/>
            </m:rPr>
            <m:t xml:space="preserve">= </m:t>
          </m:r>
          <m:f>
            <m:fPr>
              <m:ctrlPr>
                <w:rPr>
                  <w:rFonts w:ascii="Cambria Math" w:hAnsi="Cambria Math"/>
                  <w:i/>
                </w:rPr>
              </m:ctrlPr>
            </m:fPr>
            <m:num>
              <m:r>
                <m:rPr>
                  <m:nor/>
                </m:rPr>
                <m:t>2.183.800-234.230</m:t>
              </m:r>
            </m:num>
            <m:den>
              <m:r>
                <m:rPr>
                  <m:nor/>
                </m:rPr>
                <m:t>517.757</m:t>
              </m:r>
            </m:den>
          </m:f>
          <m:r>
            <m:rPr>
              <m:nor/>
            </m:rPr>
            <m:t>=</m:t>
          </m:r>
          <m:r>
            <m:rPr>
              <m:nor/>
            </m:rPr>
            <w:rPr>
              <w:b/>
            </w:rPr>
            <m:t>3,77</m:t>
          </m:r>
        </m:oMath>
      </m:oMathPara>
    </w:p>
    <w:p w:rsidR="00BB0445" w:rsidRPr="00BB0445" w:rsidRDefault="00C96C2B" w:rsidP="009C768F">
      <m:oMathPara>
        <m:oMathParaPr>
          <m:jc m:val="center"/>
        </m:oMathParaPr>
        <m:oMath>
          <m:sSub>
            <m:sSubPr>
              <m:ctrlPr>
                <w:rPr>
                  <w:rFonts w:ascii="Cambria Math" w:hAnsi="Cambria Math"/>
                  <w:i/>
                </w:rPr>
              </m:ctrlPr>
            </m:sSubPr>
            <m:e>
              <m:r>
                <m:rPr>
                  <m:nor/>
                </m:rPr>
                <m:t>Pohotová likvidita</m:t>
              </m:r>
            </m:e>
            <m:sub>
              <m:r>
                <m:rPr>
                  <m:nor/>
                </m:rPr>
                <m:t>2009</m:t>
              </m:r>
            </m:sub>
          </m:sSub>
          <m:r>
            <m:rPr>
              <m:nor/>
            </m:rPr>
            <m:t>=</m:t>
          </m:r>
          <m:f>
            <m:fPr>
              <m:ctrlPr>
                <w:rPr>
                  <w:rFonts w:ascii="Cambria Math" w:hAnsi="Cambria Math"/>
                </w:rPr>
              </m:ctrlPr>
            </m:fPr>
            <m:num>
              <m:r>
                <m:rPr>
                  <m:nor/>
                </m:rPr>
                <m:t>oběžná aktiva upravená o nedob. a promlč. pohl. (ř. 1 - ř. 4)-zásoby(ř. 2)</m:t>
              </m:r>
            </m:num>
            <m:den>
              <m:r>
                <m:rPr>
                  <m:nor/>
                </m:rPr>
                <m:t>krátkodobé závazky (ř. 6)</m:t>
              </m:r>
            </m:den>
          </m:f>
        </m:oMath>
      </m:oMathPara>
    </w:p>
    <w:p w:rsidR="002B4E6C" w:rsidRPr="0061200E" w:rsidRDefault="0061200E" w:rsidP="002B4E6C">
      <w:pPr>
        <w:rPr>
          <w:oMath/>
        </w:rPr>
      </w:pPr>
      <m:oMathPara>
        <m:oMathParaPr>
          <m:jc m:val="center"/>
        </m:oMathParaPr>
        <m:oMath>
          <m:r>
            <m:rPr>
              <m:nor/>
            </m:rPr>
            <m:t>=</m:t>
          </m:r>
          <m:r>
            <w:rPr>
              <w:rFonts w:ascii="Cambria Math" w:hAnsi="Cambria Math"/>
            </w:rPr>
            <m:t xml:space="preserve"> </m:t>
          </m:r>
          <m:f>
            <m:fPr>
              <m:ctrlPr>
                <w:rPr>
                  <w:rFonts w:ascii="Cambria Math" w:hAnsi="Cambria Math"/>
                  <w:i/>
                </w:rPr>
              </m:ctrlPr>
            </m:fPr>
            <m:num>
              <m:r>
                <m:rPr>
                  <m:nor/>
                </m:rPr>
                <m:t>2.183.800-234.230-0</m:t>
              </m:r>
            </m:num>
            <m:den>
              <m:r>
                <m:rPr>
                  <m:nor/>
                </m:rPr>
                <m:t>517.757</m:t>
              </m:r>
            </m:den>
          </m:f>
          <m:r>
            <m:rPr>
              <m:nor/>
            </m:rPr>
            <m:t xml:space="preserve">= </m:t>
          </m:r>
          <m:r>
            <m:rPr>
              <m:nor/>
            </m:rPr>
            <w:rPr>
              <w:b/>
            </w:rPr>
            <m:t>3,77</m:t>
          </m:r>
        </m:oMath>
      </m:oMathPara>
    </w:p>
    <w:p w:rsidR="0061200E" w:rsidRPr="0061200E" w:rsidRDefault="00C96C2B" w:rsidP="002B4E6C">
      <w:pPr>
        <w:rPr>
          <w:bCs/>
        </w:rPr>
      </w:pPr>
      <m:oMathPara>
        <m:oMathParaPr>
          <m:jc m:val="center"/>
        </m:oMathParaPr>
        <m:oMath>
          <m:sSub>
            <m:sSubPr>
              <m:ctrlPr>
                <w:rPr>
                  <w:rFonts w:ascii="Cambria Math" w:hAnsi="Cambria Math"/>
                  <w:i/>
                </w:rPr>
              </m:ctrlPr>
            </m:sSubPr>
            <m:e>
              <m:r>
                <m:rPr>
                  <m:nor/>
                </m:rPr>
                <m:t>Okamžitá likvidita</m:t>
              </m:r>
            </m:e>
            <m:sub>
              <m:r>
                <m:rPr>
                  <m:nor/>
                </m:rPr>
                <m:t>2010</m:t>
              </m:r>
            </m:sub>
          </m:sSub>
          <m:r>
            <m:rPr>
              <m:nor/>
            </m:rPr>
            <m:t>=</m:t>
          </m:r>
          <m:f>
            <m:fPr>
              <m:ctrlPr>
                <w:rPr>
                  <w:rFonts w:ascii="Cambria Math" w:hAnsi="Cambria Math"/>
                  <w:bCs/>
                </w:rPr>
              </m:ctrlPr>
            </m:fPr>
            <m:num>
              <m:r>
                <m:rPr>
                  <m:nor/>
                </m:rPr>
                <m:t>finanční prostředky</m:t>
              </m:r>
              <m:r>
                <m:rPr>
                  <m:sty m:val="p"/>
                </m:rPr>
                <w:rPr>
                  <w:rFonts w:ascii="Cambria Math" w:hAnsi="Cambria Math"/>
                </w:rPr>
                <m:t xml:space="preserve"> </m:t>
              </m:r>
              <m:d>
                <m:dPr>
                  <m:ctrlPr>
                    <w:rPr>
                      <w:rFonts w:ascii="Cambria Math" w:hAnsi="Cambria Math"/>
                    </w:rPr>
                  </m:ctrlPr>
                </m:dPr>
                <m:e>
                  <m:r>
                    <m:rPr>
                      <m:nor/>
                    </m:rPr>
                    <m:t>ř.  5</m:t>
                  </m:r>
                </m:e>
              </m:d>
            </m:num>
            <m:den>
              <m:r>
                <m:rPr>
                  <m:nor/>
                </m:rPr>
                <m:t>okamžité splatné závazky (ř.7</m:t>
              </m:r>
              <m:r>
                <m:rPr>
                  <m:nor/>
                </m:rPr>
                <w:rPr>
                  <w:rFonts w:ascii="Cambria Math"/>
                </w:rPr>
                <m:t xml:space="preserve"> </m:t>
              </m:r>
              <m:r>
                <m:rPr>
                  <m:nor/>
                </m:rPr>
                <m:t>+</m:t>
              </m:r>
              <m:r>
                <m:rPr>
                  <m:nor/>
                </m:rPr>
                <w:rPr>
                  <w:rFonts w:ascii="Cambria Math"/>
                </w:rPr>
                <m:t xml:space="preserve"> </m:t>
              </m:r>
              <m:r>
                <m:rPr>
                  <m:nor/>
                </m:rPr>
                <m:t>ř.8</m:t>
              </m:r>
              <m:r>
                <m:rPr>
                  <m:nor/>
                </m:rPr>
                <w:rPr>
                  <w:rFonts w:ascii="Cambria Math"/>
                </w:rPr>
                <m:t xml:space="preserve">  </m:t>
              </m:r>
              <m:r>
                <m:rPr>
                  <m:nor/>
                </m:rPr>
                <m:t>+</m:t>
              </m:r>
              <m:r>
                <m:rPr>
                  <m:nor/>
                </m:rPr>
                <w:rPr>
                  <w:rFonts w:ascii="Cambria Math"/>
                </w:rPr>
                <m:t xml:space="preserve"> </m:t>
              </m:r>
              <m:r>
                <m:rPr>
                  <m:nor/>
                </m:rPr>
                <m:t>ř.9</m:t>
              </m:r>
              <m:r>
                <m:rPr>
                  <m:nor/>
                </m:rPr>
                <w:rPr>
                  <w:rFonts w:ascii="Cambria Math"/>
                </w:rPr>
                <m:t xml:space="preserve"> </m:t>
              </m:r>
              <m:r>
                <m:rPr>
                  <m:nor/>
                </m:rPr>
                <m:t>+</m:t>
              </m:r>
              <m:r>
                <m:rPr>
                  <m:nor/>
                </m:rPr>
                <w:rPr>
                  <w:rFonts w:ascii="Cambria Math"/>
                </w:rPr>
                <m:t xml:space="preserve"> </m:t>
              </m:r>
              <m:r>
                <m:rPr>
                  <m:nor/>
                </m:rPr>
                <m:t>ř.10</m:t>
              </m:r>
              <m:r>
                <m:rPr>
                  <m:nor/>
                </m:rPr>
                <w:rPr>
                  <w:rFonts w:ascii="Cambria Math"/>
                </w:rPr>
                <m:t xml:space="preserve"> </m:t>
              </m:r>
              <m:r>
                <m:rPr>
                  <m:nor/>
                </m:rPr>
                <m:t>+</m:t>
              </m:r>
              <m:r>
                <m:rPr>
                  <m:nor/>
                </m:rPr>
                <w:rPr>
                  <w:rFonts w:ascii="Cambria Math"/>
                </w:rPr>
                <m:t xml:space="preserve"> </m:t>
              </m:r>
              <m:r>
                <m:rPr>
                  <m:nor/>
                </m:rPr>
                <m:t>ř.11</m:t>
              </m:r>
              <m:r>
                <m:rPr>
                  <m:nor/>
                </m:rPr>
                <w:rPr>
                  <w:rFonts w:ascii="Cambria Math"/>
                </w:rPr>
                <m:t xml:space="preserve"> + </m:t>
              </m:r>
              <m:r>
                <m:rPr>
                  <m:nor/>
                </m:rPr>
                <w:rPr>
                  <w:rFonts w:ascii="Cambria Math"/>
                </w:rPr>
                <m:t>ř</m:t>
              </m:r>
              <m:r>
                <m:rPr>
                  <m:nor/>
                </m:rPr>
                <w:rPr>
                  <w:rFonts w:ascii="Cambria Math"/>
                </w:rPr>
                <m:t>.12</m:t>
              </m:r>
              <m:r>
                <m:rPr>
                  <m:sty m:val="p"/>
                </m:rPr>
                <w:rPr>
                  <w:rFonts w:ascii="Cambria Math" w:hAnsi="Cambria Math"/>
                </w:rPr>
                <m:t xml:space="preserve"> </m:t>
              </m:r>
            </m:den>
          </m:f>
        </m:oMath>
      </m:oMathPara>
    </w:p>
    <w:p w:rsidR="002B4E6C" w:rsidRPr="0061200E" w:rsidRDefault="0061200E" w:rsidP="002B4E6C">
      <w:pPr>
        <w:rPr>
          <w:oMath/>
        </w:rPr>
      </w:pPr>
      <m:oMathPara>
        <m:oMathParaPr>
          <m:jc m:val="center"/>
        </m:oMathParaPr>
        <m:oMath>
          <m:r>
            <w:rPr>
              <w:rFonts w:ascii="Cambria Math" w:hAnsi="Cambria Math"/>
            </w:rPr>
            <m:t xml:space="preserve">= </m:t>
          </m:r>
          <m:f>
            <m:fPr>
              <m:ctrlPr>
                <w:rPr>
                  <w:rFonts w:ascii="Cambria Math" w:hAnsi="Cambria Math"/>
                  <w:bCs/>
                  <w:i/>
                </w:rPr>
              </m:ctrlPr>
            </m:fPr>
            <m:num>
              <m:r>
                <m:rPr>
                  <m:nor/>
                </m:rPr>
                <w:rPr>
                  <w:bCs/>
                </w:rPr>
                <m:t>383.141</m:t>
              </m:r>
            </m:num>
            <m:den>
              <m:r>
                <m:rPr>
                  <m:nor/>
                </m:rPr>
                <w:rPr>
                  <w:bCs/>
                </w:rPr>
                <m:t>90.992-0-0-0-0-0</m:t>
              </m:r>
            </m:den>
          </m:f>
          <m:r>
            <m:rPr>
              <m:nor/>
            </m:rPr>
            <w:rPr>
              <w:bCs/>
            </w:rPr>
            <m:t>=</m:t>
          </m:r>
          <m:r>
            <m:rPr>
              <m:nor/>
            </m:rPr>
            <w:rPr>
              <w:b/>
              <w:bCs/>
            </w:rPr>
            <m:t>4,21</m:t>
          </m:r>
        </m:oMath>
      </m:oMathPara>
    </w:p>
    <w:p w:rsidR="00E25629" w:rsidRPr="00E25629" w:rsidRDefault="00E25629" w:rsidP="00E25629">
      <w:pPr>
        <w:pStyle w:val="Titulek"/>
      </w:pPr>
      <w:bookmarkStart w:id="315" w:name="_Ref352357899"/>
      <w:bookmarkStart w:id="316" w:name="_Ref352357928"/>
      <w:bookmarkStart w:id="317" w:name="_Toc353437258"/>
      <w:bookmarkStart w:id="318" w:name="_Toc353438808"/>
      <w:r>
        <w:t xml:space="preserve">Příloha </w:t>
      </w:r>
      <w:r w:rsidR="00C96C2B">
        <w:fldChar w:fldCharType="begin"/>
      </w:r>
      <w:r w:rsidR="00C96C2B">
        <w:instrText xml:space="preserve"> SEQ Příloha \* ARABIC </w:instrText>
      </w:r>
      <w:r w:rsidR="00C96C2B">
        <w:fldChar w:fldCharType="separate"/>
      </w:r>
      <w:r w:rsidR="002534BA">
        <w:rPr>
          <w:noProof/>
        </w:rPr>
        <w:t>14</w:t>
      </w:r>
      <w:r w:rsidR="00C96C2B">
        <w:rPr>
          <w:noProof/>
        </w:rPr>
        <w:fldChar w:fldCharType="end"/>
      </w:r>
      <w:bookmarkEnd w:id="315"/>
      <w:r>
        <w:t xml:space="preserve"> Příklad výpočtu čistého pracovního kapitálu</w:t>
      </w:r>
      <w:bookmarkEnd w:id="316"/>
      <w:bookmarkEnd w:id="317"/>
      <w:bookmarkEnd w:id="318"/>
    </w:p>
    <w:p w:rsidR="00D31D3D" w:rsidRDefault="00D31D3D" w:rsidP="00837C1D">
      <w:pPr>
        <w:pStyle w:val="Odstavecnormln"/>
      </w:pPr>
      <w:r w:rsidRPr="00FB1183">
        <w:t>Pro výpočet byly použity hodnoty uvedené v</w:t>
      </w:r>
      <w:r w:rsidR="00EE12CC">
        <w:t xml:space="preserve"> tabulce 17</w:t>
      </w:r>
      <w:r w:rsidR="00C54D7F">
        <w:t xml:space="preserve"> na str. </w:t>
      </w:r>
      <w:r w:rsidR="00C54D7F">
        <w:fldChar w:fldCharType="begin"/>
      </w:r>
      <w:r w:rsidR="00C54D7F">
        <w:instrText xml:space="preserve"> PAGEREF _Ref350185783 \h </w:instrText>
      </w:r>
      <w:r w:rsidR="00C54D7F">
        <w:fldChar w:fldCharType="separate"/>
      </w:r>
      <w:r w:rsidR="002534BA">
        <w:rPr>
          <w:noProof/>
        </w:rPr>
        <w:t>38</w:t>
      </w:r>
      <w:r w:rsidR="00C54D7F">
        <w:fldChar w:fldCharType="end"/>
      </w:r>
      <w:r w:rsidR="00C54D7F">
        <w:t>.</w:t>
      </w:r>
    </w:p>
    <w:p w:rsidR="00D31D3D" w:rsidRPr="00B03F0F" w:rsidRDefault="00D31D3D" w:rsidP="00D31D3D">
      <m:oMathPara>
        <m:oMathParaPr>
          <m:jc m:val="center"/>
        </m:oMathParaPr>
        <m:oMath>
          <m:r>
            <m:rPr>
              <m:sty m:val="p"/>
            </m:rPr>
            <w:rPr>
              <w:rFonts w:ascii="Cambria Math" w:hAnsi="Cambria Math"/>
            </w:rPr>
            <m:t xml:space="preserve"> </m:t>
          </m:r>
          <m:sSub>
            <m:sSubPr>
              <m:ctrlPr>
                <w:rPr>
                  <w:rFonts w:ascii="Cambria Math" w:hAnsi="Cambria Math"/>
                </w:rPr>
              </m:ctrlPr>
            </m:sSubPr>
            <m:e>
              <m:r>
                <m:rPr>
                  <m:nor/>
                </m:rPr>
                <m:t>Čistý pracovní kapitál</m:t>
              </m:r>
            </m:e>
            <m:sub>
              <m:r>
                <m:rPr>
                  <m:nor/>
                </m:rPr>
                <m:t>2009</m:t>
              </m:r>
            </m:sub>
          </m:sSub>
          <m:r>
            <m:rPr>
              <m:nor/>
            </m:rPr>
            <m:t>= Celková oběžná aktiva</m:t>
          </m:r>
          <m:r>
            <w:rPr>
              <w:rFonts w:ascii="Cambria Math" w:hAnsi="Cambria Math"/>
            </w:rPr>
            <m:t xml:space="preserve"> </m:t>
          </m:r>
          <m:d>
            <m:dPr>
              <m:ctrlPr>
                <w:rPr>
                  <w:rFonts w:ascii="Cambria Math" w:hAnsi="Cambria Math"/>
                  <w:i/>
                </w:rPr>
              </m:ctrlPr>
            </m:dPr>
            <m:e>
              <m:r>
                <m:rPr>
                  <m:nor/>
                </m:rPr>
                <m:t>ř. 1</m:t>
              </m:r>
              <m:r>
                <m:rPr>
                  <m:nor/>
                </m:rPr>
                <w:rPr>
                  <w:rFonts w:ascii="Cambria Math"/>
                </w:rPr>
                <m:t xml:space="preserve"> - </m:t>
              </m:r>
              <m:r>
                <m:rPr>
                  <m:nor/>
                </m:rPr>
                <w:rPr>
                  <w:rFonts w:ascii="Cambria Math"/>
                </w:rPr>
                <m:t>ř</m:t>
              </m:r>
              <m:r>
                <m:rPr>
                  <m:nor/>
                </m:rPr>
                <w:rPr>
                  <w:rFonts w:ascii="Cambria Math"/>
                </w:rPr>
                <m:t>. 2</m:t>
              </m:r>
            </m:e>
          </m:d>
          <m:r>
            <m:rPr>
              <m:nor/>
            </m:rPr>
            <m:t>-celkové krátkodobé závazky</m:t>
          </m:r>
          <m:d>
            <m:dPr>
              <m:ctrlPr>
                <w:rPr>
                  <w:rFonts w:ascii="Cambria Math" w:hAnsi="Cambria Math"/>
                  <w:i/>
                </w:rPr>
              </m:ctrlPr>
            </m:dPr>
            <m:e>
              <m:r>
                <m:rPr>
                  <m:nor/>
                </m:rPr>
                <m:t xml:space="preserve">ř. </m:t>
              </m:r>
              <m:r>
                <m:rPr>
                  <m:nor/>
                </m:rPr>
                <w:rPr>
                  <w:rFonts w:ascii="Cambria Math"/>
                </w:rPr>
                <m:t>3</m:t>
              </m:r>
            </m:e>
          </m:d>
          <m:r>
            <w:rPr>
              <w:rFonts w:ascii="Cambria Math" w:hAnsi="Cambria Math"/>
            </w:rPr>
            <m:t xml:space="preserve"> =</m:t>
          </m:r>
          <m:r>
            <m:rPr>
              <m:nor/>
            </m:rPr>
            <m:t>(2.183.800 - 234.230) - 517.757 =</m:t>
          </m:r>
          <m:r>
            <m:rPr>
              <m:nor/>
            </m:rPr>
            <w:rPr>
              <w:rFonts w:ascii="Cambria Math"/>
            </w:rPr>
            <m:t xml:space="preserve"> </m:t>
          </m:r>
          <m:r>
            <m:rPr>
              <m:nor/>
            </m:rPr>
            <w:rPr>
              <w:b/>
            </w:rPr>
            <m:t>1.431.813</m:t>
          </m:r>
        </m:oMath>
      </m:oMathPara>
    </w:p>
    <w:p w:rsidR="00D31D3D" w:rsidRDefault="00E25629" w:rsidP="00E25629">
      <w:pPr>
        <w:pStyle w:val="Titulek"/>
      </w:pPr>
      <w:bookmarkStart w:id="319" w:name="_Ref352358122"/>
      <w:bookmarkStart w:id="320" w:name="_Ref352359844"/>
      <w:bookmarkStart w:id="321" w:name="_Toc353437259"/>
      <w:bookmarkStart w:id="322" w:name="_Toc353438809"/>
      <w:r>
        <w:t xml:space="preserve">Příloha </w:t>
      </w:r>
      <w:r w:rsidR="00C96C2B">
        <w:fldChar w:fldCharType="begin"/>
      </w:r>
      <w:r w:rsidR="00C96C2B">
        <w:instrText xml:space="preserve"> SEQ Příloha \* ARABIC </w:instrText>
      </w:r>
      <w:r w:rsidR="00C96C2B">
        <w:fldChar w:fldCharType="separate"/>
      </w:r>
      <w:r w:rsidR="002534BA">
        <w:rPr>
          <w:noProof/>
        </w:rPr>
        <w:t>15</w:t>
      </w:r>
      <w:r w:rsidR="00C96C2B">
        <w:rPr>
          <w:noProof/>
        </w:rPr>
        <w:fldChar w:fldCharType="end"/>
      </w:r>
      <w:bookmarkEnd w:id="319"/>
      <w:r>
        <w:t xml:space="preserve"> Příklad výpočtu doby obratu pohledávek a doby obratu závazků</w:t>
      </w:r>
      <w:bookmarkEnd w:id="320"/>
      <w:bookmarkEnd w:id="321"/>
      <w:bookmarkEnd w:id="322"/>
    </w:p>
    <w:p w:rsidR="005F0A2B" w:rsidRPr="005F0A2B" w:rsidRDefault="005F0A2B" w:rsidP="00837C1D">
      <w:pPr>
        <w:pStyle w:val="Odstavecnormln"/>
      </w:pPr>
      <w:r>
        <w:t xml:space="preserve">Pro výpočet </w:t>
      </w:r>
      <w:r w:rsidR="00125F54">
        <w:t xml:space="preserve">doby obratu pohledávek a doby obratu závazků </w:t>
      </w:r>
      <w:r>
        <w:t>byly použity hodnoty uvedené v</w:t>
      </w:r>
      <w:r w:rsidR="00EE12CC">
        <w:t> tabulce 19</w:t>
      </w:r>
      <w:r>
        <w:t xml:space="preserve"> na str. </w:t>
      </w:r>
      <w:r>
        <w:fldChar w:fldCharType="begin"/>
      </w:r>
      <w:r>
        <w:instrText xml:space="preserve"> PAGEREF _Ref350447067 \h </w:instrText>
      </w:r>
      <w:r>
        <w:fldChar w:fldCharType="separate"/>
      </w:r>
      <w:r w:rsidR="002534BA">
        <w:rPr>
          <w:noProof/>
        </w:rPr>
        <w:t>39</w:t>
      </w:r>
      <w:r>
        <w:fldChar w:fldCharType="end"/>
      </w:r>
      <w:r w:rsidR="00EE12CC">
        <w:t>.</w:t>
      </w:r>
    </w:p>
    <w:p w:rsidR="005F0A2B" w:rsidRPr="004D6EC1" w:rsidRDefault="00C96C2B" w:rsidP="005F0A2B">
      <w:pPr>
        <w:rPr>
          <w:oMath/>
        </w:rPr>
      </w:pPr>
      <m:oMathPara>
        <m:oMath>
          <m:sSub>
            <m:sSubPr>
              <m:ctrlPr>
                <w:rPr>
                  <w:rFonts w:ascii="Cambria Math" w:hAnsi="Cambria Math"/>
                </w:rPr>
              </m:ctrlPr>
            </m:sSubPr>
            <m:e>
              <m:r>
                <m:rPr>
                  <m:nor/>
                </m:rPr>
                <m:t>Doba obratu pohledávek</m:t>
              </m:r>
            </m:e>
            <m:sub>
              <m:r>
                <m:rPr>
                  <m:nor/>
                </m:rPr>
                <m:t>2009</m:t>
              </m:r>
            </m:sub>
          </m:sSub>
          <m:r>
            <m:rPr>
              <m:nor/>
            </m:rPr>
            <m:t>=</m:t>
          </m:r>
          <m:r>
            <w:rPr>
              <w:rFonts w:ascii="Cambria Math" w:hAnsi="Cambria Math"/>
            </w:rPr>
            <m:t xml:space="preserve"> </m:t>
          </m:r>
          <m:f>
            <m:fPr>
              <m:ctrlPr>
                <w:rPr>
                  <w:rFonts w:ascii="Cambria Math" w:hAnsi="Cambria Math"/>
                  <w:i/>
                </w:rPr>
              </m:ctrlPr>
            </m:fPr>
            <m:num>
              <m:r>
                <m:rPr>
                  <m:nor/>
                </m:rPr>
                <m:t>pohledávky (ř. 1 - ř. 2)</m:t>
              </m:r>
            </m:num>
            <m:den>
              <m:r>
                <m:rPr>
                  <m:nor/>
                </m:rPr>
                <m:t>tržby (ř. 5)/365</m:t>
              </m:r>
            </m:den>
          </m:f>
          <m:r>
            <m:rPr>
              <m:nor/>
            </m:rPr>
            <m:t>=</m:t>
          </m:r>
          <m:r>
            <m:rPr>
              <m:sty m:val="p"/>
            </m:rPr>
            <w:rPr>
              <w:rFonts w:ascii="Cambria Math" w:hAnsi="Cambria Math"/>
            </w:rPr>
            <m:t xml:space="preserve"> </m:t>
          </m:r>
          <m:f>
            <m:fPr>
              <m:ctrlPr>
                <w:rPr>
                  <w:rFonts w:ascii="Cambria Math" w:hAnsi="Cambria Math"/>
                </w:rPr>
              </m:ctrlPr>
            </m:fPr>
            <m:num>
              <m:r>
                <m:rPr>
                  <m:nor/>
                </m:rPr>
                <m:t>1.407.591-234.230</m:t>
              </m:r>
            </m:num>
            <m:den>
              <m:r>
                <m:rPr>
                  <m:nor/>
                </m:rPr>
                <m:t>6.184.121/365</m:t>
              </m:r>
            </m:den>
          </m:f>
          <m:r>
            <m:rPr>
              <m:nor/>
            </m:rPr>
            <m:t>=</m:t>
          </m:r>
          <m:r>
            <m:rPr>
              <m:nor/>
            </m:rPr>
            <w:rPr>
              <w:b/>
            </w:rPr>
            <m:t>69,25</m:t>
          </m:r>
        </m:oMath>
      </m:oMathPara>
    </w:p>
    <w:p w:rsidR="0044509F" w:rsidRPr="004D6EC1" w:rsidRDefault="00C96C2B" w:rsidP="0044509F">
      <w:pPr>
        <w:rPr>
          <w:oMath/>
        </w:rPr>
      </w:pPr>
      <m:oMathPara>
        <m:oMath>
          <m:sSub>
            <m:sSubPr>
              <m:ctrlPr>
                <w:rPr>
                  <w:rFonts w:ascii="Cambria Math" w:hAnsi="Cambria Math"/>
                </w:rPr>
              </m:ctrlPr>
            </m:sSubPr>
            <m:e>
              <m:r>
                <m:rPr>
                  <m:nor/>
                </m:rPr>
                <m:t>Doba obratu závazků</m:t>
              </m:r>
            </m:e>
            <m:sub>
              <m:r>
                <m:rPr>
                  <m:nor/>
                </m:rPr>
                <m:t>2009</m:t>
              </m:r>
            </m:sub>
          </m:sSub>
          <m:r>
            <m:rPr>
              <m:nor/>
            </m:rPr>
            <m:t xml:space="preserve"> =</m:t>
          </m:r>
          <m:r>
            <w:rPr>
              <w:rFonts w:ascii="Cambria Math" w:hAnsi="Cambria Math"/>
            </w:rPr>
            <m:t xml:space="preserve"> </m:t>
          </m:r>
          <m:f>
            <m:fPr>
              <m:ctrlPr>
                <w:rPr>
                  <w:rFonts w:ascii="Cambria Math" w:hAnsi="Cambria Math"/>
                  <w:i/>
                </w:rPr>
              </m:ctrlPr>
            </m:fPr>
            <m:num>
              <m:r>
                <m:rPr>
                  <m:nor/>
                </m:rPr>
                <m:t>závazky vůči dodavatelům (ř. 3 + ř. 4)</m:t>
              </m:r>
            </m:num>
            <m:den>
              <m:r>
                <m:rPr>
                  <m:nor/>
                </m:rPr>
                <m:t>tržby (ř. 5)/365</m:t>
              </m:r>
            </m:den>
          </m:f>
          <m:r>
            <m:rPr>
              <m:nor/>
            </m:rPr>
            <m:t>=</m:t>
          </m:r>
          <m:f>
            <m:fPr>
              <m:ctrlPr>
                <w:rPr>
                  <w:rFonts w:ascii="Cambria Math" w:hAnsi="Cambria Math"/>
                </w:rPr>
              </m:ctrlPr>
            </m:fPr>
            <m:num>
              <m:r>
                <m:rPr>
                  <m:nor/>
                </m:rPr>
                <m:t>24.813+0</m:t>
              </m:r>
            </m:num>
            <m:den>
              <m:r>
                <m:rPr>
                  <m:nor/>
                </m:rPr>
                <m:t>6.184.121/365</m:t>
              </m:r>
            </m:den>
          </m:f>
          <m:r>
            <m:rPr>
              <m:nor/>
            </m:rPr>
            <m:t>=</m:t>
          </m:r>
          <m:r>
            <m:rPr>
              <m:nor/>
            </m:rPr>
            <w:rPr>
              <w:b/>
            </w:rPr>
            <m:t>1,46</m:t>
          </m:r>
        </m:oMath>
      </m:oMathPara>
    </w:p>
    <w:p w:rsidR="00616337" w:rsidRDefault="00E25629" w:rsidP="00E25629">
      <w:pPr>
        <w:pStyle w:val="Titulek"/>
      </w:pPr>
      <w:bookmarkStart w:id="323" w:name="_Ref352358303"/>
      <w:bookmarkStart w:id="324" w:name="_Ref350448641"/>
      <w:bookmarkStart w:id="325" w:name="_Toc353437260"/>
      <w:bookmarkStart w:id="326" w:name="_Toc353438810"/>
      <w:r>
        <w:t xml:space="preserve">Příloha </w:t>
      </w:r>
      <w:r w:rsidR="00C96C2B">
        <w:fldChar w:fldCharType="begin"/>
      </w:r>
      <w:r w:rsidR="00C96C2B">
        <w:instrText xml:space="preserve"> SEQ Příloha \* ARABIC </w:instrText>
      </w:r>
      <w:r w:rsidR="00C96C2B">
        <w:fldChar w:fldCharType="separate"/>
      </w:r>
      <w:r w:rsidR="002534BA">
        <w:rPr>
          <w:noProof/>
        </w:rPr>
        <w:t>16</w:t>
      </w:r>
      <w:r w:rsidR="00C96C2B">
        <w:rPr>
          <w:noProof/>
        </w:rPr>
        <w:fldChar w:fldCharType="end"/>
      </w:r>
      <w:bookmarkEnd w:id="323"/>
      <w:r>
        <w:t xml:space="preserve"> </w:t>
      </w:r>
      <w:r w:rsidR="004D6EC1">
        <w:t>Příklad výpočtu ukazatele věřitelského rizika a koeficientu samofinancování</w:t>
      </w:r>
      <w:bookmarkEnd w:id="324"/>
      <w:bookmarkEnd w:id="325"/>
      <w:bookmarkEnd w:id="326"/>
    </w:p>
    <w:p w:rsidR="00616337" w:rsidRPr="00616337" w:rsidRDefault="0062580A" w:rsidP="00837C1D">
      <w:pPr>
        <w:pStyle w:val="Odstavecnormln"/>
      </w:pPr>
      <w:r>
        <w:t xml:space="preserve">Pro výpočet ukazatele věřitelského rizika a koeficientu samofinancování byly použity hodnoty uvedené v </w:t>
      </w:r>
      <w:r w:rsidR="00183FB3">
        <w:t>tabulce 21</w:t>
      </w:r>
      <w:r w:rsidR="00616337">
        <w:t xml:space="preserve"> na str. </w:t>
      </w:r>
      <w:r w:rsidR="00616337">
        <w:fldChar w:fldCharType="begin"/>
      </w:r>
      <w:r w:rsidR="00616337">
        <w:instrText xml:space="preserve"> PAGEREF _Ref350447927 \h </w:instrText>
      </w:r>
      <w:r w:rsidR="00616337">
        <w:fldChar w:fldCharType="separate"/>
      </w:r>
      <w:r w:rsidR="002534BA">
        <w:rPr>
          <w:noProof/>
        </w:rPr>
        <w:t>41</w:t>
      </w:r>
      <w:r w:rsidR="00616337">
        <w:fldChar w:fldCharType="end"/>
      </w:r>
      <w:r w:rsidR="00616337">
        <w:t>.</w:t>
      </w:r>
    </w:p>
    <w:p w:rsidR="004D6EC1" w:rsidRPr="004D6EC1" w:rsidRDefault="00C96C2B" w:rsidP="004D6EC1">
      <w:pPr>
        <w:rPr>
          <w:oMath/>
        </w:rPr>
      </w:pPr>
      <m:oMathPara>
        <m:oMath>
          <m:sSub>
            <m:sSubPr>
              <m:ctrlPr>
                <w:rPr>
                  <w:rFonts w:ascii="Cambria Math" w:hAnsi="Cambria Math"/>
                  <w:i/>
                </w:rPr>
              </m:ctrlPr>
            </m:sSubPr>
            <m:e>
              <m:r>
                <m:rPr>
                  <m:nor/>
                </m:rPr>
                <m:t>Ukazatel věřitelského rizika</m:t>
              </m:r>
            </m:e>
            <m:sub>
              <m:r>
                <m:rPr>
                  <m:nor/>
                </m:rPr>
                <m:t>2009</m:t>
              </m:r>
            </m:sub>
          </m:sSub>
          <m:r>
            <m:rPr>
              <m:nor/>
            </m:rPr>
            <m:t xml:space="preserve"> =</m:t>
          </m:r>
          <m:r>
            <w:rPr>
              <w:rFonts w:ascii="Cambria Math" w:hAnsi="Cambria Math"/>
            </w:rPr>
            <m:t xml:space="preserve"> </m:t>
          </m:r>
          <m:f>
            <m:fPr>
              <m:ctrlPr>
                <w:rPr>
                  <w:rFonts w:ascii="Cambria Math" w:hAnsi="Cambria Math"/>
                  <w:i/>
                </w:rPr>
              </m:ctrlPr>
            </m:fPr>
            <m:num>
              <m:r>
                <m:rPr>
                  <m:nor/>
                </m:rPr>
                <m:t>cizí zdroje (ř. 2)</m:t>
              </m:r>
            </m:num>
            <m:den>
              <m:r>
                <m:rPr>
                  <m:nor/>
                </m:rPr>
                <m:t>celková aktiva</m:t>
              </m:r>
              <m:r>
                <m:rPr>
                  <m:nor/>
                </m:rPr>
                <w:rPr>
                  <w:rFonts w:ascii="Cambria Math"/>
                </w:rPr>
                <m:t xml:space="preserve"> (</m:t>
              </m:r>
              <m:r>
                <m:rPr>
                  <m:nor/>
                </m:rPr>
                <w:rPr>
                  <w:rFonts w:ascii="Cambria Math"/>
                </w:rPr>
                <m:t>ř</m:t>
              </m:r>
              <m:r>
                <m:rPr>
                  <m:nor/>
                </m:rPr>
                <w:rPr>
                  <w:rFonts w:ascii="Cambria Math"/>
                </w:rPr>
                <m:t>. 1)</m:t>
              </m:r>
            </m:den>
          </m:f>
          <m:r>
            <m:rPr>
              <m:nor/>
            </m:rPr>
            <m:t>=</m:t>
          </m:r>
          <m:r>
            <m:rPr>
              <m:sty m:val="p"/>
            </m:rPr>
            <w:rPr>
              <w:rFonts w:ascii="Cambria Math" w:hAnsi="Cambria Math"/>
            </w:rPr>
            <m:t xml:space="preserve"> </m:t>
          </m:r>
          <m:f>
            <m:fPr>
              <m:ctrlPr>
                <w:rPr>
                  <w:rFonts w:ascii="Cambria Math" w:hAnsi="Cambria Math"/>
                </w:rPr>
              </m:ctrlPr>
            </m:fPr>
            <m:num>
              <m:r>
                <m:rPr>
                  <m:nor/>
                </m:rPr>
                <m:t>1.521.312</m:t>
              </m:r>
            </m:num>
            <m:den>
              <m:r>
                <m:rPr>
                  <m:nor/>
                </m:rPr>
                <m:t>2.251.447</m:t>
              </m:r>
            </m:den>
          </m:f>
          <m:r>
            <m:rPr>
              <m:nor/>
            </m:rPr>
            <m:t>=</m:t>
          </m:r>
          <m:r>
            <m:rPr>
              <m:nor/>
            </m:rPr>
            <w:rPr>
              <w:b/>
            </w:rPr>
            <m:t>0,68</m:t>
          </m:r>
        </m:oMath>
      </m:oMathPara>
    </w:p>
    <w:p w:rsidR="004D6EC1" w:rsidRPr="009A712D" w:rsidRDefault="00C96C2B" w:rsidP="00A43566">
      <w:pPr>
        <w:rPr>
          <w:rFonts w:ascii="Cambria Math" w:hAnsi="Cambria Math"/>
          <w:oMath/>
        </w:rPr>
      </w:pPr>
      <m:oMathPara>
        <m:oMath>
          <m:sSub>
            <m:sSubPr>
              <m:ctrlPr>
                <w:rPr>
                  <w:rFonts w:ascii="Cambria Math" w:hAnsi="Cambria Math"/>
                  <w:i/>
                </w:rPr>
              </m:ctrlPr>
            </m:sSubPr>
            <m:e>
              <m:r>
                <m:rPr>
                  <m:nor/>
                </m:rPr>
                <m:t>Koeficient samofinancování</m:t>
              </m:r>
            </m:e>
            <m:sub>
              <m:r>
                <m:rPr>
                  <m:nor/>
                </m:rPr>
                <m:t>2009</m:t>
              </m:r>
            </m:sub>
          </m:sSub>
          <m:r>
            <m:rPr>
              <m:nor/>
            </m:rPr>
            <m:t>=</m:t>
          </m:r>
          <m:r>
            <w:rPr>
              <w:rFonts w:ascii="Cambria Math" w:hAnsi="Cambria Math"/>
            </w:rPr>
            <m:t xml:space="preserve"> </m:t>
          </m:r>
          <m:f>
            <m:fPr>
              <m:ctrlPr>
                <w:rPr>
                  <w:rFonts w:ascii="Cambria Math" w:hAnsi="Cambria Math"/>
                  <w:i/>
                </w:rPr>
              </m:ctrlPr>
            </m:fPr>
            <m:num>
              <m:r>
                <m:rPr>
                  <m:nor/>
                </m:rPr>
                <m:t>Vlastní kapitál</m:t>
              </m:r>
              <m:r>
                <m:rPr>
                  <m:nor/>
                </m:rPr>
                <w:rPr>
                  <w:rFonts w:ascii="Cambria Math"/>
                </w:rPr>
                <m:t xml:space="preserve"> (</m:t>
              </m:r>
              <m:r>
                <m:rPr>
                  <m:nor/>
                </m:rPr>
                <w:rPr>
                  <w:rFonts w:ascii="Cambria Math"/>
                </w:rPr>
                <m:t>ř</m:t>
              </m:r>
              <m:r>
                <m:rPr>
                  <m:nor/>
                </m:rPr>
                <w:rPr>
                  <w:rFonts w:ascii="Cambria Math"/>
                </w:rPr>
                <m:t>. 3)</m:t>
              </m:r>
            </m:num>
            <m:den>
              <m:r>
                <m:rPr>
                  <m:nor/>
                </m:rPr>
                <m:t>Celková aktiva</m:t>
              </m:r>
              <m:r>
                <m:rPr>
                  <m:nor/>
                </m:rPr>
                <w:rPr>
                  <w:rFonts w:ascii="Cambria Math"/>
                </w:rPr>
                <m:t xml:space="preserve"> (</m:t>
              </m:r>
              <m:r>
                <m:rPr>
                  <m:nor/>
                </m:rPr>
                <w:rPr>
                  <w:rFonts w:ascii="Cambria Math"/>
                </w:rPr>
                <m:t>ř</m:t>
              </m:r>
              <m:r>
                <m:rPr>
                  <m:nor/>
                </m:rPr>
                <w:rPr>
                  <w:rFonts w:ascii="Cambria Math"/>
                </w:rPr>
                <m:t>. 1)</m:t>
              </m:r>
            </m:den>
          </m:f>
          <m:r>
            <m:rPr>
              <m:nor/>
            </m:rPr>
            <m:t>=</m:t>
          </m:r>
          <m:r>
            <w:rPr>
              <w:rFonts w:ascii="Cambria Math" w:hAnsi="Cambria Math"/>
            </w:rPr>
            <m:t xml:space="preserve"> </m:t>
          </m:r>
          <m:f>
            <m:fPr>
              <m:ctrlPr>
                <w:rPr>
                  <w:rFonts w:ascii="Cambria Math" w:hAnsi="Cambria Math"/>
                  <w:i/>
                </w:rPr>
              </m:ctrlPr>
            </m:fPr>
            <m:num>
              <m:r>
                <m:rPr>
                  <m:nor/>
                </m:rPr>
                <m:t>730.135</m:t>
              </m:r>
            </m:num>
            <m:den>
              <m:r>
                <m:rPr>
                  <m:nor/>
                </m:rPr>
                <m:t>2.251.447</m:t>
              </m:r>
            </m:den>
          </m:f>
          <m:r>
            <m:rPr>
              <m:nor/>
            </m:rPr>
            <m:t>=</m:t>
          </m:r>
          <m:r>
            <m:rPr>
              <m:nor/>
            </m:rPr>
            <w:rPr>
              <w:b/>
            </w:rPr>
            <m:t>0,32</m:t>
          </m:r>
        </m:oMath>
      </m:oMathPara>
    </w:p>
    <w:sectPr w:rsidR="004D6EC1" w:rsidRPr="009A712D" w:rsidSect="003B3431">
      <w:headerReference w:type="default" r:id="rId24"/>
      <w:pgSz w:w="11906" w:h="16838"/>
      <w:pgMar w:top="1418" w:right="1134"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C2B" w:rsidRDefault="00C96C2B" w:rsidP="00F972C0">
      <w:pPr>
        <w:spacing w:after="0" w:line="240" w:lineRule="auto"/>
      </w:pPr>
      <w:r>
        <w:separator/>
      </w:r>
    </w:p>
  </w:endnote>
  <w:endnote w:type="continuationSeparator" w:id="0">
    <w:p w:rsidR="00C96C2B" w:rsidRDefault="00C96C2B" w:rsidP="00F97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Verdana">
    <w:altName w:val="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4BA" w:rsidRPr="00583FB0" w:rsidRDefault="002534BA" w:rsidP="00C67850">
    <w:pPr>
      <w:pStyle w:val="Zpat"/>
      <w:jc w:val="center"/>
      <w:rPr>
        <w:rFonts w:ascii="Verdana" w:hAnsi="Verdana"/>
        <w:b/>
        <w:bCs/>
        <w:sz w:val="20"/>
      </w:rPr>
    </w:pPr>
    <w:r w:rsidRPr="00583FB0">
      <w:rPr>
        <w:rFonts w:ascii="Verdana" w:hAnsi="Verdana"/>
        <w:b/>
        <w:bCs/>
        <w:sz w:val="20"/>
      </w:rPr>
      <w:t>Vysoká škola ekonomie a managementu</w:t>
    </w:r>
  </w:p>
  <w:p w:rsidR="002534BA" w:rsidRDefault="002534BA" w:rsidP="00C67850">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Default="002534BA" w:rsidP="00C67850">
    <w:pPr>
      <w:pStyle w:val="Zpat"/>
      <w:jc w:val="center"/>
      <w:rPr>
        <w:rFonts w:ascii="Verdana" w:hAnsi="Verdana"/>
        <w:sz w:val="20"/>
      </w:rPr>
    </w:pPr>
  </w:p>
  <w:p w:rsidR="002534BA" w:rsidRPr="00990CF5" w:rsidRDefault="002534BA" w:rsidP="00C67850">
    <w:pPr>
      <w:pStyle w:val="Zpat"/>
      <w:jc w:val="center"/>
      <w:rPr>
        <w:rFonts w:ascii="Verdana" w:hAnsi="Verdana"/>
        <w:sz w:val="20"/>
      </w:rPr>
    </w:pPr>
  </w:p>
  <w:p w:rsidR="002534BA" w:rsidRDefault="002534B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4BA" w:rsidRDefault="002534BA" w:rsidP="00C67850">
    <w:pPr>
      <w:pStyle w:val="Zpat"/>
      <w:jc w:val="center"/>
      <w:rPr>
        <w:rFonts w:ascii="Verdana" w:hAnsi="Verdana"/>
        <w:b/>
        <w:bCs/>
        <w:sz w:val="20"/>
      </w:rPr>
    </w:pPr>
  </w:p>
  <w:p w:rsidR="002534BA" w:rsidRPr="00DA4A47" w:rsidRDefault="002534BA" w:rsidP="00F972C0">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2534BA" w:rsidRPr="00DA4A47" w:rsidRDefault="002534BA" w:rsidP="00F972C0">
    <w:pPr>
      <w:pStyle w:val="Zpat"/>
      <w:jc w:val="center"/>
      <w:rPr>
        <w:rFonts w:ascii="Verdana" w:hAnsi="Verdana"/>
        <w:color w:val="808080"/>
        <w:sz w:val="20"/>
      </w:rPr>
    </w:pPr>
    <w:r w:rsidRPr="00DA4A47">
      <w:rPr>
        <w:rFonts w:ascii="Verdana" w:hAnsi="Verdana"/>
        <w:color w:val="808080"/>
        <w:sz w:val="20"/>
      </w:rPr>
      <w:t>+420 841 133 166 / info@vsem.cz / www.vsem.cz</w:t>
    </w:r>
  </w:p>
  <w:p w:rsidR="002534BA" w:rsidRDefault="002534BA" w:rsidP="00221228">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4BA" w:rsidRDefault="002534BA" w:rsidP="00C67850">
    <w:pPr>
      <w:pStyle w:val="Zpat"/>
      <w:jc w:val="center"/>
      <w:rPr>
        <w:rFonts w:ascii="Verdana" w:hAnsi="Verdana"/>
        <w:b/>
        <w:bCs/>
        <w:sz w:val="20"/>
      </w:rPr>
    </w:pPr>
  </w:p>
  <w:p w:rsidR="002534BA" w:rsidRPr="00DA4A47" w:rsidRDefault="002534BA" w:rsidP="00F972C0">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2534BA" w:rsidRPr="00DA4A47" w:rsidRDefault="002534BA" w:rsidP="00F972C0">
    <w:pPr>
      <w:pStyle w:val="Zpat"/>
      <w:jc w:val="center"/>
      <w:rPr>
        <w:rFonts w:ascii="Verdana" w:hAnsi="Verdana"/>
        <w:color w:val="808080"/>
        <w:sz w:val="20"/>
      </w:rPr>
    </w:pPr>
    <w:r w:rsidRPr="00DA4A47">
      <w:rPr>
        <w:rFonts w:ascii="Verdana" w:hAnsi="Verdana"/>
        <w:color w:val="808080"/>
        <w:sz w:val="20"/>
      </w:rPr>
      <w:t>+420 841 133 166 / info@vsem.cz / www.vsem.cz</w:t>
    </w:r>
  </w:p>
  <w:p w:rsidR="002534BA" w:rsidRDefault="002534B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4BA" w:rsidRDefault="002534BA" w:rsidP="00C67850">
    <w:pPr>
      <w:pStyle w:val="Zpat"/>
      <w:jc w:val="center"/>
      <w:rPr>
        <w:rFonts w:ascii="Verdana" w:hAnsi="Verdana"/>
        <w:b/>
        <w:bCs/>
        <w:sz w:val="20"/>
      </w:rPr>
    </w:pPr>
  </w:p>
  <w:p w:rsidR="002534BA" w:rsidRPr="00DA4A47" w:rsidRDefault="002534BA" w:rsidP="00F972C0">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2534BA" w:rsidRPr="00DA4A47" w:rsidRDefault="002534BA" w:rsidP="00F972C0">
    <w:pPr>
      <w:pStyle w:val="Zpat"/>
      <w:jc w:val="center"/>
      <w:rPr>
        <w:rFonts w:ascii="Verdana" w:hAnsi="Verdana"/>
        <w:color w:val="808080"/>
        <w:sz w:val="20"/>
      </w:rPr>
    </w:pPr>
    <w:r w:rsidRPr="00DA4A47">
      <w:rPr>
        <w:rFonts w:ascii="Verdana" w:hAnsi="Verdana"/>
        <w:color w:val="808080"/>
        <w:sz w:val="20"/>
      </w:rPr>
      <w:t>+420 841 133 166 / info@vsem.cz / www.vsem.cz</w:t>
    </w:r>
  </w:p>
  <w:p w:rsidR="002534BA" w:rsidRDefault="002534BA" w:rsidP="00221228">
    <w:pPr>
      <w:jc w:val="center"/>
    </w:pPr>
    <w:r>
      <w:fldChar w:fldCharType="begin"/>
    </w:r>
    <w:r>
      <w:instrText>PAGE   \* MERGEFORMAT</w:instrText>
    </w:r>
    <w:r>
      <w:fldChar w:fldCharType="separate"/>
    </w:r>
    <w:r w:rsidR="00832B60">
      <w:rPr>
        <w:noProof/>
      </w:rPr>
      <w:t>46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C2B" w:rsidRDefault="00C96C2B" w:rsidP="00F972C0">
      <w:pPr>
        <w:spacing w:after="0" w:line="240" w:lineRule="auto"/>
      </w:pPr>
      <w:r>
        <w:separator/>
      </w:r>
    </w:p>
  </w:footnote>
  <w:footnote w:type="continuationSeparator" w:id="0">
    <w:p w:rsidR="00C96C2B" w:rsidRDefault="00C96C2B" w:rsidP="00F972C0">
      <w:pPr>
        <w:spacing w:after="0" w:line="240" w:lineRule="auto"/>
      </w:pPr>
      <w:r>
        <w:continuationSeparator/>
      </w:r>
    </w:p>
  </w:footnote>
  <w:footnote w:id="1">
    <w:p w:rsidR="002534BA" w:rsidRDefault="002534BA" w:rsidP="002B0B4D">
      <w:pPr>
        <w:spacing w:after="120"/>
      </w:pPr>
      <w:r w:rsidRPr="004D79AC">
        <w:rPr>
          <w:rStyle w:val="Znakapoznpodarou"/>
          <w:sz w:val="16"/>
          <w:szCs w:val="16"/>
        </w:rPr>
        <w:footnoteRef/>
      </w:r>
      <w:r w:rsidRPr="004D79AC">
        <w:rPr>
          <w:sz w:val="16"/>
          <w:szCs w:val="16"/>
        </w:rPr>
        <w:t xml:space="preserve"> </w:t>
      </w:r>
      <w:r>
        <w:rPr>
          <w:sz w:val="16"/>
          <w:szCs w:val="16"/>
        </w:rPr>
        <w:t>Veškerá data analyzovaná</w:t>
      </w:r>
      <w:r w:rsidRPr="004D79AC">
        <w:rPr>
          <w:sz w:val="16"/>
          <w:szCs w:val="16"/>
        </w:rPr>
        <w:t xml:space="preserve"> v bakalářské práci </w:t>
      </w:r>
      <w:r>
        <w:rPr>
          <w:sz w:val="16"/>
          <w:szCs w:val="16"/>
        </w:rPr>
        <w:t xml:space="preserve">byla poskytnuta obchodními společnostmi, které jsou </w:t>
      </w:r>
      <w:r w:rsidRPr="004D79AC">
        <w:rPr>
          <w:sz w:val="16"/>
          <w:szCs w:val="16"/>
        </w:rPr>
        <w:t>v současné době aktivními subjekty. Z důvodu ochrany osobních údajů a důvěrných firemních dat jsou v bakalářské práci použita smyšle</w:t>
      </w:r>
      <w:r>
        <w:rPr>
          <w:sz w:val="16"/>
          <w:szCs w:val="16"/>
        </w:rPr>
        <w:t>ná jména obchodních společností.</w:t>
      </w:r>
    </w:p>
  </w:footnote>
  <w:footnote w:id="2">
    <w:p w:rsidR="002534BA" w:rsidRDefault="002534BA" w:rsidP="002B0B4D">
      <w:pPr>
        <w:pStyle w:val="Textpoznpodarou"/>
        <w:spacing w:after="120" w:line="360" w:lineRule="auto"/>
      </w:pPr>
      <w:r>
        <w:rPr>
          <w:rStyle w:val="Znakapoznpodarou"/>
        </w:rPr>
        <w:footnoteRef/>
      </w:r>
      <w:r>
        <w:t xml:space="preserve"> </w:t>
      </w:r>
      <w:r w:rsidRPr="00897452">
        <w:rPr>
          <w:sz w:val="16"/>
          <w:szCs w:val="16"/>
        </w:rPr>
        <w:t>Majetek může být financován z vlastních zdrojů (základní kapitál, kapitálové a ostatní fondy nebo výsledek hospodaření) nebo z cizích zdrojů (rezervy, dlouhodobé a krátkodobé závazky nebo bankovní úvěry a výpomoci).</w:t>
      </w:r>
    </w:p>
  </w:footnote>
  <w:footnote w:id="3">
    <w:p w:rsidR="002534BA" w:rsidRPr="00897452" w:rsidRDefault="002534BA" w:rsidP="002B0B4D">
      <w:pPr>
        <w:pStyle w:val="Textpoznpodarou"/>
        <w:tabs>
          <w:tab w:val="clear" w:pos="227"/>
        </w:tabs>
        <w:spacing w:after="120" w:line="360" w:lineRule="auto"/>
        <w:ind w:left="142" w:hanging="142"/>
        <w:rPr>
          <w:sz w:val="16"/>
          <w:szCs w:val="16"/>
        </w:rPr>
      </w:pPr>
      <w:r>
        <w:rPr>
          <w:rStyle w:val="Znakapoznpodarou"/>
        </w:rPr>
        <w:footnoteRef/>
      </w:r>
      <w:r>
        <w:t xml:space="preserve"> </w:t>
      </w:r>
      <w:r w:rsidRPr="00897452">
        <w:rPr>
          <w:sz w:val="16"/>
          <w:szCs w:val="16"/>
        </w:rPr>
        <w:t>Ekonomický prospěch lze chápat jako určité pozitivum podniku. Jde např. o ziskovost podniku, zvýšení tržeb podniku, schopnost investování, solventnost nebo finanční stabilitu podniku.</w:t>
      </w:r>
    </w:p>
  </w:footnote>
  <w:footnote w:id="4">
    <w:p w:rsidR="002534BA" w:rsidRPr="00584DE9" w:rsidRDefault="002534BA" w:rsidP="00CD4762">
      <w:pPr>
        <w:pStyle w:val="Textpoznpodarou"/>
        <w:spacing w:after="120" w:line="360" w:lineRule="auto"/>
        <w:rPr>
          <w:sz w:val="16"/>
          <w:szCs w:val="16"/>
        </w:rPr>
      </w:pPr>
      <w:r>
        <w:rPr>
          <w:rStyle w:val="Znakapoznpodarou"/>
        </w:rPr>
        <w:footnoteRef/>
      </w:r>
      <w:r>
        <w:t xml:space="preserve"> </w:t>
      </w:r>
      <w:r w:rsidRPr="00584DE9">
        <w:rPr>
          <w:sz w:val="16"/>
          <w:szCs w:val="16"/>
        </w:rPr>
        <w:t xml:space="preserve">Uspořádání o označování položek </w:t>
      </w:r>
      <w:r>
        <w:rPr>
          <w:sz w:val="16"/>
          <w:szCs w:val="16"/>
        </w:rPr>
        <w:t>rozvahy (bilance) je zakotveno v příloze 1 vyhlášky č. 500/2002 Sb. ve znění pozdějších předpisů, kterou se provádějí některá ustanovení zákona č. 563/1991 Sb. o účetnictví. Obsahové vymezení některých položek rozvahy je uvedeno v § 5 - 19 výše uvedené vyhlášky.</w:t>
      </w:r>
    </w:p>
  </w:footnote>
  <w:footnote w:id="5">
    <w:p w:rsidR="002534BA" w:rsidRPr="008E58AD" w:rsidRDefault="002534BA" w:rsidP="00CD4762">
      <w:pPr>
        <w:pStyle w:val="Textpoznpodarou"/>
        <w:spacing w:after="120" w:line="360" w:lineRule="auto"/>
        <w:rPr>
          <w:sz w:val="16"/>
          <w:szCs w:val="16"/>
        </w:rPr>
      </w:pPr>
      <w:r w:rsidRPr="00584DE9">
        <w:rPr>
          <w:rStyle w:val="Znakapoznpodarou"/>
        </w:rPr>
        <w:footnoteRef/>
      </w:r>
      <w:r w:rsidRPr="008E58AD">
        <w:rPr>
          <w:sz w:val="16"/>
          <w:szCs w:val="16"/>
        </w:rPr>
        <w:t xml:space="preserve"> Výkaz zisk</w:t>
      </w:r>
      <w:r>
        <w:rPr>
          <w:sz w:val="16"/>
          <w:szCs w:val="16"/>
        </w:rPr>
        <w:t>ů</w:t>
      </w:r>
      <w:r w:rsidRPr="008E58AD">
        <w:rPr>
          <w:sz w:val="16"/>
          <w:szCs w:val="16"/>
        </w:rPr>
        <w:t xml:space="preserve"> a ztrát</w:t>
      </w:r>
      <w:r>
        <w:rPr>
          <w:sz w:val="16"/>
          <w:szCs w:val="16"/>
        </w:rPr>
        <w:t xml:space="preserve"> je výkaz, v kterém je zachycena tvorba výsledku hospodaření. Jsou zde zachyceny položky výnosů a nákladů. Obsahové vymezení některých položek výkazu zisků a ztrát je uveden v § 20 - 38 vyhlášky č. 500/2002 Sb. Uspořádání položek výkazu zisků a ztrát je uvedeno v příloze č. 2 a 3 této vyhlášky.</w:t>
      </w:r>
    </w:p>
  </w:footnote>
  <w:footnote w:id="6">
    <w:p w:rsidR="002534BA" w:rsidRPr="00702D2F" w:rsidRDefault="002534BA" w:rsidP="00CD4762">
      <w:pPr>
        <w:pStyle w:val="Textpoznpodarou"/>
        <w:spacing w:after="120" w:line="360" w:lineRule="auto"/>
        <w:rPr>
          <w:sz w:val="16"/>
          <w:szCs w:val="16"/>
        </w:rPr>
      </w:pPr>
      <w:r>
        <w:rPr>
          <w:rStyle w:val="Znakapoznpodarou"/>
        </w:rPr>
        <w:footnoteRef/>
      </w:r>
      <w:r>
        <w:t xml:space="preserve"> </w:t>
      </w:r>
      <w:r w:rsidRPr="00702D2F">
        <w:rPr>
          <w:sz w:val="16"/>
          <w:szCs w:val="16"/>
        </w:rPr>
        <w:t>Mezi aktivy a pasivy musí platit rovnost. Rovnost aktiv a pasiv vychází ze skutečnosti, že každý majetek, který podnik vlastní, musel být pořízen z nějakých zdrojů (pasiv), tzn., např. dlouhodobý majetek (stavby, stroje, zařízení, atd.) a oběžný majetek (zásoby, materiál, atd.) musel být z něčeho pořízen. Zdroje aktiv tvoří pasiva (tj., vlastní kapitál, cizí zdroje a časové rozlišení). V literatuře je kapitál definován jako</w:t>
      </w:r>
      <w:r w:rsidRPr="00702D2F">
        <w:rPr>
          <w:i/>
          <w:sz w:val="16"/>
          <w:szCs w:val="16"/>
        </w:rPr>
        <w:t xml:space="preserve"> </w:t>
      </w:r>
      <w:r w:rsidRPr="00702D2F">
        <w:rPr>
          <w:sz w:val="16"/>
          <w:szCs w:val="16"/>
        </w:rPr>
        <w:t>zdroj financování podniku nebo také pasivum, a je vymezen jako existující závazek, jehož plnění i v budoucnu vyvolá snížení aktiv podniku (SEDLÁČEK, 2009, s. 23).</w:t>
      </w:r>
    </w:p>
  </w:footnote>
  <w:footnote w:id="7">
    <w:p w:rsidR="002534BA" w:rsidRDefault="002534BA" w:rsidP="00CD4762">
      <w:pPr>
        <w:pStyle w:val="Textpoznpodarou"/>
        <w:spacing w:after="120" w:line="360" w:lineRule="auto"/>
      </w:pPr>
      <w:r>
        <w:rPr>
          <w:rStyle w:val="Znakapoznpodarou"/>
        </w:rPr>
        <w:footnoteRef/>
      </w:r>
      <w:r>
        <w:t xml:space="preserve"> </w:t>
      </w:r>
      <w:r w:rsidRPr="00897452">
        <w:rPr>
          <w:sz w:val="16"/>
          <w:szCs w:val="16"/>
        </w:rPr>
        <w:t xml:space="preserve">Pohledávky za upsaný základní kapitál vznikají při založení obchodní kapitálové společnosti a jedná </w:t>
      </w:r>
      <w:r>
        <w:rPr>
          <w:sz w:val="16"/>
          <w:szCs w:val="16"/>
        </w:rPr>
        <w:t>se o nesplacený vklad společníků</w:t>
      </w:r>
      <w:r w:rsidRPr="00897452">
        <w:rPr>
          <w:sz w:val="16"/>
          <w:szCs w:val="16"/>
        </w:rPr>
        <w:t>.</w:t>
      </w:r>
    </w:p>
  </w:footnote>
  <w:footnote w:id="8">
    <w:p w:rsidR="002534BA" w:rsidRPr="00897452" w:rsidRDefault="002534BA" w:rsidP="00CD4762">
      <w:pPr>
        <w:pStyle w:val="Textpoznpodarou"/>
        <w:spacing w:after="120" w:line="360" w:lineRule="auto"/>
        <w:rPr>
          <w:sz w:val="16"/>
          <w:szCs w:val="16"/>
        </w:rPr>
      </w:pPr>
      <w:r>
        <w:rPr>
          <w:rStyle w:val="Znakapoznpodarou"/>
        </w:rPr>
        <w:footnoteRef/>
      </w:r>
      <w:r>
        <w:t xml:space="preserve"> </w:t>
      </w:r>
      <w:r w:rsidRPr="00897452">
        <w:rPr>
          <w:sz w:val="16"/>
          <w:szCs w:val="16"/>
        </w:rPr>
        <w:t>V časovém rozlišení jsou na straně aktiv účtovány výdaje běžného účetního období, které se stanou náklady až v období dalším. Typickým příkladem takového časového rozlišení je uhrazená první zvýšená splátka při finančním pronájmu.</w:t>
      </w:r>
    </w:p>
  </w:footnote>
  <w:footnote w:id="9">
    <w:p w:rsidR="002534BA" w:rsidRPr="00A51E27" w:rsidRDefault="002534BA" w:rsidP="00CD4762">
      <w:pPr>
        <w:pStyle w:val="Textpoznpodarou"/>
        <w:spacing w:after="120" w:line="360" w:lineRule="auto"/>
        <w:rPr>
          <w:sz w:val="16"/>
          <w:szCs w:val="16"/>
        </w:rPr>
      </w:pPr>
      <w:r w:rsidRPr="00A51E27">
        <w:rPr>
          <w:rStyle w:val="Znakapoznpodarou"/>
          <w:sz w:val="16"/>
          <w:szCs w:val="16"/>
        </w:rPr>
        <w:footnoteRef/>
      </w:r>
      <w:r w:rsidRPr="00A51E27">
        <w:rPr>
          <w:sz w:val="16"/>
          <w:szCs w:val="16"/>
        </w:rPr>
        <w:t xml:space="preserve"> Goodwill je ekonomický pojem</w:t>
      </w:r>
      <w:r>
        <w:rPr>
          <w:sz w:val="16"/>
          <w:szCs w:val="16"/>
        </w:rPr>
        <w:t>, který označuje rozdíl mezi tržní hodnotou obchodní společnosti a celkovými aktivy sníženými o závazky (je to hodnota podniku odrážející jeho kvalitu nebo tradici, dobré vztahy se zákazníky, hodnotu výborných zaměstnanců, dobrou pověst, apod.).</w:t>
      </w:r>
    </w:p>
  </w:footnote>
  <w:footnote w:id="10">
    <w:p w:rsidR="002534BA" w:rsidRPr="00FE297B" w:rsidRDefault="002534BA" w:rsidP="00CD4762">
      <w:pPr>
        <w:tabs>
          <w:tab w:val="left" w:pos="227"/>
        </w:tabs>
        <w:spacing w:after="120"/>
        <w:ind w:left="227" w:hanging="227"/>
        <w:rPr>
          <w:rStyle w:val="Hypertextovodkaz"/>
          <w:color w:val="auto"/>
          <w:sz w:val="16"/>
          <w:szCs w:val="16"/>
        </w:rPr>
      </w:pPr>
      <w:r w:rsidRPr="00A360DF">
        <w:rPr>
          <w:rStyle w:val="Znakapoznpodarou"/>
          <w:sz w:val="20"/>
        </w:rPr>
        <w:footnoteRef/>
      </w:r>
      <w:r>
        <w:t xml:space="preserve"> </w:t>
      </w:r>
      <w:r w:rsidRPr="00230695">
        <w:rPr>
          <w:sz w:val="16"/>
          <w:szCs w:val="16"/>
        </w:rPr>
        <w:t>„Obecně platí: vyšší likvidita (vyšší podíl likvidních aktiv) snižuje nebezpečí platební neschopnosti, ale zároveň i výnosnost podniku. Proto se hledá optimální struktura majetku“</w:t>
      </w:r>
      <w:r w:rsidRPr="00FE297B">
        <w:rPr>
          <w:sz w:val="16"/>
          <w:szCs w:val="16"/>
        </w:rPr>
        <w:t xml:space="preserve"> (Nauka o podniku, 2012).</w:t>
      </w:r>
    </w:p>
    <w:p w:rsidR="002534BA" w:rsidRDefault="002534BA">
      <w:pPr>
        <w:pStyle w:val="Textpoznpodarou"/>
      </w:pPr>
    </w:p>
  </w:footnote>
  <w:footnote w:id="11">
    <w:p w:rsidR="002534BA" w:rsidRPr="00E33FBB" w:rsidRDefault="002534BA" w:rsidP="00CD4762">
      <w:pPr>
        <w:pStyle w:val="Textpoznpodarou"/>
        <w:spacing w:after="120" w:line="360" w:lineRule="auto"/>
        <w:rPr>
          <w:sz w:val="16"/>
          <w:szCs w:val="16"/>
        </w:rPr>
      </w:pPr>
      <w:r>
        <w:rPr>
          <w:rStyle w:val="Znakapoznpodarou"/>
        </w:rPr>
        <w:footnoteRef/>
      </w:r>
      <w:r>
        <w:t xml:space="preserve"> </w:t>
      </w:r>
      <w:r w:rsidRPr="00E33FBB">
        <w:rPr>
          <w:sz w:val="16"/>
          <w:szCs w:val="16"/>
        </w:rPr>
        <w:t>Z důvodu omezené kapacity této práce nebyly zkoumány jednotlivé roky samostatně. V tabulce je však uvedena každá změna, která v evidenci dlouhodobého majetku během roku 2009 – 2011 nastala.</w:t>
      </w:r>
    </w:p>
  </w:footnote>
  <w:footnote w:id="12">
    <w:p w:rsidR="002534BA" w:rsidRDefault="002534BA" w:rsidP="00CD4762">
      <w:pPr>
        <w:pStyle w:val="Textpoznpodarou"/>
        <w:spacing w:after="120" w:line="360" w:lineRule="auto"/>
      </w:pPr>
      <w:r>
        <w:rPr>
          <w:rStyle w:val="Znakapoznpodarou"/>
        </w:rPr>
        <w:footnoteRef/>
      </w:r>
      <w:r>
        <w:t xml:space="preserve"> </w:t>
      </w:r>
      <w:r w:rsidRPr="00C57D06">
        <w:rPr>
          <w:sz w:val="16"/>
          <w:szCs w:val="16"/>
        </w:rPr>
        <w:t>Hodnoty likvidity jsou považovány za významný indikátor platební schopnosti podniku.</w:t>
      </w:r>
    </w:p>
  </w:footnote>
  <w:footnote w:id="13">
    <w:p w:rsidR="002534BA" w:rsidRPr="00800D8D" w:rsidRDefault="002534BA" w:rsidP="00CD4762">
      <w:pPr>
        <w:pStyle w:val="Textpoznpodarou"/>
        <w:spacing w:after="120" w:line="360" w:lineRule="auto"/>
        <w:rPr>
          <w:sz w:val="16"/>
          <w:szCs w:val="16"/>
        </w:rPr>
      </w:pPr>
      <w:r>
        <w:rPr>
          <w:rStyle w:val="Znakapoznpodarou"/>
        </w:rPr>
        <w:footnoteRef/>
      </w:r>
      <w:r>
        <w:t xml:space="preserve"> </w:t>
      </w:r>
      <w:r w:rsidRPr="00800D8D">
        <w:rPr>
          <w:sz w:val="16"/>
          <w:szCs w:val="16"/>
        </w:rPr>
        <w:t>Okamžitě splatné závazky jsou závazky splatné ke dni sestavení ukazatele (zahrnuje i závazky splatné před tímto datem).</w:t>
      </w:r>
    </w:p>
  </w:footnote>
  <w:footnote w:id="14">
    <w:p w:rsidR="002534BA" w:rsidRDefault="002534BA" w:rsidP="00BA4C37">
      <w:pPr>
        <w:spacing w:after="120"/>
      </w:pPr>
      <w:r>
        <w:rPr>
          <w:rStyle w:val="Znakapoznpodarou"/>
        </w:rPr>
        <w:footnoteRef/>
      </w:r>
      <w:r>
        <w:t xml:space="preserve"> </w:t>
      </w:r>
      <w:r w:rsidRPr="005D77A0">
        <w:rPr>
          <w:sz w:val="16"/>
          <w:szCs w:val="16"/>
        </w:rPr>
        <w:t xml:space="preserve">Úpadek je dle zákona č. 182/2006 Sb. o úpadku a způsobech jeho řešení (insolvenční zákon) </w:t>
      </w:r>
      <w:r>
        <w:rPr>
          <w:sz w:val="16"/>
          <w:szCs w:val="16"/>
        </w:rPr>
        <w:t>v platném znění</w:t>
      </w:r>
      <w:r w:rsidRPr="005D77A0">
        <w:rPr>
          <w:sz w:val="16"/>
          <w:szCs w:val="16"/>
        </w:rPr>
        <w:t xml:space="preserve"> definován takto: Dlužník je v úpadku, jestliže má více věřitelů, peněžité závazky po dobu delší 30 dnů po lhůtě splatnosti a tyto závazky není schopen plnit. Dlužník, který je právnickou osobou nebo fyzickou osobou - podnikatelem, je v úpadku i tehdy, je-li předlužen. O předlužení jde tehdy, má-li dlužník více věřitelů a souhrn jeho závazků převyšuje hodnotu jeho majetku.</w:t>
      </w:r>
    </w:p>
  </w:footnote>
  <w:footnote w:id="15">
    <w:p w:rsidR="002534BA" w:rsidRPr="00A05432" w:rsidRDefault="002534BA" w:rsidP="008440E5">
      <w:pPr>
        <w:pStyle w:val="Textpoznpodarou"/>
        <w:spacing w:after="120" w:line="360" w:lineRule="auto"/>
        <w:rPr>
          <w:sz w:val="16"/>
          <w:szCs w:val="16"/>
        </w:rPr>
      </w:pPr>
      <w:r>
        <w:rPr>
          <w:rStyle w:val="Znakapoznpodarou"/>
        </w:rPr>
        <w:footnoteRef/>
      </w:r>
      <w:r>
        <w:t xml:space="preserve"> </w:t>
      </w:r>
      <w:r w:rsidRPr="00721BFC">
        <w:rPr>
          <w:sz w:val="16"/>
          <w:szCs w:val="16"/>
        </w:rPr>
        <w:t>Daňová povinnosti společnosti Q – MONT s. r. o. byla za rok 2008 91.770 Kč a v roce 2009 35.900 Kč. Z této výše daně z příjmu právnických osob vyplynula společnosti dle § 38a/3 zákona č. 586/1991 Sb. o dani z příjmu platného k 31. 12. 2008 a k 31. 12. 2009 povinnost placení záloh ve výši 40 % poslední daňové povinnosti.</w:t>
      </w:r>
    </w:p>
  </w:footnote>
  <w:footnote w:id="16">
    <w:p w:rsidR="002534BA" w:rsidRPr="00AD32BD" w:rsidRDefault="002534BA" w:rsidP="008440E5">
      <w:pPr>
        <w:pStyle w:val="Textpoznpodarou"/>
        <w:spacing w:after="120" w:line="360" w:lineRule="auto"/>
        <w:rPr>
          <w:sz w:val="16"/>
          <w:szCs w:val="16"/>
        </w:rPr>
      </w:pPr>
      <w:r>
        <w:rPr>
          <w:rStyle w:val="Znakapoznpodarou"/>
        </w:rPr>
        <w:footnoteRef/>
      </w:r>
      <w:r>
        <w:t xml:space="preserve"> </w:t>
      </w:r>
      <w:r>
        <w:rPr>
          <w:sz w:val="16"/>
          <w:szCs w:val="16"/>
        </w:rPr>
        <w:t>Promlčecí doba</w:t>
      </w:r>
      <w:r w:rsidRPr="00AD32BD">
        <w:rPr>
          <w:sz w:val="16"/>
          <w:szCs w:val="16"/>
        </w:rPr>
        <w:t xml:space="preserve"> pohledávek</w:t>
      </w:r>
      <w:r>
        <w:rPr>
          <w:sz w:val="16"/>
          <w:szCs w:val="16"/>
        </w:rPr>
        <w:t xml:space="preserve"> </w:t>
      </w:r>
      <w:r w:rsidRPr="00AD32BD">
        <w:rPr>
          <w:sz w:val="16"/>
          <w:szCs w:val="16"/>
        </w:rPr>
        <w:t>dle Obchodního zákoníku</w:t>
      </w:r>
      <w:r>
        <w:rPr>
          <w:sz w:val="16"/>
          <w:szCs w:val="16"/>
        </w:rPr>
        <w:t xml:space="preserve"> je</w:t>
      </w:r>
      <w:r w:rsidRPr="00AD32BD">
        <w:rPr>
          <w:sz w:val="16"/>
          <w:szCs w:val="16"/>
        </w:rPr>
        <w:t xml:space="preserve"> 4 roky. Dle § 392 zákona č. 513/1991 Sb. Obchodní zákoník začíná promlčecí lhůta, u práva na plnění závazku, běžet ode dne, kdy měl být závazek splněn (</w:t>
      </w:r>
      <w:r>
        <w:rPr>
          <w:sz w:val="16"/>
          <w:szCs w:val="16"/>
        </w:rPr>
        <w:t xml:space="preserve">v tomto případě </w:t>
      </w:r>
      <w:r w:rsidRPr="00AD32BD">
        <w:rPr>
          <w:sz w:val="16"/>
          <w:szCs w:val="16"/>
        </w:rPr>
        <w:t>dobou splatnosti). Promlčecí doba přestává běžet dle § 402 Obchodního zákoníku, když věřitel za účelem uspokojení nebo určení svého práva učiní jakýkoli právní úkon, který se považuje za zahájení soudního řízení nebo uplatnění práva v již zahájeném soudním řízení. Dále je nutné upozornit, že uzná-li dlužník písemně svůj závazek, běží nová čtyřletá promlčecí lhůta.</w:t>
      </w:r>
    </w:p>
  </w:footnote>
  <w:footnote w:id="17">
    <w:p w:rsidR="002534BA" w:rsidRPr="00C126BC" w:rsidRDefault="002534BA" w:rsidP="00BA4C37">
      <w:pPr>
        <w:spacing w:after="120"/>
        <w:rPr>
          <w:sz w:val="16"/>
          <w:szCs w:val="16"/>
        </w:rPr>
      </w:pPr>
      <w:r w:rsidRPr="00364085">
        <w:rPr>
          <w:rStyle w:val="Znakapoznpodarou"/>
          <w:sz w:val="20"/>
        </w:rPr>
        <w:footnoteRef/>
      </w:r>
      <w:r>
        <w:t xml:space="preserve"> </w:t>
      </w:r>
      <w:r w:rsidRPr="00C126BC">
        <w:rPr>
          <w:color w:val="000000"/>
          <w:sz w:val="16"/>
          <w:szCs w:val="16"/>
        </w:rPr>
        <w:t>Jedná se o závazky z obchodních vztahů splatné k 31. 12. příslušného roku.</w:t>
      </w:r>
    </w:p>
  </w:footnote>
  <w:footnote w:id="18">
    <w:p w:rsidR="002534BA" w:rsidRPr="00C126BC" w:rsidRDefault="002534BA" w:rsidP="00BA4C37">
      <w:pPr>
        <w:pStyle w:val="Textpoznpodarou"/>
        <w:spacing w:after="120" w:line="360" w:lineRule="auto"/>
        <w:rPr>
          <w:sz w:val="16"/>
          <w:szCs w:val="16"/>
        </w:rPr>
      </w:pPr>
      <w:r>
        <w:rPr>
          <w:rStyle w:val="Znakapoznpodarou"/>
        </w:rPr>
        <w:footnoteRef/>
      </w:r>
      <w:r>
        <w:t xml:space="preserve"> </w:t>
      </w:r>
      <w:r>
        <w:rPr>
          <w:color w:val="000000"/>
          <w:sz w:val="16"/>
          <w:szCs w:val="16"/>
        </w:rPr>
        <w:t xml:space="preserve">Společnost eviduje na účtu </w:t>
      </w:r>
      <w:r w:rsidRPr="00C126BC">
        <w:rPr>
          <w:color w:val="000000"/>
          <w:sz w:val="16"/>
          <w:szCs w:val="16"/>
        </w:rPr>
        <w:t>366 – závazky ke společníkům ze závislé činnosti pouze závazky vyplývající ze mzdových nároků společníků za prosinec daného období, splatných v lednu následujícího roku. Nejedná se o okamžitě splatné závazky, proto nebyly do výše uvedené tabulky zahrnuty.</w:t>
      </w:r>
    </w:p>
  </w:footnote>
  <w:footnote w:id="19">
    <w:p w:rsidR="002534BA" w:rsidRPr="00C126BC" w:rsidRDefault="002534BA" w:rsidP="00BA4C37">
      <w:pPr>
        <w:pStyle w:val="Textpoznpodarou"/>
        <w:spacing w:after="120" w:line="360" w:lineRule="auto"/>
        <w:rPr>
          <w:sz w:val="16"/>
          <w:szCs w:val="16"/>
        </w:rPr>
      </w:pPr>
      <w:r>
        <w:rPr>
          <w:rStyle w:val="Znakapoznpodarou"/>
        </w:rPr>
        <w:footnoteRef/>
      </w:r>
      <w:r>
        <w:t xml:space="preserve"> </w:t>
      </w:r>
      <w:r w:rsidRPr="00C126BC">
        <w:rPr>
          <w:color w:val="000000"/>
          <w:sz w:val="16"/>
          <w:szCs w:val="16"/>
        </w:rPr>
        <w:t>Společnost eviduje na účtech 331 – zaměstnanci</w:t>
      </w:r>
      <w:r>
        <w:rPr>
          <w:color w:val="000000"/>
          <w:sz w:val="16"/>
          <w:szCs w:val="16"/>
        </w:rPr>
        <w:t xml:space="preserve"> pouze</w:t>
      </w:r>
      <w:r w:rsidRPr="00C126BC">
        <w:rPr>
          <w:color w:val="000000"/>
          <w:sz w:val="16"/>
          <w:szCs w:val="16"/>
        </w:rPr>
        <w:t xml:space="preserve"> závazky vyplývající ze mzdových nároků zaměstnanců za prosinec daného období, splatných v lednu následujícího roku. Nejedná se o okamžitě splatné závazky, proto nebyly do výše uvedené tabulky zahrnuty.</w:t>
      </w:r>
    </w:p>
  </w:footnote>
  <w:footnote w:id="20">
    <w:p w:rsidR="002534BA" w:rsidRPr="00C126BC" w:rsidRDefault="002534BA" w:rsidP="00D3535C">
      <w:pPr>
        <w:pStyle w:val="Textpoznpodarou"/>
        <w:spacing w:after="120" w:line="360" w:lineRule="auto"/>
        <w:rPr>
          <w:sz w:val="16"/>
          <w:szCs w:val="16"/>
        </w:rPr>
      </w:pPr>
      <w:r>
        <w:rPr>
          <w:rStyle w:val="Znakapoznpodarou"/>
        </w:rPr>
        <w:footnoteRef/>
      </w:r>
      <w:r>
        <w:t xml:space="preserve"> </w:t>
      </w:r>
      <w:r w:rsidRPr="00C126BC">
        <w:rPr>
          <w:color w:val="000000"/>
          <w:sz w:val="16"/>
          <w:szCs w:val="16"/>
        </w:rPr>
        <w:t>Společnost eviduje na účtech 336 – zúčtování s institucemi sociál. zabezpečení a zdravotního pojištění</w:t>
      </w:r>
      <w:r>
        <w:rPr>
          <w:color w:val="000000"/>
          <w:sz w:val="16"/>
          <w:szCs w:val="16"/>
        </w:rPr>
        <w:t xml:space="preserve"> pouze odvody z mezd zaměstnanců a společníků splatné v následujícím období. </w:t>
      </w:r>
      <w:r w:rsidRPr="00C126BC">
        <w:rPr>
          <w:color w:val="000000"/>
          <w:sz w:val="16"/>
          <w:szCs w:val="16"/>
        </w:rPr>
        <w:t>Nejedná se o okamžitě splatné závazky, proto nebyly do výše uvedené tabulky zahrnuty.</w:t>
      </w:r>
    </w:p>
  </w:footnote>
  <w:footnote w:id="21">
    <w:p w:rsidR="002534BA" w:rsidRPr="00C126BC" w:rsidRDefault="002534BA" w:rsidP="00D3535C">
      <w:pPr>
        <w:pStyle w:val="Textpoznpodarou"/>
        <w:spacing w:after="120" w:line="360" w:lineRule="auto"/>
        <w:rPr>
          <w:sz w:val="16"/>
          <w:szCs w:val="16"/>
        </w:rPr>
      </w:pPr>
      <w:r>
        <w:rPr>
          <w:rStyle w:val="Znakapoznpodarou"/>
        </w:rPr>
        <w:footnoteRef/>
      </w:r>
      <w:r>
        <w:t xml:space="preserve"> </w:t>
      </w:r>
      <w:r w:rsidRPr="00C126BC">
        <w:rPr>
          <w:color w:val="000000"/>
          <w:sz w:val="16"/>
          <w:szCs w:val="16"/>
        </w:rPr>
        <w:t xml:space="preserve">Společnost eviduje na účtech 342 – daň ze závislé činnosti </w:t>
      </w:r>
      <w:r>
        <w:rPr>
          <w:color w:val="000000"/>
          <w:sz w:val="16"/>
          <w:szCs w:val="16"/>
        </w:rPr>
        <w:t>a</w:t>
      </w:r>
      <w:r w:rsidRPr="00C126BC">
        <w:rPr>
          <w:color w:val="000000"/>
          <w:sz w:val="16"/>
          <w:szCs w:val="16"/>
        </w:rPr>
        <w:t xml:space="preserve"> 343 – daň z přidané hodnoty </w:t>
      </w:r>
      <w:r>
        <w:rPr>
          <w:color w:val="000000"/>
          <w:sz w:val="16"/>
          <w:szCs w:val="16"/>
        </w:rPr>
        <w:t>pouze závazky splatné v dalším období.</w:t>
      </w:r>
      <w:r w:rsidRPr="00C126BC">
        <w:rPr>
          <w:color w:val="000000"/>
          <w:sz w:val="16"/>
          <w:szCs w:val="16"/>
        </w:rPr>
        <w:t xml:space="preserve"> Nejedná se o okamžitě splatné závazky, proto nebyly do výše uvedené tabulky zahrnuty.</w:t>
      </w:r>
    </w:p>
  </w:footnote>
  <w:footnote w:id="22">
    <w:p w:rsidR="002534BA" w:rsidRDefault="002534BA" w:rsidP="009224DA">
      <w:pPr>
        <w:pStyle w:val="Textpoznpodarou"/>
        <w:spacing w:after="120" w:line="360" w:lineRule="auto"/>
      </w:pPr>
      <w:r>
        <w:rPr>
          <w:rStyle w:val="Znakapoznpodarou"/>
        </w:rPr>
        <w:footnoteRef/>
      </w:r>
      <w:r>
        <w:t xml:space="preserve"> </w:t>
      </w:r>
      <w:r w:rsidRPr="004E32D2">
        <w:rPr>
          <w:sz w:val="16"/>
          <w:szCs w:val="16"/>
        </w:rPr>
        <w:t>Zobrazení je věrné, jestliže obsah položek účetní zá</w:t>
      </w:r>
      <w:r>
        <w:rPr>
          <w:sz w:val="16"/>
          <w:szCs w:val="16"/>
        </w:rPr>
        <w:t>věrky odpovídá skutečnému stavu (§ 7/2 zákona č. 563/1991 Sb.</w:t>
      </w:r>
    </w:p>
  </w:footnote>
  <w:footnote w:id="23">
    <w:p w:rsidR="002534BA" w:rsidRPr="004E32D2" w:rsidRDefault="002534BA" w:rsidP="009224DA">
      <w:pPr>
        <w:pStyle w:val="Textpoznpodarou"/>
        <w:spacing w:after="120" w:line="360" w:lineRule="auto"/>
        <w:rPr>
          <w:sz w:val="16"/>
          <w:szCs w:val="16"/>
        </w:rPr>
      </w:pPr>
      <w:r>
        <w:rPr>
          <w:rStyle w:val="Znakapoznpodarou"/>
        </w:rPr>
        <w:footnoteRef/>
      </w:r>
      <w:r>
        <w:t xml:space="preserve"> </w:t>
      </w:r>
      <w:r w:rsidRPr="004E32D2">
        <w:rPr>
          <w:sz w:val="16"/>
          <w:szCs w:val="16"/>
        </w:rPr>
        <w:t>Zobrazení je poctivé, když jsou při něm použity účetní metody způsobem,</w:t>
      </w:r>
      <w:r>
        <w:rPr>
          <w:sz w:val="16"/>
          <w:szCs w:val="16"/>
        </w:rPr>
        <w:t xml:space="preserve"> který vede k dosažení věrnosti (§ 7/2 zákona č. 563/1991 Sb.</w:t>
      </w:r>
    </w:p>
  </w:footnote>
  <w:footnote w:id="24">
    <w:p w:rsidR="002534BA" w:rsidRPr="00BC3669" w:rsidRDefault="002534BA" w:rsidP="00E1187F">
      <w:pPr>
        <w:pStyle w:val="Textpoznpodarou"/>
        <w:spacing w:after="120" w:line="360" w:lineRule="auto"/>
        <w:rPr>
          <w:sz w:val="16"/>
          <w:szCs w:val="16"/>
        </w:rPr>
      </w:pPr>
      <w:r>
        <w:rPr>
          <w:rStyle w:val="Znakapoznpodarou"/>
        </w:rPr>
        <w:footnoteRef/>
      </w:r>
      <w:r>
        <w:t xml:space="preserve"> D</w:t>
      </w:r>
      <w:r w:rsidRPr="00BC3669">
        <w:rPr>
          <w:sz w:val="16"/>
          <w:szCs w:val="16"/>
        </w:rPr>
        <w:t xml:space="preserve">le § 3/4 insolvenčního zákona </w:t>
      </w:r>
      <w:r>
        <w:rPr>
          <w:sz w:val="16"/>
          <w:szCs w:val="16"/>
        </w:rPr>
        <w:t xml:space="preserve">č. 182/2006 Sb. </w:t>
      </w:r>
      <w:r w:rsidRPr="00BC3669">
        <w:rPr>
          <w:sz w:val="16"/>
          <w:szCs w:val="16"/>
        </w:rPr>
        <w:t>jde o hrozící úpadek tehdy, lze-li se zřetelem ke všem okolnostem důvodně předpokládat, že dlužník nebude schopen řádně a včas splnit podstatnou část svých peněžitých závazků</w:t>
      </w:r>
      <w:r>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4BA" w:rsidRPr="001706BD" w:rsidRDefault="002534BA" w:rsidP="00F972C0">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2534BA" w:rsidRDefault="002534BA" w:rsidP="00F972C0">
    <w:pPr>
      <w:pStyle w:val="Zhlav"/>
      <w:jc w:val="center"/>
    </w:pPr>
    <w:r w:rsidRPr="001706BD">
      <w:rPr>
        <w:rFonts w:ascii="Verdana" w:hAnsi="Verdana"/>
        <w:b/>
        <w:bCs/>
        <w:color w:val="808080"/>
        <w:szCs w:val="24"/>
      </w:rPr>
      <w:t>Nárožní 2600/9a, 158 00 Praha 5</w:t>
    </w:r>
  </w:p>
  <w:p w:rsidR="002534BA" w:rsidRDefault="002534BA">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4BA" w:rsidRDefault="002534BA" w:rsidP="00F972C0">
    <w:pPr>
      <w:pStyle w:val="Zpat"/>
      <w:tabs>
        <w:tab w:val="left" w:pos="2265"/>
        <w:tab w:val="center" w:pos="4606"/>
      </w:tabs>
      <w:jc w:val="center"/>
      <w:rPr>
        <w:rFonts w:ascii="Verdana" w:hAnsi="Verdana"/>
        <w:b/>
        <w:bCs/>
        <w:color w:val="808080"/>
        <w:sz w:val="32"/>
        <w:szCs w:val="32"/>
      </w:rPr>
    </w:pPr>
  </w:p>
  <w:p w:rsidR="002534BA" w:rsidRPr="001706BD" w:rsidRDefault="002534BA" w:rsidP="00F972C0">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2534BA" w:rsidRDefault="002534BA" w:rsidP="00F972C0">
    <w:pPr>
      <w:pStyle w:val="Zhlav"/>
      <w:jc w:val="center"/>
    </w:pPr>
    <w:r w:rsidRPr="001706BD">
      <w:rPr>
        <w:rFonts w:ascii="Verdana" w:hAnsi="Verdana"/>
        <w:b/>
        <w:bCs/>
        <w:color w:val="808080"/>
        <w:szCs w:val="24"/>
      </w:rPr>
      <w:t>Nárožní 2600/9a, 158 00 Praha 5</w:t>
    </w:r>
  </w:p>
  <w:p w:rsidR="002534BA" w:rsidRDefault="002534BA">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4BA" w:rsidRPr="001706BD" w:rsidRDefault="002534BA" w:rsidP="00F972C0">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2534BA" w:rsidRDefault="002534BA" w:rsidP="00F972C0">
    <w:pPr>
      <w:pStyle w:val="Zhlav"/>
      <w:jc w:val="center"/>
    </w:pPr>
    <w:r w:rsidRPr="001706BD">
      <w:rPr>
        <w:rFonts w:ascii="Verdana" w:hAnsi="Verdana"/>
        <w:b/>
        <w:bCs/>
        <w:color w:val="808080"/>
        <w:szCs w:val="24"/>
      </w:rPr>
      <w:t>Nárožní 2600/9a, 158 00 Praha 5</w:t>
    </w:r>
  </w:p>
  <w:p w:rsidR="002534BA" w:rsidRDefault="002534BA">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4BA" w:rsidRDefault="002534BA" w:rsidP="00F972C0">
    <w:pPr>
      <w:pStyle w:val="Zpat"/>
      <w:tabs>
        <w:tab w:val="left" w:pos="2265"/>
        <w:tab w:val="center" w:pos="4606"/>
      </w:tabs>
      <w:jc w:val="center"/>
      <w:rPr>
        <w:rFonts w:ascii="Verdana" w:hAnsi="Verdana"/>
        <w:b/>
        <w:bCs/>
        <w:color w:val="808080"/>
        <w:sz w:val="32"/>
        <w:szCs w:val="32"/>
      </w:rPr>
    </w:pPr>
  </w:p>
  <w:p w:rsidR="002534BA" w:rsidRPr="001706BD" w:rsidRDefault="002534BA" w:rsidP="00F972C0">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2534BA" w:rsidRDefault="002534BA" w:rsidP="00F972C0">
    <w:pPr>
      <w:pStyle w:val="Zhlav"/>
      <w:jc w:val="center"/>
    </w:pPr>
    <w:r w:rsidRPr="001706BD">
      <w:rPr>
        <w:rFonts w:ascii="Verdana" w:hAnsi="Verdana"/>
        <w:b/>
        <w:bCs/>
        <w:color w:val="808080"/>
        <w:szCs w:val="24"/>
      </w:rPr>
      <w:t>Nárožní 2600/9a, 158 00 Praha 5</w:t>
    </w:r>
  </w:p>
  <w:p w:rsidR="002534BA" w:rsidRDefault="002534BA">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4BA" w:rsidRPr="001706BD" w:rsidRDefault="002534BA" w:rsidP="00F972C0">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2534BA" w:rsidRDefault="002534BA" w:rsidP="00F972C0">
    <w:pPr>
      <w:pStyle w:val="Zhlav"/>
      <w:jc w:val="center"/>
    </w:pPr>
    <w:r w:rsidRPr="001706BD">
      <w:rPr>
        <w:rFonts w:ascii="Verdana" w:hAnsi="Verdana"/>
        <w:b/>
        <w:bCs/>
        <w:color w:val="808080"/>
        <w:szCs w:val="24"/>
      </w:rPr>
      <w:t>Nárožní 2600/9a, 158 00 Praha 5</w:t>
    </w:r>
  </w:p>
  <w:p w:rsidR="002534BA" w:rsidRDefault="002534B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25367"/>
    <w:multiLevelType w:val="multilevel"/>
    <w:tmpl w:val="83A6F108"/>
    <w:lvl w:ilvl="0">
      <w:start w:val="1"/>
      <w:numFmt w:val="decimal"/>
      <w:lvlText w:val="%1."/>
      <w:lvlJc w:val="left"/>
      <w:pPr>
        <w:tabs>
          <w:tab w:val="num" w:pos="360"/>
        </w:tabs>
        <w:ind w:left="360" w:hanging="360"/>
      </w:pPr>
      <w:rPr>
        <w:rFonts w:cs="Times New Roman" w:hint="default"/>
      </w:rPr>
    </w:lvl>
    <w:lvl w:ilvl="1">
      <w:start w:val="1"/>
      <w:numFmt w:val="decimal"/>
      <w:lvlText w:val="%1.%2."/>
      <w:lvlJc w:val="right"/>
      <w:pPr>
        <w:tabs>
          <w:tab w:val="num" w:pos="792"/>
        </w:tabs>
        <w:ind w:left="792" w:hanging="432"/>
      </w:pPr>
      <w:rPr>
        <w:rFonts w:cs="Times New Roman" w:hint="default"/>
      </w:rPr>
    </w:lvl>
    <w:lvl w:ilvl="2">
      <w:start w:val="1"/>
      <w:numFmt w:val="decimal"/>
      <w:lvlText w:val="%3%1.%2."/>
      <w:lvlJc w:val="left"/>
      <w:pPr>
        <w:tabs>
          <w:tab w:val="num" w:pos="1224"/>
        </w:tabs>
        <w:ind w:left="1224" w:hanging="504"/>
      </w:pPr>
      <w:rPr>
        <w:rFonts w:cs="Times New Roman" w:hint="default"/>
      </w:rPr>
    </w:lvl>
    <w:lvl w:ilvl="3">
      <w:start w:val="1"/>
      <w:numFmt w:val="decimal"/>
      <w:lvlText w:val="%1.%2.%3.%4."/>
      <w:lvlJc w:val="righ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nsid w:val="05F81971"/>
    <w:multiLevelType w:val="hybridMultilevel"/>
    <w:tmpl w:val="7604D8CA"/>
    <w:lvl w:ilvl="0" w:tplc="04050017">
      <w:start w:val="1"/>
      <w:numFmt w:val="lowerLetter"/>
      <w:lvlText w:val="%1)"/>
      <w:lvlJc w:val="left"/>
      <w:pPr>
        <w:tabs>
          <w:tab w:val="num" w:pos="720"/>
        </w:tabs>
        <w:ind w:left="720" w:hanging="360"/>
      </w:pPr>
      <w:rPr>
        <w:rFonts w:ascii="Times New Roman" w:hAnsi="Times New Roman" w:cs="Times New Roman" w:hint="default"/>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
    <w:nsid w:val="0D9A7202"/>
    <w:multiLevelType w:val="multilevel"/>
    <w:tmpl w:val="910E68C8"/>
    <w:numStyleLink w:val="Odrky"/>
  </w:abstractNum>
  <w:abstractNum w:abstractNumId="3">
    <w:nsid w:val="15273282"/>
    <w:multiLevelType w:val="singleLevel"/>
    <w:tmpl w:val="04050011"/>
    <w:lvl w:ilvl="0">
      <w:start w:val="1"/>
      <w:numFmt w:val="decimal"/>
      <w:lvlText w:val="%1)"/>
      <w:lvlJc w:val="left"/>
      <w:pPr>
        <w:tabs>
          <w:tab w:val="num" w:pos="360"/>
        </w:tabs>
        <w:ind w:left="360" w:hanging="360"/>
      </w:pPr>
      <w:rPr>
        <w:rFonts w:hint="default"/>
      </w:rPr>
    </w:lvl>
  </w:abstractNum>
  <w:abstractNum w:abstractNumId="4">
    <w:nsid w:val="236B78CC"/>
    <w:multiLevelType w:val="multilevel"/>
    <w:tmpl w:val="BE3A42F2"/>
    <w:lvl w:ilvl="0">
      <w:start w:val="1"/>
      <w:numFmt w:val="upperLetter"/>
      <w:lvlText w:val="%1."/>
      <w:lvlJc w:val="left"/>
      <w:pPr>
        <w:tabs>
          <w:tab w:val="num" w:pos="567"/>
        </w:tabs>
        <w:ind w:left="924" w:hanging="357"/>
      </w:pPr>
      <w:rPr>
        <w:rFonts w:hint="default"/>
        <w:b w:val="0"/>
        <w:i w:val="0"/>
        <w:sz w:val="20"/>
      </w:rPr>
    </w:lvl>
    <w:lvl w:ilvl="1">
      <w:start w:val="1"/>
      <w:numFmt w:val="ordinal"/>
      <w:lvlText w:val="%2"/>
      <w:lvlJc w:val="left"/>
      <w:pPr>
        <w:ind w:left="1077" w:hanging="15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9FA07EE"/>
    <w:multiLevelType w:val="multilevel"/>
    <w:tmpl w:val="D768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7">
    <w:nsid w:val="30EB69C4"/>
    <w:multiLevelType w:val="hybridMultilevel"/>
    <w:tmpl w:val="C7BE4AE6"/>
    <w:lvl w:ilvl="0" w:tplc="272E7CE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446317F"/>
    <w:multiLevelType w:val="hybridMultilevel"/>
    <w:tmpl w:val="66F42212"/>
    <w:lvl w:ilvl="0" w:tplc="04050011">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10">
    <w:nsid w:val="381B1461"/>
    <w:multiLevelType w:val="hybridMultilevel"/>
    <w:tmpl w:val="1EDE84F6"/>
    <w:lvl w:ilvl="0" w:tplc="6AA269FA">
      <w:start w:val="1"/>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51FA2854"/>
    <w:multiLevelType w:val="multilevel"/>
    <w:tmpl w:val="BE3A42F2"/>
    <w:lvl w:ilvl="0">
      <w:start w:val="1"/>
      <w:numFmt w:val="upperLetter"/>
      <w:lvlText w:val="%1."/>
      <w:lvlJc w:val="left"/>
      <w:pPr>
        <w:tabs>
          <w:tab w:val="num" w:pos="567"/>
        </w:tabs>
        <w:ind w:left="924" w:hanging="357"/>
      </w:pPr>
      <w:rPr>
        <w:rFonts w:hint="default"/>
        <w:b w:val="0"/>
        <w:i w:val="0"/>
        <w:sz w:val="20"/>
      </w:rPr>
    </w:lvl>
    <w:lvl w:ilvl="1">
      <w:start w:val="1"/>
      <w:numFmt w:val="ordinal"/>
      <w:lvlText w:val="%2"/>
      <w:lvlJc w:val="left"/>
      <w:pPr>
        <w:ind w:left="1077" w:hanging="15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52DD278B"/>
    <w:multiLevelType w:val="multilevel"/>
    <w:tmpl w:val="910E68C8"/>
    <w:styleLink w:val="Odrky"/>
    <w:lvl w:ilvl="0">
      <w:start w:val="1"/>
      <w:numFmt w:val="upperLetter"/>
      <w:lvlText w:val="%1."/>
      <w:lvlJc w:val="left"/>
      <w:pPr>
        <w:tabs>
          <w:tab w:val="num" w:pos="567"/>
        </w:tabs>
        <w:ind w:left="924" w:hanging="357"/>
      </w:pPr>
      <w:rPr>
        <w:rFonts w:ascii="Times New Roman" w:hAnsi="Times New Roman"/>
        <w:b w:val="0"/>
        <w:i w:val="0"/>
        <w:sz w:val="20"/>
      </w:rPr>
    </w:lvl>
    <w:lvl w:ilvl="1">
      <w:start w:val="1"/>
      <w:numFmt w:val="ordinal"/>
      <w:lvlText w:val="%2"/>
      <w:lvlJc w:val="left"/>
      <w:pPr>
        <w:ind w:left="1077" w:hanging="15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58532979"/>
    <w:multiLevelType w:val="multilevel"/>
    <w:tmpl w:val="89DAE6CA"/>
    <w:lvl w:ilvl="0">
      <w:start w:val="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410"/>
        </w:tabs>
        <w:ind w:left="1410" w:hanging="705"/>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440"/>
        </w:tabs>
        <w:ind w:left="7440" w:hanging="1800"/>
      </w:pPr>
      <w:rPr>
        <w:rFonts w:cs="Times New Roman" w:hint="default"/>
      </w:rPr>
    </w:lvl>
  </w:abstractNum>
  <w:abstractNum w:abstractNumId="14">
    <w:nsid w:val="5AFB2B1D"/>
    <w:multiLevelType w:val="multilevel"/>
    <w:tmpl w:val="83E0B8B4"/>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5">
    <w:nsid w:val="602F39AC"/>
    <w:multiLevelType w:val="hybridMultilevel"/>
    <w:tmpl w:val="F094FF8A"/>
    <w:lvl w:ilvl="0" w:tplc="5C26A37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0E85FBC"/>
    <w:multiLevelType w:val="multilevel"/>
    <w:tmpl w:val="19681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9A70BD"/>
    <w:multiLevelType w:val="hybridMultilevel"/>
    <w:tmpl w:val="5374E43A"/>
    <w:lvl w:ilvl="0" w:tplc="04050017">
      <w:start w:val="1"/>
      <w:numFmt w:val="lowerLetter"/>
      <w:lvlText w:val="%1)"/>
      <w:lvlJc w:val="left"/>
      <w:pPr>
        <w:tabs>
          <w:tab w:val="num" w:pos="720"/>
        </w:tabs>
        <w:ind w:left="720" w:hanging="360"/>
      </w:pPr>
      <w:rPr>
        <w:rFonts w:ascii="Times New Roman" w:hAnsi="Times New Roman" w:cs="Times New Roman" w:hint="default"/>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nsid w:val="6B335BBA"/>
    <w:multiLevelType w:val="hybridMultilevel"/>
    <w:tmpl w:val="015C91BA"/>
    <w:lvl w:ilvl="0" w:tplc="07ACAF64">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717268EB"/>
    <w:multiLevelType w:val="hybridMultilevel"/>
    <w:tmpl w:val="4FE0BB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736C5312"/>
    <w:multiLevelType w:val="multilevel"/>
    <w:tmpl w:val="8D86B772"/>
    <w:lvl w:ilvl="0">
      <w:start w:val="1"/>
      <w:numFmt w:val="decimal"/>
      <w:pStyle w:val="Nadpis1"/>
      <w:lvlText w:val="%1"/>
      <w:lvlJc w:val="left"/>
      <w:pPr>
        <w:ind w:left="360" w:hanging="360"/>
      </w:pPr>
      <w:rPr>
        <w:rFonts w:ascii="Times New Roman" w:hAnsi="Times New Roman" w:cs="Times New Roman" w:hint="default"/>
      </w:rPr>
    </w:lvl>
    <w:lvl w:ilvl="1">
      <w:start w:val="1"/>
      <w:numFmt w:val="decimal"/>
      <w:pStyle w:val="Nadpis2"/>
      <w:lvlText w:val="%1.%2"/>
      <w:lvlJc w:val="left"/>
      <w:pPr>
        <w:ind w:left="576" w:hanging="576"/>
      </w:pPr>
      <w:rPr>
        <w:rFonts w:cs="Times New Roman"/>
      </w:rPr>
    </w:lvl>
    <w:lvl w:ilvl="2">
      <w:start w:val="1"/>
      <w:numFmt w:val="decimal"/>
      <w:pStyle w:val="Nadpis3"/>
      <w:lvlText w:val="%1.%2.%3"/>
      <w:lvlJc w:val="left"/>
      <w:pPr>
        <w:ind w:left="720" w:hanging="720"/>
      </w:pPr>
      <w:rPr>
        <w:rFonts w:cs="Times New Roman"/>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num w:numId="1">
    <w:abstractNumId w:val="21"/>
  </w:num>
  <w:num w:numId="2">
    <w:abstractNumId w:val="0"/>
  </w:num>
  <w:num w:numId="3">
    <w:abstractNumId w:val="14"/>
  </w:num>
  <w:num w:numId="4">
    <w:abstractNumId w:val="13"/>
  </w:num>
  <w:num w:numId="5">
    <w:abstractNumId w:val="2"/>
    <w:lvlOverride w:ilvl="0">
      <w:lvl w:ilvl="0">
        <w:start w:val="1"/>
        <w:numFmt w:val="upperLetter"/>
        <w:lvlText w:val="%1."/>
        <w:lvlJc w:val="left"/>
        <w:pPr>
          <w:tabs>
            <w:tab w:val="num" w:pos="567"/>
          </w:tabs>
          <w:ind w:left="924" w:hanging="357"/>
        </w:pPr>
        <w:rPr>
          <w:rFonts w:ascii="Times New Roman" w:hAnsi="Times New Roman"/>
          <w:b w:val="0"/>
          <w:i w:val="0"/>
          <w:sz w:val="20"/>
        </w:rPr>
      </w:lvl>
    </w:lvlOverride>
  </w:num>
  <w:num w:numId="6">
    <w:abstractNumId w:val="12"/>
  </w:num>
  <w:num w:numId="7">
    <w:abstractNumId w:val="4"/>
  </w:num>
  <w:num w:numId="8">
    <w:abstractNumId w:val="15"/>
  </w:num>
  <w:num w:numId="9">
    <w:abstractNumId w:val="7"/>
  </w:num>
  <w:num w:numId="10">
    <w:abstractNumId w:val="20"/>
  </w:num>
  <w:num w:numId="11">
    <w:abstractNumId w:val="19"/>
  </w:num>
  <w:num w:numId="12">
    <w:abstractNumId w:val="11"/>
  </w:num>
  <w:num w:numId="13">
    <w:abstractNumId w:val="6"/>
  </w:num>
  <w:num w:numId="14">
    <w:abstractNumId w:val="9"/>
  </w:num>
  <w:num w:numId="15">
    <w:abstractNumId w:val="17"/>
  </w:num>
  <w:num w:numId="16">
    <w:abstractNumId w:val="1"/>
  </w:num>
  <w:num w:numId="17">
    <w:abstractNumId w:val="8"/>
  </w:num>
  <w:num w:numId="18">
    <w:abstractNumId w:val="10"/>
  </w:num>
  <w:num w:numId="19">
    <w:abstractNumId w:val="18"/>
  </w:num>
  <w:num w:numId="20">
    <w:abstractNumId w:val="2"/>
  </w:num>
  <w:num w:numId="21">
    <w:abstractNumId w:val="3"/>
  </w:num>
  <w:num w:numId="22">
    <w:abstractNumId w:val="5"/>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2C0"/>
    <w:rsid w:val="00003183"/>
    <w:rsid w:val="000049CD"/>
    <w:rsid w:val="00006744"/>
    <w:rsid w:val="00006947"/>
    <w:rsid w:val="00012883"/>
    <w:rsid w:val="000142F6"/>
    <w:rsid w:val="000151FC"/>
    <w:rsid w:val="000157FF"/>
    <w:rsid w:val="0001667B"/>
    <w:rsid w:val="00016840"/>
    <w:rsid w:val="000173BB"/>
    <w:rsid w:val="00021872"/>
    <w:rsid w:val="00025C5F"/>
    <w:rsid w:val="00026F24"/>
    <w:rsid w:val="00026F8A"/>
    <w:rsid w:val="00027A97"/>
    <w:rsid w:val="000305E9"/>
    <w:rsid w:val="00031EE0"/>
    <w:rsid w:val="00034093"/>
    <w:rsid w:val="00034806"/>
    <w:rsid w:val="00034CDA"/>
    <w:rsid w:val="00035115"/>
    <w:rsid w:val="00035646"/>
    <w:rsid w:val="0003790F"/>
    <w:rsid w:val="00037AAE"/>
    <w:rsid w:val="00043DE3"/>
    <w:rsid w:val="00044355"/>
    <w:rsid w:val="000450F5"/>
    <w:rsid w:val="00045829"/>
    <w:rsid w:val="00047E67"/>
    <w:rsid w:val="00052C47"/>
    <w:rsid w:val="000542EB"/>
    <w:rsid w:val="000558D1"/>
    <w:rsid w:val="000602C8"/>
    <w:rsid w:val="00063A6D"/>
    <w:rsid w:val="00064252"/>
    <w:rsid w:val="00065478"/>
    <w:rsid w:val="00067937"/>
    <w:rsid w:val="00070956"/>
    <w:rsid w:val="000709EA"/>
    <w:rsid w:val="00075DFB"/>
    <w:rsid w:val="00077690"/>
    <w:rsid w:val="0008531A"/>
    <w:rsid w:val="00087743"/>
    <w:rsid w:val="0009587F"/>
    <w:rsid w:val="00095AD4"/>
    <w:rsid w:val="00096BB9"/>
    <w:rsid w:val="0009720D"/>
    <w:rsid w:val="000A0DB5"/>
    <w:rsid w:val="000A3D75"/>
    <w:rsid w:val="000A4879"/>
    <w:rsid w:val="000A608A"/>
    <w:rsid w:val="000B2176"/>
    <w:rsid w:val="000B34CC"/>
    <w:rsid w:val="000B3D8E"/>
    <w:rsid w:val="000B46A0"/>
    <w:rsid w:val="000B4932"/>
    <w:rsid w:val="000B4962"/>
    <w:rsid w:val="000B7D9A"/>
    <w:rsid w:val="000B7E41"/>
    <w:rsid w:val="000C0237"/>
    <w:rsid w:val="000C548B"/>
    <w:rsid w:val="000C6310"/>
    <w:rsid w:val="000D0941"/>
    <w:rsid w:val="000D6C40"/>
    <w:rsid w:val="000D7867"/>
    <w:rsid w:val="000E231B"/>
    <w:rsid w:val="000E317D"/>
    <w:rsid w:val="000E39AC"/>
    <w:rsid w:val="000E4044"/>
    <w:rsid w:val="000E48D8"/>
    <w:rsid w:val="000E6ABA"/>
    <w:rsid w:val="000E7BC7"/>
    <w:rsid w:val="000F3DC3"/>
    <w:rsid w:val="000F7360"/>
    <w:rsid w:val="000F7841"/>
    <w:rsid w:val="00102AE9"/>
    <w:rsid w:val="00103F5E"/>
    <w:rsid w:val="0010457F"/>
    <w:rsid w:val="001053A6"/>
    <w:rsid w:val="00105AC8"/>
    <w:rsid w:val="00107837"/>
    <w:rsid w:val="00110DD3"/>
    <w:rsid w:val="00111709"/>
    <w:rsid w:val="001118A1"/>
    <w:rsid w:val="00112176"/>
    <w:rsid w:val="001141EC"/>
    <w:rsid w:val="001152BE"/>
    <w:rsid w:val="001167FB"/>
    <w:rsid w:val="0012154A"/>
    <w:rsid w:val="00125F54"/>
    <w:rsid w:val="0012609C"/>
    <w:rsid w:val="001303A2"/>
    <w:rsid w:val="00133409"/>
    <w:rsid w:val="00133481"/>
    <w:rsid w:val="00135049"/>
    <w:rsid w:val="0013650B"/>
    <w:rsid w:val="0014074C"/>
    <w:rsid w:val="00141B3E"/>
    <w:rsid w:val="0014387D"/>
    <w:rsid w:val="001454EA"/>
    <w:rsid w:val="00145C44"/>
    <w:rsid w:val="001502DC"/>
    <w:rsid w:val="00151228"/>
    <w:rsid w:val="00153788"/>
    <w:rsid w:val="00153C93"/>
    <w:rsid w:val="0015467D"/>
    <w:rsid w:val="00161AE6"/>
    <w:rsid w:val="00162EDA"/>
    <w:rsid w:val="001634B3"/>
    <w:rsid w:val="00165E9A"/>
    <w:rsid w:val="001660E0"/>
    <w:rsid w:val="001673EB"/>
    <w:rsid w:val="001678AB"/>
    <w:rsid w:val="00170B58"/>
    <w:rsid w:val="00171118"/>
    <w:rsid w:val="001717AA"/>
    <w:rsid w:val="00171992"/>
    <w:rsid w:val="001724DC"/>
    <w:rsid w:val="0017303C"/>
    <w:rsid w:val="00173843"/>
    <w:rsid w:val="00177E38"/>
    <w:rsid w:val="0018036A"/>
    <w:rsid w:val="001803D4"/>
    <w:rsid w:val="00181A31"/>
    <w:rsid w:val="00183FB3"/>
    <w:rsid w:val="00185FED"/>
    <w:rsid w:val="001902D2"/>
    <w:rsid w:val="00193D94"/>
    <w:rsid w:val="00193FEA"/>
    <w:rsid w:val="00196AF8"/>
    <w:rsid w:val="001A0982"/>
    <w:rsid w:val="001A1A51"/>
    <w:rsid w:val="001A3306"/>
    <w:rsid w:val="001A3312"/>
    <w:rsid w:val="001A42A2"/>
    <w:rsid w:val="001A4ED6"/>
    <w:rsid w:val="001A573D"/>
    <w:rsid w:val="001A5B7A"/>
    <w:rsid w:val="001B0FFF"/>
    <w:rsid w:val="001B22B0"/>
    <w:rsid w:val="001B6707"/>
    <w:rsid w:val="001C0760"/>
    <w:rsid w:val="001C0781"/>
    <w:rsid w:val="001C08C8"/>
    <w:rsid w:val="001C1FD0"/>
    <w:rsid w:val="001C2E79"/>
    <w:rsid w:val="001C3F35"/>
    <w:rsid w:val="001C54F2"/>
    <w:rsid w:val="001C6BE8"/>
    <w:rsid w:val="001C6D48"/>
    <w:rsid w:val="001D08B0"/>
    <w:rsid w:val="001D22F7"/>
    <w:rsid w:val="001D36DC"/>
    <w:rsid w:val="001D484A"/>
    <w:rsid w:val="001E255C"/>
    <w:rsid w:val="001E3E4E"/>
    <w:rsid w:val="001E5AA4"/>
    <w:rsid w:val="001E7023"/>
    <w:rsid w:val="001F3DC8"/>
    <w:rsid w:val="001F6E06"/>
    <w:rsid w:val="001F739D"/>
    <w:rsid w:val="001F7AC2"/>
    <w:rsid w:val="00200809"/>
    <w:rsid w:val="00201ADF"/>
    <w:rsid w:val="00201D4C"/>
    <w:rsid w:val="0020303E"/>
    <w:rsid w:val="002077AC"/>
    <w:rsid w:val="002102C8"/>
    <w:rsid w:val="002158D0"/>
    <w:rsid w:val="0021609E"/>
    <w:rsid w:val="00220496"/>
    <w:rsid w:val="00221228"/>
    <w:rsid w:val="0022340A"/>
    <w:rsid w:val="002263DB"/>
    <w:rsid w:val="002276B8"/>
    <w:rsid w:val="00227A44"/>
    <w:rsid w:val="00230695"/>
    <w:rsid w:val="00231381"/>
    <w:rsid w:val="00232D4A"/>
    <w:rsid w:val="002332FB"/>
    <w:rsid w:val="00234B8E"/>
    <w:rsid w:val="0023584C"/>
    <w:rsid w:val="0023770E"/>
    <w:rsid w:val="00237A7F"/>
    <w:rsid w:val="00245371"/>
    <w:rsid w:val="00246EB1"/>
    <w:rsid w:val="0025109E"/>
    <w:rsid w:val="00251572"/>
    <w:rsid w:val="002534BA"/>
    <w:rsid w:val="00253C54"/>
    <w:rsid w:val="00255FA5"/>
    <w:rsid w:val="00255FC3"/>
    <w:rsid w:val="0025743B"/>
    <w:rsid w:val="0026059A"/>
    <w:rsid w:val="00261B5C"/>
    <w:rsid w:val="002640D6"/>
    <w:rsid w:val="002646A4"/>
    <w:rsid w:val="00264A92"/>
    <w:rsid w:val="00272B08"/>
    <w:rsid w:val="00272FF8"/>
    <w:rsid w:val="0027753B"/>
    <w:rsid w:val="00280769"/>
    <w:rsid w:val="00281FE3"/>
    <w:rsid w:val="0028216A"/>
    <w:rsid w:val="0028425D"/>
    <w:rsid w:val="002846E2"/>
    <w:rsid w:val="00284B02"/>
    <w:rsid w:val="00285A4B"/>
    <w:rsid w:val="00286DD1"/>
    <w:rsid w:val="00293526"/>
    <w:rsid w:val="0029423C"/>
    <w:rsid w:val="00294705"/>
    <w:rsid w:val="00294D68"/>
    <w:rsid w:val="0029506C"/>
    <w:rsid w:val="00295795"/>
    <w:rsid w:val="002A019E"/>
    <w:rsid w:val="002A313D"/>
    <w:rsid w:val="002A62E5"/>
    <w:rsid w:val="002A6894"/>
    <w:rsid w:val="002A7838"/>
    <w:rsid w:val="002B023E"/>
    <w:rsid w:val="002B0B4D"/>
    <w:rsid w:val="002B148C"/>
    <w:rsid w:val="002B1D45"/>
    <w:rsid w:val="002B23D1"/>
    <w:rsid w:val="002B327C"/>
    <w:rsid w:val="002B4E6C"/>
    <w:rsid w:val="002C0BD3"/>
    <w:rsid w:val="002C1E8B"/>
    <w:rsid w:val="002C4320"/>
    <w:rsid w:val="002C460E"/>
    <w:rsid w:val="002D0770"/>
    <w:rsid w:val="002D15E6"/>
    <w:rsid w:val="002D3DBD"/>
    <w:rsid w:val="002D496B"/>
    <w:rsid w:val="002D4B1D"/>
    <w:rsid w:val="002D5FA9"/>
    <w:rsid w:val="002D69D1"/>
    <w:rsid w:val="002D6CF7"/>
    <w:rsid w:val="002E0B1C"/>
    <w:rsid w:val="002E1F3D"/>
    <w:rsid w:val="002E3007"/>
    <w:rsid w:val="002E3737"/>
    <w:rsid w:val="002E3DF5"/>
    <w:rsid w:val="002E3DFC"/>
    <w:rsid w:val="002E442C"/>
    <w:rsid w:val="002E4AD4"/>
    <w:rsid w:val="002E7B5D"/>
    <w:rsid w:val="002F0123"/>
    <w:rsid w:val="002F08BE"/>
    <w:rsid w:val="002F1407"/>
    <w:rsid w:val="002F19BA"/>
    <w:rsid w:val="002F24E0"/>
    <w:rsid w:val="002F348B"/>
    <w:rsid w:val="002F56FF"/>
    <w:rsid w:val="002F6C43"/>
    <w:rsid w:val="002F7CF6"/>
    <w:rsid w:val="00306975"/>
    <w:rsid w:val="003101A7"/>
    <w:rsid w:val="00310A16"/>
    <w:rsid w:val="0031203F"/>
    <w:rsid w:val="00313F21"/>
    <w:rsid w:val="00314A20"/>
    <w:rsid w:val="00314D69"/>
    <w:rsid w:val="003156B3"/>
    <w:rsid w:val="00316DB6"/>
    <w:rsid w:val="00321370"/>
    <w:rsid w:val="00321B1E"/>
    <w:rsid w:val="0032456B"/>
    <w:rsid w:val="00325192"/>
    <w:rsid w:val="00326FB6"/>
    <w:rsid w:val="00327FC6"/>
    <w:rsid w:val="003307B5"/>
    <w:rsid w:val="0033307F"/>
    <w:rsid w:val="00335DE1"/>
    <w:rsid w:val="00337057"/>
    <w:rsid w:val="00337DD2"/>
    <w:rsid w:val="00341126"/>
    <w:rsid w:val="00343C5F"/>
    <w:rsid w:val="003444ED"/>
    <w:rsid w:val="003470A2"/>
    <w:rsid w:val="0035059C"/>
    <w:rsid w:val="0035163B"/>
    <w:rsid w:val="00354C92"/>
    <w:rsid w:val="00360CEF"/>
    <w:rsid w:val="00362BB5"/>
    <w:rsid w:val="00363426"/>
    <w:rsid w:val="003636F8"/>
    <w:rsid w:val="00364085"/>
    <w:rsid w:val="003641ED"/>
    <w:rsid w:val="00364B0D"/>
    <w:rsid w:val="00366DDA"/>
    <w:rsid w:val="003711C4"/>
    <w:rsid w:val="00374ABD"/>
    <w:rsid w:val="00375771"/>
    <w:rsid w:val="00375D60"/>
    <w:rsid w:val="00377196"/>
    <w:rsid w:val="00377350"/>
    <w:rsid w:val="003773EA"/>
    <w:rsid w:val="00377CDB"/>
    <w:rsid w:val="00380FA7"/>
    <w:rsid w:val="00383727"/>
    <w:rsid w:val="0038538C"/>
    <w:rsid w:val="00391444"/>
    <w:rsid w:val="00395507"/>
    <w:rsid w:val="0039589D"/>
    <w:rsid w:val="00396BA6"/>
    <w:rsid w:val="00396EF8"/>
    <w:rsid w:val="00397E8D"/>
    <w:rsid w:val="003A3EAC"/>
    <w:rsid w:val="003A58D1"/>
    <w:rsid w:val="003A68D6"/>
    <w:rsid w:val="003B036C"/>
    <w:rsid w:val="003B3431"/>
    <w:rsid w:val="003B475F"/>
    <w:rsid w:val="003B5A27"/>
    <w:rsid w:val="003B6377"/>
    <w:rsid w:val="003C031C"/>
    <w:rsid w:val="003C11FF"/>
    <w:rsid w:val="003C444B"/>
    <w:rsid w:val="003C4555"/>
    <w:rsid w:val="003C6953"/>
    <w:rsid w:val="003D06EB"/>
    <w:rsid w:val="003D2FAE"/>
    <w:rsid w:val="003D4BAF"/>
    <w:rsid w:val="003D548E"/>
    <w:rsid w:val="003D5672"/>
    <w:rsid w:val="003D7AEE"/>
    <w:rsid w:val="003D7CD4"/>
    <w:rsid w:val="003E5C8C"/>
    <w:rsid w:val="003E6708"/>
    <w:rsid w:val="003F236A"/>
    <w:rsid w:val="003F26AE"/>
    <w:rsid w:val="003F36DD"/>
    <w:rsid w:val="003F74D2"/>
    <w:rsid w:val="004001A5"/>
    <w:rsid w:val="00405196"/>
    <w:rsid w:val="0040670F"/>
    <w:rsid w:val="00407BD3"/>
    <w:rsid w:val="004135F9"/>
    <w:rsid w:val="00414808"/>
    <w:rsid w:val="0041695F"/>
    <w:rsid w:val="004175A3"/>
    <w:rsid w:val="00417EDD"/>
    <w:rsid w:val="00423C9E"/>
    <w:rsid w:val="0042447C"/>
    <w:rsid w:val="0042739B"/>
    <w:rsid w:val="00431EAA"/>
    <w:rsid w:val="00432208"/>
    <w:rsid w:val="00432770"/>
    <w:rsid w:val="004334CB"/>
    <w:rsid w:val="00433897"/>
    <w:rsid w:val="00433FD9"/>
    <w:rsid w:val="00435AB8"/>
    <w:rsid w:val="00435F00"/>
    <w:rsid w:val="00436990"/>
    <w:rsid w:val="004403C7"/>
    <w:rsid w:val="00440B81"/>
    <w:rsid w:val="00441121"/>
    <w:rsid w:val="004421B5"/>
    <w:rsid w:val="004428D6"/>
    <w:rsid w:val="00442D2A"/>
    <w:rsid w:val="0044509F"/>
    <w:rsid w:val="00446201"/>
    <w:rsid w:val="00447F59"/>
    <w:rsid w:val="004506E1"/>
    <w:rsid w:val="004510C0"/>
    <w:rsid w:val="00452C01"/>
    <w:rsid w:val="004573D6"/>
    <w:rsid w:val="00457E7E"/>
    <w:rsid w:val="004606B7"/>
    <w:rsid w:val="00461206"/>
    <w:rsid w:val="0046274A"/>
    <w:rsid w:val="00463607"/>
    <w:rsid w:val="00476383"/>
    <w:rsid w:val="004769AA"/>
    <w:rsid w:val="004769CE"/>
    <w:rsid w:val="004773CD"/>
    <w:rsid w:val="004824D9"/>
    <w:rsid w:val="00483709"/>
    <w:rsid w:val="00483B05"/>
    <w:rsid w:val="00484599"/>
    <w:rsid w:val="00486D43"/>
    <w:rsid w:val="00487350"/>
    <w:rsid w:val="004875E8"/>
    <w:rsid w:val="004879DF"/>
    <w:rsid w:val="00487C4E"/>
    <w:rsid w:val="00490A67"/>
    <w:rsid w:val="00493AC2"/>
    <w:rsid w:val="004948AD"/>
    <w:rsid w:val="004951A7"/>
    <w:rsid w:val="0049761A"/>
    <w:rsid w:val="00497763"/>
    <w:rsid w:val="004A1B7F"/>
    <w:rsid w:val="004A1E5F"/>
    <w:rsid w:val="004A2F73"/>
    <w:rsid w:val="004A4077"/>
    <w:rsid w:val="004A4B98"/>
    <w:rsid w:val="004A58C9"/>
    <w:rsid w:val="004A5C50"/>
    <w:rsid w:val="004A6E90"/>
    <w:rsid w:val="004B0962"/>
    <w:rsid w:val="004B24BF"/>
    <w:rsid w:val="004B34A7"/>
    <w:rsid w:val="004B4100"/>
    <w:rsid w:val="004B4A77"/>
    <w:rsid w:val="004B6FBE"/>
    <w:rsid w:val="004C000D"/>
    <w:rsid w:val="004C0A28"/>
    <w:rsid w:val="004C1FCA"/>
    <w:rsid w:val="004C3A76"/>
    <w:rsid w:val="004C6B53"/>
    <w:rsid w:val="004C7AE8"/>
    <w:rsid w:val="004D09FC"/>
    <w:rsid w:val="004D1654"/>
    <w:rsid w:val="004D2A9D"/>
    <w:rsid w:val="004D3A08"/>
    <w:rsid w:val="004D5534"/>
    <w:rsid w:val="004D6E0A"/>
    <w:rsid w:val="004D6EC1"/>
    <w:rsid w:val="004D79AC"/>
    <w:rsid w:val="004D7B40"/>
    <w:rsid w:val="004E0CBA"/>
    <w:rsid w:val="004E104C"/>
    <w:rsid w:val="004E1A26"/>
    <w:rsid w:val="004E32D2"/>
    <w:rsid w:val="004E42A7"/>
    <w:rsid w:val="004E4B9C"/>
    <w:rsid w:val="004E4C0D"/>
    <w:rsid w:val="004E57E1"/>
    <w:rsid w:val="004F2778"/>
    <w:rsid w:val="004F604B"/>
    <w:rsid w:val="004F7161"/>
    <w:rsid w:val="004F71BB"/>
    <w:rsid w:val="00502EEE"/>
    <w:rsid w:val="005042FA"/>
    <w:rsid w:val="00507D25"/>
    <w:rsid w:val="00510616"/>
    <w:rsid w:val="0051796E"/>
    <w:rsid w:val="005202E0"/>
    <w:rsid w:val="00520326"/>
    <w:rsid w:val="00522850"/>
    <w:rsid w:val="00523672"/>
    <w:rsid w:val="005245AE"/>
    <w:rsid w:val="005253FB"/>
    <w:rsid w:val="0052632B"/>
    <w:rsid w:val="00527302"/>
    <w:rsid w:val="00530514"/>
    <w:rsid w:val="005315A9"/>
    <w:rsid w:val="005318A9"/>
    <w:rsid w:val="00534B12"/>
    <w:rsid w:val="00535F77"/>
    <w:rsid w:val="00536621"/>
    <w:rsid w:val="00537BCB"/>
    <w:rsid w:val="00537C66"/>
    <w:rsid w:val="00537D42"/>
    <w:rsid w:val="0054257D"/>
    <w:rsid w:val="0054606A"/>
    <w:rsid w:val="00552105"/>
    <w:rsid w:val="005545F9"/>
    <w:rsid w:val="00554A5D"/>
    <w:rsid w:val="00555740"/>
    <w:rsid w:val="00560E62"/>
    <w:rsid w:val="00560FC6"/>
    <w:rsid w:val="00562FBB"/>
    <w:rsid w:val="005635EE"/>
    <w:rsid w:val="005653F6"/>
    <w:rsid w:val="00571622"/>
    <w:rsid w:val="00572869"/>
    <w:rsid w:val="00572ABA"/>
    <w:rsid w:val="0057301F"/>
    <w:rsid w:val="00580937"/>
    <w:rsid w:val="00581472"/>
    <w:rsid w:val="00581874"/>
    <w:rsid w:val="00583863"/>
    <w:rsid w:val="00583865"/>
    <w:rsid w:val="00583E1A"/>
    <w:rsid w:val="00584360"/>
    <w:rsid w:val="0058489A"/>
    <w:rsid w:val="00584DE9"/>
    <w:rsid w:val="005867E2"/>
    <w:rsid w:val="00586C19"/>
    <w:rsid w:val="005918FD"/>
    <w:rsid w:val="0059740B"/>
    <w:rsid w:val="005A0534"/>
    <w:rsid w:val="005A70BE"/>
    <w:rsid w:val="005B2D51"/>
    <w:rsid w:val="005B2E9E"/>
    <w:rsid w:val="005B30AD"/>
    <w:rsid w:val="005B43B3"/>
    <w:rsid w:val="005B5E23"/>
    <w:rsid w:val="005B656C"/>
    <w:rsid w:val="005B7F45"/>
    <w:rsid w:val="005C1AD5"/>
    <w:rsid w:val="005C3692"/>
    <w:rsid w:val="005C4DA5"/>
    <w:rsid w:val="005C61E4"/>
    <w:rsid w:val="005D084A"/>
    <w:rsid w:val="005D09A2"/>
    <w:rsid w:val="005D18BD"/>
    <w:rsid w:val="005D77A0"/>
    <w:rsid w:val="005D7D14"/>
    <w:rsid w:val="005E030A"/>
    <w:rsid w:val="005E04CF"/>
    <w:rsid w:val="005E3CDF"/>
    <w:rsid w:val="005E4F51"/>
    <w:rsid w:val="005E658E"/>
    <w:rsid w:val="005E6EA3"/>
    <w:rsid w:val="005E6F05"/>
    <w:rsid w:val="005F06C9"/>
    <w:rsid w:val="005F07D4"/>
    <w:rsid w:val="005F0A2B"/>
    <w:rsid w:val="005F43AB"/>
    <w:rsid w:val="00605E03"/>
    <w:rsid w:val="006064A9"/>
    <w:rsid w:val="00606A8A"/>
    <w:rsid w:val="0061006B"/>
    <w:rsid w:val="00611A55"/>
    <w:rsid w:val="00611B2C"/>
    <w:rsid w:val="0061200E"/>
    <w:rsid w:val="00612E87"/>
    <w:rsid w:val="006135D0"/>
    <w:rsid w:val="00616337"/>
    <w:rsid w:val="00617381"/>
    <w:rsid w:val="0062439D"/>
    <w:rsid w:val="0062580A"/>
    <w:rsid w:val="006317AF"/>
    <w:rsid w:val="00632FBC"/>
    <w:rsid w:val="006331B3"/>
    <w:rsid w:val="0063356E"/>
    <w:rsid w:val="00640BDA"/>
    <w:rsid w:val="006420AE"/>
    <w:rsid w:val="00642BDA"/>
    <w:rsid w:val="00644217"/>
    <w:rsid w:val="0064564F"/>
    <w:rsid w:val="00645827"/>
    <w:rsid w:val="00646879"/>
    <w:rsid w:val="006476E6"/>
    <w:rsid w:val="006512B2"/>
    <w:rsid w:val="00652727"/>
    <w:rsid w:val="00652823"/>
    <w:rsid w:val="00652CD8"/>
    <w:rsid w:val="00653860"/>
    <w:rsid w:val="006563CB"/>
    <w:rsid w:val="0065699F"/>
    <w:rsid w:val="0066034B"/>
    <w:rsid w:val="006616AC"/>
    <w:rsid w:val="006621ED"/>
    <w:rsid w:val="00664436"/>
    <w:rsid w:val="006650BD"/>
    <w:rsid w:val="00665803"/>
    <w:rsid w:val="00671C37"/>
    <w:rsid w:val="00673525"/>
    <w:rsid w:val="00673BBA"/>
    <w:rsid w:val="00676804"/>
    <w:rsid w:val="00677C0D"/>
    <w:rsid w:val="006842C8"/>
    <w:rsid w:val="00686BEE"/>
    <w:rsid w:val="00690212"/>
    <w:rsid w:val="006949BE"/>
    <w:rsid w:val="006959AC"/>
    <w:rsid w:val="00697B44"/>
    <w:rsid w:val="006A0E8A"/>
    <w:rsid w:val="006B09CF"/>
    <w:rsid w:val="006B5A2F"/>
    <w:rsid w:val="006B66C7"/>
    <w:rsid w:val="006B708F"/>
    <w:rsid w:val="006C095D"/>
    <w:rsid w:val="006C23AA"/>
    <w:rsid w:val="006C54A2"/>
    <w:rsid w:val="006C616F"/>
    <w:rsid w:val="006D467B"/>
    <w:rsid w:val="006D549C"/>
    <w:rsid w:val="006E0970"/>
    <w:rsid w:val="006E504C"/>
    <w:rsid w:val="006E641A"/>
    <w:rsid w:val="006F21FD"/>
    <w:rsid w:val="006F5761"/>
    <w:rsid w:val="006F776D"/>
    <w:rsid w:val="007019F9"/>
    <w:rsid w:val="00701F76"/>
    <w:rsid w:val="00702515"/>
    <w:rsid w:val="00702D2F"/>
    <w:rsid w:val="0070363E"/>
    <w:rsid w:val="00704BC6"/>
    <w:rsid w:val="007060B3"/>
    <w:rsid w:val="00706B66"/>
    <w:rsid w:val="0071051C"/>
    <w:rsid w:val="00712708"/>
    <w:rsid w:val="00713048"/>
    <w:rsid w:val="00713ADB"/>
    <w:rsid w:val="00713C14"/>
    <w:rsid w:val="00713C9A"/>
    <w:rsid w:val="00714CFE"/>
    <w:rsid w:val="00714D32"/>
    <w:rsid w:val="00715753"/>
    <w:rsid w:val="007157E0"/>
    <w:rsid w:val="0071671E"/>
    <w:rsid w:val="00722874"/>
    <w:rsid w:val="007228DF"/>
    <w:rsid w:val="00723361"/>
    <w:rsid w:val="00723680"/>
    <w:rsid w:val="00723D06"/>
    <w:rsid w:val="00723F96"/>
    <w:rsid w:val="00724533"/>
    <w:rsid w:val="007255B7"/>
    <w:rsid w:val="00726D66"/>
    <w:rsid w:val="0072771E"/>
    <w:rsid w:val="00730499"/>
    <w:rsid w:val="00732104"/>
    <w:rsid w:val="00732BC2"/>
    <w:rsid w:val="007331A3"/>
    <w:rsid w:val="00733768"/>
    <w:rsid w:val="0073394F"/>
    <w:rsid w:val="00734E19"/>
    <w:rsid w:val="007354C3"/>
    <w:rsid w:val="00742581"/>
    <w:rsid w:val="00742B9A"/>
    <w:rsid w:val="00744816"/>
    <w:rsid w:val="00744BD2"/>
    <w:rsid w:val="00745D9A"/>
    <w:rsid w:val="00746650"/>
    <w:rsid w:val="00746EE4"/>
    <w:rsid w:val="0074796F"/>
    <w:rsid w:val="0075004E"/>
    <w:rsid w:val="007555DC"/>
    <w:rsid w:val="007558C0"/>
    <w:rsid w:val="00755A6B"/>
    <w:rsid w:val="007569A5"/>
    <w:rsid w:val="007602A3"/>
    <w:rsid w:val="00760823"/>
    <w:rsid w:val="007628EE"/>
    <w:rsid w:val="007654D2"/>
    <w:rsid w:val="0076653B"/>
    <w:rsid w:val="00772070"/>
    <w:rsid w:val="00772A24"/>
    <w:rsid w:val="00774EA4"/>
    <w:rsid w:val="00774FDD"/>
    <w:rsid w:val="007759F9"/>
    <w:rsid w:val="00777A32"/>
    <w:rsid w:val="00781BFB"/>
    <w:rsid w:val="00785304"/>
    <w:rsid w:val="0078689A"/>
    <w:rsid w:val="007869BD"/>
    <w:rsid w:val="007870EE"/>
    <w:rsid w:val="0079132B"/>
    <w:rsid w:val="0079138D"/>
    <w:rsid w:val="00792EDB"/>
    <w:rsid w:val="00793441"/>
    <w:rsid w:val="00793BAF"/>
    <w:rsid w:val="00793F69"/>
    <w:rsid w:val="00794D1E"/>
    <w:rsid w:val="00796083"/>
    <w:rsid w:val="007A013C"/>
    <w:rsid w:val="007A07F1"/>
    <w:rsid w:val="007A5835"/>
    <w:rsid w:val="007A7A78"/>
    <w:rsid w:val="007B27B3"/>
    <w:rsid w:val="007B2E6B"/>
    <w:rsid w:val="007B301F"/>
    <w:rsid w:val="007B3881"/>
    <w:rsid w:val="007C11A4"/>
    <w:rsid w:val="007C372A"/>
    <w:rsid w:val="007C4411"/>
    <w:rsid w:val="007C73CE"/>
    <w:rsid w:val="007D0469"/>
    <w:rsid w:val="007D1260"/>
    <w:rsid w:val="007D249B"/>
    <w:rsid w:val="007D62CE"/>
    <w:rsid w:val="007D6CB0"/>
    <w:rsid w:val="007E0959"/>
    <w:rsid w:val="007E1011"/>
    <w:rsid w:val="007E1A46"/>
    <w:rsid w:val="007E2F01"/>
    <w:rsid w:val="007E2F2B"/>
    <w:rsid w:val="007E4FA9"/>
    <w:rsid w:val="007E5C50"/>
    <w:rsid w:val="007E669A"/>
    <w:rsid w:val="007F032D"/>
    <w:rsid w:val="007F450B"/>
    <w:rsid w:val="007F4878"/>
    <w:rsid w:val="007F562C"/>
    <w:rsid w:val="007F6CF5"/>
    <w:rsid w:val="007F6FED"/>
    <w:rsid w:val="007F726E"/>
    <w:rsid w:val="007F7501"/>
    <w:rsid w:val="00800D8D"/>
    <w:rsid w:val="00801C4E"/>
    <w:rsid w:val="00801E57"/>
    <w:rsid w:val="00801F35"/>
    <w:rsid w:val="00802EB7"/>
    <w:rsid w:val="008052DB"/>
    <w:rsid w:val="00805613"/>
    <w:rsid w:val="0081137B"/>
    <w:rsid w:val="00813E5D"/>
    <w:rsid w:val="0081591A"/>
    <w:rsid w:val="0081694C"/>
    <w:rsid w:val="00816C32"/>
    <w:rsid w:val="00816CD3"/>
    <w:rsid w:val="00821DC5"/>
    <w:rsid w:val="00825FB7"/>
    <w:rsid w:val="0083166D"/>
    <w:rsid w:val="00832B60"/>
    <w:rsid w:val="00834A96"/>
    <w:rsid w:val="00834B52"/>
    <w:rsid w:val="00836140"/>
    <w:rsid w:val="00837741"/>
    <w:rsid w:val="0083792D"/>
    <w:rsid w:val="00837C1D"/>
    <w:rsid w:val="00837C6F"/>
    <w:rsid w:val="008413EA"/>
    <w:rsid w:val="00841CC3"/>
    <w:rsid w:val="0084292E"/>
    <w:rsid w:val="00842F2D"/>
    <w:rsid w:val="008432DE"/>
    <w:rsid w:val="008440E5"/>
    <w:rsid w:val="00844960"/>
    <w:rsid w:val="0084583B"/>
    <w:rsid w:val="00850230"/>
    <w:rsid w:val="00850FEA"/>
    <w:rsid w:val="00851344"/>
    <w:rsid w:val="00851702"/>
    <w:rsid w:val="00851CC8"/>
    <w:rsid w:val="00851F42"/>
    <w:rsid w:val="008532E1"/>
    <w:rsid w:val="00855670"/>
    <w:rsid w:val="00855A89"/>
    <w:rsid w:val="00857541"/>
    <w:rsid w:val="0086093B"/>
    <w:rsid w:val="00861701"/>
    <w:rsid w:val="0086360B"/>
    <w:rsid w:val="008636BE"/>
    <w:rsid w:val="00863BA9"/>
    <w:rsid w:val="00864609"/>
    <w:rsid w:val="00864DF2"/>
    <w:rsid w:val="00864DF5"/>
    <w:rsid w:val="008659E2"/>
    <w:rsid w:val="0086787A"/>
    <w:rsid w:val="008701EE"/>
    <w:rsid w:val="008714B7"/>
    <w:rsid w:val="00871713"/>
    <w:rsid w:val="0087403D"/>
    <w:rsid w:val="0087437F"/>
    <w:rsid w:val="00876BD8"/>
    <w:rsid w:val="0088064A"/>
    <w:rsid w:val="0088307E"/>
    <w:rsid w:val="00883FC8"/>
    <w:rsid w:val="008847F9"/>
    <w:rsid w:val="00884C05"/>
    <w:rsid w:val="00885680"/>
    <w:rsid w:val="00885884"/>
    <w:rsid w:val="00885C80"/>
    <w:rsid w:val="00885CA5"/>
    <w:rsid w:val="00887244"/>
    <w:rsid w:val="00891876"/>
    <w:rsid w:val="00891F16"/>
    <w:rsid w:val="008922AC"/>
    <w:rsid w:val="00892EDF"/>
    <w:rsid w:val="00893DC8"/>
    <w:rsid w:val="00894872"/>
    <w:rsid w:val="00895AC6"/>
    <w:rsid w:val="00897452"/>
    <w:rsid w:val="008A0390"/>
    <w:rsid w:val="008A0BE9"/>
    <w:rsid w:val="008A3210"/>
    <w:rsid w:val="008A3433"/>
    <w:rsid w:val="008A3F63"/>
    <w:rsid w:val="008B099E"/>
    <w:rsid w:val="008B11CE"/>
    <w:rsid w:val="008B2493"/>
    <w:rsid w:val="008B3975"/>
    <w:rsid w:val="008B4E94"/>
    <w:rsid w:val="008B6F22"/>
    <w:rsid w:val="008B70B1"/>
    <w:rsid w:val="008B7DCA"/>
    <w:rsid w:val="008C1BA9"/>
    <w:rsid w:val="008C3AD0"/>
    <w:rsid w:val="008C7F59"/>
    <w:rsid w:val="008D1DBD"/>
    <w:rsid w:val="008D2C89"/>
    <w:rsid w:val="008D37EB"/>
    <w:rsid w:val="008D3B19"/>
    <w:rsid w:val="008D3D7E"/>
    <w:rsid w:val="008D43CC"/>
    <w:rsid w:val="008E30ED"/>
    <w:rsid w:val="008E3B1A"/>
    <w:rsid w:val="008E5777"/>
    <w:rsid w:val="008E58AD"/>
    <w:rsid w:val="008E6ED3"/>
    <w:rsid w:val="008E7078"/>
    <w:rsid w:val="008E7D4B"/>
    <w:rsid w:val="008E7DC9"/>
    <w:rsid w:val="008F2150"/>
    <w:rsid w:val="008F4482"/>
    <w:rsid w:val="008F48F3"/>
    <w:rsid w:val="008F6978"/>
    <w:rsid w:val="008F6FF3"/>
    <w:rsid w:val="008F7765"/>
    <w:rsid w:val="00902DE3"/>
    <w:rsid w:val="00903011"/>
    <w:rsid w:val="00905A2F"/>
    <w:rsid w:val="00906C14"/>
    <w:rsid w:val="00912B55"/>
    <w:rsid w:val="009152E2"/>
    <w:rsid w:val="00916CF3"/>
    <w:rsid w:val="0091704E"/>
    <w:rsid w:val="00921943"/>
    <w:rsid w:val="009224DA"/>
    <w:rsid w:val="009228BD"/>
    <w:rsid w:val="00924E62"/>
    <w:rsid w:val="00925D5D"/>
    <w:rsid w:val="0092788B"/>
    <w:rsid w:val="009312CC"/>
    <w:rsid w:val="00931C0F"/>
    <w:rsid w:val="00931DD0"/>
    <w:rsid w:val="00933CDE"/>
    <w:rsid w:val="009340C2"/>
    <w:rsid w:val="0093552E"/>
    <w:rsid w:val="0093577B"/>
    <w:rsid w:val="00937094"/>
    <w:rsid w:val="0094091E"/>
    <w:rsid w:val="00940956"/>
    <w:rsid w:val="00941CAB"/>
    <w:rsid w:val="00941F14"/>
    <w:rsid w:val="0094580B"/>
    <w:rsid w:val="009463FF"/>
    <w:rsid w:val="00947FE9"/>
    <w:rsid w:val="00951E23"/>
    <w:rsid w:val="00953A2B"/>
    <w:rsid w:val="009548C7"/>
    <w:rsid w:val="00957765"/>
    <w:rsid w:val="00960E77"/>
    <w:rsid w:val="00963433"/>
    <w:rsid w:val="0096551B"/>
    <w:rsid w:val="009667AB"/>
    <w:rsid w:val="00971AA7"/>
    <w:rsid w:val="00973F66"/>
    <w:rsid w:val="00975213"/>
    <w:rsid w:val="009761E5"/>
    <w:rsid w:val="00976D16"/>
    <w:rsid w:val="00980AEF"/>
    <w:rsid w:val="00981256"/>
    <w:rsid w:val="009819A7"/>
    <w:rsid w:val="00981C07"/>
    <w:rsid w:val="009841B2"/>
    <w:rsid w:val="00984563"/>
    <w:rsid w:val="00986BD7"/>
    <w:rsid w:val="00986E28"/>
    <w:rsid w:val="0098736A"/>
    <w:rsid w:val="00991D8C"/>
    <w:rsid w:val="00992024"/>
    <w:rsid w:val="00992719"/>
    <w:rsid w:val="009948BC"/>
    <w:rsid w:val="009951C5"/>
    <w:rsid w:val="009969DD"/>
    <w:rsid w:val="00997D6A"/>
    <w:rsid w:val="00997E62"/>
    <w:rsid w:val="009A0D7B"/>
    <w:rsid w:val="009A31AE"/>
    <w:rsid w:val="009A5C96"/>
    <w:rsid w:val="009A712D"/>
    <w:rsid w:val="009B28D3"/>
    <w:rsid w:val="009B2C61"/>
    <w:rsid w:val="009B36E8"/>
    <w:rsid w:val="009B386E"/>
    <w:rsid w:val="009B41BA"/>
    <w:rsid w:val="009C0A3F"/>
    <w:rsid w:val="009C0ECC"/>
    <w:rsid w:val="009C1BDC"/>
    <w:rsid w:val="009C24B6"/>
    <w:rsid w:val="009C27BE"/>
    <w:rsid w:val="009C5E56"/>
    <w:rsid w:val="009C66FD"/>
    <w:rsid w:val="009C768F"/>
    <w:rsid w:val="009D0A6B"/>
    <w:rsid w:val="009D1977"/>
    <w:rsid w:val="009D4AE0"/>
    <w:rsid w:val="009D6A13"/>
    <w:rsid w:val="009E000D"/>
    <w:rsid w:val="009E2679"/>
    <w:rsid w:val="009E2682"/>
    <w:rsid w:val="009E51D8"/>
    <w:rsid w:val="009E554F"/>
    <w:rsid w:val="009F3871"/>
    <w:rsid w:val="009F40BD"/>
    <w:rsid w:val="009F4D1D"/>
    <w:rsid w:val="009F6429"/>
    <w:rsid w:val="00A02852"/>
    <w:rsid w:val="00A029D1"/>
    <w:rsid w:val="00A02B73"/>
    <w:rsid w:val="00A03C5C"/>
    <w:rsid w:val="00A03E1B"/>
    <w:rsid w:val="00A04AB7"/>
    <w:rsid w:val="00A05432"/>
    <w:rsid w:val="00A0619A"/>
    <w:rsid w:val="00A070AF"/>
    <w:rsid w:val="00A10108"/>
    <w:rsid w:val="00A1547F"/>
    <w:rsid w:val="00A15F38"/>
    <w:rsid w:val="00A23E9A"/>
    <w:rsid w:val="00A25895"/>
    <w:rsid w:val="00A30994"/>
    <w:rsid w:val="00A30D49"/>
    <w:rsid w:val="00A33534"/>
    <w:rsid w:val="00A34FF5"/>
    <w:rsid w:val="00A35198"/>
    <w:rsid w:val="00A3543A"/>
    <w:rsid w:val="00A360DF"/>
    <w:rsid w:val="00A40581"/>
    <w:rsid w:val="00A41B48"/>
    <w:rsid w:val="00A4294F"/>
    <w:rsid w:val="00A42F6E"/>
    <w:rsid w:val="00A433EB"/>
    <w:rsid w:val="00A43566"/>
    <w:rsid w:val="00A452E2"/>
    <w:rsid w:val="00A45D89"/>
    <w:rsid w:val="00A46EEE"/>
    <w:rsid w:val="00A5031D"/>
    <w:rsid w:val="00A51E27"/>
    <w:rsid w:val="00A52DAB"/>
    <w:rsid w:val="00A52EFE"/>
    <w:rsid w:val="00A55C2A"/>
    <w:rsid w:val="00A56362"/>
    <w:rsid w:val="00A60412"/>
    <w:rsid w:val="00A60C8B"/>
    <w:rsid w:val="00A617F0"/>
    <w:rsid w:val="00A62382"/>
    <w:rsid w:val="00A63630"/>
    <w:rsid w:val="00A636A4"/>
    <w:rsid w:val="00A636AB"/>
    <w:rsid w:val="00A64333"/>
    <w:rsid w:val="00A6606E"/>
    <w:rsid w:val="00A70C19"/>
    <w:rsid w:val="00A720AB"/>
    <w:rsid w:val="00A725B9"/>
    <w:rsid w:val="00A735EE"/>
    <w:rsid w:val="00A764E2"/>
    <w:rsid w:val="00A769FE"/>
    <w:rsid w:val="00A801AB"/>
    <w:rsid w:val="00A8035D"/>
    <w:rsid w:val="00A808D2"/>
    <w:rsid w:val="00A8092C"/>
    <w:rsid w:val="00A80C9E"/>
    <w:rsid w:val="00A80CCB"/>
    <w:rsid w:val="00A81F82"/>
    <w:rsid w:val="00A93E0A"/>
    <w:rsid w:val="00A94091"/>
    <w:rsid w:val="00A951D3"/>
    <w:rsid w:val="00A96D61"/>
    <w:rsid w:val="00AA15E6"/>
    <w:rsid w:val="00AA286D"/>
    <w:rsid w:val="00AA2C64"/>
    <w:rsid w:val="00AA2F59"/>
    <w:rsid w:val="00AA3365"/>
    <w:rsid w:val="00AA3897"/>
    <w:rsid w:val="00AA4018"/>
    <w:rsid w:val="00AA457D"/>
    <w:rsid w:val="00AB332A"/>
    <w:rsid w:val="00AB390E"/>
    <w:rsid w:val="00AB48D0"/>
    <w:rsid w:val="00AB603C"/>
    <w:rsid w:val="00AB6BB8"/>
    <w:rsid w:val="00AB6FA2"/>
    <w:rsid w:val="00AC0A27"/>
    <w:rsid w:val="00AC368A"/>
    <w:rsid w:val="00AC56C5"/>
    <w:rsid w:val="00AC5F72"/>
    <w:rsid w:val="00AC76CF"/>
    <w:rsid w:val="00AD20BC"/>
    <w:rsid w:val="00AD32BD"/>
    <w:rsid w:val="00AD3EA5"/>
    <w:rsid w:val="00AD4793"/>
    <w:rsid w:val="00AD5FBB"/>
    <w:rsid w:val="00AE0969"/>
    <w:rsid w:val="00AE2CA2"/>
    <w:rsid w:val="00AE36EB"/>
    <w:rsid w:val="00AE4824"/>
    <w:rsid w:val="00AE63E6"/>
    <w:rsid w:val="00AE6AB9"/>
    <w:rsid w:val="00AE75C5"/>
    <w:rsid w:val="00AF2585"/>
    <w:rsid w:val="00AF40AC"/>
    <w:rsid w:val="00B03F0F"/>
    <w:rsid w:val="00B061E6"/>
    <w:rsid w:val="00B0777E"/>
    <w:rsid w:val="00B11726"/>
    <w:rsid w:val="00B129A8"/>
    <w:rsid w:val="00B13EC7"/>
    <w:rsid w:val="00B14A69"/>
    <w:rsid w:val="00B17384"/>
    <w:rsid w:val="00B206A8"/>
    <w:rsid w:val="00B23157"/>
    <w:rsid w:val="00B239CA"/>
    <w:rsid w:val="00B27DD0"/>
    <w:rsid w:val="00B30F21"/>
    <w:rsid w:val="00B32224"/>
    <w:rsid w:val="00B32D2E"/>
    <w:rsid w:val="00B3388E"/>
    <w:rsid w:val="00B33F21"/>
    <w:rsid w:val="00B34476"/>
    <w:rsid w:val="00B34F88"/>
    <w:rsid w:val="00B352CF"/>
    <w:rsid w:val="00B35AC3"/>
    <w:rsid w:val="00B36171"/>
    <w:rsid w:val="00B364B5"/>
    <w:rsid w:val="00B42752"/>
    <w:rsid w:val="00B42EC9"/>
    <w:rsid w:val="00B45810"/>
    <w:rsid w:val="00B47BF2"/>
    <w:rsid w:val="00B503EC"/>
    <w:rsid w:val="00B54736"/>
    <w:rsid w:val="00B57CF8"/>
    <w:rsid w:val="00B60495"/>
    <w:rsid w:val="00B61D0B"/>
    <w:rsid w:val="00B63731"/>
    <w:rsid w:val="00B63953"/>
    <w:rsid w:val="00B63963"/>
    <w:rsid w:val="00B6415D"/>
    <w:rsid w:val="00B64EF9"/>
    <w:rsid w:val="00B654BA"/>
    <w:rsid w:val="00B67D4B"/>
    <w:rsid w:val="00B75315"/>
    <w:rsid w:val="00B762BB"/>
    <w:rsid w:val="00B81E2C"/>
    <w:rsid w:val="00B82293"/>
    <w:rsid w:val="00B83D76"/>
    <w:rsid w:val="00B84FAA"/>
    <w:rsid w:val="00B94DA0"/>
    <w:rsid w:val="00B9585F"/>
    <w:rsid w:val="00BA1E8F"/>
    <w:rsid w:val="00BA4C37"/>
    <w:rsid w:val="00BA50BB"/>
    <w:rsid w:val="00BA7078"/>
    <w:rsid w:val="00BA7A79"/>
    <w:rsid w:val="00BB006A"/>
    <w:rsid w:val="00BB0445"/>
    <w:rsid w:val="00BB3EE6"/>
    <w:rsid w:val="00BB7EDF"/>
    <w:rsid w:val="00BC16E2"/>
    <w:rsid w:val="00BC350F"/>
    <w:rsid w:val="00BC3669"/>
    <w:rsid w:val="00BC68F1"/>
    <w:rsid w:val="00BD335D"/>
    <w:rsid w:val="00BD5B66"/>
    <w:rsid w:val="00BD5E0B"/>
    <w:rsid w:val="00BE0D52"/>
    <w:rsid w:val="00BE1091"/>
    <w:rsid w:val="00BE109D"/>
    <w:rsid w:val="00BE59DA"/>
    <w:rsid w:val="00BE5AD5"/>
    <w:rsid w:val="00BF028E"/>
    <w:rsid w:val="00BF1205"/>
    <w:rsid w:val="00BF2BAA"/>
    <w:rsid w:val="00BF2D87"/>
    <w:rsid w:val="00BF3E74"/>
    <w:rsid w:val="00BF4249"/>
    <w:rsid w:val="00BF6694"/>
    <w:rsid w:val="00BF6CCF"/>
    <w:rsid w:val="00C00FA3"/>
    <w:rsid w:val="00C011D8"/>
    <w:rsid w:val="00C01552"/>
    <w:rsid w:val="00C01EFE"/>
    <w:rsid w:val="00C025E3"/>
    <w:rsid w:val="00C0390D"/>
    <w:rsid w:val="00C04222"/>
    <w:rsid w:val="00C04744"/>
    <w:rsid w:val="00C06F81"/>
    <w:rsid w:val="00C07DA6"/>
    <w:rsid w:val="00C10B94"/>
    <w:rsid w:val="00C126BC"/>
    <w:rsid w:val="00C16E01"/>
    <w:rsid w:val="00C17129"/>
    <w:rsid w:val="00C22900"/>
    <w:rsid w:val="00C26F6A"/>
    <w:rsid w:val="00C31022"/>
    <w:rsid w:val="00C31BF1"/>
    <w:rsid w:val="00C32141"/>
    <w:rsid w:val="00C33675"/>
    <w:rsid w:val="00C336D4"/>
    <w:rsid w:val="00C351CA"/>
    <w:rsid w:val="00C40212"/>
    <w:rsid w:val="00C43FD2"/>
    <w:rsid w:val="00C44300"/>
    <w:rsid w:val="00C443E9"/>
    <w:rsid w:val="00C446FC"/>
    <w:rsid w:val="00C464D1"/>
    <w:rsid w:val="00C46A94"/>
    <w:rsid w:val="00C47B20"/>
    <w:rsid w:val="00C50F86"/>
    <w:rsid w:val="00C52C02"/>
    <w:rsid w:val="00C547E0"/>
    <w:rsid w:val="00C54D7F"/>
    <w:rsid w:val="00C56F94"/>
    <w:rsid w:val="00C570F4"/>
    <w:rsid w:val="00C57D06"/>
    <w:rsid w:val="00C6098F"/>
    <w:rsid w:val="00C61A65"/>
    <w:rsid w:val="00C63022"/>
    <w:rsid w:val="00C63650"/>
    <w:rsid w:val="00C63680"/>
    <w:rsid w:val="00C64A3F"/>
    <w:rsid w:val="00C65C46"/>
    <w:rsid w:val="00C67850"/>
    <w:rsid w:val="00C679A8"/>
    <w:rsid w:val="00C74E75"/>
    <w:rsid w:val="00C75B24"/>
    <w:rsid w:val="00C83EB8"/>
    <w:rsid w:val="00C85B93"/>
    <w:rsid w:val="00C9292C"/>
    <w:rsid w:val="00C93C3C"/>
    <w:rsid w:val="00C94336"/>
    <w:rsid w:val="00C95146"/>
    <w:rsid w:val="00C95B4B"/>
    <w:rsid w:val="00C96C2B"/>
    <w:rsid w:val="00C9711C"/>
    <w:rsid w:val="00CA02A1"/>
    <w:rsid w:val="00CA1D65"/>
    <w:rsid w:val="00CA46ED"/>
    <w:rsid w:val="00CB2336"/>
    <w:rsid w:val="00CB5154"/>
    <w:rsid w:val="00CB7339"/>
    <w:rsid w:val="00CC0BF8"/>
    <w:rsid w:val="00CC1C13"/>
    <w:rsid w:val="00CC2D4C"/>
    <w:rsid w:val="00CC5E4D"/>
    <w:rsid w:val="00CC6843"/>
    <w:rsid w:val="00CC6D6E"/>
    <w:rsid w:val="00CD2B34"/>
    <w:rsid w:val="00CD4762"/>
    <w:rsid w:val="00CD52F0"/>
    <w:rsid w:val="00CD7FAF"/>
    <w:rsid w:val="00CE07E4"/>
    <w:rsid w:val="00CE11B2"/>
    <w:rsid w:val="00CE1DA0"/>
    <w:rsid w:val="00CE5D5B"/>
    <w:rsid w:val="00CE5E10"/>
    <w:rsid w:val="00CE6F4D"/>
    <w:rsid w:val="00CE7DEE"/>
    <w:rsid w:val="00CF1088"/>
    <w:rsid w:val="00CF5885"/>
    <w:rsid w:val="00CF62ED"/>
    <w:rsid w:val="00D00723"/>
    <w:rsid w:val="00D00C4A"/>
    <w:rsid w:val="00D04503"/>
    <w:rsid w:val="00D053C9"/>
    <w:rsid w:val="00D05641"/>
    <w:rsid w:val="00D05E8D"/>
    <w:rsid w:val="00D0629D"/>
    <w:rsid w:val="00D06E82"/>
    <w:rsid w:val="00D06F35"/>
    <w:rsid w:val="00D0780A"/>
    <w:rsid w:val="00D17324"/>
    <w:rsid w:val="00D20C0E"/>
    <w:rsid w:val="00D23AB1"/>
    <w:rsid w:val="00D2464A"/>
    <w:rsid w:val="00D30246"/>
    <w:rsid w:val="00D308BB"/>
    <w:rsid w:val="00D311DB"/>
    <w:rsid w:val="00D31D3D"/>
    <w:rsid w:val="00D33757"/>
    <w:rsid w:val="00D347FC"/>
    <w:rsid w:val="00D3535C"/>
    <w:rsid w:val="00D35555"/>
    <w:rsid w:val="00D37FAA"/>
    <w:rsid w:val="00D447A6"/>
    <w:rsid w:val="00D44AD6"/>
    <w:rsid w:val="00D45166"/>
    <w:rsid w:val="00D46F78"/>
    <w:rsid w:val="00D516B4"/>
    <w:rsid w:val="00D53716"/>
    <w:rsid w:val="00D543B2"/>
    <w:rsid w:val="00D56E3C"/>
    <w:rsid w:val="00D60AB7"/>
    <w:rsid w:val="00D60CD6"/>
    <w:rsid w:val="00D61750"/>
    <w:rsid w:val="00D705A6"/>
    <w:rsid w:val="00D73B1A"/>
    <w:rsid w:val="00D744B2"/>
    <w:rsid w:val="00D74CE4"/>
    <w:rsid w:val="00D75473"/>
    <w:rsid w:val="00D77A9E"/>
    <w:rsid w:val="00D80C92"/>
    <w:rsid w:val="00D83F99"/>
    <w:rsid w:val="00D94571"/>
    <w:rsid w:val="00D96A83"/>
    <w:rsid w:val="00D97430"/>
    <w:rsid w:val="00D97791"/>
    <w:rsid w:val="00DA04A8"/>
    <w:rsid w:val="00DA2BCE"/>
    <w:rsid w:val="00DA3B74"/>
    <w:rsid w:val="00DA63D7"/>
    <w:rsid w:val="00DA6AAE"/>
    <w:rsid w:val="00DB07AF"/>
    <w:rsid w:val="00DB0CE1"/>
    <w:rsid w:val="00DB1417"/>
    <w:rsid w:val="00DB1839"/>
    <w:rsid w:val="00DB1FEA"/>
    <w:rsid w:val="00DB2797"/>
    <w:rsid w:val="00DB3363"/>
    <w:rsid w:val="00DC1086"/>
    <w:rsid w:val="00DC2B0F"/>
    <w:rsid w:val="00DC3C8B"/>
    <w:rsid w:val="00DC42D5"/>
    <w:rsid w:val="00DC577B"/>
    <w:rsid w:val="00DC598E"/>
    <w:rsid w:val="00DC6148"/>
    <w:rsid w:val="00DC77D9"/>
    <w:rsid w:val="00DD09E8"/>
    <w:rsid w:val="00DD3967"/>
    <w:rsid w:val="00DD4229"/>
    <w:rsid w:val="00DD432F"/>
    <w:rsid w:val="00DD62AC"/>
    <w:rsid w:val="00DE135F"/>
    <w:rsid w:val="00DE4ED0"/>
    <w:rsid w:val="00DE656A"/>
    <w:rsid w:val="00DE7276"/>
    <w:rsid w:val="00DE727C"/>
    <w:rsid w:val="00DE7526"/>
    <w:rsid w:val="00DF04D1"/>
    <w:rsid w:val="00DF19C9"/>
    <w:rsid w:val="00DF291A"/>
    <w:rsid w:val="00DF3B8B"/>
    <w:rsid w:val="00DF45BF"/>
    <w:rsid w:val="00E03ABF"/>
    <w:rsid w:val="00E072E1"/>
    <w:rsid w:val="00E0738F"/>
    <w:rsid w:val="00E106F9"/>
    <w:rsid w:val="00E1187F"/>
    <w:rsid w:val="00E15764"/>
    <w:rsid w:val="00E15789"/>
    <w:rsid w:val="00E17586"/>
    <w:rsid w:val="00E17911"/>
    <w:rsid w:val="00E17A37"/>
    <w:rsid w:val="00E20677"/>
    <w:rsid w:val="00E20894"/>
    <w:rsid w:val="00E20F97"/>
    <w:rsid w:val="00E20FFE"/>
    <w:rsid w:val="00E221DD"/>
    <w:rsid w:val="00E2263F"/>
    <w:rsid w:val="00E2398D"/>
    <w:rsid w:val="00E25629"/>
    <w:rsid w:val="00E279DB"/>
    <w:rsid w:val="00E30775"/>
    <w:rsid w:val="00E32669"/>
    <w:rsid w:val="00E32719"/>
    <w:rsid w:val="00E32ABA"/>
    <w:rsid w:val="00E33488"/>
    <w:rsid w:val="00E33FBB"/>
    <w:rsid w:val="00E353E4"/>
    <w:rsid w:val="00E364C6"/>
    <w:rsid w:val="00E421D0"/>
    <w:rsid w:val="00E43141"/>
    <w:rsid w:val="00E43B4F"/>
    <w:rsid w:val="00E44355"/>
    <w:rsid w:val="00E448DC"/>
    <w:rsid w:val="00E50AE3"/>
    <w:rsid w:val="00E51D06"/>
    <w:rsid w:val="00E52217"/>
    <w:rsid w:val="00E5396B"/>
    <w:rsid w:val="00E57B66"/>
    <w:rsid w:val="00E608EF"/>
    <w:rsid w:val="00E61ECB"/>
    <w:rsid w:val="00E64569"/>
    <w:rsid w:val="00E65F72"/>
    <w:rsid w:val="00E6655D"/>
    <w:rsid w:val="00E66739"/>
    <w:rsid w:val="00E67118"/>
    <w:rsid w:val="00E67779"/>
    <w:rsid w:val="00E715A6"/>
    <w:rsid w:val="00E72F94"/>
    <w:rsid w:val="00E82757"/>
    <w:rsid w:val="00E82902"/>
    <w:rsid w:val="00E8308F"/>
    <w:rsid w:val="00E83FA5"/>
    <w:rsid w:val="00E8485B"/>
    <w:rsid w:val="00E86221"/>
    <w:rsid w:val="00E8635D"/>
    <w:rsid w:val="00E90643"/>
    <w:rsid w:val="00E92DD3"/>
    <w:rsid w:val="00E9391D"/>
    <w:rsid w:val="00E94330"/>
    <w:rsid w:val="00E959A1"/>
    <w:rsid w:val="00EA28BE"/>
    <w:rsid w:val="00EA3359"/>
    <w:rsid w:val="00EA3EF3"/>
    <w:rsid w:val="00EA66EA"/>
    <w:rsid w:val="00EA77CF"/>
    <w:rsid w:val="00EB4A02"/>
    <w:rsid w:val="00EB4B6C"/>
    <w:rsid w:val="00EB5FC5"/>
    <w:rsid w:val="00EB7985"/>
    <w:rsid w:val="00EC00EF"/>
    <w:rsid w:val="00EC06B2"/>
    <w:rsid w:val="00EC0E27"/>
    <w:rsid w:val="00EC38BB"/>
    <w:rsid w:val="00EC55D5"/>
    <w:rsid w:val="00EC663B"/>
    <w:rsid w:val="00EC7214"/>
    <w:rsid w:val="00ED07D5"/>
    <w:rsid w:val="00ED21E4"/>
    <w:rsid w:val="00ED5187"/>
    <w:rsid w:val="00ED5E32"/>
    <w:rsid w:val="00EE06B5"/>
    <w:rsid w:val="00EE12CC"/>
    <w:rsid w:val="00EE30C6"/>
    <w:rsid w:val="00EE4870"/>
    <w:rsid w:val="00EE49F6"/>
    <w:rsid w:val="00EE5448"/>
    <w:rsid w:val="00EE5481"/>
    <w:rsid w:val="00EE58C5"/>
    <w:rsid w:val="00EE68CF"/>
    <w:rsid w:val="00EE7CF3"/>
    <w:rsid w:val="00EE7F2D"/>
    <w:rsid w:val="00EF370A"/>
    <w:rsid w:val="00EF422B"/>
    <w:rsid w:val="00F001DC"/>
    <w:rsid w:val="00F01106"/>
    <w:rsid w:val="00F01853"/>
    <w:rsid w:val="00F07085"/>
    <w:rsid w:val="00F0720F"/>
    <w:rsid w:val="00F07E48"/>
    <w:rsid w:val="00F114C3"/>
    <w:rsid w:val="00F117D0"/>
    <w:rsid w:val="00F12DCB"/>
    <w:rsid w:val="00F14556"/>
    <w:rsid w:val="00F202C7"/>
    <w:rsid w:val="00F222AE"/>
    <w:rsid w:val="00F22D04"/>
    <w:rsid w:val="00F259C7"/>
    <w:rsid w:val="00F25EEA"/>
    <w:rsid w:val="00F316CC"/>
    <w:rsid w:val="00F34DB0"/>
    <w:rsid w:val="00F35A81"/>
    <w:rsid w:val="00F3610D"/>
    <w:rsid w:val="00F37274"/>
    <w:rsid w:val="00F37DF6"/>
    <w:rsid w:val="00F418BF"/>
    <w:rsid w:val="00F43398"/>
    <w:rsid w:val="00F44993"/>
    <w:rsid w:val="00F44B3D"/>
    <w:rsid w:val="00F4616A"/>
    <w:rsid w:val="00F47639"/>
    <w:rsid w:val="00F4775F"/>
    <w:rsid w:val="00F50C48"/>
    <w:rsid w:val="00F52298"/>
    <w:rsid w:val="00F54AF9"/>
    <w:rsid w:val="00F625A5"/>
    <w:rsid w:val="00F6315A"/>
    <w:rsid w:val="00F67389"/>
    <w:rsid w:val="00F67DC2"/>
    <w:rsid w:val="00F7187D"/>
    <w:rsid w:val="00F71C8D"/>
    <w:rsid w:val="00F74140"/>
    <w:rsid w:val="00F74563"/>
    <w:rsid w:val="00F755E7"/>
    <w:rsid w:val="00F76663"/>
    <w:rsid w:val="00F77329"/>
    <w:rsid w:val="00F813BB"/>
    <w:rsid w:val="00F81C91"/>
    <w:rsid w:val="00F81EAA"/>
    <w:rsid w:val="00F843F3"/>
    <w:rsid w:val="00F84942"/>
    <w:rsid w:val="00F84BCD"/>
    <w:rsid w:val="00F857B2"/>
    <w:rsid w:val="00F87482"/>
    <w:rsid w:val="00F90CE1"/>
    <w:rsid w:val="00F91F2B"/>
    <w:rsid w:val="00F93CD2"/>
    <w:rsid w:val="00F9437D"/>
    <w:rsid w:val="00F95005"/>
    <w:rsid w:val="00F954C2"/>
    <w:rsid w:val="00F96262"/>
    <w:rsid w:val="00F96DFD"/>
    <w:rsid w:val="00F972C0"/>
    <w:rsid w:val="00FA0A77"/>
    <w:rsid w:val="00FA319B"/>
    <w:rsid w:val="00FA32D3"/>
    <w:rsid w:val="00FA5751"/>
    <w:rsid w:val="00FB03EB"/>
    <w:rsid w:val="00FB1183"/>
    <w:rsid w:val="00FB4116"/>
    <w:rsid w:val="00FB5BA8"/>
    <w:rsid w:val="00FC1AAC"/>
    <w:rsid w:val="00FC285D"/>
    <w:rsid w:val="00FC291F"/>
    <w:rsid w:val="00FC49AD"/>
    <w:rsid w:val="00FD1BCE"/>
    <w:rsid w:val="00FD4970"/>
    <w:rsid w:val="00FD57D4"/>
    <w:rsid w:val="00FD5FDF"/>
    <w:rsid w:val="00FD6353"/>
    <w:rsid w:val="00FE25CD"/>
    <w:rsid w:val="00FE297B"/>
    <w:rsid w:val="00FE39C4"/>
    <w:rsid w:val="00FE6E53"/>
    <w:rsid w:val="00FF5679"/>
    <w:rsid w:val="00FF5D41"/>
    <w:rsid w:val="00FF786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972C0"/>
    <w:pPr>
      <w:spacing w:after="240" w:line="360" w:lineRule="auto"/>
      <w:jc w:val="both"/>
    </w:pPr>
    <w:rPr>
      <w:rFonts w:ascii="Times New Roman" w:eastAsia="Times New Roman" w:hAnsi="Times New Roman" w:cs="Times New Roman"/>
      <w:sz w:val="24"/>
      <w:szCs w:val="20"/>
      <w:lang w:eastAsia="cs-CZ"/>
    </w:rPr>
  </w:style>
  <w:style w:type="paragraph" w:styleId="Nadpis1">
    <w:name w:val="heading 1"/>
    <w:basedOn w:val="Normln"/>
    <w:next w:val="Nadpis2"/>
    <w:link w:val="Nadpis1Char"/>
    <w:uiPriority w:val="99"/>
    <w:qFormat/>
    <w:rsid w:val="00FE6E53"/>
    <w:pPr>
      <w:keepNext/>
      <w:numPr>
        <w:numId w:val="1"/>
      </w:numPr>
      <w:spacing w:before="480" w:after="120" w:line="240" w:lineRule="auto"/>
      <w:ind w:left="357" w:hanging="357"/>
      <w:jc w:val="left"/>
      <w:outlineLvl w:val="0"/>
    </w:pPr>
    <w:rPr>
      <w:b/>
      <w:bCs/>
      <w:sz w:val="32"/>
      <w:szCs w:val="32"/>
    </w:rPr>
  </w:style>
  <w:style w:type="paragraph" w:styleId="Nadpis2">
    <w:name w:val="heading 2"/>
    <w:basedOn w:val="Normln"/>
    <w:next w:val="Nadpis3"/>
    <w:link w:val="Nadpis2Char"/>
    <w:uiPriority w:val="99"/>
    <w:qFormat/>
    <w:rsid w:val="00FE6E53"/>
    <w:pPr>
      <w:keepNext/>
      <w:numPr>
        <w:ilvl w:val="1"/>
        <w:numId w:val="1"/>
      </w:numPr>
      <w:spacing w:before="360" w:after="120"/>
      <w:jc w:val="left"/>
      <w:outlineLvl w:val="1"/>
    </w:pPr>
    <w:rPr>
      <w:b/>
      <w:bCs/>
      <w:sz w:val="28"/>
      <w:szCs w:val="28"/>
    </w:rPr>
  </w:style>
  <w:style w:type="paragraph" w:styleId="Nadpis3">
    <w:name w:val="heading 3"/>
    <w:basedOn w:val="Normln"/>
    <w:next w:val="Nadpis4"/>
    <w:link w:val="Nadpis3Char"/>
    <w:uiPriority w:val="99"/>
    <w:qFormat/>
    <w:rsid w:val="004510C0"/>
    <w:pPr>
      <w:keepNext/>
      <w:numPr>
        <w:ilvl w:val="2"/>
        <w:numId w:val="1"/>
      </w:numPr>
      <w:tabs>
        <w:tab w:val="left" w:pos="1304"/>
        <w:tab w:val="left" w:pos="1361"/>
      </w:tabs>
      <w:spacing w:before="360" w:after="120" w:line="240" w:lineRule="auto"/>
      <w:jc w:val="left"/>
      <w:outlineLvl w:val="2"/>
    </w:pPr>
    <w:rPr>
      <w:rFonts w:cs="Arial"/>
      <w:bCs/>
      <w:szCs w:val="26"/>
    </w:rPr>
  </w:style>
  <w:style w:type="paragraph" w:styleId="Nadpis4">
    <w:name w:val="heading 4"/>
    <w:basedOn w:val="Normln"/>
    <w:next w:val="Nadpis5"/>
    <w:link w:val="Nadpis4Char"/>
    <w:uiPriority w:val="99"/>
    <w:qFormat/>
    <w:rsid w:val="004510C0"/>
    <w:pPr>
      <w:keepNext/>
      <w:numPr>
        <w:ilvl w:val="3"/>
        <w:numId w:val="1"/>
      </w:numPr>
      <w:spacing w:before="360" w:after="120" w:line="240" w:lineRule="auto"/>
      <w:jc w:val="left"/>
      <w:outlineLvl w:val="3"/>
    </w:pPr>
    <w:rPr>
      <w:bCs/>
      <w:szCs w:val="28"/>
    </w:rPr>
  </w:style>
  <w:style w:type="paragraph" w:styleId="Nadpis5">
    <w:name w:val="heading 5"/>
    <w:basedOn w:val="Normln"/>
    <w:next w:val="Normln"/>
    <w:link w:val="Nadpis5Char"/>
    <w:uiPriority w:val="99"/>
    <w:qFormat/>
    <w:rsid w:val="004510C0"/>
    <w:pPr>
      <w:keepNext/>
      <w:numPr>
        <w:ilvl w:val="4"/>
        <w:numId w:val="1"/>
      </w:numPr>
      <w:spacing w:before="360" w:after="120" w:line="240" w:lineRule="auto"/>
      <w:jc w:val="left"/>
      <w:outlineLvl w:val="4"/>
    </w:pPr>
    <w:rPr>
      <w:bCs/>
      <w:szCs w:val="24"/>
    </w:rPr>
  </w:style>
  <w:style w:type="paragraph" w:styleId="Nadpis6">
    <w:name w:val="heading 6"/>
    <w:aliases w:val="Nadpis obrázku"/>
    <w:basedOn w:val="Normln"/>
    <w:next w:val="Normln"/>
    <w:link w:val="Nadpis6Char"/>
    <w:uiPriority w:val="99"/>
    <w:qFormat/>
    <w:rsid w:val="004510C0"/>
    <w:pPr>
      <w:keepNext/>
      <w:numPr>
        <w:ilvl w:val="5"/>
        <w:numId w:val="1"/>
      </w:numPr>
      <w:spacing w:after="120" w:line="240" w:lineRule="auto"/>
      <w:jc w:val="center"/>
      <w:outlineLvl w:val="5"/>
    </w:pPr>
    <w:rPr>
      <w:b/>
      <w:bCs/>
      <w:szCs w:val="24"/>
    </w:rPr>
  </w:style>
  <w:style w:type="paragraph" w:styleId="Nadpis7">
    <w:name w:val="heading 7"/>
    <w:basedOn w:val="Normln"/>
    <w:next w:val="Normln"/>
    <w:link w:val="Nadpis7Char"/>
    <w:uiPriority w:val="99"/>
    <w:qFormat/>
    <w:rsid w:val="004510C0"/>
    <w:pPr>
      <w:keepNext/>
      <w:numPr>
        <w:ilvl w:val="6"/>
        <w:numId w:val="1"/>
      </w:numPr>
      <w:spacing w:after="120" w:line="240" w:lineRule="auto"/>
      <w:jc w:val="center"/>
      <w:outlineLvl w:val="6"/>
    </w:pPr>
  </w:style>
  <w:style w:type="paragraph" w:styleId="Nadpis8">
    <w:name w:val="heading 8"/>
    <w:basedOn w:val="Normln"/>
    <w:next w:val="Normln"/>
    <w:link w:val="Nadpis8Char"/>
    <w:uiPriority w:val="99"/>
    <w:qFormat/>
    <w:rsid w:val="004510C0"/>
    <w:pPr>
      <w:keepNext/>
      <w:keepLines/>
      <w:numPr>
        <w:ilvl w:val="7"/>
        <w:numId w:val="1"/>
      </w:numPr>
      <w:spacing w:before="200" w:after="0" w:line="240" w:lineRule="auto"/>
      <w:outlineLvl w:val="7"/>
    </w:pPr>
    <w:rPr>
      <w:rFonts w:ascii="Cambria" w:hAnsi="Cambria"/>
      <w:color w:val="404040"/>
      <w:sz w:val="20"/>
    </w:rPr>
  </w:style>
  <w:style w:type="paragraph" w:styleId="Nadpis9">
    <w:name w:val="heading 9"/>
    <w:basedOn w:val="Normln"/>
    <w:next w:val="Normln"/>
    <w:link w:val="Nadpis9Char"/>
    <w:uiPriority w:val="99"/>
    <w:qFormat/>
    <w:rsid w:val="004510C0"/>
    <w:pPr>
      <w:keepNext/>
      <w:keepLines/>
      <w:numPr>
        <w:ilvl w:val="8"/>
        <w:numId w:val="1"/>
      </w:numPr>
      <w:spacing w:before="200" w:after="0" w:line="240" w:lineRule="auto"/>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972C0"/>
    <w:pPr>
      <w:tabs>
        <w:tab w:val="center" w:pos="4536"/>
        <w:tab w:val="right" w:pos="9072"/>
      </w:tabs>
      <w:spacing w:after="0"/>
    </w:pPr>
  </w:style>
  <w:style w:type="character" w:customStyle="1" w:styleId="ZhlavChar">
    <w:name w:val="Záhlaví Char"/>
    <w:basedOn w:val="Standardnpsmoodstavce"/>
    <w:link w:val="Zhlav"/>
    <w:uiPriority w:val="99"/>
    <w:rsid w:val="00F972C0"/>
    <w:rPr>
      <w:rFonts w:ascii="Times New Roman" w:eastAsia="Times New Roman" w:hAnsi="Times New Roman" w:cs="Times New Roman"/>
      <w:sz w:val="24"/>
      <w:szCs w:val="20"/>
      <w:lang w:eastAsia="cs-CZ"/>
    </w:rPr>
  </w:style>
  <w:style w:type="paragraph" w:styleId="Zpat">
    <w:name w:val="footer"/>
    <w:basedOn w:val="Normln"/>
    <w:link w:val="ZpatChar"/>
    <w:uiPriority w:val="99"/>
    <w:unhideWhenUsed/>
    <w:rsid w:val="00F972C0"/>
    <w:pPr>
      <w:tabs>
        <w:tab w:val="center" w:pos="4536"/>
        <w:tab w:val="right" w:pos="9072"/>
      </w:tabs>
      <w:spacing w:after="0"/>
    </w:pPr>
  </w:style>
  <w:style w:type="character" w:customStyle="1" w:styleId="ZpatChar">
    <w:name w:val="Zápatí Char"/>
    <w:basedOn w:val="Standardnpsmoodstavce"/>
    <w:link w:val="Zpat"/>
    <w:uiPriority w:val="99"/>
    <w:rsid w:val="00F972C0"/>
    <w:rPr>
      <w:rFonts w:ascii="Times New Roman" w:eastAsia="Times New Roman" w:hAnsi="Times New Roman" w:cs="Times New Roman"/>
      <w:sz w:val="24"/>
      <w:szCs w:val="20"/>
      <w:lang w:eastAsia="cs-CZ"/>
    </w:rPr>
  </w:style>
  <w:style w:type="character" w:styleId="Zstupntext">
    <w:name w:val="Placeholder Text"/>
    <w:basedOn w:val="Standardnpsmoodstavce"/>
    <w:uiPriority w:val="99"/>
    <w:semiHidden/>
    <w:rsid w:val="00F972C0"/>
    <w:rPr>
      <w:color w:val="808080"/>
    </w:rPr>
  </w:style>
  <w:style w:type="character" w:styleId="Hypertextovodkaz">
    <w:name w:val="Hyperlink"/>
    <w:basedOn w:val="Standardnpsmoodstavce"/>
    <w:uiPriority w:val="99"/>
    <w:rsid w:val="00F972C0"/>
    <w:rPr>
      <w:rFonts w:ascii="Times New Roman" w:hAnsi="Times New Roman"/>
      <w:color w:val="0000FF"/>
      <w:sz w:val="24"/>
      <w:u w:val="single"/>
    </w:rPr>
  </w:style>
  <w:style w:type="paragraph" w:styleId="Nzev">
    <w:name w:val="Title"/>
    <w:basedOn w:val="Normln"/>
    <w:link w:val="NzevChar"/>
    <w:uiPriority w:val="99"/>
    <w:qFormat/>
    <w:rsid w:val="00F972C0"/>
    <w:pPr>
      <w:spacing w:after="0" w:line="240" w:lineRule="auto"/>
      <w:jc w:val="center"/>
    </w:pPr>
    <w:rPr>
      <w:b/>
      <w:sz w:val="72"/>
    </w:rPr>
  </w:style>
  <w:style w:type="character" w:customStyle="1" w:styleId="NzevChar">
    <w:name w:val="Název Char"/>
    <w:basedOn w:val="Standardnpsmoodstavce"/>
    <w:link w:val="Nzev"/>
    <w:uiPriority w:val="99"/>
    <w:rsid w:val="00F972C0"/>
    <w:rPr>
      <w:rFonts w:ascii="Times New Roman" w:eastAsia="Times New Roman" w:hAnsi="Times New Roman" w:cs="Times New Roman"/>
      <w:b/>
      <w:sz w:val="72"/>
      <w:szCs w:val="20"/>
      <w:lang w:eastAsia="cs-CZ"/>
    </w:rPr>
  </w:style>
  <w:style w:type="paragraph" w:customStyle="1" w:styleId="Formul">
    <w:name w:val="Formulář"/>
    <w:qFormat/>
    <w:rsid w:val="00F972C0"/>
    <w:pPr>
      <w:spacing w:after="0" w:line="240" w:lineRule="auto"/>
      <w:jc w:val="center"/>
    </w:pPr>
    <w:rPr>
      <w:rFonts w:ascii="Verdana" w:eastAsia="Times New Roman" w:hAnsi="Verdana" w:cs="Times New Roman"/>
      <w:b/>
      <w:bCs/>
      <w:caps/>
      <w:sz w:val="20"/>
      <w:szCs w:val="20"/>
      <w:lang w:eastAsia="cs-CZ"/>
    </w:rPr>
  </w:style>
  <w:style w:type="paragraph" w:styleId="Textbubliny">
    <w:name w:val="Balloon Text"/>
    <w:basedOn w:val="Normln"/>
    <w:link w:val="TextbublinyChar"/>
    <w:uiPriority w:val="99"/>
    <w:semiHidden/>
    <w:unhideWhenUsed/>
    <w:rsid w:val="00F972C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972C0"/>
    <w:rPr>
      <w:rFonts w:ascii="Tahoma" w:eastAsia="Times New Roman" w:hAnsi="Tahoma" w:cs="Tahoma"/>
      <w:sz w:val="16"/>
      <w:szCs w:val="16"/>
      <w:lang w:eastAsia="cs-CZ"/>
    </w:rPr>
  </w:style>
  <w:style w:type="character" w:customStyle="1" w:styleId="Nadpis1Char">
    <w:name w:val="Nadpis 1 Char"/>
    <w:basedOn w:val="Standardnpsmoodstavce"/>
    <w:link w:val="Nadpis1"/>
    <w:uiPriority w:val="99"/>
    <w:rsid w:val="00FE6E53"/>
    <w:rPr>
      <w:rFonts w:ascii="Times New Roman" w:eastAsia="Times New Roman" w:hAnsi="Times New Roman" w:cs="Times New Roman"/>
      <w:b/>
      <w:bCs/>
      <w:sz w:val="32"/>
      <w:szCs w:val="32"/>
      <w:lang w:eastAsia="cs-CZ"/>
    </w:rPr>
  </w:style>
  <w:style w:type="character" w:customStyle="1" w:styleId="Nadpis2Char">
    <w:name w:val="Nadpis 2 Char"/>
    <w:basedOn w:val="Standardnpsmoodstavce"/>
    <w:link w:val="Nadpis2"/>
    <w:uiPriority w:val="99"/>
    <w:rsid w:val="00FE6E53"/>
    <w:rPr>
      <w:rFonts w:ascii="Times New Roman" w:eastAsia="Times New Roman" w:hAnsi="Times New Roman" w:cs="Times New Roman"/>
      <w:b/>
      <w:bCs/>
      <w:sz w:val="28"/>
      <w:szCs w:val="28"/>
      <w:lang w:eastAsia="cs-CZ"/>
    </w:rPr>
  </w:style>
  <w:style w:type="character" w:customStyle="1" w:styleId="Nadpis3Char">
    <w:name w:val="Nadpis 3 Char"/>
    <w:basedOn w:val="Standardnpsmoodstavce"/>
    <w:link w:val="Nadpis3"/>
    <w:uiPriority w:val="99"/>
    <w:rsid w:val="004510C0"/>
    <w:rPr>
      <w:rFonts w:ascii="Times New Roman" w:eastAsia="Times New Roman" w:hAnsi="Times New Roman" w:cs="Arial"/>
      <w:bCs/>
      <w:sz w:val="24"/>
      <w:szCs w:val="26"/>
      <w:lang w:eastAsia="cs-CZ"/>
    </w:rPr>
  </w:style>
  <w:style w:type="character" w:customStyle="1" w:styleId="Nadpis4Char">
    <w:name w:val="Nadpis 4 Char"/>
    <w:basedOn w:val="Standardnpsmoodstavce"/>
    <w:link w:val="Nadpis4"/>
    <w:uiPriority w:val="9"/>
    <w:rsid w:val="004510C0"/>
    <w:rPr>
      <w:rFonts w:ascii="Times New Roman" w:eastAsia="Times New Roman" w:hAnsi="Times New Roman" w:cs="Times New Roman"/>
      <w:bCs/>
      <w:sz w:val="24"/>
      <w:szCs w:val="28"/>
      <w:lang w:eastAsia="cs-CZ"/>
    </w:rPr>
  </w:style>
  <w:style w:type="character" w:customStyle="1" w:styleId="Nadpis5Char">
    <w:name w:val="Nadpis 5 Char"/>
    <w:basedOn w:val="Standardnpsmoodstavce"/>
    <w:link w:val="Nadpis5"/>
    <w:uiPriority w:val="9"/>
    <w:rsid w:val="004510C0"/>
    <w:rPr>
      <w:rFonts w:ascii="Times New Roman" w:eastAsia="Times New Roman" w:hAnsi="Times New Roman" w:cs="Times New Roman"/>
      <w:bCs/>
      <w:sz w:val="24"/>
      <w:szCs w:val="24"/>
      <w:lang w:eastAsia="cs-CZ"/>
    </w:rPr>
  </w:style>
  <w:style w:type="character" w:customStyle="1" w:styleId="Nadpis6Char">
    <w:name w:val="Nadpis 6 Char"/>
    <w:aliases w:val="Nadpis obrázku Char"/>
    <w:basedOn w:val="Standardnpsmoodstavce"/>
    <w:link w:val="Nadpis6"/>
    <w:uiPriority w:val="9"/>
    <w:rsid w:val="004510C0"/>
    <w:rPr>
      <w:rFonts w:ascii="Times New Roman" w:eastAsia="Times New Roman" w:hAnsi="Times New Roman" w:cs="Times New Roman"/>
      <w:b/>
      <w:bCs/>
      <w:sz w:val="24"/>
      <w:szCs w:val="24"/>
      <w:lang w:eastAsia="cs-CZ"/>
    </w:rPr>
  </w:style>
  <w:style w:type="character" w:customStyle="1" w:styleId="Nadpis7Char">
    <w:name w:val="Nadpis 7 Char"/>
    <w:basedOn w:val="Standardnpsmoodstavce"/>
    <w:link w:val="Nadpis7"/>
    <w:uiPriority w:val="9"/>
    <w:rsid w:val="004510C0"/>
    <w:rPr>
      <w:rFonts w:ascii="Times New Roman" w:eastAsia="Times New Roman" w:hAnsi="Times New Roman" w:cs="Times New Roman"/>
      <w:sz w:val="24"/>
      <w:szCs w:val="20"/>
      <w:lang w:eastAsia="cs-CZ"/>
    </w:rPr>
  </w:style>
  <w:style w:type="character" w:customStyle="1" w:styleId="Nadpis8Char">
    <w:name w:val="Nadpis 8 Char"/>
    <w:basedOn w:val="Standardnpsmoodstavce"/>
    <w:link w:val="Nadpis8"/>
    <w:uiPriority w:val="99"/>
    <w:rsid w:val="004510C0"/>
    <w:rPr>
      <w:rFonts w:ascii="Cambria" w:eastAsia="Times New Roman" w:hAnsi="Cambria" w:cs="Times New Roman"/>
      <w:color w:val="404040"/>
      <w:sz w:val="20"/>
      <w:szCs w:val="20"/>
      <w:lang w:eastAsia="cs-CZ"/>
    </w:rPr>
  </w:style>
  <w:style w:type="character" w:customStyle="1" w:styleId="Nadpis9Char">
    <w:name w:val="Nadpis 9 Char"/>
    <w:basedOn w:val="Standardnpsmoodstavce"/>
    <w:link w:val="Nadpis9"/>
    <w:uiPriority w:val="99"/>
    <w:rsid w:val="004510C0"/>
    <w:rPr>
      <w:rFonts w:ascii="Cambria" w:eastAsia="Times New Roman" w:hAnsi="Cambria" w:cs="Times New Roman"/>
      <w:i/>
      <w:iCs/>
      <w:color w:val="404040"/>
      <w:sz w:val="20"/>
      <w:szCs w:val="20"/>
      <w:lang w:eastAsia="cs-CZ"/>
    </w:rPr>
  </w:style>
  <w:style w:type="paragraph" w:styleId="Textpoznpodarou">
    <w:name w:val="footnote text"/>
    <w:aliases w:val="Text pozn. pod čarou Char Char Char Char,Text pozn. pod čarou Char Char Char"/>
    <w:basedOn w:val="Normln"/>
    <w:link w:val="TextpoznpodarouChar"/>
    <w:semiHidden/>
    <w:rsid w:val="004510C0"/>
    <w:pPr>
      <w:tabs>
        <w:tab w:val="left" w:pos="227"/>
      </w:tabs>
      <w:spacing w:after="0" w:line="240" w:lineRule="auto"/>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uiPriority w:val="99"/>
    <w:rsid w:val="004510C0"/>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4510C0"/>
    <w:rPr>
      <w:rFonts w:cs="Times New Roman"/>
      <w:vertAlign w:val="superscript"/>
    </w:rPr>
  </w:style>
  <w:style w:type="paragraph" w:styleId="Obsah2">
    <w:name w:val="toc 2"/>
    <w:basedOn w:val="Normln"/>
    <w:next w:val="Normln"/>
    <w:autoRedefine/>
    <w:uiPriority w:val="39"/>
    <w:rsid w:val="004510C0"/>
    <w:pPr>
      <w:tabs>
        <w:tab w:val="left" w:pos="880"/>
        <w:tab w:val="right" w:leader="dot" w:pos="8494"/>
      </w:tabs>
      <w:spacing w:after="100" w:line="276" w:lineRule="auto"/>
      <w:ind w:left="681" w:hanging="397"/>
      <w:jc w:val="left"/>
    </w:pPr>
    <w:rPr>
      <w:noProof/>
      <w:sz w:val="22"/>
      <w:szCs w:val="22"/>
      <w:lang w:eastAsia="en-US"/>
    </w:rPr>
  </w:style>
  <w:style w:type="paragraph" w:styleId="Obsah1">
    <w:name w:val="toc 1"/>
    <w:basedOn w:val="Normln"/>
    <w:next w:val="Normln"/>
    <w:autoRedefine/>
    <w:uiPriority w:val="39"/>
    <w:rsid w:val="004510C0"/>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rsid w:val="004510C0"/>
    <w:pPr>
      <w:tabs>
        <w:tab w:val="left" w:pos="1320"/>
        <w:tab w:val="right" w:leader="dot" w:pos="8494"/>
      </w:tabs>
      <w:spacing w:after="100" w:line="276" w:lineRule="auto"/>
      <w:ind w:left="1389" w:hanging="680"/>
      <w:jc w:val="left"/>
    </w:pPr>
    <w:rPr>
      <w:sz w:val="22"/>
      <w:szCs w:val="22"/>
      <w:lang w:eastAsia="en-US"/>
    </w:rPr>
  </w:style>
  <w:style w:type="paragraph" w:styleId="Zkladntext">
    <w:name w:val="Body Text"/>
    <w:basedOn w:val="Normln"/>
    <w:link w:val="ZkladntextChar"/>
    <w:uiPriority w:val="99"/>
    <w:rsid w:val="004510C0"/>
    <w:pPr>
      <w:spacing w:after="0" w:line="240" w:lineRule="auto"/>
    </w:pPr>
  </w:style>
  <w:style w:type="character" w:customStyle="1" w:styleId="ZkladntextChar">
    <w:name w:val="Základní text Char"/>
    <w:basedOn w:val="Standardnpsmoodstavce"/>
    <w:link w:val="Zkladntext"/>
    <w:uiPriority w:val="99"/>
    <w:rsid w:val="004510C0"/>
    <w:rPr>
      <w:rFonts w:ascii="Times New Roman" w:eastAsia="Times New Roman" w:hAnsi="Times New Roman" w:cs="Times New Roman"/>
      <w:sz w:val="24"/>
      <w:szCs w:val="20"/>
      <w:lang w:eastAsia="cs-CZ"/>
    </w:rPr>
  </w:style>
  <w:style w:type="numbering" w:customStyle="1" w:styleId="Odrky">
    <w:name w:val="Odrážky"/>
    <w:uiPriority w:val="99"/>
    <w:rsid w:val="004510C0"/>
    <w:pPr>
      <w:numPr>
        <w:numId w:val="6"/>
      </w:numPr>
    </w:pPr>
  </w:style>
  <w:style w:type="paragraph" w:styleId="Odstavecseseznamem">
    <w:name w:val="List Paragraph"/>
    <w:basedOn w:val="Normln"/>
    <w:uiPriority w:val="34"/>
    <w:qFormat/>
    <w:rsid w:val="004510C0"/>
    <w:pPr>
      <w:spacing w:after="120" w:line="240" w:lineRule="auto"/>
      <w:ind w:left="720"/>
      <w:contextualSpacing/>
    </w:pPr>
  </w:style>
  <w:style w:type="paragraph" w:customStyle="1" w:styleId="Odrka1stupn">
    <w:name w:val="Odrážka 1. stupně"/>
    <w:basedOn w:val="Normln"/>
    <w:uiPriority w:val="99"/>
    <w:rsid w:val="00DE135F"/>
    <w:pPr>
      <w:numPr>
        <w:numId w:val="11"/>
      </w:numPr>
      <w:spacing w:after="0"/>
      <w:ind w:left="1066" w:hanging="357"/>
    </w:pPr>
    <w:rPr>
      <w:color w:val="000000"/>
    </w:rPr>
  </w:style>
  <w:style w:type="paragraph" w:customStyle="1" w:styleId="Nzvytabulekaobrzk">
    <w:name w:val="Názvy tabulek a obrázků"/>
    <w:basedOn w:val="Normln"/>
    <w:link w:val="NzvytabulekaobrzkChar"/>
    <w:qFormat/>
    <w:rsid w:val="00BF028E"/>
    <w:pPr>
      <w:spacing w:after="120"/>
    </w:pPr>
    <w:rPr>
      <w:color w:val="000000"/>
      <w:sz w:val="20"/>
      <w:u w:val="single"/>
    </w:rPr>
  </w:style>
  <w:style w:type="character" w:customStyle="1" w:styleId="NzvytabulekaobrzkChar">
    <w:name w:val="Názvy tabulek a obrázků Char"/>
    <w:basedOn w:val="Standardnpsmoodstavce"/>
    <w:link w:val="Nzvytabulekaobrzk"/>
    <w:rsid w:val="00BF028E"/>
    <w:rPr>
      <w:rFonts w:ascii="Times New Roman" w:eastAsia="Times New Roman" w:hAnsi="Times New Roman" w:cs="Times New Roman"/>
      <w:color w:val="000000"/>
      <w:sz w:val="20"/>
      <w:szCs w:val="20"/>
      <w:u w:val="single"/>
      <w:lang w:eastAsia="cs-CZ"/>
    </w:rPr>
  </w:style>
  <w:style w:type="paragraph" w:customStyle="1" w:styleId="Textodstavce">
    <w:name w:val="Text odstavce"/>
    <w:basedOn w:val="Normln"/>
    <w:link w:val="TextodstavceChar"/>
    <w:uiPriority w:val="99"/>
    <w:rsid w:val="005B5E23"/>
    <w:pPr>
      <w:spacing w:after="120"/>
    </w:pPr>
    <w:rPr>
      <w:color w:val="000000"/>
    </w:rPr>
  </w:style>
  <w:style w:type="character" w:customStyle="1" w:styleId="TextodstavceChar">
    <w:name w:val="Text odstavce Char"/>
    <w:basedOn w:val="Standardnpsmoodstavce"/>
    <w:link w:val="Textodstavce"/>
    <w:uiPriority w:val="99"/>
    <w:locked/>
    <w:rsid w:val="005B5E23"/>
    <w:rPr>
      <w:rFonts w:ascii="Times New Roman" w:eastAsia="Times New Roman" w:hAnsi="Times New Roman" w:cs="Times New Roman"/>
      <w:color w:val="000000"/>
      <w:sz w:val="24"/>
      <w:szCs w:val="20"/>
      <w:lang w:eastAsia="cs-CZ"/>
    </w:rPr>
  </w:style>
  <w:style w:type="paragraph" w:customStyle="1" w:styleId="Seznamtypa">
    <w:name w:val="Seznam typ=a"/>
    <w:basedOn w:val="Normln"/>
    <w:uiPriority w:val="99"/>
    <w:rsid w:val="005B5E23"/>
    <w:pPr>
      <w:tabs>
        <w:tab w:val="num" w:pos="360"/>
      </w:tabs>
      <w:spacing w:after="120"/>
      <w:ind w:left="360" w:hanging="360"/>
    </w:pPr>
    <w:rPr>
      <w:color w:val="000000"/>
      <w:lang w:eastAsia="en-US"/>
    </w:rPr>
  </w:style>
  <w:style w:type="paragraph" w:styleId="Seznam">
    <w:name w:val="List"/>
    <w:aliases w:val="číslovaný"/>
    <w:basedOn w:val="Normln"/>
    <w:uiPriority w:val="99"/>
    <w:rsid w:val="005B5E23"/>
    <w:pPr>
      <w:tabs>
        <w:tab w:val="num" w:pos="360"/>
      </w:tabs>
      <w:spacing w:after="120"/>
      <w:ind w:left="357" w:hanging="357"/>
    </w:pPr>
    <w:rPr>
      <w:color w:val="000000"/>
    </w:rPr>
  </w:style>
  <w:style w:type="character" w:styleId="slostrnky">
    <w:name w:val="page number"/>
    <w:basedOn w:val="Standardnpsmoodstavce"/>
    <w:uiPriority w:val="99"/>
    <w:rsid w:val="005B5E23"/>
    <w:rPr>
      <w:rFonts w:ascii="Times New Roman" w:hAnsi="Times New Roman" w:cs="Times New Roman"/>
      <w:sz w:val="24"/>
    </w:rPr>
  </w:style>
  <w:style w:type="paragraph" w:customStyle="1" w:styleId="Tabulka-text">
    <w:name w:val="Tabulka - text"/>
    <w:basedOn w:val="Normln"/>
    <w:uiPriority w:val="99"/>
    <w:rsid w:val="005B5E23"/>
    <w:pPr>
      <w:spacing w:after="0"/>
      <w:jc w:val="center"/>
    </w:pPr>
    <w:rPr>
      <w:color w:val="000000"/>
      <w:sz w:val="22"/>
    </w:rPr>
  </w:style>
  <w:style w:type="paragraph" w:customStyle="1" w:styleId="Seznamliteratury">
    <w:name w:val="Seznam literatury"/>
    <w:basedOn w:val="Seznamtypa"/>
    <w:uiPriority w:val="99"/>
    <w:rsid w:val="005B5E23"/>
    <w:pPr>
      <w:spacing w:after="0"/>
      <w:ind w:left="357" w:hanging="357"/>
    </w:pPr>
  </w:style>
  <w:style w:type="paragraph" w:customStyle="1" w:styleId="Tabulka">
    <w:name w:val="Tabulka"/>
    <w:aliases w:val="graf,obrázek - číslo"/>
    <w:basedOn w:val="Tabulka-text"/>
    <w:next w:val="Tabulka-text"/>
    <w:uiPriority w:val="99"/>
    <w:rsid w:val="005B5E23"/>
    <w:pPr>
      <w:spacing w:before="360" w:after="120"/>
      <w:jc w:val="left"/>
    </w:pPr>
    <w:rPr>
      <w:sz w:val="20"/>
    </w:rPr>
  </w:style>
  <w:style w:type="paragraph" w:customStyle="1" w:styleId="Tabulka-pramen">
    <w:name w:val="Tabulka - pramen"/>
    <w:aliases w:val="legenda"/>
    <w:basedOn w:val="Normln"/>
    <w:uiPriority w:val="99"/>
    <w:rsid w:val="005B5E23"/>
    <w:pPr>
      <w:spacing w:before="120"/>
      <w:jc w:val="left"/>
    </w:pPr>
    <w:rPr>
      <w:bCs/>
      <w:color w:val="000000"/>
      <w:sz w:val="20"/>
    </w:rPr>
  </w:style>
  <w:style w:type="paragraph" w:customStyle="1" w:styleId="Odstavecprograf">
    <w:name w:val="Odstavec pro graf"/>
    <w:basedOn w:val="Normln"/>
    <w:uiPriority w:val="99"/>
    <w:rsid w:val="005B5E23"/>
    <w:pPr>
      <w:spacing w:after="120"/>
    </w:pPr>
    <w:rPr>
      <w:color w:val="000000"/>
      <w:sz w:val="20"/>
    </w:rPr>
  </w:style>
  <w:style w:type="paragraph" w:customStyle="1" w:styleId="Odrka3stupn">
    <w:name w:val="Odrážka 3. stupně"/>
    <w:basedOn w:val="Normln"/>
    <w:uiPriority w:val="99"/>
    <w:rsid w:val="005B5E23"/>
    <w:pPr>
      <w:numPr>
        <w:numId w:val="14"/>
      </w:numPr>
      <w:spacing w:after="120"/>
    </w:pPr>
    <w:rPr>
      <w:color w:val="000000"/>
    </w:rPr>
  </w:style>
  <w:style w:type="paragraph" w:customStyle="1" w:styleId="Zdroj">
    <w:name w:val="Zdroj"/>
    <w:basedOn w:val="Normln"/>
    <w:uiPriority w:val="99"/>
    <w:rsid w:val="005B5E23"/>
    <w:pPr>
      <w:spacing w:after="120"/>
      <w:jc w:val="left"/>
    </w:pPr>
    <w:rPr>
      <w:color w:val="000000"/>
      <w:sz w:val="20"/>
    </w:rPr>
  </w:style>
  <w:style w:type="paragraph" w:customStyle="1" w:styleId="Keywords">
    <w:name w:val="Key words"/>
    <w:basedOn w:val="Normln"/>
    <w:uiPriority w:val="99"/>
    <w:rsid w:val="005B5E23"/>
    <w:pPr>
      <w:tabs>
        <w:tab w:val="num" w:pos="1304"/>
      </w:tabs>
      <w:spacing w:after="120"/>
      <w:ind w:left="1304" w:hanging="1304"/>
    </w:pPr>
    <w:rPr>
      <w:color w:val="000000"/>
      <w:szCs w:val="24"/>
      <w:lang w:val="en-US"/>
    </w:rPr>
  </w:style>
  <w:style w:type="paragraph" w:customStyle="1" w:styleId="Klovslova">
    <w:name w:val="Klíčová slova:"/>
    <w:basedOn w:val="Normln"/>
    <w:uiPriority w:val="99"/>
    <w:rsid w:val="005B5E23"/>
    <w:pPr>
      <w:tabs>
        <w:tab w:val="num" w:pos="1531"/>
      </w:tabs>
      <w:spacing w:after="360"/>
      <w:ind w:left="1531" w:hanging="1531"/>
    </w:pPr>
    <w:rPr>
      <w:color w:val="000000"/>
      <w:szCs w:val="24"/>
    </w:rPr>
  </w:style>
  <w:style w:type="paragraph" w:customStyle="1" w:styleId="ABSTRACT-nadpis">
    <w:name w:val="ABSTRACT - nadpis"/>
    <w:basedOn w:val="Normln"/>
    <w:uiPriority w:val="99"/>
    <w:rsid w:val="005B5E23"/>
    <w:pPr>
      <w:tabs>
        <w:tab w:val="num" w:pos="0"/>
      </w:tabs>
      <w:spacing w:before="240" w:after="120"/>
      <w:jc w:val="left"/>
    </w:pPr>
    <w:rPr>
      <w:b/>
      <w:color w:val="000000"/>
      <w:szCs w:val="24"/>
    </w:rPr>
  </w:style>
  <w:style w:type="paragraph" w:customStyle="1" w:styleId="Abstract-text">
    <w:name w:val="Abstract - text"/>
    <w:basedOn w:val="Normln"/>
    <w:uiPriority w:val="99"/>
    <w:rsid w:val="005B5E23"/>
    <w:pPr>
      <w:spacing w:after="120"/>
    </w:pPr>
    <w:rPr>
      <w:color w:val="000000"/>
      <w:szCs w:val="24"/>
      <w:lang w:val="en-US"/>
    </w:rPr>
  </w:style>
  <w:style w:type="paragraph" w:customStyle="1" w:styleId="JELclassification">
    <w:name w:val="JEL classification"/>
    <w:basedOn w:val="Normln"/>
    <w:uiPriority w:val="99"/>
    <w:rsid w:val="005B5E23"/>
    <w:pPr>
      <w:tabs>
        <w:tab w:val="num" w:pos="2041"/>
      </w:tabs>
      <w:spacing w:after="0"/>
      <w:ind w:left="2041" w:hanging="2041"/>
    </w:pPr>
    <w:rPr>
      <w:color w:val="000000"/>
      <w:szCs w:val="24"/>
      <w:lang w:val="en-US"/>
    </w:rPr>
  </w:style>
  <w:style w:type="paragraph" w:styleId="Nadpisobsahu">
    <w:name w:val="TOC Heading"/>
    <w:basedOn w:val="Nadpis1"/>
    <w:next w:val="Normln"/>
    <w:uiPriority w:val="39"/>
    <w:qFormat/>
    <w:rsid w:val="005B5E23"/>
    <w:pPr>
      <w:keepLines/>
      <w:numPr>
        <w:numId w:val="0"/>
      </w:numPr>
      <w:spacing w:after="0" w:line="276" w:lineRule="auto"/>
      <w:outlineLvl w:val="9"/>
    </w:pPr>
    <w:rPr>
      <w:color w:val="000000"/>
      <w:szCs w:val="28"/>
      <w:lang w:eastAsia="en-US"/>
    </w:rPr>
  </w:style>
  <w:style w:type="paragraph" w:customStyle="1" w:styleId="Odrka2stupn">
    <w:name w:val="Odrážka 2. stupně"/>
    <w:basedOn w:val="Normln"/>
    <w:uiPriority w:val="99"/>
    <w:rsid w:val="005B5E23"/>
    <w:pPr>
      <w:numPr>
        <w:numId w:val="13"/>
      </w:numPr>
      <w:spacing w:after="120"/>
      <w:ind w:left="1604" w:hanging="357"/>
    </w:pPr>
    <w:rPr>
      <w:color w:val="000000"/>
    </w:rPr>
  </w:style>
  <w:style w:type="table" w:styleId="Mkatabulky">
    <w:name w:val="Table Grid"/>
    <w:basedOn w:val="Normlntabulka"/>
    <w:uiPriority w:val="99"/>
    <w:rsid w:val="005B5E2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uiPriority w:val="99"/>
    <w:rsid w:val="005B5E23"/>
    <w:pPr>
      <w:spacing w:after="0"/>
    </w:pPr>
    <w:rPr>
      <w:color w:val="000000"/>
    </w:rPr>
  </w:style>
  <w:style w:type="character" w:customStyle="1" w:styleId="ZkladntextodsazenChar">
    <w:name w:val="Základní text odsazený Char"/>
    <w:basedOn w:val="Standardnpsmoodstavce"/>
    <w:link w:val="Zkladntextodsazen"/>
    <w:uiPriority w:val="99"/>
    <w:rsid w:val="005B5E23"/>
    <w:rPr>
      <w:rFonts w:ascii="Times New Roman" w:eastAsia="Times New Roman" w:hAnsi="Times New Roman" w:cs="Times New Roman"/>
      <w:color w:val="000000"/>
      <w:sz w:val="24"/>
      <w:szCs w:val="20"/>
      <w:lang w:eastAsia="cs-CZ"/>
    </w:rPr>
  </w:style>
  <w:style w:type="paragraph" w:styleId="Normlnweb">
    <w:name w:val="Normal (Web)"/>
    <w:basedOn w:val="Normln"/>
    <w:uiPriority w:val="99"/>
    <w:semiHidden/>
    <w:rsid w:val="005B5E23"/>
    <w:pPr>
      <w:spacing w:before="100" w:beforeAutospacing="1" w:after="100" w:afterAutospacing="1"/>
      <w:jc w:val="left"/>
    </w:pPr>
    <w:rPr>
      <w:color w:val="000000"/>
      <w:szCs w:val="24"/>
    </w:rPr>
  </w:style>
  <w:style w:type="paragraph" w:customStyle="1" w:styleId="Literatura-text">
    <w:name w:val="Literatura-text"/>
    <w:basedOn w:val="Normln"/>
    <w:uiPriority w:val="99"/>
    <w:rsid w:val="005B5E23"/>
    <w:pPr>
      <w:spacing w:after="120"/>
    </w:pPr>
    <w:rPr>
      <w:color w:val="000000"/>
      <w:sz w:val="22"/>
      <w:szCs w:val="22"/>
    </w:rPr>
  </w:style>
  <w:style w:type="paragraph" w:customStyle="1" w:styleId="Titulek-SEMINRNPRCE">
    <w:name w:val="Titulek - SEMINÁRNÍ PRÁCE"/>
    <w:basedOn w:val="Nzev"/>
    <w:link w:val="Titulek-SEMINRNPRCEChar"/>
    <w:uiPriority w:val="99"/>
    <w:rsid w:val="005B5E23"/>
    <w:pPr>
      <w:spacing w:line="360" w:lineRule="auto"/>
    </w:pPr>
    <w:rPr>
      <w:rFonts w:ascii="Verdana" w:hAnsi="Verdana"/>
      <w:color w:val="000000"/>
      <w:sz w:val="56"/>
      <w:szCs w:val="56"/>
    </w:rPr>
  </w:style>
  <w:style w:type="paragraph" w:customStyle="1" w:styleId="Titulek-SPECIALIZACE">
    <w:name w:val="Titulek - SPECIALIZACE"/>
    <w:basedOn w:val="Normln"/>
    <w:link w:val="Titulek-SPECIALIZACEChar"/>
    <w:uiPriority w:val="99"/>
    <w:rsid w:val="005B5E23"/>
    <w:pPr>
      <w:spacing w:after="0"/>
      <w:jc w:val="center"/>
    </w:pPr>
    <w:rPr>
      <w:rFonts w:ascii="Verdana" w:hAnsi="Verdana"/>
      <w:b/>
      <w:color w:val="000000"/>
      <w:sz w:val="36"/>
      <w:szCs w:val="36"/>
    </w:rPr>
  </w:style>
  <w:style w:type="character" w:customStyle="1" w:styleId="Titulek-SEMINRNPRCEChar">
    <w:name w:val="Titulek - SEMINÁRNÍ PRÁCE Char"/>
    <w:basedOn w:val="NzevChar"/>
    <w:link w:val="Titulek-SEMINRNPRCE"/>
    <w:uiPriority w:val="99"/>
    <w:locked/>
    <w:rsid w:val="005B5E23"/>
    <w:rPr>
      <w:rFonts w:ascii="Verdana" w:eastAsia="Times New Roman" w:hAnsi="Verdana" w:cs="Times New Roman"/>
      <w:b/>
      <w:color w:val="000000"/>
      <w:sz w:val="56"/>
      <w:szCs w:val="56"/>
      <w:lang w:eastAsia="cs-CZ"/>
    </w:rPr>
  </w:style>
  <w:style w:type="paragraph" w:customStyle="1" w:styleId="Titulnistrana-zhlavtabulky">
    <w:name w:val="Titulni strana - záhlaví tabulky"/>
    <w:next w:val="Normln"/>
    <w:uiPriority w:val="99"/>
    <w:rsid w:val="005B5E23"/>
    <w:pPr>
      <w:spacing w:after="0" w:line="240" w:lineRule="auto"/>
      <w:ind w:left="357"/>
      <w:jc w:val="center"/>
    </w:pPr>
    <w:rPr>
      <w:rFonts w:ascii="Verdana" w:eastAsia="Times New Roman" w:hAnsi="Verdana" w:cs="Times New Roman"/>
      <w:b/>
      <w:caps/>
      <w:sz w:val="20"/>
      <w:szCs w:val="40"/>
      <w:lang w:eastAsia="cs-CZ"/>
    </w:rPr>
  </w:style>
  <w:style w:type="character" w:customStyle="1" w:styleId="Titulek-SPECIALIZACEChar">
    <w:name w:val="Titulek - SPECIALIZACE Char"/>
    <w:basedOn w:val="Standardnpsmoodstavce"/>
    <w:link w:val="Titulek-SPECIALIZACE"/>
    <w:uiPriority w:val="99"/>
    <w:locked/>
    <w:rsid w:val="005B5E23"/>
    <w:rPr>
      <w:rFonts w:ascii="Verdana" w:eastAsia="Times New Roman" w:hAnsi="Verdana" w:cs="Times New Roman"/>
      <w:b/>
      <w:color w:val="000000"/>
      <w:sz w:val="36"/>
      <w:szCs w:val="36"/>
      <w:lang w:eastAsia="cs-CZ"/>
    </w:rPr>
  </w:style>
  <w:style w:type="paragraph" w:customStyle="1" w:styleId="Titulnstrana-texttabulky">
    <w:name w:val="Titulní strana - text tabulky"/>
    <w:uiPriority w:val="99"/>
    <w:rsid w:val="005B5E23"/>
    <w:pPr>
      <w:spacing w:after="0" w:line="240" w:lineRule="auto"/>
    </w:pPr>
    <w:rPr>
      <w:rFonts w:ascii="Verdana" w:eastAsia="Times New Roman" w:hAnsi="Verdana" w:cs="Times New Roman"/>
      <w:bCs/>
      <w:sz w:val="20"/>
      <w:szCs w:val="40"/>
      <w:lang w:eastAsia="cs-CZ"/>
    </w:rPr>
  </w:style>
  <w:style w:type="character" w:customStyle="1" w:styleId="apple-style-span">
    <w:name w:val="apple-style-span"/>
    <w:basedOn w:val="Standardnpsmoodstavce"/>
    <w:uiPriority w:val="99"/>
    <w:rsid w:val="005B5E23"/>
    <w:rPr>
      <w:rFonts w:cs="Times New Roman"/>
    </w:rPr>
  </w:style>
  <w:style w:type="paragraph" w:customStyle="1" w:styleId="Poznmkapodarou">
    <w:name w:val="Poznámka pod čarou"/>
    <w:basedOn w:val="Normln"/>
    <w:uiPriority w:val="99"/>
    <w:rsid w:val="005B5E23"/>
    <w:pPr>
      <w:autoSpaceDE w:val="0"/>
      <w:autoSpaceDN w:val="0"/>
      <w:adjustRightInd w:val="0"/>
      <w:spacing w:after="0"/>
      <w:jc w:val="left"/>
    </w:pPr>
    <w:rPr>
      <w:color w:val="000000"/>
      <w:sz w:val="16"/>
      <w:szCs w:val="16"/>
    </w:rPr>
  </w:style>
  <w:style w:type="character" w:customStyle="1" w:styleId="apple-converted-space">
    <w:name w:val="apple-converted-space"/>
    <w:basedOn w:val="Standardnpsmoodstavce"/>
    <w:uiPriority w:val="99"/>
    <w:rsid w:val="005B5E23"/>
    <w:rPr>
      <w:rFonts w:cs="Times New Roman"/>
    </w:rPr>
  </w:style>
  <w:style w:type="character" w:styleId="Zvraznn">
    <w:name w:val="Emphasis"/>
    <w:basedOn w:val="Standardnpsmoodstavce"/>
    <w:uiPriority w:val="99"/>
    <w:qFormat/>
    <w:rsid w:val="005B5E23"/>
    <w:rPr>
      <w:rFonts w:cs="Times New Roman"/>
      <w:i/>
      <w:iCs/>
    </w:rPr>
  </w:style>
  <w:style w:type="character" w:styleId="Siln">
    <w:name w:val="Strong"/>
    <w:basedOn w:val="Standardnpsmoodstavce"/>
    <w:uiPriority w:val="22"/>
    <w:qFormat/>
    <w:rsid w:val="005B5E23"/>
    <w:rPr>
      <w:rFonts w:cs="Times New Roman"/>
      <w:b/>
      <w:bCs/>
    </w:rPr>
  </w:style>
  <w:style w:type="paragraph" w:customStyle="1" w:styleId="AbstractSummary-text">
    <w:name w:val="Abstract/Summary - text"/>
    <w:basedOn w:val="Normln"/>
    <w:uiPriority w:val="99"/>
    <w:rsid w:val="005B5E23"/>
    <w:rPr>
      <w:color w:val="000000"/>
      <w:szCs w:val="24"/>
      <w:lang w:val="en-US"/>
    </w:rPr>
  </w:style>
  <w:style w:type="character" w:styleId="DefiniceHTML">
    <w:name w:val="HTML Definition"/>
    <w:basedOn w:val="Standardnpsmoodstavce"/>
    <w:uiPriority w:val="99"/>
    <w:rsid w:val="005B5E23"/>
    <w:rPr>
      <w:rFonts w:cs="Times New Roman"/>
      <w:i/>
      <w:iCs/>
    </w:rPr>
  </w:style>
  <w:style w:type="character" w:customStyle="1" w:styleId="odst1">
    <w:name w:val="odst1"/>
    <w:basedOn w:val="Standardnpsmoodstavce"/>
    <w:rsid w:val="005B5E23"/>
    <w:rPr>
      <w:rFonts w:cs="Times New Roman"/>
      <w:b/>
      <w:bCs/>
      <w:color w:val="1060B8"/>
    </w:rPr>
  </w:style>
  <w:style w:type="paragraph" w:customStyle="1" w:styleId="dajenadtabulkouazdroj">
    <w:name w:val="Údaje nad tabulkou a zdroj"/>
    <w:basedOn w:val="Normln"/>
    <w:link w:val="dajenadtabulkouazdrojChar"/>
    <w:qFormat/>
    <w:rsid w:val="00671C37"/>
    <w:pPr>
      <w:spacing w:after="0"/>
    </w:pPr>
    <w:rPr>
      <w:i/>
      <w:szCs w:val="24"/>
    </w:rPr>
  </w:style>
  <w:style w:type="character" w:customStyle="1" w:styleId="dajenadtabulkouazdrojChar">
    <w:name w:val="Údaje nad tabulkou a zdroj Char"/>
    <w:basedOn w:val="Standardnpsmoodstavce"/>
    <w:link w:val="dajenadtabulkouazdroj"/>
    <w:rsid w:val="00671C37"/>
    <w:rPr>
      <w:rFonts w:ascii="Times New Roman" w:eastAsia="Times New Roman" w:hAnsi="Times New Roman" w:cs="Times New Roman"/>
      <w:i/>
      <w:sz w:val="24"/>
      <w:szCs w:val="24"/>
      <w:lang w:eastAsia="cs-CZ"/>
    </w:rPr>
  </w:style>
  <w:style w:type="paragraph" w:styleId="Revize">
    <w:name w:val="Revision"/>
    <w:hidden/>
    <w:uiPriority w:val="99"/>
    <w:semiHidden/>
    <w:rsid w:val="0081591A"/>
    <w:pPr>
      <w:spacing w:after="0" w:line="240" w:lineRule="auto"/>
    </w:pPr>
    <w:rPr>
      <w:rFonts w:ascii="Times New Roman" w:eastAsia="Times New Roman" w:hAnsi="Times New Roman" w:cs="Times New Roman"/>
      <w:sz w:val="24"/>
      <w:szCs w:val="20"/>
      <w:lang w:eastAsia="cs-CZ"/>
    </w:rPr>
  </w:style>
  <w:style w:type="paragraph" w:customStyle="1" w:styleId="dajepodtabulkou">
    <w:name w:val="Údaje pod tabulkou"/>
    <w:basedOn w:val="Normln"/>
    <w:link w:val="dajepodtabulkouChar"/>
    <w:qFormat/>
    <w:rsid w:val="00C43FD2"/>
    <w:pPr>
      <w:ind w:left="709"/>
    </w:pPr>
    <w:rPr>
      <w:i/>
    </w:rPr>
  </w:style>
  <w:style w:type="character" w:customStyle="1" w:styleId="dajepodtabulkouChar">
    <w:name w:val="Údaje pod tabulkou Char"/>
    <w:basedOn w:val="Standardnpsmoodstavce"/>
    <w:link w:val="dajepodtabulkou"/>
    <w:rsid w:val="00C43FD2"/>
    <w:rPr>
      <w:rFonts w:ascii="Times New Roman" w:eastAsia="Times New Roman" w:hAnsi="Times New Roman" w:cs="Times New Roman"/>
      <w:i/>
      <w:sz w:val="24"/>
      <w:szCs w:val="20"/>
      <w:lang w:eastAsia="cs-CZ"/>
    </w:rPr>
  </w:style>
  <w:style w:type="paragraph" w:styleId="Textvysvtlivek">
    <w:name w:val="endnote text"/>
    <w:basedOn w:val="Normln"/>
    <w:link w:val="TextvysvtlivekChar"/>
    <w:uiPriority w:val="99"/>
    <w:semiHidden/>
    <w:unhideWhenUsed/>
    <w:rsid w:val="00664436"/>
    <w:pPr>
      <w:spacing w:after="0" w:line="240" w:lineRule="auto"/>
    </w:pPr>
    <w:rPr>
      <w:sz w:val="20"/>
    </w:rPr>
  </w:style>
  <w:style w:type="character" w:customStyle="1" w:styleId="TextvysvtlivekChar">
    <w:name w:val="Text vysvětlivek Char"/>
    <w:basedOn w:val="Standardnpsmoodstavce"/>
    <w:link w:val="Textvysvtlivek"/>
    <w:uiPriority w:val="99"/>
    <w:semiHidden/>
    <w:rsid w:val="00664436"/>
    <w:rPr>
      <w:rFonts w:ascii="Times New Roman" w:eastAsia="Times New Roman" w:hAnsi="Times New Roman" w:cs="Times New Roman"/>
      <w:sz w:val="20"/>
      <w:szCs w:val="20"/>
      <w:lang w:eastAsia="cs-CZ"/>
    </w:rPr>
  </w:style>
  <w:style w:type="character" w:styleId="Odkaznavysvtlivky">
    <w:name w:val="endnote reference"/>
    <w:basedOn w:val="Standardnpsmoodstavce"/>
    <w:uiPriority w:val="99"/>
    <w:semiHidden/>
    <w:unhideWhenUsed/>
    <w:rsid w:val="00664436"/>
    <w:rPr>
      <w:vertAlign w:val="superscript"/>
    </w:rPr>
  </w:style>
  <w:style w:type="paragraph" w:styleId="Titulek">
    <w:name w:val="caption"/>
    <w:basedOn w:val="Normln"/>
    <w:next w:val="Normln"/>
    <w:link w:val="TitulekChar"/>
    <w:uiPriority w:val="35"/>
    <w:unhideWhenUsed/>
    <w:qFormat/>
    <w:rsid w:val="00897452"/>
    <w:pPr>
      <w:keepNext/>
      <w:spacing w:after="200" w:line="240" w:lineRule="auto"/>
    </w:pPr>
    <w:rPr>
      <w:b/>
      <w:bCs/>
      <w:sz w:val="22"/>
      <w:szCs w:val="22"/>
    </w:rPr>
  </w:style>
  <w:style w:type="paragraph" w:customStyle="1" w:styleId="Tabulky">
    <w:name w:val="Tabulky"/>
    <w:basedOn w:val="Titulek"/>
    <w:link w:val="TabulkyChar"/>
    <w:qFormat/>
    <w:rsid w:val="003D548E"/>
  </w:style>
  <w:style w:type="character" w:styleId="Sledovanodkaz">
    <w:name w:val="FollowedHyperlink"/>
    <w:basedOn w:val="Standardnpsmoodstavce"/>
    <w:uiPriority w:val="99"/>
    <w:semiHidden/>
    <w:unhideWhenUsed/>
    <w:rsid w:val="00377196"/>
    <w:rPr>
      <w:color w:val="800080"/>
      <w:u w:val="single"/>
    </w:rPr>
  </w:style>
  <w:style w:type="character" w:customStyle="1" w:styleId="TitulekChar">
    <w:name w:val="Titulek Char"/>
    <w:basedOn w:val="Standardnpsmoodstavce"/>
    <w:link w:val="Titulek"/>
    <w:uiPriority w:val="35"/>
    <w:rsid w:val="00897452"/>
    <w:rPr>
      <w:rFonts w:ascii="Times New Roman" w:eastAsia="Times New Roman" w:hAnsi="Times New Roman" w:cs="Times New Roman"/>
      <w:b/>
      <w:bCs/>
      <w:lang w:eastAsia="cs-CZ"/>
    </w:rPr>
  </w:style>
  <w:style w:type="character" w:customStyle="1" w:styleId="TabulkyChar">
    <w:name w:val="Tabulky Char"/>
    <w:basedOn w:val="TitulekChar"/>
    <w:link w:val="Tabulky"/>
    <w:rsid w:val="003D548E"/>
    <w:rPr>
      <w:rFonts w:ascii="Times New Roman" w:eastAsia="Times New Roman" w:hAnsi="Times New Roman" w:cs="Times New Roman"/>
      <w:b/>
      <w:bCs/>
      <w:color w:val="4F81BD" w:themeColor="accent1"/>
      <w:sz w:val="18"/>
      <w:szCs w:val="18"/>
      <w:lang w:eastAsia="cs-CZ"/>
    </w:rPr>
  </w:style>
  <w:style w:type="paragraph" w:customStyle="1" w:styleId="xl63">
    <w:name w:val="xl63"/>
    <w:basedOn w:val="Normln"/>
    <w:rsid w:val="00377196"/>
    <w:pPr>
      <w:spacing w:before="100" w:beforeAutospacing="1" w:after="100" w:afterAutospacing="1" w:line="240" w:lineRule="auto"/>
      <w:jc w:val="left"/>
      <w:textAlignment w:val="center"/>
    </w:pPr>
    <w:rPr>
      <w:szCs w:val="24"/>
    </w:rPr>
  </w:style>
  <w:style w:type="paragraph" w:customStyle="1" w:styleId="xl64">
    <w:name w:val="xl64"/>
    <w:basedOn w:val="Normln"/>
    <w:rsid w:val="00377196"/>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65">
    <w:name w:val="xl65"/>
    <w:basedOn w:val="Normln"/>
    <w:rsid w:val="00377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66">
    <w:name w:val="xl66"/>
    <w:basedOn w:val="Normln"/>
    <w:rsid w:val="00377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67">
    <w:name w:val="xl67"/>
    <w:basedOn w:val="Normln"/>
    <w:rsid w:val="00377196"/>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left"/>
      <w:textAlignment w:val="center"/>
    </w:pPr>
    <w:rPr>
      <w:szCs w:val="24"/>
    </w:rPr>
  </w:style>
  <w:style w:type="paragraph" w:customStyle="1" w:styleId="xl68">
    <w:name w:val="xl68"/>
    <w:basedOn w:val="Normln"/>
    <w:rsid w:val="00377196"/>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69">
    <w:name w:val="xl69"/>
    <w:basedOn w:val="Normln"/>
    <w:rsid w:val="00377196"/>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70">
    <w:name w:val="xl70"/>
    <w:basedOn w:val="Normln"/>
    <w:rsid w:val="00377196"/>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71">
    <w:name w:val="xl71"/>
    <w:basedOn w:val="Normln"/>
    <w:rsid w:val="00377196"/>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left"/>
      <w:textAlignment w:val="center"/>
    </w:pPr>
    <w:rPr>
      <w:szCs w:val="24"/>
    </w:rPr>
  </w:style>
  <w:style w:type="paragraph" w:customStyle="1" w:styleId="xl72">
    <w:name w:val="xl72"/>
    <w:basedOn w:val="Normln"/>
    <w:rsid w:val="00377196"/>
    <w:pPr>
      <w:pBdr>
        <w:left w:val="single" w:sz="12" w:space="0" w:color="auto"/>
        <w:bottom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73">
    <w:name w:val="xl73"/>
    <w:basedOn w:val="Normln"/>
    <w:rsid w:val="00377196"/>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74">
    <w:name w:val="xl74"/>
    <w:basedOn w:val="Normln"/>
    <w:rsid w:val="00377196"/>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75">
    <w:name w:val="xl75"/>
    <w:basedOn w:val="Normln"/>
    <w:rsid w:val="00377196"/>
    <w:pPr>
      <w:pBdr>
        <w:left w:val="single" w:sz="4" w:space="0" w:color="auto"/>
        <w:bottom w:val="single" w:sz="4" w:space="0" w:color="auto"/>
        <w:right w:val="single" w:sz="12" w:space="0" w:color="auto"/>
      </w:pBdr>
      <w:spacing w:before="100" w:beforeAutospacing="1" w:after="100" w:afterAutospacing="1" w:line="240" w:lineRule="auto"/>
      <w:jc w:val="left"/>
      <w:textAlignment w:val="center"/>
    </w:pPr>
    <w:rPr>
      <w:szCs w:val="24"/>
    </w:rPr>
  </w:style>
  <w:style w:type="paragraph" w:customStyle="1" w:styleId="xl76">
    <w:name w:val="xl76"/>
    <w:basedOn w:val="Normln"/>
    <w:rsid w:val="00377196"/>
    <w:pPr>
      <w:pBdr>
        <w:bottom w:val="single" w:sz="12" w:space="0" w:color="auto"/>
      </w:pBdr>
      <w:spacing w:before="100" w:beforeAutospacing="1" w:after="100" w:afterAutospacing="1" w:line="240" w:lineRule="auto"/>
      <w:jc w:val="center"/>
      <w:textAlignment w:val="center"/>
    </w:pPr>
    <w:rPr>
      <w:b/>
      <w:bCs/>
      <w:szCs w:val="24"/>
      <w:u w:val="single"/>
    </w:rPr>
  </w:style>
  <w:style w:type="paragraph" w:customStyle="1" w:styleId="xl77">
    <w:name w:val="xl77"/>
    <w:basedOn w:val="Normln"/>
    <w:rsid w:val="00377196"/>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b/>
      <w:bCs/>
      <w:szCs w:val="24"/>
    </w:rPr>
  </w:style>
  <w:style w:type="paragraph" w:customStyle="1" w:styleId="xl78">
    <w:name w:val="xl78"/>
    <w:basedOn w:val="Normln"/>
    <w:rsid w:val="00377196"/>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b/>
      <w:bCs/>
      <w:szCs w:val="24"/>
    </w:rPr>
  </w:style>
  <w:style w:type="paragraph" w:customStyle="1" w:styleId="xl79">
    <w:name w:val="xl79"/>
    <w:basedOn w:val="Normln"/>
    <w:rsid w:val="00377196"/>
    <w:pPr>
      <w:pBdr>
        <w:top w:val="single" w:sz="12"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b/>
      <w:bCs/>
      <w:szCs w:val="24"/>
    </w:rPr>
  </w:style>
  <w:style w:type="paragraph" w:customStyle="1" w:styleId="xl80">
    <w:name w:val="xl80"/>
    <w:basedOn w:val="Normln"/>
    <w:rsid w:val="00377196"/>
    <w:pPr>
      <w:pBdr>
        <w:top w:val="single" w:sz="4" w:space="0" w:color="auto"/>
        <w:left w:val="single" w:sz="12" w:space="0" w:color="auto"/>
        <w:bottom w:val="double" w:sz="6" w:space="0" w:color="auto"/>
        <w:right w:val="single" w:sz="4" w:space="0" w:color="auto"/>
      </w:pBdr>
      <w:shd w:val="clear" w:color="000000" w:fill="D9D9D9"/>
      <w:spacing w:before="100" w:beforeAutospacing="1" w:after="100" w:afterAutospacing="1" w:line="240" w:lineRule="auto"/>
      <w:jc w:val="center"/>
      <w:textAlignment w:val="center"/>
    </w:pPr>
    <w:rPr>
      <w:b/>
      <w:bCs/>
      <w:szCs w:val="24"/>
    </w:rPr>
  </w:style>
  <w:style w:type="paragraph" w:customStyle="1" w:styleId="xl81">
    <w:name w:val="xl81"/>
    <w:basedOn w:val="Normln"/>
    <w:rsid w:val="00377196"/>
    <w:pPr>
      <w:pBdr>
        <w:top w:val="single" w:sz="4" w:space="0" w:color="auto"/>
        <w:left w:val="single" w:sz="4" w:space="0" w:color="auto"/>
        <w:bottom w:val="double" w:sz="6" w:space="0" w:color="auto"/>
        <w:right w:val="single" w:sz="4" w:space="0" w:color="auto"/>
      </w:pBdr>
      <w:shd w:val="clear" w:color="000000" w:fill="D9D9D9"/>
      <w:spacing w:before="100" w:beforeAutospacing="1" w:after="100" w:afterAutospacing="1" w:line="240" w:lineRule="auto"/>
      <w:jc w:val="center"/>
      <w:textAlignment w:val="center"/>
    </w:pPr>
    <w:rPr>
      <w:b/>
      <w:bCs/>
      <w:szCs w:val="24"/>
    </w:rPr>
  </w:style>
  <w:style w:type="paragraph" w:customStyle="1" w:styleId="xl82">
    <w:name w:val="xl82"/>
    <w:basedOn w:val="Normln"/>
    <w:rsid w:val="00377196"/>
    <w:pPr>
      <w:pBdr>
        <w:top w:val="single" w:sz="4" w:space="0" w:color="auto"/>
        <w:left w:val="single" w:sz="4" w:space="0" w:color="auto"/>
        <w:bottom w:val="double" w:sz="6" w:space="0" w:color="auto"/>
        <w:right w:val="single" w:sz="12" w:space="0" w:color="auto"/>
      </w:pBdr>
      <w:shd w:val="clear" w:color="000000" w:fill="D9D9D9"/>
      <w:spacing w:before="100" w:beforeAutospacing="1" w:after="100" w:afterAutospacing="1" w:line="240" w:lineRule="auto"/>
      <w:jc w:val="center"/>
      <w:textAlignment w:val="center"/>
    </w:pPr>
    <w:rPr>
      <w:b/>
      <w:bCs/>
      <w:szCs w:val="24"/>
    </w:rPr>
  </w:style>
  <w:style w:type="paragraph" w:customStyle="1" w:styleId="xl83">
    <w:name w:val="xl83"/>
    <w:basedOn w:val="Normln"/>
    <w:rsid w:val="00377196"/>
    <w:pPr>
      <w:pBdr>
        <w:top w:val="single" w:sz="4" w:space="0" w:color="auto"/>
        <w:left w:val="single" w:sz="4" w:space="0" w:color="auto"/>
        <w:bottom w:val="double" w:sz="6" w:space="0" w:color="auto"/>
        <w:right w:val="single" w:sz="12" w:space="0" w:color="auto"/>
      </w:pBdr>
      <w:shd w:val="clear" w:color="000000" w:fill="D9D9D9"/>
      <w:spacing w:before="100" w:beforeAutospacing="1" w:after="100" w:afterAutospacing="1" w:line="240" w:lineRule="auto"/>
      <w:jc w:val="center"/>
      <w:textAlignment w:val="center"/>
    </w:pPr>
    <w:rPr>
      <w:b/>
      <w:bCs/>
      <w:szCs w:val="24"/>
    </w:rPr>
  </w:style>
  <w:style w:type="paragraph" w:styleId="Seznamobrzk">
    <w:name w:val="table of figures"/>
    <w:basedOn w:val="Normln"/>
    <w:next w:val="Normln"/>
    <w:uiPriority w:val="99"/>
    <w:unhideWhenUsed/>
    <w:rsid w:val="001A0982"/>
    <w:pPr>
      <w:spacing w:after="0"/>
    </w:pPr>
  </w:style>
  <w:style w:type="paragraph" w:customStyle="1" w:styleId="xl84">
    <w:name w:val="xl84"/>
    <w:basedOn w:val="Normln"/>
    <w:rsid w:val="0058489A"/>
    <w:pPr>
      <w:pBdr>
        <w:top w:val="single" w:sz="12" w:space="0" w:color="auto"/>
        <w:left w:val="single" w:sz="12"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b/>
      <w:bCs/>
      <w:szCs w:val="24"/>
    </w:rPr>
  </w:style>
  <w:style w:type="paragraph" w:customStyle="1" w:styleId="xl85">
    <w:name w:val="xl85"/>
    <w:basedOn w:val="Normln"/>
    <w:rsid w:val="0058489A"/>
    <w:pPr>
      <w:pBdr>
        <w:top w:val="single" w:sz="4" w:space="0" w:color="auto"/>
        <w:left w:val="single" w:sz="12" w:space="0" w:color="auto"/>
        <w:bottom w:val="double" w:sz="6" w:space="0" w:color="auto"/>
        <w:right w:val="single" w:sz="4" w:space="0" w:color="auto"/>
      </w:pBdr>
      <w:shd w:val="clear" w:color="000000" w:fill="C5D9F1"/>
      <w:spacing w:before="100" w:beforeAutospacing="1" w:after="100" w:afterAutospacing="1" w:line="240" w:lineRule="auto"/>
      <w:jc w:val="center"/>
      <w:textAlignment w:val="center"/>
    </w:pPr>
    <w:rPr>
      <w:b/>
      <w:bCs/>
      <w:szCs w:val="24"/>
    </w:rPr>
  </w:style>
  <w:style w:type="paragraph" w:customStyle="1" w:styleId="xl86">
    <w:name w:val="xl86"/>
    <w:basedOn w:val="Normln"/>
    <w:rsid w:val="0058489A"/>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right"/>
      <w:textAlignment w:val="center"/>
    </w:pPr>
    <w:rPr>
      <w:szCs w:val="24"/>
    </w:rPr>
  </w:style>
  <w:style w:type="paragraph" w:customStyle="1" w:styleId="xl87">
    <w:name w:val="xl87"/>
    <w:basedOn w:val="Normln"/>
    <w:rsid w:val="0058489A"/>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right"/>
      <w:textAlignment w:val="center"/>
    </w:pPr>
    <w:rPr>
      <w:szCs w:val="24"/>
    </w:rPr>
  </w:style>
  <w:style w:type="paragraph" w:customStyle="1" w:styleId="xl88">
    <w:name w:val="xl88"/>
    <w:basedOn w:val="Normln"/>
    <w:rsid w:val="0058489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Cs w:val="24"/>
    </w:rPr>
  </w:style>
  <w:style w:type="paragraph" w:customStyle="1" w:styleId="Odstavecnormln">
    <w:name w:val="Odstavec normální"/>
    <w:basedOn w:val="Normln"/>
    <w:link w:val="OdstavecnormlnChar"/>
    <w:qFormat/>
    <w:rsid w:val="00BA1E8F"/>
    <w:pPr>
      <w:spacing w:after="120"/>
    </w:pPr>
  </w:style>
  <w:style w:type="character" w:customStyle="1" w:styleId="OdstavecnormlnChar">
    <w:name w:val="Odstavec normální Char"/>
    <w:basedOn w:val="Standardnpsmoodstavce"/>
    <w:link w:val="Odstavecnormln"/>
    <w:rsid w:val="00BA1E8F"/>
    <w:rPr>
      <w:rFonts w:ascii="Times New Roman" w:eastAsia="Times New Roman" w:hAnsi="Times New Roman" w:cs="Times New Roman"/>
      <w:sz w:val="24"/>
      <w:szCs w:val="20"/>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972C0"/>
    <w:pPr>
      <w:spacing w:after="240" w:line="360" w:lineRule="auto"/>
      <w:jc w:val="both"/>
    </w:pPr>
    <w:rPr>
      <w:rFonts w:ascii="Times New Roman" w:eastAsia="Times New Roman" w:hAnsi="Times New Roman" w:cs="Times New Roman"/>
      <w:sz w:val="24"/>
      <w:szCs w:val="20"/>
      <w:lang w:eastAsia="cs-CZ"/>
    </w:rPr>
  </w:style>
  <w:style w:type="paragraph" w:styleId="Nadpis1">
    <w:name w:val="heading 1"/>
    <w:basedOn w:val="Normln"/>
    <w:next w:val="Nadpis2"/>
    <w:link w:val="Nadpis1Char"/>
    <w:uiPriority w:val="99"/>
    <w:qFormat/>
    <w:rsid w:val="00FE6E53"/>
    <w:pPr>
      <w:keepNext/>
      <w:numPr>
        <w:numId w:val="1"/>
      </w:numPr>
      <w:spacing w:before="480" w:after="120" w:line="240" w:lineRule="auto"/>
      <w:ind w:left="357" w:hanging="357"/>
      <w:jc w:val="left"/>
      <w:outlineLvl w:val="0"/>
    </w:pPr>
    <w:rPr>
      <w:b/>
      <w:bCs/>
      <w:sz w:val="32"/>
      <w:szCs w:val="32"/>
    </w:rPr>
  </w:style>
  <w:style w:type="paragraph" w:styleId="Nadpis2">
    <w:name w:val="heading 2"/>
    <w:basedOn w:val="Normln"/>
    <w:next w:val="Nadpis3"/>
    <w:link w:val="Nadpis2Char"/>
    <w:uiPriority w:val="99"/>
    <w:qFormat/>
    <w:rsid w:val="00FE6E53"/>
    <w:pPr>
      <w:keepNext/>
      <w:numPr>
        <w:ilvl w:val="1"/>
        <w:numId w:val="1"/>
      </w:numPr>
      <w:spacing w:before="360" w:after="120"/>
      <w:jc w:val="left"/>
      <w:outlineLvl w:val="1"/>
    </w:pPr>
    <w:rPr>
      <w:b/>
      <w:bCs/>
      <w:sz w:val="28"/>
      <w:szCs w:val="28"/>
    </w:rPr>
  </w:style>
  <w:style w:type="paragraph" w:styleId="Nadpis3">
    <w:name w:val="heading 3"/>
    <w:basedOn w:val="Normln"/>
    <w:next w:val="Nadpis4"/>
    <w:link w:val="Nadpis3Char"/>
    <w:uiPriority w:val="99"/>
    <w:qFormat/>
    <w:rsid w:val="004510C0"/>
    <w:pPr>
      <w:keepNext/>
      <w:numPr>
        <w:ilvl w:val="2"/>
        <w:numId w:val="1"/>
      </w:numPr>
      <w:tabs>
        <w:tab w:val="left" w:pos="1304"/>
        <w:tab w:val="left" w:pos="1361"/>
      </w:tabs>
      <w:spacing w:before="360" w:after="120" w:line="240" w:lineRule="auto"/>
      <w:jc w:val="left"/>
      <w:outlineLvl w:val="2"/>
    </w:pPr>
    <w:rPr>
      <w:rFonts w:cs="Arial"/>
      <w:bCs/>
      <w:szCs w:val="26"/>
    </w:rPr>
  </w:style>
  <w:style w:type="paragraph" w:styleId="Nadpis4">
    <w:name w:val="heading 4"/>
    <w:basedOn w:val="Normln"/>
    <w:next w:val="Nadpis5"/>
    <w:link w:val="Nadpis4Char"/>
    <w:uiPriority w:val="99"/>
    <w:qFormat/>
    <w:rsid w:val="004510C0"/>
    <w:pPr>
      <w:keepNext/>
      <w:numPr>
        <w:ilvl w:val="3"/>
        <w:numId w:val="1"/>
      </w:numPr>
      <w:spacing w:before="360" w:after="120" w:line="240" w:lineRule="auto"/>
      <w:jc w:val="left"/>
      <w:outlineLvl w:val="3"/>
    </w:pPr>
    <w:rPr>
      <w:bCs/>
      <w:szCs w:val="28"/>
    </w:rPr>
  </w:style>
  <w:style w:type="paragraph" w:styleId="Nadpis5">
    <w:name w:val="heading 5"/>
    <w:basedOn w:val="Normln"/>
    <w:next w:val="Normln"/>
    <w:link w:val="Nadpis5Char"/>
    <w:uiPriority w:val="99"/>
    <w:qFormat/>
    <w:rsid w:val="004510C0"/>
    <w:pPr>
      <w:keepNext/>
      <w:numPr>
        <w:ilvl w:val="4"/>
        <w:numId w:val="1"/>
      </w:numPr>
      <w:spacing w:before="360" w:after="120" w:line="240" w:lineRule="auto"/>
      <w:jc w:val="left"/>
      <w:outlineLvl w:val="4"/>
    </w:pPr>
    <w:rPr>
      <w:bCs/>
      <w:szCs w:val="24"/>
    </w:rPr>
  </w:style>
  <w:style w:type="paragraph" w:styleId="Nadpis6">
    <w:name w:val="heading 6"/>
    <w:aliases w:val="Nadpis obrázku"/>
    <w:basedOn w:val="Normln"/>
    <w:next w:val="Normln"/>
    <w:link w:val="Nadpis6Char"/>
    <w:uiPriority w:val="99"/>
    <w:qFormat/>
    <w:rsid w:val="004510C0"/>
    <w:pPr>
      <w:keepNext/>
      <w:numPr>
        <w:ilvl w:val="5"/>
        <w:numId w:val="1"/>
      </w:numPr>
      <w:spacing w:after="120" w:line="240" w:lineRule="auto"/>
      <w:jc w:val="center"/>
      <w:outlineLvl w:val="5"/>
    </w:pPr>
    <w:rPr>
      <w:b/>
      <w:bCs/>
      <w:szCs w:val="24"/>
    </w:rPr>
  </w:style>
  <w:style w:type="paragraph" w:styleId="Nadpis7">
    <w:name w:val="heading 7"/>
    <w:basedOn w:val="Normln"/>
    <w:next w:val="Normln"/>
    <w:link w:val="Nadpis7Char"/>
    <w:uiPriority w:val="99"/>
    <w:qFormat/>
    <w:rsid w:val="004510C0"/>
    <w:pPr>
      <w:keepNext/>
      <w:numPr>
        <w:ilvl w:val="6"/>
        <w:numId w:val="1"/>
      </w:numPr>
      <w:spacing w:after="120" w:line="240" w:lineRule="auto"/>
      <w:jc w:val="center"/>
      <w:outlineLvl w:val="6"/>
    </w:pPr>
  </w:style>
  <w:style w:type="paragraph" w:styleId="Nadpis8">
    <w:name w:val="heading 8"/>
    <w:basedOn w:val="Normln"/>
    <w:next w:val="Normln"/>
    <w:link w:val="Nadpis8Char"/>
    <w:uiPriority w:val="99"/>
    <w:qFormat/>
    <w:rsid w:val="004510C0"/>
    <w:pPr>
      <w:keepNext/>
      <w:keepLines/>
      <w:numPr>
        <w:ilvl w:val="7"/>
        <w:numId w:val="1"/>
      </w:numPr>
      <w:spacing w:before="200" w:after="0" w:line="240" w:lineRule="auto"/>
      <w:outlineLvl w:val="7"/>
    </w:pPr>
    <w:rPr>
      <w:rFonts w:ascii="Cambria" w:hAnsi="Cambria"/>
      <w:color w:val="404040"/>
      <w:sz w:val="20"/>
    </w:rPr>
  </w:style>
  <w:style w:type="paragraph" w:styleId="Nadpis9">
    <w:name w:val="heading 9"/>
    <w:basedOn w:val="Normln"/>
    <w:next w:val="Normln"/>
    <w:link w:val="Nadpis9Char"/>
    <w:uiPriority w:val="99"/>
    <w:qFormat/>
    <w:rsid w:val="004510C0"/>
    <w:pPr>
      <w:keepNext/>
      <w:keepLines/>
      <w:numPr>
        <w:ilvl w:val="8"/>
        <w:numId w:val="1"/>
      </w:numPr>
      <w:spacing w:before="200" w:after="0" w:line="240" w:lineRule="auto"/>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972C0"/>
    <w:pPr>
      <w:tabs>
        <w:tab w:val="center" w:pos="4536"/>
        <w:tab w:val="right" w:pos="9072"/>
      </w:tabs>
      <w:spacing w:after="0"/>
    </w:pPr>
  </w:style>
  <w:style w:type="character" w:customStyle="1" w:styleId="ZhlavChar">
    <w:name w:val="Záhlaví Char"/>
    <w:basedOn w:val="Standardnpsmoodstavce"/>
    <w:link w:val="Zhlav"/>
    <w:uiPriority w:val="99"/>
    <w:rsid w:val="00F972C0"/>
    <w:rPr>
      <w:rFonts w:ascii="Times New Roman" w:eastAsia="Times New Roman" w:hAnsi="Times New Roman" w:cs="Times New Roman"/>
      <w:sz w:val="24"/>
      <w:szCs w:val="20"/>
      <w:lang w:eastAsia="cs-CZ"/>
    </w:rPr>
  </w:style>
  <w:style w:type="paragraph" w:styleId="Zpat">
    <w:name w:val="footer"/>
    <w:basedOn w:val="Normln"/>
    <w:link w:val="ZpatChar"/>
    <w:uiPriority w:val="99"/>
    <w:unhideWhenUsed/>
    <w:rsid w:val="00F972C0"/>
    <w:pPr>
      <w:tabs>
        <w:tab w:val="center" w:pos="4536"/>
        <w:tab w:val="right" w:pos="9072"/>
      </w:tabs>
      <w:spacing w:after="0"/>
    </w:pPr>
  </w:style>
  <w:style w:type="character" w:customStyle="1" w:styleId="ZpatChar">
    <w:name w:val="Zápatí Char"/>
    <w:basedOn w:val="Standardnpsmoodstavce"/>
    <w:link w:val="Zpat"/>
    <w:uiPriority w:val="99"/>
    <w:rsid w:val="00F972C0"/>
    <w:rPr>
      <w:rFonts w:ascii="Times New Roman" w:eastAsia="Times New Roman" w:hAnsi="Times New Roman" w:cs="Times New Roman"/>
      <w:sz w:val="24"/>
      <w:szCs w:val="20"/>
      <w:lang w:eastAsia="cs-CZ"/>
    </w:rPr>
  </w:style>
  <w:style w:type="character" w:styleId="Zstupntext">
    <w:name w:val="Placeholder Text"/>
    <w:basedOn w:val="Standardnpsmoodstavce"/>
    <w:uiPriority w:val="99"/>
    <w:semiHidden/>
    <w:rsid w:val="00F972C0"/>
    <w:rPr>
      <w:color w:val="808080"/>
    </w:rPr>
  </w:style>
  <w:style w:type="character" w:styleId="Hypertextovodkaz">
    <w:name w:val="Hyperlink"/>
    <w:basedOn w:val="Standardnpsmoodstavce"/>
    <w:uiPriority w:val="99"/>
    <w:rsid w:val="00F972C0"/>
    <w:rPr>
      <w:rFonts w:ascii="Times New Roman" w:hAnsi="Times New Roman"/>
      <w:color w:val="0000FF"/>
      <w:sz w:val="24"/>
      <w:u w:val="single"/>
    </w:rPr>
  </w:style>
  <w:style w:type="paragraph" w:styleId="Nzev">
    <w:name w:val="Title"/>
    <w:basedOn w:val="Normln"/>
    <w:link w:val="NzevChar"/>
    <w:uiPriority w:val="99"/>
    <w:qFormat/>
    <w:rsid w:val="00F972C0"/>
    <w:pPr>
      <w:spacing w:after="0" w:line="240" w:lineRule="auto"/>
      <w:jc w:val="center"/>
    </w:pPr>
    <w:rPr>
      <w:b/>
      <w:sz w:val="72"/>
    </w:rPr>
  </w:style>
  <w:style w:type="character" w:customStyle="1" w:styleId="NzevChar">
    <w:name w:val="Název Char"/>
    <w:basedOn w:val="Standardnpsmoodstavce"/>
    <w:link w:val="Nzev"/>
    <w:uiPriority w:val="99"/>
    <w:rsid w:val="00F972C0"/>
    <w:rPr>
      <w:rFonts w:ascii="Times New Roman" w:eastAsia="Times New Roman" w:hAnsi="Times New Roman" w:cs="Times New Roman"/>
      <w:b/>
      <w:sz w:val="72"/>
      <w:szCs w:val="20"/>
      <w:lang w:eastAsia="cs-CZ"/>
    </w:rPr>
  </w:style>
  <w:style w:type="paragraph" w:customStyle="1" w:styleId="Formul">
    <w:name w:val="Formulář"/>
    <w:qFormat/>
    <w:rsid w:val="00F972C0"/>
    <w:pPr>
      <w:spacing w:after="0" w:line="240" w:lineRule="auto"/>
      <w:jc w:val="center"/>
    </w:pPr>
    <w:rPr>
      <w:rFonts w:ascii="Verdana" w:eastAsia="Times New Roman" w:hAnsi="Verdana" w:cs="Times New Roman"/>
      <w:b/>
      <w:bCs/>
      <w:caps/>
      <w:sz w:val="20"/>
      <w:szCs w:val="20"/>
      <w:lang w:eastAsia="cs-CZ"/>
    </w:rPr>
  </w:style>
  <w:style w:type="paragraph" w:styleId="Textbubliny">
    <w:name w:val="Balloon Text"/>
    <w:basedOn w:val="Normln"/>
    <w:link w:val="TextbublinyChar"/>
    <w:uiPriority w:val="99"/>
    <w:semiHidden/>
    <w:unhideWhenUsed/>
    <w:rsid w:val="00F972C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972C0"/>
    <w:rPr>
      <w:rFonts w:ascii="Tahoma" w:eastAsia="Times New Roman" w:hAnsi="Tahoma" w:cs="Tahoma"/>
      <w:sz w:val="16"/>
      <w:szCs w:val="16"/>
      <w:lang w:eastAsia="cs-CZ"/>
    </w:rPr>
  </w:style>
  <w:style w:type="character" w:customStyle="1" w:styleId="Nadpis1Char">
    <w:name w:val="Nadpis 1 Char"/>
    <w:basedOn w:val="Standardnpsmoodstavce"/>
    <w:link w:val="Nadpis1"/>
    <w:uiPriority w:val="99"/>
    <w:rsid w:val="00FE6E53"/>
    <w:rPr>
      <w:rFonts w:ascii="Times New Roman" w:eastAsia="Times New Roman" w:hAnsi="Times New Roman" w:cs="Times New Roman"/>
      <w:b/>
      <w:bCs/>
      <w:sz w:val="32"/>
      <w:szCs w:val="32"/>
      <w:lang w:eastAsia="cs-CZ"/>
    </w:rPr>
  </w:style>
  <w:style w:type="character" w:customStyle="1" w:styleId="Nadpis2Char">
    <w:name w:val="Nadpis 2 Char"/>
    <w:basedOn w:val="Standardnpsmoodstavce"/>
    <w:link w:val="Nadpis2"/>
    <w:uiPriority w:val="99"/>
    <w:rsid w:val="00FE6E53"/>
    <w:rPr>
      <w:rFonts w:ascii="Times New Roman" w:eastAsia="Times New Roman" w:hAnsi="Times New Roman" w:cs="Times New Roman"/>
      <w:b/>
      <w:bCs/>
      <w:sz w:val="28"/>
      <w:szCs w:val="28"/>
      <w:lang w:eastAsia="cs-CZ"/>
    </w:rPr>
  </w:style>
  <w:style w:type="character" w:customStyle="1" w:styleId="Nadpis3Char">
    <w:name w:val="Nadpis 3 Char"/>
    <w:basedOn w:val="Standardnpsmoodstavce"/>
    <w:link w:val="Nadpis3"/>
    <w:uiPriority w:val="99"/>
    <w:rsid w:val="004510C0"/>
    <w:rPr>
      <w:rFonts w:ascii="Times New Roman" w:eastAsia="Times New Roman" w:hAnsi="Times New Roman" w:cs="Arial"/>
      <w:bCs/>
      <w:sz w:val="24"/>
      <w:szCs w:val="26"/>
      <w:lang w:eastAsia="cs-CZ"/>
    </w:rPr>
  </w:style>
  <w:style w:type="character" w:customStyle="1" w:styleId="Nadpis4Char">
    <w:name w:val="Nadpis 4 Char"/>
    <w:basedOn w:val="Standardnpsmoodstavce"/>
    <w:link w:val="Nadpis4"/>
    <w:uiPriority w:val="9"/>
    <w:rsid w:val="004510C0"/>
    <w:rPr>
      <w:rFonts w:ascii="Times New Roman" w:eastAsia="Times New Roman" w:hAnsi="Times New Roman" w:cs="Times New Roman"/>
      <w:bCs/>
      <w:sz w:val="24"/>
      <w:szCs w:val="28"/>
      <w:lang w:eastAsia="cs-CZ"/>
    </w:rPr>
  </w:style>
  <w:style w:type="character" w:customStyle="1" w:styleId="Nadpis5Char">
    <w:name w:val="Nadpis 5 Char"/>
    <w:basedOn w:val="Standardnpsmoodstavce"/>
    <w:link w:val="Nadpis5"/>
    <w:uiPriority w:val="9"/>
    <w:rsid w:val="004510C0"/>
    <w:rPr>
      <w:rFonts w:ascii="Times New Roman" w:eastAsia="Times New Roman" w:hAnsi="Times New Roman" w:cs="Times New Roman"/>
      <w:bCs/>
      <w:sz w:val="24"/>
      <w:szCs w:val="24"/>
      <w:lang w:eastAsia="cs-CZ"/>
    </w:rPr>
  </w:style>
  <w:style w:type="character" w:customStyle="1" w:styleId="Nadpis6Char">
    <w:name w:val="Nadpis 6 Char"/>
    <w:aliases w:val="Nadpis obrázku Char"/>
    <w:basedOn w:val="Standardnpsmoodstavce"/>
    <w:link w:val="Nadpis6"/>
    <w:uiPriority w:val="9"/>
    <w:rsid w:val="004510C0"/>
    <w:rPr>
      <w:rFonts w:ascii="Times New Roman" w:eastAsia="Times New Roman" w:hAnsi="Times New Roman" w:cs="Times New Roman"/>
      <w:b/>
      <w:bCs/>
      <w:sz w:val="24"/>
      <w:szCs w:val="24"/>
      <w:lang w:eastAsia="cs-CZ"/>
    </w:rPr>
  </w:style>
  <w:style w:type="character" w:customStyle="1" w:styleId="Nadpis7Char">
    <w:name w:val="Nadpis 7 Char"/>
    <w:basedOn w:val="Standardnpsmoodstavce"/>
    <w:link w:val="Nadpis7"/>
    <w:uiPriority w:val="9"/>
    <w:rsid w:val="004510C0"/>
    <w:rPr>
      <w:rFonts w:ascii="Times New Roman" w:eastAsia="Times New Roman" w:hAnsi="Times New Roman" w:cs="Times New Roman"/>
      <w:sz w:val="24"/>
      <w:szCs w:val="20"/>
      <w:lang w:eastAsia="cs-CZ"/>
    </w:rPr>
  </w:style>
  <w:style w:type="character" w:customStyle="1" w:styleId="Nadpis8Char">
    <w:name w:val="Nadpis 8 Char"/>
    <w:basedOn w:val="Standardnpsmoodstavce"/>
    <w:link w:val="Nadpis8"/>
    <w:uiPriority w:val="99"/>
    <w:rsid w:val="004510C0"/>
    <w:rPr>
      <w:rFonts w:ascii="Cambria" w:eastAsia="Times New Roman" w:hAnsi="Cambria" w:cs="Times New Roman"/>
      <w:color w:val="404040"/>
      <w:sz w:val="20"/>
      <w:szCs w:val="20"/>
      <w:lang w:eastAsia="cs-CZ"/>
    </w:rPr>
  </w:style>
  <w:style w:type="character" w:customStyle="1" w:styleId="Nadpis9Char">
    <w:name w:val="Nadpis 9 Char"/>
    <w:basedOn w:val="Standardnpsmoodstavce"/>
    <w:link w:val="Nadpis9"/>
    <w:uiPriority w:val="99"/>
    <w:rsid w:val="004510C0"/>
    <w:rPr>
      <w:rFonts w:ascii="Cambria" w:eastAsia="Times New Roman" w:hAnsi="Cambria" w:cs="Times New Roman"/>
      <w:i/>
      <w:iCs/>
      <w:color w:val="404040"/>
      <w:sz w:val="20"/>
      <w:szCs w:val="20"/>
      <w:lang w:eastAsia="cs-CZ"/>
    </w:rPr>
  </w:style>
  <w:style w:type="paragraph" w:styleId="Textpoznpodarou">
    <w:name w:val="footnote text"/>
    <w:aliases w:val="Text pozn. pod čarou Char Char Char Char,Text pozn. pod čarou Char Char Char"/>
    <w:basedOn w:val="Normln"/>
    <w:link w:val="TextpoznpodarouChar"/>
    <w:semiHidden/>
    <w:rsid w:val="004510C0"/>
    <w:pPr>
      <w:tabs>
        <w:tab w:val="left" w:pos="227"/>
      </w:tabs>
      <w:spacing w:after="0" w:line="240" w:lineRule="auto"/>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uiPriority w:val="99"/>
    <w:rsid w:val="004510C0"/>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4510C0"/>
    <w:rPr>
      <w:rFonts w:cs="Times New Roman"/>
      <w:vertAlign w:val="superscript"/>
    </w:rPr>
  </w:style>
  <w:style w:type="paragraph" w:styleId="Obsah2">
    <w:name w:val="toc 2"/>
    <w:basedOn w:val="Normln"/>
    <w:next w:val="Normln"/>
    <w:autoRedefine/>
    <w:uiPriority w:val="39"/>
    <w:rsid w:val="004510C0"/>
    <w:pPr>
      <w:tabs>
        <w:tab w:val="left" w:pos="880"/>
        <w:tab w:val="right" w:leader="dot" w:pos="8494"/>
      </w:tabs>
      <w:spacing w:after="100" w:line="276" w:lineRule="auto"/>
      <w:ind w:left="681" w:hanging="397"/>
      <w:jc w:val="left"/>
    </w:pPr>
    <w:rPr>
      <w:noProof/>
      <w:sz w:val="22"/>
      <w:szCs w:val="22"/>
      <w:lang w:eastAsia="en-US"/>
    </w:rPr>
  </w:style>
  <w:style w:type="paragraph" w:styleId="Obsah1">
    <w:name w:val="toc 1"/>
    <w:basedOn w:val="Normln"/>
    <w:next w:val="Normln"/>
    <w:autoRedefine/>
    <w:uiPriority w:val="39"/>
    <w:rsid w:val="004510C0"/>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rsid w:val="004510C0"/>
    <w:pPr>
      <w:tabs>
        <w:tab w:val="left" w:pos="1320"/>
        <w:tab w:val="right" w:leader="dot" w:pos="8494"/>
      </w:tabs>
      <w:spacing w:after="100" w:line="276" w:lineRule="auto"/>
      <w:ind w:left="1389" w:hanging="680"/>
      <w:jc w:val="left"/>
    </w:pPr>
    <w:rPr>
      <w:sz w:val="22"/>
      <w:szCs w:val="22"/>
      <w:lang w:eastAsia="en-US"/>
    </w:rPr>
  </w:style>
  <w:style w:type="paragraph" w:styleId="Zkladntext">
    <w:name w:val="Body Text"/>
    <w:basedOn w:val="Normln"/>
    <w:link w:val="ZkladntextChar"/>
    <w:uiPriority w:val="99"/>
    <w:rsid w:val="004510C0"/>
    <w:pPr>
      <w:spacing w:after="0" w:line="240" w:lineRule="auto"/>
    </w:pPr>
  </w:style>
  <w:style w:type="character" w:customStyle="1" w:styleId="ZkladntextChar">
    <w:name w:val="Základní text Char"/>
    <w:basedOn w:val="Standardnpsmoodstavce"/>
    <w:link w:val="Zkladntext"/>
    <w:uiPriority w:val="99"/>
    <w:rsid w:val="004510C0"/>
    <w:rPr>
      <w:rFonts w:ascii="Times New Roman" w:eastAsia="Times New Roman" w:hAnsi="Times New Roman" w:cs="Times New Roman"/>
      <w:sz w:val="24"/>
      <w:szCs w:val="20"/>
      <w:lang w:eastAsia="cs-CZ"/>
    </w:rPr>
  </w:style>
  <w:style w:type="numbering" w:customStyle="1" w:styleId="Odrky">
    <w:name w:val="Odrážky"/>
    <w:uiPriority w:val="99"/>
    <w:rsid w:val="004510C0"/>
    <w:pPr>
      <w:numPr>
        <w:numId w:val="6"/>
      </w:numPr>
    </w:pPr>
  </w:style>
  <w:style w:type="paragraph" w:styleId="Odstavecseseznamem">
    <w:name w:val="List Paragraph"/>
    <w:basedOn w:val="Normln"/>
    <w:uiPriority w:val="34"/>
    <w:qFormat/>
    <w:rsid w:val="004510C0"/>
    <w:pPr>
      <w:spacing w:after="120" w:line="240" w:lineRule="auto"/>
      <w:ind w:left="720"/>
      <w:contextualSpacing/>
    </w:pPr>
  </w:style>
  <w:style w:type="paragraph" w:customStyle="1" w:styleId="Odrka1stupn">
    <w:name w:val="Odrážka 1. stupně"/>
    <w:basedOn w:val="Normln"/>
    <w:uiPriority w:val="99"/>
    <w:rsid w:val="00DE135F"/>
    <w:pPr>
      <w:numPr>
        <w:numId w:val="11"/>
      </w:numPr>
      <w:spacing w:after="0"/>
      <w:ind w:left="1066" w:hanging="357"/>
    </w:pPr>
    <w:rPr>
      <w:color w:val="000000"/>
    </w:rPr>
  </w:style>
  <w:style w:type="paragraph" w:customStyle="1" w:styleId="Nzvytabulekaobrzk">
    <w:name w:val="Názvy tabulek a obrázků"/>
    <w:basedOn w:val="Normln"/>
    <w:link w:val="NzvytabulekaobrzkChar"/>
    <w:qFormat/>
    <w:rsid w:val="00BF028E"/>
    <w:pPr>
      <w:spacing w:after="120"/>
    </w:pPr>
    <w:rPr>
      <w:color w:val="000000"/>
      <w:sz w:val="20"/>
      <w:u w:val="single"/>
    </w:rPr>
  </w:style>
  <w:style w:type="character" w:customStyle="1" w:styleId="NzvytabulekaobrzkChar">
    <w:name w:val="Názvy tabulek a obrázků Char"/>
    <w:basedOn w:val="Standardnpsmoodstavce"/>
    <w:link w:val="Nzvytabulekaobrzk"/>
    <w:rsid w:val="00BF028E"/>
    <w:rPr>
      <w:rFonts w:ascii="Times New Roman" w:eastAsia="Times New Roman" w:hAnsi="Times New Roman" w:cs="Times New Roman"/>
      <w:color w:val="000000"/>
      <w:sz w:val="20"/>
      <w:szCs w:val="20"/>
      <w:u w:val="single"/>
      <w:lang w:eastAsia="cs-CZ"/>
    </w:rPr>
  </w:style>
  <w:style w:type="paragraph" w:customStyle="1" w:styleId="Textodstavce">
    <w:name w:val="Text odstavce"/>
    <w:basedOn w:val="Normln"/>
    <w:link w:val="TextodstavceChar"/>
    <w:uiPriority w:val="99"/>
    <w:rsid w:val="005B5E23"/>
    <w:pPr>
      <w:spacing w:after="120"/>
    </w:pPr>
    <w:rPr>
      <w:color w:val="000000"/>
    </w:rPr>
  </w:style>
  <w:style w:type="character" w:customStyle="1" w:styleId="TextodstavceChar">
    <w:name w:val="Text odstavce Char"/>
    <w:basedOn w:val="Standardnpsmoodstavce"/>
    <w:link w:val="Textodstavce"/>
    <w:uiPriority w:val="99"/>
    <w:locked/>
    <w:rsid w:val="005B5E23"/>
    <w:rPr>
      <w:rFonts w:ascii="Times New Roman" w:eastAsia="Times New Roman" w:hAnsi="Times New Roman" w:cs="Times New Roman"/>
      <w:color w:val="000000"/>
      <w:sz w:val="24"/>
      <w:szCs w:val="20"/>
      <w:lang w:eastAsia="cs-CZ"/>
    </w:rPr>
  </w:style>
  <w:style w:type="paragraph" w:customStyle="1" w:styleId="Seznamtypa">
    <w:name w:val="Seznam typ=a"/>
    <w:basedOn w:val="Normln"/>
    <w:uiPriority w:val="99"/>
    <w:rsid w:val="005B5E23"/>
    <w:pPr>
      <w:tabs>
        <w:tab w:val="num" w:pos="360"/>
      </w:tabs>
      <w:spacing w:after="120"/>
      <w:ind w:left="360" w:hanging="360"/>
    </w:pPr>
    <w:rPr>
      <w:color w:val="000000"/>
      <w:lang w:eastAsia="en-US"/>
    </w:rPr>
  </w:style>
  <w:style w:type="paragraph" w:styleId="Seznam">
    <w:name w:val="List"/>
    <w:aliases w:val="číslovaný"/>
    <w:basedOn w:val="Normln"/>
    <w:uiPriority w:val="99"/>
    <w:rsid w:val="005B5E23"/>
    <w:pPr>
      <w:tabs>
        <w:tab w:val="num" w:pos="360"/>
      </w:tabs>
      <w:spacing w:after="120"/>
      <w:ind w:left="357" w:hanging="357"/>
    </w:pPr>
    <w:rPr>
      <w:color w:val="000000"/>
    </w:rPr>
  </w:style>
  <w:style w:type="character" w:styleId="slostrnky">
    <w:name w:val="page number"/>
    <w:basedOn w:val="Standardnpsmoodstavce"/>
    <w:uiPriority w:val="99"/>
    <w:rsid w:val="005B5E23"/>
    <w:rPr>
      <w:rFonts w:ascii="Times New Roman" w:hAnsi="Times New Roman" w:cs="Times New Roman"/>
      <w:sz w:val="24"/>
    </w:rPr>
  </w:style>
  <w:style w:type="paragraph" w:customStyle="1" w:styleId="Tabulka-text">
    <w:name w:val="Tabulka - text"/>
    <w:basedOn w:val="Normln"/>
    <w:uiPriority w:val="99"/>
    <w:rsid w:val="005B5E23"/>
    <w:pPr>
      <w:spacing w:after="0"/>
      <w:jc w:val="center"/>
    </w:pPr>
    <w:rPr>
      <w:color w:val="000000"/>
      <w:sz w:val="22"/>
    </w:rPr>
  </w:style>
  <w:style w:type="paragraph" w:customStyle="1" w:styleId="Seznamliteratury">
    <w:name w:val="Seznam literatury"/>
    <w:basedOn w:val="Seznamtypa"/>
    <w:uiPriority w:val="99"/>
    <w:rsid w:val="005B5E23"/>
    <w:pPr>
      <w:spacing w:after="0"/>
      <w:ind w:left="357" w:hanging="357"/>
    </w:pPr>
  </w:style>
  <w:style w:type="paragraph" w:customStyle="1" w:styleId="Tabulka">
    <w:name w:val="Tabulka"/>
    <w:aliases w:val="graf,obrázek - číslo"/>
    <w:basedOn w:val="Tabulka-text"/>
    <w:next w:val="Tabulka-text"/>
    <w:uiPriority w:val="99"/>
    <w:rsid w:val="005B5E23"/>
    <w:pPr>
      <w:spacing w:before="360" w:after="120"/>
      <w:jc w:val="left"/>
    </w:pPr>
    <w:rPr>
      <w:sz w:val="20"/>
    </w:rPr>
  </w:style>
  <w:style w:type="paragraph" w:customStyle="1" w:styleId="Tabulka-pramen">
    <w:name w:val="Tabulka - pramen"/>
    <w:aliases w:val="legenda"/>
    <w:basedOn w:val="Normln"/>
    <w:uiPriority w:val="99"/>
    <w:rsid w:val="005B5E23"/>
    <w:pPr>
      <w:spacing w:before="120"/>
      <w:jc w:val="left"/>
    </w:pPr>
    <w:rPr>
      <w:bCs/>
      <w:color w:val="000000"/>
      <w:sz w:val="20"/>
    </w:rPr>
  </w:style>
  <w:style w:type="paragraph" w:customStyle="1" w:styleId="Odstavecprograf">
    <w:name w:val="Odstavec pro graf"/>
    <w:basedOn w:val="Normln"/>
    <w:uiPriority w:val="99"/>
    <w:rsid w:val="005B5E23"/>
    <w:pPr>
      <w:spacing w:after="120"/>
    </w:pPr>
    <w:rPr>
      <w:color w:val="000000"/>
      <w:sz w:val="20"/>
    </w:rPr>
  </w:style>
  <w:style w:type="paragraph" w:customStyle="1" w:styleId="Odrka3stupn">
    <w:name w:val="Odrážka 3. stupně"/>
    <w:basedOn w:val="Normln"/>
    <w:uiPriority w:val="99"/>
    <w:rsid w:val="005B5E23"/>
    <w:pPr>
      <w:numPr>
        <w:numId w:val="14"/>
      </w:numPr>
      <w:spacing w:after="120"/>
    </w:pPr>
    <w:rPr>
      <w:color w:val="000000"/>
    </w:rPr>
  </w:style>
  <w:style w:type="paragraph" w:customStyle="1" w:styleId="Zdroj">
    <w:name w:val="Zdroj"/>
    <w:basedOn w:val="Normln"/>
    <w:uiPriority w:val="99"/>
    <w:rsid w:val="005B5E23"/>
    <w:pPr>
      <w:spacing w:after="120"/>
      <w:jc w:val="left"/>
    </w:pPr>
    <w:rPr>
      <w:color w:val="000000"/>
      <w:sz w:val="20"/>
    </w:rPr>
  </w:style>
  <w:style w:type="paragraph" w:customStyle="1" w:styleId="Keywords">
    <w:name w:val="Key words"/>
    <w:basedOn w:val="Normln"/>
    <w:uiPriority w:val="99"/>
    <w:rsid w:val="005B5E23"/>
    <w:pPr>
      <w:tabs>
        <w:tab w:val="num" w:pos="1304"/>
      </w:tabs>
      <w:spacing w:after="120"/>
      <w:ind w:left="1304" w:hanging="1304"/>
    </w:pPr>
    <w:rPr>
      <w:color w:val="000000"/>
      <w:szCs w:val="24"/>
      <w:lang w:val="en-US"/>
    </w:rPr>
  </w:style>
  <w:style w:type="paragraph" w:customStyle="1" w:styleId="Klovslova">
    <w:name w:val="Klíčová slova:"/>
    <w:basedOn w:val="Normln"/>
    <w:uiPriority w:val="99"/>
    <w:rsid w:val="005B5E23"/>
    <w:pPr>
      <w:tabs>
        <w:tab w:val="num" w:pos="1531"/>
      </w:tabs>
      <w:spacing w:after="360"/>
      <w:ind w:left="1531" w:hanging="1531"/>
    </w:pPr>
    <w:rPr>
      <w:color w:val="000000"/>
      <w:szCs w:val="24"/>
    </w:rPr>
  </w:style>
  <w:style w:type="paragraph" w:customStyle="1" w:styleId="ABSTRACT-nadpis">
    <w:name w:val="ABSTRACT - nadpis"/>
    <w:basedOn w:val="Normln"/>
    <w:uiPriority w:val="99"/>
    <w:rsid w:val="005B5E23"/>
    <w:pPr>
      <w:tabs>
        <w:tab w:val="num" w:pos="0"/>
      </w:tabs>
      <w:spacing w:before="240" w:after="120"/>
      <w:jc w:val="left"/>
    </w:pPr>
    <w:rPr>
      <w:b/>
      <w:color w:val="000000"/>
      <w:szCs w:val="24"/>
    </w:rPr>
  </w:style>
  <w:style w:type="paragraph" w:customStyle="1" w:styleId="Abstract-text">
    <w:name w:val="Abstract - text"/>
    <w:basedOn w:val="Normln"/>
    <w:uiPriority w:val="99"/>
    <w:rsid w:val="005B5E23"/>
    <w:pPr>
      <w:spacing w:after="120"/>
    </w:pPr>
    <w:rPr>
      <w:color w:val="000000"/>
      <w:szCs w:val="24"/>
      <w:lang w:val="en-US"/>
    </w:rPr>
  </w:style>
  <w:style w:type="paragraph" w:customStyle="1" w:styleId="JELclassification">
    <w:name w:val="JEL classification"/>
    <w:basedOn w:val="Normln"/>
    <w:uiPriority w:val="99"/>
    <w:rsid w:val="005B5E23"/>
    <w:pPr>
      <w:tabs>
        <w:tab w:val="num" w:pos="2041"/>
      </w:tabs>
      <w:spacing w:after="0"/>
      <w:ind w:left="2041" w:hanging="2041"/>
    </w:pPr>
    <w:rPr>
      <w:color w:val="000000"/>
      <w:szCs w:val="24"/>
      <w:lang w:val="en-US"/>
    </w:rPr>
  </w:style>
  <w:style w:type="paragraph" w:styleId="Nadpisobsahu">
    <w:name w:val="TOC Heading"/>
    <w:basedOn w:val="Nadpis1"/>
    <w:next w:val="Normln"/>
    <w:uiPriority w:val="39"/>
    <w:qFormat/>
    <w:rsid w:val="005B5E23"/>
    <w:pPr>
      <w:keepLines/>
      <w:numPr>
        <w:numId w:val="0"/>
      </w:numPr>
      <w:spacing w:after="0" w:line="276" w:lineRule="auto"/>
      <w:outlineLvl w:val="9"/>
    </w:pPr>
    <w:rPr>
      <w:color w:val="000000"/>
      <w:szCs w:val="28"/>
      <w:lang w:eastAsia="en-US"/>
    </w:rPr>
  </w:style>
  <w:style w:type="paragraph" w:customStyle="1" w:styleId="Odrka2stupn">
    <w:name w:val="Odrážka 2. stupně"/>
    <w:basedOn w:val="Normln"/>
    <w:uiPriority w:val="99"/>
    <w:rsid w:val="005B5E23"/>
    <w:pPr>
      <w:numPr>
        <w:numId w:val="13"/>
      </w:numPr>
      <w:spacing w:after="120"/>
      <w:ind w:left="1604" w:hanging="357"/>
    </w:pPr>
    <w:rPr>
      <w:color w:val="000000"/>
    </w:rPr>
  </w:style>
  <w:style w:type="table" w:styleId="Mkatabulky">
    <w:name w:val="Table Grid"/>
    <w:basedOn w:val="Normlntabulka"/>
    <w:uiPriority w:val="99"/>
    <w:rsid w:val="005B5E2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uiPriority w:val="99"/>
    <w:rsid w:val="005B5E23"/>
    <w:pPr>
      <w:spacing w:after="0"/>
    </w:pPr>
    <w:rPr>
      <w:color w:val="000000"/>
    </w:rPr>
  </w:style>
  <w:style w:type="character" w:customStyle="1" w:styleId="ZkladntextodsazenChar">
    <w:name w:val="Základní text odsazený Char"/>
    <w:basedOn w:val="Standardnpsmoodstavce"/>
    <w:link w:val="Zkladntextodsazen"/>
    <w:uiPriority w:val="99"/>
    <w:rsid w:val="005B5E23"/>
    <w:rPr>
      <w:rFonts w:ascii="Times New Roman" w:eastAsia="Times New Roman" w:hAnsi="Times New Roman" w:cs="Times New Roman"/>
      <w:color w:val="000000"/>
      <w:sz w:val="24"/>
      <w:szCs w:val="20"/>
      <w:lang w:eastAsia="cs-CZ"/>
    </w:rPr>
  </w:style>
  <w:style w:type="paragraph" w:styleId="Normlnweb">
    <w:name w:val="Normal (Web)"/>
    <w:basedOn w:val="Normln"/>
    <w:uiPriority w:val="99"/>
    <w:semiHidden/>
    <w:rsid w:val="005B5E23"/>
    <w:pPr>
      <w:spacing w:before="100" w:beforeAutospacing="1" w:after="100" w:afterAutospacing="1"/>
      <w:jc w:val="left"/>
    </w:pPr>
    <w:rPr>
      <w:color w:val="000000"/>
      <w:szCs w:val="24"/>
    </w:rPr>
  </w:style>
  <w:style w:type="paragraph" w:customStyle="1" w:styleId="Literatura-text">
    <w:name w:val="Literatura-text"/>
    <w:basedOn w:val="Normln"/>
    <w:uiPriority w:val="99"/>
    <w:rsid w:val="005B5E23"/>
    <w:pPr>
      <w:spacing w:after="120"/>
    </w:pPr>
    <w:rPr>
      <w:color w:val="000000"/>
      <w:sz w:val="22"/>
      <w:szCs w:val="22"/>
    </w:rPr>
  </w:style>
  <w:style w:type="paragraph" w:customStyle="1" w:styleId="Titulek-SEMINRNPRCE">
    <w:name w:val="Titulek - SEMINÁRNÍ PRÁCE"/>
    <w:basedOn w:val="Nzev"/>
    <w:link w:val="Titulek-SEMINRNPRCEChar"/>
    <w:uiPriority w:val="99"/>
    <w:rsid w:val="005B5E23"/>
    <w:pPr>
      <w:spacing w:line="360" w:lineRule="auto"/>
    </w:pPr>
    <w:rPr>
      <w:rFonts w:ascii="Verdana" w:hAnsi="Verdana"/>
      <w:color w:val="000000"/>
      <w:sz w:val="56"/>
      <w:szCs w:val="56"/>
    </w:rPr>
  </w:style>
  <w:style w:type="paragraph" w:customStyle="1" w:styleId="Titulek-SPECIALIZACE">
    <w:name w:val="Titulek - SPECIALIZACE"/>
    <w:basedOn w:val="Normln"/>
    <w:link w:val="Titulek-SPECIALIZACEChar"/>
    <w:uiPriority w:val="99"/>
    <w:rsid w:val="005B5E23"/>
    <w:pPr>
      <w:spacing w:after="0"/>
      <w:jc w:val="center"/>
    </w:pPr>
    <w:rPr>
      <w:rFonts w:ascii="Verdana" w:hAnsi="Verdana"/>
      <w:b/>
      <w:color w:val="000000"/>
      <w:sz w:val="36"/>
      <w:szCs w:val="36"/>
    </w:rPr>
  </w:style>
  <w:style w:type="character" w:customStyle="1" w:styleId="Titulek-SEMINRNPRCEChar">
    <w:name w:val="Titulek - SEMINÁRNÍ PRÁCE Char"/>
    <w:basedOn w:val="NzevChar"/>
    <w:link w:val="Titulek-SEMINRNPRCE"/>
    <w:uiPriority w:val="99"/>
    <w:locked/>
    <w:rsid w:val="005B5E23"/>
    <w:rPr>
      <w:rFonts w:ascii="Verdana" w:eastAsia="Times New Roman" w:hAnsi="Verdana" w:cs="Times New Roman"/>
      <w:b/>
      <w:color w:val="000000"/>
      <w:sz w:val="56"/>
      <w:szCs w:val="56"/>
      <w:lang w:eastAsia="cs-CZ"/>
    </w:rPr>
  </w:style>
  <w:style w:type="paragraph" w:customStyle="1" w:styleId="Titulnistrana-zhlavtabulky">
    <w:name w:val="Titulni strana - záhlaví tabulky"/>
    <w:next w:val="Normln"/>
    <w:uiPriority w:val="99"/>
    <w:rsid w:val="005B5E23"/>
    <w:pPr>
      <w:spacing w:after="0" w:line="240" w:lineRule="auto"/>
      <w:ind w:left="357"/>
      <w:jc w:val="center"/>
    </w:pPr>
    <w:rPr>
      <w:rFonts w:ascii="Verdana" w:eastAsia="Times New Roman" w:hAnsi="Verdana" w:cs="Times New Roman"/>
      <w:b/>
      <w:caps/>
      <w:sz w:val="20"/>
      <w:szCs w:val="40"/>
      <w:lang w:eastAsia="cs-CZ"/>
    </w:rPr>
  </w:style>
  <w:style w:type="character" w:customStyle="1" w:styleId="Titulek-SPECIALIZACEChar">
    <w:name w:val="Titulek - SPECIALIZACE Char"/>
    <w:basedOn w:val="Standardnpsmoodstavce"/>
    <w:link w:val="Titulek-SPECIALIZACE"/>
    <w:uiPriority w:val="99"/>
    <w:locked/>
    <w:rsid w:val="005B5E23"/>
    <w:rPr>
      <w:rFonts w:ascii="Verdana" w:eastAsia="Times New Roman" w:hAnsi="Verdana" w:cs="Times New Roman"/>
      <w:b/>
      <w:color w:val="000000"/>
      <w:sz w:val="36"/>
      <w:szCs w:val="36"/>
      <w:lang w:eastAsia="cs-CZ"/>
    </w:rPr>
  </w:style>
  <w:style w:type="paragraph" w:customStyle="1" w:styleId="Titulnstrana-texttabulky">
    <w:name w:val="Titulní strana - text tabulky"/>
    <w:uiPriority w:val="99"/>
    <w:rsid w:val="005B5E23"/>
    <w:pPr>
      <w:spacing w:after="0" w:line="240" w:lineRule="auto"/>
    </w:pPr>
    <w:rPr>
      <w:rFonts w:ascii="Verdana" w:eastAsia="Times New Roman" w:hAnsi="Verdana" w:cs="Times New Roman"/>
      <w:bCs/>
      <w:sz w:val="20"/>
      <w:szCs w:val="40"/>
      <w:lang w:eastAsia="cs-CZ"/>
    </w:rPr>
  </w:style>
  <w:style w:type="character" w:customStyle="1" w:styleId="apple-style-span">
    <w:name w:val="apple-style-span"/>
    <w:basedOn w:val="Standardnpsmoodstavce"/>
    <w:uiPriority w:val="99"/>
    <w:rsid w:val="005B5E23"/>
    <w:rPr>
      <w:rFonts w:cs="Times New Roman"/>
    </w:rPr>
  </w:style>
  <w:style w:type="paragraph" w:customStyle="1" w:styleId="Poznmkapodarou">
    <w:name w:val="Poznámka pod čarou"/>
    <w:basedOn w:val="Normln"/>
    <w:uiPriority w:val="99"/>
    <w:rsid w:val="005B5E23"/>
    <w:pPr>
      <w:autoSpaceDE w:val="0"/>
      <w:autoSpaceDN w:val="0"/>
      <w:adjustRightInd w:val="0"/>
      <w:spacing w:after="0"/>
      <w:jc w:val="left"/>
    </w:pPr>
    <w:rPr>
      <w:color w:val="000000"/>
      <w:sz w:val="16"/>
      <w:szCs w:val="16"/>
    </w:rPr>
  </w:style>
  <w:style w:type="character" w:customStyle="1" w:styleId="apple-converted-space">
    <w:name w:val="apple-converted-space"/>
    <w:basedOn w:val="Standardnpsmoodstavce"/>
    <w:uiPriority w:val="99"/>
    <w:rsid w:val="005B5E23"/>
    <w:rPr>
      <w:rFonts w:cs="Times New Roman"/>
    </w:rPr>
  </w:style>
  <w:style w:type="character" w:styleId="Zvraznn">
    <w:name w:val="Emphasis"/>
    <w:basedOn w:val="Standardnpsmoodstavce"/>
    <w:uiPriority w:val="99"/>
    <w:qFormat/>
    <w:rsid w:val="005B5E23"/>
    <w:rPr>
      <w:rFonts w:cs="Times New Roman"/>
      <w:i/>
      <w:iCs/>
    </w:rPr>
  </w:style>
  <w:style w:type="character" w:styleId="Siln">
    <w:name w:val="Strong"/>
    <w:basedOn w:val="Standardnpsmoodstavce"/>
    <w:uiPriority w:val="22"/>
    <w:qFormat/>
    <w:rsid w:val="005B5E23"/>
    <w:rPr>
      <w:rFonts w:cs="Times New Roman"/>
      <w:b/>
      <w:bCs/>
    </w:rPr>
  </w:style>
  <w:style w:type="paragraph" w:customStyle="1" w:styleId="AbstractSummary-text">
    <w:name w:val="Abstract/Summary - text"/>
    <w:basedOn w:val="Normln"/>
    <w:uiPriority w:val="99"/>
    <w:rsid w:val="005B5E23"/>
    <w:rPr>
      <w:color w:val="000000"/>
      <w:szCs w:val="24"/>
      <w:lang w:val="en-US"/>
    </w:rPr>
  </w:style>
  <w:style w:type="character" w:styleId="DefiniceHTML">
    <w:name w:val="HTML Definition"/>
    <w:basedOn w:val="Standardnpsmoodstavce"/>
    <w:uiPriority w:val="99"/>
    <w:rsid w:val="005B5E23"/>
    <w:rPr>
      <w:rFonts w:cs="Times New Roman"/>
      <w:i/>
      <w:iCs/>
    </w:rPr>
  </w:style>
  <w:style w:type="character" w:customStyle="1" w:styleId="odst1">
    <w:name w:val="odst1"/>
    <w:basedOn w:val="Standardnpsmoodstavce"/>
    <w:rsid w:val="005B5E23"/>
    <w:rPr>
      <w:rFonts w:cs="Times New Roman"/>
      <w:b/>
      <w:bCs/>
      <w:color w:val="1060B8"/>
    </w:rPr>
  </w:style>
  <w:style w:type="paragraph" w:customStyle="1" w:styleId="dajenadtabulkouazdroj">
    <w:name w:val="Údaje nad tabulkou a zdroj"/>
    <w:basedOn w:val="Normln"/>
    <w:link w:val="dajenadtabulkouazdrojChar"/>
    <w:qFormat/>
    <w:rsid w:val="00671C37"/>
    <w:pPr>
      <w:spacing w:after="0"/>
    </w:pPr>
    <w:rPr>
      <w:i/>
      <w:szCs w:val="24"/>
    </w:rPr>
  </w:style>
  <w:style w:type="character" w:customStyle="1" w:styleId="dajenadtabulkouazdrojChar">
    <w:name w:val="Údaje nad tabulkou a zdroj Char"/>
    <w:basedOn w:val="Standardnpsmoodstavce"/>
    <w:link w:val="dajenadtabulkouazdroj"/>
    <w:rsid w:val="00671C37"/>
    <w:rPr>
      <w:rFonts w:ascii="Times New Roman" w:eastAsia="Times New Roman" w:hAnsi="Times New Roman" w:cs="Times New Roman"/>
      <w:i/>
      <w:sz w:val="24"/>
      <w:szCs w:val="24"/>
      <w:lang w:eastAsia="cs-CZ"/>
    </w:rPr>
  </w:style>
  <w:style w:type="paragraph" w:styleId="Revize">
    <w:name w:val="Revision"/>
    <w:hidden/>
    <w:uiPriority w:val="99"/>
    <w:semiHidden/>
    <w:rsid w:val="0081591A"/>
    <w:pPr>
      <w:spacing w:after="0" w:line="240" w:lineRule="auto"/>
    </w:pPr>
    <w:rPr>
      <w:rFonts w:ascii="Times New Roman" w:eastAsia="Times New Roman" w:hAnsi="Times New Roman" w:cs="Times New Roman"/>
      <w:sz w:val="24"/>
      <w:szCs w:val="20"/>
      <w:lang w:eastAsia="cs-CZ"/>
    </w:rPr>
  </w:style>
  <w:style w:type="paragraph" w:customStyle="1" w:styleId="dajepodtabulkou">
    <w:name w:val="Údaje pod tabulkou"/>
    <w:basedOn w:val="Normln"/>
    <w:link w:val="dajepodtabulkouChar"/>
    <w:qFormat/>
    <w:rsid w:val="00C43FD2"/>
    <w:pPr>
      <w:ind w:left="709"/>
    </w:pPr>
    <w:rPr>
      <w:i/>
    </w:rPr>
  </w:style>
  <w:style w:type="character" w:customStyle="1" w:styleId="dajepodtabulkouChar">
    <w:name w:val="Údaje pod tabulkou Char"/>
    <w:basedOn w:val="Standardnpsmoodstavce"/>
    <w:link w:val="dajepodtabulkou"/>
    <w:rsid w:val="00C43FD2"/>
    <w:rPr>
      <w:rFonts w:ascii="Times New Roman" w:eastAsia="Times New Roman" w:hAnsi="Times New Roman" w:cs="Times New Roman"/>
      <w:i/>
      <w:sz w:val="24"/>
      <w:szCs w:val="20"/>
      <w:lang w:eastAsia="cs-CZ"/>
    </w:rPr>
  </w:style>
  <w:style w:type="paragraph" w:styleId="Textvysvtlivek">
    <w:name w:val="endnote text"/>
    <w:basedOn w:val="Normln"/>
    <w:link w:val="TextvysvtlivekChar"/>
    <w:uiPriority w:val="99"/>
    <w:semiHidden/>
    <w:unhideWhenUsed/>
    <w:rsid w:val="00664436"/>
    <w:pPr>
      <w:spacing w:after="0" w:line="240" w:lineRule="auto"/>
    </w:pPr>
    <w:rPr>
      <w:sz w:val="20"/>
    </w:rPr>
  </w:style>
  <w:style w:type="character" w:customStyle="1" w:styleId="TextvysvtlivekChar">
    <w:name w:val="Text vysvětlivek Char"/>
    <w:basedOn w:val="Standardnpsmoodstavce"/>
    <w:link w:val="Textvysvtlivek"/>
    <w:uiPriority w:val="99"/>
    <w:semiHidden/>
    <w:rsid w:val="00664436"/>
    <w:rPr>
      <w:rFonts w:ascii="Times New Roman" w:eastAsia="Times New Roman" w:hAnsi="Times New Roman" w:cs="Times New Roman"/>
      <w:sz w:val="20"/>
      <w:szCs w:val="20"/>
      <w:lang w:eastAsia="cs-CZ"/>
    </w:rPr>
  </w:style>
  <w:style w:type="character" w:styleId="Odkaznavysvtlivky">
    <w:name w:val="endnote reference"/>
    <w:basedOn w:val="Standardnpsmoodstavce"/>
    <w:uiPriority w:val="99"/>
    <w:semiHidden/>
    <w:unhideWhenUsed/>
    <w:rsid w:val="00664436"/>
    <w:rPr>
      <w:vertAlign w:val="superscript"/>
    </w:rPr>
  </w:style>
  <w:style w:type="paragraph" w:styleId="Titulek">
    <w:name w:val="caption"/>
    <w:basedOn w:val="Normln"/>
    <w:next w:val="Normln"/>
    <w:link w:val="TitulekChar"/>
    <w:uiPriority w:val="35"/>
    <w:unhideWhenUsed/>
    <w:qFormat/>
    <w:rsid w:val="00897452"/>
    <w:pPr>
      <w:keepNext/>
      <w:spacing w:after="200" w:line="240" w:lineRule="auto"/>
    </w:pPr>
    <w:rPr>
      <w:b/>
      <w:bCs/>
      <w:sz w:val="22"/>
      <w:szCs w:val="22"/>
    </w:rPr>
  </w:style>
  <w:style w:type="paragraph" w:customStyle="1" w:styleId="Tabulky">
    <w:name w:val="Tabulky"/>
    <w:basedOn w:val="Titulek"/>
    <w:link w:val="TabulkyChar"/>
    <w:qFormat/>
    <w:rsid w:val="003D548E"/>
  </w:style>
  <w:style w:type="character" w:styleId="Sledovanodkaz">
    <w:name w:val="FollowedHyperlink"/>
    <w:basedOn w:val="Standardnpsmoodstavce"/>
    <w:uiPriority w:val="99"/>
    <w:semiHidden/>
    <w:unhideWhenUsed/>
    <w:rsid w:val="00377196"/>
    <w:rPr>
      <w:color w:val="800080"/>
      <w:u w:val="single"/>
    </w:rPr>
  </w:style>
  <w:style w:type="character" w:customStyle="1" w:styleId="TitulekChar">
    <w:name w:val="Titulek Char"/>
    <w:basedOn w:val="Standardnpsmoodstavce"/>
    <w:link w:val="Titulek"/>
    <w:uiPriority w:val="35"/>
    <w:rsid w:val="00897452"/>
    <w:rPr>
      <w:rFonts w:ascii="Times New Roman" w:eastAsia="Times New Roman" w:hAnsi="Times New Roman" w:cs="Times New Roman"/>
      <w:b/>
      <w:bCs/>
      <w:lang w:eastAsia="cs-CZ"/>
    </w:rPr>
  </w:style>
  <w:style w:type="character" w:customStyle="1" w:styleId="TabulkyChar">
    <w:name w:val="Tabulky Char"/>
    <w:basedOn w:val="TitulekChar"/>
    <w:link w:val="Tabulky"/>
    <w:rsid w:val="003D548E"/>
    <w:rPr>
      <w:rFonts w:ascii="Times New Roman" w:eastAsia="Times New Roman" w:hAnsi="Times New Roman" w:cs="Times New Roman"/>
      <w:b/>
      <w:bCs/>
      <w:color w:val="4F81BD" w:themeColor="accent1"/>
      <w:sz w:val="18"/>
      <w:szCs w:val="18"/>
      <w:lang w:eastAsia="cs-CZ"/>
    </w:rPr>
  </w:style>
  <w:style w:type="paragraph" w:customStyle="1" w:styleId="xl63">
    <w:name w:val="xl63"/>
    <w:basedOn w:val="Normln"/>
    <w:rsid w:val="00377196"/>
    <w:pPr>
      <w:spacing w:before="100" w:beforeAutospacing="1" w:after="100" w:afterAutospacing="1" w:line="240" w:lineRule="auto"/>
      <w:jc w:val="left"/>
      <w:textAlignment w:val="center"/>
    </w:pPr>
    <w:rPr>
      <w:szCs w:val="24"/>
    </w:rPr>
  </w:style>
  <w:style w:type="paragraph" w:customStyle="1" w:styleId="xl64">
    <w:name w:val="xl64"/>
    <w:basedOn w:val="Normln"/>
    <w:rsid w:val="00377196"/>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65">
    <w:name w:val="xl65"/>
    <w:basedOn w:val="Normln"/>
    <w:rsid w:val="00377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66">
    <w:name w:val="xl66"/>
    <w:basedOn w:val="Normln"/>
    <w:rsid w:val="00377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67">
    <w:name w:val="xl67"/>
    <w:basedOn w:val="Normln"/>
    <w:rsid w:val="00377196"/>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left"/>
      <w:textAlignment w:val="center"/>
    </w:pPr>
    <w:rPr>
      <w:szCs w:val="24"/>
    </w:rPr>
  </w:style>
  <w:style w:type="paragraph" w:customStyle="1" w:styleId="xl68">
    <w:name w:val="xl68"/>
    <w:basedOn w:val="Normln"/>
    <w:rsid w:val="00377196"/>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69">
    <w:name w:val="xl69"/>
    <w:basedOn w:val="Normln"/>
    <w:rsid w:val="00377196"/>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70">
    <w:name w:val="xl70"/>
    <w:basedOn w:val="Normln"/>
    <w:rsid w:val="00377196"/>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71">
    <w:name w:val="xl71"/>
    <w:basedOn w:val="Normln"/>
    <w:rsid w:val="00377196"/>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left"/>
      <w:textAlignment w:val="center"/>
    </w:pPr>
    <w:rPr>
      <w:szCs w:val="24"/>
    </w:rPr>
  </w:style>
  <w:style w:type="paragraph" w:customStyle="1" w:styleId="xl72">
    <w:name w:val="xl72"/>
    <w:basedOn w:val="Normln"/>
    <w:rsid w:val="00377196"/>
    <w:pPr>
      <w:pBdr>
        <w:left w:val="single" w:sz="12" w:space="0" w:color="auto"/>
        <w:bottom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73">
    <w:name w:val="xl73"/>
    <w:basedOn w:val="Normln"/>
    <w:rsid w:val="00377196"/>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74">
    <w:name w:val="xl74"/>
    <w:basedOn w:val="Normln"/>
    <w:rsid w:val="00377196"/>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75">
    <w:name w:val="xl75"/>
    <w:basedOn w:val="Normln"/>
    <w:rsid w:val="00377196"/>
    <w:pPr>
      <w:pBdr>
        <w:left w:val="single" w:sz="4" w:space="0" w:color="auto"/>
        <w:bottom w:val="single" w:sz="4" w:space="0" w:color="auto"/>
        <w:right w:val="single" w:sz="12" w:space="0" w:color="auto"/>
      </w:pBdr>
      <w:spacing w:before="100" w:beforeAutospacing="1" w:after="100" w:afterAutospacing="1" w:line="240" w:lineRule="auto"/>
      <w:jc w:val="left"/>
      <w:textAlignment w:val="center"/>
    </w:pPr>
    <w:rPr>
      <w:szCs w:val="24"/>
    </w:rPr>
  </w:style>
  <w:style w:type="paragraph" w:customStyle="1" w:styleId="xl76">
    <w:name w:val="xl76"/>
    <w:basedOn w:val="Normln"/>
    <w:rsid w:val="00377196"/>
    <w:pPr>
      <w:pBdr>
        <w:bottom w:val="single" w:sz="12" w:space="0" w:color="auto"/>
      </w:pBdr>
      <w:spacing w:before="100" w:beforeAutospacing="1" w:after="100" w:afterAutospacing="1" w:line="240" w:lineRule="auto"/>
      <w:jc w:val="center"/>
      <w:textAlignment w:val="center"/>
    </w:pPr>
    <w:rPr>
      <w:b/>
      <w:bCs/>
      <w:szCs w:val="24"/>
      <w:u w:val="single"/>
    </w:rPr>
  </w:style>
  <w:style w:type="paragraph" w:customStyle="1" w:styleId="xl77">
    <w:name w:val="xl77"/>
    <w:basedOn w:val="Normln"/>
    <w:rsid w:val="00377196"/>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b/>
      <w:bCs/>
      <w:szCs w:val="24"/>
    </w:rPr>
  </w:style>
  <w:style w:type="paragraph" w:customStyle="1" w:styleId="xl78">
    <w:name w:val="xl78"/>
    <w:basedOn w:val="Normln"/>
    <w:rsid w:val="00377196"/>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b/>
      <w:bCs/>
      <w:szCs w:val="24"/>
    </w:rPr>
  </w:style>
  <w:style w:type="paragraph" w:customStyle="1" w:styleId="xl79">
    <w:name w:val="xl79"/>
    <w:basedOn w:val="Normln"/>
    <w:rsid w:val="00377196"/>
    <w:pPr>
      <w:pBdr>
        <w:top w:val="single" w:sz="12"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b/>
      <w:bCs/>
      <w:szCs w:val="24"/>
    </w:rPr>
  </w:style>
  <w:style w:type="paragraph" w:customStyle="1" w:styleId="xl80">
    <w:name w:val="xl80"/>
    <w:basedOn w:val="Normln"/>
    <w:rsid w:val="00377196"/>
    <w:pPr>
      <w:pBdr>
        <w:top w:val="single" w:sz="4" w:space="0" w:color="auto"/>
        <w:left w:val="single" w:sz="12" w:space="0" w:color="auto"/>
        <w:bottom w:val="double" w:sz="6" w:space="0" w:color="auto"/>
        <w:right w:val="single" w:sz="4" w:space="0" w:color="auto"/>
      </w:pBdr>
      <w:shd w:val="clear" w:color="000000" w:fill="D9D9D9"/>
      <w:spacing w:before="100" w:beforeAutospacing="1" w:after="100" w:afterAutospacing="1" w:line="240" w:lineRule="auto"/>
      <w:jc w:val="center"/>
      <w:textAlignment w:val="center"/>
    </w:pPr>
    <w:rPr>
      <w:b/>
      <w:bCs/>
      <w:szCs w:val="24"/>
    </w:rPr>
  </w:style>
  <w:style w:type="paragraph" w:customStyle="1" w:styleId="xl81">
    <w:name w:val="xl81"/>
    <w:basedOn w:val="Normln"/>
    <w:rsid w:val="00377196"/>
    <w:pPr>
      <w:pBdr>
        <w:top w:val="single" w:sz="4" w:space="0" w:color="auto"/>
        <w:left w:val="single" w:sz="4" w:space="0" w:color="auto"/>
        <w:bottom w:val="double" w:sz="6" w:space="0" w:color="auto"/>
        <w:right w:val="single" w:sz="4" w:space="0" w:color="auto"/>
      </w:pBdr>
      <w:shd w:val="clear" w:color="000000" w:fill="D9D9D9"/>
      <w:spacing w:before="100" w:beforeAutospacing="1" w:after="100" w:afterAutospacing="1" w:line="240" w:lineRule="auto"/>
      <w:jc w:val="center"/>
      <w:textAlignment w:val="center"/>
    </w:pPr>
    <w:rPr>
      <w:b/>
      <w:bCs/>
      <w:szCs w:val="24"/>
    </w:rPr>
  </w:style>
  <w:style w:type="paragraph" w:customStyle="1" w:styleId="xl82">
    <w:name w:val="xl82"/>
    <w:basedOn w:val="Normln"/>
    <w:rsid w:val="00377196"/>
    <w:pPr>
      <w:pBdr>
        <w:top w:val="single" w:sz="4" w:space="0" w:color="auto"/>
        <w:left w:val="single" w:sz="4" w:space="0" w:color="auto"/>
        <w:bottom w:val="double" w:sz="6" w:space="0" w:color="auto"/>
        <w:right w:val="single" w:sz="12" w:space="0" w:color="auto"/>
      </w:pBdr>
      <w:shd w:val="clear" w:color="000000" w:fill="D9D9D9"/>
      <w:spacing w:before="100" w:beforeAutospacing="1" w:after="100" w:afterAutospacing="1" w:line="240" w:lineRule="auto"/>
      <w:jc w:val="center"/>
      <w:textAlignment w:val="center"/>
    </w:pPr>
    <w:rPr>
      <w:b/>
      <w:bCs/>
      <w:szCs w:val="24"/>
    </w:rPr>
  </w:style>
  <w:style w:type="paragraph" w:customStyle="1" w:styleId="xl83">
    <w:name w:val="xl83"/>
    <w:basedOn w:val="Normln"/>
    <w:rsid w:val="00377196"/>
    <w:pPr>
      <w:pBdr>
        <w:top w:val="single" w:sz="4" w:space="0" w:color="auto"/>
        <w:left w:val="single" w:sz="4" w:space="0" w:color="auto"/>
        <w:bottom w:val="double" w:sz="6" w:space="0" w:color="auto"/>
        <w:right w:val="single" w:sz="12" w:space="0" w:color="auto"/>
      </w:pBdr>
      <w:shd w:val="clear" w:color="000000" w:fill="D9D9D9"/>
      <w:spacing w:before="100" w:beforeAutospacing="1" w:after="100" w:afterAutospacing="1" w:line="240" w:lineRule="auto"/>
      <w:jc w:val="center"/>
      <w:textAlignment w:val="center"/>
    </w:pPr>
    <w:rPr>
      <w:b/>
      <w:bCs/>
      <w:szCs w:val="24"/>
    </w:rPr>
  </w:style>
  <w:style w:type="paragraph" w:styleId="Seznamobrzk">
    <w:name w:val="table of figures"/>
    <w:basedOn w:val="Normln"/>
    <w:next w:val="Normln"/>
    <w:uiPriority w:val="99"/>
    <w:unhideWhenUsed/>
    <w:rsid w:val="001A0982"/>
    <w:pPr>
      <w:spacing w:after="0"/>
    </w:pPr>
  </w:style>
  <w:style w:type="paragraph" w:customStyle="1" w:styleId="xl84">
    <w:name w:val="xl84"/>
    <w:basedOn w:val="Normln"/>
    <w:rsid w:val="0058489A"/>
    <w:pPr>
      <w:pBdr>
        <w:top w:val="single" w:sz="12" w:space="0" w:color="auto"/>
        <w:left w:val="single" w:sz="12"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b/>
      <w:bCs/>
      <w:szCs w:val="24"/>
    </w:rPr>
  </w:style>
  <w:style w:type="paragraph" w:customStyle="1" w:styleId="xl85">
    <w:name w:val="xl85"/>
    <w:basedOn w:val="Normln"/>
    <w:rsid w:val="0058489A"/>
    <w:pPr>
      <w:pBdr>
        <w:top w:val="single" w:sz="4" w:space="0" w:color="auto"/>
        <w:left w:val="single" w:sz="12" w:space="0" w:color="auto"/>
        <w:bottom w:val="double" w:sz="6" w:space="0" w:color="auto"/>
        <w:right w:val="single" w:sz="4" w:space="0" w:color="auto"/>
      </w:pBdr>
      <w:shd w:val="clear" w:color="000000" w:fill="C5D9F1"/>
      <w:spacing w:before="100" w:beforeAutospacing="1" w:after="100" w:afterAutospacing="1" w:line="240" w:lineRule="auto"/>
      <w:jc w:val="center"/>
      <w:textAlignment w:val="center"/>
    </w:pPr>
    <w:rPr>
      <w:b/>
      <w:bCs/>
      <w:szCs w:val="24"/>
    </w:rPr>
  </w:style>
  <w:style w:type="paragraph" w:customStyle="1" w:styleId="xl86">
    <w:name w:val="xl86"/>
    <w:basedOn w:val="Normln"/>
    <w:rsid w:val="0058489A"/>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right"/>
      <w:textAlignment w:val="center"/>
    </w:pPr>
    <w:rPr>
      <w:szCs w:val="24"/>
    </w:rPr>
  </w:style>
  <w:style w:type="paragraph" w:customStyle="1" w:styleId="xl87">
    <w:name w:val="xl87"/>
    <w:basedOn w:val="Normln"/>
    <w:rsid w:val="0058489A"/>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right"/>
      <w:textAlignment w:val="center"/>
    </w:pPr>
    <w:rPr>
      <w:szCs w:val="24"/>
    </w:rPr>
  </w:style>
  <w:style w:type="paragraph" w:customStyle="1" w:styleId="xl88">
    <w:name w:val="xl88"/>
    <w:basedOn w:val="Normln"/>
    <w:rsid w:val="0058489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Cs w:val="24"/>
    </w:rPr>
  </w:style>
  <w:style w:type="paragraph" w:customStyle="1" w:styleId="Odstavecnormln">
    <w:name w:val="Odstavec normální"/>
    <w:basedOn w:val="Normln"/>
    <w:link w:val="OdstavecnormlnChar"/>
    <w:qFormat/>
    <w:rsid w:val="00BA1E8F"/>
    <w:pPr>
      <w:spacing w:after="120"/>
    </w:pPr>
  </w:style>
  <w:style w:type="character" w:customStyle="1" w:styleId="OdstavecnormlnChar">
    <w:name w:val="Odstavec normální Char"/>
    <w:basedOn w:val="Standardnpsmoodstavce"/>
    <w:link w:val="Odstavecnormln"/>
    <w:rsid w:val="00BA1E8F"/>
    <w:rPr>
      <w:rFonts w:ascii="Times New Roman" w:eastAsia="Times New Roman" w:hAnsi="Times New Roman" w:cs="Times New Roman"/>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4758">
      <w:bodyDiv w:val="1"/>
      <w:marLeft w:val="0"/>
      <w:marRight w:val="0"/>
      <w:marTop w:val="0"/>
      <w:marBottom w:val="0"/>
      <w:divBdr>
        <w:top w:val="none" w:sz="0" w:space="0" w:color="auto"/>
        <w:left w:val="none" w:sz="0" w:space="0" w:color="auto"/>
        <w:bottom w:val="none" w:sz="0" w:space="0" w:color="auto"/>
        <w:right w:val="none" w:sz="0" w:space="0" w:color="auto"/>
      </w:divBdr>
    </w:div>
    <w:div w:id="27031203">
      <w:bodyDiv w:val="1"/>
      <w:marLeft w:val="0"/>
      <w:marRight w:val="0"/>
      <w:marTop w:val="0"/>
      <w:marBottom w:val="0"/>
      <w:divBdr>
        <w:top w:val="none" w:sz="0" w:space="0" w:color="auto"/>
        <w:left w:val="none" w:sz="0" w:space="0" w:color="auto"/>
        <w:bottom w:val="none" w:sz="0" w:space="0" w:color="auto"/>
        <w:right w:val="none" w:sz="0" w:space="0" w:color="auto"/>
      </w:divBdr>
    </w:div>
    <w:div w:id="88284316">
      <w:bodyDiv w:val="1"/>
      <w:marLeft w:val="0"/>
      <w:marRight w:val="0"/>
      <w:marTop w:val="0"/>
      <w:marBottom w:val="0"/>
      <w:divBdr>
        <w:top w:val="none" w:sz="0" w:space="0" w:color="auto"/>
        <w:left w:val="none" w:sz="0" w:space="0" w:color="auto"/>
        <w:bottom w:val="none" w:sz="0" w:space="0" w:color="auto"/>
        <w:right w:val="none" w:sz="0" w:space="0" w:color="auto"/>
      </w:divBdr>
    </w:div>
    <w:div w:id="114107348">
      <w:bodyDiv w:val="1"/>
      <w:marLeft w:val="0"/>
      <w:marRight w:val="0"/>
      <w:marTop w:val="0"/>
      <w:marBottom w:val="0"/>
      <w:divBdr>
        <w:top w:val="none" w:sz="0" w:space="0" w:color="auto"/>
        <w:left w:val="none" w:sz="0" w:space="0" w:color="auto"/>
        <w:bottom w:val="none" w:sz="0" w:space="0" w:color="auto"/>
        <w:right w:val="none" w:sz="0" w:space="0" w:color="auto"/>
      </w:divBdr>
    </w:div>
    <w:div w:id="122815707">
      <w:bodyDiv w:val="1"/>
      <w:marLeft w:val="0"/>
      <w:marRight w:val="0"/>
      <w:marTop w:val="0"/>
      <w:marBottom w:val="0"/>
      <w:divBdr>
        <w:top w:val="none" w:sz="0" w:space="0" w:color="auto"/>
        <w:left w:val="none" w:sz="0" w:space="0" w:color="auto"/>
        <w:bottom w:val="none" w:sz="0" w:space="0" w:color="auto"/>
        <w:right w:val="none" w:sz="0" w:space="0" w:color="auto"/>
      </w:divBdr>
    </w:div>
    <w:div w:id="142432432">
      <w:bodyDiv w:val="1"/>
      <w:marLeft w:val="0"/>
      <w:marRight w:val="0"/>
      <w:marTop w:val="0"/>
      <w:marBottom w:val="0"/>
      <w:divBdr>
        <w:top w:val="none" w:sz="0" w:space="0" w:color="auto"/>
        <w:left w:val="none" w:sz="0" w:space="0" w:color="auto"/>
        <w:bottom w:val="none" w:sz="0" w:space="0" w:color="auto"/>
        <w:right w:val="none" w:sz="0" w:space="0" w:color="auto"/>
      </w:divBdr>
    </w:div>
    <w:div w:id="178736891">
      <w:bodyDiv w:val="1"/>
      <w:marLeft w:val="0"/>
      <w:marRight w:val="0"/>
      <w:marTop w:val="0"/>
      <w:marBottom w:val="0"/>
      <w:divBdr>
        <w:top w:val="none" w:sz="0" w:space="0" w:color="auto"/>
        <w:left w:val="none" w:sz="0" w:space="0" w:color="auto"/>
        <w:bottom w:val="none" w:sz="0" w:space="0" w:color="auto"/>
        <w:right w:val="none" w:sz="0" w:space="0" w:color="auto"/>
      </w:divBdr>
    </w:div>
    <w:div w:id="226847646">
      <w:bodyDiv w:val="1"/>
      <w:marLeft w:val="0"/>
      <w:marRight w:val="0"/>
      <w:marTop w:val="0"/>
      <w:marBottom w:val="0"/>
      <w:divBdr>
        <w:top w:val="none" w:sz="0" w:space="0" w:color="auto"/>
        <w:left w:val="none" w:sz="0" w:space="0" w:color="auto"/>
        <w:bottom w:val="none" w:sz="0" w:space="0" w:color="auto"/>
        <w:right w:val="none" w:sz="0" w:space="0" w:color="auto"/>
      </w:divBdr>
    </w:div>
    <w:div w:id="246815887">
      <w:bodyDiv w:val="1"/>
      <w:marLeft w:val="0"/>
      <w:marRight w:val="0"/>
      <w:marTop w:val="0"/>
      <w:marBottom w:val="0"/>
      <w:divBdr>
        <w:top w:val="none" w:sz="0" w:space="0" w:color="auto"/>
        <w:left w:val="none" w:sz="0" w:space="0" w:color="auto"/>
        <w:bottom w:val="none" w:sz="0" w:space="0" w:color="auto"/>
        <w:right w:val="none" w:sz="0" w:space="0" w:color="auto"/>
      </w:divBdr>
    </w:div>
    <w:div w:id="280187112">
      <w:bodyDiv w:val="1"/>
      <w:marLeft w:val="0"/>
      <w:marRight w:val="0"/>
      <w:marTop w:val="0"/>
      <w:marBottom w:val="0"/>
      <w:divBdr>
        <w:top w:val="none" w:sz="0" w:space="0" w:color="auto"/>
        <w:left w:val="none" w:sz="0" w:space="0" w:color="auto"/>
        <w:bottom w:val="none" w:sz="0" w:space="0" w:color="auto"/>
        <w:right w:val="none" w:sz="0" w:space="0" w:color="auto"/>
      </w:divBdr>
    </w:div>
    <w:div w:id="280887657">
      <w:bodyDiv w:val="1"/>
      <w:marLeft w:val="0"/>
      <w:marRight w:val="0"/>
      <w:marTop w:val="0"/>
      <w:marBottom w:val="0"/>
      <w:divBdr>
        <w:top w:val="none" w:sz="0" w:space="0" w:color="auto"/>
        <w:left w:val="none" w:sz="0" w:space="0" w:color="auto"/>
        <w:bottom w:val="none" w:sz="0" w:space="0" w:color="auto"/>
        <w:right w:val="none" w:sz="0" w:space="0" w:color="auto"/>
      </w:divBdr>
    </w:div>
    <w:div w:id="284970103">
      <w:bodyDiv w:val="1"/>
      <w:marLeft w:val="0"/>
      <w:marRight w:val="0"/>
      <w:marTop w:val="0"/>
      <w:marBottom w:val="0"/>
      <w:divBdr>
        <w:top w:val="none" w:sz="0" w:space="0" w:color="auto"/>
        <w:left w:val="none" w:sz="0" w:space="0" w:color="auto"/>
        <w:bottom w:val="none" w:sz="0" w:space="0" w:color="auto"/>
        <w:right w:val="none" w:sz="0" w:space="0" w:color="auto"/>
      </w:divBdr>
    </w:div>
    <w:div w:id="310211023">
      <w:bodyDiv w:val="1"/>
      <w:marLeft w:val="0"/>
      <w:marRight w:val="0"/>
      <w:marTop w:val="0"/>
      <w:marBottom w:val="0"/>
      <w:divBdr>
        <w:top w:val="none" w:sz="0" w:space="0" w:color="auto"/>
        <w:left w:val="none" w:sz="0" w:space="0" w:color="auto"/>
        <w:bottom w:val="none" w:sz="0" w:space="0" w:color="auto"/>
        <w:right w:val="none" w:sz="0" w:space="0" w:color="auto"/>
      </w:divBdr>
    </w:div>
    <w:div w:id="326134423">
      <w:bodyDiv w:val="1"/>
      <w:marLeft w:val="0"/>
      <w:marRight w:val="0"/>
      <w:marTop w:val="0"/>
      <w:marBottom w:val="0"/>
      <w:divBdr>
        <w:top w:val="none" w:sz="0" w:space="0" w:color="auto"/>
        <w:left w:val="none" w:sz="0" w:space="0" w:color="auto"/>
        <w:bottom w:val="none" w:sz="0" w:space="0" w:color="auto"/>
        <w:right w:val="none" w:sz="0" w:space="0" w:color="auto"/>
      </w:divBdr>
    </w:div>
    <w:div w:id="346178664">
      <w:bodyDiv w:val="1"/>
      <w:marLeft w:val="0"/>
      <w:marRight w:val="0"/>
      <w:marTop w:val="0"/>
      <w:marBottom w:val="0"/>
      <w:divBdr>
        <w:top w:val="none" w:sz="0" w:space="0" w:color="auto"/>
        <w:left w:val="none" w:sz="0" w:space="0" w:color="auto"/>
        <w:bottom w:val="none" w:sz="0" w:space="0" w:color="auto"/>
        <w:right w:val="none" w:sz="0" w:space="0" w:color="auto"/>
      </w:divBdr>
    </w:div>
    <w:div w:id="381758598">
      <w:bodyDiv w:val="1"/>
      <w:marLeft w:val="0"/>
      <w:marRight w:val="0"/>
      <w:marTop w:val="0"/>
      <w:marBottom w:val="0"/>
      <w:divBdr>
        <w:top w:val="none" w:sz="0" w:space="0" w:color="auto"/>
        <w:left w:val="none" w:sz="0" w:space="0" w:color="auto"/>
        <w:bottom w:val="none" w:sz="0" w:space="0" w:color="auto"/>
        <w:right w:val="none" w:sz="0" w:space="0" w:color="auto"/>
      </w:divBdr>
    </w:div>
    <w:div w:id="421922786">
      <w:bodyDiv w:val="1"/>
      <w:marLeft w:val="0"/>
      <w:marRight w:val="0"/>
      <w:marTop w:val="0"/>
      <w:marBottom w:val="0"/>
      <w:divBdr>
        <w:top w:val="none" w:sz="0" w:space="0" w:color="auto"/>
        <w:left w:val="none" w:sz="0" w:space="0" w:color="auto"/>
        <w:bottom w:val="none" w:sz="0" w:space="0" w:color="auto"/>
        <w:right w:val="none" w:sz="0" w:space="0" w:color="auto"/>
      </w:divBdr>
    </w:div>
    <w:div w:id="485904587">
      <w:bodyDiv w:val="1"/>
      <w:marLeft w:val="0"/>
      <w:marRight w:val="0"/>
      <w:marTop w:val="0"/>
      <w:marBottom w:val="0"/>
      <w:divBdr>
        <w:top w:val="none" w:sz="0" w:space="0" w:color="auto"/>
        <w:left w:val="none" w:sz="0" w:space="0" w:color="auto"/>
        <w:bottom w:val="none" w:sz="0" w:space="0" w:color="auto"/>
        <w:right w:val="none" w:sz="0" w:space="0" w:color="auto"/>
      </w:divBdr>
    </w:div>
    <w:div w:id="503514680">
      <w:bodyDiv w:val="1"/>
      <w:marLeft w:val="0"/>
      <w:marRight w:val="0"/>
      <w:marTop w:val="0"/>
      <w:marBottom w:val="0"/>
      <w:divBdr>
        <w:top w:val="none" w:sz="0" w:space="0" w:color="auto"/>
        <w:left w:val="none" w:sz="0" w:space="0" w:color="auto"/>
        <w:bottom w:val="none" w:sz="0" w:space="0" w:color="auto"/>
        <w:right w:val="none" w:sz="0" w:space="0" w:color="auto"/>
      </w:divBdr>
    </w:div>
    <w:div w:id="530385316">
      <w:bodyDiv w:val="1"/>
      <w:marLeft w:val="0"/>
      <w:marRight w:val="0"/>
      <w:marTop w:val="0"/>
      <w:marBottom w:val="0"/>
      <w:divBdr>
        <w:top w:val="none" w:sz="0" w:space="0" w:color="auto"/>
        <w:left w:val="none" w:sz="0" w:space="0" w:color="auto"/>
        <w:bottom w:val="none" w:sz="0" w:space="0" w:color="auto"/>
        <w:right w:val="none" w:sz="0" w:space="0" w:color="auto"/>
      </w:divBdr>
    </w:div>
    <w:div w:id="675307535">
      <w:bodyDiv w:val="1"/>
      <w:marLeft w:val="0"/>
      <w:marRight w:val="0"/>
      <w:marTop w:val="0"/>
      <w:marBottom w:val="0"/>
      <w:divBdr>
        <w:top w:val="none" w:sz="0" w:space="0" w:color="auto"/>
        <w:left w:val="none" w:sz="0" w:space="0" w:color="auto"/>
        <w:bottom w:val="none" w:sz="0" w:space="0" w:color="auto"/>
        <w:right w:val="none" w:sz="0" w:space="0" w:color="auto"/>
      </w:divBdr>
    </w:div>
    <w:div w:id="679967009">
      <w:bodyDiv w:val="1"/>
      <w:marLeft w:val="0"/>
      <w:marRight w:val="0"/>
      <w:marTop w:val="0"/>
      <w:marBottom w:val="0"/>
      <w:divBdr>
        <w:top w:val="none" w:sz="0" w:space="0" w:color="auto"/>
        <w:left w:val="none" w:sz="0" w:space="0" w:color="auto"/>
        <w:bottom w:val="none" w:sz="0" w:space="0" w:color="auto"/>
        <w:right w:val="none" w:sz="0" w:space="0" w:color="auto"/>
      </w:divBdr>
    </w:div>
    <w:div w:id="740491567">
      <w:bodyDiv w:val="1"/>
      <w:marLeft w:val="0"/>
      <w:marRight w:val="0"/>
      <w:marTop w:val="0"/>
      <w:marBottom w:val="0"/>
      <w:divBdr>
        <w:top w:val="none" w:sz="0" w:space="0" w:color="auto"/>
        <w:left w:val="none" w:sz="0" w:space="0" w:color="auto"/>
        <w:bottom w:val="none" w:sz="0" w:space="0" w:color="auto"/>
        <w:right w:val="none" w:sz="0" w:space="0" w:color="auto"/>
      </w:divBdr>
      <w:divsChild>
        <w:div w:id="202979807">
          <w:marLeft w:val="0"/>
          <w:marRight w:val="0"/>
          <w:marTop w:val="100"/>
          <w:marBottom w:val="100"/>
          <w:divBdr>
            <w:top w:val="none" w:sz="0" w:space="0" w:color="auto"/>
            <w:left w:val="none" w:sz="0" w:space="0" w:color="auto"/>
            <w:bottom w:val="none" w:sz="0" w:space="0" w:color="auto"/>
            <w:right w:val="none" w:sz="0" w:space="0" w:color="auto"/>
          </w:divBdr>
          <w:divsChild>
            <w:div w:id="1914855284">
              <w:marLeft w:val="0"/>
              <w:marRight w:val="0"/>
              <w:marTop w:val="0"/>
              <w:marBottom w:val="0"/>
              <w:divBdr>
                <w:top w:val="none" w:sz="0" w:space="0" w:color="auto"/>
                <w:left w:val="none" w:sz="0" w:space="0" w:color="auto"/>
                <w:bottom w:val="none" w:sz="0" w:space="0" w:color="auto"/>
                <w:right w:val="none" w:sz="0" w:space="0" w:color="auto"/>
              </w:divBdr>
              <w:divsChild>
                <w:div w:id="983117632">
                  <w:marLeft w:val="0"/>
                  <w:marRight w:val="0"/>
                  <w:marTop w:val="0"/>
                  <w:marBottom w:val="0"/>
                  <w:divBdr>
                    <w:top w:val="none" w:sz="0" w:space="0" w:color="auto"/>
                    <w:left w:val="none" w:sz="0" w:space="0" w:color="auto"/>
                    <w:bottom w:val="none" w:sz="0" w:space="0" w:color="auto"/>
                    <w:right w:val="none" w:sz="0" w:space="0" w:color="auto"/>
                  </w:divBdr>
                  <w:divsChild>
                    <w:div w:id="283536463">
                      <w:marLeft w:val="360"/>
                      <w:marRight w:val="0"/>
                      <w:marTop w:val="0"/>
                      <w:marBottom w:val="0"/>
                      <w:divBdr>
                        <w:top w:val="none" w:sz="0" w:space="0" w:color="auto"/>
                        <w:left w:val="none" w:sz="0" w:space="0" w:color="auto"/>
                        <w:bottom w:val="none" w:sz="0" w:space="0" w:color="auto"/>
                        <w:right w:val="none" w:sz="0" w:space="0" w:color="auto"/>
                      </w:divBdr>
                      <w:divsChild>
                        <w:div w:id="595135209">
                          <w:marLeft w:val="0"/>
                          <w:marRight w:val="0"/>
                          <w:marTop w:val="0"/>
                          <w:marBottom w:val="0"/>
                          <w:divBdr>
                            <w:top w:val="none" w:sz="0" w:space="0" w:color="auto"/>
                            <w:left w:val="none" w:sz="0" w:space="0" w:color="auto"/>
                            <w:bottom w:val="none" w:sz="0" w:space="0" w:color="auto"/>
                            <w:right w:val="none" w:sz="0" w:space="0" w:color="auto"/>
                          </w:divBdr>
                          <w:divsChild>
                            <w:div w:id="176425357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000206">
      <w:bodyDiv w:val="1"/>
      <w:marLeft w:val="0"/>
      <w:marRight w:val="0"/>
      <w:marTop w:val="0"/>
      <w:marBottom w:val="0"/>
      <w:divBdr>
        <w:top w:val="none" w:sz="0" w:space="0" w:color="auto"/>
        <w:left w:val="none" w:sz="0" w:space="0" w:color="auto"/>
        <w:bottom w:val="none" w:sz="0" w:space="0" w:color="auto"/>
        <w:right w:val="none" w:sz="0" w:space="0" w:color="auto"/>
      </w:divBdr>
    </w:div>
    <w:div w:id="795024222">
      <w:bodyDiv w:val="1"/>
      <w:marLeft w:val="0"/>
      <w:marRight w:val="0"/>
      <w:marTop w:val="0"/>
      <w:marBottom w:val="0"/>
      <w:divBdr>
        <w:top w:val="none" w:sz="0" w:space="0" w:color="auto"/>
        <w:left w:val="none" w:sz="0" w:space="0" w:color="auto"/>
        <w:bottom w:val="none" w:sz="0" w:space="0" w:color="auto"/>
        <w:right w:val="none" w:sz="0" w:space="0" w:color="auto"/>
      </w:divBdr>
      <w:divsChild>
        <w:div w:id="1636790308">
          <w:marLeft w:val="0"/>
          <w:marRight w:val="0"/>
          <w:marTop w:val="100"/>
          <w:marBottom w:val="100"/>
          <w:divBdr>
            <w:top w:val="none" w:sz="0" w:space="0" w:color="auto"/>
            <w:left w:val="none" w:sz="0" w:space="0" w:color="auto"/>
            <w:bottom w:val="none" w:sz="0" w:space="0" w:color="auto"/>
            <w:right w:val="none" w:sz="0" w:space="0" w:color="auto"/>
          </w:divBdr>
          <w:divsChild>
            <w:div w:id="1129668804">
              <w:marLeft w:val="0"/>
              <w:marRight w:val="0"/>
              <w:marTop w:val="0"/>
              <w:marBottom w:val="0"/>
              <w:divBdr>
                <w:top w:val="none" w:sz="0" w:space="0" w:color="auto"/>
                <w:left w:val="none" w:sz="0" w:space="0" w:color="auto"/>
                <w:bottom w:val="none" w:sz="0" w:space="0" w:color="auto"/>
                <w:right w:val="none" w:sz="0" w:space="0" w:color="auto"/>
              </w:divBdr>
              <w:divsChild>
                <w:div w:id="25571842">
                  <w:marLeft w:val="0"/>
                  <w:marRight w:val="0"/>
                  <w:marTop w:val="0"/>
                  <w:marBottom w:val="0"/>
                  <w:divBdr>
                    <w:top w:val="none" w:sz="0" w:space="0" w:color="auto"/>
                    <w:left w:val="none" w:sz="0" w:space="0" w:color="auto"/>
                    <w:bottom w:val="none" w:sz="0" w:space="0" w:color="auto"/>
                    <w:right w:val="none" w:sz="0" w:space="0" w:color="auto"/>
                  </w:divBdr>
                  <w:divsChild>
                    <w:div w:id="1339625126">
                      <w:marLeft w:val="360"/>
                      <w:marRight w:val="0"/>
                      <w:marTop w:val="0"/>
                      <w:marBottom w:val="0"/>
                      <w:divBdr>
                        <w:top w:val="none" w:sz="0" w:space="0" w:color="auto"/>
                        <w:left w:val="none" w:sz="0" w:space="0" w:color="auto"/>
                        <w:bottom w:val="none" w:sz="0" w:space="0" w:color="auto"/>
                        <w:right w:val="none" w:sz="0" w:space="0" w:color="auto"/>
                      </w:divBdr>
                      <w:divsChild>
                        <w:div w:id="1530408148">
                          <w:marLeft w:val="0"/>
                          <w:marRight w:val="0"/>
                          <w:marTop w:val="0"/>
                          <w:marBottom w:val="0"/>
                          <w:divBdr>
                            <w:top w:val="none" w:sz="0" w:space="0" w:color="auto"/>
                            <w:left w:val="none" w:sz="0" w:space="0" w:color="auto"/>
                            <w:bottom w:val="none" w:sz="0" w:space="0" w:color="auto"/>
                            <w:right w:val="none" w:sz="0" w:space="0" w:color="auto"/>
                          </w:divBdr>
                          <w:divsChild>
                            <w:div w:id="1938633157">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5996">
      <w:bodyDiv w:val="1"/>
      <w:marLeft w:val="0"/>
      <w:marRight w:val="0"/>
      <w:marTop w:val="0"/>
      <w:marBottom w:val="0"/>
      <w:divBdr>
        <w:top w:val="none" w:sz="0" w:space="0" w:color="auto"/>
        <w:left w:val="none" w:sz="0" w:space="0" w:color="auto"/>
        <w:bottom w:val="none" w:sz="0" w:space="0" w:color="auto"/>
        <w:right w:val="none" w:sz="0" w:space="0" w:color="auto"/>
      </w:divBdr>
    </w:div>
    <w:div w:id="846677412">
      <w:bodyDiv w:val="1"/>
      <w:marLeft w:val="0"/>
      <w:marRight w:val="0"/>
      <w:marTop w:val="0"/>
      <w:marBottom w:val="0"/>
      <w:divBdr>
        <w:top w:val="none" w:sz="0" w:space="0" w:color="auto"/>
        <w:left w:val="none" w:sz="0" w:space="0" w:color="auto"/>
        <w:bottom w:val="none" w:sz="0" w:space="0" w:color="auto"/>
        <w:right w:val="none" w:sz="0" w:space="0" w:color="auto"/>
      </w:divBdr>
    </w:div>
    <w:div w:id="855734836">
      <w:bodyDiv w:val="1"/>
      <w:marLeft w:val="0"/>
      <w:marRight w:val="0"/>
      <w:marTop w:val="0"/>
      <w:marBottom w:val="0"/>
      <w:divBdr>
        <w:top w:val="none" w:sz="0" w:space="0" w:color="auto"/>
        <w:left w:val="none" w:sz="0" w:space="0" w:color="auto"/>
        <w:bottom w:val="none" w:sz="0" w:space="0" w:color="auto"/>
        <w:right w:val="none" w:sz="0" w:space="0" w:color="auto"/>
      </w:divBdr>
    </w:div>
    <w:div w:id="889805719">
      <w:bodyDiv w:val="1"/>
      <w:marLeft w:val="0"/>
      <w:marRight w:val="0"/>
      <w:marTop w:val="0"/>
      <w:marBottom w:val="0"/>
      <w:divBdr>
        <w:top w:val="none" w:sz="0" w:space="0" w:color="auto"/>
        <w:left w:val="none" w:sz="0" w:space="0" w:color="auto"/>
        <w:bottom w:val="none" w:sz="0" w:space="0" w:color="auto"/>
        <w:right w:val="none" w:sz="0" w:space="0" w:color="auto"/>
      </w:divBdr>
    </w:div>
    <w:div w:id="922840176">
      <w:bodyDiv w:val="1"/>
      <w:marLeft w:val="0"/>
      <w:marRight w:val="0"/>
      <w:marTop w:val="0"/>
      <w:marBottom w:val="0"/>
      <w:divBdr>
        <w:top w:val="none" w:sz="0" w:space="0" w:color="auto"/>
        <w:left w:val="none" w:sz="0" w:space="0" w:color="auto"/>
        <w:bottom w:val="none" w:sz="0" w:space="0" w:color="auto"/>
        <w:right w:val="none" w:sz="0" w:space="0" w:color="auto"/>
      </w:divBdr>
    </w:div>
    <w:div w:id="924462623">
      <w:bodyDiv w:val="1"/>
      <w:marLeft w:val="0"/>
      <w:marRight w:val="0"/>
      <w:marTop w:val="0"/>
      <w:marBottom w:val="0"/>
      <w:divBdr>
        <w:top w:val="none" w:sz="0" w:space="0" w:color="auto"/>
        <w:left w:val="none" w:sz="0" w:space="0" w:color="auto"/>
        <w:bottom w:val="none" w:sz="0" w:space="0" w:color="auto"/>
        <w:right w:val="none" w:sz="0" w:space="0" w:color="auto"/>
      </w:divBdr>
    </w:div>
    <w:div w:id="942496292">
      <w:bodyDiv w:val="1"/>
      <w:marLeft w:val="0"/>
      <w:marRight w:val="0"/>
      <w:marTop w:val="0"/>
      <w:marBottom w:val="0"/>
      <w:divBdr>
        <w:top w:val="none" w:sz="0" w:space="0" w:color="auto"/>
        <w:left w:val="none" w:sz="0" w:space="0" w:color="auto"/>
        <w:bottom w:val="none" w:sz="0" w:space="0" w:color="auto"/>
        <w:right w:val="none" w:sz="0" w:space="0" w:color="auto"/>
      </w:divBdr>
    </w:div>
    <w:div w:id="976690224">
      <w:bodyDiv w:val="1"/>
      <w:marLeft w:val="75"/>
      <w:marRight w:val="75"/>
      <w:marTop w:val="75"/>
      <w:marBottom w:val="75"/>
      <w:divBdr>
        <w:top w:val="none" w:sz="0" w:space="0" w:color="auto"/>
        <w:left w:val="none" w:sz="0" w:space="0" w:color="auto"/>
        <w:bottom w:val="none" w:sz="0" w:space="0" w:color="auto"/>
        <w:right w:val="none" w:sz="0" w:space="0" w:color="auto"/>
      </w:divBdr>
      <w:divsChild>
        <w:div w:id="206379594">
          <w:marLeft w:val="0"/>
          <w:marRight w:val="0"/>
          <w:marTop w:val="0"/>
          <w:marBottom w:val="0"/>
          <w:divBdr>
            <w:top w:val="none" w:sz="0" w:space="0" w:color="auto"/>
            <w:left w:val="none" w:sz="0" w:space="0" w:color="auto"/>
            <w:bottom w:val="none" w:sz="0" w:space="0" w:color="auto"/>
            <w:right w:val="none" w:sz="0" w:space="0" w:color="auto"/>
          </w:divBdr>
        </w:div>
      </w:divsChild>
    </w:div>
    <w:div w:id="977807188">
      <w:bodyDiv w:val="1"/>
      <w:marLeft w:val="75"/>
      <w:marRight w:val="75"/>
      <w:marTop w:val="75"/>
      <w:marBottom w:val="75"/>
      <w:divBdr>
        <w:top w:val="none" w:sz="0" w:space="0" w:color="auto"/>
        <w:left w:val="none" w:sz="0" w:space="0" w:color="auto"/>
        <w:bottom w:val="none" w:sz="0" w:space="0" w:color="auto"/>
        <w:right w:val="none" w:sz="0" w:space="0" w:color="auto"/>
      </w:divBdr>
      <w:divsChild>
        <w:div w:id="2087989771">
          <w:marLeft w:val="0"/>
          <w:marRight w:val="0"/>
          <w:marTop w:val="0"/>
          <w:marBottom w:val="0"/>
          <w:divBdr>
            <w:top w:val="none" w:sz="0" w:space="0" w:color="auto"/>
            <w:left w:val="none" w:sz="0" w:space="0" w:color="auto"/>
            <w:bottom w:val="none" w:sz="0" w:space="0" w:color="auto"/>
            <w:right w:val="none" w:sz="0" w:space="0" w:color="auto"/>
          </w:divBdr>
        </w:div>
      </w:divsChild>
    </w:div>
    <w:div w:id="1040862178">
      <w:bodyDiv w:val="1"/>
      <w:marLeft w:val="0"/>
      <w:marRight w:val="0"/>
      <w:marTop w:val="0"/>
      <w:marBottom w:val="0"/>
      <w:divBdr>
        <w:top w:val="none" w:sz="0" w:space="0" w:color="auto"/>
        <w:left w:val="none" w:sz="0" w:space="0" w:color="auto"/>
        <w:bottom w:val="none" w:sz="0" w:space="0" w:color="auto"/>
        <w:right w:val="none" w:sz="0" w:space="0" w:color="auto"/>
      </w:divBdr>
    </w:div>
    <w:div w:id="1057315743">
      <w:bodyDiv w:val="1"/>
      <w:marLeft w:val="0"/>
      <w:marRight w:val="0"/>
      <w:marTop w:val="0"/>
      <w:marBottom w:val="0"/>
      <w:divBdr>
        <w:top w:val="none" w:sz="0" w:space="0" w:color="auto"/>
        <w:left w:val="none" w:sz="0" w:space="0" w:color="auto"/>
        <w:bottom w:val="none" w:sz="0" w:space="0" w:color="auto"/>
        <w:right w:val="none" w:sz="0" w:space="0" w:color="auto"/>
      </w:divBdr>
    </w:div>
    <w:div w:id="1095436670">
      <w:bodyDiv w:val="1"/>
      <w:marLeft w:val="0"/>
      <w:marRight w:val="0"/>
      <w:marTop w:val="0"/>
      <w:marBottom w:val="0"/>
      <w:divBdr>
        <w:top w:val="none" w:sz="0" w:space="0" w:color="auto"/>
        <w:left w:val="none" w:sz="0" w:space="0" w:color="auto"/>
        <w:bottom w:val="none" w:sz="0" w:space="0" w:color="auto"/>
        <w:right w:val="none" w:sz="0" w:space="0" w:color="auto"/>
      </w:divBdr>
    </w:div>
    <w:div w:id="1096250286">
      <w:bodyDiv w:val="1"/>
      <w:marLeft w:val="0"/>
      <w:marRight w:val="0"/>
      <w:marTop w:val="0"/>
      <w:marBottom w:val="0"/>
      <w:divBdr>
        <w:top w:val="none" w:sz="0" w:space="0" w:color="auto"/>
        <w:left w:val="none" w:sz="0" w:space="0" w:color="auto"/>
        <w:bottom w:val="none" w:sz="0" w:space="0" w:color="auto"/>
        <w:right w:val="none" w:sz="0" w:space="0" w:color="auto"/>
      </w:divBdr>
    </w:div>
    <w:div w:id="1123504324">
      <w:bodyDiv w:val="1"/>
      <w:marLeft w:val="0"/>
      <w:marRight w:val="0"/>
      <w:marTop w:val="0"/>
      <w:marBottom w:val="0"/>
      <w:divBdr>
        <w:top w:val="none" w:sz="0" w:space="0" w:color="auto"/>
        <w:left w:val="none" w:sz="0" w:space="0" w:color="auto"/>
        <w:bottom w:val="none" w:sz="0" w:space="0" w:color="auto"/>
        <w:right w:val="none" w:sz="0" w:space="0" w:color="auto"/>
      </w:divBdr>
    </w:div>
    <w:div w:id="1140994688">
      <w:bodyDiv w:val="1"/>
      <w:marLeft w:val="0"/>
      <w:marRight w:val="0"/>
      <w:marTop w:val="0"/>
      <w:marBottom w:val="0"/>
      <w:divBdr>
        <w:top w:val="none" w:sz="0" w:space="0" w:color="auto"/>
        <w:left w:val="none" w:sz="0" w:space="0" w:color="auto"/>
        <w:bottom w:val="none" w:sz="0" w:space="0" w:color="auto"/>
        <w:right w:val="none" w:sz="0" w:space="0" w:color="auto"/>
      </w:divBdr>
    </w:div>
    <w:div w:id="1198393103">
      <w:bodyDiv w:val="1"/>
      <w:marLeft w:val="0"/>
      <w:marRight w:val="0"/>
      <w:marTop w:val="0"/>
      <w:marBottom w:val="0"/>
      <w:divBdr>
        <w:top w:val="none" w:sz="0" w:space="0" w:color="auto"/>
        <w:left w:val="none" w:sz="0" w:space="0" w:color="auto"/>
        <w:bottom w:val="none" w:sz="0" w:space="0" w:color="auto"/>
        <w:right w:val="none" w:sz="0" w:space="0" w:color="auto"/>
      </w:divBdr>
      <w:divsChild>
        <w:div w:id="506408495">
          <w:marLeft w:val="0"/>
          <w:marRight w:val="0"/>
          <w:marTop w:val="100"/>
          <w:marBottom w:val="100"/>
          <w:divBdr>
            <w:top w:val="none" w:sz="0" w:space="0" w:color="auto"/>
            <w:left w:val="none" w:sz="0" w:space="0" w:color="auto"/>
            <w:bottom w:val="none" w:sz="0" w:space="0" w:color="auto"/>
            <w:right w:val="none" w:sz="0" w:space="0" w:color="auto"/>
          </w:divBdr>
          <w:divsChild>
            <w:div w:id="1761021423">
              <w:marLeft w:val="0"/>
              <w:marRight w:val="0"/>
              <w:marTop w:val="0"/>
              <w:marBottom w:val="0"/>
              <w:divBdr>
                <w:top w:val="none" w:sz="0" w:space="0" w:color="auto"/>
                <w:left w:val="none" w:sz="0" w:space="0" w:color="auto"/>
                <w:bottom w:val="none" w:sz="0" w:space="0" w:color="auto"/>
                <w:right w:val="none" w:sz="0" w:space="0" w:color="auto"/>
              </w:divBdr>
              <w:divsChild>
                <w:div w:id="1594586017">
                  <w:marLeft w:val="0"/>
                  <w:marRight w:val="0"/>
                  <w:marTop w:val="0"/>
                  <w:marBottom w:val="0"/>
                  <w:divBdr>
                    <w:top w:val="none" w:sz="0" w:space="0" w:color="auto"/>
                    <w:left w:val="none" w:sz="0" w:space="0" w:color="auto"/>
                    <w:bottom w:val="none" w:sz="0" w:space="0" w:color="auto"/>
                    <w:right w:val="none" w:sz="0" w:space="0" w:color="auto"/>
                  </w:divBdr>
                  <w:divsChild>
                    <w:div w:id="2141069573">
                      <w:marLeft w:val="360"/>
                      <w:marRight w:val="0"/>
                      <w:marTop w:val="0"/>
                      <w:marBottom w:val="0"/>
                      <w:divBdr>
                        <w:top w:val="none" w:sz="0" w:space="0" w:color="auto"/>
                        <w:left w:val="none" w:sz="0" w:space="0" w:color="auto"/>
                        <w:bottom w:val="none" w:sz="0" w:space="0" w:color="auto"/>
                        <w:right w:val="none" w:sz="0" w:space="0" w:color="auto"/>
                      </w:divBdr>
                      <w:divsChild>
                        <w:div w:id="736517053">
                          <w:marLeft w:val="0"/>
                          <w:marRight w:val="0"/>
                          <w:marTop w:val="0"/>
                          <w:marBottom w:val="0"/>
                          <w:divBdr>
                            <w:top w:val="none" w:sz="0" w:space="0" w:color="auto"/>
                            <w:left w:val="none" w:sz="0" w:space="0" w:color="auto"/>
                            <w:bottom w:val="none" w:sz="0" w:space="0" w:color="auto"/>
                            <w:right w:val="none" w:sz="0" w:space="0" w:color="auto"/>
                          </w:divBdr>
                          <w:divsChild>
                            <w:div w:id="69161441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942754">
      <w:bodyDiv w:val="1"/>
      <w:marLeft w:val="0"/>
      <w:marRight w:val="0"/>
      <w:marTop w:val="0"/>
      <w:marBottom w:val="0"/>
      <w:divBdr>
        <w:top w:val="none" w:sz="0" w:space="0" w:color="auto"/>
        <w:left w:val="none" w:sz="0" w:space="0" w:color="auto"/>
        <w:bottom w:val="none" w:sz="0" w:space="0" w:color="auto"/>
        <w:right w:val="none" w:sz="0" w:space="0" w:color="auto"/>
      </w:divBdr>
    </w:div>
    <w:div w:id="1228954386">
      <w:bodyDiv w:val="1"/>
      <w:marLeft w:val="0"/>
      <w:marRight w:val="0"/>
      <w:marTop w:val="0"/>
      <w:marBottom w:val="0"/>
      <w:divBdr>
        <w:top w:val="none" w:sz="0" w:space="0" w:color="auto"/>
        <w:left w:val="none" w:sz="0" w:space="0" w:color="auto"/>
        <w:bottom w:val="none" w:sz="0" w:space="0" w:color="auto"/>
        <w:right w:val="none" w:sz="0" w:space="0" w:color="auto"/>
      </w:divBdr>
    </w:div>
    <w:div w:id="1257207462">
      <w:bodyDiv w:val="1"/>
      <w:marLeft w:val="0"/>
      <w:marRight w:val="0"/>
      <w:marTop w:val="0"/>
      <w:marBottom w:val="0"/>
      <w:divBdr>
        <w:top w:val="none" w:sz="0" w:space="0" w:color="auto"/>
        <w:left w:val="none" w:sz="0" w:space="0" w:color="auto"/>
        <w:bottom w:val="none" w:sz="0" w:space="0" w:color="auto"/>
        <w:right w:val="none" w:sz="0" w:space="0" w:color="auto"/>
      </w:divBdr>
    </w:div>
    <w:div w:id="1341587865">
      <w:bodyDiv w:val="1"/>
      <w:marLeft w:val="0"/>
      <w:marRight w:val="0"/>
      <w:marTop w:val="0"/>
      <w:marBottom w:val="0"/>
      <w:divBdr>
        <w:top w:val="none" w:sz="0" w:space="0" w:color="auto"/>
        <w:left w:val="none" w:sz="0" w:space="0" w:color="auto"/>
        <w:bottom w:val="none" w:sz="0" w:space="0" w:color="auto"/>
        <w:right w:val="none" w:sz="0" w:space="0" w:color="auto"/>
      </w:divBdr>
    </w:div>
    <w:div w:id="1353992677">
      <w:bodyDiv w:val="1"/>
      <w:marLeft w:val="0"/>
      <w:marRight w:val="0"/>
      <w:marTop w:val="0"/>
      <w:marBottom w:val="0"/>
      <w:divBdr>
        <w:top w:val="none" w:sz="0" w:space="0" w:color="auto"/>
        <w:left w:val="none" w:sz="0" w:space="0" w:color="auto"/>
        <w:bottom w:val="none" w:sz="0" w:space="0" w:color="auto"/>
        <w:right w:val="none" w:sz="0" w:space="0" w:color="auto"/>
      </w:divBdr>
    </w:div>
    <w:div w:id="1364556902">
      <w:bodyDiv w:val="1"/>
      <w:marLeft w:val="0"/>
      <w:marRight w:val="0"/>
      <w:marTop w:val="0"/>
      <w:marBottom w:val="0"/>
      <w:divBdr>
        <w:top w:val="none" w:sz="0" w:space="0" w:color="auto"/>
        <w:left w:val="none" w:sz="0" w:space="0" w:color="auto"/>
        <w:bottom w:val="none" w:sz="0" w:space="0" w:color="auto"/>
        <w:right w:val="none" w:sz="0" w:space="0" w:color="auto"/>
      </w:divBdr>
    </w:div>
    <w:div w:id="1426145315">
      <w:bodyDiv w:val="1"/>
      <w:marLeft w:val="0"/>
      <w:marRight w:val="0"/>
      <w:marTop w:val="0"/>
      <w:marBottom w:val="0"/>
      <w:divBdr>
        <w:top w:val="none" w:sz="0" w:space="0" w:color="auto"/>
        <w:left w:val="none" w:sz="0" w:space="0" w:color="auto"/>
        <w:bottom w:val="none" w:sz="0" w:space="0" w:color="auto"/>
        <w:right w:val="none" w:sz="0" w:space="0" w:color="auto"/>
      </w:divBdr>
    </w:div>
    <w:div w:id="1509833926">
      <w:bodyDiv w:val="1"/>
      <w:marLeft w:val="0"/>
      <w:marRight w:val="0"/>
      <w:marTop w:val="0"/>
      <w:marBottom w:val="0"/>
      <w:divBdr>
        <w:top w:val="none" w:sz="0" w:space="0" w:color="auto"/>
        <w:left w:val="none" w:sz="0" w:space="0" w:color="auto"/>
        <w:bottom w:val="none" w:sz="0" w:space="0" w:color="auto"/>
        <w:right w:val="none" w:sz="0" w:space="0" w:color="auto"/>
      </w:divBdr>
    </w:div>
    <w:div w:id="1517117167">
      <w:bodyDiv w:val="1"/>
      <w:marLeft w:val="0"/>
      <w:marRight w:val="0"/>
      <w:marTop w:val="0"/>
      <w:marBottom w:val="0"/>
      <w:divBdr>
        <w:top w:val="none" w:sz="0" w:space="0" w:color="auto"/>
        <w:left w:val="none" w:sz="0" w:space="0" w:color="auto"/>
        <w:bottom w:val="none" w:sz="0" w:space="0" w:color="auto"/>
        <w:right w:val="none" w:sz="0" w:space="0" w:color="auto"/>
      </w:divBdr>
    </w:div>
    <w:div w:id="1517186822">
      <w:bodyDiv w:val="1"/>
      <w:marLeft w:val="0"/>
      <w:marRight w:val="0"/>
      <w:marTop w:val="0"/>
      <w:marBottom w:val="0"/>
      <w:divBdr>
        <w:top w:val="none" w:sz="0" w:space="0" w:color="auto"/>
        <w:left w:val="none" w:sz="0" w:space="0" w:color="auto"/>
        <w:bottom w:val="none" w:sz="0" w:space="0" w:color="auto"/>
        <w:right w:val="none" w:sz="0" w:space="0" w:color="auto"/>
      </w:divBdr>
    </w:div>
    <w:div w:id="1535002427">
      <w:bodyDiv w:val="1"/>
      <w:marLeft w:val="0"/>
      <w:marRight w:val="0"/>
      <w:marTop w:val="0"/>
      <w:marBottom w:val="0"/>
      <w:divBdr>
        <w:top w:val="none" w:sz="0" w:space="0" w:color="auto"/>
        <w:left w:val="none" w:sz="0" w:space="0" w:color="auto"/>
        <w:bottom w:val="none" w:sz="0" w:space="0" w:color="auto"/>
        <w:right w:val="none" w:sz="0" w:space="0" w:color="auto"/>
      </w:divBdr>
    </w:div>
    <w:div w:id="1551529863">
      <w:bodyDiv w:val="1"/>
      <w:marLeft w:val="0"/>
      <w:marRight w:val="0"/>
      <w:marTop w:val="0"/>
      <w:marBottom w:val="0"/>
      <w:divBdr>
        <w:top w:val="none" w:sz="0" w:space="0" w:color="auto"/>
        <w:left w:val="none" w:sz="0" w:space="0" w:color="auto"/>
        <w:bottom w:val="none" w:sz="0" w:space="0" w:color="auto"/>
        <w:right w:val="none" w:sz="0" w:space="0" w:color="auto"/>
      </w:divBdr>
    </w:div>
    <w:div w:id="1554199623">
      <w:bodyDiv w:val="1"/>
      <w:marLeft w:val="0"/>
      <w:marRight w:val="0"/>
      <w:marTop w:val="0"/>
      <w:marBottom w:val="0"/>
      <w:divBdr>
        <w:top w:val="none" w:sz="0" w:space="0" w:color="auto"/>
        <w:left w:val="none" w:sz="0" w:space="0" w:color="auto"/>
        <w:bottom w:val="none" w:sz="0" w:space="0" w:color="auto"/>
        <w:right w:val="none" w:sz="0" w:space="0" w:color="auto"/>
      </w:divBdr>
    </w:div>
    <w:div w:id="1563981241">
      <w:bodyDiv w:val="1"/>
      <w:marLeft w:val="0"/>
      <w:marRight w:val="0"/>
      <w:marTop w:val="0"/>
      <w:marBottom w:val="0"/>
      <w:divBdr>
        <w:top w:val="none" w:sz="0" w:space="0" w:color="auto"/>
        <w:left w:val="none" w:sz="0" w:space="0" w:color="auto"/>
        <w:bottom w:val="none" w:sz="0" w:space="0" w:color="auto"/>
        <w:right w:val="none" w:sz="0" w:space="0" w:color="auto"/>
      </w:divBdr>
    </w:div>
    <w:div w:id="1635939630">
      <w:bodyDiv w:val="1"/>
      <w:marLeft w:val="0"/>
      <w:marRight w:val="0"/>
      <w:marTop w:val="0"/>
      <w:marBottom w:val="0"/>
      <w:divBdr>
        <w:top w:val="none" w:sz="0" w:space="0" w:color="auto"/>
        <w:left w:val="none" w:sz="0" w:space="0" w:color="auto"/>
        <w:bottom w:val="none" w:sz="0" w:space="0" w:color="auto"/>
        <w:right w:val="none" w:sz="0" w:space="0" w:color="auto"/>
      </w:divBdr>
    </w:div>
    <w:div w:id="1637953040">
      <w:bodyDiv w:val="1"/>
      <w:marLeft w:val="0"/>
      <w:marRight w:val="0"/>
      <w:marTop w:val="0"/>
      <w:marBottom w:val="0"/>
      <w:divBdr>
        <w:top w:val="none" w:sz="0" w:space="0" w:color="auto"/>
        <w:left w:val="none" w:sz="0" w:space="0" w:color="auto"/>
        <w:bottom w:val="none" w:sz="0" w:space="0" w:color="auto"/>
        <w:right w:val="none" w:sz="0" w:space="0" w:color="auto"/>
      </w:divBdr>
    </w:div>
    <w:div w:id="1664426407">
      <w:bodyDiv w:val="1"/>
      <w:marLeft w:val="0"/>
      <w:marRight w:val="0"/>
      <w:marTop w:val="0"/>
      <w:marBottom w:val="0"/>
      <w:divBdr>
        <w:top w:val="none" w:sz="0" w:space="0" w:color="auto"/>
        <w:left w:val="none" w:sz="0" w:space="0" w:color="auto"/>
        <w:bottom w:val="none" w:sz="0" w:space="0" w:color="auto"/>
        <w:right w:val="none" w:sz="0" w:space="0" w:color="auto"/>
      </w:divBdr>
    </w:div>
    <w:div w:id="1725176049">
      <w:bodyDiv w:val="1"/>
      <w:marLeft w:val="0"/>
      <w:marRight w:val="0"/>
      <w:marTop w:val="0"/>
      <w:marBottom w:val="0"/>
      <w:divBdr>
        <w:top w:val="none" w:sz="0" w:space="0" w:color="auto"/>
        <w:left w:val="none" w:sz="0" w:space="0" w:color="auto"/>
        <w:bottom w:val="none" w:sz="0" w:space="0" w:color="auto"/>
        <w:right w:val="none" w:sz="0" w:space="0" w:color="auto"/>
      </w:divBdr>
    </w:div>
    <w:div w:id="1739395986">
      <w:bodyDiv w:val="1"/>
      <w:marLeft w:val="0"/>
      <w:marRight w:val="0"/>
      <w:marTop w:val="0"/>
      <w:marBottom w:val="0"/>
      <w:divBdr>
        <w:top w:val="none" w:sz="0" w:space="0" w:color="auto"/>
        <w:left w:val="none" w:sz="0" w:space="0" w:color="auto"/>
        <w:bottom w:val="none" w:sz="0" w:space="0" w:color="auto"/>
        <w:right w:val="none" w:sz="0" w:space="0" w:color="auto"/>
      </w:divBdr>
      <w:divsChild>
        <w:div w:id="1546528146">
          <w:marLeft w:val="0"/>
          <w:marRight w:val="0"/>
          <w:marTop w:val="100"/>
          <w:marBottom w:val="100"/>
          <w:divBdr>
            <w:top w:val="none" w:sz="0" w:space="0" w:color="auto"/>
            <w:left w:val="none" w:sz="0" w:space="0" w:color="auto"/>
            <w:bottom w:val="none" w:sz="0" w:space="0" w:color="auto"/>
            <w:right w:val="none" w:sz="0" w:space="0" w:color="auto"/>
          </w:divBdr>
          <w:divsChild>
            <w:div w:id="872771070">
              <w:marLeft w:val="0"/>
              <w:marRight w:val="0"/>
              <w:marTop w:val="0"/>
              <w:marBottom w:val="0"/>
              <w:divBdr>
                <w:top w:val="none" w:sz="0" w:space="0" w:color="auto"/>
                <w:left w:val="none" w:sz="0" w:space="0" w:color="auto"/>
                <w:bottom w:val="none" w:sz="0" w:space="0" w:color="auto"/>
                <w:right w:val="none" w:sz="0" w:space="0" w:color="auto"/>
              </w:divBdr>
              <w:divsChild>
                <w:div w:id="1434545658">
                  <w:marLeft w:val="0"/>
                  <w:marRight w:val="0"/>
                  <w:marTop w:val="0"/>
                  <w:marBottom w:val="0"/>
                  <w:divBdr>
                    <w:top w:val="none" w:sz="0" w:space="0" w:color="auto"/>
                    <w:left w:val="none" w:sz="0" w:space="0" w:color="auto"/>
                    <w:bottom w:val="none" w:sz="0" w:space="0" w:color="auto"/>
                    <w:right w:val="none" w:sz="0" w:space="0" w:color="auto"/>
                  </w:divBdr>
                  <w:divsChild>
                    <w:div w:id="394276673">
                      <w:marLeft w:val="360"/>
                      <w:marRight w:val="0"/>
                      <w:marTop w:val="0"/>
                      <w:marBottom w:val="0"/>
                      <w:divBdr>
                        <w:top w:val="none" w:sz="0" w:space="0" w:color="auto"/>
                        <w:left w:val="none" w:sz="0" w:space="0" w:color="auto"/>
                        <w:bottom w:val="none" w:sz="0" w:space="0" w:color="auto"/>
                        <w:right w:val="none" w:sz="0" w:space="0" w:color="auto"/>
                      </w:divBdr>
                      <w:divsChild>
                        <w:div w:id="31467610">
                          <w:marLeft w:val="0"/>
                          <w:marRight w:val="0"/>
                          <w:marTop w:val="0"/>
                          <w:marBottom w:val="0"/>
                          <w:divBdr>
                            <w:top w:val="none" w:sz="0" w:space="0" w:color="auto"/>
                            <w:left w:val="none" w:sz="0" w:space="0" w:color="auto"/>
                            <w:bottom w:val="none" w:sz="0" w:space="0" w:color="auto"/>
                            <w:right w:val="none" w:sz="0" w:space="0" w:color="auto"/>
                          </w:divBdr>
                          <w:divsChild>
                            <w:div w:id="21735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131556">
      <w:bodyDiv w:val="1"/>
      <w:marLeft w:val="0"/>
      <w:marRight w:val="0"/>
      <w:marTop w:val="0"/>
      <w:marBottom w:val="0"/>
      <w:divBdr>
        <w:top w:val="none" w:sz="0" w:space="0" w:color="auto"/>
        <w:left w:val="none" w:sz="0" w:space="0" w:color="auto"/>
        <w:bottom w:val="none" w:sz="0" w:space="0" w:color="auto"/>
        <w:right w:val="none" w:sz="0" w:space="0" w:color="auto"/>
      </w:divBdr>
    </w:div>
    <w:div w:id="1751001730">
      <w:bodyDiv w:val="1"/>
      <w:marLeft w:val="0"/>
      <w:marRight w:val="0"/>
      <w:marTop w:val="0"/>
      <w:marBottom w:val="0"/>
      <w:divBdr>
        <w:top w:val="none" w:sz="0" w:space="0" w:color="auto"/>
        <w:left w:val="none" w:sz="0" w:space="0" w:color="auto"/>
        <w:bottom w:val="none" w:sz="0" w:space="0" w:color="auto"/>
        <w:right w:val="none" w:sz="0" w:space="0" w:color="auto"/>
      </w:divBdr>
    </w:div>
    <w:div w:id="1867786877">
      <w:bodyDiv w:val="1"/>
      <w:marLeft w:val="0"/>
      <w:marRight w:val="0"/>
      <w:marTop w:val="0"/>
      <w:marBottom w:val="0"/>
      <w:divBdr>
        <w:top w:val="none" w:sz="0" w:space="0" w:color="auto"/>
        <w:left w:val="none" w:sz="0" w:space="0" w:color="auto"/>
        <w:bottom w:val="none" w:sz="0" w:space="0" w:color="auto"/>
        <w:right w:val="none" w:sz="0" w:space="0" w:color="auto"/>
      </w:divBdr>
    </w:div>
    <w:div w:id="1896966248">
      <w:bodyDiv w:val="1"/>
      <w:marLeft w:val="0"/>
      <w:marRight w:val="0"/>
      <w:marTop w:val="0"/>
      <w:marBottom w:val="0"/>
      <w:divBdr>
        <w:top w:val="none" w:sz="0" w:space="0" w:color="auto"/>
        <w:left w:val="none" w:sz="0" w:space="0" w:color="auto"/>
        <w:bottom w:val="none" w:sz="0" w:space="0" w:color="auto"/>
        <w:right w:val="none" w:sz="0" w:space="0" w:color="auto"/>
      </w:divBdr>
    </w:div>
    <w:div w:id="1908027854">
      <w:bodyDiv w:val="1"/>
      <w:marLeft w:val="0"/>
      <w:marRight w:val="0"/>
      <w:marTop w:val="0"/>
      <w:marBottom w:val="0"/>
      <w:divBdr>
        <w:top w:val="none" w:sz="0" w:space="0" w:color="auto"/>
        <w:left w:val="none" w:sz="0" w:space="0" w:color="auto"/>
        <w:bottom w:val="none" w:sz="0" w:space="0" w:color="auto"/>
        <w:right w:val="none" w:sz="0" w:space="0" w:color="auto"/>
      </w:divBdr>
    </w:div>
    <w:div w:id="1911966917">
      <w:bodyDiv w:val="1"/>
      <w:marLeft w:val="0"/>
      <w:marRight w:val="0"/>
      <w:marTop w:val="0"/>
      <w:marBottom w:val="0"/>
      <w:divBdr>
        <w:top w:val="none" w:sz="0" w:space="0" w:color="auto"/>
        <w:left w:val="none" w:sz="0" w:space="0" w:color="auto"/>
        <w:bottom w:val="none" w:sz="0" w:space="0" w:color="auto"/>
        <w:right w:val="none" w:sz="0" w:space="0" w:color="auto"/>
      </w:divBdr>
    </w:div>
    <w:div w:id="1950233837">
      <w:bodyDiv w:val="1"/>
      <w:marLeft w:val="0"/>
      <w:marRight w:val="0"/>
      <w:marTop w:val="0"/>
      <w:marBottom w:val="0"/>
      <w:divBdr>
        <w:top w:val="none" w:sz="0" w:space="0" w:color="auto"/>
        <w:left w:val="none" w:sz="0" w:space="0" w:color="auto"/>
        <w:bottom w:val="none" w:sz="0" w:space="0" w:color="auto"/>
        <w:right w:val="none" w:sz="0" w:space="0" w:color="auto"/>
      </w:divBdr>
    </w:div>
    <w:div w:id="2003116894">
      <w:bodyDiv w:val="1"/>
      <w:marLeft w:val="0"/>
      <w:marRight w:val="0"/>
      <w:marTop w:val="0"/>
      <w:marBottom w:val="0"/>
      <w:divBdr>
        <w:top w:val="none" w:sz="0" w:space="0" w:color="auto"/>
        <w:left w:val="none" w:sz="0" w:space="0" w:color="auto"/>
        <w:bottom w:val="none" w:sz="0" w:space="0" w:color="auto"/>
        <w:right w:val="none" w:sz="0" w:space="0" w:color="auto"/>
      </w:divBdr>
    </w:div>
    <w:div w:id="2010981537">
      <w:bodyDiv w:val="1"/>
      <w:marLeft w:val="0"/>
      <w:marRight w:val="0"/>
      <w:marTop w:val="0"/>
      <w:marBottom w:val="0"/>
      <w:divBdr>
        <w:top w:val="none" w:sz="0" w:space="0" w:color="auto"/>
        <w:left w:val="none" w:sz="0" w:space="0" w:color="auto"/>
        <w:bottom w:val="none" w:sz="0" w:space="0" w:color="auto"/>
        <w:right w:val="none" w:sz="0" w:space="0" w:color="auto"/>
      </w:divBdr>
    </w:div>
    <w:div w:id="2032486561">
      <w:bodyDiv w:val="1"/>
      <w:marLeft w:val="0"/>
      <w:marRight w:val="0"/>
      <w:marTop w:val="0"/>
      <w:marBottom w:val="0"/>
      <w:divBdr>
        <w:top w:val="none" w:sz="0" w:space="0" w:color="auto"/>
        <w:left w:val="none" w:sz="0" w:space="0" w:color="auto"/>
        <w:bottom w:val="none" w:sz="0" w:space="0" w:color="auto"/>
        <w:right w:val="none" w:sz="0" w:space="0" w:color="auto"/>
      </w:divBdr>
    </w:div>
    <w:div w:id="2041972836">
      <w:bodyDiv w:val="1"/>
      <w:marLeft w:val="0"/>
      <w:marRight w:val="0"/>
      <w:marTop w:val="0"/>
      <w:marBottom w:val="0"/>
      <w:divBdr>
        <w:top w:val="none" w:sz="0" w:space="0" w:color="auto"/>
        <w:left w:val="none" w:sz="0" w:space="0" w:color="auto"/>
        <w:bottom w:val="none" w:sz="0" w:space="0" w:color="auto"/>
        <w:right w:val="none" w:sz="0" w:space="0" w:color="auto"/>
      </w:divBdr>
    </w:div>
    <w:div w:id="2043432392">
      <w:bodyDiv w:val="1"/>
      <w:marLeft w:val="0"/>
      <w:marRight w:val="0"/>
      <w:marTop w:val="0"/>
      <w:marBottom w:val="0"/>
      <w:divBdr>
        <w:top w:val="none" w:sz="0" w:space="0" w:color="auto"/>
        <w:left w:val="none" w:sz="0" w:space="0" w:color="auto"/>
        <w:bottom w:val="none" w:sz="0" w:space="0" w:color="auto"/>
        <w:right w:val="none" w:sz="0" w:space="0" w:color="auto"/>
      </w:divBdr>
    </w:div>
    <w:div w:id="2046831316">
      <w:bodyDiv w:val="1"/>
      <w:marLeft w:val="0"/>
      <w:marRight w:val="0"/>
      <w:marTop w:val="0"/>
      <w:marBottom w:val="0"/>
      <w:divBdr>
        <w:top w:val="none" w:sz="0" w:space="0" w:color="auto"/>
        <w:left w:val="none" w:sz="0" w:space="0" w:color="auto"/>
        <w:bottom w:val="none" w:sz="0" w:space="0" w:color="auto"/>
        <w:right w:val="none" w:sz="0" w:space="0" w:color="auto"/>
      </w:divBdr>
    </w:div>
    <w:div w:id="2103448924">
      <w:bodyDiv w:val="1"/>
      <w:marLeft w:val="0"/>
      <w:marRight w:val="0"/>
      <w:marTop w:val="0"/>
      <w:marBottom w:val="0"/>
      <w:divBdr>
        <w:top w:val="none" w:sz="0" w:space="0" w:color="auto"/>
        <w:left w:val="none" w:sz="0" w:space="0" w:color="auto"/>
        <w:bottom w:val="none" w:sz="0" w:space="0" w:color="auto"/>
        <w:right w:val="none" w:sz="0" w:space="0" w:color="auto"/>
      </w:divBdr>
    </w:div>
    <w:div w:id="2108650538">
      <w:bodyDiv w:val="1"/>
      <w:marLeft w:val="0"/>
      <w:marRight w:val="0"/>
      <w:marTop w:val="0"/>
      <w:marBottom w:val="0"/>
      <w:divBdr>
        <w:top w:val="none" w:sz="0" w:space="0" w:color="auto"/>
        <w:left w:val="none" w:sz="0" w:space="0" w:color="auto"/>
        <w:bottom w:val="none" w:sz="0" w:space="0" w:color="auto"/>
        <w:right w:val="none" w:sz="0" w:space="0" w:color="auto"/>
      </w:divBdr>
    </w:div>
    <w:div w:id="212437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f"/><Relationship Id="rId18" Type="http://schemas.openxmlformats.org/officeDocument/2006/relationships/chart" Target="charts/chart3.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nop.topsid.com/index.php?war=majetkova_a_kapitalova_vystavba_podnik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jezeksw.cz/" TargetMode="External"/><Relationship Id="rId22" Type="http://schemas.openxmlformats.org/officeDocument/2006/relationships/header" Target="head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cela\Desktop\BP\V&#221;KAZY\Komparac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cela\Desktop\BP\V&#221;KAZY\Kompara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cela\Desktop\BP\V&#221;KAZY\Kompara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a:t>Struktura aktiv </a:t>
            </a:r>
          </a:p>
          <a:p>
            <a:pPr>
              <a:defRPr sz="1200"/>
            </a:pPr>
            <a:r>
              <a:rPr lang="cs-CZ" sz="1200"/>
              <a:t>společnosti </a:t>
            </a:r>
            <a:r>
              <a:rPr lang="cs-CZ" sz="1200" baseline="0"/>
              <a:t>KOVOVÝROBA s. r. o. a Q - MONT s. r. o.</a:t>
            </a:r>
            <a:endParaRPr lang="cs-CZ" sz="1200"/>
          </a:p>
        </c:rich>
      </c:tx>
      <c:overlay val="0"/>
    </c:title>
    <c:autoTitleDeleted val="0"/>
    <c:plotArea>
      <c:layout/>
      <c:barChart>
        <c:barDir val="col"/>
        <c:grouping val="stacked"/>
        <c:varyColors val="0"/>
        <c:ser>
          <c:idx val="0"/>
          <c:order val="0"/>
          <c:tx>
            <c:strRef>
              <c:f>List2!$A$2</c:f>
              <c:strCache>
                <c:ptCount val="1"/>
                <c:pt idx="0">
                  <c:v>Dlouhodobý majetek</c:v>
                </c:pt>
              </c:strCache>
            </c:strRef>
          </c:tx>
          <c:invertIfNegative val="0"/>
          <c:cat>
            <c:numRef>
              <c:f>List2!$B$1:$G$1</c:f>
              <c:numCache>
                <c:formatCode>General</c:formatCode>
                <c:ptCount val="6"/>
                <c:pt idx="0">
                  <c:v>2009</c:v>
                </c:pt>
                <c:pt idx="1">
                  <c:v>2010</c:v>
                </c:pt>
                <c:pt idx="2">
                  <c:v>2011</c:v>
                </c:pt>
                <c:pt idx="3">
                  <c:v>2009</c:v>
                </c:pt>
                <c:pt idx="4">
                  <c:v>2010</c:v>
                </c:pt>
                <c:pt idx="5">
                  <c:v>2011</c:v>
                </c:pt>
              </c:numCache>
            </c:numRef>
          </c:cat>
          <c:val>
            <c:numRef>
              <c:f>List2!$B$2:$G$2</c:f>
              <c:numCache>
                <c:formatCode>#,##0</c:formatCode>
                <c:ptCount val="6"/>
                <c:pt idx="0">
                  <c:v>57</c:v>
                </c:pt>
                <c:pt idx="1">
                  <c:v>170</c:v>
                </c:pt>
                <c:pt idx="2">
                  <c:v>119</c:v>
                </c:pt>
                <c:pt idx="3">
                  <c:v>68</c:v>
                </c:pt>
                <c:pt idx="4">
                  <c:v>68</c:v>
                </c:pt>
                <c:pt idx="5">
                  <c:v>0</c:v>
                </c:pt>
              </c:numCache>
            </c:numRef>
          </c:val>
        </c:ser>
        <c:ser>
          <c:idx val="1"/>
          <c:order val="1"/>
          <c:tx>
            <c:strRef>
              <c:f>List2!$A$3</c:f>
              <c:strCache>
                <c:ptCount val="1"/>
                <c:pt idx="0">
                  <c:v>Zásoby</c:v>
                </c:pt>
              </c:strCache>
            </c:strRef>
          </c:tx>
          <c:invertIfNegative val="0"/>
          <c:cat>
            <c:numRef>
              <c:f>List2!$B$1:$G$1</c:f>
              <c:numCache>
                <c:formatCode>General</c:formatCode>
                <c:ptCount val="6"/>
                <c:pt idx="0">
                  <c:v>2009</c:v>
                </c:pt>
                <c:pt idx="1">
                  <c:v>2010</c:v>
                </c:pt>
                <c:pt idx="2">
                  <c:v>2011</c:v>
                </c:pt>
                <c:pt idx="3">
                  <c:v>2009</c:v>
                </c:pt>
                <c:pt idx="4">
                  <c:v>2010</c:v>
                </c:pt>
                <c:pt idx="5">
                  <c:v>2011</c:v>
                </c:pt>
              </c:numCache>
            </c:numRef>
          </c:cat>
          <c:val>
            <c:numRef>
              <c:f>List2!$B$3:$G$3</c:f>
              <c:numCache>
                <c:formatCode>#,##0</c:formatCode>
                <c:ptCount val="6"/>
                <c:pt idx="0">
                  <c:v>0</c:v>
                </c:pt>
                <c:pt idx="1">
                  <c:v>626</c:v>
                </c:pt>
                <c:pt idx="2">
                  <c:v>235</c:v>
                </c:pt>
              </c:numCache>
            </c:numRef>
          </c:val>
        </c:ser>
        <c:ser>
          <c:idx val="2"/>
          <c:order val="2"/>
          <c:tx>
            <c:strRef>
              <c:f>List2!$A$4</c:f>
              <c:strCache>
                <c:ptCount val="1"/>
                <c:pt idx="0">
                  <c:v>Krátkodobé pohledávky</c:v>
                </c:pt>
              </c:strCache>
            </c:strRef>
          </c:tx>
          <c:invertIfNegative val="0"/>
          <c:cat>
            <c:numRef>
              <c:f>List2!$B$1:$G$1</c:f>
              <c:numCache>
                <c:formatCode>General</c:formatCode>
                <c:ptCount val="6"/>
                <c:pt idx="0">
                  <c:v>2009</c:v>
                </c:pt>
                <c:pt idx="1">
                  <c:v>2010</c:v>
                </c:pt>
                <c:pt idx="2">
                  <c:v>2011</c:v>
                </c:pt>
                <c:pt idx="3">
                  <c:v>2009</c:v>
                </c:pt>
                <c:pt idx="4">
                  <c:v>2010</c:v>
                </c:pt>
                <c:pt idx="5">
                  <c:v>2011</c:v>
                </c:pt>
              </c:numCache>
            </c:numRef>
          </c:cat>
          <c:val>
            <c:numRef>
              <c:f>List2!$B$4:$G$4</c:f>
              <c:numCache>
                <c:formatCode>#,##0</c:formatCode>
                <c:ptCount val="6"/>
                <c:pt idx="0">
                  <c:v>241</c:v>
                </c:pt>
                <c:pt idx="1">
                  <c:v>758</c:v>
                </c:pt>
                <c:pt idx="2">
                  <c:v>702</c:v>
                </c:pt>
                <c:pt idx="3">
                  <c:v>1415</c:v>
                </c:pt>
                <c:pt idx="4">
                  <c:v>1398</c:v>
                </c:pt>
                <c:pt idx="5">
                  <c:v>1474</c:v>
                </c:pt>
              </c:numCache>
            </c:numRef>
          </c:val>
        </c:ser>
        <c:ser>
          <c:idx val="3"/>
          <c:order val="3"/>
          <c:tx>
            <c:strRef>
              <c:f>List2!$A$5</c:f>
              <c:strCache>
                <c:ptCount val="1"/>
                <c:pt idx="0">
                  <c:v>Krátkodobý finanční majetek</c:v>
                </c:pt>
              </c:strCache>
            </c:strRef>
          </c:tx>
          <c:invertIfNegative val="0"/>
          <c:cat>
            <c:numRef>
              <c:f>List2!$B$1:$G$1</c:f>
              <c:numCache>
                <c:formatCode>General</c:formatCode>
                <c:ptCount val="6"/>
                <c:pt idx="0">
                  <c:v>2009</c:v>
                </c:pt>
                <c:pt idx="1">
                  <c:v>2010</c:v>
                </c:pt>
                <c:pt idx="2">
                  <c:v>2011</c:v>
                </c:pt>
                <c:pt idx="3">
                  <c:v>2009</c:v>
                </c:pt>
                <c:pt idx="4">
                  <c:v>2010</c:v>
                </c:pt>
                <c:pt idx="5">
                  <c:v>2011</c:v>
                </c:pt>
              </c:numCache>
            </c:numRef>
          </c:cat>
          <c:val>
            <c:numRef>
              <c:f>List2!$B$5:$G$5</c:f>
              <c:numCache>
                <c:formatCode>#,##0</c:formatCode>
                <c:ptCount val="6"/>
                <c:pt idx="0">
                  <c:v>1</c:v>
                </c:pt>
                <c:pt idx="1">
                  <c:v>19</c:v>
                </c:pt>
                <c:pt idx="2">
                  <c:v>62</c:v>
                </c:pt>
                <c:pt idx="3">
                  <c:v>769</c:v>
                </c:pt>
                <c:pt idx="4">
                  <c:v>383</c:v>
                </c:pt>
                <c:pt idx="5">
                  <c:v>292</c:v>
                </c:pt>
              </c:numCache>
            </c:numRef>
          </c:val>
        </c:ser>
        <c:dLbls>
          <c:showLegendKey val="0"/>
          <c:showVal val="0"/>
          <c:showCatName val="0"/>
          <c:showSerName val="0"/>
          <c:showPercent val="0"/>
          <c:showBubbleSize val="0"/>
        </c:dLbls>
        <c:gapWidth val="150"/>
        <c:overlap val="100"/>
        <c:axId val="201048064"/>
        <c:axId val="201049984"/>
      </c:barChart>
      <c:catAx>
        <c:axId val="201048064"/>
        <c:scaling>
          <c:orientation val="minMax"/>
        </c:scaling>
        <c:delete val="0"/>
        <c:axPos val="b"/>
        <c:title>
          <c:tx>
            <c:rich>
              <a:bodyPr/>
              <a:lstStyle/>
              <a:p>
                <a:pPr algn="ctr">
                  <a:defRPr/>
                </a:pPr>
                <a:r>
                  <a:rPr lang="en-US"/>
                  <a:t>Období</a:t>
                </a:r>
                <a:endParaRPr lang="cs-CZ"/>
              </a:p>
              <a:p>
                <a:pPr algn="ctr">
                  <a:defRPr/>
                </a:pPr>
                <a:r>
                  <a:rPr lang="cs-CZ"/>
                  <a:t>KOVOVÝROBA s. r. o.                                        Q - MONT s. r. o.</a:t>
                </a:r>
                <a:endParaRPr lang="en-US"/>
              </a:p>
            </c:rich>
          </c:tx>
          <c:layout>
            <c:manualLayout>
              <c:xMode val="edge"/>
              <c:yMode val="edge"/>
              <c:x val="0.15203173061656575"/>
              <c:y val="0.6757010981103998"/>
            </c:manualLayout>
          </c:layout>
          <c:overlay val="0"/>
        </c:title>
        <c:numFmt formatCode="General" sourceLinked="1"/>
        <c:majorTickMark val="out"/>
        <c:minorTickMark val="none"/>
        <c:tickLblPos val="nextTo"/>
        <c:crossAx val="201049984"/>
        <c:crosses val="autoZero"/>
        <c:auto val="1"/>
        <c:lblAlgn val="ctr"/>
        <c:lblOffset val="100"/>
        <c:noMultiLvlLbl val="0"/>
      </c:catAx>
      <c:valAx>
        <c:axId val="201049984"/>
        <c:scaling>
          <c:orientation val="minMax"/>
        </c:scaling>
        <c:delete val="0"/>
        <c:axPos val="l"/>
        <c:majorGridlines/>
        <c:title>
          <c:tx>
            <c:rich>
              <a:bodyPr rot="-5400000" vert="horz"/>
              <a:lstStyle/>
              <a:p>
                <a:pPr>
                  <a:defRPr/>
                </a:pPr>
                <a:r>
                  <a:rPr lang="en-US"/>
                  <a:t>tis. Kč</a:t>
                </a:r>
              </a:p>
            </c:rich>
          </c:tx>
          <c:overlay val="0"/>
        </c:title>
        <c:numFmt formatCode="#,##0" sourceLinked="1"/>
        <c:majorTickMark val="out"/>
        <c:minorTickMark val="none"/>
        <c:tickLblPos val="nextTo"/>
        <c:crossAx val="201048064"/>
        <c:crosses val="autoZero"/>
        <c:crossBetween val="between"/>
      </c:valAx>
    </c:plotArea>
    <c:legend>
      <c:legendPos val="b"/>
      <c:overlay val="0"/>
    </c:legend>
    <c:plotVisOnly val="1"/>
    <c:dispBlanksAs val="gap"/>
    <c:showDLblsOverMax val="0"/>
  </c:chart>
  <c:txPr>
    <a:bodyPr/>
    <a:lstStyle/>
    <a:p>
      <a:pPr>
        <a:defRPr sz="1100">
          <a:latin typeface="Times New Roman" pitchFamily="18" charset="0"/>
          <a:cs typeface="Times New Roman" pitchFamily="18"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t>Komparace</a:t>
            </a:r>
            <a:r>
              <a:rPr lang="cs-CZ" sz="1200" baseline="0"/>
              <a:t> celkových aktiv a cizích zdrojů společnosti KOVOVÝROBA s. r. o. a Q</a:t>
            </a:r>
            <a:r>
              <a:rPr lang="en-US" sz="1200" baseline="0"/>
              <a:t> - MONT s. r. o.</a:t>
            </a:r>
            <a:endParaRPr lang="cs-CZ" sz="1200"/>
          </a:p>
        </c:rich>
      </c:tx>
      <c:overlay val="0"/>
    </c:title>
    <c:autoTitleDeleted val="0"/>
    <c:plotArea>
      <c:layout/>
      <c:barChart>
        <c:barDir val="col"/>
        <c:grouping val="clustered"/>
        <c:varyColors val="0"/>
        <c:ser>
          <c:idx val="0"/>
          <c:order val="0"/>
          <c:tx>
            <c:strRef>
              <c:f>List3!$A$2:$C$2</c:f>
              <c:strCache>
                <c:ptCount val="1"/>
                <c:pt idx="0">
                  <c:v>AKTIVA CELKEM</c:v>
                </c:pt>
              </c:strCache>
            </c:strRef>
          </c:tx>
          <c:invertIfNegative val="0"/>
          <c:cat>
            <c:numRef>
              <c:f>List3!$D$1:$I$1</c:f>
              <c:numCache>
                <c:formatCode>General</c:formatCode>
                <c:ptCount val="6"/>
                <c:pt idx="0">
                  <c:v>2009</c:v>
                </c:pt>
                <c:pt idx="1">
                  <c:v>2010</c:v>
                </c:pt>
                <c:pt idx="2">
                  <c:v>2011</c:v>
                </c:pt>
                <c:pt idx="3">
                  <c:v>2009</c:v>
                </c:pt>
                <c:pt idx="4">
                  <c:v>2010</c:v>
                </c:pt>
                <c:pt idx="5">
                  <c:v>2011</c:v>
                </c:pt>
              </c:numCache>
            </c:numRef>
          </c:cat>
          <c:val>
            <c:numRef>
              <c:f>List3!$D$2:$I$2</c:f>
              <c:numCache>
                <c:formatCode>#,##0</c:formatCode>
                <c:ptCount val="6"/>
                <c:pt idx="0">
                  <c:v>299</c:v>
                </c:pt>
                <c:pt idx="1">
                  <c:v>1573</c:v>
                </c:pt>
                <c:pt idx="2">
                  <c:v>1118</c:v>
                </c:pt>
                <c:pt idx="3">
                  <c:v>2251</c:v>
                </c:pt>
                <c:pt idx="4">
                  <c:v>1849</c:v>
                </c:pt>
                <c:pt idx="5">
                  <c:v>1766</c:v>
                </c:pt>
              </c:numCache>
            </c:numRef>
          </c:val>
        </c:ser>
        <c:ser>
          <c:idx val="1"/>
          <c:order val="1"/>
          <c:tx>
            <c:strRef>
              <c:f>List3!$A$3:$C$3</c:f>
              <c:strCache>
                <c:ptCount val="1"/>
                <c:pt idx="0">
                  <c:v>CIZÍ ZDROJE</c:v>
                </c:pt>
              </c:strCache>
            </c:strRef>
          </c:tx>
          <c:invertIfNegative val="0"/>
          <c:cat>
            <c:numRef>
              <c:f>List3!$D$1:$I$1</c:f>
              <c:numCache>
                <c:formatCode>General</c:formatCode>
                <c:ptCount val="6"/>
                <c:pt idx="0">
                  <c:v>2009</c:v>
                </c:pt>
                <c:pt idx="1">
                  <c:v>2010</c:v>
                </c:pt>
                <c:pt idx="2">
                  <c:v>2011</c:v>
                </c:pt>
                <c:pt idx="3">
                  <c:v>2009</c:v>
                </c:pt>
                <c:pt idx="4">
                  <c:v>2010</c:v>
                </c:pt>
                <c:pt idx="5">
                  <c:v>2011</c:v>
                </c:pt>
              </c:numCache>
            </c:numRef>
          </c:cat>
          <c:val>
            <c:numRef>
              <c:f>List3!$D$3:$I$3</c:f>
              <c:numCache>
                <c:formatCode>#,##0</c:formatCode>
                <c:ptCount val="6"/>
                <c:pt idx="0">
                  <c:v>156</c:v>
                </c:pt>
                <c:pt idx="1">
                  <c:v>2113</c:v>
                </c:pt>
                <c:pt idx="2">
                  <c:v>4108</c:v>
                </c:pt>
                <c:pt idx="3">
                  <c:v>1521</c:v>
                </c:pt>
                <c:pt idx="4">
                  <c:v>1178</c:v>
                </c:pt>
                <c:pt idx="5">
                  <c:v>899</c:v>
                </c:pt>
              </c:numCache>
            </c:numRef>
          </c:val>
        </c:ser>
        <c:dLbls>
          <c:showLegendKey val="0"/>
          <c:showVal val="0"/>
          <c:showCatName val="0"/>
          <c:showSerName val="0"/>
          <c:showPercent val="0"/>
          <c:showBubbleSize val="0"/>
        </c:dLbls>
        <c:gapWidth val="150"/>
        <c:axId val="201534464"/>
        <c:axId val="201540736"/>
      </c:barChart>
      <c:catAx>
        <c:axId val="201534464"/>
        <c:scaling>
          <c:orientation val="minMax"/>
        </c:scaling>
        <c:delete val="0"/>
        <c:axPos val="b"/>
        <c:title>
          <c:tx>
            <c:rich>
              <a:bodyPr/>
              <a:lstStyle/>
              <a:p>
                <a:pPr>
                  <a:defRPr/>
                </a:pPr>
                <a:r>
                  <a:rPr lang="en-US"/>
                  <a:t>Obdob</a:t>
                </a:r>
                <a:r>
                  <a:rPr lang="cs-CZ"/>
                  <a:t>í</a:t>
                </a:r>
                <a:r>
                  <a:rPr lang="cs-CZ" baseline="0"/>
                  <a:t> </a:t>
                </a:r>
              </a:p>
              <a:p>
                <a:pPr>
                  <a:defRPr/>
                </a:pPr>
                <a:r>
                  <a:rPr lang="cs-CZ" baseline="0"/>
                  <a:t>KOVOVÝROBA s. r. o.                        Q - MONT s. r. o.</a:t>
                </a:r>
                <a:endParaRPr lang="cs-CZ"/>
              </a:p>
            </c:rich>
          </c:tx>
          <c:overlay val="0"/>
        </c:title>
        <c:numFmt formatCode="General" sourceLinked="1"/>
        <c:majorTickMark val="out"/>
        <c:minorTickMark val="none"/>
        <c:tickLblPos val="nextTo"/>
        <c:crossAx val="201540736"/>
        <c:crosses val="autoZero"/>
        <c:auto val="1"/>
        <c:lblAlgn val="ctr"/>
        <c:lblOffset val="100"/>
        <c:noMultiLvlLbl val="0"/>
      </c:catAx>
      <c:valAx>
        <c:axId val="201540736"/>
        <c:scaling>
          <c:orientation val="minMax"/>
        </c:scaling>
        <c:delete val="0"/>
        <c:axPos val="l"/>
        <c:majorGridlines/>
        <c:title>
          <c:tx>
            <c:rich>
              <a:bodyPr rot="-5400000" vert="horz"/>
              <a:lstStyle/>
              <a:p>
                <a:pPr>
                  <a:defRPr/>
                </a:pPr>
                <a:r>
                  <a:rPr lang="en-US"/>
                  <a:t>tis. Kč</a:t>
                </a:r>
              </a:p>
            </c:rich>
          </c:tx>
          <c:overlay val="0"/>
        </c:title>
        <c:numFmt formatCode="#,##0" sourceLinked="1"/>
        <c:majorTickMark val="out"/>
        <c:minorTickMark val="none"/>
        <c:tickLblPos val="nextTo"/>
        <c:crossAx val="201534464"/>
        <c:crosses val="autoZero"/>
        <c:crossBetween val="between"/>
      </c:valAx>
    </c:plotArea>
    <c:legend>
      <c:legendPos val="b"/>
      <c:overlay val="0"/>
    </c:legend>
    <c:plotVisOnly val="1"/>
    <c:dispBlanksAs val="gap"/>
    <c:showDLblsOverMax val="0"/>
  </c:chart>
  <c:txPr>
    <a:bodyPr/>
    <a:lstStyle/>
    <a:p>
      <a:pPr>
        <a:defRPr sz="1100">
          <a:latin typeface="Times New Roman" pitchFamily="18" charset="0"/>
          <a:cs typeface="Times New Roman" pitchFamily="18" charset="0"/>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t>Rentabilita aktiv společnosti KOVOVÝROBA</a:t>
            </a:r>
            <a:r>
              <a:rPr lang="cs-CZ" sz="1200" baseline="0"/>
              <a:t> s. r. o.</a:t>
            </a:r>
          </a:p>
          <a:p>
            <a:pPr>
              <a:defRPr/>
            </a:pPr>
            <a:r>
              <a:rPr lang="cs-CZ" sz="1200" baseline="0"/>
              <a:t> a Q - MONT s. r. o.</a:t>
            </a:r>
            <a:endParaRPr lang="cs-CZ" sz="1200"/>
          </a:p>
        </c:rich>
      </c:tx>
      <c:overlay val="0"/>
    </c:title>
    <c:autoTitleDeleted val="0"/>
    <c:plotArea>
      <c:layout/>
      <c:lineChart>
        <c:grouping val="standard"/>
        <c:varyColors val="0"/>
        <c:ser>
          <c:idx val="0"/>
          <c:order val="0"/>
          <c:tx>
            <c:strRef>
              <c:f>List3!$A$16:$B$16</c:f>
              <c:strCache>
                <c:ptCount val="1"/>
                <c:pt idx="0">
                  <c:v>KOVOVÝROBA s. r. o.</c:v>
                </c:pt>
              </c:strCache>
            </c:strRef>
          </c:tx>
          <c:cat>
            <c:numRef>
              <c:f>List3!$C$15:$E$15</c:f>
              <c:numCache>
                <c:formatCode>General</c:formatCode>
                <c:ptCount val="3"/>
                <c:pt idx="0">
                  <c:v>2009</c:v>
                </c:pt>
                <c:pt idx="1">
                  <c:v>2010</c:v>
                </c:pt>
                <c:pt idx="2">
                  <c:v>2011</c:v>
                </c:pt>
              </c:numCache>
            </c:numRef>
          </c:cat>
          <c:val>
            <c:numRef>
              <c:f>List3!$C$16:$E$16</c:f>
              <c:numCache>
                <c:formatCode>General</c:formatCode>
                <c:ptCount val="3"/>
                <c:pt idx="0">
                  <c:v>-19.059999999999999</c:v>
                </c:pt>
                <c:pt idx="1">
                  <c:v>-43.42</c:v>
                </c:pt>
                <c:pt idx="2">
                  <c:v>-219.14</c:v>
                </c:pt>
              </c:numCache>
            </c:numRef>
          </c:val>
          <c:smooth val="0"/>
        </c:ser>
        <c:ser>
          <c:idx val="1"/>
          <c:order val="1"/>
          <c:tx>
            <c:strRef>
              <c:f>List3!$A$17:$B$17</c:f>
              <c:strCache>
                <c:ptCount val="1"/>
                <c:pt idx="0">
                  <c:v>Q - MONT s. r. o.</c:v>
                </c:pt>
              </c:strCache>
            </c:strRef>
          </c:tx>
          <c:cat>
            <c:numRef>
              <c:f>List3!$C$15:$E$15</c:f>
              <c:numCache>
                <c:formatCode>General</c:formatCode>
                <c:ptCount val="3"/>
                <c:pt idx="0">
                  <c:v>2009</c:v>
                </c:pt>
                <c:pt idx="1">
                  <c:v>2010</c:v>
                </c:pt>
                <c:pt idx="2">
                  <c:v>2011</c:v>
                </c:pt>
              </c:numCache>
            </c:numRef>
          </c:cat>
          <c:val>
            <c:numRef>
              <c:f>List3!$C$17:$E$17</c:f>
              <c:numCache>
                <c:formatCode>General</c:formatCode>
                <c:ptCount val="3"/>
                <c:pt idx="0">
                  <c:v>7.55</c:v>
                </c:pt>
                <c:pt idx="1">
                  <c:v>-3.24</c:v>
                </c:pt>
                <c:pt idx="2">
                  <c:v>13.82</c:v>
                </c:pt>
              </c:numCache>
            </c:numRef>
          </c:val>
          <c:smooth val="0"/>
        </c:ser>
        <c:dLbls>
          <c:showLegendKey val="0"/>
          <c:showVal val="0"/>
          <c:showCatName val="0"/>
          <c:showSerName val="0"/>
          <c:showPercent val="0"/>
          <c:showBubbleSize val="0"/>
        </c:dLbls>
        <c:marker val="1"/>
        <c:smooth val="0"/>
        <c:axId val="201574656"/>
        <c:axId val="201585024"/>
      </c:lineChart>
      <c:catAx>
        <c:axId val="201574656"/>
        <c:scaling>
          <c:orientation val="minMax"/>
        </c:scaling>
        <c:delete val="0"/>
        <c:axPos val="b"/>
        <c:title>
          <c:tx>
            <c:rich>
              <a:bodyPr/>
              <a:lstStyle/>
              <a:p>
                <a:pPr>
                  <a:defRPr/>
                </a:pPr>
                <a:r>
                  <a:rPr lang="en-US"/>
                  <a:t>Období</a:t>
                </a:r>
              </a:p>
            </c:rich>
          </c:tx>
          <c:overlay val="0"/>
        </c:title>
        <c:numFmt formatCode="General" sourceLinked="1"/>
        <c:majorTickMark val="out"/>
        <c:minorTickMark val="none"/>
        <c:tickLblPos val="nextTo"/>
        <c:crossAx val="201585024"/>
        <c:crosses val="autoZero"/>
        <c:auto val="1"/>
        <c:lblAlgn val="ctr"/>
        <c:lblOffset val="100"/>
        <c:noMultiLvlLbl val="0"/>
      </c:catAx>
      <c:valAx>
        <c:axId val="201585024"/>
        <c:scaling>
          <c:orientation val="minMax"/>
        </c:scaling>
        <c:delete val="0"/>
        <c:axPos val="l"/>
        <c:majorGridlines/>
        <c:title>
          <c:tx>
            <c:rich>
              <a:bodyPr rot="-5400000" vert="horz"/>
              <a:lstStyle/>
              <a:p>
                <a:pPr>
                  <a:defRPr/>
                </a:pPr>
                <a:r>
                  <a:rPr lang="en-US"/>
                  <a:t>rentabilita celkových aktiv (%)</a:t>
                </a:r>
              </a:p>
            </c:rich>
          </c:tx>
          <c:overlay val="0"/>
        </c:title>
        <c:numFmt formatCode="General" sourceLinked="1"/>
        <c:majorTickMark val="out"/>
        <c:minorTickMark val="none"/>
        <c:tickLblPos val="nextTo"/>
        <c:crossAx val="201574656"/>
        <c:crosses val="autoZero"/>
        <c:crossBetween val="between"/>
      </c:valAx>
    </c:plotArea>
    <c:legend>
      <c:legendPos val="b"/>
      <c:overlay val="0"/>
    </c:legend>
    <c:plotVisOnly val="1"/>
    <c:dispBlanksAs val="gap"/>
    <c:showDLblsOverMax val="0"/>
  </c:chart>
  <c:txPr>
    <a:bodyPr/>
    <a:lstStyle/>
    <a:p>
      <a:pPr>
        <a:defRPr sz="1100">
          <a:latin typeface="Times New Roman" pitchFamily="18" charset="0"/>
          <a:cs typeface="Times New Roman" pitchFamily="18" charset="0"/>
        </a:defRPr>
      </a:pPr>
      <a:endParaRPr lang="cs-CZ"/>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3FAB95127344CBE86BAF7D133C7B42A"/>
        <w:category>
          <w:name w:val="Obecné"/>
          <w:gallery w:val="placeholder"/>
        </w:category>
        <w:types>
          <w:type w:val="bbPlcHdr"/>
        </w:types>
        <w:behaviors>
          <w:behavior w:val="content"/>
        </w:behaviors>
        <w:guid w:val="{B226C8B6-F382-466D-9231-4FB74C3ACD2F}"/>
      </w:docPartPr>
      <w:docPartBody>
        <w:p w:rsidR="00E37F88" w:rsidRDefault="00310812" w:rsidP="00310812">
          <w:pPr>
            <w:pStyle w:val="43FAB95127344CBE86BAF7D133C7B42A"/>
          </w:pPr>
          <w:r w:rsidRPr="004D372E">
            <w:rPr>
              <w:rStyle w:val="Zstupntext"/>
            </w:rPr>
            <w:t>Zvolte položku.</w:t>
          </w:r>
        </w:p>
      </w:docPartBody>
    </w:docPart>
    <w:docPart>
      <w:docPartPr>
        <w:name w:val="4B39AF3D862B40878E705597795E2659"/>
        <w:category>
          <w:name w:val="Obecné"/>
          <w:gallery w:val="placeholder"/>
        </w:category>
        <w:types>
          <w:type w:val="bbPlcHdr"/>
        </w:types>
        <w:behaviors>
          <w:behavior w:val="content"/>
        </w:behaviors>
        <w:guid w:val="{5E247A6D-7359-494D-B314-6B99521F403A}"/>
      </w:docPartPr>
      <w:docPartBody>
        <w:p w:rsidR="00E37F88" w:rsidRDefault="00310812" w:rsidP="00310812">
          <w:pPr>
            <w:pStyle w:val="4B39AF3D862B40878E705597795E2659"/>
          </w:pPr>
          <w:r w:rsidRPr="00245310">
            <w:rPr>
              <w:rStyle w:val="Zstupntext"/>
            </w:rPr>
            <w:t>Zvolte položku.</w:t>
          </w:r>
        </w:p>
      </w:docPartBody>
    </w:docPart>
    <w:docPart>
      <w:docPartPr>
        <w:name w:val="58376A89A48741889FFD3E6F92FB8653"/>
        <w:category>
          <w:name w:val="Obecné"/>
          <w:gallery w:val="placeholder"/>
        </w:category>
        <w:types>
          <w:type w:val="bbPlcHdr"/>
        </w:types>
        <w:behaviors>
          <w:behavior w:val="content"/>
        </w:behaviors>
        <w:guid w:val="{D6AAB6A5-7DCA-41D6-B160-4059D5EDADED}"/>
      </w:docPartPr>
      <w:docPartBody>
        <w:p w:rsidR="00E37F88" w:rsidRDefault="00310812" w:rsidP="00310812">
          <w:pPr>
            <w:pStyle w:val="58376A89A48741889FFD3E6F92FB8653"/>
          </w:pPr>
          <w:r w:rsidRPr="00C33043">
            <w:rPr>
              <w:rStyle w:val="Zstupntext"/>
            </w:rPr>
            <w:t>Klepněte sem a zadejte text.</w:t>
          </w:r>
        </w:p>
      </w:docPartBody>
    </w:docPart>
    <w:docPart>
      <w:docPartPr>
        <w:name w:val="97FA625E81544527ACDFB76CA36C22EA"/>
        <w:category>
          <w:name w:val="Obecné"/>
          <w:gallery w:val="placeholder"/>
        </w:category>
        <w:types>
          <w:type w:val="bbPlcHdr"/>
        </w:types>
        <w:behaviors>
          <w:behavior w:val="content"/>
        </w:behaviors>
        <w:guid w:val="{385793D4-8CA0-479B-AFA9-CC4E72301998}"/>
      </w:docPartPr>
      <w:docPartBody>
        <w:p w:rsidR="00E37F88" w:rsidRDefault="00310812" w:rsidP="00310812">
          <w:pPr>
            <w:pStyle w:val="97FA625E81544527ACDFB76CA36C22EA"/>
          </w:pPr>
          <w:r w:rsidRPr="00C33043">
            <w:rPr>
              <w:rStyle w:val="Zstupntext"/>
            </w:rPr>
            <w:t>Klepněte sem a zadejte text.</w:t>
          </w:r>
        </w:p>
      </w:docPartBody>
    </w:docPart>
    <w:docPart>
      <w:docPartPr>
        <w:name w:val="8BCD149CE2E544A59AA385BC52DF618C"/>
        <w:category>
          <w:name w:val="Obecné"/>
          <w:gallery w:val="placeholder"/>
        </w:category>
        <w:types>
          <w:type w:val="bbPlcHdr"/>
        </w:types>
        <w:behaviors>
          <w:behavior w:val="content"/>
        </w:behaviors>
        <w:guid w:val="{68AC7563-3618-484F-B688-7A68EBDB4765}"/>
      </w:docPartPr>
      <w:docPartBody>
        <w:p w:rsidR="00E37F88" w:rsidRDefault="00310812" w:rsidP="00310812">
          <w:pPr>
            <w:pStyle w:val="8BCD149CE2E544A59AA385BC52DF618C"/>
          </w:pPr>
          <w:r w:rsidRPr="00C33043">
            <w:rPr>
              <w:rStyle w:val="Zstupntext"/>
            </w:rPr>
            <w:t>Klepněte sem a zadejte text.</w:t>
          </w:r>
        </w:p>
      </w:docPartBody>
    </w:docPart>
    <w:docPart>
      <w:docPartPr>
        <w:name w:val="F33F60ECD24C4AEEA26ED375F3CCCFEA"/>
        <w:category>
          <w:name w:val="Obecné"/>
          <w:gallery w:val="placeholder"/>
        </w:category>
        <w:types>
          <w:type w:val="bbPlcHdr"/>
        </w:types>
        <w:behaviors>
          <w:behavior w:val="content"/>
        </w:behaviors>
        <w:guid w:val="{8D4E0C6D-567A-4738-85F6-4A48FEC3DA9D}"/>
      </w:docPartPr>
      <w:docPartBody>
        <w:p w:rsidR="00E37F88" w:rsidRDefault="00310812" w:rsidP="00310812">
          <w:pPr>
            <w:pStyle w:val="F33F60ECD24C4AEEA26ED375F3CCCFEA"/>
          </w:pPr>
          <w:r w:rsidRPr="00C33043">
            <w:rPr>
              <w:rStyle w:val="Zstupntext"/>
            </w:rPr>
            <w:t>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Verdana">
    <w:altName w:val="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310812"/>
    <w:rsid w:val="000973C4"/>
    <w:rsid w:val="000A393D"/>
    <w:rsid w:val="000D6F63"/>
    <w:rsid w:val="000F338A"/>
    <w:rsid w:val="001212FD"/>
    <w:rsid w:val="00160C7F"/>
    <w:rsid w:val="00214159"/>
    <w:rsid w:val="0027483B"/>
    <w:rsid w:val="003014EF"/>
    <w:rsid w:val="00310812"/>
    <w:rsid w:val="0041057E"/>
    <w:rsid w:val="0047372F"/>
    <w:rsid w:val="004830F8"/>
    <w:rsid w:val="004A4A69"/>
    <w:rsid w:val="004E13FB"/>
    <w:rsid w:val="00566A4B"/>
    <w:rsid w:val="005C6F55"/>
    <w:rsid w:val="006779E5"/>
    <w:rsid w:val="00703FA2"/>
    <w:rsid w:val="00785DAC"/>
    <w:rsid w:val="007C3F03"/>
    <w:rsid w:val="007D364A"/>
    <w:rsid w:val="00836FE1"/>
    <w:rsid w:val="008525F1"/>
    <w:rsid w:val="00864988"/>
    <w:rsid w:val="009200C3"/>
    <w:rsid w:val="00955D39"/>
    <w:rsid w:val="00A01DC6"/>
    <w:rsid w:val="00A30358"/>
    <w:rsid w:val="00AB588F"/>
    <w:rsid w:val="00AC1541"/>
    <w:rsid w:val="00AC54D5"/>
    <w:rsid w:val="00AD2154"/>
    <w:rsid w:val="00B13F08"/>
    <w:rsid w:val="00B62255"/>
    <w:rsid w:val="00BE6431"/>
    <w:rsid w:val="00CD08F7"/>
    <w:rsid w:val="00CE00F4"/>
    <w:rsid w:val="00D02ED1"/>
    <w:rsid w:val="00E11FB5"/>
    <w:rsid w:val="00E37F88"/>
    <w:rsid w:val="00E8604D"/>
    <w:rsid w:val="00EC466D"/>
    <w:rsid w:val="00EC736B"/>
    <w:rsid w:val="00F172D1"/>
    <w:rsid w:val="00F45226"/>
    <w:rsid w:val="00F53323"/>
    <w:rsid w:val="00F87D4F"/>
    <w:rsid w:val="00F916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703FA2"/>
    <w:rPr>
      <w:color w:val="808080"/>
    </w:rPr>
  </w:style>
  <w:style w:type="paragraph" w:customStyle="1" w:styleId="43FAB95127344CBE86BAF7D133C7B42A">
    <w:name w:val="43FAB95127344CBE86BAF7D133C7B42A"/>
    <w:rsid w:val="00310812"/>
  </w:style>
  <w:style w:type="paragraph" w:customStyle="1" w:styleId="4B39AF3D862B40878E705597795E2659">
    <w:name w:val="4B39AF3D862B40878E705597795E2659"/>
    <w:rsid w:val="00310812"/>
  </w:style>
  <w:style w:type="paragraph" w:customStyle="1" w:styleId="58376A89A48741889FFD3E6F92FB8653">
    <w:name w:val="58376A89A48741889FFD3E6F92FB8653"/>
    <w:rsid w:val="00310812"/>
  </w:style>
  <w:style w:type="paragraph" w:customStyle="1" w:styleId="97FA625E81544527ACDFB76CA36C22EA">
    <w:name w:val="97FA625E81544527ACDFB76CA36C22EA"/>
    <w:rsid w:val="00310812"/>
  </w:style>
  <w:style w:type="paragraph" w:customStyle="1" w:styleId="8BCD149CE2E544A59AA385BC52DF618C">
    <w:name w:val="8BCD149CE2E544A59AA385BC52DF618C"/>
    <w:rsid w:val="00310812"/>
  </w:style>
  <w:style w:type="paragraph" w:customStyle="1" w:styleId="F33F60ECD24C4AEEA26ED375F3CCCFEA">
    <w:name w:val="F33F60ECD24C4AEEA26ED375F3CCCFEA"/>
    <w:rsid w:val="00310812"/>
  </w:style>
  <w:style w:type="paragraph" w:customStyle="1" w:styleId="09A960F070204D5C8200DA8E925B54C5">
    <w:name w:val="09A960F070204D5C8200DA8E925B54C5"/>
    <w:rsid w:val="00310812"/>
  </w:style>
  <w:style w:type="paragraph" w:customStyle="1" w:styleId="B1D8948714834206A2622D52002DF4AB">
    <w:name w:val="B1D8948714834206A2622D52002DF4AB"/>
    <w:rsid w:val="00310812"/>
  </w:style>
  <w:style w:type="paragraph" w:customStyle="1" w:styleId="AEA0F9BF37964438AE518A3695E25C30">
    <w:name w:val="AEA0F9BF37964438AE518A3695E25C30"/>
    <w:rsid w:val="00E37F88"/>
  </w:style>
  <w:style w:type="paragraph" w:customStyle="1" w:styleId="10833ACA500E4CF28201304FFEFB021B">
    <w:name w:val="10833ACA500E4CF28201304FFEFB021B"/>
    <w:rsid w:val="00703FA2"/>
  </w:style>
  <w:style w:type="paragraph" w:customStyle="1" w:styleId="75672267AB8E4574853D17570280C985">
    <w:name w:val="75672267AB8E4574853D17570280C985"/>
    <w:rsid w:val="00703FA2"/>
  </w:style>
  <w:style w:type="paragraph" w:customStyle="1" w:styleId="8DAFA9C71F874EA5A48729B1736A84F0">
    <w:name w:val="8DAFA9C71F874EA5A48729B1736A84F0"/>
    <w:rsid w:val="00703FA2"/>
  </w:style>
  <w:style w:type="paragraph" w:customStyle="1" w:styleId="19212E00195941CA80C2813A286629EA">
    <w:name w:val="19212E00195941CA80C2813A286629EA"/>
    <w:rsid w:val="00703FA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9D559-A895-45D3-B90F-79BADF309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93</Pages>
  <Words>17872</Words>
  <Characters>105448</Characters>
  <Application>Microsoft Office Word</Application>
  <DocSecurity>0</DocSecurity>
  <Lines>878</Lines>
  <Paragraphs>246</Paragraphs>
  <ScaleCrop>false</ScaleCrop>
  <HeadingPairs>
    <vt:vector size="2" baseType="variant">
      <vt:variant>
        <vt:lpstr>Název</vt:lpstr>
      </vt:variant>
      <vt:variant>
        <vt:i4>1</vt:i4>
      </vt:variant>
    </vt:vector>
  </HeadingPairs>
  <TitlesOfParts>
    <vt:vector size="1" baseType="lpstr">
      <vt:lpstr/>
    </vt:vector>
  </TitlesOfParts>
  <Company>VSEM</Company>
  <LinksUpToDate>false</LinksUpToDate>
  <CharactersWithSpaces>123074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jana.bauernoplova</dc:creator>
  <cp:lastModifiedBy>admin</cp:lastModifiedBy>
  <cp:revision>16</cp:revision>
  <cp:lastPrinted>2013-04-16T17:18:00Z</cp:lastPrinted>
  <dcterms:created xsi:type="dcterms:W3CDTF">2013-04-15T17:42:00Z</dcterms:created>
  <dcterms:modified xsi:type="dcterms:W3CDTF">2013-04-18T11:30:00Z</dcterms:modified>
</cp:coreProperties>
</file>