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CB75" w14:textId="77777777" w:rsidR="00C9127F" w:rsidRPr="00E10BE6" w:rsidRDefault="00C9127F" w:rsidP="00C9127F">
      <w:pPr>
        <w:spacing w:after="0" w:line="360" w:lineRule="auto"/>
        <w:jc w:val="center"/>
        <w:rPr>
          <w:rFonts w:ascii="Times New Roman" w:hAnsi="Times New Roman" w:cs="Times New Roman"/>
          <w:b/>
          <w:sz w:val="28"/>
        </w:rPr>
      </w:pPr>
      <w:bookmarkStart w:id="0" w:name="_Toc536289133"/>
      <w:bookmarkStart w:id="1" w:name="_Toc169290"/>
      <w:r w:rsidRPr="00E10BE6">
        <w:rPr>
          <w:rFonts w:ascii="Times New Roman" w:hAnsi="Times New Roman" w:cs="Times New Roman"/>
          <w:b/>
          <w:sz w:val="28"/>
        </w:rPr>
        <w:t>Univerzita Palackého v Olomouci</w:t>
      </w:r>
    </w:p>
    <w:p w14:paraId="2D1F0CD0" w14:textId="77777777" w:rsidR="00C9127F" w:rsidRPr="00E10BE6" w:rsidRDefault="00C9127F" w:rsidP="00C9127F">
      <w:pPr>
        <w:spacing w:after="0" w:line="360" w:lineRule="auto"/>
        <w:jc w:val="center"/>
        <w:rPr>
          <w:rFonts w:ascii="Times New Roman" w:hAnsi="Times New Roman" w:cs="Times New Roman"/>
          <w:b/>
          <w:sz w:val="28"/>
        </w:rPr>
      </w:pPr>
      <w:r w:rsidRPr="00E10BE6">
        <w:rPr>
          <w:rFonts w:ascii="Times New Roman" w:hAnsi="Times New Roman" w:cs="Times New Roman"/>
          <w:b/>
          <w:sz w:val="28"/>
        </w:rPr>
        <w:t>Právnická fakulta</w:t>
      </w:r>
    </w:p>
    <w:p w14:paraId="1B3B6214" w14:textId="77777777" w:rsidR="00C9127F" w:rsidRPr="00E10BE6" w:rsidRDefault="00C9127F" w:rsidP="00C9127F">
      <w:pPr>
        <w:spacing w:after="0" w:line="360" w:lineRule="auto"/>
        <w:jc w:val="center"/>
        <w:rPr>
          <w:rFonts w:ascii="Times New Roman" w:hAnsi="Times New Roman" w:cs="Times New Roman"/>
          <w:b/>
          <w:sz w:val="28"/>
        </w:rPr>
      </w:pPr>
    </w:p>
    <w:p w14:paraId="502E5CED" w14:textId="77777777" w:rsidR="00C9127F" w:rsidRPr="00E10BE6" w:rsidRDefault="00C9127F" w:rsidP="00C9127F">
      <w:pPr>
        <w:spacing w:after="0" w:line="360" w:lineRule="auto"/>
        <w:jc w:val="center"/>
        <w:rPr>
          <w:rFonts w:ascii="Times New Roman" w:hAnsi="Times New Roman" w:cs="Times New Roman"/>
          <w:b/>
          <w:sz w:val="28"/>
        </w:rPr>
      </w:pPr>
    </w:p>
    <w:p w14:paraId="1DAFCAC3" w14:textId="77777777" w:rsidR="00C9127F" w:rsidRPr="00E10BE6" w:rsidRDefault="00C9127F" w:rsidP="00C9127F">
      <w:pPr>
        <w:spacing w:after="0" w:line="360" w:lineRule="auto"/>
        <w:jc w:val="center"/>
        <w:rPr>
          <w:rFonts w:ascii="Times New Roman" w:hAnsi="Times New Roman" w:cs="Times New Roman"/>
          <w:b/>
          <w:sz w:val="28"/>
        </w:rPr>
      </w:pPr>
    </w:p>
    <w:p w14:paraId="7C026C6F" w14:textId="77777777" w:rsidR="00C9127F" w:rsidRPr="00E10BE6" w:rsidRDefault="00C9127F" w:rsidP="00C9127F">
      <w:pPr>
        <w:spacing w:after="0" w:line="360" w:lineRule="auto"/>
        <w:jc w:val="center"/>
        <w:rPr>
          <w:rFonts w:ascii="Times New Roman" w:hAnsi="Times New Roman" w:cs="Times New Roman"/>
          <w:b/>
          <w:sz w:val="28"/>
        </w:rPr>
      </w:pPr>
    </w:p>
    <w:p w14:paraId="0406D71D" w14:textId="77777777" w:rsidR="00C9127F" w:rsidRPr="00E10BE6" w:rsidRDefault="00C9127F" w:rsidP="00C9127F">
      <w:pPr>
        <w:spacing w:after="0" w:line="360" w:lineRule="auto"/>
        <w:jc w:val="center"/>
        <w:rPr>
          <w:rFonts w:ascii="Times New Roman" w:hAnsi="Times New Roman" w:cs="Times New Roman"/>
          <w:b/>
          <w:sz w:val="28"/>
        </w:rPr>
      </w:pPr>
    </w:p>
    <w:p w14:paraId="15771F85" w14:textId="77777777" w:rsidR="00C9127F" w:rsidRPr="00E10BE6" w:rsidRDefault="00C9127F" w:rsidP="00C9127F">
      <w:pPr>
        <w:spacing w:after="0" w:line="360" w:lineRule="auto"/>
        <w:jc w:val="center"/>
        <w:rPr>
          <w:rFonts w:ascii="Times New Roman" w:hAnsi="Times New Roman" w:cs="Times New Roman"/>
          <w:b/>
          <w:sz w:val="28"/>
        </w:rPr>
      </w:pPr>
    </w:p>
    <w:p w14:paraId="1600FCB2" w14:textId="77777777" w:rsidR="00C9127F" w:rsidRPr="00E10BE6" w:rsidRDefault="00C9127F" w:rsidP="00C9127F">
      <w:pPr>
        <w:spacing w:after="0" w:line="360" w:lineRule="auto"/>
        <w:jc w:val="center"/>
        <w:rPr>
          <w:rFonts w:ascii="Times New Roman" w:hAnsi="Times New Roman" w:cs="Times New Roman"/>
          <w:b/>
          <w:sz w:val="28"/>
        </w:rPr>
      </w:pPr>
    </w:p>
    <w:p w14:paraId="3EEB082A" w14:textId="77777777" w:rsidR="00C9127F" w:rsidRPr="00E10BE6" w:rsidRDefault="00C9127F" w:rsidP="00C9127F">
      <w:pPr>
        <w:spacing w:after="0" w:line="360" w:lineRule="auto"/>
        <w:jc w:val="center"/>
        <w:rPr>
          <w:rFonts w:ascii="Times New Roman" w:hAnsi="Times New Roman" w:cs="Times New Roman"/>
          <w:b/>
          <w:sz w:val="28"/>
        </w:rPr>
      </w:pPr>
    </w:p>
    <w:p w14:paraId="59A50261" w14:textId="77777777" w:rsidR="00C9127F" w:rsidRPr="00E10BE6" w:rsidRDefault="00C9127F" w:rsidP="00C9127F">
      <w:pPr>
        <w:spacing w:after="0" w:line="360" w:lineRule="auto"/>
        <w:rPr>
          <w:rFonts w:ascii="Times New Roman" w:hAnsi="Times New Roman" w:cs="Times New Roman"/>
          <w:b/>
          <w:sz w:val="28"/>
        </w:rPr>
      </w:pPr>
    </w:p>
    <w:p w14:paraId="2A593C40" w14:textId="77777777" w:rsidR="00C9127F" w:rsidRPr="00E10BE6" w:rsidRDefault="00C9127F" w:rsidP="00C9127F">
      <w:pPr>
        <w:spacing w:after="0"/>
        <w:jc w:val="center"/>
        <w:rPr>
          <w:rFonts w:ascii="Times New Roman" w:hAnsi="Times New Roman" w:cs="Times New Roman"/>
          <w:b/>
          <w:sz w:val="28"/>
        </w:rPr>
      </w:pPr>
    </w:p>
    <w:p w14:paraId="3C692423" w14:textId="77777777" w:rsidR="00C9127F" w:rsidRPr="00E10BE6" w:rsidRDefault="00C9127F" w:rsidP="00C9127F">
      <w:pPr>
        <w:spacing w:after="0"/>
        <w:jc w:val="center"/>
        <w:rPr>
          <w:rFonts w:ascii="Times New Roman" w:hAnsi="Times New Roman" w:cs="Times New Roman"/>
          <w:b/>
          <w:sz w:val="28"/>
        </w:rPr>
      </w:pPr>
      <w:r w:rsidRPr="00E10BE6">
        <w:rPr>
          <w:rFonts w:ascii="Times New Roman" w:hAnsi="Times New Roman" w:cs="Times New Roman"/>
          <w:b/>
          <w:sz w:val="28"/>
        </w:rPr>
        <w:t>Eliška Mikysková</w:t>
      </w:r>
    </w:p>
    <w:p w14:paraId="289C3818" w14:textId="77777777" w:rsidR="00C9127F" w:rsidRPr="00E10BE6" w:rsidRDefault="00C9127F" w:rsidP="00C9127F">
      <w:pPr>
        <w:spacing w:after="0"/>
        <w:jc w:val="center"/>
        <w:rPr>
          <w:rFonts w:ascii="Times New Roman" w:hAnsi="Times New Roman" w:cs="Times New Roman"/>
          <w:b/>
          <w:sz w:val="28"/>
        </w:rPr>
      </w:pPr>
    </w:p>
    <w:p w14:paraId="0C20C158" w14:textId="77777777" w:rsidR="00C9127F" w:rsidRPr="00E10BE6" w:rsidRDefault="00C9127F" w:rsidP="00C9127F">
      <w:pPr>
        <w:spacing w:after="0"/>
        <w:jc w:val="center"/>
        <w:rPr>
          <w:rFonts w:ascii="Times New Roman" w:hAnsi="Times New Roman" w:cs="Times New Roman"/>
          <w:b/>
          <w:sz w:val="28"/>
        </w:rPr>
      </w:pPr>
      <w:r w:rsidRPr="00E10BE6">
        <w:rPr>
          <w:rFonts w:ascii="Times New Roman" w:hAnsi="Times New Roman" w:cs="Times New Roman"/>
          <w:b/>
          <w:sz w:val="28"/>
        </w:rPr>
        <w:t>Svoboda vyznání se zaměřením na problematiku zahalování</w:t>
      </w:r>
    </w:p>
    <w:p w14:paraId="5FA61187" w14:textId="77777777" w:rsidR="00C9127F" w:rsidRPr="00E10BE6" w:rsidRDefault="00C9127F" w:rsidP="00C9127F">
      <w:pPr>
        <w:spacing w:after="0"/>
        <w:jc w:val="center"/>
        <w:rPr>
          <w:rFonts w:ascii="Times New Roman" w:hAnsi="Times New Roman" w:cs="Times New Roman"/>
          <w:b/>
          <w:sz w:val="28"/>
        </w:rPr>
      </w:pPr>
    </w:p>
    <w:p w14:paraId="00FB499B" w14:textId="77777777" w:rsidR="00C9127F" w:rsidRPr="00E10BE6" w:rsidRDefault="00C9127F" w:rsidP="00C9127F">
      <w:pPr>
        <w:spacing w:after="0"/>
        <w:jc w:val="center"/>
        <w:rPr>
          <w:rFonts w:ascii="Times New Roman" w:hAnsi="Times New Roman" w:cs="Times New Roman"/>
          <w:b/>
          <w:sz w:val="28"/>
        </w:rPr>
      </w:pPr>
      <w:r w:rsidRPr="00E10BE6">
        <w:rPr>
          <w:rFonts w:ascii="Times New Roman" w:hAnsi="Times New Roman" w:cs="Times New Roman"/>
          <w:b/>
          <w:sz w:val="28"/>
        </w:rPr>
        <w:t>Diplomová práce</w:t>
      </w:r>
    </w:p>
    <w:p w14:paraId="43435F74" w14:textId="77777777" w:rsidR="00C9127F" w:rsidRPr="00E10BE6" w:rsidRDefault="00C9127F" w:rsidP="00C9127F">
      <w:pPr>
        <w:spacing w:after="0"/>
        <w:jc w:val="center"/>
        <w:rPr>
          <w:rFonts w:ascii="Times New Roman" w:hAnsi="Times New Roman" w:cs="Times New Roman"/>
          <w:b/>
          <w:sz w:val="28"/>
        </w:rPr>
      </w:pPr>
    </w:p>
    <w:p w14:paraId="0AB1BC10" w14:textId="77777777" w:rsidR="00C9127F" w:rsidRPr="00E10BE6" w:rsidRDefault="00C9127F" w:rsidP="00C9127F">
      <w:pPr>
        <w:spacing w:after="0"/>
        <w:jc w:val="center"/>
        <w:rPr>
          <w:rFonts w:ascii="Times New Roman" w:hAnsi="Times New Roman" w:cs="Times New Roman"/>
          <w:b/>
          <w:sz w:val="28"/>
        </w:rPr>
      </w:pPr>
    </w:p>
    <w:p w14:paraId="5F88655D" w14:textId="77777777" w:rsidR="00C9127F" w:rsidRPr="00E10BE6" w:rsidRDefault="00C9127F" w:rsidP="00C9127F">
      <w:pPr>
        <w:spacing w:after="0"/>
        <w:jc w:val="center"/>
        <w:rPr>
          <w:rFonts w:ascii="Times New Roman" w:hAnsi="Times New Roman" w:cs="Times New Roman"/>
          <w:b/>
          <w:sz w:val="28"/>
        </w:rPr>
      </w:pPr>
    </w:p>
    <w:p w14:paraId="0EA5796E" w14:textId="77777777" w:rsidR="00C9127F" w:rsidRPr="00E10BE6" w:rsidRDefault="00C9127F" w:rsidP="00C9127F">
      <w:pPr>
        <w:spacing w:after="0"/>
        <w:jc w:val="center"/>
        <w:rPr>
          <w:rFonts w:ascii="Times New Roman" w:hAnsi="Times New Roman" w:cs="Times New Roman"/>
          <w:b/>
          <w:sz w:val="28"/>
        </w:rPr>
      </w:pPr>
    </w:p>
    <w:p w14:paraId="7D301FDD" w14:textId="77777777" w:rsidR="00C9127F" w:rsidRPr="00E10BE6" w:rsidRDefault="00C9127F" w:rsidP="00C9127F">
      <w:pPr>
        <w:spacing w:after="0"/>
        <w:jc w:val="center"/>
        <w:rPr>
          <w:rFonts w:ascii="Times New Roman" w:hAnsi="Times New Roman" w:cs="Times New Roman"/>
          <w:b/>
          <w:sz w:val="28"/>
        </w:rPr>
      </w:pPr>
    </w:p>
    <w:p w14:paraId="3A435640" w14:textId="77777777" w:rsidR="00C9127F" w:rsidRPr="00E10BE6" w:rsidRDefault="00C9127F" w:rsidP="00C9127F">
      <w:pPr>
        <w:spacing w:after="0"/>
        <w:jc w:val="center"/>
        <w:rPr>
          <w:rFonts w:ascii="Times New Roman" w:hAnsi="Times New Roman" w:cs="Times New Roman"/>
          <w:b/>
          <w:sz w:val="28"/>
        </w:rPr>
      </w:pPr>
    </w:p>
    <w:p w14:paraId="44509D8E" w14:textId="77777777" w:rsidR="00C9127F" w:rsidRPr="00E10BE6" w:rsidRDefault="00C9127F" w:rsidP="00C9127F">
      <w:pPr>
        <w:spacing w:after="0"/>
        <w:jc w:val="center"/>
        <w:rPr>
          <w:rFonts w:ascii="Times New Roman" w:hAnsi="Times New Roman" w:cs="Times New Roman"/>
          <w:b/>
          <w:sz w:val="28"/>
        </w:rPr>
      </w:pPr>
    </w:p>
    <w:p w14:paraId="63B9354A" w14:textId="77777777" w:rsidR="00C9127F" w:rsidRPr="00E10BE6" w:rsidRDefault="00C9127F" w:rsidP="00C9127F">
      <w:pPr>
        <w:spacing w:after="0"/>
        <w:jc w:val="center"/>
        <w:rPr>
          <w:rFonts w:ascii="Times New Roman" w:hAnsi="Times New Roman" w:cs="Times New Roman"/>
          <w:b/>
          <w:sz w:val="28"/>
        </w:rPr>
      </w:pPr>
    </w:p>
    <w:p w14:paraId="533E3684" w14:textId="77777777" w:rsidR="00C9127F" w:rsidRPr="00E10BE6" w:rsidRDefault="00C9127F" w:rsidP="00C9127F">
      <w:pPr>
        <w:spacing w:after="0"/>
        <w:jc w:val="center"/>
        <w:rPr>
          <w:rFonts w:ascii="Times New Roman" w:hAnsi="Times New Roman" w:cs="Times New Roman"/>
          <w:b/>
          <w:sz w:val="28"/>
        </w:rPr>
      </w:pPr>
    </w:p>
    <w:p w14:paraId="14BE4F9B" w14:textId="77777777" w:rsidR="00C9127F" w:rsidRPr="00E10BE6" w:rsidRDefault="00C9127F" w:rsidP="00C9127F">
      <w:pPr>
        <w:spacing w:after="0"/>
        <w:jc w:val="center"/>
        <w:rPr>
          <w:rFonts w:ascii="Times New Roman" w:hAnsi="Times New Roman" w:cs="Times New Roman"/>
          <w:b/>
          <w:sz w:val="28"/>
        </w:rPr>
      </w:pPr>
    </w:p>
    <w:p w14:paraId="6400A521" w14:textId="77777777" w:rsidR="00C9127F" w:rsidRPr="00E10BE6" w:rsidRDefault="00C9127F" w:rsidP="00C9127F">
      <w:pPr>
        <w:spacing w:after="0"/>
        <w:jc w:val="center"/>
        <w:rPr>
          <w:rFonts w:ascii="Times New Roman" w:hAnsi="Times New Roman" w:cs="Times New Roman"/>
          <w:b/>
          <w:sz w:val="28"/>
        </w:rPr>
      </w:pPr>
    </w:p>
    <w:p w14:paraId="07CBC932" w14:textId="77777777" w:rsidR="00C9127F" w:rsidRPr="00E10BE6" w:rsidRDefault="00C9127F" w:rsidP="00C9127F">
      <w:pPr>
        <w:spacing w:after="0"/>
        <w:jc w:val="center"/>
        <w:rPr>
          <w:rFonts w:ascii="Times New Roman" w:hAnsi="Times New Roman" w:cs="Times New Roman"/>
          <w:b/>
          <w:sz w:val="28"/>
        </w:rPr>
      </w:pPr>
    </w:p>
    <w:p w14:paraId="2FF22D5A" w14:textId="77777777" w:rsidR="00C9127F" w:rsidRPr="00E10BE6" w:rsidRDefault="00C9127F" w:rsidP="00C9127F">
      <w:pPr>
        <w:spacing w:after="0"/>
        <w:jc w:val="center"/>
        <w:rPr>
          <w:rFonts w:ascii="Times New Roman" w:hAnsi="Times New Roman" w:cs="Times New Roman"/>
          <w:b/>
          <w:sz w:val="28"/>
        </w:rPr>
      </w:pPr>
    </w:p>
    <w:p w14:paraId="78C29349" w14:textId="77777777" w:rsidR="00C9127F" w:rsidRPr="00E10BE6" w:rsidRDefault="00C9127F" w:rsidP="00C9127F">
      <w:pPr>
        <w:spacing w:after="0"/>
        <w:jc w:val="center"/>
        <w:rPr>
          <w:rFonts w:ascii="Times New Roman" w:hAnsi="Times New Roman" w:cs="Times New Roman"/>
          <w:b/>
          <w:sz w:val="28"/>
        </w:rPr>
      </w:pPr>
    </w:p>
    <w:p w14:paraId="5B993D32" w14:textId="77777777" w:rsidR="00C9127F" w:rsidRPr="00E10BE6" w:rsidRDefault="00C9127F" w:rsidP="00C9127F">
      <w:pPr>
        <w:spacing w:after="0"/>
        <w:jc w:val="center"/>
        <w:rPr>
          <w:rFonts w:ascii="Times New Roman" w:hAnsi="Times New Roman" w:cs="Times New Roman"/>
          <w:b/>
          <w:sz w:val="28"/>
        </w:rPr>
      </w:pPr>
    </w:p>
    <w:p w14:paraId="20CD93BD" w14:textId="77777777" w:rsidR="00C9127F" w:rsidRPr="00E10BE6" w:rsidRDefault="00C9127F" w:rsidP="00C9127F">
      <w:pPr>
        <w:spacing w:after="0"/>
        <w:jc w:val="center"/>
        <w:rPr>
          <w:rFonts w:ascii="Times New Roman" w:hAnsi="Times New Roman" w:cs="Times New Roman"/>
          <w:b/>
          <w:sz w:val="28"/>
        </w:rPr>
      </w:pPr>
    </w:p>
    <w:p w14:paraId="09A974B5" w14:textId="77777777" w:rsidR="00C9127F" w:rsidRPr="00E10BE6" w:rsidRDefault="00C9127F" w:rsidP="00C9127F">
      <w:pPr>
        <w:spacing w:after="0"/>
        <w:jc w:val="center"/>
        <w:rPr>
          <w:rFonts w:ascii="Times New Roman" w:hAnsi="Times New Roman" w:cs="Times New Roman"/>
          <w:b/>
          <w:sz w:val="28"/>
        </w:rPr>
      </w:pPr>
    </w:p>
    <w:p w14:paraId="44EEFC53" w14:textId="77777777" w:rsidR="00C9127F" w:rsidRPr="00E10BE6" w:rsidRDefault="00C9127F" w:rsidP="00C9127F">
      <w:pPr>
        <w:spacing w:after="0"/>
        <w:jc w:val="center"/>
        <w:rPr>
          <w:rFonts w:ascii="Times New Roman" w:hAnsi="Times New Roman" w:cs="Times New Roman"/>
          <w:b/>
          <w:sz w:val="28"/>
        </w:rPr>
      </w:pPr>
      <w:r w:rsidRPr="00E10BE6">
        <w:rPr>
          <w:rFonts w:ascii="Times New Roman" w:hAnsi="Times New Roman" w:cs="Times New Roman"/>
          <w:b/>
          <w:sz w:val="28"/>
        </w:rPr>
        <w:t>Olomouc 2019</w:t>
      </w:r>
    </w:p>
    <w:p w14:paraId="1F52DB50" w14:textId="77777777" w:rsidR="00C9127F" w:rsidRPr="00E10BE6" w:rsidRDefault="00C9127F" w:rsidP="00C9127F">
      <w:pPr>
        <w:spacing w:after="0"/>
        <w:jc w:val="center"/>
        <w:rPr>
          <w:rFonts w:ascii="Times New Roman" w:hAnsi="Times New Roman" w:cs="Times New Roman"/>
          <w:b/>
          <w:sz w:val="28"/>
        </w:rPr>
      </w:pPr>
    </w:p>
    <w:p w14:paraId="48B459C3" w14:textId="77777777" w:rsidR="00C9127F" w:rsidRPr="00E10BE6" w:rsidRDefault="00C9127F" w:rsidP="00C9127F">
      <w:pPr>
        <w:spacing w:after="0"/>
        <w:jc w:val="center"/>
        <w:rPr>
          <w:rFonts w:ascii="Times New Roman" w:hAnsi="Times New Roman" w:cs="Times New Roman"/>
          <w:b/>
          <w:sz w:val="28"/>
        </w:rPr>
      </w:pPr>
    </w:p>
    <w:p w14:paraId="49E4758A" w14:textId="77777777" w:rsidR="00C9127F" w:rsidRPr="00E10BE6" w:rsidRDefault="00C9127F" w:rsidP="00C9127F">
      <w:pPr>
        <w:spacing w:after="0"/>
        <w:jc w:val="center"/>
        <w:rPr>
          <w:rFonts w:ascii="Times New Roman" w:hAnsi="Times New Roman" w:cs="Times New Roman"/>
          <w:b/>
          <w:sz w:val="28"/>
        </w:rPr>
      </w:pPr>
    </w:p>
    <w:p w14:paraId="5C7E17F5" w14:textId="77777777" w:rsidR="00C9127F" w:rsidRPr="00E10BE6" w:rsidRDefault="00C9127F" w:rsidP="00C9127F">
      <w:pPr>
        <w:spacing w:after="0"/>
        <w:jc w:val="center"/>
        <w:rPr>
          <w:rFonts w:ascii="Times New Roman" w:hAnsi="Times New Roman" w:cs="Times New Roman"/>
          <w:b/>
          <w:sz w:val="28"/>
        </w:rPr>
      </w:pPr>
    </w:p>
    <w:p w14:paraId="6C69F043" w14:textId="77777777" w:rsidR="00C9127F" w:rsidRPr="00E10BE6" w:rsidRDefault="00C9127F" w:rsidP="00C9127F">
      <w:pPr>
        <w:spacing w:after="0"/>
        <w:jc w:val="center"/>
        <w:rPr>
          <w:rFonts w:ascii="Times New Roman" w:hAnsi="Times New Roman" w:cs="Times New Roman"/>
          <w:b/>
          <w:sz w:val="28"/>
        </w:rPr>
      </w:pPr>
    </w:p>
    <w:p w14:paraId="37332783" w14:textId="77777777" w:rsidR="00C9127F" w:rsidRPr="00E10BE6" w:rsidRDefault="00C9127F" w:rsidP="00C9127F">
      <w:pPr>
        <w:spacing w:after="0"/>
        <w:jc w:val="center"/>
        <w:rPr>
          <w:rFonts w:ascii="Times New Roman" w:hAnsi="Times New Roman" w:cs="Times New Roman"/>
          <w:b/>
          <w:sz w:val="28"/>
        </w:rPr>
      </w:pPr>
    </w:p>
    <w:p w14:paraId="407F9918" w14:textId="77777777" w:rsidR="00C9127F" w:rsidRPr="00E10BE6" w:rsidRDefault="00C9127F" w:rsidP="00C9127F">
      <w:pPr>
        <w:spacing w:after="0"/>
        <w:jc w:val="center"/>
        <w:rPr>
          <w:rFonts w:ascii="Times New Roman" w:hAnsi="Times New Roman" w:cs="Times New Roman"/>
          <w:b/>
          <w:sz w:val="28"/>
        </w:rPr>
      </w:pPr>
    </w:p>
    <w:p w14:paraId="7A20F2A6" w14:textId="77777777" w:rsidR="00C9127F" w:rsidRPr="00E10BE6" w:rsidRDefault="00C9127F" w:rsidP="00C9127F">
      <w:pPr>
        <w:spacing w:after="0"/>
        <w:jc w:val="center"/>
        <w:rPr>
          <w:rFonts w:ascii="Times New Roman" w:hAnsi="Times New Roman" w:cs="Times New Roman"/>
          <w:b/>
          <w:sz w:val="28"/>
        </w:rPr>
      </w:pPr>
    </w:p>
    <w:p w14:paraId="5D09CEB4" w14:textId="77777777" w:rsidR="00C9127F" w:rsidRPr="00E10BE6" w:rsidRDefault="00C9127F" w:rsidP="00C9127F">
      <w:pPr>
        <w:spacing w:after="0"/>
        <w:jc w:val="center"/>
        <w:rPr>
          <w:rFonts w:ascii="Times New Roman" w:hAnsi="Times New Roman" w:cs="Times New Roman"/>
          <w:b/>
          <w:sz w:val="28"/>
        </w:rPr>
      </w:pPr>
    </w:p>
    <w:p w14:paraId="5C4BA7BB" w14:textId="77777777" w:rsidR="00C9127F" w:rsidRPr="00E10BE6" w:rsidRDefault="00C9127F" w:rsidP="00C9127F">
      <w:pPr>
        <w:spacing w:after="0"/>
        <w:jc w:val="center"/>
        <w:rPr>
          <w:rFonts w:ascii="Times New Roman" w:hAnsi="Times New Roman" w:cs="Times New Roman"/>
          <w:b/>
          <w:sz w:val="28"/>
        </w:rPr>
      </w:pPr>
    </w:p>
    <w:p w14:paraId="5D6E90B1" w14:textId="77777777" w:rsidR="00C9127F" w:rsidRPr="00E10BE6" w:rsidRDefault="00C9127F" w:rsidP="00C9127F">
      <w:pPr>
        <w:spacing w:after="0"/>
        <w:jc w:val="center"/>
        <w:rPr>
          <w:rFonts w:ascii="Times New Roman" w:hAnsi="Times New Roman" w:cs="Times New Roman"/>
          <w:b/>
          <w:sz w:val="28"/>
        </w:rPr>
      </w:pPr>
    </w:p>
    <w:p w14:paraId="75B1B562" w14:textId="77777777" w:rsidR="00C9127F" w:rsidRPr="00E10BE6" w:rsidRDefault="00C9127F" w:rsidP="00C9127F">
      <w:pPr>
        <w:spacing w:after="0"/>
        <w:jc w:val="center"/>
        <w:rPr>
          <w:rFonts w:ascii="Times New Roman" w:hAnsi="Times New Roman" w:cs="Times New Roman"/>
          <w:b/>
          <w:sz w:val="28"/>
        </w:rPr>
      </w:pPr>
    </w:p>
    <w:p w14:paraId="3D885DB3" w14:textId="77777777" w:rsidR="00C9127F" w:rsidRPr="00E10BE6" w:rsidRDefault="00C9127F" w:rsidP="00C9127F">
      <w:pPr>
        <w:spacing w:after="0"/>
        <w:jc w:val="center"/>
        <w:rPr>
          <w:rFonts w:ascii="Times New Roman" w:hAnsi="Times New Roman" w:cs="Times New Roman"/>
          <w:b/>
          <w:sz w:val="28"/>
        </w:rPr>
      </w:pPr>
    </w:p>
    <w:p w14:paraId="337F617D" w14:textId="77777777" w:rsidR="00C9127F" w:rsidRPr="00E10BE6" w:rsidRDefault="00C9127F" w:rsidP="00C9127F">
      <w:pPr>
        <w:spacing w:after="0"/>
        <w:jc w:val="center"/>
        <w:rPr>
          <w:rFonts w:ascii="Times New Roman" w:hAnsi="Times New Roman" w:cs="Times New Roman"/>
          <w:b/>
          <w:sz w:val="28"/>
        </w:rPr>
      </w:pPr>
    </w:p>
    <w:p w14:paraId="38CBBA7F" w14:textId="77777777" w:rsidR="00C9127F" w:rsidRPr="00E10BE6" w:rsidRDefault="00C9127F" w:rsidP="00C9127F">
      <w:pPr>
        <w:spacing w:after="0"/>
        <w:jc w:val="center"/>
        <w:rPr>
          <w:rFonts w:ascii="Times New Roman" w:hAnsi="Times New Roman" w:cs="Times New Roman"/>
          <w:b/>
          <w:sz w:val="28"/>
        </w:rPr>
      </w:pPr>
    </w:p>
    <w:p w14:paraId="7ABE7BEA" w14:textId="77777777" w:rsidR="00C9127F" w:rsidRPr="00E10BE6" w:rsidRDefault="00C9127F" w:rsidP="00C9127F">
      <w:pPr>
        <w:spacing w:after="0"/>
        <w:jc w:val="center"/>
        <w:rPr>
          <w:rFonts w:ascii="Times New Roman" w:hAnsi="Times New Roman" w:cs="Times New Roman"/>
          <w:b/>
          <w:sz w:val="28"/>
        </w:rPr>
      </w:pPr>
    </w:p>
    <w:p w14:paraId="78A4C1C8" w14:textId="77777777" w:rsidR="00C9127F" w:rsidRPr="00E10BE6" w:rsidRDefault="00C9127F" w:rsidP="00C9127F">
      <w:pPr>
        <w:spacing w:after="0"/>
        <w:jc w:val="center"/>
        <w:rPr>
          <w:rFonts w:ascii="Times New Roman" w:hAnsi="Times New Roman" w:cs="Times New Roman"/>
          <w:b/>
          <w:sz w:val="28"/>
        </w:rPr>
      </w:pPr>
    </w:p>
    <w:p w14:paraId="63AB0692" w14:textId="77777777" w:rsidR="00C9127F" w:rsidRPr="00E10BE6" w:rsidRDefault="00C9127F" w:rsidP="00C9127F">
      <w:pPr>
        <w:spacing w:after="0"/>
        <w:jc w:val="center"/>
        <w:rPr>
          <w:rFonts w:ascii="Times New Roman" w:hAnsi="Times New Roman" w:cs="Times New Roman"/>
          <w:b/>
          <w:sz w:val="28"/>
        </w:rPr>
      </w:pPr>
    </w:p>
    <w:p w14:paraId="3328050D" w14:textId="77777777" w:rsidR="00C9127F" w:rsidRPr="00E10BE6" w:rsidRDefault="00C9127F" w:rsidP="00C9127F">
      <w:pPr>
        <w:spacing w:after="0"/>
        <w:jc w:val="center"/>
        <w:rPr>
          <w:rFonts w:ascii="Times New Roman" w:hAnsi="Times New Roman" w:cs="Times New Roman"/>
          <w:b/>
          <w:sz w:val="28"/>
        </w:rPr>
      </w:pPr>
    </w:p>
    <w:p w14:paraId="2156A0C9" w14:textId="77777777" w:rsidR="00C9127F" w:rsidRPr="00E10BE6" w:rsidRDefault="00C9127F" w:rsidP="00C9127F">
      <w:pPr>
        <w:spacing w:after="0"/>
        <w:jc w:val="center"/>
        <w:rPr>
          <w:rFonts w:ascii="Times New Roman" w:hAnsi="Times New Roman" w:cs="Times New Roman"/>
          <w:b/>
          <w:sz w:val="28"/>
        </w:rPr>
      </w:pPr>
    </w:p>
    <w:p w14:paraId="1363096D" w14:textId="77777777" w:rsidR="00C9127F" w:rsidRPr="00E10BE6" w:rsidRDefault="00C9127F" w:rsidP="00C9127F">
      <w:pPr>
        <w:spacing w:after="0"/>
        <w:jc w:val="center"/>
        <w:rPr>
          <w:rFonts w:ascii="Times New Roman" w:hAnsi="Times New Roman" w:cs="Times New Roman"/>
          <w:b/>
          <w:sz w:val="28"/>
        </w:rPr>
      </w:pPr>
    </w:p>
    <w:p w14:paraId="596D5C3C" w14:textId="77777777" w:rsidR="00C9127F" w:rsidRPr="00E10BE6" w:rsidRDefault="00C9127F" w:rsidP="00C9127F">
      <w:pPr>
        <w:spacing w:after="0"/>
        <w:jc w:val="center"/>
        <w:rPr>
          <w:rFonts w:ascii="Times New Roman" w:hAnsi="Times New Roman" w:cs="Times New Roman"/>
          <w:b/>
          <w:sz w:val="28"/>
        </w:rPr>
      </w:pPr>
    </w:p>
    <w:p w14:paraId="53784821" w14:textId="77777777" w:rsidR="00C9127F" w:rsidRPr="00E10BE6" w:rsidRDefault="00C9127F" w:rsidP="00C9127F">
      <w:pPr>
        <w:spacing w:after="0"/>
        <w:jc w:val="center"/>
        <w:rPr>
          <w:rFonts w:ascii="Times New Roman" w:hAnsi="Times New Roman" w:cs="Times New Roman"/>
          <w:b/>
          <w:sz w:val="28"/>
        </w:rPr>
      </w:pPr>
    </w:p>
    <w:p w14:paraId="48740E20" w14:textId="77777777" w:rsidR="00C9127F" w:rsidRPr="00E10BE6" w:rsidRDefault="00C9127F" w:rsidP="00C9127F">
      <w:pPr>
        <w:spacing w:after="0"/>
        <w:jc w:val="center"/>
        <w:rPr>
          <w:rFonts w:ascii="Times New Roman" w:hAnsi="Times New Roman" w:cs="Times New Roman"/>
          <w:b/>
          <w:sz w:val="28"/>
        </w:rPr>
      </w:pPr>
    </w:p>
    <w:p w14:paraId="274ED04C" w14:textId="77777777" w:rsidR="00C9127F" w:rsidRPr="00E10BE6" w:rsidRDefault="00C9127F" w:rsidP="00C9127F">
      <w:pPr>
        <w:spacing w:after="0"/>
        <w:jc w:val="center"/>
        <w:rPr>
          <w:rFonts w:ascii="Times New Roman" w:hAnsi="Times New Roman" w:cs="Times New Roman"/>
          <w:b/>
          <w:sz w:val="28"/>
        </w:rPr>
      </w:pPr>
    </w:p>
    <w:p w14:paraId="1599B1F4" w14:textId="77777777" w:rsidR="00C9127F" w:rsidRPr="00E10BE6" w:rsidRDefault="00C9127F" w:rsidP="00C9127F">
      <w:pPr>
        <w:spacing w:after="0"/>
        <w:jc w:val="center"/>
        <w:rPr>
          <w:rFonts w:ascii="Times New Roman" w:hAnsi="Times New Roman" w:cs="Times New Roman"/>
          <w:b/>
          <w:sz w:val="28"/>
        </w:rPr>
      </w:pPr>
    </w:p>
    <w:p w14:paraId="444C95E9" w14:textId="77777777" w:rsidR="00C9127F" w:rsidRPr="00E10BE6" w:rsidRDefault="00C9127F" w:rsidP="00C9127F">
      <w:pPr>
        <w:spacing w:after="0"/>
        <w:jc w:val="center"/>
        <w:rPr>
          <w:rFonts w:ascii="Times New Roman" w:hAnsi="Times New Roman" w:cs="Times New Roman"/>
          <w:b/>
          <w:sz w:val="28"/>
        </w:rPr>
      </w:pPr>
    </w:p>
    <w:p w14:paraId="491FF54B" w14:textId="77777777" w:rsidR="00C9127F" w:rsidRPr="00E10BE6" w:rsidRDefault="00C9127F" w:rsidP="00C9127F">
      <w:pPr>
        <w:spacing w:after="0"/>
        <w:jc w:val="center"/>
        <w:rPr>
          <w:rFonts w:ascii="Times New Roman" w:hAnsi="Times New Roman" w:cs="Times New Roman"/>
          <w:b/>
          <w:sz w:val="28"/>
        </w:rPr>
      </w:pPr>
    </w:p>
    <w:p w14:paraId="6A121C6E" w14:textId="77777777" w:rsidR="00C9127F" w:rsidRPr="00E10BE6" w:rsidRDefault="00C9127F" w:rsidP="00C9127F">
      <w:pPr>
        <w:spacing w:after="0"/>
        <w:jc w:val="center"/>
        <w:rPr>
          <w:rFonts w:ascii="Times New Roman" w:hAnsi="Times New Roman" w:cs="Times New Roman"/>
          <w:b/>
          <w:sz w:val="28"/>
        </w:rPr>
      </w:pPr>
    </w:p>
    <w:p w14:paraId="294ACB5B" w14:textId="77777777" w:rsidR="00C9127F" w:rsidRPr="00E10BE6" w:rsidRDefault="00C9127F" w:rsidP="008C25ED">
      <w:pPr>
        <w:spacing w:after="0"/>
        <w:rPr>
          <w:rFonts w:ascii="Times New Roman" w:hAnsi="Times New Roman" w:cs="Times New Roman"/>
          <w:b/>
          <w:sz w:val="28"/>
        </w:rPr>
      </w:pPr>
    </w:p>
    <w:p w14:paraId="35681EC0" w14:textId="77777777" w:rsidR="00C9127F" w:rsidRPr="00E10BE6" w:rsidRDefault="00C9127F" w:rsidP="00C9127F">
      <w:pPr>
        <w:spacing w:after="0"/>
        <w:jc w:val="center"/>
        <w:rPr>
          <w:rFonts w:ascii="Times New Roman" w:hAnsi="Times New Roman" w:cs="Times New Roman"/>
          <w:b/>
          <w:sz w:val="28"/>
        </w:rPr>
      </w:pPr>
    </w:p>
    <w:p w14:paraId="76708A88" w14:textId="77777777" w:rsidR="00C9127F" w:rsidRPr="00E10BE6" w:rsidRDefault="00C9127F" w:rsidP="00C9127F">
      <w:pPr>
        <w:spacing w:after="0"/>
        <w:jc w:val="both"/>
        <w:rPr>
          <w:rFonts w:ascii="Times New Roman" w:hAnsi="Times New Roman" w:cs="Times New Roman"/>
          <w:sz w:val="24"/>
        </w:rPr>
      </w:pPr>
      <w:r w:rsidRPr="00E10BE6">
        <w:rPr>
          <w:rFonts w:ascii="Times New Roman" w:hAnsi="Times New Roman" w:cs="Times New Roman"/>
          <w:sz w:val="24"/>
        </w:rPr>
        <w:t>Prohlašuji, že jsem diplomovou práci na téma Svoboda vyznání se zaměřením na problematiku zahalování vypracovala samostatně a citovala jsem všechny použité zdroje.</w:t>
      </w:r>
    </w:p>
    <w:p w14:paraId="567F7AFE" w14:textId="77777777" w:rsidR="00C9127F" w:rsidRPr="00E10BE6" w:rsidRDefault="00C9127F" w:rsidP="00C9127F">
      <w:pPr>
        <w:spacing w:after="0"/>
        <w:rPr>
          <w:rFonts w:ascii="Times New Roman" w:hAnsi="Times New Roman" w:cs="Times New Roman"/>
          <w:sz w:val="24"/>
        </w:rPr>
      </w:pPr>
    </w:p>
    <w:p w14:paraId="739E3837" w14:textId="77777777" w:rsidR="00C9127F" w:rsidRPr="00E10BE6" w:rsidRDefault="00C9127F" w:rsidP="00C9127F">
      <w:pPr>
        <w:spacing w:after="0"/>
        <w:rPr>
          <w:rFonts w:ascii="Times New Roman" w:hAnsi="Times New Roman" w:cs="Times New Roman"/>
          <w:sz w:val="24"/>
        </w:rPr>
      </w:pPr>
    </w:p>
    <w:p w14:paraId="17DF7CEF" w14:textId="728ACEF1" w:rsidR="00C9127F" w:rsidRPr="00E10BE6" w:rsidRDefault="00C9127F" w:rsidP="00C9127F">
      <w:pPr>
        <w:spacing w:after="0"/>
        <w:rPr>
          <w:rFonts w:ascii="Times New Roman" w:hAnsi="Times New Roman" w:cs="Times New Roman"/>
          <w:sz w:val="24"/>
        </w:rPr>
      </w:pPr>
      <w:r w:rsidRPr="00E10BE6">
        <w:rPr>
          <w:rFonts w:ascii="Times New Roman" w:hAnsi="Times New Roman" w:cs="Times New Roman"/>
          <w:sz w:val="24"/>
        </w:rPr>
        <w:t xml:space="preserve">V Jablonném nad Orlicí dne </w:t>
      </w:r>
      <w:r w:rsidR="008C25ED">
        <w:rPr>
          <w:rFonts w:ascii="Times New Roman" w:hAnsi="Times New Roman" w:cs="Times New Roman"/>
          <w:sz w:val="24"/>
        </w:rPr>
        <w:t>14.3</w:t>
      </w:r>
      <w:r w:rsidRPr="00E10BE6">
        <w:rPr>
          <w:rFonts w:ascii="Times New Roman" w:hAnsi="Times New Roman" w:cs="Times New Roman"/>
          <w:sz w:val="24"/>
        </w:rPr>
        <w:t>.2019</w:t>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p>
    <w:p w14:paraId="73C8A67A" w14:textId="77777777" w:rsidR="00C9127F" w:rsidRPr="00E10BE6" w:rsidRDefault="00C9127F" w:rsidP="00C9127F">
      <w:pPr>
        <w:spacing w:after="0"/>
        <w:rPr>
          <w:rFonts w:ascii="Times New Roman" w:hAnsi="Times New Roman" w:cs="Times New Roman"/>
          <w:sz w:val="24"/>
        </w:rPr>
      </w:pP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t>Eliška Mikysková</w:t>
      </w:r>
    </w:p>
    <w:p w14:paraId="73A7855C" w14:textId="77777777" w:rsidR="00C9127F" w:rsidRPr="00E10BE6" w:rsidRDefault="00C9127F" w:rsidP="00C9127F">
      <w:pPr>
        <w:spacing w:after="0"/>
        <w:rPr>
          <w:rFonts w:ascii="Times New Roman" w:hAnsi="Times New Roman" w:cs="Times New Roman"/>
          <w:sz w:val="24"/>
        </w:rPr>
      </w:pPr>
    </w:p>
    <w:p w14:paraId="7CB4221D" w14:textId="77777777" w:rsidR="00C9127F" w:rsidRPr="00E10BE6" w:rsidRDefault="00C9127F" w:rsidP="00C9127F">
      <w:pPr>
        <w:spacing w:after="0"/>
        <w:rPr>
          <w:rFonts w:ascii="Times New Roman" w:hAnsi="Times New Roman" w:cs="Times New Roman"/>
          <w:sz w:val="24"/>
        </w:rPr>
      </w:pPr>
    </w:p>
    <w:p w14:paraId="258DB0F1" w14:textId="77777777" w:rsidR="00C9127F" w:rsidRPr="00E10BE6" w:rsidRDefault="00C9127F" w:rsidP="00C9127F">
      <w:pPr>
        <w:spacing w:after="0"/>
        <w:rPr>
          <w:rFonts w:ascii="Times New Roman" w:hAnsi="Times New Roman" w:cs="Times New Roman"/>
          <w:sz w:val="24"/>
        </w:rPr>
      </w:pPr>
    </w:p>
    <w:p w14:paraId="47C9D183" w14:textId="77777777" w:rsidR="00C9127F" w:rsidRPr="00E10BE6" w:rsidRDefault="00C9127F" w:rsidP="00C9127F">
      <w:pPr>
        <w:spacing w:after="0"/>
        <w:rPr>
          <w:rFonts w:ascii="Times New Roman" w:hAnsi="Times New Roman" w:cs="Times New Roman"/>
          <w:sz w:val="24"/>
        </w:rPr>
      </w:pPr>
    </w:p>
    <w:p w14:paraId="24775EC4" w14:textId="77777777" w:rsidR="00C9127F" w:rsidRPr="00E10BE6" w:rsidRDefault="00C9127F" w:rsidP="00C9127F">
      <w:pPr>
        <w:spacing w:after="0"/>
        <w:rPr>
          <w:rFonts w:ascii="Times New Roman" w:hAnsi="Times New Roman" w:cs="Times New Roman"/>
          <w:sz w:val="24"/>
        </w:rPr>
      </w:pPr>
    </w:p>
    <w:p w14:paraId="127B4652" w14:textId="77777777" w:rsidR="00C9127F" w:rsidRPr="00E10BE6" w:rsidRDefault="00C9127F" w:rsidP="00C9127F">
      <w:pPr>
        <w:spacing w:after="0"/>
        <w:rPr>
          <w:rFonts w:ascii="Times New Roman" w:hAnsi="Times New Roman" w:cs="Times New Roman"/>
          <w:sz w:val="24"/>
        </w:rPr>
      </w:pPr>
    </w:p>
    <w:p w14:paraId="1E456559" w14:textId="77777777" w:rsidR="00C9127F" w:rsidRPr="00E10BE6" w:rsidRDefault="00C9127F" w:rsidP="00C9127F">
      <w:pPr>
        <w:spacing w:after="0"/>
        <w:rPr>
          <w:rFonts w:ascii="Times New Roman" w:hAnsi="Times New Roman" w:cs="Times New Roman"/>
          <w:sz w:val="24"/>
        </w:rPr>
      </w:pPr>
    </w:p>
    <w:p w14:paraId="674DCB97" w14:textId="77777777" w:rsidR="00C9127F" w:rsidRPr="00E10BE6" w:rsidRDefault="00C9127F" w:rsidP="00C9127F">
      <w:pPr>
        <w:spacing w:after="0"/>
        <w:rPr>
          <w:rFonts w:ascii="Times New Roman" w:hAnsi="Times New Roman" w:cs="Times New Roman"/>
          <w:sz w:val="24"/>
        </w:rPr>
      </w:pPr>
    </w:p>
    <w:p w14:paraId="2E884BE7" w14:textId="77777777" w:rsidR="00C9127F" w:rsidRPr="00E10BE6" w:rsidRDefault="00C9127F" w:rsidP="00C9127F">
      <w:pPr>
        <w:spacing w:after="0"/>
        <w:rPr>
          <w:rFonts w:ascii="Times New Roman" w:hAnsi="Times New Roman" w:cs="Times New Roman"/>
          <w:sz w:val="24"/>
        </w:rPr>
      </w:pPr>
    </w:p>
    <w:p w14:paraId="3DD4B3E9" w14:textId="77777777" w:rsidR="00C9127F" w:rsidRPr="00E10BE6" w:rsidRDefault="00C9127F" w:rsidP="00C9127F">
      <w:pPr>
        <w:spacing w:after="0"/>
        <w:rPr>
          <w:rFonts w:ascii="Times New Roman" w:hAnsi="Times New Roman" w:cs="Times New Roman"/>
          <w:sz w:val="24"/>
        </w:rPr>
      </w:pPr>
    </w:p>
    <w:p w14:paraId="2406C711" w14:textId="77777777" w:rsidR="00C9127F" w:rsidRPr="00E10BE6" w:rsidRDefault="00C9127F" w:rsidP="00C9127F">
      <w:pPr>
        <w:spacing w:after="0"/>
        <w:rPr>
          <w:rFonts w:ascii="Times New Roman" w:hAnsi="Times New Roman" w:cs="Times New Roman"/>
          <w:sz w:val="24"/>
        </w:rPr>
      </w:pPr>
    </w:p>
    <w:p w14:paraId="330F8D5A" w14:textId="77777777" w:rsidR="00C9127F" w:rsidRPr="00E10BE6" w:rsidRDefault="00C9127F" w:rsidP="00C9127F">
      <w:pPr>
        <w:spacing w:after="0"/>
        <w:rPr>
          <w:rFonts w:ascii="Times New Roman" w:hAnsi="Times New Roman" w:cs="Times New Roman"/>
          <w:sz w:val="24"/>
        </w:rPr>
      </w:pPr>
    </w:p>
    <w:p w14:paraId="76AE75AE" w14:textId="77777777" w:rsidR="00C9127F" w:rsidRPr="00E10BE6" w:rsidRDefault="00C9127F" w:rsidP="00C9127F">
      <w:pPr>
        <w:spacing w:after="0"/>
        <w:rPr>
          <w:rFonts w:ascii="Times New Roman" w:hAnsi="Times New Roman" w:cs="Times New Roman"/>
          <w:sz w:val="24"/>
        </w:rPr>
      </w:pPr>
    </w:p>
    <w:p w14:paraId="1DE59910" w14:textId="77777777" w:rsidR="00C9127F" w:rsidRPr="00E10BE6" w:rsidRDefault="00C9127F" w:rsidP="00C9127F">
      <w:pPr>
        <w:spacing w:after="0"/>
        <w:rPr>
          <w:rFonts w:ascii="Times New Roman" w:hAnsi="Times New Roman" w:cs="Times New Roman"/>
          <w:sz w:val="24"/>
        </w:rPr>
      </w:pPr>
    </w:p>
    <w:p w14:paraId="0C2DB03D" w14:textId="77777777" w:rsidR="00C9127F" w:rsidRPr="00E10BE6" w:rsidRDefault="00C9127F" w:rsidP="00C9127F">
      <w:pPr>
        <w:spacing w:after="0"/>
        <w:rPr>
          <w:rFonts w:ascii="Times New Roman" w:hAnsi="Times New Roman" w:cs="Times New Roman"/>
          <w:sz w:val="24"/>
        </w:rPr>
      </w:pPr>
    </w:p>
    <w:p w14:paraId="4FCEDB31" w14:textId="77777777" w:rsidR="00C9127F" w:rsidRPr="00E10BE6" w:rsidRDefault="00C9127F" w:rsidP="00C9127F">
      <w:pPr>
        <w:spacing w:after="0"/>
        <w:rPr>
          <w:rFonts w:ascii="Times New Roman" w:hAnsi="Times New Roman" w:cs="Times New Roman"/>
          <w:sz w:val="24"/>
        </w:rPr>
      </w:pPr>
    </w:p>
    <w:p w14:paraId="4DBBC822" w14:textId="77777777" w:rsidR="00C9127F" w:rsidRPr="00E10BE6" w:rsidRDefault="00C9127F" w:rsidP="00C9127F">
      <w:pPr>
        <w:spacing w:after="0"/>
        <w:rPr>
          <w:rFonts w:ascii="Times New Roman" w:hAnsi="Times New Roman" w:cs="Times New Roman"/>
          <w:sz w:val="24"/>
        </w:rPr>
      </w:pPr>
    </w:p>
    <w:p w14:paraId="37F99851" w14:textId="77777777" w:rsidR="00C9127F" w:rsidRPr="00E10BE6" w:rsidRDefault="00C9127F" w:rsidP="00C9127F">
      <w:pPr>
        <w:spacing w:after="0"/>
        <w:rPr>
          <w:rFonts w:ascii="Times New Roman" w:hAnsi="Times New Roman" w:cs="Times New Roman"/>
          <w:sz w:val="24"/>
        </w:rPr>
      </w:pPr>
    </w:p>
    <w:p w14:paraId="7D553EB4" w14:textId="77777777" w:rsidR="00C9127F" w:rsidRPr="00E10BE6" w:rsidRDefault="00C9127F" w:rsidP="00C9127F">
      <w:pPr>
        <w:spacing w:after="0"/>
        <w:rPr>
          <w:rFonts w:ascii="Times New Roman" w:hAnsi="Times New Roman" w:cs="Times New Roman"/>
          <w:sz w:val="24"/>
        </w:rPr>
      </w:pPr>
    </w:p>
    <w:p w14:paraId="4A537314" w14:textId="77777777" w:rsidR="00C9127F" w:rsidRPr="00E10BE6" w:rsidRDefault="00C9127F" w:rsidP="00C9127F">
      <w:pPr>
        <w:spacing w:after="0"/>
        <w:rPr>
          <w:rFonts w:ascii="Times New Roman" w:hAnsi="Times New Roman" w:cs="Times New Roman"/>
          <w:sz w:val="24"/>
        </w:rPr>
      </w:pPr>
    </w:p>
    <w:p w14:paraId="7E72B17C" w14:textId="77777777" w:rsidR="00C9127F" w:rsidRPr="00E10BE6" w:rsidRDefault="00C9127F" w:rsidP="00C9127F">
      <w:pPr>
        <w:spacing w:after="0"/>
        <w:rPr>
          <w:rFonts w:ascii="Times New Roman" w:hAnsi="Times New Roman" w:cs="Times New Roman"/>
          <w:sz w:val="24"/>
        </w:rPr>
      </w:pPr>
    </w:p>
    <w:p w14:paraId="110FDF7B" w14:textId="77777777" w:rsidR="00C9127F" w:rsidRPr="00E10BE6" w:rsidRDefault="00C9127F" w:rsidP="00C9127F">
      <w:pPr>
        <w:spacing w:after="0"/>
        <w:rPr>
          <w:rFonts w:ascii="Times New Roman" w:hAnsi="Times New Roman" w:cs="Times New Roman"/>
          <w:sz w:val="24"/>
        </w:rPr>
      </w:pPr>
    </w:p>
    <w:p w14:paraId="28FD27DC" w14:textId="77777777" w:rsidR="00C9127F" w:rsidRPr="00E10BE6" w:rsidRDefault="00C9127F" w:rsidP="00C9127F">
      <w:pPr>
        <w:spacing w:after="0"/>
        <w:rPr>
          <w:rFonts w:ascii="Times New Roman" w:hAnsi="Times New Roman" w:cs="Times New Roman"/>
          <w:sz w:val="24"/>
        </w:rPr>
      </w:pPr>
    </w:p>
    <w:p w14:paraId="12EEE2EA" w14:textId="77777777" w:rsidR="00C9127F" w:rsidRPr="00E10BE6" w:rsidRDefault="00C9127F" w:rsidP="00C9127F">
      <w:pPr>
        <w:spacing w:after="0"/>
        <w:rPr>
          <w:rFonts w:ascii="Times New Roman" w:hAnsi="Times New Roman" w:cs="Times New Roman"/>
          <w:sz w:val="24"/>
        </w:rPr>
      </w:pPr>
    </w:p>
    <w:p w14:paraId="7183E320" w14:textId="77777777" w:rsidR="00C9127F" w:rsidRPr="00E10BE6" w:rsidRDefault="00C9127F" w:rsidP="00C9127F">
      <w:pPr>
        <w:spacing w:after="0"/>
        <w:rPr>
          <w:rFonts w:ascii="Times New Roman" w:hAnsi="Times New Roman" w:cs="Times New Roman"/>
          <w:sz w:val="24"/>
        </w:rPr>
      </w:pPr>
    </w:p>
    <w:p w14:paraId="6BAD44B3" w14:textId="77777777" w:rsidR="00C9127F" w:rsidRPr="00E10BE6" w:rsidRDefault="00C9127F" w:rsidP="00C9127F">
      <w:pPr>
        <w:spacing w:after="0"/>
        <w:rPr>
          <w:rFonts w:ascii="Times New Roman" w:hAnsi="Times New Roman" w:cs="Times New Roman"/>
          <w:sz w:val="24"/>
        </w:rPr>
      </w:pPr>
    </w:p>
    <w:p w14:paraId="71316D74" w14:textId="77777777" w:rsidR="00C9127F" w:rsidRPr="00E10BE6" w:rsidRDefault="00C9127F" w:rsidP="00C9127F">
      <w:pPr>
        <w:spacing w:after="0"/>
        <w:rPr>
          <w:rFonts w:ascii="Times New Roman" w:hAnsi="Times New Roman" w:cs="Times New Roman"/>
          <w:sz w:val="24"/>
        </w:rPr>
      </w:pPr>
    </w:p>
    <w:p w14:paraId="1040E0AC" w14:textId="77777777" w:rsidR="00C9127F" w:rsidRPr="00E10BE6" w:rsidRDefault="00C9127F" w:rsidP="00C9127F">
      <w:pPr>
        <w:spacing w:after="0"/>
        <w:rPr>
          <w:rFonts w:ascii="Times New Roman" w:hAnsi="Times New Roman" w:cs="Times New Roman"/>
          <w:sz w:val="24"/>
        </w:rPr>
      </w:pPr>
    </w:p>
    <w:p w14:paraId="23F7DEC2" w14:textId="77777777" w:rsidR="00C9127F" w:rsidRPr="00E10BE6" w:rsidRDefault="00C9127F" w:rsidP="00C9127F">
      <w:pPr>
        <w:spacing w:after="0"/>
        <w:rPr>
          <w:rFonts w:ascii="Times New Roman" w:hAnsi="Times New Roman" w:cs="Times New Roman"/>
          <w:sz w:val="24"/>
        </w:rPr>
      </w:pPr>
    </w:p>
    <w:p w14:paraId="77297BC2" w14:textId="77777777" w:rsidR="00C9127F" w:rsidRPr="00E10BE6" w:rsidRDefault="00C9127F" w:rsidP="00C9127F">
      <w:pPr>
        <w:spacing w:after="0"/>
        <w:rPr>
          <w:rFonts w:ascii="Times New Roman" w:hAnsi="Times New Roman" w:cs="Times New Roman"/>
          <w:sz w:val="24"/>
        </w:rPr>
      </w:pPr>
    </w:p>
    <w:p w14:paraId="0D7DC607" w14:textId="77777777" w:rsidR="00C9127F" w:rsidRPr="00E10BE6" w:rsidRDefault="00C9127F" w:rsidP="00C9127F">
      <w:pPr>
        <w:spacing w:after="0"/>
        <w:rPr>
          <w:rFonts w:ascii="Times New Roman" w:hAnsi="Times New Roman" w:cs="Times New Roman"/>
          <w:sz w:val="24"/>
        </w:rPr>
      </w:pPr>
    </w:p>
    <w:p w14:paraId="2D22BA75" w14:textId="77777777" w:rsidR="00C9127F" w:rsidRPr="00E10BE6" w:rsidRDefault="00C9127F" w:rsidP="00C9127F">
      <w:pPr>
        <w:spacing w:after="0"/>
        <w:rPr>
          <w:rFonts w:ascii="Times New Roman" w:hAnsi="Times New Roman" w:cs="Times New Roman"/>
          <w:sz w:val="24"/>
        </w:rPr>
      </w:pPr>
    </w:p>
    <w:p w14:paraId="2857F206" w14:textId="77777777" w:rsidR="00C9127F" w:rsidRPr="00E10BE6" w:rsidRDefault="00C9127F" w:rsidP="00C9127F">
      <w:pPr>
        <w:spacing w:after="0"/>
        <w:rPr>
          <w:rFonts w:ascii="Times New Roman" w:hAnsi="Times New Roman" w:cs="Times New Roman"/>
          <w:sz w:val="24"/>
        </w:rPr>
      </w:pPr>
    </w:p>
    <w:p w14:paraId="50EC89A6" w14:textId="77777777" w:rsidR="00C9127F" w:rsidRPr="00E10BE6" w:rsidRDefault="00C9127F" w:rsidP="00C9127F">
      <w:pPr>
        <w:spacing w:after="0"/>
        <w:rPr>
          <w:rFonts w:ascii="Times New Roman" w:hAnsi="Times New Roman" w:cs="Times New Roman"/>
          <w:sz w:val="24"/>
        </w:rPr>
      </w:pPr>
    </w:p>
    <w:p w14:paraId="1D698B5C" w14:textId="77777777" w:rsidR="00C9127F" w:rsidRPr="00E10BE6" w:rsidRDefault="00C9127F" w:rsidP="00C9127F">
      <w:pPr>
        <w:spacing w:after="0"/>
        <w:rPr>
          <w:rFonts w:ascii="Times New Roman" w:hAnsi="Times New Roman" w:cs="Times New Roman"/>
          <w:sz w:val="24"/>
        </w:rPr>
      </w:pPr>
    </w:p>
    <w:p w14:paraId="75140B08" w14:textId="77777777" w:rsidR="00C9127F" w:rsidRPr="00E10BE6" w:rsidRDefault="00C9127F" w:rsidP="00C9127F">
      <w:pPr>
        <w:spacing w:after="0"/>
        <w:rPr>
          <w:rFonts w:ascii="Times New Roman" w:hAnsi="Times New Roman" w:cs="Times New Roman"/>
          <w:sz w:val="24"/>
        </w:rPr>
      </w:pPr>
    </w:p>
    <w:p w14:paraId="1CF81E1B" w14:textId="77777777" w:rsidR="00C9127F" w:rsidRPr="00E10BE6" w:rsidRDefault="00C9127F" w:rsidP="00C9127F">
      <w:pPr>
        <w:spacing w:after="0"/>
        <w:rPr>
          <w:rFonts w:ascii="Times New Roman" w:hAnsi="Times New Roman" w:cs="Times New Roman"/>
          <w:sz w:val="24"/>
        </w:rPr>
      </w:pPr>
    </w:p>
    <w:p w14:paraId="75A7B05F" w14:textId="77777777" w:rsidR="00C9127F" w:rsidRPr="00E10BE6" w:rsidRDefault="00C9127F" w:rsidP="00C9127F">
      <w:pPr>
        <w:spacing w:after="0"/>
        <w:rPr>
          <w:rFonts w:ascii="Times New Roman" w:hAnsi="Times New Roman" w:cs="Times New Roman"/>
          <w:sz w:val="24"/>
        </w:rPr>
      </w:pPr>
    </w:p>
    <w:p w14:paraId="3D26200D" w14:textId="77777777" w:rsidR="00C9127F" w:rsidRPr="00E10BE6" w:rsidRDefault="00C9127F" w:rsidP="00C9127F">
      <w:pPr>
        <w:spacing w:after="0"/>
        <w:rPr>
          <w:rFonts w:ascii="Times New Roman" w:hAnsi="Times New Roman" w:cs="Times New Roman"/>
          <w:sz w:val="24"/>
        </w:rPr>
      </w:pPr>
    </w:p>
    <w:p w14:paraId="101E847B" w14:textId="2C02FEA9" w:rsidR="00C9127F" w:rsidRPr="00E10BE6" w:rsidRDefault="00C9127F" w:rsidP="00C9127F">
      <w:pPr>
        <w:spacing w:after="0" w:line="360" w:lineRule="auto"/>
        <w:jc w:val="both"/>
        <w:rPr>
          <w:rFonts w:ascii="Times New Roman" w:hAnsi="Times New Roman" w:cs="Times New Roman"/>
          <w:sz w:val="24"/>
        </w:rPr>
      </w:pPr>
      <w:r w:rsidRPr="00E10BE6">
        <w:rPr>
          <w:rFonts w:ascii="Times New Roman" w:hAnsi="Times New Roman" w:cs="Times New Roman"/>
          <w:sz w:val="24"/>
        </w:rPr>
        <w:t>Na tomto místě bych ráda poděkovala doc. JUDr. Michalu Bartoňovi, Ph.D. za vedení mé diplomové práce a cenné rady a připomínky, které mi během psaní poskytl. Také bych chtěla poděkovat</w:t>
      </w:r>
      <w:r w:rsidRPr="00E10BE6">
        <w:rPr>
          <w:rFonts w:ascii="Times New Roman" w:hAnsi="Times New Roman" w:cs="Times New Roman"/>
          <w:color w:val="FF0000"/>
          <w:sz w:val="24"/>
        </w:rPr>
        <w:t xml:space="preserve"> </w:t>
      </w:r>
      <w:r w:rsidRPr="00E10BE6">
        <w:rPr>
          <w:rFonts w:ascii="Times New Roman" w:hAnsi="Times New Roman" w:cs="Times New Roman"/>
          <w:sz w:val="24"/>
        </w:rPr>
        <w:t>rodině</w:t>
      </w:r>
      <w:r w:rsidR="005369DE" w:rsidRPr="00E10BE6">
        <w:rPr>
          <w:rFonts w:ascii="Times New Roman" w:hAnsi="Times New Roman" w:cs="Times New Roman"/>
          <w:sz w:val="24"/>
        </w:rPr>
        <w:t>,</w:t>
      </w:r>
      <w:r w:rsidRPr="00E10BE6">
        <w:rPr>
          <w:rFonts w:ascii="Times New Roman" w:hAnsi="Times New Roman" w:cs="Times New Roman"/>
          <w:sz w:val="24"/>
        </w:rPr>
        <w:t xml:space="preserve"> a především mamce</w:t>
      </w:r>
      <w:r w:rsidR="005369DE" w:rsidRPr="00E10BE6">
        <w:rPr>
          <w:rFonts w:ascii="Times New Roman" w:hAnsi="Times New Roman" w:cs="Times New Roman"/>
          <w:sz w:val="24"/>
        </w:rPr>
        <w:t>,</w:t>
      </w:r>
      <w:r w:rsidRPr="00E10BE6">
        <w:rPr>
          <w:rFonts w:ascii="Times New Roman" w:hAnsi="Times New Roman" w:cs="Times New Roman"/>
          <w:sz w:val="24"/>
        </w:rPr>
        <w:t xml:space="preserve"> za podporu nejen během psaní této práce, ale i během celého mého studia.</w:t>
      </w:r>
    </w:p>
    <w:p w14:paraId="63FA7FC7" w14:textId="32201C4A" w:rsidR="00C9127F" w:rsidRDefault="00C9127F" w:rsidP="00C9127F">
      <w:pPr>
        <w:spacing w:after="0" w:line="360" w:lineRule="auto"/>
        <w:jc w:val="both"/>
        <w:rPr>
          <w:rFonts w:ascii="Times New Roman" w:hAnsi="Times New Roman" w:cs="Times New Roman"/>
          <w:sz w:val="24"/>
        </w:rPr>
      </w:pPr>
    </w:p>
    <w:p w14:paraId="14EA239F" w14:textId="756541FB" w:rsidR="007C7B7D" w:rsidRDefault="007C7B7D" w:rsidP="00C9127F">
      <w:pPr>
        <w:spacing w:after="0" w:line="360" w:lineRule="auto"/>
        <w:jc w:val="both"/>
        <w:rPr>
          <w:rFonts w:ascii="Times New Roman" w:hAnsi="Times New Roman" w:cs="Times New Roman"/>
          <w:sz w:val="24"/>
        </w:rPr>
      </w:pPr>
    </w:p>
    <w:p w14:paraId="48A1355E" w14:textId="77777777" w:rsidR="007C7B7D" w:rsidRPr="00E10BE6" w:rsidRDefault="007C7B7D" w:rsidP="00C9127F">
      <w:pPr>
        <w:spacing w:after="0" w:line="360" w:lineRule="auto"/>
        <w:jc w:val="both"/>
        <w:rPr>
          <w:rFonts w:ascii="Times New Roman" w:hAnsi="Times New Roman" w:cs="Times New Roman"/>
          <w:sz w:val="24"/>
        </w:rPr>
      </w:pPr>
      <w:bookmarkStart w:id="2" w:name="_GoBack"/>
      <w:bookmarkEnd w:id="2"/>
    </w:p>
    <w:p w14:paraId="0176A6EA" w14:textId="3FEE03DF" w:rsidR="00C9127F" w:rsidRPr="00E10BE6" w:rsidRDefault="00C9127F" w:rsidP="00C9127F">
      <w:pPr>
        <w:spacing w:after="0" w:line="360" w:lineRule="auto"/>
        <w:jc w:val="both"/>
        <w:rPr>
          <w:rFonts w:ascii="Times New Roman" w:hAnsi="Times New Roman" w:cs="Times New Roman"/>
          <w:sz w:val="24"/>
        </w:rPr>
      </w:pPr>
    </w:p>
    <w:sdt>
      <w:sdtPr>
        <w:rPr>
          <w:rFonts w:ascii="Times New Roman" w:eastAsiaTheme="minorHAnsi" w:hAnsi="Times New Roman" w:cs="Times New Roman"/>
          <w:color w:val="auto"/>
          <w:sz w:val="24"/>
          <w:szCs w:val="24"/>
          <w:lang w:eastAsia="en-US"/>
        </w:rPr>
        <w:id w:val="-602643082"/>
        <w:docPartObj>
          <w:docPartGallery w:val="Table of Contents"/>
          <w:docPartUnique/>
        </w:docPartObj>
      </w:sdtPr>
      <w:sdtEndPr>
        <w:rPr>
          <w:b/>
          <w:bCs/>
        </w:rPr>
      </w:sdtEndPr>
      <w:sdtContent>
        <w:p w14:paraId="031A3466" w14:textId="141112CC" w:rsidR="00C9127F" w:rsidRPr="00C902B7" w:rsidRDefault="00C9127F">
          <w:pPr>
            <w:pStyle w:val="Nadpisobsahu"/>
            <w:rPr>
              <w:rFonts w:ascii="Times New Roman" w:hAnsi="Times New Roman" w:cs="Times New Roman"/>
              <w:b/>
              <w:color w:val="auto"/>
              <w:sz w:val="28"/>
              <w:szCs w:val="24"/>
            </w:rPr>
          </w:pPr>
          <w:r w:rsidRPr="00C902B7">
            <w:rPr>
              <w:rFonts w:ascii="Times New Roman" w:hAnsi="Times New Roman" w:cs="Times New Roman"/>
              <w:b/>
              <w:color w:val="auto"/>
              <w:sz w:val="28"/>
              <w:szCs w:val="24"/>
            </w:rPr>
            <w:t>Obsah</w:t>
          </w:r>
        </w:p>
        <w:p w14:paraId="161D1692" w14:textId="06F5C4EF" w:rsidR="00C902B7" w:rsidRPr="00C902B7" w:rsidRDefault="00C9127F">
          <w:pPr>
            <w:pStyle w:val="Obsah1"/>
            <w:tabs>
              <w:tab w:val="right" w:leader="dot" w:pos="9061"/>
            </w:tabs>
            <w:rPr>
              <w:rFonts w:ascii="Times New Roman" w:eastAsiaTheme="minorEastAsia" w:hAnsi="Times New Roman" w:cs="Times New Roman"/>
              <w:noProof/>
              <w:sz w:val="24"/>
              <w:szCs w:val="24"/>
              <w:lang w:eastAsia="cs-CZ"/>
            </w:rPr>
          </w:pPr>
          <w:r w:rsidRPr="00C902B7">
            <w:rPr>
              <w:rFonts w:ascii="Times New Roman" w:hAnsi="Times New Roman" w:cs="Times New Roman"/>
              <w:sz w:val="24"/>
              <w:szCs w:val="24"/>
            </w:rPr>
            <w:fldChar w:fldCharType="begin"/>
          </w:r>
          <w:r w:rsidRPr="00C902B7">
            <w:rPr>
              <w:rFonts w:ascii="Times New Roman" w:hAnsi="Times New Roman" w:cs="Times New Roman"/>
              <w:sz w:val="24"/>
              <w:szCs w:val="24"/>
            </w:rPr>
            <w:instrText xml:space="preserve"> TOC \o "1-3" \h \z \u </w:instrText>
          </w:r>
          <w:r w:rsidRPr="00C902B7">
            <w:rPr>
              <w:rFonts w:ascii="Times New Roman" w:hAnsi="Times New Roman" w:cs="Times New Roman"/>
              <w:sz w:val="24"/>
              <w:szCs w:val="24"/>
            </w:rPr>
            <w:fldChar w:fldCharType="separate"/>
          </w:r>
          <w:hyperlink w:anchor="_Toc3454690" w:history="1">
            <w:r w:rsidR="00C902B7" w:rsidRPr="00C902B7">
              <w:rPr>
                <w:rStyle w:val="Hypertextovodkaz"/>
                <w:rFonts w:ascii="Times New Roman" w:hAnsi="Times New Roman" w:cs="Times New Roman"/>
                <w:noProof/>
                <w:sz w:val="24"/>
                <w:szCs w:val="24"/>
              </w:rPr>
              <w:t>Seznam použitých zkratek</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_Toc3454690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sidR="007C7B7D">
              <w:rPr>
                <w:rFonts w:ascii="Times New Roman" w:hAnsi="Times New Roman" w:cs="Times New Roman"/>
                <w:noProof/>
                <w:webHidden/>
                <w:sz w:val="24"/>
                <w:szCs w:val="24"/>
              </w:rPr>
              <w:t>6</w:t>
            </w:r>
            <w:r w:rsidR="00C902B7" w:rsidRPr="00C902B7">
              <w:rPr>
                <w:rFonts w:ascii="Times New Roman" w:hAnsi="Times New Roman" w:cs="Times New Roman"/>
                <w:noProof/>
                <w:webHidden/>
                <w:sz w:val="24"/>
                <w:szCs w:val="24"/>
              </w:rPr>
              <w:fldChar w:fldCharType="end"/>
            </w:r>
          </w:hyperlink>
        </w:p>
        <w:p w14:paraId="74F796EF" w14:textId="1E9B660C"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691" w:history="1">
            <w:r w:rsidR="00C902B7" w:rsidRPr="00C902B7">
              <w:rPr>
                <w:rStyle w:val="Hypertextovodkaz"/>
                <w:rFonts w:ascii="Times New Roman" w:hAnsi="Times New Roman" w:cs="Times New Roman"/>
                <w:noProof/>
                <w:sz w:val="24"/>
                <w:szCs w:val="24"/>
              </w:rPr>
              <w:t>Úvod</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_Toc3454691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C902B7" w:rsidRPr="00C902B7">
              <w:rPr>
                <w:rFonts w:ascii="Times New Roman" w:hAnsi="Times New Roman" w:cs="Times New Roman"/>
                <w:noProof/>
                <w:webHidden/>
                <w:sz w:val="24"/>
                <w:szCs w:val="24"/>
              </w:rPr>
              <w:fldChar w:fldCharType="end"/>
            </w:r>
          </w:hyperlink>
        </w:p>
        <w:p w14:paraId="59663BFE" w14:textId="74A744E0" w:rsidR="00C902B7" w:rsidRPr="00C902B7" w:rsidRDefault="007C7B7D">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454692" w:history="1">
            <w:r w:rsidR="00C902B7" w:rsidRPr="00C902B7">
              <w:rPr>
                <w:rStyle w:val="Hypertextovodkaz"/>
                <w:rFonts w:ascii="Times New Roman" w:hAnsi="Times New Roman" w:cs="Times New Roman"/>
                <w:noProof/>
                <w:sz w:val="24"/>
                <w:szCs w:val="24"/>
              </w:rPr>
              <w:t>1</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Svoboda vyznání</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_Toc3454692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C902B7" w:rsidRPr="00C902B7">
              <w:rPr>
                <w:rFonts w:ascii="Times New Roman" w:hAnsi="Times New Roman" w:cs="Times New Roman"/>
                <w:noProof/>
                <w:webHidden/>
                <w:sz w:val="24"/>
                <w:szCs w:val="24"/>
              </w:rPr>
              <w:fldChar w:fldCharType="end"/>
            </w:r>
          </w:hyperlink>
        </w:p>
        <w:p w14:paraId="42187224" w14:textId="31E035C2" w:rsidR="00C902B7" w:rsidRPr="00C902B7" w:rsidRDefault="007C7B7D">
          <w:pPr>
            <w:pStyle w:val="Obsah2"/>
            <w:rPr>
              <w:rFonts w:eastAsiaTheme="minorEastAsia"/>
              <w:szCs w:val="24"/>
              <w:lang w:eastAsia="cs-CZ"/>
            </w:rPr>
          </w:pPr>
          <w:hyperlink w:anchor="_Toc3454693" w:history="1">
            <w:r w:rsidR="00C902B7" w:rsidRPr="00C902B7">
              <w:rPr>
                <w:rStyle w:val="Hypertextovodkaz"/>
                <w:szCs w:val="24"/>
              </w:rPr>
              <w:t>1.1</w:t>
            </w:r>
            <w:r w:rsidR="00C902B7" w:rsidRPr="00C902B7">
              <w:rPr>
                <w:rFonts w:eastAsiaTheme="minorEastAsia"/>
                <w:szCs w:val="24"/>
                <w:lang w:eastAsia="cs-CZ"/>
              </w:rPr>
              <w:tab/>
            </w:r>
            <w:r w:rsidR="00C902B7" w:rsidRPr="00C902B7">
              <w:rPr>
                <w:rStyle w:val="Hypertextovodkaz"/>
                <w:szCs w:val="24"/>
              </w:rPr>
              <w:t>Teoretické vymezení</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_Toc3454693 \h </w:instrText>
            </w:r>
            <w:r w:rsidR="00C902B7" w:rsidRPr="00C902B7">
              <w:rPr>
                <w:webHidden/>
                <w:szCs w:val="24"/>
              </w:rPr>
            </w:r>
            <w:r w:rsidR="00C902B7" w:rsidRPr="00C902B7">
              <w:rPr>
                <w:webHidden/>
                <w:szCs w:val="24"/>
              </w:rPr>
              <w:fldChar w:fldCharType="separate"/>
            </w:r>
            <w:r>
              <w:rPr>
                <w:webHidden/>
                <w:szCs w:val="24"/>
              </w:rPr>
              <w:t>9</w:t>
            </w:r>
            <w:r w:rsidR="00C902B7" w:rsidRPr="00C902B7">
              <w:rPr>
                <w:webHidden/>
                <w:szCs w:val="24"/>
              </w:rPr>
              <w:fldChar w:fldCharType="end"/>
            </w:r>
          </w:hyperlink>
        </w:p>
        <w:p w14:paraId="3EDF9403" w14:textId="6E2466FB" w:rsidR="00C902B7" w:rsidRPr="00C902B7" w:rsidRDefault="007C7B7D">
          <w:pPr>
            <w:pStyle w:val="Obsah2"/>
            <w:rPr>
              <w:rFonts w:eastAsiaTheme="minorEastAsia"/>
              <w:szCs w:val="24"/>
              <w:lang w:eastAsia="cs-CZ"/>
            </w:rPr>
          </w:pPr>
          <w:hyperlink w:anchor="_Toc3454694" w:history="1">
            <w:r w:rsidR="00C902B7" w:rsidRPr="00C902B7">
              <w:rPr>
                <w:rStyle w:val="Hypertextovodkaz"/>
                <w:szCs w:val="24"/>
              </w:rPr>
              <w:t>1.2</w:t>
            </w:r>
            <w:r w:rsidR="00C902B7" w:rsidRPr="00C902B7">
              <w:rPr>
                <w:rFonts w:eastAsiaTheme="minorEastAsia"/>
                <w:szCs w:val="24"/>
                <w:lang w:eastAsia="cs-CZ"/>
              </w:rPr>
              <w:tab/>
            </w:r>
            <w:r w:rsidR="00C902B7" w:rsidRPr="00C902B7">
              <w:rPr>
                <w:rStyle w:val="Hypertextovodkaz"/>
                <w:szCs w:val="24"/>
              </w:rPr>
              <w:t>Zakotvení svobody náboženského vyznání</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_Toc3454694 \h </w:instrText>
            </w:r>
            <w:r w:rsidR="00C902B7" w:rsidRPr="00C902B7">
              <w:rPr>
                <w:webHidden/>
                <w:szCs w:val="24"/>
              </w:rPr>
            </w:r>
            <w:r w:rsidR="00C902B7" w:rsidRPr="00C902B7">
              <w:rPr>
                <w:webHidden/>
                <w:szCs w:val="24"/>
              </w:rPr>
              <w:fldChar w:fldCharType="separate"/>
            </w:r>
            <w:r>
              <w:rPr>
                <w:webHidden/>
                <w:szCs w:val="24"/>
              </w:rPr>
              <w:t>10</w:t>
            </w:r>
            <w:r w:rsidR="00C902B7" w:rsidRPr="00C902B7">
              <w:rPr>
                <w:webHidden/>
                <w:szCs w:val="24"/>
              </w:rPr>
              <w:fldChar w:fldCharType="end"/>
            </w:r>
          </w:hyperlink>
        </w:p>
        <w:p w14:paraId="223E1521" w14:textId="7424ACDF"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695" w:history="1">
            <w:r w:rsidR="00C902B7" w:rsidRPr="00C902B7">
              <w:rPr>
                <w:rStyle w:val="Hypertextovodkaz"/>
                <w:rFonts w:ascii="Times New Roman" w:hAnsi="Times New Roman" w:cs="Times New Roman"/>
                <w:noProof/>
                <w:sz w:val="24"/>
                <w:szCs w:val="24"/>
              </w:rPr>
              <w:t>1.2.1</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Univerzální ochrana svobody vyznání</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_Toc3454695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C902B7" w:rsidRPr="00C902B7">
              <w:rPr>
                <w:rFonts w:ascii="Times New Roman" w:hAnsi="Times New Roman" w:cs="Times New Roman"/>
                <w:noProof/>
                <w:webHidden/>
                <w:sz w:val="24"/>
                <w:szCs w:val="24"/>
              </w:rPr>
              <w:fldChar w:fldCharType="end"/>
            </w:r>
          </w:hyperlink>
        </w:p>
        <w:p w14:paraId="42BD44E4" w14:textId="740E7802"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696" w:history="1">
            <w:r w:rsidR="00C902B7" w:rsidRPr="00C902B7">
              <w:rPr>
                <w:rStyle w:val="Hypertextovodkaz"/>
                <w:rFonts w:ascii="Times New Roman" w:hAnsi="Times New Roman" w:cs="Times New Roman"/>
                <w:noProof/>
                <w:sz w:val="24"/>
                <w:szCs w:val="24"/>
              </w:rPr>
              <w:t>1.2.2</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Úprava svobody vyznání na evropské úrovni</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_Toc3454696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C902B7" w:rsidRPr="00C902B7">
              <w:rPr>
                <w:rFonts w:ascii="Times New Roman" w:hAnsi="Times New Roman" w:cs="Times New Roman"/>
                <w:noProof/>
                <w:webHidden/>
                <w:sz w:val="24"/>
                <w:szCs w:val="24"/>
              </w:rPr>
              <w:fldChar w:fldCharType="end"/>
            </w:r>
          </w:hyperlink>
        </w:p>
        <w:p w14:paraId="7208B79E" w14:textId="3AA699CC"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697" w:history="1">
            <w:r w:rsidR="00C902B7" w:rsidRPr="00C902B7">
              <w:rPr>
                <w:rStyle w:val="Hypertextovodkaz"/>
                <w:rFonts w:ascii="Times New Roman" w:hAnsi="Times New Roman" w:cs="Times New Roman"/>
                <w:noProof/>
                <w:sz w:val="24"/>
                <w:szCs w:val="24"/>
              </w:rPr>
              <w:t>1.2.3</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Zakotvení svobody vyznání v českém právním řádu</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_Toc3454697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902B7" w:rsidRPr="00C902B7">
              <w:rPr>
                <w:rFonts w:ascii="Times New Roman" w:hAnsi="Times New Roman" w:cs="Times New Roman"/>
                <w:noProof/>
                <w:webHidden/>
                <w:sz w:val="24"/>
                <w:szCs w:val="24"/>
              </w:rPr>
              <w:fldChar w:fldCharType="end"/>
            </w:r>
          </w:hyperlink>
        </w:p>
        <w:p w14:paraId="53790B9A" w14:textId="1DA7E6F2" w:rsidR="00C902B7" w:rsidRPr="00C902B7" w:rsidRDefault="007C7B7D">
          <w:pPr>
            <w:pStyle w:val="Obsah2"/>
            <w:rPr>
              <w:rFonts w:eastAsiaTheme="minorEastAsia"/>
              <w:szCs w:val="24"/>
              <w:lang w:eastAsia="cs-CZ"/>
            </w:rPr>
          </w:pPr>
          <w:hyperlink w:anchor="_Toc3454698" w:history="1">
            <w:r w:rsidR="00C902B7" w:rsidRPr="00C902B7">
              <w:rPr>
                <w:rStyle w:val="Hypertextovodkaz"/>
                <w:szCs w:val="24"/>
              </w:rPr>
              <w:t>1.3</w:t>
            </w:r>
            <w:r w:rsidR="00C902B7" w:rsidRPr="00C902B7">
              <w:rPr>
                <w:rFonts w:eastAsiaTheme="minorEastAsia"/>
                <w:szCs w:val="24"/>
                <w:lang w:eastAsia="cs-CZ"/>
              </w:rPr>
              <w:tab/>
            </w:r>
            <w:r w:rsidR="00C902B7" w:rsidRPr="00C902B7">
              <w:rPr>
                <w:rStyle w:val="Hypertextovodkaz"/>
                <w:szCs w:val="24"/>
              </w:rPr>
              <w:t>Rozsah svobody projevu vyznání</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_Toc3454698 \h </w:instrText>
            </w:r>
            <w:r w:rsidR="00C902B7" w:rsidRPr="00C902B7">
              <w:rPr>
                <w:webHidden/>
                <w:szCs w:val="24"/>
              </w:rPr>
            </w:r>
            <w:r w:rsidR="00C902B7" w:rsidRPr="00C902B7">
              <w:rPr>
                <w:webHidden/>
                <w:szCs w:val="24"/>
              </w:rPr>
              <w:fldChar w:fldCharType="separate"/>
            </w:r>
            <w:r>
              <w:rPr>
                <w:webHidden/>
                <w:szCs w:val="24"/>
              </w:rPr>
              <w:t>14</w:t>
            </w:r>
            <w:r w:rsidR="00C902B7" w:rsidRPr="00C902B7">
              <w:rPr>
                <w:webHidden/>
                <w:szCs w:val="24"/>
              </w:rPr>
              <w:fldChar w:fldCharType="end"/>
            </w:r>
          </w:hyperlink>
        </w:p>
        <w:p w14:paraId="65BEFFAA" w14:textId="18E0771D" w:rsidR="00C902B7" w:rsidRPr="00C902B7" w:rsidRDefault="007C7B7D">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454699" w:history="1">
            <w:r w:rsidR="00C902B7" w:rsidRPr="00C902B7">
              <w:rPr>
                <w:rStyle w:val="Hypertextovodkaz"/>
                <w:rFonts w:ascii="Times New Roman" w:hAnsi="Times New Roman" w:cs="Times New Roman"/>
                <w:noProof/>
                <w:sz w:val="24"/>
                <w:szCs w:val="24"/>
              </w:rPr>
              <w:t>2</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Limity svobody vyznání v kontextu ESLP</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_Toc3454699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C902B7" w:rsidRPr="00C902B7">
              <w:rPr>
                <w:rFonts w:ascii="Times New Roman" w:hAnsi="Times New Roman" w:cs="Times New Roman"/>
                <w:noProof/>
                <w:webHidden/>
                <w:sz w:val="24"/>
                <w:szCs w:val="24"/>
              </w:rPr>
              <w:fldChar w:fldCharType="end"/>
            </w:r>
          </w:hyperlink>
        </w:p>
        <w:p w14:paraId="6B630C19" w14:textId="03A012ED" w:rsidR="00C902B7" w:rsidRPr="00C902B7" w:rsidRDefault="007C7B7D">
          <w:pPr>
            <w:pStyle w:val="Obsah2"/>
            <w:rPr>
              <w:rFonts w:eastAsiaTheme="minorEastAsia"/>
              <w:szCs w:val="24"/>
              <w:lang w:eastAsia="cs-CZ"/>
            </w:rPr>
          </w:pPr>
          <w:hyperlink w:anchor="_Toc3454700" w:history="1">
            <w:r w:rsidR="00C902B7" w:rsidRPr="00C902B7">
              <w:rPr>
                <w:rStyle w:val="Hypertextovodkaz"/>
                <w:szCs w:val="24"/>
              </w:rPr>
              <w:t>2.1</w:t>
            </w:r>
            <w:r w:rsidR="00C902B7" w:rsidRPr="00C902B7">
              <w:rPr>
                <w:rFonts w:eastAsiaTheme="minorEastAsia"/>
                <w:szCs w:val="24"/>
                <w:lang w:eastAsia="cs-CZ"/>
              </w:rPr>
              <w:tab/>
            </w:r>
            <w:r w:rsidR="00C902B7" w:rsidRPr="00C902B7">
              <w:rPr>
                <w:rStyle w:val="Hypertextovodkaz"/>
                <w:szCs w:val="24"/>
              </w:rPr>
              <w:t>Omezení podle Úmluvy a tzv. pětistupňový test</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_Toc3454700 \h </w:instrText>
            </w:r>
            <w:r w:rsidR="00C902B7" w:rsidRPr="00C902B7">
              <w:rPr>
                <w:webHidden/>
                <w:szCs w:val="24"/>
              </w:rPr>
            </w:r>
            <w:r w:rsidR="00C902B7" w:rsidRPr="00C902B7">
              <w:rPr>
                <w:webHidden/>
                <w:szCs w:val="24"/>
              </w:rPr>
              <w:fldChar w:fldCharType="separate"/>
            </w:r>
            <w:r>
              <w:rPr>
                <w:webHidden/>
                <w:szCs w:val="24"/>
              </w:rPr>
              <w:t>17</w:t>
            </w:r>
            <w:r w:rsidR="00C902B7" w:rsidRPr="00C902B7">
              <w:rPr>
                <w:webHidden/>
                <w:szCs w:val="24"/>
              </w:rPr>
              <w:fldChar w:fldCharType="end"/>
            </w:r>
          </w:hyperlink>
        </w:p>
        <w:p w14:paraId="51D41823" w14:textId="17FCB3C0"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1" w:history="1">
            <w:r w:rsidR="00C902B7" w:rsidRPr="00C902B7">
              <w:rPr>
                <w:rStyle w:val="Hypertextovodkaz"/>
                <w:rFonts w:ascii="Times New Roman" w:hAnsi="Times New Roman" w:cs="Times New Roman"/>
                <w:noProof/>
                <w:sz w:val="24"/>
                <w:szCs w:val="24"/>
              </w:rPr>
              <w:t>2.1.1</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Spadá případ pod rozsah některého z článků Úmluvy?</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_Toc3454701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C902B7" w:rsidRPr="00C902B7">
              <w:rPr>
                <w:rFonts w:ascii="Times New Roman" w:hAnsi="Times New Roman" w:cs="Times New Roman"/>
                <w:noProof/>
                <w:webHidden/>
                <w:sz w:val="24"/>
                <w:szCs w:val="24"/>
              </w:rPr>
              <w:fldChar w:fldCharType="end"/>
            </w:r>
          </w:hyperlink>
        </w:p>
        <w:p w14:paraId="50AED6B3" w14:textId="13FC7F20"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2" w:history="1">
            <w:r w:rsidR="00C902B7" w:rsidRPr="00C902B7">
              <w:rPr>
                <w:rStyle w:val="Hypertextovodkaz"/>
                <w:rFonts w:ascii="Times New Roman" w:hAnsi="Times New Roman" w:cs="Times New Roman"/>
                <w:noProof/>
                <w:sz w:val="24"/>
                <w:szCs w:val="24"/>
              </w:rPr>
              <w:t>2.1.2</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Došlo k zásahu do namítaného práva stěžovatele?</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_Toc3454702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C902B7" w:rsidRPr="00C902B7">
              <w:rPr>
                <w:rFonts w:ascii="Times New Roman" w:hAnsi="Times New Roman" w:cs="Times New Roman"/>
                <w:noProof/>
                <w:webHidden/>
                <w:sz w:val="24"/>
                <w:szCs w:val="24"/>
              </w:rPr>
              <w:fldChar w:fldCharType="end"/>
            </w:r>
          </w:hyperlink>
        </w:p>
        <w:p w14:paraId="5E6F5EA7" w14:textId="652BD269"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3" w:history="1">
            <w:r w:rsidR="00C902B7" w:rsidRPr="00C902B7">
              <w:rPr>
                <w:rStyle w:val="Hypertextovodkaz"/>
                <w:rFonts w:ascii="Times New Roman" w:hAnsi="Times New Roman" w:cs="Times New Roman"/>
                <w:noProof/>
                <w:sz w:val="24"/>
                <w:szCs w:val="24"/>
              </w:rPr>
              <w:t>2.1.3</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Byl zásah zákonný? (test legality)</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_Toc3454703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C902B7" w:rsidRPr="00C902B7">
              <w:rPr>
                <w:rFonts w:ascii="Times New Roman" w:hAnsi="Times New Roman" w:cs="Times New Roman"/>
                <w:noProof/>
                <w:webHidden/>
                <w:sz w:val="24"/>
                <w:szCs w:val="24"/>
              </w:rPr>
              <w:fldChar w:fldCharType="end"/>
            </w:r>
          </w:hyperlink>
        </w:p>
        <w:p w14:paraId="718F0D66" w14:textId="2A809415"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4" w:history="1">
            <w:r w:rsidR="00C902B7" w:rsidRPr="00C902B7">
              <w:rPr>
                <w:rStyle w:val="Hypertextovodkaz"/>
                <w:rFonts w:ascii="Times New Roman" w:hAnsi="Times New Roman" w:cs="Times New Roman"/>
                <w:noProof/>
                <w:sz w:val="24"/>
                <w:szCs w:val="24"/>
              </w:rPr>
              <w:t>2.1.4</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Sledoval zásah některý z legitimních cílů? (test legitimity)</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_Toc3454704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C902B7" w:rsidRPr="00C902B7">
              <w:rPr>
                <w:rFonts w:ascii="Times New Roman" w:hAnsi="Times New Roman" w:cs="Times New Roman"/>
                <w:noProof/>
                <w:webHidden/>
                <w:sz w:val="24"/>
                <w:szCs w:val="24"/>
              </w:rPr>
              <w:fldChar w:fldCharType="end"/>
            </w:r>
          </w:hyperlink>
        </w:p>
        <w:p w14:paraId="1801EF01" w14:textId="056B8204"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5" w:history="1">
            <w:r w:rsidR="00C902B7" w:rsidRPr="00C902B7">
              <w:rPr>
                <w:rStyle w:val="Hypertextovodkaz"/>
                <w:rFonts w:ascii="Times New Roman" w:hAnsi="Times New Roman" w:cs="Times New Roman"/>
                <w:noProof/>
                <w:sz w:val="24"/>
                <w:szCs w:val="24"/>
              </w:rPr>
              <w:t>2.1.5</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Test nezbytnosti</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_Toc3454705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C902B7" w:rsidRPr="00C902B7">
              <w:rPr>
                <w:rFonts w:ascii="Times New Roman" w:hAnsi="Times New Roman" w:cs="Times New Roman"/>
                <w:noProof/>
                <w:webHidden/>
                <w:sz w:val="24"/>
                <w:szCs w:val="24"/>
              </w:rPr>
              <w:fldChar w:fldCharType="end"/>
            </w:r>
          </w:hyperlink>
        </w:p>
        <w:p w14:paraId="1D3AB10A" w14:textId="04EFBE50" w:rsidR="00C902B7" w:rsidRPr="00C902B7" w:rsidRDefault="007C7B7D">
          <w:pPr>
            <w:pStyle w:val="Obsah2"/>
            <w:rPr>
              <w:rFonts w:eastAsiaTheme="minorEastAsia"/>
              <w:szCs w:val="24"/>
              <w:lang w:eastAsia="cs-CZ"/>
            </w:rPr>
          </w:pPr>
          <w:hyperlink w:anchor="_Toc3454706" w:history="1">
            <w:r w:rsidR="00C902B7" w:rsidRPr="00C902B7">
              <w:rPr>
                <w:rStyle w:val="Hypertextovodkaz"/>
                <w:szCs w:val="24"/>
              </w:rPr>
              <w:t>2.2</w:t>
            </w:r>
            <w:r w:rsidR="00C902B7" w:rsidRPr="00C902B7">
              <w:rPr>
                <w:rFonts w:eastAsiaTheme="minorEastAsia"/>
                <w:szCs w:val="24"/>
                <w:lang w:eastAsia="cs-CZ"/>
              </w:rPr>
              <w:tab/>
            </w:r>
            <w:r w:rsidR="00C902B7" w:rsidRPr="00C902B7">
              <w:rPr>
                <w:rStyle w:val="Hypertextovodkaz"/>
                <w:szCs w:val="24"/>
              </w:rPr>
              <w:t>Rozhodnutí Evropského soudu pro lidská práva v otázkách zahalování</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_Toc3454706 \h </w:instrText>
            </w:r>
            <w:r w:rsidR="00C902B7" w:rsidRPr="00C902B7">
              <w:rPr>
                <w:webHidden/>
                <w:szCs w:val="24"/>
              </w:rPr>
            </w:r>
            <w:r w:rsidR="00C902B7" w:rsidRPr="00C902B7">
              <w:rPr>
                <w:webHidden/>
                <w:szCs w:val="24"/>
              </w:rPr>
              <w:fldChar w:fldCharType="separate"/>
            </w:r>
            <w:r>
              <w:rPr>
                <w:webHidden/>
                <w:szCs w:val="24"/>
              </w:rPr>
              <w:t>19</w:t>
            </w:r>
            <w:r w:rsidR="00C902B7" w:rsidRPr="00C902B7">
              <w:rPr>
                <w:webHidden/>
                <w:szCs w:val="24"/>
              </w:rPr>
              <w:fldChar w:fldCharType="end"/>
            </w:r>
          </w:hyperlink>
        </w:p>
        <w:p w14:paraId="6FA67E88" w14:textId="3D45EE9E"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7" w:history="1">
            <w:r w:rsidR="00C902B7" w:rsidRPr="00C902B7">
              <w:rPr>
                <w:rStyle w:val="Hypertextovodkaz"/>
                <w:rFonts w:ascii="Times New Roman" w:hAnsi="Times New Roman" w:cs="Times New Roman"/>
                <w:noProof/>
                <w:sz w:val="24"/>
                <w:szCs w:val="24"/>
              </w:rPr>
              <w:t>2.2.1</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Dahlab proti Švýcarsku</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_Toc3454707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C902B7" w:rsidRPr="00C902B7">
              <w:rPr>
                <w:rFonts w:ascii="Times New Roman" w:hAnsi="Times New Roman" w:cs="Times New Roman"/>
                <w:noProof/>
                <w:webHidden/>
                <w:sz w:val="24"/>
                <w:szCs w:val="24"/>
              </w:rPr>
              <w:fldChar w:fldCharType="end"/>
            </w:r>
          </w:hyperlink>
        </w:p>
        <w:p w14:paraId="6151268F" w14:textId="31BDE1F0"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8" w:history="1">
            <w:r w:rsidR="00C902B7" w:rsidRPr="00C902B7">
              <w:rPr>
                <w:rStyle w:val="Hypertextovodkaz"/>
                <w:rFonts w:ascii="Times New Roman" w:hAnsi="Times New Roman" w:cs="Times New Roman"/>
                <w:noProof/>
                <w:sz w:val="24"/>
                <w:szCs w:val="24"/>
              </w:rPr>
              <w:t>2.2.2</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Dogru proti Francii</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_Toc3454708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C902B7" w:rsidRPr="00C902B7">
              <w:rPr>
                <w:rFonts w:ascii="Times New Roman" w:hAnsi="Times New Roman" w:cs="Times New Roman"/>
                <w:noProof/>
                <w:webHidden/>
                <w:sz w:val="24"/>
                <w:szCs w:val="24"/>
              </w:rPr>
              <w:fldChar w:fldCharType="end"/>
            </w:r>
          </w:hyperlink>
        </w:p>
        <w:p w14:paraId="01411F3C" w14:textId="548450ED"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09" w:history="1">
            <w:r w:rsidR="00C902B7" w:rsidRPr="00C902B7">
              <w:rPr>
                <w:rStyle w:val="Hypertextovodkaz"/>
                <w:rFonts w:ascii="Times New Roman" w:hAnsi="Times New Roman" w:cs="Times New Roman"/>
                <w:noProof/>
                <w:sz w:val="24"/>
                <w:szCs w:val="24"/>
              </w:rPr>
              <w:t>2.2.3</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S.A.S. proti Francii</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_Toc3454709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C902B7" w:rsidRPr="00C902B7">
              <w:rPr>
                <w:rFonts w:ascii="Times New Roman" w:hAnsi="Times New Roman" w:cs="Times New Roman"/>
                <w:noProof/>
                <w:webHidden/>
                <w:sz w:val="24"/>
                <w:szCs w:val="24"/>
              </w:rPr>
              <w:fldChar w:fldCharType="end"/>
            </w:r>
          </w:hyperlink>
        </w:p>
        <w:p w14:paraId="3A57E7C3" w14:textId="6391ECB9"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10" w:history="1">
            <w:r w:rsidR="00C902B7" w:rsidRPr="00C902B7">
              <w:rPr>
                <w:rStyle w:val="Hypertextovodkaz"/>
                <w:rFonts w:ascii="Times New Roman" w:hAnsi="Times New Roman" w:cs="Times New Roman"/>
                <w:noProof/>
                <w:sz w:val="24"/>
                <w:szCs w:val="24"/>
              </w:rPr>
              <w:t>2.2.4</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Lachiri proti Belgii</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_Toc3454710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C902B7" w:rsidRPr="00C902B7">
              <w:rPr>
                <w:rFonts w:ascii="Times New Roman" w:hAnsi="Times New Roman" w:cs="Times New Roman"/>
                <w:noProof/>
                <w:webHidden/>
                <w:sz w:val="24"/>
                <w:szCs w:val="24"/>
              </w:rPr>
              <w:fldChar w:fldCharType="end"/>
            </w:r>
          </w:hyperlink>
        </w:p>
        <w:p w14:paraId="5962E8B3" w14:textId="7B834FFE"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11" w:history="1">
            <w:r w:rsidR="00C902B7" w:rsidRPr="00C902B7">
              <w:rPr>
                <w:rStyle w:val="Hypertextovodkaz"/>
                <w:rFonts w:ascii="Times New Roman" w:hAnsi="Times New Roman" w:cs="Times New Roman"/>
                <w:noProof/>
                <w:sz w:val="24"/>
                <w:szCs w:val="24"/>
              </w:rPr>
              <w:t>2.2.5</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Závěr</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_Toc3454711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C902B7" w:rsidRPr="00C902B7">
              <w:rPr>
                <w:rFonts w:ascii="Times New Roman" w:hAnsi="Times New Roman" w:cs="Times New Roman"/>
                <w:noProof/>
                <w:webHidden/>
                <w:sz w:val="24"/>
                <w:szCs w:val="24"/>
              </w:rPr>
              <w:fldChar w:fldCharType="end"/>
            </w:r>
          </w:hyperlink>
        </w:p>
        <w:p w14:paraId="4285FD8F" w14:textId="6E3B6845" w:rsidR="00C902B7" w:rsidRPr="00C902B7" w:rsidRDefault="007C7B7D">
          <w:pPr>
            <w:pStyle w:val="Obsah2"/>
            <w:rPr>
              <w:rFonts w:eastAsiaTheme="minorEastAsia"/>
              <w:szCs w:val="24"/>
              <w:lang w:eastAsia="cs-CZ"/>
            </w:rPr>
          </w:pPr>
          <w:hyperlink w:anchor="_Toc3454712" w:history="1">
            <w:r w:rsidR="00C902B7" w:rsidRPr="00C902B7">
              <w:rPr>
                <w:rStyle w:val="Hypertextovodkaz"/>
                <w:szCs w:val="24"/>
              </w:rPr>
              <w:t>2.3</w:t>
            </w:r>
            <w:r w:rsidR="00C902B7" w:rsidRPr="00C902B7">
              <w:rPr>
                <w:rFonts w:eastAsiaTheme="minorEastAsia"/>
                <w:szCs w:val="24"/>
                <w:lang w:eastAsia="cs-CZ"/>
              </w:rPr>
              <w:tab/>
            </w:r>
            <w:r w:rsidR="00C902B7" w:rsidRPr="00C902B7">
              <w:rPr>
                <w:rStyle w:val="Hypertextovodkaz"/>
                <w:szCs w:val="24"/>
              </w:rPr>
              <w:t>Rozhodnutí Soudního dvora EU</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_Toc3454712 \h </w:instrText>
            </w:r>
            <w:r w:rsidR="00C902B7" w:rsidRPr="00C902B7">
              <w:rPr>
                <w:webHidden/>
                <w:szCs w:val="24"/>
              </w:rPr>
            </w:r>
            <w:r w:rsidR="00C902B7" w:rsidRPr="00C902B7">
              <w:rPr>
                <w:webHidden/>
                <w:szCs w:val="24"/>
              </w:rPr>
              <w:fldChar w:fldCharType="separate"/>
            </w:r>
            <w:r>
              <w:rPr>
                <w:webHidden/>
                <w:szCs w:val="24"/>
              </w:rPr>
              <w:t>27</w:t>
            </w:r>
            <w:r w:rsidR="00C902B7" w:rsidRPr="00C902B7">
              <w:rPr>
                <w:webHidden/>
                <w:szCs w:val="24"/>
              </w:rPr>
              <w:fldChar w:fldCharType="end"/>
            </w:r>
          </w:hyperlink>
        </w:p>
        <w:p w14:paraId="295D2B52" w14:textId="6924F49B" w:rsidR="00C902B7" w:rsidRPr="00C902B7" w:rsidRDefault="007C7B7D">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454713" w:history="1">
            <w:r w:rsidR="00C902B7" w:rsidRPr="00C902B7">
              <w:rPr>
                <w:rStyle w:val="Hypertextovodkaz"/>
                <w:rFonts w:ascii="Times New Roman" w:hAnsi="Times New Roman" w:cs="Times New Roman"/>
                <w:noProof/>
                <w:sz w:val="24"/>
                <w:szCs w:val="24"/>
              </w:rPr>
              <w:t>2.3.1</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Achbita proti G4S</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_Toc3454713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C902B7" w:rsidRPr="00C902B7">
              <w:rPr>
                <w:rFonts w:ascii="Times New Roman" w:hAnsi="Times New Roman" w:cs="Times New Roman"/>
                <w:noProof/>
                <w:webHidden/>
                <w:sz w:val="24"/>
                <w:szCs w:val="24"/>
              </w:rPr>
              <w:fldChar w:fldCharType="end"/>
            </w:r>
          </w:hyperlink>
        </w:p>
        <w:p w14:paraId="7653B07E" w14:textId="370ABBEC" w:rsidR="00C902B7" w:rsidRPr="00C902B7" w:rsidRDefault="007C7B7D">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454714" w:history="1">
            <w:r w:rsidR="00C902B7" w:rsidRPr="00C902B7">
              <w:rPr>
                <w:rStyle w:val="Hypertextovodkaz"/>
                <w:rFonts w:ascii="Times New Roman" w:hAnsi="Times New Roman" w:cs="Times New Roman"/>
                <w:noProof/>
                <w:sz w:val="24"/>
                <w:szCs w:val="24"/>
              </w:rPr>
              <w:t>3</w:t>
            </w:r>
            <w:r w:rsidR="00C902B7" w:rsidRPr="00C902B7">
              <w:rPr>
                <w:rFonts w:ascii="Times New Roman" w:eastAsiaTheme="minorEastAsia" w:hAnsi="Times New Roman" w:cs="Times New Roman"/>
                <w:noProof/>
                <w:sz w:val="24"/>
                <w:szCs w:val="24"/>
                <w:lang w:eastAsia="cs-CZ"/>
              </w:rPr>
              <w:tab/>
            </w:r>
            <w:r w:rsidR="00C902B7" w:rsidRPr="00C902B7">
              <w:rPr>
                <w:rStyle w:val="Hypertextovodkaz"/>
                <w:rFonts w:ascii="Times New Roman" w:hAnsi="Times New Roman" w:cs="Times New Roman"/>
                <w:noProof/>
                <w:sz w:val="24"/>
                <w:szCs w:val="24"/>
              </w:rPr>
              <w:t>Doktrína prostoru státu pro uvážení</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_Toc3454714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C902B7" w:rsidRPr="00C902B7">
              <w:rPr>
                <w:rFonts w:ascii="Times New Roman" w:hAnsi="Times New Roman" w:cs="Times New Roman"/>
                <w:noProof/>
                <w:webHidden/>
                <w:sz w:val="24"/>
                <w:szCs w:val="24"/>
              </w:rPr>
              <w:fldChar w:fldCharType="end"/>
            </w:r>
          </w:hyperlink>
        </w:p>
        <w:p w14:paraId="03A6CB76" w14:textId="4B04F5D1" w:rsidR="00C902B7" w:rsidRPr="00C902B7" w:rsidRDefault="007C7B7D">
          <w:pPr>
            <w:pStyle w:val="Obsah2"/>
            <w:rPr>
              <w:rFonts w:eastAsiaTheme="minorEastAsia"/>
              <w:szCs w:val="24"/>
              <w:lang w:eastAsia="cs-CZ"/>
            </w:rPr>
          </w:pPr>
          <w:hyperlink w:anchor="_Toc3454715" w:history="1">
            <w:r w:rsidR="00C902B7" w:rsidRPr="00C902B7">
              <w:rPr>
                <w:rStyle w:val="Hypertextovodkaz"/>
                <w:szCs w:val="24"/>
              </w:rPr>
              <w:t>3.1</w:t>
            </w:r>
            <w:r w:rsidR="00C902B7" w:rsidRPr="00C902B7">
              <w:rPr>
                <w:rFonts w:eastAsiaTheme="minorEastAsia"/>
                <w:szCs w:val="24"/>
                <w:lang w:eastAsia="cs-CZ"/>
              </w:rPr>
              <w:tab/>
            </w:r>
            <w:r w:rsidR="00C902B7" w:rsidRPr="00C902B7">
              <w:rPr>
                <w:rStyle w:val="Hypertextovodkaz"/>
                <w:szCs w:val="24"/>
              </w:rPr>
              <w:t>Vznik doktríny a její aplikace</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_Toc3454715 \h </w:instrText>
            </w:r>
            <w:r w:rsidR="00C902B7" w:rsidRPr="00C902B7">
              <w:rPr>
                <w:webHidden/>
                <w:szCs w:val="24"/>
              </w:rPr>
            </w:r>
            <w:r w:rsidR="00C902B7" w:rsidRPr="00C902B7">
              <w:rPr>
                <w:webHidden/>
                <w:szCs w:val="24"/>
              </w:rPr>
              <w:fldChar w:fldCharType="separate"/>
            </w:r>
            <w:r>
              <w:rPr>
                <w:webHidden/>
                <w:szCs w:val="24"/>
              </w:rPr>
              <w:t>30</w:t>
            </w:r>
            <w:r w:rsidR="00C902B7" w:rsidRPr="00C902B7">
              <w:rPr>
                <w:webHidden/>
                <w:szCs w:val="24"/>
              </w:rPr>
              <w:fldChar w:fldCharType="end"/>
            </w:r>
          </w:hyperlink>
        </w:p>
        <w:p w14:paraId="30D820BF" w14:textId="64B61D5B" w:rsidR="00C902B7" w:rsidRPr="00C902B7" w:rsidRDefault="007C7B7D">
          <w:pPr>
            <w:pStyle w:val="Obsah2"/>
            <w:rPr>
              <w:rFonts w:eastAsiaTheme="minorEastAsia"/>
              <w:szCs w:val="24"/>
              <w:lang w:eastAsia="cs-CZ"/>
            </w:rPr>
          </w:pPr>
          <w:hyperlink w:anchor="_Toc3454716" w:history="1">
            <w:r w:rsidR="00C902B7" w:rsidRPr="00C902B7">
              <w:rPr>
                <w:rStyle w:val="Hypertextovodkaz"/>
                <w:szCs w:val="24"/>
              </w:rPr>
              <w:t>3.2</w:t>
            </w:r>
            <w:r w:rsidR="00C902B7" w:rsidRPr="00C902B7">
              <w:rPr>
                <w:rFonts w:eastAsiaTheme="minorEastAsia"/>
                <w:szCs w:val="24"/>
                <w:lang w:eastAsia="cs-CZ"/>
              </w:rPr>
              <w:tab/>
            </w:r>
            <w:r w:rsidR="00C902B7" w:rsidRPr="00C902B7">
              <w:rPr>
                <w:rStyle w:val="Hypertextovodkaz"/>
                <w:szCs w:val="24"/>
              </w:rPr>
              <w:t>Problematické aspekty užívání doktríny</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_Toc3454716 \h </w:instrText>
            </w:r>
            <w:r w:rsidR="00C902B7" w:rsidRPr="00C902B7">
              <w:rPr>
                <w:webHidden/>
                <w:szCs w:val="24"/>
              </w:rPr>
            </w:r>
            <w:r w:rsidR="00C902B7" w:rsidRPr="00C902B7">
              <w:rPr>
                <w:webHidden/>
                <w:szCs w:val="24"/>
              </w:rPr>
              <w:fldChar w:fldCharType="separate"/>
            </w:r>
            <w:r>
              <w:rPr>
                <w:webHidden/>
                <w:szCs w:val="24"/>
              </w:rPr>
              <w:t>33</w:t>
            </w:r>
            <w:r w:rsidR="00C902B7" w:rsidRPr="00C902B7">
              <w:rPr>
                <w:webHidden/>
                <w:szCs w:val="24"/>
              </w:rPr>
              <w:fldChar w:fldCharType="end"/>
            </w:r>
          </w:hyperlink>
        </w:p>
        <w:p w14:paraId="6E6CFFAC" w14:textId="0C2BD3C4" w:rsidR="00C902B7" w:rsidRPr="00C902B7" w:rsidRDefault="007C7B7D">
          <w:pPr>
            <w:pStyle w:val="Obsah2"/>
            <w:rPr>
              <w:rFonts w:eastAsiaTheme="minorEastAsia"/>
              <w:szCs w:val="24"/>
              <w:lang w:eastAsia="cs-CZ"/>
            </w:rPr>
          </w:pPr>
          <w:hyperlink w:anchor="_Toc3454717" w:history="1">
            <w:r w:rsidR="00C902B7" w:rsidRPr="00C902B7">
              <w:rPr>
                <w:rStyle w:val="Hypertextovodkaz"/>
                <w:szCs w:val="24"/>
              </w:rPr>
              <w:t>3.3</w:t>
            </w:r>
            <w:r w:rsidR="00C902B7" w:rsidRPr="00C902B7">
              <w:rPr>
                <w:rFonts w:eastAsiaTheme="minorEastAsia"/>
                <w:szCs w:val="24"/>
                <w:lang w:eastAsia="cs-CZ"/>
              </w:rPr>
              <w:tab/>
            </w:r>
            <w:r w:rsidR="00C902B7" w:rsidRPr="00C902B7">
              <w:rPr>
                <w:rStyle w:val="Hypertextovodkaz"/>
                <w:szCs w:val="24"/>
              </w:rPr>
              <w:t>Důvody širokého prostoru pro uvážení státu v oblasti svobody vyznání</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_Toc3454717 \h </w:instrText>
            </w:r>
            <w:r w:rsidR="00C902B7" w:rsidRPr="00C902B7">
              <w:rPr>
                <w:webHidden/>
                <w:szCs w:val="24"/>
              </w:rPr>
            </w:r>
            <w:r w:rsidR="00C902B7" w:rsidRPr="00C902B7">
              <w:rPr>
                <w:webHidden/>
                <w:szCs w:val="24"/>
              </w:rPr>
              <w:fldChar w:fldCharType="separate"/>
            </w:r>
            <w:r>
              <w:rPr>
                <w:webHidden/>
                <w:szCs w:val="24"/>
              </w:rPr>
              <w:t>35</w:t>
            </w:r>
            <w:r w:rsidR="00C902B7" w:rsidRPr="00C902B7">
              <w:rPr>
                <w:webHidden/>
                <w:szCs w:val="24"/>
              </w:rPr>
              <w:fldChar w:fldCharType="end"/>
            </w:r>
          </w:hyperlink>
        </w:p>
        <w:p w14:paraId="669963D7" w14:textId="0C17B33C"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718" w:history="1">
            <w:r w:rsidR="00C902B7" w:rsidRPr="00C902B7">
              <w:rPr>
                <w:rStyle w:val="Hypertextovodkaz"/>
                <w:rFonts w:ascii="Times New Roman" w:hAnsi="Times New Roman" w:cs="Times New Roman"/>
                <w:noProof/>
                <w:sz w:val="24"/>
                <w:szCs w:val="24"/>
              </w:rPr>
              <w:t>Závěr</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_Toc3454718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C902B7" w:rsidRPr="00C902B7">
              <w:rPr>
                <w:rFonts w:ascii="Times New Roman" w:hAnsi="Times New Roman" w:cs="Times New Roman"/>
                <w:noProof/>
                <w:webHidden/>
                <w:sz w:val="24"/>
                <w:szCs w:val="24"/>
              </w:rPr>
              <w:fldChar w:fldCharType="end"/>
            </w:r>
          </w:hyperlink>
        </w:p>
        <w:p w14:paraId="259820C6" w14:textId="35406442"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719" w:history="1">
            <w:r w:rsidR="00C902B7" w:rsidRPr="00C902B7">
              <w:rPr>
                <w:rStyle w:val="Hypertextovodkaz"/>
                <w:rFonts w:ascii="Times New Roman" w:hAnsi="Times New Roman" w:cs="Times New Roman"/>
                <w:noProof/>
                <w:sz w:val="24"/>
                <w:szCs w:val="24"/>
              </w:rPr>
              <w:t>Seznam použitých zdrojů</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_Toc3454719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C902B7" w:rsidRPr="00C902B7">
              <w:rPr>
                <w:rFonts w:ascii="Times New Roman" w:hAnsi="Times New Roman" w:cs="Times New Roman"/>
                <w:noProof/>
                <w:webHidden/>
                <w:sz w:val="24"/>
                <w:szCs w:val="24"/>
              </w:rPr>
              <w:fldChar w:fldCharType="end"/>
            </w:r>
          </w:hyperlink>
        </w:p>
        <w:p w14:paraId="582E1476" w14:textId="45B7696E" w:rsidR="00C902B7" w:rsidRPr="00C902B7" w:rsidRDefault="007C7B7D">
          <w:pPr>
            <w:pStyle w:val="Obsah2"/>
            <w:rPr>
              <w:rFonts w:eastAsiaTheme="minorEastAsia"/>
              <w:szCs w:val="24"/>
              <w:lang w:eastAsia="cs-CZ"/>
            </w:rPr>
          </w:pPr>
          <w:hyperlink w:anchor="_Toc3454720" w:history="1">
            <w:r w:rsidR="00C902B7" w:rsidRPr="00C902B7">
              <w:rPr>
                <w:rStyle w:val="Hypertextovodkaz"/>
                <w:szCs w:val="24"/>
              </w:rPr>
              <w:t>Monografie a komentáře</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_Toc3454720 \h </w:instrText>
            </w:r>
            <w:r w:rsidR="00C902B7" w:rsidRPr="00C902B7">
              <w:rPr>
                <w:webHidden/>
                <w:szCs w:val="24"/>
              </w:rPr>
            </w:r>
            <w:r w:rsidR="00C902B7" w:rsidRPr="00C902B7">
              <w:rPr>
                <w:webHidden/>
                <w:szCs w:val="24"/>
              </w:rPr>
              <w:fldChar w:fldCharType="separate"/>
            </w:r>
            <w:r>
              <w:rPr>
                <w:webHidden/>
                <w:szCs w:val="24"/>
              </w:rPr>
              <w:t>42</w:t>
            </w:r>
            <w:r w:rsidR="00C902B7" w:rsidRPr="00C902B7">
              <w:rPr>
                <w:webHidden/>
                <w:szCs w:val="24"/>
              </w:rPr>
              <w:fldChar w:fldCharType="end"/>
            </w:r>
          </w:hyperlink>
        </w:p>
        <w:p w14:paraId="7AD3C61C" w14:textId="49BECCC1" w:rsidR="00C902B7" w:rsidRPr="00C902B7" w:rsidRDefault="007C7B7D">
          <w:pPr>
            <w:pStyle w:val="Obsah2"/>
            <w:rPr>
              <w:rFonts w:eastAsiaTheme="minorEastAsia"/>
              <w:szCs w:val="24"/>
              <w:lang w:eastAsia="cs-CZ"/>
            </w:rPr>
          </w:pPr>
          <w:hyperlink w:anchor="_Toc3454721" w:history="1">
            <w:r w:rsidR="00C902B7" w:rsidRPr="00C902B7">
              <w:rPr>
                <w:rStyle w:val="Hypertextovodkaz"/>
                <w:szCs w:val="24"/>
              </w:rPr>
              <w:t>Odborné články</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_Toc3454721 \h </w:instrText>
            </w:r>
            <w:r w:rsidR="00C902B7" w:rsidRPr="00C902B7">
              <w:rPr>
                <w:webHidden/>
                <w:szCs w:val="24"/>
              </w:rPr>
            </w:r>
            <w:r w:rsidR="00C902B7" w:rsidRPr="00C902B7">
              <w:rPr>
                <w:webHidden/>
                <w:szCs w:val="24"/>
              </w:rPr>
              <w:fldChar w:fldCharType="separate"/>
            </w:r>
            <w:r>
              <w:rPr>
                <w:webHidden/>
                <w:szCs w:val="24"/>
              </w:rPr>
              <w:t>42</w:t>
            </w:r>
            <w:r w:rsidR="00C902B7" w:rsidRPr="00C902B7">
              <w:rPr>
                <w:webHidden/>
                <w:szCs w:val="24"/>
              </w:rPr>
              <w:fldChar w:fldCharType="end"/>
            </w:r>
          </w:hyperlink>
        </w:p>
        <w:p w14:paraId="296418CF" w14:textId="2425BDE4" w:rsidR="00C902B7" w:rsidRPr="00C902B7" w:rsidRDefault="007C7B7D">
          <w:pPr>
            <w:pStyle w:val="Obsah2"/>
            <w:rPr>
              <w:rFonts w:eastAsiaTheme="minorEastAsia"/>
              <w:szCs w:val="24"/>
              <w:lang w:eastAsia="cs-CZ"/>
            </w:rPr>
          </w:pPr>
          <w:hyperlink w:anchor="_Toc3454722" w:history="1">
            <w:r w:rsidR="00C902B7" w:rsidRPr="00C902B7">
              <w:rPr>
                <w:rStyle w:val="Hypertextovodkaz"/>
                <w:szCs w:val="24"/>
              </w:rPr>
              <w:t>Právní předpisy</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_Toc3454722 \h </w:instrText>
            </w:r>
            <w:r w:rsidR="00C902B7" w:rsidRPr="00C902B7">
              <w:rPr>
                <w:webHidden/>
                <w:szCs w:val="24"/>
              </w:rPr>
            </w:r>
            <w:r w:rsidR="00C902B7" w:rsidRPr="00C902B7">
              <w:rPr>
                <w:webHidden/>
                <w:szCs w:val="24"/>
              </w:rPr>
              <w:fldChar w:fldCharType="separate"/>
            </w:r>
            <w:r>
              <w:rPr>
                <w:webHidden/>
                <w:szCs w:val="24"/>
              </w:rPr>
              <w:t>43</w:t>
            </w:r>
            <w:r w:rsidR="00C902B7" w:rsidRPr="00C902B7">
              <w:rPr>
                <w:webHidden/>
                <w:szCs w:val="24"/>
              </w:rPr>
              <w:fldChar w:fldCharType="end"/>
            </w:r>
          </w:hyperlink>
        </w:p>
        <w:p w14:paraId="001881C3" w14:textId="35E0B799" w:rsidR="00C902B7" w:rsidRPr="00C902B7" w:rsidRDefault="007C7B7D">
          <w:pPr>
            <w:pStyle w:val="Obsah2"/>
            <w:rPr>
              <w:rFonts w:eastAsiaTheme="minorEastAsia"/>
              <w:szCs w:val="24"/>
              <w:lang w:eastAsia="cs-CZ"/>
            </w:rPr>
          </w:pPr>
          <w:hyperlink w:anchor="_Toc3454723" w:history="1">
            <w:r w:rsidR="00C902B7" w:rsidRPr="00C902B7">
              <w:rPr>
                <w:rStyle w:val="Hypertextovodkaz"/>
                <w:szCs w:val="24"/>
              </w:rPr>
              <w:t>Judikatura</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_Toc3454723 \h </w:instrText>
            </w:r>
            <w:r w:rsidR="00C902B7" w:rsidRPr="00C902B7">
              <w:rPr>
                <w:webHidden/>
                <w:szCs w:val="24"/>
              </w:rPr>
            </w:r>
            <w:r w:rsidR="00C902B7" w:rsidRPr="00C902B7">
              <w:rPr>
                <w:webHidden/>
                <w:szCs w:val="24"/>
              </w:rPr>
              <w:fldChar w:fldCharType="separate"/>
            </w:r>
            <w:r>
              <w:rPr>
                <w:webHidden/>
                <w:szCs w:val="24"/>
              </w:rPr>
              <w:t>43</w:t>
            </w:r>
            <w:r w:rsidR="00C902B7" w:rsidRPr="00C902B7">
              <w:rPr>
                <w:webHidden/>
                <w:szCs w:val="24"/>
              </w:rPr>
              <w:fldChar w:fldCharType="end"/>
            </w:r>
          </w:hyperlink>
        </w:p>
        <w:p w14:paraId="4736D108" w14:textId="020633DF" w:rsidR="00C902B7" w:rsidRPr="00C902B7" w:rsidRDefault="007C7B7D">
          <w:pPr>
            <w:pStyle w:val="Obsah2"/>
            <w:rPr>
              <w:rFonts w:eastAsiaTheme="minorEastAsia"/>
              <w:szCs w:val="24"/>
              <w:lang w:eastAsia="cs-CZ"/>
            </w:rPr>
          </w:pPr>
          <w:hyperlink w:anchor="_Toc3454724" w:history="1">
            <w:r w:rsidR="00C902B7" w:rsidRPr="00C902B7">
              <w:rPr>
                <w:rStyle w:val="Hypertextovodkaz"/>
                <w:szCs w:val="24"/>
              </w:rPr>
              <w:t>Internetové zdroje</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_Toc3454724 \h </w:instrText>
            </w:r>
            <w:r w:rsidR="00C902B7" w:rsidRPr="00C902B7">
              <w:rPr>
                <w:webHidden/>
                <w:szCs w:val="24"/>
              </w:rPr>
            </w:r>
            <w:r w:rsidR="00C902B7" w:rsidRPr="00C902B7">
              <w:rPr>
                <w:webHidden/>
                <w:szCs w:val="24"/>
              </w:rPr>
              <w:fldChar w:fldCharType="separate"/>
            </w:r>
            <w:r>
              <w:rPr>
                <w:webHidden/>
                <w:szCs w:val="24"/>
              </w:rPr>
              <w:t>44</w:t>
            </w:r>
            <w:r w:rsidR="00C902B7" w:rsidRPr="00C902B7">
              <w:rPr>
                <w:webHidden/>
                <w:szCs w:val="24"/>
              </w:rPr>
              <w:fldChar w:fldCharType="end"/>
            </w:r>
          </w:hyperlink>
        </w:p>
        <w:p w14:paraId="1CFE0CC8" w14:textId="093E7095" w:rsidR="00C902B7" w:rsidRPr="00C902B7" w:rsidRDefault="007C7B7D">
          <w:pPr>
            <w:pStyle w:val="Obsah2"/>
            <w:rPr>
              <w:rFonts w:eastAsiaTheme="minorEastAsia"/>
              <w:szCs w:val="24"/>
              <w:lang w:eastAsia="cs-CZ"/>
            </w:rPr>
          </w:pPr>
          <w:hyperlink w:anchor="_Toc3454725" w:history="1">
            <w:r w:rsidR="00C902B7" w:rsidRPr="00C902B7">
              <w:rPr>
                <w:rStyle w:val="Hypertextovodkaz"/>
                <w:szCs w:val="24"/>
              </w:rPr>
              <w:t>Ostatní zdroje</w:t>
            </w:r>
            <w:r w:rsidR="00C902B7" w:rsidRPr="00C902B7">
              <w:rPr>
                <w:webHidden/>
                <w:szCs w:val="24"/>
              </w:rPr>
              <w:tab/>
            </w:r>
            <w:r w:rsidR="00C902B7" w:rsidRPr="00C902B7">
              <w:rPr>
                <w:webHidden/>
                <w:szCs w:val="24"/>
              </w:rPr>
              <w:fldChar w:fldCharType="begin"/>
            </w:r>
            <w:r w:rsidR="00C902B7" w:rsidRPr="00C902B7">
              <w:rPr>
                <w:webHidden/>
                <w:szCs w:val="24"/>
              </w:rPr>
              <w:instrText xml:space="preserve"> PAGEREF _Toc3454725 \h </w:instrText>
            </w:r>
            <w:r w:rsidR="00C902B7" w:rsidRPr="00C902B7">
              <w:rPr>
                <w:webHidden/>
                <w:szCs w:val="24"/>
              </w:rPr>
            </w:r>
            <w:r w:rsidR="00C902B7" w:rsidRPr="00C902B7">
              <w:rPr>
                <w:webHidden/>
                <w:szCs w:val="24"/>
              </w:rPr>
              <w:fldChar w:fldCharType="separate"/>
            </w:r>
            <w:r>
              <w:rPr>
                <w:webHidden/>
                <w:szCs w:val="24"/>
              </w:rPr>
              <w:t>45</w:t>
            </w:r>
            <w:r w:rsidR="00C902B7" w:rsidRPr="00C902B7">
              <w:rPr>
                <w:webHidden/>
                <w:szCs w:val="24"/>
              </w:rPr>
              <w:fldChar w:fldCharType="end"/>
            </w:r>
          </w:hyperlink>
        </w:p>
        <w:p w14:paraId="593D12D8" w14:textId="1452CA59"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726" w:history="1">
            <w:r w:rsidR="00C902B7" w:rsidRPr="00C902B7">
              <w:rPr>
                <w:rStyle w:val="Hypertextovodkaz"/>
                <w:rFonts w:ascii="Times New Roman" w:hAnsi="Times New Roman" w:cs="Times New Roman"/>
                <w:noProof/>
                <w:sz w:val="24"/>
                <w:szCs w:val="24"/>
              </w:rPr>
              <w:t>Shrnutí</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_Toc3454726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C902B7" w:rsidRPr="00C902B7">
              <w:rPr>
                <w:rFonts w:ascii="Times New Roman" w:hAnsi="Times New Roman" w:cs="Times New Roman"/>
                <w:noProof/>
                <w:webHidden/>
                <w:sz w:val="24"/>
                <w:szCs w:val="24"/>
              </w:rPr>
              <w:fldChar w:fldCharType="end"/>
            </w:r>
          </w:hyperlink>
        </w:p>
        <w:p w14:paraId="1708DF88" w14:textId="19D7C45C"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727" w:history="1">
            <w:r w:rsidR="00C902B7" w:rsidRPr="00C902B7">
              <w:rPr>
                <w:rStyle w:val="Hypertextovodkaz"/>
                <w:rFonts w:ascii="Times New Roman" w:hAnsi="Times New Roman" w:cs="Times New Roman"/>
                <w:noProof/>
                <w:sz w:val="24"/>
                <w:szCs w:val="24"/>
              </w:rPr>
              <w:t>Abstract</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_Toc3454727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C902B7" w:rsidRPr="00C902B7">
              <w:rPr>
                <w:rFonts w:ascii="Times New Roman" w:hAnsi="Times New Roman" w:cs="Times New Roman"/>
                <w:noProof/>
                <w:webHidden/>
                <w:sz w:val="24"/>
                <w:szCs w:val="24"/>
              </w:rPr>
              <w:fldChar w:fldCharType="end"/>
            </w:r>
          </w:hyperlink>
        </w:p>
        <w:p w14:paraId="4A742FEF" w14:textId="346FF7EF"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728" w:history="1">
            <w:r w:rsidR="00C902B7" w:rsidRPr="00C902B7">
              <w:rPr>
                <w:rStyle w:val="Hypertextovodkaz"/>
                <w:rFonts w:ascii="Times New Roman" w:hAnsi="Times New Roman" w:cs="Times New Roman"/>
                <w:noProof/>
                <w:sz w:val="24"/>
                <w:szCs w:val="24"/>
              </w:rPr>
              <w:t>Klíčová slova</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_Toc3454728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C902B7" w:rsidRPr="00C902B7">
              <w:rPr>
                <w:rFonts w:ascii="Times New Roman" w:hAnsi="Times New Roman" w:cs="Times New Roman"/>
                <w:noProof/>
                <w:webHidden/>
                <w:sz w:val="24"/>
                <w:szCs w:val="24"/>
              </w:rPr>
              <w:fldChar w:fldCharType="end"/>
            </w:r>
          </w:hyperlink>
        </w:p>
        <w:p w14:paraId="665FC142" w14:textId="52D5821F" w:rsidR="00C902B7" w:rsidRPr="00C902B7" w:rsidRDefault="007C7B7D">
          <w:pPr>
            <w:pStyle w:val="Obsah1"/>
            <w:tabs>
              <w:tab w:val="right" w:leader="dot" w:pos="9061"/>
            </w:tabs>
            <w:rPr>
              <w:rFonts w:ascii="Times New Roman" w:eastAsiaTheme="minorEastAsia" w:hAnsi="Times New Roman" w:cs="Times New Roman"/>
              <w:noProof/>
              <w:sz w:val="24"/>
              <w:szCs w:val="24"/>
              <w:lang w:eastAsia="cs-CZ"/>
            </w:rPr>
          </w:pPr>
          <w:hyperlink w:anchor="_Toc3454729" w:history="1">
            <w:r w:rsidR="00C902B7" w:rsidRPr="00C902B7">
              <w:rPr>
                <w:rStyle w:val="Hypertextovodkaz"/>
                <w:rFonts w:ascii="Times New Roman" w:hAnsi="Times New Roman" w:cs="Times New Roman"/>
                <w:noProof/>
                <w:sz w:val="24"/>
                <w:szCs w:val="24"/>
              </w:rPr>
              <w:t>Key words</w:t>
            </w:r>
            <w:r w:rsidR="00C902B7" w:rsidRPr="00C902B7">
              <w:rPr>
                <w:rFonts w:ascii="Times New Roman" w:hAnsi="Times New Roman" w:cs="Times New Roman"/>
                <w:noProof/>
                <w:webHidden/>
                <w:sz w:val="24"/>
                <w:szCs w:val="24"/>
              </w:rPr>
              <w:tab/>
            </w:r>
            <w:r w:rsidR="00C902B7" w:rsidRPr="00C902B7">
              <w:rPr>
                <w:rFonts w:ascii="Times New Roman" w:hAnsi="Times New Roman" w:cs="Times New Roman"/>
                <w:noProof/>
                <w:webHidden/>
                <w:sz w:val="24"/>
                <w:szCs w:val="24"/>
              </w:rPr>
              <w:fldChar w:fldCharType="begin"/>
            </w:r>
            <w:r w:rsidR="00C902B7" w:rsidRPr="00C902B7">
              <w:rPr>
                <w:rFonts w:ascii="Times New Roman" w:hAnsi="Times New Roman" w:cs="Times New Roman"/>
                <w:noProof/>
                <w:webHidden/>
                <w:sz w:val="24"/>
                <w:szCs w:val="24"/>
              </w:rPr>
              <w:instrText xml:space="preserve"> PAGEREF _Toc3454729 \h </w:instrText>
            </w:r>
            <w:r w:rsidR="00C902B7" w:rsidRPr="00C902B7">
              <w:rPr>
                <w:rFonts w:ascii="Times New Roman" w:hAnsi="Times New Roman" w:cs="Times New Roman"/>
                <w:noProof/>
                <w:webHidden/>
                <w:sz w:val="24"/>
                <w:szCs w:val="24"/>
              </w:rPr>
            </w:r>
            <w:r w:rsidR="00C902B7" w:rsidRPr="00C902B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C902B7" w:rsidRPr="00C902B7">
              <w:rPr>
                <w:rFonts w:ascii="Times New Roman" w:hAnsi="Times New Roman" w:cs="Times New Roman"/>
                <w:noProof/>
                <w:webHidden/>
                <w:sz w:val="24"/>
                <w:szCs w:val="24"/>
              </w:rPr>
              <w:fldChar w:fldCharType="end"/>
            </w:r>
          </w:hyperlink>
        </w:p>
        <w:p w14:paraId="1F58EC5F" w14:textId="0BF6CCD7" w:rsidR="00C9127F" w:rsidRPr="00E10BE6" w:rsidRDefault="00C9127F">
          <w:pPr>
            <w:rPr>
              <w:rFonts w:ascii="Times New Roman" w:hAnsi="Times New Roman" w:cs="Times New Roman"/>
              <w:sz w:val="24"/>
              <w:szCs w:val="24"/>
            </w:rPr>
          </w:pPr>
          <w:r w:rsidRPr="00C902B7">
            <w:rPr>
              <w:rFonts w:ascii="Times New Roman" w:hAnsi="Times New Roman" w:cs="Times New Roman"/>
              <w:b/>
              <w:bCs/>
              <w:sz w:val="24"/>
              <w:szCs w:val="24"/>
            </w:rPr>
            <w:fldChar w:fldCharType="end"/>
          </w:r>
        </w:p>
      </w:sdtContent>
    </w:sdt>
    <w:p w14:paraId="291769F1" w14:textId="77777777" w:rsidR="00C9127F" w:rsidRPr="00E10BE6" w:rsidRDefault="00C9127F" w:rsidP="00C9127F">
      <w:pPr>
        <w:spacing w:after="0" w:line="360" w:lineRule="auto"/>
        <w:jc w:val="both"/>
        <w:rPr>
          <w:rFonts w:ascii="Times New Roman" w:hAnsi="Times New Roman" w:cs="Times New Roman"/>
          <w:sz w:val="24"/>
          <w:szCs w:val="24"/>
        </w:rPr>
      </w:pPr>
    </w:p>
    <w:p w14:paraId="3E510628" w14:textId="77777777" w:rsidR="00C9127F" w:rsidRPr="00E10BE6" w:rsidRDefault="00C9127F">
      <w:pPr>
        <w:rPr>
          <w:rFonts w:ascii="Times New Roman" w:eastAsiaTheme="majorEastAsia" w:hAnsi="Times New Roman" w:cs="Times New Roman"/>
          <w:b/>
          <w:sz w:val="32"/>
          <w:szCs w:val="32"/>
        </w:rPr>
      </w:pPr>
      <w:r w:rsidRPr="00E10BE6">
        <w:rPr>
          <w:rFonts w:ascii="Times New Roman" w:hAnsi="Times New Roman" w:cs="Times New Roman"/>
          <w:sz w:val="24"/>
          <w:szCs w:val="24"/>
        </w:rPr>
        <w:br w:type="page"/>
      </w:r>
    </w:p>
    <w:p w14:paraId="73C4D690" w14:textId="3B493745" w:rsidR="00C9127F" w:rsidRPr="00E10BE6" w:rsidRDefault="000F7C0B" w:rsidP="000F7C0B">
      <w:pPr>
        <w:pStyle w:val="Nadpis1"/>
        <w:numPr>
          <w:ilvl w:val="0"/>
          <w:numId w:val="0"/>
        </w:numPr>
        <w:ind w:left="431"/>
      </w:pPr>
      <w:bookmarkStart w:id="3" w:name="_Toc3454690"/>
      <w:r w:rsidRPr="00E10BE6">
        <w:lastRenderedPageBreak/>
        <w:t>Seznam použitých zkratek</w:t>
      </w:r>
      <w:bookmarkEnd w:id="3"/>
    </w:p>
    <w:p w14:paraId="02DA1EA6" w14:textId="387C2EDF" w:rsidR="000F7C0B" w:rsidRPr="00E10BE6" w:rsidRDefault="000F7C0B" w:rsidP="000F7C0B">
      <w:pPr>
        <w:rPr>
          <w:rFonts w:ascii="Times New Roman" w:hAnsi="Times New Roman" w:cs="Times New Roman"/>
          <w:sz w:val="24"/>
        </w:rPr>
      </w:pPr>
      <w:r w:rsidRPr="00E10BE6">
        <w:rPr>
          <w:rFonts w:ascii="Times New Roman" w:hAnsi="Times New Roman" w:cs="Times New Roman"/>
          <w:b/>
          <w:sz w:val="24"/>
        </w:rPr>
        <w:t>ČR</w:t>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r>
      <w:r w:rsidRPr="00E10BE6">
        <w:rPr>
          <w:rFonts w:ascii="Times New Roman" w:hAnsi="Times New Roman" w:cs="Times New Roman"/>
          <w:sz w:val="24"/>
        </w:rPr>
        <w:tab/>
        <w:t>Česká republika</w:t>
      </w:r>
    </w:p>
    <w:p w14:paraId="07424C0D" w14:textId="627AB82F" w:rsidR="000F7C0B" w:rsidRPr="00E10BE6" w:rsidRDefault="000F7C0B" w:rsidP="000F7C0B">
      <w:pPr>
        <w:ind w:left="3540" w:hanging="3540"/>
        <w:rPr>
          <w:rFonts w:ascii="Times New Roman" w:hAnsi="Times New Roman" w:cs="Times New Roman"/>
          <w:sz w:val="24"/>
        </w:rPr>
      </w:pPr>
      <w:r w:rsidRPr="00E10BE6">
        <w:rPr>
          <w:rFonts w:ascii="Times New Roman" w:hAnsi="Times New Roman" w:cs="Times New Roman"/>
          <w:b/>
          <w:sz w:val="24"/>
        </w:rPr>
        <w:t>L</w:t>
      </w:r>
      <w:r w:rsidR="0022314E">
        <w:rPr>
          <w:rFonts w:ascii="Times New Roman" w:hAnsi="Times New Roman" w:cs="Times New Roman"/>
          <w:b/>
          <w:sz w:val="24"/>
        </w:rPr>
        <w:t>istina</w:t>
      </w:r>
      <w:r w:rsidRPr="00E10BE6">
        <w:rPr>
          <w:rFonts w:ascii="Times New Roman" w:hAnsi="Times New Roman" w:cs="Times New Roman"/>
          <w:b/>
          <w:sz w:val="24"/>
        </w:rPr>
        <w:tab/>
      </w:r>
      <w:r w:rsidRPr="00E10BE6">
        <w:rPr>
          <w:rFonts w:ascii="Times New Roman" w:hAnsi="Times New Roman" w:cs="Times New Roman"/>
          <w:sz w:val="24"/>
        </w:rPr>
        <w:t>Usnesení předsednictva České národní rady č.</w:t>
      </w:r>
      <w:r w:rsidR="008C25ED">
        <w:rPr>
          <w:rFonts w:ascii="Times New Roman" w:hAnsi="Times New Roman" w:cs="Times New Roman"/>
          <w:sz w:val="24"/>
        </w:rPr>
        <w:t> </w:t>
      </w:r>
      <w:r w:rsidRPr="00E10BE6">
        <w:rPr>
          <w:rFonts w:ascii="Times New Roman" w:hAnsi="Times New Roman" w:cs="Times New Roman"/>
          <w:sz w:val="24"/>
        </w:rPr>
        <w:t>2/1993 Sb., o vyhlášení Listiny základních práv a svobod jako součásti ústavního pořádku České republiky</w:t>
      </w:r>
    </w:p>
    <w:p w14:paraId="61A5CB32" w14:textId="6C3BF24F" w:rsidR="000F7C0B" w:rsidRPr="00E10BE6" w:rsidRDefault="000F7C0B" w:rsidP="000F7C0B">
      <w:pPr>
        <w:rPr>
          <w:rFonts w:ascii="Times New Roman" w:hAnsi="Times New Roman" w:cs="Times New Roman"/>
          <w:sz w:val="24"/>
        </w:rPr>
      </w:pPr>
      <w:r w:rsidRPr="00E10BE6">
        <w:rPr>
          <w:rFonts w:ascii="Times New Roman" w:hAnsi="Times New Roman" w:cs="Times New Roman"/>
          <w:b/>
          <w:sz w:val="24"/>
        </w:rPr>
        <w:t>ESD</w:t>
      </w:r>
      <w:r w:rsidRPr="00E10BE6">
        <w:rPr>
          <w:rFonts w:ascii="Times New Roman" w:hAnsi="Times New Roman" w:cs="Times New Roman"/>
          <w:b/>
          <w:sz w:val="24"/>
        </w:rPr>
        <w:tab/>
      </w:r>
      <w:r w:rsidRPr="00E10BE6">
        <w:rPr>
          <w:rFonts w:ascii="Times New Roman" w:hAnsi="Times New Roman" w:cs="Times New Roman"/>
          <w:b/>
          <w:sz w:val="24"/>
        </w:rPr>
        <w:tab/>
      </w:r>
      <w:r w:rsidRPr="00E10BE6">
        <w:rPr>
          <w:rFonts w:ascii="Times New Roman" w:hAnsi="Times New Roman" w:cs="Times New Roman"/>
          <w:b/>
          <w:sz w:val="24"/>
        </w:rPr>
        <w:tab/>
      </w:r>
      <w:r w:rsidRPr="00E10BE6">
        <w:rPr>
          <w:rFonts w:ascii="Times New Roman" w:hAnsi="Times New Roman" w:cs="Times New Roman"/>
          <w:b/>
          <w:sz w:val="24"/>
        </w:rPr>
        <w:tab/>
      </w:r>
      <w:r w:rsidRPr="00E10BE6">
        <w:rPr>
          <w:rFonts w:ascii="Times New Roman" w:hAnsi="Times New Roman" w:cs="Times New Roman"/>
          <w:b/>
          <w:sz w:val="24"/>
        </w:rPr>
        <w:tab/>
      </w:r>
      <w:r w:rsidRPr="00E10BE6">
        <w:rPr>
          <w:rFonts w:ascii="Times New Roman" w:hAnsi="Times New Roman" w:cs="Times New Roman"/>
          <w:sz w:val="24"/>
        </w:rPr>
        <w:t>Evropský soudní dvůr</w:t>
      </w:r>
    </w:p>
    <w:p w14:paraId="3A4D9A6D" w14:textId="2835C988" w:rsidR="000F7C0B" w:rsidRDefault="001820BF" w:rsidP="000F7C0B">
      <w:pPr>
        <w:rPr>
          <w:rFonts w:ascii="Times New Roman" w:hAnsi="Times New Roman" w:cs="Times New Roman"/>
          <w:sz w:val="24"/>
        </w:rPr>
      </w:pPr>
      <w:r>
        <w:rPr>
          <w:rFonts w:ascii="Times New Roman" w:hAnsi="Times New Roman" w:cs="Times New Roman"/>
          <w:b/>
          <w:sz w:val="24"/>
        </w:rPr>
        <w:t>Soud</w:t>
      </w:r>
      <w:r>
        <w:rPr>
          <w:rFonts w:ascii="Times New Roman" w:hAnsi="Times New Roman" w:cs="Times New Roman"/>
          <w:b/>
          <w:sz w:val="24"/>
        </w:rPr>
        <w:tab/>
      </w:r>
      <w:r w:rsidR="000F7C0B" w:rsidRPr="00E10BE6">
        <w:rPr>
          <w:rFonts w:ascii="Times New Roman" w:hAnsi="Times New Roman" w:cs="Times New Roman"/>
          <w:b/>
          <w:sz w:val="24"/>
        </w:rPr>
        <w:tab/>
      </w:r>
      <w:r w:rsidR="000F7C0B" w:rsidRPr="00E10BE6">
        <w:rPr>
          <w:rFonts w:ascii="Times New Roman" w:hAnsi="Times New Roman" w:cs="Times New Roman"/>
          <w:b/>
          <w:sz w:val="24"/>
        </w:rPr>
        <w:tab/>
      </w:r>
      <w:r w:rsidR="000F7C0B" w:rsidRPr="00E10BE6">
        <w:rPr>
          <w:rFonts w:ascii="Times New Roman" w:hAnsi="Times New Roman" w:cs="Times New Roman"/>
          <w:b/>
          <w:sz w:val="24"/>
        </w:rPr>
        <w:tab/>
      </w:r>
      <w:r w:rsidR="000F7C0B" w:rsidRPr="00E10BE6">
        <w:rPr>
          <w:rFonts w:ascii="Times New Roman" w:hAnsi="Times New Roman" w:cs="Times New Roman"/>
          <w:b/>
          <w:sz w:val="24"/>
        </w:rPr>
        <w:tab/>
      </w:r>
      <w:r w:rsidR="000F7C0B" w:rsidRPr="00E10BE6">
        <w:rPr>
          <w:rFonts w:ascii="Times New Roman" w:hAnsi="Times New Roman" w:cs="Times New Roman"/>
          <w:sz w:val="24"/>
        </w:rPr>
        <w:t>Evropský soud pro lidská práva</w:t>
      </w:r>
    </w:p>
    <w:p w14:paraId="32813C0D" w14:textId="2C6D4E0B" w:rsidR="0022314E" w:rsidRDefault="0022314E" w:rsidP="000F7C0B">
      <w:pPr>
        <w:rPr>
          <w:rFonts w:ascii="Times New Roman" w:hAnsi="Times New Roman" w:cs="Times New Roman"/>
          <w:sz w:val="24"/>
        </w:rPr>
      </w:pPr>
      <w:r w:rsidRPr="0022314E">
        <w:rPr>
          <w:rFonts w:ascii="Times New Roman" w:hAnsi="Times New Roman" w:cs="Times New Roman"/>
          <w:b/>
          <w:sz w:val="24"/>
        </w:rPr>
        <w:t>Úmluva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Úmluva o ochraně lidských práv a základních svobod</w:t>
      </w:r>
    </w:p>
    <w:p w14:paraId="7857C3ED" w14:textId="6ED4C5E1" w:rsidR="001D2C80" w:rsidRDefault="001D2C80" w:rsidP="000F7C0B">
      <w:pPr>
        <w:rPr>
          <w:rFonts w:ascii="Times New Roman" w:hAnsi="Times New Roman" w:cs="Times New Roman"/>
          <w:sz w:val="24"/>
        </w:rPr>
      </w:pPr>
      <w:r w:rsidRPr="001D2C80">
        <w:rPr>
          <w:rFonts w:ascii="Times New Roman" w:hAnsi="Times New Roman" w:cs="Times New Roman"/>
          <w:b/>
          <w:sz w:val="24"/>
        </w:rPr>
        <w:t>Listina základních práv EU</w:t>
      </w:r>
      <w:r w:rsidRPr="001D2C80">
        <w:rPr>
          <w:rFonts w:ascii="Times New Roman" w:hAnsi="Times New Roman" w:cs="Times New Roman"/>
          <w:b/>
          <w:sz w:val="24"/>
        </w:rPr>
        <w:tab/>
      </w:r>
      <w:r>
        <w:rPr>
          <w:rFonts w:ascii="Times New Roman" w:hAnsi="Times New Roman" w:cs="Times New Roman"/>
          <w:sz w:val="24"/>
        </w:rPr>
        <w:t>L</w:t>
      </w:r>
      <w:r w:rsidRPr="001D2C80">
        <w:rPr>
          <w:rFonts w:ascii="Times New Roman" w:hAnsi="Times New Roman" w:cs="Times New Roman"/>
          <w:sz w:val="24"/>
        </w:rPr>
        <w:t>istina základních práv Evropské unie</w:t>
      </w:r>
    </w:p>
    <w:p w14:paraId="73B84A5D" w14:textId="77B1F401" w:rsidR="0063313C" w:rsidRDefault="0063313C" w:rsidP="000F7C0B">
      <w:pPr>
        <w:rPr>
          <w:rFonts w:ascii="Times New Roman" w:hAnsi="Times New Roman" w:cs="Times New Roman"/>
          <w:sz w:val="24"/>
        </w:rPr>
      </w:pPr>
      <w:r>
        <w:rPr>
          <w:rFonts w:ascii="Times New Roman" w:hAnsi="Times New Roman" w:cs="Times New Roman"/>
          <w:b/>
          <w:sz w:val="24"/>
        </w:rPr>
        <w:t>FO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Fyzická osoba</w:t>
      </w:r>
    </w:p>
    <w:p w14:paraId="00EACD44" w14:textId="04DD20C8" w:rsidR="0063313C" w:rsidRPr="0063313C" w:rsidRDefault="0063313C" w:rsidP="000F7C0B">
      <w:pPr>
        <w:rPr>
          <w:rFonts w:ascii="Times New Roman" w:hAnsi="Times New Roman" w:cs="Times New Roman"/>
          <w:sz w:val="24"/>
        </w:rPr>
      </w:pPr>
      <w:r>
        <w:rPr>
          <w:rFonts w:ascii="Times New Roman" w:hAnsi="Times New Roman" w:cs="Times New Roman"/>
          <w:b/>
          <w:sz w:val="24"/>
        </w:rPr>
        <w:t>PO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Právnická osoba</w:t>
      </w:r>
    </w:p>
    <w:p w14:paraId="79A2AA2A" w14:textId="77777777" w:rsidR="00C9127F" w:rsidRPr="00E10BE6" w:rsidRDefault="00C9127F">
      <w:pPr>
        <w:rPr>
          <w:rFonts w:ascii="Times New Roman" w:eastAsiaTheme="majorEastAsia" w:hAnsi="Times New Roman" w:cs="Times New Roman"/>
          <w:b/>
          <w:sz w:val="32"/>
          <w:szCs w:val="32"/>
        </w:rPr>
      </w:pPr>
      <w:r w:rsidRPr="00E10BE6">
        <w:rPr>
          <w:rFonts w:cs="Times New Roman"/>
        </w:rPr>
        <w:br w:type="page"/>
      </w:r>
    </w:p>
    <w:p w14:paraId="692446DD" w14:textId="61684EC4" w:rsidR="00FA5590" w:rsidRPr="00E10BE6" w:rsidRDefault="00FA5590" w:rsidP="003906F7">
      <w:pPr>
        <w:pStyle w:val="Nadpis1"/>
        <w:numPr>
          <w:ilvl w:val="0"/>
          <w:numId w:val="0"/>
        </w:numPr>
        <w:rPr>
          <w:rFonts w:cs="Times New Roman"/>
        </w:rPr>
      </w:pPr>
      <w:bookmarkStart w:id="4" w:name="_Toc3454691"/>
      <w:r w:rsidRPr="00E10BE6">
        <w:rPr>
          <w:rFonts w:cs="Times New Roman"/>
        </w:rPr>
        <w:lastRenderedPageBreak/>
        <w:t>Úvod</w:t>
      </w:r>
      <w:bookmarkEnd w:id="0"/>
      <w:bookmarkEnd w:id="1"/>
      <w:bookmarkEnd w:id="4"/>
    </w:p>
    <w:p w14:paraId="3EC94CCD" w14:textId="09F653C0" w:rsidR="009D4B73" w:rsidRPr="00E10BE6" w:rsidRDefault="00FA5590" w:rsidP="00FA5590">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Jako téma své diplomové práce jsem si vybrala svobodu vyznání se zaměřením na problematiku zahalování. Svoboda každého člověka vybrat si své náboženství a chovat se v</w:t>
      </w:r>
      <w:r w:rsidR="0042778B">
        <w:rPr>
          <w:rFonts w:ascii="Times New Roman" w:hAnsi="Times New Roman" w:cs="Times New Roman"/>
          <w:sz w:val="24"/>
        </w:rPr>
        <w:t> </w:t>
      </w:r>
      <w:r w:rsidRPr="001820BF">
        <w:rPr>
          <w:rFonts w:ascii="Times New Roman" w:hAnsi="Times New Roman" w:cs="Times New Roman"/>
          <w:sz w:val="24"/>
        </w:rPr>
        <w:t>souladu</w:t>
      </w:r>
      <w:r w:rsidR="0042778B" w:rsidRPr="001820BF">
        <w:rPr>
          <w:rFonts w:ascii="Times New Roman" w:hAnsi="Times New Roman" w:cs="Times New Roman"/>
          <w:sz w:val="24"/>
        </w:rPr>
        <w:t xml:space="preserve"> se svou </w:t>
      </w:r>
      <w:r w:rsidRPr="00E10BE6">
        <w:rPr>
          <w:rFonts w:ascii="Times New Roman" w:hAnsi="Times New Roman" w:cs="Times New Roman"/>
          <w:sz w:val="24"/>
        </w:rPr>
        <w:t>vírou je jednou z nejdůležitějších svobod demokratické společnosti. Zákazy zahalování muslimských žen na veřejnosti však do této svobody zasahují.</w:t>
      </w:r>
      <w:r w:rsidR="009D4B73" w:rsidRPr="00E10BE6">
        <w:rPr>
          <w:rFonts w:ascii="Times New Roman" w:hAnsi="Times New Roman" w:cs="Times New Roman"/>
          <w:sz w:val="24"/>
        </w:rPr>
        <w:t xml:space="preserve"> </w:t>
      </w:r>
      <w:r w:rsidR="00EB3746" w:rsidRPr="001820BF">
        <w:rPr>
          <w:rFonts w:ascii="Times New Roman" w:hAnsi="Times New Roman" w:cs="Times New Roman"/>
          <w:sz w:val="24"/>
        </w:rPr>
        <w:t>Jestliže se v</w:t>
      </w:r>
      <w:r w:rsidR="009D4B73" w:rsidRPr="001820BF">
        <w:rPr>
          <w:rFonts w:ascii="Times New Roman" w:hAnsi="Times New Roman" w:cs="Times New Roman"/>
          <w:sz w:val="24"/>
        </w:rPr>
        <w:t xml:space="preserve"> práci </w:t>
      </w:r>
      <w:r w:rsidR="005F1D68" w:rsidRPr="001820BF">
        <w:rPr>
          <w:rFonts w:ascii="Times New Roman" w:hAnsi="Times New Roman" w:cs="Times New Roman"/>
          <w:sz w:val="24"/>
        </w:rPr>
        <w:t>zabývám</w:t>
      </w:r>
      <w:r w:rsidR="009D4B73" w:rsidRPr="001820BF">
        <w:rPr>
          <w:rFonts w:ascii="Times New Roman" w:hAnsi="Times New Roman" w:cs="Times New Roman"/>
          <w:sz w:val="24"/>
        </w:rPr>
        <w:t xml:space="preserve"> zahalováním muslimských žen, je třeba hned na úvod zdůraznit, že</w:t>
      </w:r>
      <w:r w:rsidR="009D4B73" w:rsidRPr="00E10BE6">
        <w:rPr>
          <w:rFonts w:ascii="Times New Roman" w:hAnsi="Times New Roman" w:cs="Times New Roman"/>
          <w:sz w:val="24"/>
        </w:rPr>
        <w:t xml:space="preserve"> na takovéto zahalování nelze nahlížet ve všech případech stejně.</w:t>
      </w:r>
      <w:r w:rsidR="0067702F" w:rsidRPr="00E10BE6">
        <w:rPr>
          <w:rFonts w:ascii="Times New Roman" w:hAnsi="Times New Roman" w:cs="Times New Roman"/>
          <w:sz w:val="24"/>
        </w:rPr>
        <w:t xml:space="preserve"> Na první pohled je patrný rozdíl mezi ženou, která má pouze vlasy zahalené pod šátkem a ženou</w:t>
      </w:r>
      <w:r w:rsidR="008B3D10" w:rsidRPr="00E10BE6">
        <w:rPr>
          <w:rFonts w:ascii="Times New Roman" w:hAnsi="Times New Roman" w:cs="Times New Roman"/>
          <w:sz w:val="24"/>
        </w:rPr>
        <w:t>,</w:t>
      </w:r>
      <w:r w:rsidR="0067702F" w:rsidRPr="00E10BE6">
        <w:rPr>
          <w:rFonts w:ascii="Times New Roman" w:hAnsi="Times New Roman" w:cs="Times New Roman"/>
          <w:sz w:val="24"/>
        </w:rPr>
        <w:t xml:space="preserve"> které její oděv zakrývá </w:t>
      </w:r>
      <w:r w:rsidR="00401EF6" w:rsidRPr="00E10BE6">
        <w:rPr>
          <w:rFonts w:ascii="Times New Roman" w:hAnsi="Times New Roman" w:cs="Times New Roman"/>
          <w:sz w:val="24"/>
        </w:rPr>
        <w:t xml:space="preserve">celý obličej </w:t>
      </w:r>
      <w:r w:rsidR="008B3D10" w:rsidRPr="00E10BE6">
        <w:rPr>
          <w:rFonts w:ascii="Times New Roman" w:hAnsi="Times New Roman" w:cs="Times New Roman"/>
          <w:sz w:val="24"/>
        </w:rPr>
        <w:t>kromě</w:t>
      </w:r>
      <w:r w:rsidR="00401EF6" w:rsidRPr="00E10BE6">
        <w:rPr>
          <w:rFonts w:ascii="Times New Roman" w:hAnsi="Times New Roman" w:cs="Times New Roman"/>
          <w:sz w:val="24"/>
        </w:rPr>
        <w:t xml:space="preserve"> očí. Na tyto rozdíly je tedy třeba brát zřetel a rozlišovat mezi různými „stupni“ zahalení</w:t>
      </w:r>
      <w:r w:rsidR="008B3D10" w:rsidRPr="00E10BE6">
        <w:rPr>
          <w:rFonts w:ascii="Times New Roman" w:hAnsi="Times New Roman" w:cs="Times New Roman"/>
          <w:sz w:val="24"/>
        </w:rPr>
        <w:t>.</w:t>
      </w:r>
      <w:r w:rsidR="00401EF6" w:rsidRPr="00E10BE6">
        <w:rPr>
          <w:rFonts w:ascii="Times New Roman" w:hAnsi="Times New Roman" w:cs="Times New Roman"/>
          <w:sz w:val="24"/>
        </w:rPr>
        <w:t xml:space="preserve"> </w:t>
      </w:r>
      <w:r w:rsidR="008B3D10" w:rsidRPr="00E10BE6">
        <w:rPr>
          <w:rFonts w:ascii="Times New Roman" w:hAnsi="Times New Roman" w:cs="Times New Roman"/>
          <w:sz w:val="24"/>
        </w:rPr>
        <w:t>P</w:t>
      </w:r>
      <w:r w:rsidR="00401EF6" w:rsidRPr="00E10BE6">
        <w:rPr>
          <w:rFonts w:ascii="Times New Roman" w:hAnsi="Times New Roman" w:cs="Times New Roman"/>
          <w:sz w:val="24"/>
        </w:rPr>
        <w:t xml:space="preserve">okud by například zákaz zahalování obličeje na veřejnosti byl odůvodněn ochranou bezpečnosti, </w:t>
      </w:r>
      <w:r w:rsidR="00F70947" w:rsidRPr="00E10BE6">
        <w:rPr>
          <w:rFonts w:ascii="Times New Roman" w:hAnsi="Times New Roman" w:cs="Times New Roman"/>
          <w:sz w:val="24"/>
        </w:rPr>
        <w:t xml:space="preserve">například </w:t>
      </w:r>
      <w:r w:rsidR="004A19A5" w:rsidRPr="00E10BE6">
        <w:rPr>
          <w:rFonts w:ascii="Times New Roman" w:hAnsi="Times New Roman" w:cs="Times New Roman"/>
          <w:sz w:val="24"/>
        </w:rPr>
        <w:t>kvůli tomu</w:t>
      </w:r>
      <w:r w:rsidR="008B3D10" w:rsidRPr="00E10BE6">
        <w:rPr>
          <w:rFonts w:ascii="Times New Roman" w:hAnsi="Times New Roman" w:cs="Times New Roman"/>
          <w:sz w:val="24"/>
        </w:rPr>
        <w:t xml:space="preserve">, </w:t>
      </w:r>
      <w:r w:rsidR="00401EF6" w:rsidRPr="00E10BE6">
        <w:rPr>
          <w:rFonts w:ascii="Times New Roman" w:hAnsi="Times New Roman" w:cs="Times New Roman"/>
          <w:sz w:val="24"/>
        </w:rPr>
        <w:t>aby každý člověk mohl být identifikován na různých veřejných akcích</w:t>
      </w:r>
      <w:r w:rsidR="0042778B">
        <w:rPr>
          <w:rFonts w:ascii="Times New Roman" w:hAnsi="Times New Roman" w:cs="Times New Roman"/>
          <w:sz w:val="24"/>
        </w:rPr>
        <w:t>,</w:t>
      </w:r>
      <w:r w:rsidR="00401EF6" w:rsidRPr="00E10BE6">
        <w:rPr>
          <w:rFonts w:ascii="Times New Roman" w:hAnsi="Times New Roman" w:cs="Times New Roman"/>
          <w:sz w:val="24"/>
        </w:rPr>
        <w:t xml:space="preserve"> jako </w:t>
      </w:r>
      <w:r w:rsidR="008B3D10" w:rsidRPr="00E10BE6">
        <w:rPr>
          <w:rFonts w:ascii="Times New Roman" w:hAnsi="Times New Roman" w:cs="Times New Roman"/>
          <w:sz w:val="24"/>
        </w:rPr>
        <w:t xml:space="preserve">jsou </w:t>
      </w:r>
      <w:r w:rsidR="00401EF6" w:rsidRPr="00E10BE6">
        <w:rPr>
          <w:rFonts w:ascii="Times New Roman" w:hAnsi="Times New Roman" w:cs="Times New Roman"/>
          <w:sz w:val="24"/>
        </w:rPr>
        <w:t>demonstrace, průvody apod</w:t>
      </w:r>
      <w:r w:rsidR="0042778B">
        <w:rPr>
          <w:rFonts w:ascii="Times New Roman" w:hAnsi="Times New Roman" w:cs="Times New Roman"/>
          <w:sz w:val="24"/>
        </w:rPr>
        <w:t>.</w:t>
      </w:r>
      <w:r w:rsidR="004A19A5" w:rsidRPr="00E10BE6">
        <w:rPr>
          <w:rFonts w:ascii="Times New Roman" w:hAnsi="Times New Roman" w:cs="Times New Roman"/>
          <w:sz w:val="24"/>
        </w:rPr>
        <w:t>, potom by</w:t>
      </w:r>
      <w:r w:rsidR="00D2134B" w:rsidRPr="00E10BE6">
        <w:rPr>
          <w:rFonts w:ascii="Times New Roman" w:hAnsi="Times New Roman" w:cs="Times New Roman"/>
          <w:sz w:val="24"/>
        </w:rPr>
        <w:t xml:space="preserve"> ochrana bezpečnosti rozhodně neobstála jako důvod k zákazu nošení muslimských šátků.</w:t>
      </w:r>
    </w:p>
    <w:p w14:paraId="727B46A9" w14:textId="18124971" w:rsidR="008F6CF2" w:rsidRPr="00E10BE6" w:rsidRDefault="00FA5590" w:rsidP="00401EF6">
      <w:pPr>
        <w:spacing w:after="0" w:line="360" w:lineRule="auto"/>
        <w:ind w:firstLine="708"/>
        <w:jc w:val="both"/>
        <w:rPr>
          <w:rFonts w:ascii="Times New Roman" w:hAnsi="Times New Roman" w:cs="Times New Roman"/>
          <w:color w:val="FF0000"/>
          <w:sz w:val="24"/>
        </w:rPr>
      </w:pPr>
      <w:r w:rsidRPr="00E10BE6">
        <w:rPr>
          <w:rFonts w:ascii="Times New Roman" w:hAnsi="Times New Roman" w:cs="Times New Roman"/>
          <w:sz w:val="24"/>
        </w:rPr>
        <w:t xml:space="preserve">Zahalování muslimských žen na veřejnosti se stává čím dál více diskutovaným tématem </w:t>
      </w:r>
      <w:r w:rsidRPr="0042778B">
        <w:rPr>
          <w:rFonts w:ascii="Times New Roman" w:hAnsi="Times New Roman" w:cs="Times New Roman"/>
          <w:sz w:val="24"/>
        </w:rPr>
        <w:t>ve světě, ve kterém dochází k míchání různých, doposud více či méně oddělených kultur. Střety</w:t>
      </w:r>
      <w:r w:rsidRPr="00E10BE6">
        <w:rPr>
          <w:rFonts w:ascii="Times New Roman" w:hAnsi="Times New Roman" w:cs="Times New Roman"/>
          <w:sz w:val="24"/>
        </w:rPr>
        <w:t xml:space="preserve"> těchto kultur na jednom území poté mohou nejen vyvolávat neshody mezi jednotlivci, ale věnují jim pozornos</w:t>
      </w:r>
      <w:r w:rsidR="00A54A20" w:rsidRPr="00E10BE6">
        <w:rPr>
          <w:rFonts w:ascii="Times New Roman" w:hAnsi="Times New Roman" w:cs="Times New Roman"/>
          <w:sz w:val="24"/>
        </w:rPr>
        <w:t xml:space="preserve">t i </w:t>
      </w:r>
      <w:r w:rsidR="006A7C81" w:rsidRPr="00E10BE6">
        <w:rPr>
          <w:rFonts w:ascii="Times New Roman" w:hAnsi="Times New Roman" w:cs="Times New Roman"/>
          <w:sz w:val="24"/>
        </w:rPr>
        <w:t>celé</w:t>
      </w:r>
      <w:r w:rsidR="004A19A5" w:rsidRPr="00E10BE6">
        <w:rPr>
          <w:rFonts w:ascii="Times New Roman" w:hAnsi="Times New Roman" w:cs="Times New Roman"/>
          <w:sz w:val="24"/>
        </w:rPr>
        <w:t xml:space="preserve"> </w:t>
      </w:r>
      <w:r w:rsidR="00A54A20" w:rsidRPr="00E10BE6">
        <w:rPr>
          <w:rFonts w:ascii="Times New Roman" w:hAnsi="Times New Roman" w:cs="Times New Roman"/>
          <w:sz w:val="24"/>
        </w:rPr>
        <w:t xml:space="preserve">státy. </w:t>
      </w:r>
      <w:r w:rsidR="0004581A" w:rsidRPr="00E10BE6">
        <w:rPr>
          <w:rFonts w:ascii="Times New Roman" w:hAnsi="Times New Roman" w:cs="Times New Roman"/>
          <w:sz w:val="24"/>
        </w:rPr>
        <w:t xml:space="preserve">Některé státy přijaly </w:t>
      </w:r>
      <w:r w:rsidR="0042778B">
        <w:rPr>
          <w:rFonts w:ascii="Times New Roman" w:hAnsi="Times New Roman" w:cs="Times New Roman"/>
          <w:sz w:val="24"/>
        </w:rPr>
        <w:t xml:space="preserve">i </w:t>
      </w:r>
      <w:r w:rsidRPr="00E10BE6">
        <w:rPr>
          <w:rFonts w:ascii="Times New Roman" w:hAnsi="Times New Roman" w:cs="Times New Roman"/>
          <w:sz w:val="24"/>
        </w:rPr>
        <w:t>zákony zakazující zahalování obličeje na veřejnosti.</w:t>
      </w:r>
      <w:r w:rsidRPr="00E10BE6">
        <w:rPr>
          <w:rStyle w:val="Znakapoznpodarou"/>
          <w:rFonts w:ascii="Times New Roman" w:hAnsi="Times New Roman" w:cs="Times New Roman"/>
        </w:rPr>
        <w:footnoteReference w:id="1"/>
      </w:r>
      <w:r w:rsidRPr="00E10BE6">
        <w:rPr>
          <w:rFonts w:ascii="Times New Roman" w:hAnsi="Times New Roman" w:cs="Times New Roman"/>
          <w:sz w:val="24"/>
        </w:rPr>
        <w:t xml:space="preserve"> Takové zákazy ale zasahují do svobody vyznání muslimek, které se ve snaze </w:t>
      </w:r>
      <w:r w:rsidR="008C25ED">
        <w:rPr>
          <w:rFonts w:ascii="Times New Roman" w:hAnsi="Times New Roman" w:cs="Times New Roman"/>
          <w:sz w:val="24"/>
        </w:rPr>
        <w:t xml:space="preserve">ochránit své </w:t>
      </w:r>
      <w:proofErr w:type="spellStart"/>
      <w:r w:rsidR="008C25ED">
        <w:rPr>
          <w:rFonts w:ascii="Times New Roman" w:hAnsi="Times New Roman" w:cs="Times New Roman"/>
          <w:sz w:val="24"/>
        </w:rPr>
        <w:t>práco</w:t>
      </w:r>
      <w:proofErr w:type="spellEnd"/>
      <w:r w:rsidRPr="00E10BE6">
        <w:rPr>
          <w:rFonts w:ascii="Times New Roman" w:hAnsi="Times New Roman" w:cs="Times New Roman"/>
          <w:sz w:val="24"/>
        </w:rPr>
        <w:t xml:space="preserve"> obrací se svými stížnostmi až k Evropskému soudu pro lidská pr</w:t>
      </w:r>
      <w:r w:rsidR="00F70947" w:rsidRPr="00E10BE6">
        <w:rPr>
          <w:rFonts w:ascii="Times New Roman" w:hAnsi="Times New Roman" w:cs="Times New Roman"/>
          <w:sz w:val="24"/>
        </w:rPr>
        <w:t xml:space="preserve">áva (dále jen Soud). </w:t>
      </w:r>
      <w:r w:rsidR="00F70947" w:rsidRPr="0042778B">
        <w:rPr>
          <w:rFonts w:ascii="Times New Roman" w:hAnsi="Times New Roman" w:cs="Times New Roman"/>
          <w:sz w:val="24"/>
        </w:rPr>
        <w:t>Soud</w:t>
      </w:r>
      <w:r w:rsidRPr="0042778B">
        <w:rPr>
          <w:rFonts w:ascii="Times New Roman" w:hAnsi="Times New Roman" w:cs="Times New Roman"/>
          <w:sz w:val="24"/>
        </w:rPr>
        <w:t xml:space="preserve"> </w:t>
      </w:r>
      <w:r w:rsidR="00FB6000" w:rsidRPr="0042778B">
        <w:rPr>
          <w:rFonts w:ascii="Times New Roman" w:hAnsi="Times New Roman" w:cs="Times New Roman"/>
          <w:sz w:val="24"/>
        </w:rPr>
        <w:t xml:space="preserve">však </w:t>
      </w:r>
      <w:r w:rsidRPr="0042778B">
        <w:rPr>
          <w:rFonts w:ascii="Times New Roman" w:hAnsi="Times New Roman" w:cs="Times New Roman"/>
          <w:sz w:val="24"/>
        </w:rPr>
        <w:t>při rozhodování takovýchto stížnost</w:t>
      </w:r>
      <w:r w:rsidR="006C50C3" w:rsidRPr="0042778B">
        <w:rPr>
          <w:rFonts w:ascii="Times New Roman" w:hAnsi="Times New Roman" w:cs="Times New Roman"/>
          <w:sz w:val="24"/>
        </w:rPr>
        <w:t>í</w:t>
      </w:r>
      <w:r w:rsidRPr="0042778B">
        <w:rPr>
          <w:rFonts w:ascii="Times New Roman" w:hAnsi="Times New Roman" w:cs="Times New Roman"/>
          <w:sz w:val="24"/>
        </w:rPr>
        <w:t xml:space="preserve"> často odkazuje na prostor pro </w:t>
      </w:r>
      <w:r w:rsidR="00FB6000" w:rsidRPr="0042778B">
        <w:rPr>
          <w:rFonts w:ascii="Times New Roman" w:hAnsi="Times New Roman" w:cs="Times New Roman"/>
          <w:sz w:val="24"/>
        </w:rPr>
        <w:t xml:space="preserve">volné </w:t>
      </w:r>
      <w:r w:rsidRPr="0042778B">
        <w:rPr>
          <w:rFonts w:ascii="Times New Roman" w:hAnsi="Times New Roman" w:cs="Times New Roman"/>
          <w:sz w:val="24"/>
        </w:rPr>
        <w:t>uvážení státu</w:t>
      </w:r>
      <w:r w:rsidR="00FB6000" w:rsidRPr="0042778B">
        <w:rPr>
          <w:rFonts w:ascii="Times New Roman" w:hAnsi="Times New Roman" w:cs="Times New Roman"/>
          <w:sz w:val="24"/>
        </w:rPr>
        <w:t>. Tento prostor pro volné uvážení</w:t>
      </w:r>
      <w:r w:rsidR="00095B51" w:rsidRPr="0042778B">
        <w:rPr>
          <w:rFonts w:ascii="Times New Roman" w:hAnsi="Times New Roman" w:cs="Times New Roman"/>
          <w:sz w:val="24"/>
        </w:rPr>
        <w:t xml:space="preserve"> pak</w:t>
      </w:r>
      <w:r w:rsidR="00FB6000" w:rsidRPr="0042778B">
        <w:rPr>
          <w:rFonts w:ascii="Times New Roman" w:hAnsi="Times New Roman" w:cs="Times New Roman"/>
          <w:sz w:val="24"/>
        </w:rPr>
        <w:t xml:space="preserve"> v zásadě nechává rozhodnutí, zda došlo v daném případě k porušení </w:t>
      </w:r>
      <w:r w:rsidR="00B338A0" w:rsidRPr="0042778B">
        <w:rPr>
          <w:rFonts w:ascii="Times New Roman" w:hAnsi="Times New Roman" w:cs="Times New Roman"/>
          <w:sz w:val="24"/>
        </w:rPr>
        <w:t>práva stěžovatelky</w:t>
      </w:r>
      <w:r w:rsidR="0042778B">
        <w:rPr>
          <w:rFonts w:ascii="Times New Roman" w:hAnsi="Times New Roman" w:cs="Times New Roman"/>
          <w:sz w:val="24"/>
        </w:rPr>
        <w:t>,</w:t>
      </w:r>
      <w:r w:rsidR="00B338A0" w:rsidRPr="0042778B">
        <w:rPr>
          <w:rFonts w:ascii="Times New Roman" w:hAnsi="Times New Roman" w:cs="Times New Roman"/>
          <w:sz w:val="24"/>
        </w:rPr>
        <w:t xml:space="preserve"> na jednotlivém státu.</w:t>
      </w:r>
    </w:p>
    <w:p w14:paraId="2FBF6FA4" w14:textId="48D29DDB" w:rsidR="00FA5590" w:rsidRPr="00E10BE6" w:rsidRDefault="00FA5590" w:rsidP="00401EF6">
      <w:pPr>
        <w:spacing w:after="0" w:line="360" w:lineRule="auto"/>
        <w:ind w:firstLine="708"/>
        <w:jc w:val="both"/>
        <w:rPr>
          <w:rFonts w:ascii="Times New Roman" w:hAnsi="Times New Roman" w:cs="Times New Roman"/>
          <w:sz w:val="24"/>
        </w:rPr>
      </w:pPr>
      <w:r w:rsidRPr="0042778B">
        <w:rPr>
          <w:rFonts w:ascii="Times New Roman" w:hAnsi="Times New Roman" w:cs="Times New Roman"/>
          <w:sz w:val="24"/>
        </w:rPr>
        <w:t>V </w:t>
      </w:r>
      <w:r w:rsidR="008F6CF2" w:rsidRPr="0042778B">
        <w:rPr>
          <w:rFonts w:ascii="Times New Roman" w:hAnsi="Times New Roman" w:cs="Times New Roman"/>
          <w:sz w:val="24"/>
        </w:rPr>
        <w:t>této</w:t>
      </w:r>
      <w:r w:rsidRPr="0042778B">
        <w:rPr>
          <w:rFonts w:ascii="Times New Roman" w:hAnsi="Times New Roman" w:cs="Times New Roman"/>
          <w:sz w:val="24"/>
        </w:rPr>
        <w:t xml:space="preserve"> práci </w:t>
      </w:r>
      <w:r w:rsidR="0004581A" w:rsidRPr="0042778B">
        <w:rPr>
          <w:rFonts w:ascii="Times New Roman" w:hAnsi="Times New Roman" w:cs="Times New Roman"/>
          <w:sz w:val="24"/>
        </w:rPr>
        <w:t xml:space="preserve">se </w:t>
      </w:r>
      <w:r w:rsidR="00095B51" w:rsidRPr="0042778B">
        <w:rPr>
          <w:rFonts w:ascii="Times New Roman" w:hAnsi="Times New Roman" w:cs="Times New Roman"/>
          <w:sz w:val="24"/>
        </w:rPr>
        <w:t xml:space="preserve">zaměřuji na zhodnocení </w:t>
      </w:r>
      <w:r w:rsidR="0004581A" w:rsidRPr="0042778B">
        <w:rPr>
          <w:rFonts w:ascii="Times New Roman" w:hAnsi="Times New Roman" w:cs="Times New Roman"/>
          <w:sz w:val="24"/>
        </w:rPr>
        <w:t>rozhodnutí Soudu</w:t>
      </w:r>
      <w:r w:rsidR="00095B51" w:rsidRPr="0042778B">
        <w:rPr>
          <w:rFonts w:ascii="Times New Roman" w:hAnsi="Times New Roman" w:cs="Times New Roman"/>
          <w:sz w:val="24"/>
        </w:rPr>
        <w:t xml:space="preserve"> ve věcech muslimského zahalování na veřejnosti</w:t>
      </w:r>
      <w:r w:rsidRPr="0042778B">
        <w:rPr>
          <w:rFonts w:ascii="Times New Roman" w:hAnsi="Times New Roman" w:cs="Times New Roman"/>
          <w:sz w:val="24"/>
        </w:rPr>
        <w:t xml:space="preserve">. </w:t>
      </w:r>
      <w:r w:rsidRPr="00E10BE6">
        <w:rPr>
          <w:rFonts w:ascii="Times New Roman" w:hAnsi="Times New Roman" w:cs="Times New Roman"/>
          <w:sz w:val="24"/>
        </w:rPr>
        <w:t xml:space="preserve">Zároveň </w:t>
      </w:r>
      <w:r w:rsidR="0004581A" w:rsidRPr="00E10BE6">
        <w:rPr>
          <w:rFonts w:ascii="Times New Roman" w:hAnsi="Times New Roman" w:cs="Times New Roman"/>
          <w:sz w:val="24"/>
        </w:rPr>
        <w:t xml:space="preserve">hodnotím i </w:t>
      </w:r>
      <w:r w:rsidRPr="00E10BE6">
        <w:rPr>
          <w:rFonts w:ascii="Times New Roman" w:hAnsi="Times New Roman" w:cs="Times New Roman"/>
          <w:sz w:val="24"/>
        </w:rPr>
        <w:t xml:space="preserve">samotnou doktrínu prostoru pro uvážení a její vliv na rozhodování Soudu. Toto zhodnocení </w:t>
      </w:r>
      <w:r w:rsidR="0004581A" w:rsidRPr="00E10BE6">
        <w:rPr>
          <w:rFonts w:ascii="Times New Roman" w:hAnsi="Times New Roman" w:cs="Times New Roman"/>
          <w:sz w:val="24"/>
        </w:rPr>
        <w:t>provádím</w:t>
      </w:r>
      <w:r w:rsidR="005F1D68" w:rsidRPr="00E10BE6">
        <w:rPr>
          <w:rFonts w:ascii="Times New Roman" w:hAnsi="Times New Roman" w:cs="Times New Roman"/>
          <w:sz w:val="24"/>
        </w:rPr>
        <w:t xml:space="preserve"> na </w:t>
      </w:r>
      <w:r w:rsidR="005F1D68" w:rsidRPr="0042778B">
        <w:rPr>
          <w:rFonts w:ascii="Times New Roman" w:hAnsi="Times New Roman" w:cs="Times New Roman"/>
          <w:sz w:val="24"/>
        </w:rPr>
        <w:t>podklad</w:t>
      </w:r>
      <w:r w:rsidR="008F6CF2" w:rsidRPr="0042778B">
        <w:rPr>
          <w:rFonts w:ascii="Times New Roman" w:hAnsi="Times New Roman" w:cs="Times New Roman"/>
          <w:sz w:val="24"/>
        </w:rPr>
        <w:t>u</w:t>
      </w:r>
      <w:r w:rsidR="005F1D68" w:rsidRPr="00E10BE6">
        <w:rPr>
          <w:rFonts w:ascii="Times New Roman" w:hAnsi="Times New Roman" w:cs="Times New Roman"/>
          <w:sz w:val="24"/>
        </w:rPr>
        <w:t xml:space="preserve"> </w:t>
      </w:r>
      <w:r w:rsidR="005F1D68" w:rsidRPr="00510810">
        <w:rPr>
          <w:rFonts w:ascii="Times New Roman" w:hAnsi="Times New Roman" w:cs="Times New Roman"/>
          <w:sz w:val="24"/>
        </w:rPr>
        <w:t>rozhodnutí</w:t>
      </w:r>
      <w:r w:rsidRPr="00510810">
        <w:rPr>
          <w:rFonts w:ascii="Times New Roman" w:hAnsi="Times New Roman" w:cs="Times New Roman"/>
          <w:sz w:val="24"/>
        </w:rPr>
        <w:t xml:space="preserve"> </w:t>
      </w:r>
      <w:r w:rsidRPr="00E10BE6">
        <w:rPr>
          <w:rFonts w:ascii="Times New Roman" w:hAnsi="Times New Roman" w:cs="Times New Roman"/>
          <w:sz w:val="24"/>
        </w:rPr>
        <w:t xml:space="preserve">Soudu o stížnostech, ve kterých stěžovatelky </w:t>
      </w:r>
      <w:r w:rsidRPr="00510810">
        <w:rPr>
          <w:rFonts w:ascii="Times New Roman" w:hAnsi="Times New Roman" w:cs="Times New Roman"/>
          <w:sz w:val="24"/>
        </w:rPr>
        <w:t>tvrdí</w:t>
      </w:r>
      <w:r w:rsidR="001820BF">
        <w:rPr>
          <w:rFonts w:ascii="Times New Roman" w:hAnsi="Times New Roman" w:cs="Times New Roman"/>
          <w:sz w:val="24"/>
        </w:rPr>
        <w:t>, že došlo k</w:t>
      </w:r>
      <w:r w:rsidRPr="00E10BE6">
        <w:rPr>
          <w:rFonts w:ascii="Times New Roman" w:hAnsi="Times New Roman" w:cs="Times New Roman"/>
          <w:sz w:val="24"/>
        </w:rPr>
        <w:t xml:space="preserve"> porušení svobody </w:t>
      </w:r>
      <w:r w:rsidRPr="00510810">
        <w:rPr>
          <w:rFonts w:ascii="Times New Roman" w:hAnsi="Times New Roman" w:cs="Times New Roman"/>
          <w:sz w:val="24"/>
        </w:rPr>
        <w:t>jejich</w:t>
      </w:r>
      <w:r w:rsidRPr="00E10BE6">
        <w:rPr>
          <w:rFonts w:ascii="Times New Roman" w:hAnsi="Times New Roman" w:cs="Times New Roman"/>
          <w:sz w:val="24"/>
        </w:rPr>
        <w:t xml:space="preserve"> vyznání tím, že jim nebylo umožněno nosit muslimský oděv na veřejnosti. Jako výzkumnou otázku</w:t>
      </w:r>
      <w:r w:rsidR="001820BF">
        <w:rPr>
          <w:rFonts w:ascii="Times New Roman" w:hAnsi="Times New Roman" w:cs="Times New Roman"/>
          <w:sz w:val="24"/>
        </w:rPr>
        <w:t xml:space="preserve"> </w:t>
      </w:r>
      <w:r w:rsidRPr="00E10BE6">
        <w:rPr>
          <w:rFonts w:ascii="Times New Roman" w:hAnsi="Times New Roman" w:cs="Times New Roman"/>
          <w:sz w:val="24"/>
        </w:rPr>
        <w:t>jsem</w:t>
      </w:r>
      <w:r w:rsidR="001820BF">
        <w:rPr>
          <w:rFonts w:ascii="Times New Roman" w:hAnsi="Times New Roman" w:cs="Times New Roman"/>
          <w:sz w:val="24"/>
        </w:rPr>
        <w:t xml:space="preserve"> stanovila následující - </w:t>
      </w:r>
      <w:r w:rsidRPr="00E10BE6">
        <w:rPr>
          <w:rFonts w:ascii="Times New Roman" w:hAnsi="Times New Roman" w:cs="Times New Roman"/>
          <w:sz w:val="24"/>
        </w:rPr>
        <w:t>je důvodné, aby Soud při rozhodování otázek zahalování poskytoval státům široký prostor pro uvážení</w:t>
      </w:r>
      <w:r w:rsidR="001820BF">
        <w:rPr>
          <w:rFonts w:ascii="Times New Roman" w:hAnsi="Times New Roman" w:cs="Times New Roman"/>
          <w:sz w:val="24"/>
        </w:rPr>
        <w:t>?</w:t>
      </w:r>
      <w:r w:rsidRPr="00E10BE6">
        <w:rPr>
          <w:rFonts w:ascii="Times New Roman" w:hAnsi="Times New Roman" w:cs="Times New Roman"/>
          <w:sz w:val="24"/>
        </w:rPr>
        <w:t xml:space="preserve"> Na tuto otázku se</w:t>
      </w:r>
      <w:r w:rsidR="0022314E">
        <w:rPr>
          <w:rFonts w:ascii="Times New Roman" w:hAnsi="Times New Roman" w:cs="Times New Roman"/>
          <w:sz w:val="24"/>
        </w:rPr>
        <w:t xml:space="preserve"> tedy snažím </w:t>
      </w:r>
      <w:r w:rsidRPr="00E10BE6">
        <w:rPr>
          <w:rFonts w:ascii="Times New Roman" w:hAnsi="Times New Roman" w:cs="Times New Roman"/>
          <w:sz w:val="24"/>
        </w:rPr>
        <w:t>najít odpově</w:t>
      </w:r>
      <w:r w:rsidR="0022314E">
        <w:rPr>
          <w:rFonts w:ascii="Times New Roman" w:hAnsi="Times New Roman" w:cs="Times New Roman"/>
          <w:sz w:val="24"/>
        </w:rPr>
        <w:t>ď.</w:t>
      </w:r>
    </w:p>
    <w:p w14:paraId="5E2ABADF" w14:textId="34C1381D" w:rsidR="00FA5590" w:rsidRPr="00E10BE6" w:rsidRDefault="00FA5590" w:rsidP="00FA5590">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lastRenderedPageBreak/>
        <w:t xml:space="preserve">K hledání odpovědi na výzkumnou otázku </w:t>
      </w:r>
      <w:r w:rsidR="005F1D68" w:rsidRPr="00510810">
        <w:rPr>
          <w:rFonts w:ascii="Times New Roman" w:hAnsi="Times New Roman" w:cs="Times New Roman"/>
          <w:sz w:val="24"/>
        </w:rPr>
        <w:t>používám</w:t>
      </w:r>
      <w:r w:rsidRPr="00E10BE6">
        <w:rPr>
          <w:rFonts w:ascii="Times New Roman" w:hAnsi="Times New Roman" w:cs="Times New Roman"/>
          <w:sz w:val="24"/>
        </w:rPr>
        <w:t xml:space="preserve"> metodu analytickou, a</w:t>
      </w:r>
      <w:r w:rsidR="00490BD9" w:rsidRPr="00E10BE6">
        <w:rPr>
          <w:rFonts w:ascii="Times New Roman" w:hAnsi="Times New Roman" w:cs="Times New Roman"/>
          <w:sz w:val="24"/>
        </w:rPr>
        <w:t> </w:t>
      </w:r>
      <w:r w:rsidRPr="00E10BE6">
        <w:rPr>
          <w:rFonts w:ascii="Times New Roman" w:hAnsi="Times New Roman" w:cs="Times New Roman"/>
          <w:sz w:val="24"/>
        </w:rPr>
        <w:t>to v</w:t>
      </w:r>
      <w:r w:rsidR="00490BD9" w:rsidRPr="00E10BE6">
        <w:rPr>
          <w:rFonts w:ascii="Times New Roman" w:hAnsi="Times New Roman" w:cs="Times New Roman"/>
          <w:sz w:val="24"/>
        </w:rPr>
        <w:t> </w:t>
      </w:r>
      <w:r w:rsidRPr="00E10BE6">
        <w:rPr>
          <w:rFonts w:ascii="Times New Roman" w:hAnsi="Times New Roman" w:cs="Times New Roman"/>
          <w:sz w:val="24"/>
        </w:rPr>
        <w:t>části</w:t>
      </w:r>
      <w:r w:rsidR="00490BD9" w:rsidRPr="00E10BE6">
        <w:rPr>
          <w:rFonts w:ascii="Times New Roman" w:hAnsi="Times New Roman" w:cs="Times New Roman"/>
          <w:sz w:val="24"/>
        </w:rPr>
        <w:t>,</w:t>
      </w:r>
      <w:r w:rsidRPr="00E10BE6">
        <w:rPr>
          <w:rFonts w:ascii="Times New Roman" w:hAnsi="Times New Roman" w:cs="Times New Roman"/>
          <w:sz w:val="24"/>
        </w:rPr>
        <w:t xml:space="preserve"> </w:t>
      </w:r>
      <w:r w:rsidR="00510810">
        <w:rPr>
          <w:rFonts w:ascii="Times New Roman" w:hAnsi="Times New Roman" w:cs="Times New Roman"/>
          <w:sz w:val="24"/>
        </w:rPr>
        <w:t>ve které</w:t>
      </w:r>
      <w:r w:rsidRPr="00510810">
        <w:rPr>
          <w:rFonts w:ascii="Times New Roman" w:hAnsi="Times New Roman" w:cs="Times New Roman"/>
          <w:sz w:val="24"/>
        </w:rPr>
        <w:t xml:space="preserve"> </w:t>
      </w:r>
      <w:r w:rsidR="009A2F74" w:rsidRPr="00510810">
        <w:rPr>
          <w:rFonts w:ascii="Times New Roman" w:hAnsi="Times New Roman" w:cs="Times New Roman"/>
          <w:sz w:val="24"/>
        </w:rPr>
        <w:t xml:space="preserve">vysvětluji </w:t>
      </w:r>
      <w:r w:rsidRPr="00E10BE6">
        <w:rPr>
          <w:rFonts w:ascii="Times New Roman" w:hAnsi="Times New Roman" w:cs="Times New Roman"/>
          <w:sz w:val="24"/>
        </w:rPr>
        <w:t xml:space="preserve">vybraná rozhodnutí </w:t>
      </w:r>
      <w:r w:rsidRPr="0022314E">
        <w:rPr>
          <w:rFonts w:ascii="Times New Roman" w:hAnsi="Times New Roman" w:cs="Times New Roman"/>
          <w:sz w:val="24"/>
        </w:rPr>
        <w:t>Soudu</w:t>
      </w:r>
      <w:r w:rsidR="00510810" w:rsidRPr="0022314E">
        <w:rPr>
          <w:rFonts w:ascii="Times New Roman" w:hAnsi="Times New Roman" w:cs="Times New Roman"/>
          <w:sz w:val="24"/>
        </w:rPr>
        <w:t>,</w:t>
      </w:r>
      <w:r w:rsidRPr="0022314E">
        <w:rPr>
          <w:rFonts w:ascii="Times New Roman" w:hAnsi="Times New Roman" w:cs="Times New Roman"/>
          <w:sz w:val="24"/>
        </w:rPr>
        <w:t xml:space="preserve"> a </w:t>
      </w:r>
      <w:r w:rsidR="00510810" w:rsidRPr="0022314E">
        <w:rPr>
          <w:rFonts w:ascii="Times New Roman" w:hAnsi="Times New Roman" w:cs="Times New Roman"/>
          <w:sz w:val="24"/>
        </w:rPr>
        <w:t xml:space="preserve">dále </w:t>
      </w:r>
      <w:r w:rsidR="00510810">
        <w:rPr>
          <w:rFonts w:ascii="Times New Roman" w:hAnsi="Times New Roman" w:cs="Times New Roman"/>
          <w:sz w:val="24"/>
        </w:rPr>
        <w:t xml:space="preserve">při hodnocení </w:t>
      </w:r>
      <w:r w:rsidRPr="00E10BE6">
        <w:rPr>
          <w:rFonts w:ascii="Times New Roman" w:hAnsi="Times New Roman" w:cs="Times New Roman"/>
          <w:sz w:val="24"/>
        </w:rPr>
        <w:t>užívání doktríny prostoru pro uvážení Soudem.</w:t>
      </w:r>
    </w:p>
    <w:p w14:paraId="63927926" w14:textId="445912DF" w:rsidR="004362BF" w:rsidRPr="00E10BE6" w:rsidRDefault="00FA5590" w:rsidP="00FA5590">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 xml:space="preserve">Česká republika zatím nepřistoupila k žádnému plošnému zákazu nošení muslimského oděvu na veřejnosti a ani judikatura </w:t>
      </w:r>
      <w:r w:rsidR="005F1D68" w:rsidRPr="00510810">
        <w:rPr>
          <w:rFonts w:ascii="Times New Roman" w:hAnsi="Times New Roman" w:cs="Times New Roman"/>
          <w:sz w:val="24"/>
        </w:rPr>
        <w:t>českých</w:t>
      </w:r>
      <w:r w:rsidRPr="00E10BE6">
        <w:rPr>
          <w:rFonts w:ascii="Times New Roman" w:hAnsi="Times New Roman" w:cs="Times New Roman"/>
          <w:sz w:val="24"/>
        </w:rPr>
        <w:t xml:space="preserve"> soudů na toto téma není ob</w:t>
      </w:r>
      <w:r w:rsidR="0004581A" w:rsidRPr="00E10BE6">
        <w:rPr>
          <w:rFonts w:ascii="Times New Roman" w:hAnsi="Times New Roman" w:cs="Times New Roman"/>
          <w:sz w:val="24"/>
        </w:rPr>
        <w:t xml:space="preserve">sáhlá. Ve své práci proto neanalyzuji </w:t>
      </w:r>
      <w:r w:rsidRPr="00E10BE6">
        <w:rPr>
          <w:rFonts w:ascii="Times New Roman" w:hAnsi="Times New Roman" w:cs="Times New Roman"/>
          <w:sz w:val="24"/>
        </w:rPr>
        <w:t>judikaturu českých soudů, ale judikaturu Soudu, která je v této oblasti rozvinutější. Nej</w:t>
      </w:r>
      <w:r w:rsidR="00EB46E7" w:rsidRPr="00E10BE6">
        <w:rPr>
          <w:rFonts w:ascii="Times New Roman" w:hAnsi="Times New Roman" w:cs="Times New Roman"/>
          <w:sz w:val="24"/>
        </w:rPr>
        <w:t>starším rozhodnutím Soudu,</w:t>
      </w:r>
      <w:r w:rsidRPr="00E10BE6">
        <w:rPr>
          <w:rFonts w:ascii="Times New Roman" w:hAnsi="Times New Roman" w:cs="Times New Roman"/>
          <w:sz w:val="24"/>
        </w:rPr>
        <w:t xml:space="preserve"> </w:t>
      </w:r>
      <w:r w:rsidR="00EB46E7" w:rsidRPr="00510810">
        <w:rPr>
          <w:rFonts w:ascii="Times New Roman" w:hAnsi="Times New Roman" w:cs="Times New Roman"/>
          <w:sz w:val="24"/>
        </w:rPr>
        <w:t>na které</w:t>
      </w:r>
      <w:r w:rsidR="0022314E">
        <w:rPr>
          <w:rFonts w:ascii="Times New Roman" w:hAnsi="Times New Roman" w:cs="Times New Roman"/>
          <w:sz w:val="24"/>
        </w:rPr>
        <w:t xml:space="preserve"> </w:t>
      </w:r>
      <w:r w:rsidR="00EB46E7" w:rsidRPr="00510810">
        <w:rPr>
          <w:rFonts w:ascii="Times New Roman" w:hAnsi="Times New Roman" w:cs="Times New Roman"/>
          <w:sz w:val="24"/>
        </w:rPr>
        <w:t>odkazuji</w:t>
      </w:r>
      <w:r w:rsidR="00490BD9" w:rsidRPr="00510810">
        <w:rPr>
          <w:rFonts w:ascii="Times New Roman" w:hAnsi="Times New Roman" w:cs="Times New Roman"/>
          <w:sz w:val="24"/>
        </w:rPr>
        <w:t>,</w:t>
      </w:r>
      <w:r w:rsidRPr="00510810">
        <w:rPr>
          <w:rFonts w:ascii="Times New Roman" w:hAnsi="Times New Roman" w:cs="Times New Roman"/>
          <w:sz w:val="24"/>
        </w:rPr>
        <w:t xml:space="preserve"> </w:t>
      </w:r>
      <w:r w:rsidRPr="00E10BE6">
        <w:rPr>
          <w:rFonts w:ascii="Times New Roman" w:hAnsi="Times New Roman" w:cs="Times New Roman"/>
          <w:sz w:val="24"/>
        </w:rPr>
        <w:t xml:space="preserve">je rozhodnutí </w:t>
      </w:r>
      <w:proofErr w:type="spellStart"/>
      <w:r w:rsidRPr="00E10BE6">
        <w:rPr>
          <w:rFonts w:ascii="Times New Roman" w:hAnsi="Times New Roman" w:cs="Times New Roman"/>
          <w:sz w:val="24"/>
        </w:rPr>
        <w:t>Handyside</w:t>
      </w:r>
      <w:proofErr w:type="spellEnd"/>
      <w:r w:rsidRPr="00E10BE6">
        <w:rPr>
          <w:rFonts w:ascii="Times New Roman" w:hAnsi="Times New Roman" w:cs="Times New Roman"/>
          <w:sz w:val="24"/>
        </w:rPr>
        <w:t xml:space="preserve"> proti Spojenému království z roku 1976</w:t>
      </w:r>
      <w:r w:rsidR="00490BD9" w:rsidRPr="00E10BE6">
        <w:rPr>
          <w:rFonts w:ascii="Times New Roman" w:hAnsi="Times New Roman" w:cs="Times New Roman"/>
          <w:sz w:val="24"/>
        </w:rPr>
        <w:t xml:space="preserve">. </w:t>
      </w:r>
      <w:r w:rsidR="00490BD9" w:rsidRPr="00510810">
        <w:rPr>
          <w:rFonts w:ascii="Times New Roman" w:hAnsi="Times New Roman" w:cs="Times New Roman"/>
          <w:sz w:val="24"/>
        </w:rPr>
        <w:t>N</w:t>
      </w:r>
      <w:r w:rsidRPr="00510810">
        <w:rPr>
          <w:rFonts w:ascii="Times New Roman" w:hAnsi="Times New Roman" w:cs="Times New Roman"/>
          <w:sz w:val="24"/>
        </w:rPr>
        <w:t>aopak</w:t>
      </w:r>
      <w:r w:rsidRPr="00E10BE6">
        <w:rPr>
          <w:rFonts w:ascii="Times New Roman" w:hAnsi="Times New Roman" w:cs="Times New Roman"/>
          <w:sz w:val="24"/>
        </w:rPr>
        <w:t xml:space="preserve"> nejaktuálnější</w:t>
      </w:r>
      <w:r w:rsidR="000700C7" w:rsidRPr="00E10BE6">
        <w:rPr>
          <w:rFonts w:ascii="Times New Roman" w:hAnsi="Times New Roman" w:cs="Times New Roman"/>
          <w:sz w:val="24"/>
        </w:rPr>
        <w:t>m</w:t>
      </w:r>
      <w:r w:rsidRPr="00E10BE6">
        <w:rPr>
          <w:rFonts w:ascii="Times New Roman" w:hAnsi="Times New Roman" w:cs="Times New Roman"/>
          <w:sz w:val="24"/>
        </w:rPr>
        <w:t xml:space="preserve"> rozhodnutím </w:t>
      </w:r>
      <w:r w:rsidR="004362BF" w:rsidRPr="00E10BE6">
        <w:rPr>
          <w:rFonts w:ascii="Times New Roman" w:hAnsi="Times New Roman" w:cs="Times New Roman"/>
          <w:sz w:val="24"/>
        </w:rPr>
        <w:t xml:space="preserve">zde </w:t>
      </w:r>
      <w:r w:rsidR="004362BF" w:rsidRPr="00510810">
        <w:rPr>
          <w:rFonts w:ascii="Times New Roman" w:hAnsi="Times New Roman" w:cs="Times New Roman"/>
          <w:sz w:val="24"/>
        </w:rPr>
        <w:t>citovaným</w:t>
      </w:r>
      <w:r w:rsidRPr="00E10BE6">
        <w:rPr>
          <w:rFonts w:ascii="Times New Roman" w:hAnsi="Times New Roman" w:cs="Times New Roman"/>
          <w:sz w:val="24"/>
        </w:rPr>
        <w:t xml:space="preserve"> je rozhodnutí Lachiri proti Belgii</w:t>
      </w:r>
      <w:r w:rsidR="006C50C3" w:rsidRPr="00E10BE6">
        <w:rPr>
          <w:rFonts w:ascii="Times New Roman" w:hAnsi="Times New Roman" w:cs="Times New Roman"/>
          <w:sz w:val="24"/>
        </w:rPr>
        <w:t>,</w:t>
      </w:r>
      <w:r w:rsidRPr="00E10BE6">
        <w:rPr>
          <w:rFonts w:ascii="Times New Roman" w:hAnsi="Times New Roman" w:cs="Times New Roman"/>
          <w:sz w:val="24"/>
        </w:rPr>
        <w:t xml:space="preserve"> které vydal Soud v září 2018.</w:t>
      </w:r>
    </w:p>
    <w:p w14:paraId="284FE41D" w14:textId="56411AAE" w:rsidR="00FA5590" w:rsidRPr="00E10BE6" w:rsidRDefault="00FA5590" w:rsidP="00FA5590">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V teoretické části práce j</w:t>
      </w:r>
      <w:r w:rsidR="00510810">
        <w:rPr>
          <w:rFonts w:ascii="Times New Roman" w:hAnsi="Times New Roman" w:cs="Times New Roman"/>
          <w:sz w:val="24"/>
        </w:rPr>
        <w:t>e</w:t>
      </w:r>
      <w:r w:rsidRPr="00E10BE6">
        <w:rPr>
          <w:rFonts w:ascii="Times New Roman" w:hAnsi="Times New Roman" w:cs="Times New Roman"/>
          <w:sz w:val="24"/>
        </w:rPr>
        <w:t xml:space="preserve"> mým hlavním zdrojem komentář k Evropské úmluvě o</w:t>
      </w:r>
      <w:r w:rsidR="00490BD9" w:rsidRPr="00E10BE6">
        <w:rPr>
          <w:rFonts w:ascii="Times New Roman" w:hAnsi="Times New Roman" w:cs="Times New Roman"/>
          <w:sz w:val="24"/>
        </w:rPr>
        <w:t> </w:t>
      </w:r>
      <w:r w:rsidRPr="00E10BE6">
        <w:rPr>
          <w:rFonts w:ascii="Times New Roman" w:hAnsi="Times New Roman" w:cs="Times New Roman"/>
          <w:sz w:val="24"/>
        </w:rPr>
        <w:t xml:space="preserve">lidských právech od autorů </w:t>
      </w:r>
      <w:proofErr w:type="spellStart"/>
      <w:r w:rsidRPr="00E10BE6">
        <w:rPr>
          <w:rFonts w:ascii="Times New Roman" w:hAnsi="Times New Roman" w:cs="Times New Roman"/>
          <w:sz w:val="24"/>
        </w:rPr>
        <w:t>Kmec</w:t>
      </w:r>
      <w:proofErr w:type="spellEnd"/>
      <w:r w:rsidRPr="00E10BE6">
        <w:rPr>
          <w:rFonts w:ascii="Times New Roman" w:hAnsi="Times New Roman" w:cs="Times New Roman"/>
          <w:sz w:val="24"/>
        </w:rPr>
        <w:t xml:space="preserve">, Kosař, Kratochvíl a </w:t>
      </w:r>
      <w:r w:rsidRPr="0022314E">
        <w:rPr>
          <w:rFonts w:ascii="Times New Roman" w:hAnsi="Times New Roman" w:cs="Times New Roman"/>
          <w:sz w:val="24"/>
        </w:rPr>
        <w:t>Bobek</w:t>
      </w:r>
      <w:r w:rsidR="00510810" w:rsidRPr="0022314E">
        <w:rPr>
          <w:rFonts w:ascii="Times New Roman" w:hAnsi="Times New Roman" w:cs="Times New Roman"/>
          <w:sz w:val="24"/>
        </w:rPr>
        <w:t xml:space="preserve"> </w:t>
      </w:r>
      <w:r w:rsidRPr="0022314E">
        <w:rPr>
          <w:rFonts w:ascii="Times New Roman" w:hAnsi="Times New Roman" w:cs="Times New Roman"/>
          <w:sz w:val="24"/>
        </w:rPr>
        <w:t xml:space="preserve">a </w:t>
      </w:r>
      <w:r w:rsidRPr="00E10BE6">
        <w:rPr>
          <w:rFonts w:ascii="Times New Roman" w:hAnsi="Times New Roman" w:cs="Times New Roman"/>
          <w:sz w:val="24"/>
        </w:rPr>
        <w:t xml:space="preserve">komentář k Listině základních práv a svobod od autorů Wagnerová, Šimíček, </w:t>
      </w:r>
      <w:proofErr w:type="spellStart"/>
      <w:r w:rsidRPr="00E10BE6">
        <w:rPr>
          <w:rFonts w:ascii="Times New Roman" w:hAnsi="Times New Roman" w:cs="Times New Roman"/>
          <w:sz w:val="24"/>
        </w:rPr>
        <w:t>Langášek</w:t>
      </w:r>
      <w:proofErr w:type="spellEnd"/>
      <w:r w:rsidRPr="00E10BE6">
        <w:rPr>
          <w:rFonts w:ascii="Times New Roman" w:hAnsi="Times New Roman" w:cs="Times New Roman"/>
          <w:sz w:val="24"/>
        </w:rPr>
        <w:t>, Pospíšil a</w:t>
      </w:r>
      <w:r w:rsidR="00510810">
        <w:rPr>
          <w:rFonts w:ascii="Times New Roman" w:hAnsi="Times New Roman" w:cs="Times New Roman"/>
          <w:sz w:val="24"/>
        </w:rPr>
        <w:t> </w:t>
      </w:r>
      <w:r w:rsidRPr="00E10BE6">
        <w:rPr>
          <w:rFonts w:ascii="Times New Roman" w:hAnsi="Times New Roman" w:cs="Times New Roman"/>
          <w:sz w:val="24"/>
        </w:rPr>
        <w:t>kolektiv</w:t>
      </w:r>
      <w:r w:rsidRPr="0022314E">
        <w:rPr>
          <w:rFonts w:ascii="Times New Roman" w:hAnsi="Times New Roman" w:cs="Times New Roman"/>
          <w:sz w:val="24"/>
        </w:rPr>
        <w:t xml:space="preserve">. </w:t>
      </w:r>
      <w:r w:rsidRPr="00E10BE6">
        <w:rPr>
          <w:rFonts w:ascii="Times New Roman" w:hAnsi="Times New Roman" w:cs="Times New Roman"/>
          <w:sz w:val="24"/>
        </w:rPr>
        <w:t>Doktrína pro uvážení je předmětem mnoha odborných článků a</w:t>
      </w:r>
      <w:r w:rsidR="00510810">
        <w:rPr>
          <w:rFonts w:ascii="Times New Roman" w:hAnsi="Times New Roman" w:cs="Times New Roman"/>
          <w:sz w:val="24"/>
        </w:rPr>
        <w:t> </w:t>
      </w:r>
      <w:r w:rsidRPr="00E10BE6">
        <w:rPr>
          <w:rFonts w:ascii="Times New Roman" w:hAnsi="Times New Roman" w:cs="Times New Roman"/>
          <w:sz w:val="24"/>
        </w:rPr>
        <w:t>publikací, zdrojů</w:t>
      </w:r>
      <w:r w:rsidR="0022314E">
        <w:rPr>
          <w:rFonts w:ascii="Times New Roman" w:hAnsi="Times New Roman" w:cs="Times New Roman"/>
          <w:sz w:val="24"/>
        </w:rPr>
        <w:t xml:space="preserve"> k mé práci</w:t>
      </w:r>
      <w:r w:rsidRPr="00510810">
        <w:rPr>
          <w:rFonts w:ascii="Times New Roman" w:hAnsi="Times New Roman" w:cs="Times New Roman"/>
          <w:color w:val="FF0000"/>
          <w:sz w:val="24"/>
        </w:rPr>
        <w:t xml:space="preserve"> </w:t>
      </w:r>
      <w:r w:rsidRPr="00E10BE6">
        <w:rPr>
          <w:rFonts w:ascii="Times New Roman" w:hAnsi="Times New Roman" w:cs="Times New Roman"/>
          <w:sz w:val="24"/>
        </w:rPr>
        <w:t>jsem ted</w:t>
      </w:r>
      <w:r w:rsidR="0004581A" w:rsidRPr="00E10BE6">
        <w:rPr>
          <w:rFonts w:ascii="Times New Roman" w:hAnsi="Times New Roman" w:cs="Times New Roman"/>
          <w:sz w:val="24"/>
        </w:rPr>
        <w:t>y v této oblasti měla dostatek. Odborné literatury</w:t>
      </w:r>
      <w:r w:rsidR="004362BF" w:rsidRPr="00E10BE6">
        <w:rPr>
          <w:rFonts w:ascii="Times New Roman" w:hAnsi="Times New Roman" w:cs="Times New Roman"/>
          <w:sz w:val="24"/>
        </w:rPr>
        <w:t>,</w:t>
      </w:r>
      <w:r w:rsidR="0004581A" w:rsidRPr="00E10BE6">
        <w:rPr>
          <w:rFonts w:ascii="Times New Roman" w:hAnsi="Times New Roman" w:cs="Times New Roman"/>
          <w:sz w:val="24"/>
        </w:rPr>
        <w:t xml:space="preserve"> která by se zaměřovala na užívání doktríny pro uvážení při rozhodování o otázkách zahalování</w:t>
      </w:r>
      <w:r w:rsidR="004362BF" w:rsidRPr="00E10BE6">
        <w:rPr>
          <w:rFonts w:ascii="Times New Roman" w:hAnsi="Times New Roman" w:cs="Times New Roman"/>
          <w:sz w:val="24"/>
        </w:rPr>
        <w:t>,</w:t>
      </w:r>
      <w:r w:rsidR="0004581A" w:rsidRPr="00E10BE6">
        <w:rPr>
          <w:rFonts w:ascii="Times New Roman" w:hAnsi="Times New Roman" w:cs="Times New Roman"/>
          <w:sz w:val="24"/>
        </w:rPr>
        <w:t xml:space="preserve"> je však podstatně méně. </w:t>
      </w:r>
      <w:r w:rsidRPr="00E10BE6">
        <w:rPr>
          <w:rFonts w:ascii="Times New Roman" w:hAnsi="Times New Roman" w:cs="Times New Roman"/>
          <w:sz w:val="24"/>
        </w:rPr>
        <w:t>Jelikož je svoboda náboženského vyznání a doktrína prostoru pro uvážení tématem nejen u nás, je velká část odborné literatury, ze které</w:t>
      </w:r>
      <w:r w:rsidR="00EB46E7" w:rsidRPr="00E10BE6">
        <w:rPr>
          <w:rFonts w:ascii="Times New Roman" w:hAnsi="Times New Roman" w:cs="Times New Roman"/>
          <w:color w:val="FF0000"/>
          <w:sz w:val="24"/>
        </w:rPr>
        <w:t xml:space="preserve"> </w:t>
      </w:r>
      <w:r w:rsidR="00EB46E7" w:rsidRPr="00894787">
        <w:rPr>
          <w:rFonts w:ascii="Times New Roman" w:hAnsi="Times New Roman" w:cs="Times New Roman"/>
          <w:sz w:val="24"/>
        </w:rPr>
        <w:t>vycházím</w:t>
      </w:r>
      <w:r w:rsidR="004362BF" w:rsidRPr="00894787">
        <w:rPr>
          <w:rFonts w:ascii="Times New Roman" w:hAnsi="Times New Roman" w:cs="Times New Roman"/>
          <w:sz w:val="24"/>
        </w:rPr>
        <w:t>,</w:t>
      </w:r>
      <w:r w:rsidR="00EB46E7" w:rsidRPr="00894787">
        <w:rPr>
          <w:rFonts w:ascii="Times New Roman" w:hAnsi="Times New Roman" w:cs="Times New Roman"/>
          <w:sz w:val="24"/>
        </w:rPr>
        <w:t xml:space="preserve"> </w:t>
      </w:r>
      <w:r w:rsidR="00EB46E7" w:rsidRPr="00E10BE6">
        <w:rPr>
          <w:rFonts w:ascii="Times New Roman" w:hAnsi="Times New Roman" w:cs="Times New Roman"/>
          <w:sz w:val="24"/>
        </w:rPr>
        <w:t>dílem zahraničních autorů.</w:t>
      </w:r>
    </w:p>
    <w:p w14:paraId="1BEF03FB" w14:textId="7BECFC3E" w:rsidR="00FA5590" w:rsidRDefault="004362BF" w:rsidP="00FA5590">
      <w:pPr>
        <w:spacing w:after="0" w:line="360" w:lineRule="auto"/>
        <w:ind w:firstLine="709"/>
        <w:jc w:val="both"/>
        <w:rPr>
          <w:rFonts w:ascii="Times New Roman" w:hAnsi="Times New Roman" w:cs="Times New Roman"/>
          <w:sz w:val="24"/>
        </w:rPr>
      </w:pPr>
      <w:r w:rsidRPr="00894787">
        <w:rPr>
          <w:rFonts w:ascii="Times New Roman" w:hAnsi="Times New Roman" w:cs="Times New Roman"/>
          <w:sz w:val="24"/>
        </w:rPr>
        <w:t>Pr</w:t>
      </w:r>
      <w:r w:rsidR="00FA5590" w:rsidRPr="00894787">
        <w:rPr>
          <w:rFonts w:ascii="Times New Roman" w:hAnsi="Times New Roman" w:cs="Times New Roman"/>
          <w:sz w:val="24"/>
        </w:rPr>
        <w:t>áce</w:t>
      </w:r>
      <w:r w:rsidRPr="00894787">
        <w:rPr>
          <w:rFonts w:ascii="Times New Roman" w:hAnsi="Times New Roman" w:cs="Times New Roman"/>
          <w:sz w:val="24"/>
        </w:rPr>
        <w:t xml:space="preserve"> je</w:t>
      </w:r>
      <w:r w:rsidR="00FA5590" w:rsidRPr="00894787">
        <w:rPr>
          <w:rFonts w:ascii="Times New Roman" w:hAnsi="Times New Roman" w:cs="Times New Roman"/>
          <w:sz w:val="24"/>
        </w:rPr>
        <w:t xml:space="preserve"> </w:t>
      </w:r>
      <w:r w:rsidRPr="00894787">
        <w:rPr>
          <w:rFonts w:ascii="Times New Roman" w:hAnsi="Times New Roman" w:cs="Times New Roman"/>
          <w:sz w:val="24"/>
        </w:rPr>
        <w:t>rozd</w:t>
      </w:r>
      <w:r w:rsidR="00FA5590" w:rsidRPr="00894787">
        <w:rPr>
          <w:rFonts w:ascii="Times New Roman" w:hAnsi="Times New Roman" w:cs="Times New Roman"/>
          <w:sz w:val="24"/>
        </w:rPr>
        <w:t>ěl</w:t>
      </w:r>
      <w:r w:rsidRPr="00894787">
        <w:rPr>
          <w:rFonts w:ascii="Times New Roman" w:hAnsi="Times New Roman" w:cs="Times New Roman"/>
          <w:sz w:val="24"/>
        </w:rPr>
        <w:t>ena</w:t>
      </w:r>
      <w:r w:rsidR="00FA5590" w:rsidRPr="00E10BE6">
        <w:rPr>
          <w:rFonts w:ascii="Times New Roman" w:hAnsi="Times New Roman" w:cs="Times New Roman"/>
          <w:sz w:val="24"/>
        </w:rPr>
        <w:t xml:space="preserve"> do tří kapitol. </w:t>
      </w:r>
      <w:r w:rsidR="00FA5590" w:rsidRPr="00894787">
        <w:rPr>
          <w:rFonts w:ascii="Times New Roman" w:hAnsi="Times New Roman" w:cs="Times New Roman"/>
          <w:sz w:val="24"/>
        </w:rPr>
        <w:t>Každá kapitola se věnuje samostatně určitému tématu, všechny kapitoly tvoří v závěru ucelený celek</w:t>
      </w:r>
      <w:r w:rsidR="00FA5590" w:rsidRPr="00E10BE6">
        <w:rPr>
          <w:rFonts w:ascii="Times New Roman" w:hAnsi="Times New Roman" w:cs="Times New Roman"/>
          <w:sz w:val="24"/>
        </w:rPr>
        <w:t>.</w:t>
      </w:r>
      <w:r w:rsidR="00EB46E7" w:rsidRPr="00E10BE6">
        <w:rPr>
          <w:rFonts w:ascii="Times New Roman" w:hAnsi="Times New Roman" w:cs="Times New Roman"/>
          <w:sz w:val="24"/>
        </w:rPr>
        <w:t xml:space="preserve"> </w:t>
      </w:r>
      <w:r w:rsidR="00EB46E7" w:rsidRPr="00894787">
        <w:rPr>
          <w:rFonts w:ascii="Times New Roman" w:hAnsi="Times New Roman" w:cs="Times New Roman"/>
          <w:sz w:val="24"/>
        </w:rPr>
        <w:t>První kapitola obsahuje teoretický úvod</w:t>
      </w:r>
      <w:r w:rsidR="00FA5590" w:rsidRPr="00E10BE6">
        <w:rPr>
          <w:rFonts w:ascii="Times New Roman" w:hAnsi="Times New Roman" w:cs="Times New Roman"/>
          <w:sz w:val="24"/>
        </w:rPr>
        <w:t xml:space="preserve"> </w:t>
      </w:r>
      <w:r w:rsidRPr="00E10BE6">
        <w:rPr>
          <w:rFonts w:ascii="Times New Roman" w:hAnsi="Times New Roman" w:cs="Times New Roman"/>
          <w:sz w:val="24"/>
        </w:rPr>
        <w:t>k t</w:t>
      </w:r>
      <w:r w:rsidR="00894787">
        <w:rPr>
          <w:rFonts w:ascii="Times New Roman" w:hAnsi="Times New Roman" w:cs="Times New Roman"/>
          <w:sz w:val="24"/>
        </w:rPr>
        <w:t>é</w:t>
      </w:r>
      <w:r w:rsidRPr="00E10BE6">
        <w:rPr>
          <w:rFonts w:ascii="Times New Roman" w:hAnsi="Times New Roman" w:cs="Times New Roman"/>
          <w:sz w:val="24"/>
        </w:rPr>
        <w:t xml:space="preserve">matu práce – co je </w:t>
      </w:r>
      <w:r w:rsidR="00FA5590" w:rsidRPr="00E10BE6">
        <w:rPr>
          <w:rFonts w:ascii="Times New Roman" w:hAnsi="Times New Roman" w:cs="Times New Roman"/>
          <w:sz w:val="24"/>
        </w:rPr>
        <w:t xml:space="preserve">svoboda vyznání, </w:t>
      </w:r>
      <w:r w:rsidRPr="00894787">
        <w:rPr>
          <w:rFonts w:ascii="Times New Roman" w:hAnsi="Times New Roman" w:cs="Times New Roman"/>
          <w:sz w:val="24"/>
        </w:rPr>
        <w:t>jaké je</w:t>
      </w:r>
      <w:r w:rsidRPr="00E10BE6">
        <w:rPr>
          <w:rFonts w:ascii="Times New Roman" w:hAnsi="Times New Roman" w:cs="Times New Roman"/>
          <w:sz w:val="24"/>
        </w:rPr>
        <w:t xml:space="preserve"> </w:t>
      </w:r>
      <w:r w:rsidR="00FA5590" w:rsidRPr="00E10BE6">
        <w:rPr>
          <w:rFonts w:ascii="Times New Roman" w:hAnsi="Times New Roman" w:cs="Times New Roman"/>
          <w:sz w:val="24"/>
        </w:rPr>
        <w:t>její zakotvení na národní i nadnárodní úrovni a</w:t>
      </w:r>
      <w:r w:rsidRPr="00E10BE6">
        <w:rPr>
          <w:rFonts w:ascii="Times New Roman" w:hAnsi="Times New Roman" w:cs="Times New Roman"/>
          <w:sz w:val="24"/>
        </w:rPr>
        <w:t> </w:t>
      </w:r>
      <w:r w:rsidR="00FA5590" w:rsidRPr="00E10BE6">
        <w:rPr>
          <w:rFonts w:ascii="Times New Roman" w:hAnsi="Times New Roman" w:cs="Times New Roman"/>
          <w:sz w:val="24"/>
        </w:rPr>
        <w:t>jaké jednání lze považovat za projev náboženského vyznání</w:t>
      </w:r>
      <w:r w:rsidR="00894787">
        <w:rPr>
          <w:rFonts w:ascii="Times New Roman" w:hAnsi="Times New Roman" w:cs="Times New Roman"/>
          <w:sz w:val="24"/>
        </w:rPr>
        <w:t>,</w:t>
      </w:r>
      <w:r w:rsidR="00FA5590" w:rsidRPr="00E10BE6">
        <w:rPr>
          <w:rFonts w:ascii="Times New Roman" w:hAnsi="Times New Roman" w:cs="Times New Roman"/>
          <w:sz w:val="24"/>
        </w:rPr>
        <w:t xml:space="preserve"> a </w:t>
      </w:r>
      <w:r w:rsidR="00894787">
        <w:rPr>
          <w:rFonts w:ascii="Times New Roman" w:hAnsi="Times New Roman" w:cs="Times New Roman"/>
          <w:sz w:val="24"/>
        </w:rPr>
        <w:t xml:space="preserve">které tak </w:t>
      </w:r>
      <w:r w:rsidR="00FA5590" w:rsidRPr="00E10BE6">
        <w:rPr>
          <w:rFonts w:ascii="Times New Roman" w:hAnsi="Times New Roman" w:cs="Times New Roman"/>
          <w:sz w:val="24"/>
        </w:rPr>
        <w:t>spadá</w:t>
      </w:r>
      <w:r w:rsidR="00894787">
        <w:rPr>
          <w:rFonts w:ascii="Times New Roman" w:hAnsi="Times New Roman" w:cs="Times New Roman"/>
          <w:sz w:val="24"/>
        </w:rPr>
        <w:t xml:space="preserve"> </w:t>
      </w:r>
      <w:r w:rsidR="00FA5590" w:rsidRPr="00E10BE6">
        <w:rPr>
          <w:rFonts w:ascii="Times New Roman" w:hAnsi="Times New Roman" w:cs="Times New Roman"/>
          <w:sz w:val="24"/>
        </w:rPr>
        <w:t xml:space="preserve">pod ochranu Úmluvy. Ve druhé kapitole se zabývám omezitelností svobody vyznání, konkrétně jak postupuje Soud, pokud rozhoduje, zda má být svoboda vyznání omezena. </w:t>
      </w:r>
      <w:r w:rsidR="00682B2A" w:rsidRPr="00E10BE6">
        <w:rPr>
          <w:rFonts w:ascii="Times New Roman" w:hAnsi="Times New Roman" w:cs="Times New Roman"/>
          <w:sz w:val="24"/>
        </w:rPr>
        <w:t>V té samé kapitole dále</w:t>
      </w:r>
      <w:r w:rsidR="00FA5590" w:rsidRPr="00E10BE6">
        <w:rPr>
          <w:rFonts w:ascii="Times New Roman" w:hAnsi="Times New Roman" w:cs="Times New Roman"/>
          <w:sz w:val="24"/>
        </w:rPr>
        <w:t xml:space="preserve"> rozebírám vybraná rozhodnutí Soudu týkající se přípustnosti zahalování. Poslední, třetí kapitolu</w:t>
      </w:r>
      <w:r w:rsidR="008B2C2A" w:rsidRPr="00E10BE6">
        <w:rPr>
          <w:rFonts w:ascii="Times New Roman" w:hAnsi="Times New Roman" w:cs="Times New Roman"/>
          <w:sz w:val="24"/>
        </w:rPr>
        <w:t xml:space="preserve">, </w:t>
      </w:r>
      <w:r w:rsidR="00FA5590" w:rsidRPr="00E10BE6">
        <w:rPr>
          <w:rFonts w:ascii="Times New Roman" w:hAnsi="Times New Roman" w:cs="Times New Roman"/>
          <w:sz w:val="24"/>
        </w:rPr>
        <w:t>věnuji doktríně prostoru pro uvážení, jejímu vzniku, významu a užívání Soudem. V závěru práce</w:t>
      </w:r>
      <w:r w:rsidR="00882895">
        <w:rPr>
          <w:rFonts w:ascii="Times New Roman" w:hAnsi="Times New Roman" w:cs="Times New Roman"/>
          <w:sz w:val="24"/>
        </w:rPr>
        <w:t xml:space="preserve"> poté </w:t>
      </w:r>
      <w:r w:rsidR="00682B2A" w:rsidRPr="00E10BE6">
        <w:rPr>
          <w:rFonts w:ascii="Times New Roman" w:hAnsi="Times New Roman" w:cs="Times New Roman"/>
          <w:sz w:val="24"/>
        </w:rPr>
        <w:t>odpovídám na výzkumnou otázku</w:t>
      </w:r>
      <w:r w:rsidR="00894787">
        <w:rPr>
          <w:rFonts w:ascii="Times New Roman" w:hAnsi="Times New Roman" w:cs="Times New Roman"/>
          <w:sz w:val="24"/>
        </w:rPr>
        <w:t xml:space="preserve"> a shrnuji, zda se podařilo najít na ni odpověď.</w:t>
      </w:r>
    </w:p>
    <w:p w14:paraId="1BBF363F" w14:textId="1190C2ED" w:rsidR="00894787" w:rsidRDefault="00894787">
      <w:pPr>
        <w:rPr>
          <w:rFonts w:ascii="Times New Roman" w:hAnsi="Times New Roman" w:cs="Times New Roman"/>
          <w:sz w:val="24"/>
        </w:rPr>
      </w:pPr>
      <w:r>
        <w:rPr>
          <w:rFonts w:ascii="Times New Roman" w:hAnsi="Times New Roman" w:cs="Times New Roman"/>
          <w:sz w:val="24"/>
        </w:rPr>
        <w:br w:type="page"/>
      </w:r>
    </w:p>
    <w:p w14:paraId="7471673A" w14:textId="39189656" w:rsidR="00AB265F" w:rsidRPr="00E10BE6" w:rsidRDefault="00FE3B47" w:rsidP="002075DE">
      <w:pPr>
        <w:pStyle w:val="Nadpis1"/>
        <w:jc w:val="both"/>
        <w:rPr>
          <w:rFonts w:cs="Times New Roman"/>
        </w:rPr>
      </w:pPr>
      <w:bookmarkStart w:id="5" w:name="_Toc536289134"/>
      <w:bookmarkStart w:id="6" w:name="_Toc169291"/>
      <w:bookmarkStart w:id="7" w:name="_Toc3454692"/>
      <w:r w:rsidRPr="00E10BE6">
        <w:rPr>
          <w:rFonts w:cs="Times New Roman"/>
        </w:rPr>
        <w:lastRenderedPageBreak/>
        <w:t>Svoboda vyznání</w:t>
      </w:r>
      <w:bookmarkEnd w:id="5"/>
      <w:bookmarkEnd w:id="6"/>
      <w:bookmarkEnd w:id="7"/>
    </w:p>
    <w:p w14:paraId="7166893F" w14:textId="1EC3590F" w:rsidR="00FE3B47" w:rsidRPr="00E10BE6" w:rsidRDefault="00FE3B47" w:rsidP="006C6EE1">
      <w:pPr>
        <w:pStyle w:val="Nadpis2"/>
        <w:jc w:val="both"/>
        <w:rPr>
          <w:rFonts w:cs="Times New Roman"/>
        </w:rPr>
      </w:pPr>
      <w:bookmarkStart w:id="8" w:name="_Toc536289135"/>
      <w:bookmarkStart w:id="9" w:name="_Toc169292"/>
      <w:bookmarkStart w:id="10" w:name="_Toc3454693"/>
      <w:r w:rsidRPr="00E10BE6">
        <w:rPr>
          <w:rFonts w:cs="Times New Roman"/>
        </w:rPr>
        <w:t>Teoretické vymezení</w:t>
      </w:r>
      <w:bookmarkEnd w:id="8"/>
      <w:bookmarkEnd w:id="9"/>
      <w:bookmarkEnd w:id="10"/>
    </w:p>
    <w:p w14:paraId="4AB810B9" w14:textId="2A68C3F3" w:rsidR="006866A0" w:rsidRPr="00E10BE6" w:rsidRDefault="00C8719E" w:rsidP="006C6EE1">
      <w:pPr>
        <w:spacing w:after="0" w:line="360" w:lineRule="auto"/>
        <w:ind w:firstLine="357"/>
        <w:jc w:val="both"/>
        <w:rPr>
          <w:rFonts w:ascii="Times New Roman" w:hAnsi="Times New Roman" w:cs="Times New Roman"/>
          <w:sz w:val="24"/>
        </w:rPr>
      </w:pPr>
      <w:r w:rsidRPr="00E10BE6">
        <w:rPr>
          <w:rFonts w:ascii="Times New Roman" w:hAnsi="Times New Roman" w:cs="Times New Roman"/>
          <w:sz w:val="24"/>
        </w:rPr>
        <w:t xml:space="preserve">Svoboda náboženského vyznání </w:t>
      </w:r>
      <w:r w:rsidR="00452E51" w:rsidRPr="00E10BE6">
        <w:rPr>
          <w:rFonts w:ascii="Times New Roman" w:hAnsi="Times New Roman" w:cs="Times New Roman"/>
          <w:sz w:val="24"/>
        </w:rPr>
        <w:t xml:space="preserve">je </w:t>
      </w:r>
      <w:r w:rsidRPr="00E10BE6">
        <w:rPr>
          <w:rFonts w:ascii="Times New Roman" w:hAnsi="Times New Roman" w:cs="Times New Roman"/>
          <w:sz w:val="24"/>
        </w:rPr>
        <w:t xml:space="preserve">spolu se svobodou myšlení a svobodou svědomí </w:t>
      </w:r>
      <w:r w:rsidR="00E84258" w:rsidRPr="00E10BE6">
        <w:rPr>
          <w:rFonts w:ascii="Times New Roman" w:hAnsi="Times New Roman" w:cs="Times New Roman"/>
          <w:sz w:val="24"/>
        </w:rPr>
        <w:t xml:space="preserve">zaručena čl. </w:t>
      </w:r>
      <w:r w:rsidR="00452E51" w:rsidRPr="00E10BE6">
        <w:rPr>
          <w:rFonts w:ascii="Times New Roman" w:hAnsi="Times New Roman" w:cs="Times New Roman"/>
          <w:sz w:val="24"/>
        </w:rPr>
        <w:t>15 Listiny základních práv a svobod</w:t>
      </w:r>
      <w:r w:rsidR="008C25ED">
        <w:rPr>
          <w:rFonts w:ascii="Times New Roman" w:hAnsi="Times New Roman" w:cs="Times New Roman"/>
          <w:sz w:val="24"/>
        </w:rPr>
        <w:t xml:space="preserve"> (dále jen „Listina“)</w:t>
      </w:r>
      <w:r w:rsidR="00894787">
        <w:rPr>
          <w:rFonts w:ascii="Times New Roman" w:hAnsi="Times New Roman" w:cs="Times New Roman"/>
          <w:sz w:val="24"/>
        </w:rPr>
        <w:t xml:space="preserve">. </w:t>
      </w:r>
      <w:r w:rsidR="00B80776" w:rsidRPr="00E10BE6">
        <w:rPr>
          <w:rFonts w:ascii="Times New Roman" w:hAnsi="Times New Roman" w:cs="Times New Roman"/>
          <w:sz w:val="24"/>
        </w:rPr>
        <w:t xml:space="preserve">Svoboda náboženského vyznání </w:t>
      </w:r>
      <w:r w:rsidR="00E84258" w:rsidRPr="00E10BE6">
        <w:rPr>
          <w:rFonts w:ascii="Times New Roman" w:hAnsi="Times New Roman" w:cs="Times New Roman"/>
          <w:sz w:val="24"/>
        </w:rPr>
        <w:t xml:space="preserve">mj. </w:t>
      </w:r>
      <w:r w:rsidR="00B80776" w:rsidRPr="00E10BE6">
        <w:rPr>
          <w:rFonts w:ascii="Times New Roman" w:hAnsi="Times New Roman" w:cs="Times New Roman"/>
          <w:sz w:val="24"/>
        </w:rPr>
        <w:t xml:space="preserve">zaručuje každému právo </w:t>
      </w:r>
      <w:r w:rsidR="00452E51" w:rsidRPr="00E10BE6">
        <w:rPr>
          <w:rFonts w:ascii="Times New Roman" w:hAnsi="Times New Roman" w:cs="Times New Roman"/>
          <w:sz w:val="24"/>
        </w:rPr>
        <w:t>změnit své náboženství nebo víru</w:t>
      </w:r>
      <w:r w:rsidR="00AB2DFA" w:rsidRPr="00E10BE6">
        <w:rPr>
          <w:rFonts w:ascii="Times New Roman" w:hAnsi="Times New Roman" w:cs="Times New Roman"/>
          <w:sz w:val="24"/>
        </w:rPr>
        <w:t>,</w:t>
      </w:r>
      <w:r w:rsidR="00452E51" w:rsidRPr="00E10BE6">
        <w:rPr>
          <w:rFonts w:ascii="Times New Roman" w:hAnsi="Times New Roman" w:cs="Times New Roman"/>
          <w:sz w:val="24"/>
        </w:rPr>
        <w:t xml:space="preserve"> anebo být bez náboženského </w:t>
      </w:r>
      <w:r w:rsidR="00B80776" w:rsidRPr="00E10BE6">
        <w:rPr>
          <w:rFonts w:ascii="Times New Roman" w:hAnsi="Times New Roman" w:cs="Times New Roman"/>
          <w:sz w:val="24"/>
        </w:rPr>
        <w:t>vyznání.</w:t>
      </w:r>
      <w:r w:rsidR="00E84258" w:rsidRPr="00E10BE6">
        <w:rPr>
          <w:rFonts w:ascii="Times New Roman" w:hAnsi="Times New Roman" w:cs="Times New Roman"/>
          <w:sz w:val="24"/>
        </w:rPr>
        <w:t xml:space="preserve"> </w:t>
      </w:r>
      <w:r w:rsidR="00173462" w:rsidRPr="00E10BE6">
        <w:rPr>
          <w:rFonts w:ascii="Times New Roman" w:hAnsi="Times New Roman" w:cs="Times New Roman"/>
          <w:sz w:val="24"/>
        </w:rPr>
        <w:t>Tato svoboda</w:t>
      </w:r>
      <w:r w:rsidR="00E84258" w:rsidRPr="00E10BE6">
        <w:rPr>
          <w:rFonts w:ascii="Times New Roman" w:hAnsi="Times New Roman" w:cs="Times New Roman"/>
          <w:sz w:val="24"/>
        </w:rPr>
        <w:t xml:space="preserve"> je jedním ze základních práv, což znamená</w:t>
      </w:r>
      <w:r w:rsidR="00894787">
        <w:rPr>
          <w:rFonts w:ascii="Times New Roman" w:hAnsi="Times New Roman" w:cs="Times New Roman"/>
          <w:sz w:val="24"/>
        </w:rPr>
        <w:t xml:space="preserve">, </w:t>
      </w:r>
      <w:r w:rsidR="00E84258" w:rsidRPr="00E10BE6">
        <w:rPr>
          <w:rFonts w:ascii="Times New Roman" w:hAnsi="Times New Roman" w:cs="Times New Roman"/>
          <w:sz w:val="24"/>
        </w:rPr>
        <w:t>že nositele</w:t>
      </w:r>
      <w:r w:rsidR="006866A0" w:rsidRPr="00E10BE6">
        <w:rPr>
          <w:rFonts w:ascii="Times New Roman" w:hAnsi="Times New Roman" w:cs="Times New Roman"/>
          <w:sz w:val="24"/>
        </w:rPr>
        <w:t>m tohoto práva je každý člověk, bez ohledu na</w:t>
      </w:r>
      <w:r w:rsidR="00894787">
        <w:rPr>
          <w:rFonts w:ascii="Times New Roman" w:hAnsi="Times New Roman" w:cs="Times New Roman"/>
          <w:sz w:val="24"/>
        </w:rPr>
        <w:t xml:space="preserve"> svou </w:t>
      </w:r>
      <w:r w:rsidR="006866A0" w:rsidRPr="00E10BE6">
        <w:rPr>
          <w:rFonts w:ascii="Times New Roman" w:hAnsi="Times New Roman" w:cs="Times New Roman"/>
          <w:sz w:val="24"/>
        </w:rPr>
        <w:t>státní příslušnost. Náboženské vyznání je vnitřní oblastí člověka, jeho víry, svědomí a myšlenkového a hodnotového světa. Proto nositelem této svobody může být pouze bytost nadaná vlastní myslí a nikoli právnická osoba.</w:t>
      </w:r>
      <w:r w:rsidR="006866A0" w:rsidRPr="00E10BE6">
        <w:rPr>
          <w:rStyle w:val="Znakapoznpodarou"/>
          <w:rFonts w:ascii="Times New Roman" w:hAnsi="Times New Roman" w:cs="Times New Roman"/>
          <w:sz w:val="24"/>
        </w:rPr>
        <w:footnoteReference w:id="2"/>
      </w:r>
    </w:p>
    <w:p w14:paraId="0DB82626" w14:textId="4D95C558" w:rsidR="004749DB" w:rsidRPr="00E10BE6" w:rsidRDefault="00CD5979" w:rsidP="006C6EE1">
      <w:pPr>
        <w:spacing w:after="0" w:line="360" w:lineRule="auto"/>
        <w:ind w:firstLine="357"/>
        <w:jc w:val="both"/>
        <w:rPr>
          <w:rFonts w:ascii="Times New Roman" w:hAnsi="Times New Roman" w:cs="Times New Roman"/>
          <w:sz w:val="24"/>
        </w:rPr>
      </w:pPr>
      <w:r w:rsidRPr="00E10BE6">
        <w:rPr>
          <w:rFonts w:ascii="Times New Roman" w:hAnsi="Times New Roman" w:cs="Times New Roman"/>
          <w:sz w:val="24"/>
        </w:rPr>
        <w:t xml:space="preserve">Svoboda vyznání se skládá ze dvou složek. </w:t>
      </w:r>
      <w:r w:rsidRPr="00E10BE6">
        <w:rPr>
          <w:rFonts w:ascii="Times New Roman" w:hAnsi="Times New Roman" w:cs="Times New Roman"/>
          <w:i/>
          <w:sz w:val="24"/>
        </w:rPr>
        <w:t>Forum internum</w:t>
      </w:r>
      <w:r w:rsidRPr="00E10BE6">
        <w:rPr>
          <w:rFonts w:ascii="Times New Roman" w:hAnsi="Times New Roman" w:cs="Times New Roman"/>
          <w:sz w:val="24"/>
        </w:rPr>
        <w:t xml:space="preserve"> představuje svobodu každého mít určité přesvědčení</w:t>
      </w:r>
      <w:r w:rsidR="00872F1D">
        <w:rPr>
          <w:rFonts w:ascii="Times New Roman" w:hAnsi="Times New Roman" w:cs="Times New Roman"/>
          <w:sz w:val="24"/>
        </w:rPr>
        <w:t>. D</w:t>
      </w:r>
      <w:r w:rsidRPr="00E10BE6">
        <w:rPr>
          <w:rFonts w:ascii="Times New Roman" w:hAnsi="Times New Roman" w:cs="Times New Roman"/>
          <w:sz w:val="24"/>
        </w:rPr>
        <w:t xml:space="preserve">o této svobody nesmí zasahovat třetí osoby ani veřejná moc. </w:t>
      </w:r>
      <w:r w:rsidRPr="00E10BE6">
        <w:rPr>
          <w:rFonts w:ascii="Times New Roman" w:hAnsi="Times New Roman" w:cs="Times New Roman"/>
          <w:i/>
          <w:sz w:val="24"/>
        </w:rPr>
        <w:t>Forum externum</w:t>
      </w:r>
      <w:r w:rsidRPr="00E10BE6">
        <w:rPr>
          <w:rFonts w:ascii="Times New Roman" w:hAnsi="Times New Roman" w:cs="Times New Roman"/>
          <w:sz w:val="24"/>
        </w:rPr>
        <w:t xml:space="preserve"> představuje právo projevovat toto přesvědčení navenek.</w:t>
      </w:r>
      <w:r w:rsidRPr="00E10BE6">
        <w:rPr>
          <w:rStyle w:val="Znakapoznpodarou"/>
          <w:rFonts w:ascii="Times New Roman" w:hAnsi="Times New Roman" w:cs="Times New Roman"/>
          <w:sz w:val="24"/>
        </w:rPr>
        <w:footnoteReference w:id="3"/>
      </w:r>
      <w:r w:rsidRPr="00E10BE6">
        <w:rPr>
          <w:rFonts w:ascii="Times New Roman" w:hAnsi="Times New Roman" w:cs="Times New Roman"/>
          <w:sz w:val="24"/>
        </w:rPr>
        <w:t xml:space="preserve"> </w:t>
      </w:r>
    </w:p>
    <w:p w14:paraId="004DCCF7" w14:textId="7058800D" w:rsidR="00B31511" w:rsidRPr="00E10BE6" w:rsidRDefault="00AB265F" w:rsidP="006C6EE1">
      <w:pPr>
        <w:spacing w:after="0" w:line="360" w:lineRule="auto"/>
        <w:ind w:firstLine="357"/>
        <w:jc w:val="both"/>
        <w:rPr>
          <w:rFonts w:ascii="Times New Roman" w:hAnsi="Times New Roman" w:cs="Times New Roman"/>
          <w:i/>
          <w:sz w:val="24"/>
        </w:rPr>
      </w:pPr>
      <w:r w:rsidRPr="00E10BE6">
        <w:rPr>
          <w:rFonts w:ascii="Times New Roman" w:hAnsi="Times New Roman" w:cs="Times New Roman"/>
          <w:sz w:val="24"/>
        </w:rPr>
        <w:t>Jak vy</w:t>
      </w:r>
      <w:r w:rsidR="004749DB" w:rsidRPr="00E10BE6">
        <w:rPr>
          <w:rFonts w:ascii="Times New Roman" w:hAnsi="Times New Roman" w:cs="Times New Roman"/>
          <w:sz w:val="24"/>
        </w:rPr>
        <w:t xml:space="preserve">plývá ze zákazu zásahu do </w:t>
      </w:r>
      <w:r w:rsidR="004749DB" w:rsidRPr="00882895">
        <w:rPr>
          <w:rFonts w:ascii="Times New Roman" w:hAnsi="Times New Roman" w:cs="Times New Roman"/>
          <w:i/>
          <w:sz w:val="24"/>
        </w:rPr>
        <w:t>fori interni</w:t>
      </w:r>
      <w:r w:rsidRPr="00882895">
        <w:rPr>
          <w:rFonts w:ascii="Times New Roman" w:hAnsi="Times New Roman" w:cs="Times New Roman"/>
          <w:sz w:val="24"/>
        </w:rPr>
        <w:t>,</w:t>
      </w:r>
      <w:r w:rsidRPr="00E10BE6">
        <w:rPr>
          <w:rFonts w:ascii="Times New Roman" w:hAnsi="Times New Roman" w:cs="Times New Roman"/>
          <w:sz w:val="24"/>
        </w:rPr>
        <w:t xml:space="preserve"> svoboda </w:t>
      </w:r>
      <w:r w:rsidR="00AF278F" w:rsidRPr="00E10BE6">
        <w:rPr>
          <w:rFonts w:ascii="Times New Roman" w:hAnsi="Times New Roman" w:cs="Times New Roman"/>
          <w:sz w:val="24"/>
        </w:rPr>
        <w:t xml:space="preserve">náboženského </w:t>
      </w:r>
      <w:r w:rsidRPr="00E10BE6">
        <w:rPr>
          <w:rFonts w:ascii="Times New Roman" w:hAnsi="Times New Roman" w:cs="Times New Roman"/>
          <w:sz w:val="24"/>
        </w:rPr>
        <w:t xml:space="preserve">vyznání je právem absolutním. Absolutní povahu svobody vyznání konstatoval i Ústavní soud, </w:t>
      </w:r>
      <w:r w:rsidRPr="00E10BE6">
        <w:rPr>
          <w:rFonts w:ascii="Times New Roman" w:hAnsi="Times New Roman" w:cs="Times New Roman"/>
          <w:i/>
          <w:sz w:val="24"/>
        </w:rPr>
        <w:t>„Ústavní soud při projednávání předmětné otázky vycházel z us</w:t>
      </w:r>
      <w:r w:rsidR="00882895">
        <w:rPr>
          <w:rFonts w:ascii="Times New Roman" w:hAnsi="Times New Roman" w:cs="Times New Roman"/>
          <w:i/>
          <w:sz w:val="24"/>
        </w:rPr>
        <w:t>tanovení</w:t>
      </w:r>
      <w:r w:rsidRPr="00E10BE6">
        <w:rPr>
          <w:rFonts w:ascii="Times New Roman" w:hAnsi="Times New Roman" w:cs="Times New Roman"/>
          <w:i/>
          <w:sz w:val="24"/>
        </w:rPr>
        <w:t xml:space="preserve">. čl. 15 odst. 1 Listiny, které každému zaručuje svobodu myšlení, svědomí a náboženského vyznání včetně práva každého změnit své náboženství nebo víru, popřípadě být bez náboženského vyznání. Tato práva mají absolutní charakter v tom smyslu, že nikdo nemůže být podroben takovému opatření, jehož cílem je změna procesu a způsobu myšlení, nikoho nelze nutit, aby změnil svoje myšlení, náboženské vyznání nebo víru. Při jejich ochraně se jedná o respektování </w:t>
      </w:r>
      <w:r w:rsidR="00B01A12">
        <w:rPr>
          <w:rFonts w:ascii="Times New Roman" w:hAnsi="Times New Roman" w:cs="Times New Roman"/>
          <w:i/>
          <w:sz w:val="24"/>
        </w:rPr>
        <w:t>‚</w:t>
      </w:r>
      <w:r w:rsidRPr="00E10BE6">
        <w:rPr>
          <w:rFonts w:ascii="Times New Roman" w:hAnsi="Times New Roman" w:cs="Times New Roman"/>
          <w:i/>
          <w:sz w:val="24"/>
        </w:rPr>
        <w:t>vnitřního</w:t>
      </w:r>
      <w:r w:rsidR="00B01A12">
        <w:rPr>
          <w:rFonts w:ascii="Times New Roman" w:hAnsi="Times New Roman" w:cs="Times New Roman"/>
          <w:i/>
          <w:sz w:val="24"/>
        </w:rPr>
        <w:t>‘</w:t>
      </w:r>
      <w:r w:rsidRPr="00E10BE6">
        <w:rPr>
          <w:rFonts w:ascii="Times New Roman" w:hAnsi="Times New Roman" w:cs="Times New Roman"/>
          <w:i/>
          <w:sz w:val="24"/>
        </w:rPr>
        <w:t xml:space="preserve"> rozměru těchto práv, který vylučuje jakýkoliv nátlak nebo ovlivňování myšlení, svědomí a náboženského vyznání. Tato práva v důsledku jejich absolutního charakteru není proto možné omezovat zákonem.“</w:t>
      </w:r>
      <w:r w:rsidR="00AF278F" w:rsidRPr="00E10BE6">
        <w:rPr>
          <w:rFonts w:ascii="Times New Roman" w:hAnsi="Times New Roman" w:cs="Times New Roman"/>
          <w:i/>
          <w:sz w:val="24"/>
        </w:rPr>
        <w:t xml:space="preserve"> </w:t>
      </w:r>
      <w:r w:rsidRPr="00E10BE6">
        <w:rPr>
          <w:rStyle w:val="Znakapoznpodarou"/>
          <w:rFonts w:ascii="Times New Roman" w:hAnsi="Times New Roman" w:cs="Times New Roman"/>
          <w:i/>
          <w:sz w:val="24"/>
        </w:rPr>
        <w:footnoteReference w:id="4"/>
      </w:r>
    </w:p>
    <w:p w14:paraId="73401567" w14:textId="4A0375E0" w:rsidR="004749DB" w:rsidRPr="00E10BE6" w:rsidRDefault="004749DB" w:rsidP="006C6EE1">
      <w:pPr>
        <w:spacing w:after="0" w:line="360" w:lineRule="auto"/>
        <w:ind w:firstLine="357"/>
        <w:jc w:val="both"/>
        <w:rPr>
          <w:rFonts w:ascii="Times New Roman" w:hAnsi="Times New Roman" w:cs="Times New Roman"/>
          <w:sz w:val="24"/>
        </w:rPr>
      </w:pPr>
      <w:r w:rsidRPr="00E10BE6">
        <w:rPr>
          <w:rFonts w:ascii="Times New Roman" w:hAnsi="Times New Roman" w:cs="Times New Roman"/>
          <w:sz w:val="24"/>
        </w:rPr>
        <w:t>Mi</w:t>
      </w:r>
      <w:r w:rsidR="00AF278F" w:rsidRPr="00E10BE6">
        <w:rPr>
          <w:rFonts w:ascii="Times New Roman" w:hAnsi="Times New Roman" w:cs="Times New Roman"/>
          <w:sz w:val="24"/>
        </w:rPr>
        <w:t xml:space="preserve">chal Bobek vysvětluje rozlišování mezi </w:t>
      </w:r>
      <w:r w:rsidR="00AF278F" w:rsidRPr="00882895">
        <w:rPr>
          <w:rFonts w:ascii="Times New Roman" w:hAnsi="Times New Roman" w:cs="Times New Roman"/>
          <w:sz w:val="24"/>
        </w:rPr>
        <w:t xml:space="preserve">pojmy </w:t>
      </w:r>
      <w:r w:rsidRPr="00882895">
        <w:rPr>
          <w:rFonts w:ascii="Times New Roman" w:hAnsi="Times New Roman" w:cs="Times New Roman"/>
          <w:i/>
          <w:sz w:val="24"/>
        </w:rPr>
        <w:t>forum internum</w:t>
      </w:r>
      <w:r w:rsidRPr="00882895">
        <w:rPr>
          <w:rFonts w:ascii="Times New Roman" w:hAnsi="Times New Roman" w:cs="Times New Roman"/>
          <w:sz w:val="24"/>
        </w:rPr>
        <w:t xml:space="preserve"> a </w:t>
      </w:r>
      <w:r w:rsidRPr="00882895">
        <w:rPr>
          <w:rFonts w:ascii="Times New Roman" w:hAnsi="Times New Roman" w:cs="Times New Roman"/>
          <w:i/>
          <w:sz w:val="24"/>
        </w:rPr>
        <w:t>externum</w:t>
      </w:r>
      <w:r w:rsidRPr="00E10BE6">
        <w:rPr>
          <w:rFonts w:ascii="Times New Roman" w:hAnsi="Times New Roman" w:cs="Times New Roman"/>
          <w:sz w:val="24"/>
        </w:rPr>
        <w:t xml:space="preserve"> jako oblasti vnitřního a vnějšího fóra jedince na příkladu šnečí ulity. Pokud je jedinec ve své ulitě, jedná se o vnitřní fórum jedince (</w:t>
      </w:r>
      <w:r w:rsidRPr="000F7357">
        <w:rPr>
          <w:rFonts w:ascii="Times New Roman" w:hAnsi="Times New Roman" w:cs="Times New Roman"/>
          <w:i/>
          <w:sz w:val="24"/>
        </w:rPr>
        <w:t>forum internum</w:t>
      </w:r>
      <w:r w:rsidRPr="00E10BE6">
        <w:rPr>
          <w:rFonts w:ascii="Times New Roman" w:hAnsi="Times New Roman" w:cs="Times New Roman"/>
          <w:sz w:val="24"/>
        </w:rPr>
        <w:t>)</w:t>
      </w:r>
      <w:r w:rsidR="00B01A12">
        <w:rPr>
          <w:rFonts w:ascii="Times New Roman" w:hAnsi="Times New Roman" w:cs="Times New Roman"/>
          <w:sz w:val="24"/>
        </w:rPr>
        <w:t>,</w:t>
      </w:r>
      <w:r w:rsidRPr="00E10BE6">
        <w:rPr>
          <w:rFonts w:ascii="Times New Roman" w:hAnsi="Times New Roman" w:cs="Times New Roman"/>
          <w:sz w:val="24"/>
        </w:rPr>
        <w:t xml:space="preserve"> a stát nemůže vstupovat do této oblasti jedince, ani ho nutit, aby tuto svoji ulitu opustil. Ve chvíli, kdy jedinec tuto svou ulitu opustí, vstupuje do vnějšího fóra (</w:t>
      </w:r>
      <w:r w:rsidRPr="000F7357">
        <w:rPr>
          <w:rFonts w:ascii="Times New Roman" w:hAnsi="Times New Roman" w:cs="Times New Roman"/>
          <w:i/>
          <w:sz w:val="24"/>
        </w:rPr>
        <w:t>forum externum</w:t>
      </w:r>
      <w:r w:rsidRPr="00E10BE6">
        <w:rPr>
          <w:rFonts w:ascii="Times New Roman" w:hAnsi="Times New Roman" w:cs="Times New Roman"/>
          <w:sz w:val="24"/>
        </w:rPr>
        <w:t>), kde je možné tuto svobodu za určitých okolností omezit.</w:t>
      </w:r>
      <w:r w:rsidRPr="00E10BE6">
        <w:rPr>
          <w:rStyle w:val="Znakapoznpodarou"/>
          <w:rFonts w:ascii="Times New Roman" w:hAnsi="Times New Roman" w:cs="Times New Roman"/>
          <w:sz w:val="24"/>
        </w:rPr>
        <w:footnoteReference w:id="5"/>
      </w:r>
    </w:p>
    <w:p w14:paraId="12317699" w14:textId="0057BE3F" w:rsidR="00D33C09" w:rsidRPr="00E10BE6" w:rsidRDefault="004749DB" w:rsidP="00D33C09">
      <w:pPr>
        <w:spacing w:after="0" w:line="360" w:lineRule="auto"/>
        <w:ind w:firstLine="357"/>
        <w:jc w:val="both"/>
        <w:rPr>
          <w:rFonts w:ascii="Times New Roman" w:hAnsi="Times New Roman" w:cs="Times New Roman"/>
          <w:sz w:val="24"/>
          <w:szCs w:val="24"/>
        </w:rPr>
      </w:pPr>
      <w:r w:rsidRPr="00E10BE6">
        <w:rPr>
          <w:rFonts w:ascii="Times New Roman" w:hAnsi="Times New Roman" w:cs="Times New Roman"/>
          <w:sz w:val="24"/>
          <w:szCs w:val="24"/>
        </w:rPr>
        <w:t xml:space="preserve">Vnější a vnitřní fórum jedince rozlišuje také </w:t>
      </w:r>
      <w:r w:rsidR="00700448" w:rsidRPr="00E10BE6">
        <w:rPr>
          <w:rFonts w:ascii="Times New Roman" w:hAnsi="Times New Roman" w:cs="Times New Roman"/>
          <w:sz w:val="24"/>
          <w:szCs w:val="24"/>
        </w:rPr>
        <w:t>Soud</w:t>
      </w:r>
      <w:r w:rsidRPr="00E10BE6">
        <w:rPr>
          <w:rFonts w:ascii="Times New Roman" w:hAnsi="Times New Roman" w:cs="Times New Roman"/>
          <w:sz w:val="24"/>
          <w:szCs w:val="24"/>
        </w:rPr>
        <w:t>.</w:t>
      </w:r>
      <w:r w:rsidR="00700448" w:rsidRPr="00E10BE6">
        <w:rPr>
          <w:rFonts w:ascii="Times New Roman" w:hAnsi="Times New Roman" w:cs="Times New Roman"/>
          <w:sz w:val="24"/>
          <w:szCs w:val="24"/>
        </w:rPr>
        <w:t xml:space="preserve"> Za porušení svobody vyznání Soud považuje </w:t>
      </w:r>
      <w:r w:rsidRPr="00E10BE6">
        <w:rPr>
          <w:rFonts w:ascii="Times New Roman" w:hAnsi="Times New Roman" w:cs="Times New Roman"/>
          <w:sz w:val="24"/>
          <w:szCs w:val="24"/>
        </w:rPr>
        <w:t xml:space="preserve">například stanovení povinnosti uvádět náboženské vyznání na občanském průkazu. </w:t>
      </w:r>
      <w:r w:rsidRPr="00E10BE6">
        <w:rPr>
          <w:rFonts w:ascii="Times New Roman" w:hAnsi="Times New Roman" w:cs="Times New Roman"/>
          <w:sz w:val="24"/>
          <w:szCs w:val="24"/>
        </w:rPr>
        <w:lastRenderedPageBreak/>
        <w:t xml:space="preserve">Podle </w:t>
      </w:r>
      <w:r w:rsidR="000F7357">
        <w:rPr>
          <w:rFonts w:ascii="Times New Roman" w:hAnsi="Times New Roman" w:cs="Times New Roman"/>
          <w:sz w:val="24"/>
          <w:szCs w:val="24"/>
        </w:rPr>
        <w:t>Soudu</w:t>
      </w:r>
      <w:r w:rsidRPr="00E10BE6">
        <w:rPr>
          <w:rFonts w:ascii="Times New Roman" w:hAnsi="Times New Roman" w:cs="Times New Roman"/>
          <w:sz w:val="24"/>
          <w:szCs w:val="24"/>
        </w:rPr>
        <w:t xml:space="preserve"> stát v takovém případě nutí jedince vyjevit své vnitřní přesvědčení, což je v rozporu s právem neprojevovat své náboženství či víru, které tvoří nedílnou součást náboženské svobody.</w:t>
      </w:r>
      <w:r w:rsidRPr="00E10BE6">
        <w:rPr>
          <w:rStyle w:val="Znakapoznpodarou"/>
          <w:rFonts w:ascii="Times New Roman" w:hAnsi="Times New Roman" w:cs="Times New Roman"/>
          <w:sz w:val="24"/>
          <w:szCs w:val="24"/>
        </w:rPr>
        <w:footnoteReference w:id="6"/>
      </w:r>
      <w:r w:rsidRPr="00E10BE6">
        <w:rPr>
          <w:rFonts w:ascii="Times New Roman" w:hAnsi="Times New Roman" w:cs="Times New Roman"/>
          <w:sz w:val="24"/>
          <w:szCs w:val="24"/>
        </w:rPr>
        <w:t xml:space="preserve"> </w:t>
      </w:r>
    </w:p>
    <w:p w14:paraId="28602387" w14:textId="61C788D8" w:rsidR="004749DB" w:rsidRPr="00E10BE6" w:rsidRDefault="00AF278F" w:rsidP="00FA5590">
      <w:pPr>
        <w:pStyle w:val="Nadpis2"/>
        <w:rPr>
          <w:rFonts w:cs="Times New Roman"/>
        </w:rPr>
      </w:pPr>
      <w:bookmarkStart w:id="13" w:name="_Toc536289136"/>
      <w:bookmarkStart w:id="14" w:name="_Toc169293"/>
      <w:bookmarkStart w:id="15" w:name="_Toc3454694"/>
      <w:r w:rsidRPr="00E10BE6">
        <w:rPr>
          <w:rFonts w:cs="Times New Roman"/>
        </w:rPr>
        <w:t>Zakotvení svobody náboženského vyznání</w:t>
      </w:r>
      <w:bookmarkEnd w:id="13"/>
      <w:bookmarkEnd w:id="14"/>
      <w:bookmarkEnd w:id="15"/>
    </w:p>
    <w:p w14:paraId="284F4C0E" w14:textId="0C703C5C" w:rsidR="00C472B5" w:rsidRPr="00E10BE6" w:rsidRDefault="00D52A38" w:rsidP="00D33C09">
      <w:pPr>
        <w:spacing w:line="360" w:lineRule="auto"/>
        <w:ind w:firstLine="578"/>
        <w:jc w:val="both"/>
        <w:rPr>
          <w:rFonts w:ascii="Times New Roman" w:hAnsi="Times New Roman" w:cs="Times New Roman"/>
          <w:sz w:val="24"/>
          <w:szCs w:val="24"/>
        </w:rPr>
      </w:pPr>
      <w:r w:rsidRPr="00B01A12">
        <w:rPr>
          <w:rFonts w:ascii="Times New Roman" w:hAnsi="Times New Roman" w:cs="Times New Roman"/>
          <w:sz w:val="24"/>
        </w:rPr>
        <w:t>V první části této kapitoly jsem vysvětlila, co je to svoboda vyznání a jaké jsou její aspekty. V </w:t>
      </w:r>
      <w:r w:rsidRPr="000F7357">
        <w:rPr>
          <w:rFonts w:ascii="Times New Roman" w:hAnsi="Times New Roman" w:cs="Times New Roman"/>
          <w:sz w:val="24"/>
        </w:rPr>
        <w:t xml:space="preserve">této </w:t>
      </w:r>
      <w:r w:rsidR="00B01A12" w:rsidRPr="000F7357">
        <w:rPr>
          <w:rFonts w:ascii="Times New Roman" w:hAnsi="Times New Roman" w:cs="Times New Roman"/>
          <w:sz w:val="24"/>
        </w:rPr>
        <w:t xml:space="preserve">části </w:t>
      </w:r>
      <w:r w:rsidRPr="00B01A12">
        <w:rPr>
          <w:rFonts w:ascii="Times New Roman" w:hAnsi="Times New Roman" w:cs="Times New Roman"/>
          <w:sz w:val="24"/>
        </w:rPr>
        <w:t xml:space="preserve">se budu zabývat dokumenty, které tuto svobodu zaručují, a to jak na úrovni mezinárodní, tak i v českém právním řádu. Právě s ohledem na téma </w:t>
      </w:r>
      <w:r w:rsidRPr="000F7357">
        <w:rPr>
          <w:rFonts w:ascii="Times New Roman" w:hAnsi="Times New Roman" w:cs="Times New Roman"/>
          <w:sz w:val="24"/>
        </w:rPr>
        <w:t>mé</w:t>
      </w:r>
      <w:r w:rsidRPr="00B01A12">
        <w:rPr>
          <w:rFonts w:ascii="Times New Roman" w:hAnsi="Times New Roman" w:cs="Times New Roman"/>
          <w:color w:val="FF0000"/>
          <w:sz w:val="24"/>
        </w:rPr>
        <w:t xml:space="preserve"> </w:t>
      </w:r>
      <w:r w:rsidRPr="00B01A12">
        <w:rPr>
          <w:rFonts w:ascii="Times New Roman" w:hAnsi="Times New Roman" w:cs="Times New Roman"/>
          <w:sz w:val="24"/>
        </w:rPr>
        <w:t>práce je nutné zabývat se zakotvením svobody vyznání nejenom na národní úrovni</w:t>
      </w:r>
      <w:r w:rsidR="00B01A12">
        <w:rPr>
          <w:rFonts w:ascii="Times New Roman" w:hAnsi="Times New Roman" w:cs="Times New Roman"/>
          <w:sz w:val="24"/>
        </w:rPr>
        <w:t>,</w:t>
      </w:r>
      <w:r w:rsidRPr="00B01A12">
        <w:rPr>
          <w:rFonts w:ascii="Times New Roman" w:hAnsi="Times New Roman" w:cs="Times New Roman"/>
          <w:sz w:val="24"/>
        </w:rPr>
        <w:t xml:space="preserve"> ale</w:t>
      </w:r>
      <w:r w:rsidR="00411C39" w:rsidRPr="00B01A12">
        <w:rPr>
          <w:rFonts w:ascii="Times New Roman" w:hAnsi="Times New Roman" w:cs="Times New Roman"/>
          <w:sz w:val="24"/>
        </w:rPr>
        <w:t xml:space="preserve"> </w:t>
      </w:r>
      <w:r w:rsidR="000F7357">
        <w:rPr>
          <w:rFonts w:ascii="Times New Roman" w:hAnsi="Times New Roman" w:cs="Times New Roman"/>
          <w:sz w:val="24"/>
        </w:rPr>
        <w:t>zejména</w:t>
      </w:r>
      <w:r w:rsidR="00411C39" w:rsidRPr="00B01A12">
        <w:rPr>
          <w:rFonts w:ascii="Times New Roman" w:hAnsi="Times New Roman" w:cs="Times New Roman"/>
          <w:color w:val="FF0000"/>
          <w:sz w:val="24"/>
        </w:rPr>
        <w:t xml:space="preserve"> </w:t>
      </w:r>
      <w:r w:rsidR="00411C39" w:rsidRPr="00B01A12">
        <w:rPr>
          <w:rFonts w:ascii="Times New Roman" w:hAnsi="Times New Roman" w:cs="Times New Roman"/>
          <w:sz w:val="24"/>
        </w:rPr>
        <w:t>i na úrovni mezinárodní.</w:t>
      </w:r>
    </w:p>
    <w:p w14:paraId="33D1B9F6" w14:textId="4DFDECA9" w:rsidR="004749DB" w:rsidRPr="00E10BE6" w:rsidRDefault="001818A8" w:rsidP="002075DE">
      <w:pPr>
        <w:pStyle w:val="Nadpis3"/>
        <w:jc w:val="both"/>
        <w:rPr>
          <w:rFonts w:cs="Times New Roman"/>
        </w:rPr>
      </w:pPr>
      <w:bookmarkStart w:id="16" w:name="_Toc536289137"/>
      <w:bookmarkStart w:id="17" w:name="_Toc169294"/>
      <w:bookmarkStart w:id="18" w:name="_Toc3454695"/>
      <w:r w:rsidRPr="00E10BE6">
        <w:rPr>
          <w:rFonts w:cs="Times New Roman"/>
        </w:rPr>
        <w:t>Univerzální ochrana svobody vyznání</w:t>
      </w:r>
      <w:bookmarkEnd w:id="16"/>
      <w:bookmarkEnd w:id="17"/>
      <w:bookmarkEnd w:id="18"/>
    </w:p>
    <w:p w14:paraId="2B2BC8A7" w14:textId="70685DC0" w:rsidR="0080088E" w:rsidRPr="00E10BE6" w:rsidRDefault="00F504EC" w:rsidP="00BA0F1F">
      <w:pPr>
        <w:spacing w:after="0" w:line="360" w:lineRule="auto"/>
        <w:ind w:firstLine="709"/>
        <w:jc w:val="both"/>
        <w:rPr>
          <w:rFonts w:ascii="Times New Roman" w:hAnsi="Times New Roman" w:cs="Times New Roman"/>
          <w:sz w:val="24"/>
          <w:szCs w:val="24"/>
        </w:rPr>
      </w:pPr>
      <w:r w:rsidRPr="00E10BE6">
        <w:rPr>
          <w:rFonts w:ascii="Times New Roman" w:hAnsi="Times New Roman" w:cs="Times New Roman"/>
          <w:sz w:val="24"/>
          <w:szCs w:val="24"/>
        </w:rPr>
        <w:t>Důležitým obdobím pro právo na svobodu vyznání</w:t>
      </w:r>
      <w:r w:rsidR="00B01A12">
        <w:rPr>
          <w:rFonts w:ascii="Times New Roman" w:hAnsi="Times New Roman" w:cs="Times New Roman"/>
          <w:sz w:val="24"/>
          <w:szCs w:val="24"/>
        </w:rPr>
        <w:t xml:space="preserve">, </w:t>
      </w:r>
      <w:r w:rsidRPr="00E10BE6">
        <w:rPr>
          <w:rFonts w:ascii="Times New Roman" w:hAnsi="Times New Roman" w:cs="Times New Roman"/>
          <w:sz w:val="24"/>
          <w:szCs w:val="24"/>
        </w:rPr>
        <w:t xml:space="preserve">jakož i </w:t>
      </w:r>
      <w:r w:rsidR="007F1F1E" w:rsidRPr="00E10BE6">
        <w:rPr>
          <w:rFonts w:ascii="Times New Roman" w:hAnsi="Times New Roman" w:cs="Times New Roman"/>
          <w:sz w:val="24"/>
          <w:szCs w:val="24"/>
        </w:rPr>
        <w:t>pro</w:t>
      </w:r>
      <w:r w:rsidRPr="00E10BE6">
        <w:rPr>
          <w:rFonts w:ascii="Times New Roman" w:hAnsi="Times New Roman" w:cs="Times New Roman"/>
          <w:sz w:val="24"/>
          <w:szCs w:val="24"/>
        </w:rPr>
        <w:t xml:space="preserve"> lidská práva obecně, bylo období po druhé světové válce. </w:t>
      </w:r>
      <w:r w:rsidR="00F85909" w:rsidRPr="00E10BE6">
        <w:rPr>
          <w:rFonts w:ascii="Times New Roman" w:hAnsi="Times New Roman" w:cs="Times New Roman"/>
          <w:sz w:val="24"/>
          <w:szCs w:val="24"/>
        </w:rPr>
        <w:t xml:space="preserve">Právě v reakci na činy páchané během </w:t>
      </w:r>
      <w:r w:rsidR="004C01E5" w:rsidRPr="00E10BE6">
        <w:rPr>
          <w:rFonts w:ascii="Times New Roman" w:hAnsi="Times New Roman" w:cs="Times New Roman"/>
          <w:sz w:val="24"/>
          <w:szCs w:val="24"/>
        </w:rPr>
        <w:t>této</w:t>
      </w:r>
      <w:r w:rsidR="00B01A12">
        <w:rPr>
          <w:rFonts w:ascii="Times New Roman" w:hAnsi="Times New Roman" w:cs="Times New Roman"/>
          <w:sz w:val="24"/>
          <w:szCs w:val="24"/>
        </w:rPr>
        <w:t xml:space="preserve"> </w:t>
      </w:r>
      <w:r w:rsidR="00F85909" w:rsidRPr="00E10BE6">
        <w:rPr>
          <w:rFonts w:ascii="Times New Roman" w:hAnsi="Times New Roman" w:cs="Times New Roman"/>
          <w:sz w:val="24"/>
          <w:szCs w:val="24"/>
        </w:rPr>
        <w:t xml:space="preserve">války byla přijata Všeobecná deklarace lidských práv. Tuto deklaraci přijalo Valné shromáždění Organizace spojených národů 10. prosince 1948. O významu deklarace v dnešní době vypovídá fakt, že </w:t>
      </w:r>
      <w:r w:rsidR="004C01E5" w:rsidRPr="00E10BE6">
        <w:rPr>
          <w:rFonts w:ascii="Times New Roman" w:hAnsi="Times New Roman" w:cs="Times New Roman"/>
          <w:sz w:val="24"/>
          <w:szCs w:val="24"/>
        </w:rPr>
        <w:t>se i dnes</w:t>
      </w:r>
      <w:r w:rsidR="00F85909" w:rsidRPr="00E10BE6">
        <w:rPr>
          <w:rFonts w:ascii="Times New Roman" w:hAnsi="Times New Roman" w:cs="Times New Roman"/>
          <w:sz w:val="24"/>
          <w:szCs w:val="24"/>
        </w:rPr>
        <w:t xml:space="preserve"> celosvětově </w:t>
      </w:r>
      <w:r w:rsidR="004C01E5" w:rsidRPr="00E10BE6">
        <w:rPr>
          <w:rFonts w:ascii="Times New Roman" w:hAnsi="Times New Roman" w:cs="Times New Roman"/>
          <w:sz w:val="24"/>
          <w:szCs w:val="24"/>
        </w:rPr>
        <w:t xml:space="preserve">slaví </w:t>
      </w:r>
      <w:r w:rsidR="00F85909" w:rsidRPr="00E10BE6">
        <w:rPr>
          <w:rFonts w:ascii="Times New Roman" w:hAnsi="Times New Roman" w:cs="Times New Roman"/>
          <w:sz w:val="24"/>
          <w:szCs w:val="24"/>
        </w:rPr>
        <w:t>10. prosinec jako „Den lidských práv“</w:t>
      </w:r>
      <w:r w:rsidR="004C01E5" w:rsidRPr="00E10BE6">
        <w:rPr>
          <w:rFonts w:ascii="Times New Roman" w:hAnsi="Times New Roman" w:cs="Times New Roman"/>
          <w:sz w:val="24"/>
          <w:szCs w:val="24"/>
        </w:rPr>
        <w:t>.</w:t>
      </w:r>
      <w:r w:rsidR="00F85909" w:rsidRPr="00E10BE6">
        <w:rPr>
          <w:rStyle w:val="Znakapoznpodarou"/>
          <w:rFonts w:ascii="Times New Roman" w:hAnsi="Times New Roman" w:cs="Times New Roman"/>
          <w:sz w:val="24"/>
          <w:szCs w:val="24"/>
        </w:rPr>
        <w:footnoteReference w:id="7"/>
      </w:r>
    </w:p>
    <w:p w14:paraId="1D9AC337" w14:textId="20A7A97E" w:rsidR="000E2A3A" w:rsidRPr="00E10BE6" w:rsidRDefault="00E67EB7" w:rsidP="006C6EE1">
      <w:pPr>
        <w:spacing w:after="0" w:line="360" w:lineRule="auto"/>
        <w:ind w:firstLine="709"/>
        <w:jc w:val="both"/>
        <w:rPr>
          <w:rFonts w:ascii="Times New Roman" w:hAnsi="Times New Roman" w:cs="Times New Roman"/>
          <w:sz w:val="24"/>
          <w:szCs w:val="24"/>
        </w:rPr>
      </w:pPr>
      <w:r w:rsidRPr="00E10BE6">
        <w:rPr>
          <w:rFonts w:ascii="Times New Roman" w:hAnsi="Times New Roman" w:cs="Times New Roman"/>
          <w:sz w:val="24"/>
          <w:szCs w:val="24"/>
        </w:rPr>
        <w:t xml:space="preserve">Všeobecná deklarace lidských práv je prvním mezinárodním dokumentem, který přiznává práva všem lidem. Ačkoli deklarace není právně závazná, hraje důležitou roli v oblasti lidských práv. </w:t>
      </w:r>
      <w:r w:rsidR="00272059" w:rsidRPr="00E10BE6">
        <w:rPr>
          <w:rFonts w:ascii="Times New Roman" w:hAnsi="Times New Roman" w:cs="Times New Roman"/>
          <w:sz w:val="24"/>
          <w:szCs w:val="24"/>
        </w:rPr>
        <w:t>V</w:t>
      </w:r>
      <w:r w:rsidR="005D3606" w:rsidRPr="00E10BE6">
        <w:rPr>
          <w:rFonts w:ascii="Times New Roman" w:hAnsi="Times New Roman" w:cs="Times New Roman"/>
          <w:sz w:val="24"/>
          <w:szCs w:val="24"/>
        </w:rPr>
        <w:t>ytvořila</w:t>
      </w:r>
      <w:r w:rsidR="000E2A3A" w:rsidRPr="00E10BE6">
        <w:rPr>
          <w:rFonts w:ascii="Times New Roman" w:hAnsi="Times New Roman" w:cs="Times New Roman"/>
          <w:sz w:val="24"/>
          <w:szCs w:val="24"/>
        </w:rPr>
        <w:t xml:space="preserve"> první</w:t>
      </w:r>
      <w:r w:rsidR="005D3606" w:rsidRPr="00E10BE6">
        <w:rPr>
          <w:rFonts w:ascii="Times New Roman" w:hAnsi="Times New Roman" w:cs="Times New Roman"/>
          <w:sz w:val="24"/>
          <w:szCs w:val="24"/>
        </w:rPr>
        <w:t xml:space="preserve"> katalog občanských, politických, ekonomických, sociálních a</w:t>
      </w:r>
      <w:r w:rsidR="00B01A12">
        <w:rPr>
          <w:rFonts w:ascii="Times New Roman" w:hAnsi="Times New Roman" w:cs="Times New Roman"/>
          <w:sz w:val="24"/>
          <w:szCs w:val="24"/>
        </w:rPr>
        <w:t> </w:t>
      </w:r>
      <w:r w:rsidR="005D3606" w:rsidRPr="00E10BE6">
        <w:rPr>
          <w:rFonts w:ascii="Times New Roman" w:hAnsi="Times New Roman" w:cs="Times New Roman"/>
          <w:sz w:val="24"/>
          <w:szCs w:val="24"/>
        </w:rPr>
        <w:t>hospodářských práv.</w:t>
      </w:r>
      <w:r w:rsidR="000E2A3A" w:rsidRPr="00E10BE6">
        <w:rPr>
          <w:rStyle w:val="Znakapoznpodarou"/>
          <w:rFonts w:ascii="Times New Roman" w:hAnsi="Times New Roman" w:cs="Times New Roman"/>
          <w:sz w:val="24"/>
          <w:szCs w:val="24"/>
        </w:rPr>
        <w:footnoteReference w:id="8"/>
      </w:r>
      <w:r w:rsidR="005D3606" w:rsidRPr="00E10BE6">
        <w:rPr>
          <w:rFonts w:ascii="Times New Roman" w:hAnsi="Times New Roman" w:cs="Times New Roman"/>
          <w:sz w:val="24"/>
          <w:szCs w:val="24"/>
        </w:rPr>
        <w:t xml:space="preserve"> </w:t>
      </w:r>
      <w:r w:rsidR="000E2A3A" w:rsidRPr="00E10BE6">
        <w:rPr>
          <w:rFonts w:ascii="Times New Roman" w:hAnsi="Times New Roman" w:cs="Times New Roman"/>
          <w:sz w:val="24"/>
          <w:szCs w:val="24"/>
        </w:rPr>
        <w:t>Na jejím základě jsou vytvořeny další dokumenty OSN, které dále rozvíjejí jednotlivá práva zakotvená v</w:t>
      </w:r>
      <w:r w:rsidR="00272059" w:rsidRPr="00E10BE6">
        <w:rPr>
          <w:rFonts w:ascii="Times New Roman" w:hAnsi="Times New Roman" w:cs="Times New Roman"/>
          <w:sz w:val="24"/>
          <w:szCs w:val="24"/>
        </w:rPr>
        <w:t> </w:t>
      </w:r>
      <w:r w:rsidR="000E2A3A" w:rsidRPr="00E10BE6">
        <w:rPr>
          <w:rFonts w:ascii="Times New Roman" w:hAnsi="Times New Roman" w:cs="Times New Roman"/>
          <w:sz w:val="24"/>
          <w:szCs w:val="24"/>
        </w:rPr>
        <w:t>deklaraci</w:t>
      </w:r>
      <w:r w:rsidR="00272059" w:rsidRPr="00E10BE6">
        <w:rPr>
          <w:rFonts w:ascii="Times New Roman" w:hAnsi="Times New Roman" w:cs="Times New Roman"/>
          <w:sz w:val="24"/>
          <w:szCs w:val="24"/>
        </w:rPr>
        <w:t>. N</w:t>
      </w:r>
      <w:r w:rsidR="00700448" w:rsidRPr="00E10BE6">
        <w:rPr>
          <w:rFonts w:ascii="Times New Roman" w:hAnsi="Times New Roman" w:cs="Times New Roman"/>
          <w:sz w:val="24"/>
          <w:szCs w:val="24"/>
        </w:rPr>
        <w:t xml:space="preserve">ěkteré z těchto dokumentů byly </w:t>
      </w:r>
      <w:r w:rsidR="00272059" w:rsidRPr="00E10BE6">
        <w:rPr>
          <w:rFonts w:ascii="Times New Roman" w:hAnsi="Times New Roman" w:cs="Times New Roman"/>
          <w:sz w:val="24"/>
          <w:szCs w:val="24"/>
        </w:rPr>
        <w:t xml:space="preserve">přijaty jako dokumenty </w:t>
      </w:r>
      <w:r w:rsidR="000E2A3A" w:rsidRPr="00E10BE6">
        <w:rPr>
          <w:rFonts w:ascii="Times New Roman" w:hAnsi="Times New Roman" w:cs="Times New Roman"/>
          <w:sz w:val="24"/>
          <w:szCs w:val="24"/>
        </w:rPr>
        <w:t>právně závazné</w:t>
      </w:r>
      <w:r w:rsidR="00700448" w:rsidRPr="00E10BE6">
        <w:rPr>
          <w:rFonts w:ascii="Times New Roman" w:hAnsi="Times New Roman" w:cs="Times New Roman"/>
          <w:sz w:val="24"/>
          <w:szCs w:val="24"/>
        </w:rPr>
        <w:t>. Díky těmto dokumentům pak byly</w:t>
      </w:r>
      <w:r w:rsidR="00272059" w:rsidRPr="00E10BE6">
        <w:rPr>
          <w:rFonts w:ascii="Times New Roman" w:hAnsi="Times New Roman" w:cs="Times New Roman"/>
          <w:sz w:val="24"/>
          <w:szCs w:val="24"/>
        </w:rPr>
        <w:t xml:space="preserve"> naplněny snahy o detailní a</w:t>
      </w:r>
      <w:r w:rsidR="00B01A12">
        <w:rPr>
          <w:rFonts w:ascii="Times New Roman" w:hAnsi="Times New Roman" w:cs="Times New Roman"/>
          <w:sz w:val="24"/>
          <w:szCs w:val="24"/>
        </w:rPr>
        <w:t> </w:t>
      </w:r>
      <w:r w:rsidR="00272059" w:rsidRPr="00E10BE6">
        <w:rPr>
          <w:rFonts w:ascii="Times New Roman" w:hAnsi="Times New Roman" w:cs="Times New Roman"/>
          <w:sz w:val="24"/>
          <w:szCs w:val="24"/>
        </w:rPr>
        <w:t xml:space="preserve">právně závazný katalog lidských práv a svobod. </w:t>
      </w:r>
      <w:r w:rsidR="000E2A3A" w:rsidRPr="00E10BE6">
        <w:rPr>
          <w:rFonts w:ascii="Times New Roman" w:hAnsi="Times New Roman" w:cs="Times New Roman"/>
          <w:sz w:val="24"/>
          <w:szCs w:val="24"/>
        </w:rPr>
        <w:t>T</w:t>
      </w:r>
      <w:r w:rsidR="004C01E5" w:rsidRPr="00E10BE6">
        <w:rPr>
          <w:rFonts w:ascii="Times New Roman" w:hAnsi="Times New Roman" w:cs="Times New Roman"/>
          <w:sz w:val="24"/>
          <w:szCs w:val="24"/>
        </w:rPr>
        <w:t xml:space="preserve">ěmito </w:t>
      </w:r>
      <w:r w:rsidR="007F1F1E" w:rsidRPr="00E10BE6">
        <w:rPr>
          <w:rFonts w:ascii="Times New Roman" w:hAnsi="Times New Roman" w:cs="Times New Roman"/>
          <w:sz w:val="24"/>
          <w:szCs w:val="24"/>
        </w:rPr>
        <w:t>dokumenty jsou</w:t>
      </w:r>
      <w:r w:rsidR="000E2A3A" w:rsidRPr="00E10BE6">
        <w:rPr>
          <w:rFonts w:ascii="Times New Roman" w:hAnsi="Times New Roman" w:cs="Times New Roman"/>
          <w:sz w:val="24"/>
          <w:szCs w:val="24"/>
        </w:rPr>
        <w:t xml:space="preserve"> například Mezinárodní pakt o občanských a</w:t>
      </w:r>
      <w:r w:rsidR="003D1170" w:rsidRPr="00E10BE6">
        <w:rPr>
          <w:rFonts w:ascii="Times New Roman" w:hAnsi="Times New Roman" w:cs="Times New Roman"/>
          <w:sz w:val="24"/>
          <w:szCs w:val="24"/>
        </w:rPr>
        <w:t xml:space="preserve"> politických právech</w:t>
      </w:r>
      <w:r w:rsidR="007F1F1E" w:rsidRPr="00E10BE6">
        <w:rPr>
          <w:rFonts w:ascii="Times New Roman" w:hAnsi="Times New Roman" w:cs="Times New Roman"/>
          <w:sz w:val="24"/>
          <w:szCs w:val="24"/>
        </w:rPr>
        <w:t xml:space="preserve"> a Mezinárodní pakt o hospodářských, sociálních a</w:t>
      </w:r>
      <w:r w:rsidR="00B01A12">
        <w:rPr>
          <w:rFonts w:ascii="Times New Roman" w:hAnsi="Times New Roman" w:cs="Times New Roman"/>
          <w:sz w:val="24"/>
          <w:szCs w:val="24"/>
        </w:rPr>
        <w:t> </w:t>
      </w:r>
      <w:r w:rsidR="007F1F1E" w:rsidRPr="00E10BE6">
        <w:rPr>
          <w:rFonts w:ascii="Times New Roman" w:hAnsi="Times New Roman" w:cs="Times New Roman"/>
          <w:sz w:val="24"/>
          <w:szCs w:val="24"/>
        </w:rPr>
        <w:t>kulturních právech</w:t>
      </w:r>
      <w:r w:rsidR="00B01A12">
        <w:rPr>
          <w:rFonts w:ascii="Times New Roman" w:hAnsi="Times New Roman" w:cs="Times New Roman"/>
          <w:sz w:val="24"/>
          <w:szCs w:val="24"/>
        </w:rPr>
        <w:t>,</w:t>
      </w:r>
      <w:r w:rsidR="00285227" w:rsidRPr="00E10BE6">
        <w:rPr>
          <w:rFonts w:ascii="Times New Roman" w:hAnsi="Times New Roman" w:cs="Times New Roman"/>
          <w:sz w:val="24"/>
          <w:szCs w:val="24"/>
        </w:rPr>
        <w:t xml:space="preserve"> oba z roku 1966</w:t>
      </w:r>
      <w:r w:rsidR="000E2A3A" w:rsidRPr="00E10BE6">
        <w:rPr>
          <w:rFonts w:ascii="Times New Roman" w:hAnsi="Times New Roman" w:cs="Times New Roman"/>
          <w:sz w:val="24"/>
          <w:szCs w:val="24"/>
        </w:rPr>
        <w:t>.</w:t>
      </w:r>
      <w:r w:rsidR="00272059" w:rsidRPr="00E10BE6">
        <w:rPr>
          <w:rStyle w:val="Znakapoznpodarou"/>
          <w:rFonts w:ascii="Times New Roman" w:hAnsi="Times New Roman" w:cs="Times New Roman"/>
          <w:sz w:val="24"/>
          <w:szCs w:val="24"/>
        </w:rPr>
        <w:footnoteReference w:id="9"/>
      </w:r>
    </w:p>
    <w:p w14:paraId="2477158B" w14:textId="62274173" w:rsidR="00D33C09" w:rsidRPr="00E10BE6" w:rsidRDefault="00A961D5" w:rsidP="00DA735D">
      <w:pPr>
        <w:spacing w:after="0" w:line="360" w:lineRule="auto"/>
        <w:ind w:firstLine="709"/>
        <w:jc w:val="both"/>
        <w:rPr>
          <w:rFonts w:ascii="Times New Roman" w:hAnsi="Times New Roman" w:cs="Times New Roman"/>
          <w:sz w:val="24"/>
          <w:szCs w:val="24"/>
        </w:rPr>
      </w:pPr>
      <w:r w:rsidRPr="00E10BE6">
        <w:rPr>
          <w:rFonts w:ascii="Times New Roman" w:hAnsi="Times New Roman" w:cs="Times New Roman"/>
          <w:sz w:val="24"/>
          <w:szCs w:val="24"/>
        </w:rPr>
        <w:t>Ve Všeobecné deklaraci je svoboda vyznání upravena v článku 18</w:t>
      </w:r>
      <w:r w:rsidR="005C229A">
        <w:rPr>
          <w:rFonts w:ascii="Times New Roman" w:hAnsi="Times New Roman" w:cs="Times New Roman"/>
          <w:sz w:val="24"/>
          <w:szCs w:val="24"/>
        </w:rPr>
        <w:t xml:space="preserve"> </w:t>
      </w:r>
      <w:r w:rsidR="00173462" w:rsidRPr="00E10BE6">
        <w:rPr>
          <w:rFonts w:ascii="Times New Roman" w:hAnsi="Times New Roman" w:cs="Times New Roman"/>
          <w:sz w:val="24"/>
          <w:szCs w:val="24"/>
        </w:rPr>
        <w:t>spolu s právem na změnu náb</w:t>
      </w:r>
      <w:r w:rsidR="000846D2" w:rsidRPr="00E10BE6">
        <w:rPr>
          <w:rFonts w:ascii="Times New Roman" w:hAnsi="Times New Roman" w:cs="Times New Roman"/>
          <w:sz w:val="24"/>
          <w:szCs w:val="24"/>
        </w:rPr>
        <w:t xml:space="preserve">oženství či s právem </w:t>
      </w:r>
      <w:r w:rsidR="00173462" w:rsidRPr="00E10BE6">
        <w:rPr>
          <w:rFonts w:ascii="Times New Roman" w:hAnsi="Times New Roman" w:cs="Times New Roman"/>
          <w:sz w:val="24"/>
          <w:szCs w:val="24"/>
        </w:rPr>
        <w:t>své náboženství</w:t>
      </w:r>
      <w:r w:rsidR="000846D2" w:rsidRPr="00E10BE6">
        <w:rPr>
          <w:rFonts w:ascii="Times New Roman" w:hAnsi="Times New Roman" w:cs="Times New Roman"/>
          <w:sz w:val="24"/>
          <w:szCs w:val="24"/>
        </w:rPr>
        <w:t xml:space="preserve"> projevovat.</w:t>
      </w:r>
      <w:r w:rsidR="00173462" w:rsidRPr="00E10BE6">
        <w:rPr>
          <w:rStyle w:val="Znakapoznpodarou"/>
          <w:rFonts w:ascii="Times New Roman" w:hAnsi="Times New Roman" w:cs="Times New Roman"/>
          <w:sz w:val="24"/>
          <w:szCs w:val="24"/>
        </w:rPr>
        <w:footnoteReference w:id="10"/>
      </w:r>
      <w:r w:rsidR="000846D2" w:rsidRPr="00E10BE6">
        <w:rPr>
          <w:rFonts w:ascii="Times New Roman" w:hAnsi="Times New Roman" w:cs="Times New Roman"/>
          <w:sz w:val="24"/>
          <w:szCs w:val="24"/>
        </w:rPr>
        <w:t xml:space="preserve"> Dalším důležitým mezinárodním dokumentem je </w:t>
      </w:r>
      <w:r w:rsidR="005367E8" w:rsidRPr="00E10BE6">
        <w:rPr>
          <w:rFonts w:ascii="Times New Roman" w:hAnsi="Times New Roman" w:cs="Times New Roman"/>
          <w:sz w:val="24"/>
          <w:szCs w:val="24"/>
        </w:rPr>
        <w:t>Mezinárodní pakt o občanských a politických pr</w:t>
      </w:r>
      <w:r w:rsidR="004749DB" w:rsidRPr="00E10BE6">
        <w:rPr>
          <w:rFonts w:ascii="Times New Roman" w:hAnsi="Times New Roman" w:cs="Times New Roman"/>
          <w:sz w:val="24"/>
          <w:szCs w:val="24"/>
        </w:rPr>
        <w:t>ávec</w:t>
      </w:r>
      <w:r w:rsidR="004D2A43" w:rsidRPr="00E10BE6">
        <w:rPr>
          <w:rFonts w:ascii="Times New Roman" w:hAnsi="Times New Roman" w:cs="Times New Roman"/>
          <w:sz w:val="24"/>
          <w:szCs w:val="24"/>
        </w:rPr>
        <w:t>h</w:t>
      </w:r>
      <w:r w:rsidR="000846D2" w:rsidRPr="00E10BE6">
        <w:rPr>
          <w:rFonts w:ascii="Times New Roman" w:hAnsi="Times New Roman" w:cs="Times New Roman"/>
          <w:sz w:val="24"/>
          <w:szCs w:val="24"/>
        </w:rPr>
        <w:t xml:space="preserve">, který zavedl </w:t>
      </w:r>
      <w:r w:rsidR="00825299" w:rsidRPr="00E10BE6">
        <w:rPr>
          <w:rFonts w:ascii="Times New Roman" w:hAnsi="Times New Roman" w:cs="Times New Roman"/>
          <w:sz w:val="24"/>
          <w:szCs w:val="24"/>
        </w:rPr>
        <w:t xml:space="preserve">vlastní </w:t>
      </w:r>
      <w:r w:rsidR="00825299" w:rsidRPr="00E10BE6">
        <w:rPr>
          <w:rFonts w:ascii="Times New Roman" w:hAnsi="Times New Roman" w:cs="Times New Roman"/>
          <w:sz w:val="24"/>
          <w:szCs w:val="24"/>
        </w:rPr>
        <w:lastRenderedPageBreak/>
        <w:t xml:space="preserve">kontrolní mechanismus, kterým je Výbor pro lidská práva. </w:t>
      </w:r>
      <w:r w:rsidR="000846D2" w:rsidRPr="00E10BE6">
        <w:rPr>
          <w:rFonts w:ascii="Times New Roman" w:hAnsi="Times New Roman" w:cs="Times New Roman"/>
          <w:sz w:val="24"/>
          <w:szCs w:val="24"/>
        </w:rPr>
        <w:t>Na</w:t>
      </w:r>
      <w:r w:rsidR="00A1441A" w:rsidRPr="00E10BE6">
        <w:rPr>
          <w:rFonts w:ascii="Times New Roman" w:hAnsi="Times New Roman" w:cs="Times New Roman"/>
          <w:sz w:val="24"/>
          <w:szCs w:val="24"/>
        </w:rPr>
        <w:t xml:space="preserve"> Mezinárodní pakt</w:t>
      </w:r>
      <w:r w:rsidR="000846D2" w:rsidRPr="00E10BE6">
        <w:rPr>
          <w:rFonts w:ascii="Times New Roman" w:hAnsi="Times New Roman" w:cs="Times New Roman"/>
          <w:sz w:val="24"/>
          <w:szCs w:val="24"/>
        </w:rPr>
        <w:t xml:space="preserve"> navazující První o</w:t>
      </w:r>
      <w:r w:rsidR="00A1441A" w:rsidRPr="00E10BE6">
        <w:rPr>
          <w:rFonts w:ascii="Times New Roman" w:hAnsi="Times New Roman" w:cs="Times New Roman"/>
          <w:sz w:val="24"/>
          <w:szCs w:val="24"/>
        </w:rPr>
        <w:t xml:space="preserve">pční protokol poté </w:t>
      </w:r>
      <w:r w:rsidR="00825299" w:rsidRPr="00E10BE6">
        <w:rPr>
          <w:rFonts w:ascii="Times New Roman" w:hAnsi="Times New Roman" w:cs="Times New Roman"/>
          <w:sz w:val="24"/>
          <w:szCs w:val="24"/>
        </w:rPr>
        <w:t>zakotvuje právo jednotlivcům podat stížnost k Výboru pro lidská práva, pokud jednotlivci tvrdí</w:t>
      </w:r>
      <w:r w:rsidR="004C01E5" w:rsidRPr="00E10BE6">
        <w:rPr>
          <w:rFonts w:ascii="Times New Roman" w:hAnsi="Times New Roman" w:cs="Times New Roman"/>
          <w:sz w:val="24"/>
          <w:szCs w:val="24"/>
        </w:rPr>
        <w:t>,</w:t>
      </w:r>
      <w:r w:rsidR="00825299" w:rsidRPr="00E10BE6">
        <w:rPr>
          <w:rFonts w:ascii="Times New Roman" w:hAnsi="Times New Roman" w:cs="Times New Roman"/>
          <w:sz w:val="24"/>
          <w:szCs w:val="24"/>
        </w:rPr>
        <w:t xml:space="preserve"> že bylo zasaženo do jejich práv. Česká republika přistoupila </w:t>
      </w:r>
      <w:r w:rsidR="006E6793" w:rsidRPr="00E10BE6">
        <w:rPr>
          <w:rFonts w:ascii="Times New Roman" w:hAnsi="Times New Roman" w:cs="Times New Roman"/>
          <w:sz w:val="24"/>
          <w:szCs w:val="24"/>
        </w:rPr>
        <w:t xml:space="preserve">jak </w:t>
      </w:r>
      <w:r w:rsidR="00825299" w:rsidRPr="00E10BE6">
        <w:rPr>
          <w:rFonts w:ascii="Times New Roman" w:hAnsi="Times New Roman" w:cs="Times New Roman"/>
          <w:sz w:val="24"/>
          <w:szCs w:val="24"/>
        </w:rPr>
        <w:t>k Mezinárodnímu paktu o obč</w:t>
      </w:r>
      <w:r w:rsidR="006E6793" w:rsidRPr="00E10BE6">
        <w:rPr>
          <w:rFonts w:ascii="Times New Roman" w:hAnsi="Times New Roman" w:cs="Times New Roman"/>
          <w:sz w:val="24"/>
          <w:szCs w:val="24"/>
        </w:rPr>
        <w:t>anských a politických právech</w:t>
      </w:r>
      <w:r w:rsidR="004C01E5" w:rsidRPr="00E10BE6">
        <w:rPr>
          <w:rFonts w:ascii="Times New Roman" w:hAnsi="Times New Roman" w:cs="Times New Roman"/>
          <w:sz w:val="24"/>
          <w:szCs w:val="24"/>
        </w:rPr>
        <w:t>,</w:t>
      </w:r>
      <w:r w:rsidR="006E6793" w:rsidRPr="00E10BE6">
        <w:rPr>
          <w:rFonts w:ascii="Times New Roman" w:hAnsi="Times New Roman" w:cs="Times New Roman"/>
          <w:sz w:val="24"/>
          <w:szCs w:val="24"/>
        </w:rPr>
        <w:t xml:space="preserve"> tak k</w:t>
      </w:r>
      <w:r w:rsidR="00A1441A" w:rsidRPr="00E10BE6">
        <w:rPr>
          <w:rFonts w:ascii="Times New Roman" w:hAnsi="Times New Roman" w:cs="Times New Roman"/>
          <w:sz w:val="24"/>
          <w:szCs w:val="24"/>
        </w:rPr>
        <w:t> </w:t>
      </w:r>
      <w:r w:rsidR="006E6793" w:rsidRPr="00E10BE6">
        <w:rPr>
          <w:rFonts w:ascii="Times New Roman" w:hAnsi="Times New Roman" w:cs="Times New Roman"/>
          <w:sz w:val="24"/>
          <w:szCs w:val="24"/>
        </w:rPr>
        <w:t>tomuto</w:t>
      </w:r>
      <w:r w:rsidR="00A1441A" w:rsidRPr="00E10BE6">
        <w:rPr>
          <w:rFonts w:ascii="Times New Roman" w:hAnsi="Times New Roman" w:cs="Times New Roman"/>
          <w:sz w:val="24"/>
          <w:szCs w:val="24"/>
        </w:rPr>
        <w:t xml:space="preserve"> Prvnímu</w:t>
      </w:r>
      <w:r w:rsidR="006E6793" w:rsidRPr="00E10BE6">
        <w:rPr>
          <w:rFonts w:ascii="Times New Roman" w:hAnsi="Times New Roman" w:cs="Times New Roman"/>
          <w:sz w:val="24"/>
          <w:szCs w:val="24"/>
        </w:rPr>
        <w:t xml:space="preserve"> opčnímu protokolu.</w:t>
      </w:r>
      <w:r w:rsidR="006E6793" w:rsidRPr="00E10BE6">
        <w:rPr>
          <w:rStyle w:val="Znakapoznpodarou"/>
          <w:rFonts w:ascii="Times New Roman" w:hAnsi="Times New Roman" w:cs="Times New Roman"/>
          <w:sz w:val="24"/>
          <w:szCs w:val="24"/>
        </w:rPr>
        <w:footnoteReference w:id="11"/>
      </w:r>
    </w:p>
    <w:p w14:paraId="5D860614" w14:textId="7998B8F0" w:rsidR="004749DB" w:rsidRPr="00E10BE6" w:rsidRDefault="008B3215" w:rsidP="00DA735D">
      <w:pPr>
        <w:pStyle w:val="Nadpis3"/>
        <w:jc w:val="both"/>
        <w:rPr>
          <w:rFonts w:cs="Times New Roman"/>
        </w:rPr>
      </w:pPr>
      <w:bookmarkStart w:id="19" w:name="_Toc536289138"/>
      <w:bookmarkStart w:id="20" w:name="_Toc169295"/>
      <w:bookmarkStart w:id="21" w:name="_Toc3454696"/>
      <w:r w:rsidRPr="00E10BE6">
        <w:rPr>
          <w:rFonts w:cs="Times New Roman"/>
        </w:rPr>
        <w:t>Úprava svobody vyznání na evropské úrovni</w:t>
      </w:r>
      <w:bookmarkEnd w:id="19"/>
      <w:bookmarkEnd w:id="20"/>
      <w:bookmarkEnd w:id="21"/>
    </w:p>
    <w:p w14:paraId="00109E2A" w14:textId="73CBBF7B" w:rsidR="00974AD2" w:rsidRPr="00E10BE6" w:rsidRDefault="00A1441A" w:rsidP="00DA735D">
      <w:pPr>
        <w:spacing w:after="0" w:line="360" w:lineRule="auto"/>
        <w:ind w:firstLine="708"/>
        <w:jc w:val="both"/>
        <w:rPr>
          <w:rFonts w:ascii="Times New Roman" w:hAnsi="Times New Roman" w:cs="Times New Roman"/>
          <w:sz w:val="24"/>
          <w:szCs w:val="24"/>
        </w:rPr>
      </w:pPr>
      <w:r w:rsidRPr="00E10BE6">
        <w:rPr>
          <w:rFonts w:ascii="Times New Roman" w:hAnsi="Times New Roman" w:cs="Times New Roman"/>
          <w:sz w:val="24"/>
          <w:szCs w:val="24"/>
        </w:rPr>
        <w:t>Ochrana základní</w:t>
      </w:r>
      <w:r w:rsidR="004C01E5" w:rsidRPr="00E10BE6">
        <w:rPr>
          <w:rFonts w:ascii="Times New Roman" w:hAnsi="Times New Roman" w:cs="Times New Roman"/>
          <w:sz w:val="24"/>
          <w:szCs w:val="24"/>
        </w:rPr>
        <w:t>ch</w:t>
      </w:r>
      <w:r w:rsidRPr="00E10BE6">
        <w:rPr>
          <w:rFonts w:ascii="Times New Roman" w:hAnsi="Times New Roman" w:cs="Times New Roman"/>
          <w:sz w:val="24"/>
          <w:szCs w:val="24"/>
        </w:rPr>
        <w:t xml:space="preserve"> práv a svobod člověka, včetně svobody vyznání, je poskytována</w:t>
      </w:r>
      <w:r w:rsidR="00CE27B1" w:rsidRPr="00E10BE6">
        <w:rPr>
          <w:rFonts w:ascii="Times New Roman" w:hAnsi="Times New Roman" w:cs="Times New Roman"/>
          <w:sz w:val="24"/>
          <w:szCs w:val="24"/>
        </w:rPr>
        <w:t xml:space="preserve"> nejen na úrovni celosvětové, ale i na ú</w:t>
      </w:r>
      <w:r w:rsidRPr="00E10BE6">
        <w:rPr>
          <w:rFonts w:ascii="Times New Roman" w:hAnsi="Times New Roman" w:cs="Times New Roman"/>
          <w:sz w:val="24"/>
          <w:szCs w:val="24"/>
        </w:rPr>
        <w:t>rovni</w:t>
      </w:r>
      <w:r w:rsidR="00CE27B1" w:rsidRPr="00E10BE6">
        <w:rPr>
          <w:rFonts w:ascii="Times New Roman" w:hAnsi="Times New Roman" w:cs="Times New Roman"/>
          <w:sz w:val="24"/>
          <w:szCs w:val="24"/>
        </w:rPr>
        <w:t xml:space="preserve"> evropské</w:t>
      </w:r>
      <w:r w:rsidRPr="00E10BE6">
        <w:rPr>
          <w:rFonts w:ascii="Times New Roman" w:hAnsi="Times New Roman" w:cs="Times New Roman"/>
          <w:sz w:val="24"/>
          <w:szCs w:val="24"/>
        </w:rPr>
        <w:t>. Jelikož</w:t>
      </w:r>
      <w:r w:rsidR="00CE27B1" w:rsidRPr="00E10BE6">
        <w:rPr>
          <w:rFonts w:ascii="Times New Roman" w:hAnsi="Times New Roman" w:cs="Times New Roman"/>
          <w:sz w:val="24"/>
          <w:szCs w:val="24"/>
        </w:rPr>
        <w:t xml:space="preserve"> je Česká republika nejen jeden</w:t>
      </w:r>
      <w:r w:rsidRPr="00E10BE6">
        <w:rPr>
          <w:rFonts w:ascii="Times New Roman" w:hAnsi="Times New Roman" w:cs="Times New Roman"/>
          <w:sz w:val="24"/>
          <w:szCs w:val="24"/>
        </w:rPr>
        <w:t xml:space="preserve"> z evropských </w:t>
      </w:r>
      <w:r w:rsidR="00CE27B1" w:rsidRPr="00E10BE6">
        <w:rPr>
          <w:rFonts w:ascii="Times New Roman" w:hAnsi="Times New Roman" w:cs="Times New Roman"/>
          <w:sz w:val="24"/>
          <w:szCs w:val="24"/>
        </w:rPr>
        <w:t>států</w:t>
      </w:r>
      <w:r w:rsidRPr="00E10BE6">
        <w:rPr>
          <w:rFonts w:ascii="Times New Roman" w:hAnsi="Times New Roman" w:cs="Times New Roman"/>
          <w:sz w:val="24"/>
          <w:szCs w:val="24"/>
        </w:rPr>
        <w:t>,</w:t>
      </w:r>
      <w:r w:rsidR="00CE27B1" w:rsidRPr="00E10BE6">
        <w:rPr>
          <w:rFonts w:ascii="Times New Roman" w:hAnsi="Times New Roman" w:cs="Times New Roman"/>
          <w:sz w:val="24"/>
          <w:szCs w:val="24"/>
        </w:rPr>
        <w:t xml:space="preserve"> ale i člen EU a Rady Evropy,</w:t>
      </w:r>
      <w:r w:rsidR="00002F30" w:rsidRPr="00E10BE6">
        <w:rPr>
          <w:rFonts w:ascii="Times New Roman" w:hAnsi="Times New Roman" w:cs="Times New Roman"/>
          <w:sz w:val="24"/>
          <w:szCs w:val="24"/>
        </w:rPr>
        <w:t xml:space="preserve"> věnuji se v této podkapitole</w:t>
      </w:r>
      <w:r w:rsidR="00CE27B1" w:rsidRPr="00E10BE6">
        <w:rPr>
          <w:rFonts w:ascii="Times New Roman" w:hAnsi="Times New Roman" w:cs="Times New Roman"/>
          <w:sz w:val="24"/>
          <w:szCs w:val="24"/>
        </w:rPr>
        <w:t xml:space="preserve"> evropsk</w:t>
      </w:r>
      <w:r w:rsidR="00B0085F">
        <w:rPr>
          <w:rFonts w:ascii="Times New Roman" w:hAnsi="Times New Roman" w:cs="Times New Roman"/>
          <w:sz w:val="24"/>
          <w:szCs w:val="24"/>
        </w:rPr>
        <w:t>é</w:t>
      </w:r>
      <w:r w:rsidR="00CE27B1" w:rsidRPr="00E10BE6">
        <w:rPr>
          <w:rFonts w:ascii="Times New Roman" w:hAnsi="Times New Roman" w:cs="Times New Roman"/>
          <w:sz w:val="24"/>
          <w:szCs w:val="24"/>
        </w:rPr>
        <w:t xml:space="preserve"> regionální ochran</w:t>
      </w:r>
      <w:r w:rsidR="00B0085F">
        <w:rPr>
          <w:rFonts w:ascii="Times New Roman" w:hAnsi="Times New Roman" w:cs="Times New Roman"/>
          <w:sz w:val="24"/>
          <w:szCs w:val="24"/>
        </w:rPr>
        <w:t>ě</w:t>
      </w:r>
      <w:r w:rsidR="00CE27B1" w:rsidRPr="00E10BE6">
        <w:rPr>
          <w:rFonts w:ascii="Times New Roman" w:hAnsi="Times New Roman" w:cs="Times New Roman"/>
          <w:sz w:val="24"/>
          <w:szCs w:val="24"/>
        </w:rPr>
        <w:t xml:space="preserve"> lidských práv. Ta je zajišťována především v rámci Evropské unie a Radou Evropy.</w:t>
      </w:r>
      <w:r w:rsidR="0063684A" w:rsidRPr="00E10BE6">
        <w:rPr>
          <w:rStyle w:val="Znakapoznpodarou"/>
          <w:rFonts w:ascii="Times New Roman" w:hAnsi="Times New Roman" w:cs="Times New Roman"/>
          <w:sz w:val="24"/>
          <w:szCs w:val="24"/>
        </w:rPr>
        <w:footnoteReference w:id="12"/>
      </w:r>
    </w:p>
    <w:p w14:paraId="7B219307" w14:textId="4CF02D55" w:rsidR="004749DB" w:rsidRPr="00E10BE6" w:rsidRDefault="00101265" w:rsidP="00DA735D">
      <w:pPr>
        <w:spacing w:after="0" w:line="360" w:lineRule="auto"/>
        <w:jc w:val="both"/>
        <w:rPr>
          <w:rFonts w:ascii="Times New Roman" w:hAnsi="Times New Roman" w:cs="Times New Roman"/>
          <w:sz w:val="24"/>
          <w:szCs w:val="24"/>
        </w:rPr>
      </w:pPr>
      <w:r w:rsidRPr="00E10BE6">
        <w:rPr>
          <w:rFonts w:ascii="Times New Roman" w:hAnsi="Times New Roman" w:cs="Times New Roman"/>
          <w:sz w:val="24"/>
        </w:rPr>
        <w:tab/>
      </w:r>
      <w:r w:rsidRPr="00E10BE6">
        <w:rPr>
          <w:rFonts w:ascii="Times New Roman" w:hAnsi="Times New Roman" w:cs="Times New Roman"/>
          <w:sz w:val="24"/>
          <w:szCs w:val="24"/>
        </w:rPr>
        <w:t xml:space="preserve">Po druhé světové válce, </w:t>
      </w:r>
      <w:r w:rsidRPr="00E10BE6">
        <w:rPr>
          <w:rFonts w:ascii="Times New Roman" w:hAnsi="Times New Roman" w:cs="Times New Roman"/>
          <w:sz w:val="24"/>
        </w:rPr>
        <w:t>konkrétně</w:t>
      </w:r>
      <w:r w:rsidRPr="00E10BE6">
        <w:rPr>
          <w:rFonts w:ascii="Times New Roman" w:hAnsi="Times New Roman" w:cs="Times New Roman"/>
          <w:sz w:val="24"/>
          <w:szCs w:val="24"/>
        </w:rPr>
        <w:t xml:space="preserve"> 5. </w:t>
      </w:r>
      <w:r w:rsidR="004C01E5" w:rsidRPr="00E10BE6">
        <w:rPr>
          <w:rFonts w:ascii="Times New Roman" w:hAnsi="Times New Roman" w:cs="Times New Roman"/>
          <w:sz w:val="24"/>
          <w:szCs w:val="24"/>
        </w:rPr>
        <w:t>května</w:t>
      </w:r>
      <w:r w:rsidRPr="00E10BE6">
        <w:rPr>
          <w:rFonts w:ascii="Times New Roman" w:hAnsi="Times New Roman" w:cs="Times New Roman"/>
          <w:sz w:val="24"/>
          <w:szCs w:val="24"/>
        </w:rPr>
        <w:t xml:space="preserve"> 1949</w:t>
      </w:r>
      <w:r w:rsidR="004C01E5" w:rsidRPr="00E10BE6">
        <w:rPr>
          <w:rFonts w:ascii="Times New Roman" w:hAnsi="Times New Roman" w:cs="Times New Roman"/>
          <w:sz w:val="24"/>
          <w:szCs w:val="24"/>
        </w:rPr>
        <w:t>,</w:t>
      </w:r>
      <w:r w:rsidRPr="00E10BE6">
        <w:rPr>
          <w:rFonts w:ascii="Times New Roman" w:hAnsi="Times New Roman" w:cs="Times New Roman"/>
          <w:sz w:val="24"/>
          <w:szCs w:val="24"/>
        </w:rPr>
        <w:t xml:space="preserve"> došlo k založení Rady Evropy. Vytvoření této organizace podporoval mj. Winston Churchill jako</w:t>
      </w:r>
      <w:r w:rsidR="00D7441F" w:rsidRPr="00E10BE6">
        <w:rPr>
          <w:rFonts w:ascii="Times New Roman" w:hAnsi="Times New Roman" w:cs="Times New Roman"/>
          <w:sz w:val="24"/>
          <w:szCs w:val="24"/>
        </w:rPr>
        <w:t xml:space="preserve"> snahu o</w:t>
      </w:r>
      <w:r w:rsidRPr="00E10BE6">
        <w:rPr>
          <w:rFonts w:ascii="Times New Roman" w:hAnsi="Times New Roman" w:cs="Times New Roman"/>
          <w:sz w:val="24"/>
          <w:szCs w:val="24"/>
        </w:rPr>
        <w:t xml:space="preserve"> jakousi regionální verzi Organizace spojených národů. </w:t>
      </w:r>
      <w:r w:rsidR="006628FB" w:rsidRPr="00E10BE6">
        <w:rPr>
          <w:rFonts w:ascii="Times New Roman" w:hAnsi="Times New Roman" w:cs="Times New Roman"/>
          <w:sz w:val="24"/>
          <w:szCs w:val="24"/>
        </w:rPr>
        <w:t>Zakládací smlouvu, dnes nazývanou jako Statut Rady Evropy</w:t>
      </w:r>
      <w:r w:rsidR="0092125F" w:rsidRPr="00E10BE6">
        <w:rPr>
          <w:rFonts w:ascii="Times New Roman" w:hAnsi="Times New Roman" w:cs="Times New Roman"/>
          <w:sz w:val="24"/>
          <w:szCs w:val="24"/>
        </w:rPr>
        <w:t>,</w:t>
      </w:r>
      <w:r w:rsidR="006628FB" w:rsidRPr="00E10BE6">
        <w:rPr>
          <w:rFonts w:ascii="Times New Roman" w:hAnsi="Times New Roman" w:cs="Times New Roman"/>
          <w:sz w:val="24"/>
          <w:szCs w:val="24"/>
        </w:rPr>
        <w:t xml:space="preserve"> podepsalo deset zakládajících států (Belgie, Dánsko, Francie, Irsko, Itálie, Lucembursko, Nizozemsko, Norsko, </w:t>
      </w:r>
      <w:r w:rsidR="00D7441F" w:rsidRPr="00E10BE6">
        <w:rPr>
          <w:rFonts w:ascii="Times New Roman" w:hAnsi="Times New Roman" w:cs="Times New Roman"/>
          <w:sz w:val="24"/>
          <w:szCs w:val="24"/>
        </w:rPr>
        <w:t>Spojené království a Švédsko)</w:t>
      </w:r>
      <w:r w:rsidR="0092125F" w:rsidRPr="00E10BE6">
        <w:rPr>
          <w:rFonts w:ascii="Times New Roman" w:hAnsi="Times New Roman" w:cs="Times New Roman"/>
          <w:sz w:val="24"/>
          <w:szCs w:val="24"/>
        </w:rPr>
        <w:t>.</w:t>
      </w:r>
      <w:r w:rsidR="00D7441F" w:rsidRPr="00E10BE6">
        <w:rPr>
          <w:rFonts w:ascii="Times New Roman" w:hAnsi="Times New Roman" w:cs="Times New Roman"/>
          <w:sz w:val="24"/>
          <w:szCs w:val="24"/>
        </w:rPr>
        <w:t xml:space="preserve"> </w:t>
      </w:r>
      <w:r w:rsidR="0092125F" w:rsidRPr="00E10BE6">
        <w:rPr>
          <w:rFonts w:ascii="Times New Roman" w:hAnsi="Times New Roman" w:cs="Times New Roman"/>
          <w:sz w:val="24"/>
          <w:szCs w:val="24"/>
        </w:rPr>
        <w:t>Dodnes</w:t>
      </w:r>
      <w:r w:rsidR="006628FB" w:rsidRPr="00E10BE6">
        <w:rPr>
          <w:rFonts w:ascii="Times New Roman" w:hAnsi="Times New Roman" w:cs="Times New Roman"/>
          <w:sz w:val="24"/>
          <w:szCs w:val="24"/>
        </w:rPr>
        <w:t xml:space="preserve"> se počet členských států rozrostl na 47.</w:t>
      </w:r>
      <w:r w:rsidR="006628FB" w:rsidRPr="00E10BE6">
        <w:rPr>
          <w:rStyle w:val="Znakapoznpodarou"/>
          <w:rFonts w:ascii="Times New Roman" w:hAnsi="Times New Roman" w:cs="Times New Roman"/>
          <w:sz w:val="24"/>
          <w:szCs w:val="24"/>
        </w:rPr>
        <w:footnoteReference w:id="13"/>
      </w:r>
      <w:r w:rsidR="00710ED7" w:rsidRPr="00E10BE6">
        <w:rPr>
          <w:rFonts w:ascii="Times New Roman" w:hAnsi="Times New Roman" w:cs="Times New Roman"/>
          <w:sz w:val="24"/>
          <w:szCs w:val="24"/>
        </w:rPr>
        <w:t xml:space="preserve"> Podle tohoto Statutu patří mezi cíle Rady Evropy hájení lidských práv, parlamentní demokracie a vlády práva.</w:t>
      </w:r>
    </w:p>
    <w:p w14:paraId="4B18E00A" w14:textId="0929A66E" w:rsidR="00D7441F" w:rsidRPr="00E10BE6" w:rsidRDefault="00710ED7" w:rsidP="00DA735D">
      <w:pPr>
        <w:spacing w:after="0" w:line="360" w:lineRule="auto"/>
        <w:ind w:firstLine="708"/>
        <w:jc w:val="both"/>
        <w:rPr>
          <w:rFonts w:ascii="Times New Roman" w:hAnsi="Times New Roman" w:cs="Times New Roman"/>
          <w:color w:val="FF0000"/>
          <w:sz w:val="24"/>
        </w:rPr>
      </w:pPr>
      <w:r w:rsidRPr="00E10BE6">
        <w:rPr>
          <w:rFonts w:ascii="Times New Roman" w:hAnsi="Times New Roman" w:cs="Times New Roman"/>
          <w:sz w:val="24"/>
          <w:szCs w:val="24"/>
        </w:rPr>
        <w:t>Bezpochyby jedním z nejdůležitějších nástrojů podpor</w:t>
      </w:r>
      <w:r w:rsidR="0092125F" w:rsidRPr="00E10BE6">
        <w:rPr>
          <w:rFonts w:ascii="Times New Roman" w:hAnsi="Times New Roman" w:cs="Times New Roman"/>
          <w:sz w:val="24"/>
          <w:szCs w:val="24"/>
        </w:rPr>
        <w:t>y</w:t>
      </w:r>
      <w:r w:rsidRPr="00E10BE6">
        <w:rPr>
          <w:rFonts w:ascii="Times New Roman" w:hAnsi="Times New Roman" w:cs="Times New Roman"/>
          <w:sz w:val="24"/>
          <w:szCs w:val="24"/>
        </w:rPr>
        <w:t xml:space="preserve"> lidských práv Radou Evropy je příprava textů mnohostranných mezinárodních úmluv</w:t>
      </w:r>
      <w:r w:rsidR="0092125F" w:rsidRPr="00E10BE6">
        <w:rPr>
          <w:rFonts w:ascii="Times New Roman" w:hAnsi="Times New Roman" w:cs="Times New Roman"/>
          <w:sz w:val="24"/>
          <w:szCs w:val="24"/>
        </w:rPr>
        <w:t>.</w:t>
      </w:r>
      <w:r w:rsidR="00002F30" w:rsidRPr="00E10BE6">
        <w:rPr>
          <w:rFonts w:ascii="Times New Roman" w:hAnsi="Times New Roman" w:cs="Times New Roman"/>
          <w:sz w:val="24"/>
          <w:szCs w:val="24"/>
        </w:rPr>
        <w:t xml:space="preserve"> </w:t>
      </w:r>
      <w:r w:rsidR="0092125F" w:rsidRPr="00E10BE6">
        <w:rPr>
          <w:rFonts w:ascii="Times New Roman" w:hAnsi="Times New Roman" w:cs="Times New Roman"/>
          <w:sz w:val="24"/>
          <w:szCs w:val="24"/>
        </w:rPr>
        <w:t>T</w:t>
      </w:r>
      <w:r w:rsidRPr="00E10BE6">
        <w:rPr>
          <w:rFonts w:ascii="Times New Roman" w:hAnsi="Times New Roman" w:cs="Times New Roman"/>
          <w:sz w:val="24"/>
          <w:szCs w:val="24"/>
        </w:rPr>
        <w:t>ou nejvýznamnější z nich je Úmluva o</w:t>
      </w:r>
      <w:r w:rsidR="002228C1" w:rsidRPr="00E10BE6">
        <w:rPr>
          <w:rFonts w:ascii="Times New Roman" w:hAnsi="Times New Roman" w:cs="Times New Roman"/>
          <w:sz w:val="24"/>
          <w:szCs w:val="24"/>
        </w:rPr>
        <w:t> </w:t>
      </w:r>
      <w:r w:rsidRPr="00E10BE6">
        <w:rPr>
          <w:rFonts w:ascii="Times New Roman" w:hAnsi="Times New Roman" w:cs="Times New Roman"/>
          <w:sz w:val="24"/>
          <w:szCs w:val="24"/>
        </w:rPr>
        <w:t xml:space="preserve">ochraně lidských práv a základních svobod </w:t>
      </w:r>
      <w:r w:rsidR="002228C1" w:rsidRPr="00B61503">
        <w:rPr>
          <w:rFonts w:ascii="Times New Roman" w:hAnsi="Times New Roman" w:cs="Times New Roman"/>
          <w:sz w:val="24"/>
          <w:szCs w:val="24"/>
        </w:rPr>
        <w:t>(dále jen Úmluva)</w:t>
      </w:r>
      <w:r w:rsidR="002228C1" w:rsidRPr="00E10BE6">
        <w:rPr>
          <w:rFonts w:ascii="Times New Roman" w:hAnsi="Times New Roman" w:cs="Times New Roman"/>
          <w:sz w:val="24"/>
          <w:szCs w:val="24"/>
        </w:rPr>
        <w:t xml:space="preserve"> </w:t>
      </w:r>
      <w:r w:rsidRPr="00E10BE6">
        <w:rPr>
          <w:rFonts w:ascii="Times New Roman" w:hAnsi="Times New Roman" w:cs="Times New Roman"/>
          <w:sz w:val="24"/>
          <w:szCs w:val="24"/>
        </w:rPr>
        <w:t>z roku 1950.</w:t>
      </w:r>
      <w:r w:rsidR="008F235E" w:rsidRPr="00E10BE6">
        <w:rPr>
          <w:rFonts w:ascii="Times New Roman" w:hAnsi="Times New Roman" w:cs="Times New Roman"/>
          <w:sz w:val="24"/>
          <w:szCs w:val="24"/>
        </w:rPr>
        <w:t xml:space="preserve"> </w:t>
      </w:r>
      <w:r w:rsidR="008F235E" w:rsidRPr="00D63DA8">
        <w:rPr>
          <w:rFonts w:ascii="Times New Roman" w:hAnsi="Times New Roman" w:cs="Times New Roman"/>
          <w:sz w:val="24"/>
        </w:rPr>
        <w:t>Jelikož ve své práci pracuj</w:t>
      </w:r>
      <w:r w:rsidR="002E47D9" w:rsidRPr="00D63DA8">
        <w:rPr>
          <w:rFonts w:ascii="Times New Roman" w:hAnsi="Times New Roman" w:cs="Times New Roman"/>
          <w:sz w:val="24"/>
        </w:rPr>
        <w:t>i převážně s rozhodnutími Soudu,</w:t>
      </w:r>
      <w:r w:rsidR="008F235E" w:rsidRPr="00D63DA8">
        <w:rPr>
          <w:rFonts w:ascii="Times New Roman" w:hAnsi="Times New Roman" w:cs="Times New Roman"/>
          <w:sz w:val="24"/>
        </w:rPr>
        <w:t xml:space="preserve"> který kontroluje dodržování Úmluvy, je</w:t>
      </w:r>
      <w:r w:rsidR="00B61503">
        <w:rPr>
          <w:rFonts w:ascii="Times New Roman" w:hAnsi="Times New Roman" w:cs="Times New Roman"/>
          <w:sz w:val="24"/>
        </w:rPr>
        <w:t xml:space="preserve"> </w:t>
      </w:r>
      <w:r w:rsidR="008F235E" w:rsidRPr="00D63DA8">
        <w:rPr>
          <w:rFonts w:ascii="Times New Roman" w:hAnsi="Times New Roman" w:cs="Times New Roman"/>
          <w:sz w:val="24"/>
        </w:rPr>
        <w:t xml:space="preserve">nutné </w:t>
      </w:r>
      <w:r w:rsidR="002E47D9" w:rsidRPr="00D63DA8">
        <w:rPr>
          <w:rFonts w:ascii="Times New Roman" w:hAnsi="Times New Roman" w:cs="Times New Roman"/>
          <w:sz w:val="24"/>
        </w:rPr>
        <w:t xml:space="preserve">se </w:t>
      </w:r>
      <w:r w:rsidR="002E47D9" w:rsidRPr="00B61503">
        <w:rPr>
          <w:rFonts w:ascii="Times New Roman" w:hAnsi="Times New Roman" w:cs="Times New Roman"/>
          <w:sz w:val="24"/>
        </w:rPr>
        <w:t xml:space="preserve">v mé práci </w:t>
      </w:r>
      <w:r w:rsidR="002E47D9" w:rsidRPr="00D63DA8">
        <w:rPr>
          <w:rFonts w:ascii="Times New Roman" w:hAnsi="Times New Roman" w:cs="Times New Roman"/>
          <w:sz w:val="24"/>
        </w:rPr>
        <w:t xml:space="preserve">zabývat </w:t>
      </w:r>
      <w:r w:rsidR="008F235E" w:rsidRPr="00D63DA8">
        <w:rPr>
          <w:rFonts w:ascii="Times New Roman" w:hAnsi="Times New Roman" w:cs="Times New Roman"/>
          <w:sz w:val="24"/>
        </w:rPr>
        <w:t>Úmluvou</w:t>
      </w:r>
      <w:r w:rsidR="002E47D9" w:rsidRPr="00D63DA8">
        <w:rPr>
          <w:rFonts w:ascii="Times New Roman" w:hAnsi="Times New Roman" w:cs="Times New Roman"/>
          <w:sz w:val="24"/>
        </w:rPr>
        <w:t xml:space="preserve"> a </w:t>
      </w:r>
      <w:r w:rsidR="008F235E" w:rsidRPr="00D63DA8">
        <w:rPr>
          <w:rFonts w:ascii="Times New Roman" w:hAnsi="Times New Roman" w:cs="Times New Roman"/>
          <w:sz w:val="24"/>
        </w:rPr>
        <w:t>zakotvením svobody vyznání v ní.</w:t>
      </w:r>
      <w:r w:rsidR="004749DB" w:rsidRPr="00D63DA8">
        <w:rPr>
          <w:rFonts w:ascii="Times New Roman" w:hAnsi="Times New Roman" w:cs="Times New Roman"/>
          <w:sz w:val="24"/>
        </w:rPr>
        <w:t xml:space="preserve"> </w:t>
      </w:r>
      <w:r w:rsidR="001A2607" w:rsidRPr="00E10BE6">
        <w:rPr>
          <w:rFonts w:ascii="Times New Roman" w:hAnsi="Times New Roman" w:cs="Times New Roman"/>
          <w:sz w:val="24"/>
          <w:szCs w:val="24"/>
        </w:rPr>
        <w:t>Význam Úmluvy bezpochyby sp</w:t>
      </w:r>
      <w:r w:rsidR="002E47D9" w:rsidRPr="00E10BE6">
        <w:rPr>
          <w:rFonts w:ascii="Times New Roman" w:hAnsi="Times New Roman" w:cs="Times New Roman"/>
          <w:sz w:val="24"/>
          <w:szCs w:val="24"/>
        </w:rPr>
        <w:t xml:space="preserve">očívá v její právní </w:t>
      </w:r>
      <w:r w:rsidR="002E47D9" w:rsidRPr="00D63DA8">
        <w:rPr>
          <w:rFonts w:ascii="Times New Roman" w:hAnsi="Times New Roman" w:cs="Times New Roman"/>
          <w:sz w:val="24"/>
          <w:szCs w:val="24"/>
        </w:rPr>
        <w:t>závaznosti. P</w:t>
      </w:r>
      <w:r w:rsidR="001A2607" w:rsidRPr="00D63DA8">
        <w:rPr>
          <w:rFonts w:ascii="Times New Roman" w:hAnsi="Times New Roman" w:cs="Times New Roman"/>
          <w:sz w:val="24"/>
          <w:szCs w:val="24"/>
        </w:rPr>
        <w:t xml:space="preserve">řijetí </w:t>
      </w:r>
      <w:r w:rsidR="001A2607" w:rsidRPr="00E10BE6">
        <w:rPr>
          <w:rFonts w:ascii="Times New Roman" w:hAnsi="Times New Roman" w:cs="Times New Roman"/>
          <w:sz w:val="24"/>
          <w:szCs w:val="24"/>
        </w:rPr>
        <w:t>Úmluvy a její ratifikace je v dnešní době podmínkou pro vstup státu do Rady Evropy. Velkým přínosem je i vytvoření kontrolního mechanismu s možností</w:t>
      </w:r>
      <w:r w:rsidR="00F006FF" w:rsidRPr="00E10BE6">
        <w:rPr>
          <w:rFonts w:ascii="Times New Roman" w:hAnsi="Times New Roman" w:cs="Times New Roman"/>
          <w:sz w:val="24"/>
          <w:szCs w:val="24"/>
        </w:rPr>
        <w:t xml:space="preserve"> </w:t>
      </w:r>
      <w:r w:rsidR="0092125F" w:rsidRPr="00E10BE6">
        <w:rPr>
          <w:rFonts w:ascii="Times New Roman" w:hAnsi="Times New Roman" w:cs="Times New Roman"/>
          <w:sz w:val="24"/>
          <w:szCs w:val="24"/>
        </w:rPr>
        <w:t xml:space="preserve">pro </w:t>
      </w:r>
      <w:r w:rsidR="001A2607" w:rsidRPr="00E10BE6">
        <w:rPr>
          <w:rFonts w:ascii="Times New Roman" w:hAnsi="Times New Roman" w:cs="Times New Roman"/>
          <w:sz w:val="24"/>
          <w:szCs w:val="24"/>
        </w:rPr>
        <w:t>stát i jednotlivce</w:t>
      </w:r>
      <w:r w:rsidR="0092125F" w:rsidRPr="00E10BE6">
        <w:rPr>
          <w:rFonts w:ascii="Times New Roman" w:hAnsi="Times New Roman" w:cs="Times New Roman"/>
          <w:sz w:val="24"/>
          <w:szCs w:val="24"/>
        </w:rPr>
        <w:t xml:space="preserve"> </w:t>
      </w:r>
      <w:r w:rsidR="001A2607" w:rsidRPr="00E10BE6">
        <w:rPr>
          <w:rFonts w:ascii="Times New Roman" w:hAnsi="Times New Roman" w:cs="Times New Roman"/>
          <w:sz w:val="24"/>
          <w:szCs w:val="24"/>
        </w:rPr>
        <w:t>obrátit se na Evropský soud pro lidská práva</w:t>
      </w:r>
      <w:r w:rsidR="003D5000" w:rsidRPr="00E10BE6">
        <w:rPr>
          <w:rFonts w:ascii="Times New Roman" w:hAnsi="Times New Roman" w:cs="Times New Roman"/>
          <w:sz w:val="24"/>
          <w:szCs w:val="24"/>
        </w:rPr>
        <w:t>,</w:t>
      </w:r>
      <w:r w:rsidR="008C25ED">
        <w:rPr>
          <w:rFonts w:ascii="Times New Roman" w:hAnsi="Times New Roman" w:cs="Times New Roman"/>
          <w:sz w:val="24"/>
          <w:szCs w:val="24"/>
        </w:rPr>
        <w:t xml:space="preserve"> pokud se domnívá, </w:t>
      </w:r>
      <w:r w:rsidR="004749DB" w:rsidRPr="00E10BE6">
        <w:rPr>
          <w:rFonts w:ascii="Times New Roman" w:hAnsi="Times New Roman" w:cs="Times New Roman"/>
          <w:sz w:val="24"/>
          <w:szCs w:val="24"/>
        </w:rPr>
        <w:t>že bylo porušeno jejich právo garantováno Úmluvou</w:t>
      </w:r>
      <w:r w:rsidR="00806708" w:rsidRPr="00E10BE6">
        <w:rPr>
          <w:rFonts w:ascii="Times New Roman" w:hAnsi="Times New Roman" w:cs="Times New Roman"/>
          <w:sz w:val="24"/>
          <w:szCs w:val="24"/>
        </w:rPr>
        <w:t xml:space="preserve">. </w:t>
      </w:r>
      <w:r w:rsidR="00BF2F7F" w:rsidRPr="00E10BE6">
        <w:rPr>
          <w:rFonts w:ascii="Times New Roman" w:hAnsi="Times New Roman" w:cs="Times New Roman"/>
          <w:sz w:val="24"/>
          <w:szCs w:val="24"/>
        </w:rPr>
        <w:t xml:space="preserve">Soud má obligatorní </w:t>
      </w:r>
      <w:r w:rsidR="00BF2F7F" w:rsidRPr="00E10BE6">
        <w:rPr>
          <w:rFonts w:ascii="Times New Roman" w:hAnsi="Times New Roman" w:cs="Times New Roman"/>
          <w:sz w:val="24"/>
          <w:szCs w:val="24"/>
        </w:rPr>
        <w:lastRenderedPageBreak/>
        <w:t>jurisdikci k zajištění dodržování povinností a ochraně práv stanovených Úm</w:t>
      </w:r>
      <w:r w:rsidR="00514CDA" w:rsidRPr="00E10BE6">
        <w:rPr>
          <w:rFonts w:ascii="Times New Roman" w:hAnsi="Times New Roman" w:cs="Times New Roman"/>
          <w:sz w:val="24"/>
          <w:szCs w:val="24"/>
        </w:rPr>
        <w:t>luvou. Rozhodnutí</w:t>
      </w:r>
      <w:r w:rsidR="00867ED1" w:rsidRPr="00E10BE6">
        <w:rPr>
          <w:rFonts w:ascii="Times New Roman" w:hAnsi="Times New Roman" w:cs="Times New Roman"/>
          <w:sz w:val="24"/>
          <w:szCs w:val="24"/>
        </w:rPr>
        <w:t xml:space="preserve"> S</w:t>
      </w:r>
      <w:r w:rsidR="004749DB" w:rsidRPr="00E10BE6">
        <w:rPr>
          <w:rFonts w:ascii="Times New Roman" w:hAnsi="Times New Roman" w:cs="Times New Roman"/>
          <w:sz w:val="24"/>
          <w:szCs w:val="24"/>
        </w:rPr>
        <w:t xml:space="preserve">oudu je </w:t>
      </w:r>
      <w:r w:rsidR="00BF2F7F" w:rsidRPr="00E10BE6">
        <w:rPr>
          <w:rFonts w:ascii="Times New Roman" w:hAnsi="Times New Roman" w:cs="Times New Roman"/>
          <w:sz w:val="24"/>
          <w:szCs w:val="24"/>
        </w:rPr>
        <w:t>p</w:t>
      </w:r>
      <w:r w:rsidR="004749DB" w:rsidRPr="00E10BE6">
        <w:rPr>
          <w:rFonts w:ascii="Times New Roman" w:hAnsi="Times New Roman" w:cs="Times New Roman"/>
          <w:sz w:val="24"/>
          <w:szCs w:val="24"/>
        </w:rPr>
        <w:t>oté p</w:t>
      </w:r>
      <w:r w:rsidR="00514CDA" w:rsidRPr="00E10BE6">
        <w:rPr>
          <w:rFonts w:ascii="Times New Roman" w:hAnsi="Times New Roman" w:cs="Times New Roman"/>
          <w:sz w:val="24"/>
          <w:szCs w:val="24"/>
        </w:rPr>
        <w:t>rávně závazné</w:t>
      </w:r>
      <w:r w:rsidR="009B0DD1" w:rsidRPr="00E10BE6">
        <w:rPr>
          <w:rFonts w:ascii="Times New Roman" w:hAnsi="Times New Roman" w:cs="Times New Roman"/>
          <w:sz w:val="24"/>
          <w:szCs w:val="24"/>
        </w:rPr>
        <w:t xml:space="preserve"> pro strany sporu.</w:t>
      </w:r>
      <w:r w:rsidR="00BF2F7F" w:rsidRPr="00E10BE6">
        <w:rPr>
          <w:rStyle w:val="Znakapoznpodarou"/>
          <w:rFonts w:ascii="Times New Roman" w:hAnsi="Times New Roman" w:cs="Times New Roman"/>
          <w:sz w:val="24"/>
          <w:szCs w:val="24"/>
        </w:rPr>
        <w:footnoteReference w:id="14"/>
      </w:r>
    </w:p>
    <w:p w14:paraId="7A601E6C" w14:textId="1C9E0861" w:rsidR="004749DB" w:rsidRPr="00E10BE6" w:rsidRDefault="003D5000" w:rsidP="00DA735D">
      <w:pPr>
        <w:spacing w:after="0" w:line="360" w:lineRule="auto"/>
        <w:ind w:firstLine="708"/>
        <w:jc w:val="both"/>
        <w:rPr>
          <w:rFonts w:ascii="Times New Roman" w:hAnsi="Times New Roman" w:cs="Times New Roman"/>
          <w:sz w:val="24"/>
          <w:szCs w:val="24"/>
        </w:rPr>
      </w:pPr>
      <w:r w:rsidRPr="009D4C07">
        <w:rPr>
          <w:rFonts w:ascii="Times New Roman" w:hAnsi="Times New Roman" w:cs="Times New Roman"/>
          <w:sz w:val="24"/>
          <w:szCs w:val="24"/>
        </w:rPr>
        <w:t>Svobodu</w:t>
      </w:r>
      <w:r w:rsidRPr="00E10BE6">
        <w:rPr>
          <w:rFonts w:ascii="Times New Roman" w:hAnsi="Times New Roman" w:cs="Times New Roman"/>
          <w:sz w:val="24"/>
          <w:szCs w:val="24"/>
        </w:rPr>
        <w:t xml:space="preserve"> myšlení, svědomí a náboženského vyznání v Úmluvě zaručuje čl. 9.</w:t>
      </w:r>
      <w:r w:rsidRPr="00E10BE6">
        <w:rPr>
          <w:rStyle w:val="Znakapoznpodarou"/>
          <w:rFonts w:ascii="Times New Roman" w:hAnsi="Times New Roman" w:cs="Times New Roman"/>
          <w:sz w:val="24"/>
          <w:szCs w:val="24"/>
        </w:rPr>
        <w:footnoteReference w:id="15"/>
      </w:r>
      <w:r w:rsidRPr="00E10BE6">
        <w:rPr>
          <w:rFonts w:ascii="Times New Roman" w:hAnsi="Times New Roman" w:cs="Times New Roman"/>
          <w:sz w:val="24"/>
          <w:szCs w:val="24"/>
        </w:rPr>
        <w:t xml:space="preserve"> </w:t>
      </w:r>
      <w:r w:rsidR="00562C86" w:rsidRPr="00E10BE6">
        <w:rPr>
          <w:rFonts w:ascii="Times New Roman" w:hAnsi="Times New Roman" w:cs="Times New Roman"/>
          <w:sz w:val="24"/>
          <w:szCs w:val="24"/>
        </w:rPr>
        <w:t>Úmluva ve svém prvním odstavci garantuje svobodu myšlení, svobodu svědomí, svobodu náboženského vyznání a svobodu projevovat své náboženské vyznání. S výjimkou práva projevovat své vyznání jsou všechna tato práva absolutní. Na rozdíl od Listiny, kde jsou svoboda vyznání a</w:t>
      </w:r>
      <w:r w:rsidR="00214E68" w:rsidRPr="00E10BE6">
        <w:rPr>
          <w:rFonts w:ascii="Times New Roman" w:hAnsi="Times New Roman" w:cs="Times New Roman"/>
          <w:sz w:val="24"/>
          <w:szCs w:val="24"/>
        </w:rPr>
        <w:t> </w:t>
      </w:r>
      <w:r w:rsidR="00562C86" w:rsidRPr="00E10BE6">
        <w:rPr>
          <w:rFonts w:ascii="Times New Roman" w:hAnsi="Times New Roman" w:cs="Times New Roman"/>
          <w:sz w:val="24"/>
          <w:szCs w:val="24"/>
        </w:rPr>
        <w:t>svoboda projevu vyznání upraveny ve dvou samostatných článcích, Úmluva upravuje tyto práva společně jedním článkem. Druhý odstavec</w:t>
      </w:r>
      <w:r w:rsidR="00562C86" w:rsidRPr="001D2C80">
        <w:rPr>
          <w:rFonts w:ascii="Times New Roman" w:hAnsi="Times New Roman" w:cs="Times New Roman"/>
          <w:sz w:val="24"/>
          <w:szCs w:val="24"/>
        </w:rPr>
        <w:t xml:space="preserve"> poté </w:t>
      </w:r>
      <w:r w:rsidR="00562C86" w:rsidRPr="00E10BE6">
        <w:rPr>
          <w:rFonts w:ascii="Times New Roman" w:hAnsi="Times New Roman" w:cs="Times New Roman"/>
          <w:sz w:val="24"/>
          <w:szCs w:val="24"/>
        </w:rPr>
        <w:t>hovoří o omezení vnějších projevů náboženského vyznání či přesvědčení</w:t>
      </w:r>
      <w:r w:rsidR="00214E68" w:rsidRPr="00E10BE6">
        <w:rPr>
          <w:rFonts w:ascii="Times New Roman" w:hAnsi="Times New Roman" w:cs="Times New Roman"/>
          <w:sz w:val="24"/>
          <w:szCs w:val="24"/>
        </w:rPr>
        <w:t>,</w:t>
      </w:r>
      <w:r w:rsidR="006B6D6B" w:rsidRPr="00E10BE6">
        <w:rPr>
          <w:rFonts w:ascii="Times New Roman" w:hAnsi="Times New Roman" w:cs="Times New Roman"/>
          <w:sz w:val="24"/>
          <w:szCs w:val="24"/>
        </w:rPr>
        <w:t xml:space="preserve"> které je přípustné jen z taxativně vymezených důvodů.</w:t>
      </w:r>
      <w:r w:rsidR="006B6D6B" w:rsidRPr="00E10BE6">
        <w:rPr>
          <w:rStyle w:val="Znakapoznpodarou"/>
          <w:rFonts w:ascii="Times New Roman" w:hAnsi="Times New Roman" w:cs="Times New Roman"/>
          <w:sz w:val="24"/>
          <w:szCs w:val="24"/>
        </w:rPr>
        <w:footnoteReference w:id="16"/>
      </w:r>
    </w:p>
    <w:p w14:paraId="462A760D" w14:textId="16BE7365" w:rsidR="00585471" w:rsidRPr="00E10BE6" w:rsidRDefault="006A7B23" w:rsidP="00DA735D">
      <w:pPr>
        <w:spacing w:after="0" w:line="360" w:lineRule="auto"/>
        <w:ind w:firstLine="708"/>
        <w:jc w:val="both"/>
        <w:rPr>
          <w:rFonts w:ascii="Times New Roman" w:hAnsi="Times New Roman" w:cs="Times New Roman"/>
          <w:sz w:val="24"/>
        </w:rPr>
      </w:pPr>
      <w:r w:rsidRPr="00091A92">
        <w:rPr>
          <w:rFonts w:ascii="Times New Roman" w:hAnsi="Times New Roman" w:cs="Times New Roman"/>
          <w:sz w:val="24"/>
          <w:szCs w:val="24"/>
        </w:rPr>
        <w:t>Dalším</w:t>
      </w:r>
      <w:r w:rsidRPr="00E10BE6">
        <w:rPr>
          <w:rFonts w:ascii="Times New Roman" w:hAnsi="Times New Roman" w:cs="Times New Roman"/>
          <w:sz w:val="24"/>
          <w:szCs w:val="24"/>
        </w:rPr>
        <w:t xml:space="preserve"> významným evropským dokumentem upravujícím svobodu náboženského vyznání je </w:t>
      </w:r>
      <w:bookmarkStart w:id="27" w:name="_Hlk3364830"/>
      <w:r w:rsidRPr="00E10BE6">
        <w:rPr>
          <w:rFonts w:ascii="Times New Roman" w:hAnsi="Times New Roman" w:cs="Times New Roman"/>
          <w:sz w:val="24"/>
          <w:szCs w:val="24"/>
        </w:rPr>
        <w:t xml:space="preserve">Listina základních práv Evropské unie (dále jen Listina základních práv EU). </w:t>
      </w:r>
      <w:bookmarkEnd w:id="27"/>
      <w:r w:rsidRPr="00E10BE6">
        <w:rPr>
          <w:rFonts w:ascii="Times New Roman" w:hAnsi="Times New Roman" w:cs="Times New Roman"/>
          <w:sz w:val="24"/>
          <w:szCs w:val="24"/>
        </w:rPr>
        <w:t>Tato listina byla slavnostně vyhlášena v rámci Mezivládní konference v Nice 7. prosince 2000. Jedná se zatím o nejrozsáhlejší katalog lidských práv na mezinárodní úrovni</w:t>
      </w:r>
      <w:r w:rsidR="00002F30" w:rsidRPr="00E10BE6">
        <w:rPr>
          <w:rFonts w:ascii="Times New Roman" w:hAnsi="Times New Roman" w:cs="Times New Roman"/>
          <w:sz w:val="24"/>
          <w:szCs w:val="24"/>
        </w:rPr>
        <w:t xml:space="preserve">. </w:t>
      </w:r>
      <w:r w:rsidR="00214E68" w:rsidRPr="00E10BE6">
        <w:rPr>
          <w:rFonts w:ascii="Times New Roman" w:hAnsi="Times New Roman" w:cs="Times New Roman"/>
          <w:sz w:val="24"/>
          <w:szCs w:val="24"/>
        </w:rPr>
        <w:t>V</w:t>
      </w:r>
      <w:r w:rsidRPr="00E10BE6">
        <w:rPr>
          <w:rFonts w:ascii="Times New Roman" w:hAnsi="Times New Roman" w:cs="Times New Roman"/>
          <w:sz w:val="24"/>
          <w:szCs w:val="24"/>
        </w:rPr>
        <w:t xml:space="preserve"> jednom dokumentu jsou obsažena </w:t>
      </w:r>
      <w:r w:rsidRPr="00E10BE6">
        <w:rPr>
          <w:rFonts w:ascii="Times New Roman" w:hAnsi="Times New Roman" w:cs="Times New Roman"/>
          <w:sz w:val="24"/>
        </w:rPr>
        <w:t xml:space="preserve">jak </w:t>
      </w:r>
      <w:r w:rsidRPr="00E10BE6">
        <w:rPr>
          <w:rFonts w:ascii="Times New Roman" w:hAnsi="Times New Roman" w:cs="Times New Roman"/>
          <w:sz w:val="24"/>
          <w:szCs w:val="24"/>
        </w:rPr>
        <w:t>práva občanská a politická</w:t>
      </w:r>
      <w:r w:rsidRPr="00E10BE6">
        <w:rPr>
          <w:rFonts w:ascii="Times New Roman" w:hAnsi="Times New Roman" w:cs="Times New Roman"/>
          <w:sz w:val="24"/>
        </w:rPr>
        <w:t>, tak i</w:t>
      </w:r>
      <w:r w:rsidRPr="00E10BE6">
        <w:rPr>
          <w:rFonts w:ascii="Times New Roman" w:hAnsi="Times New Roman" w:cs="Times New Roman"/>
          <w:sz w:val="24"/>
          <w:szCs w:val="24"/>
        </w:rPr>
        <w:t xml:space="preserve"> práva hospodářská, sociální a</w:t>
      </w:r>
      <w:r w:rsidR="00214E68" w:rsidRPr="00E10BE6">
        <w:rPr>
          <w:rFonts w:ascii="Times New Roman" w:hAnsi="Times New Roman" w:cs="Times New Roman"/>
          <w:sz w:val="24"/>
          <w:szCs w:val="24"/>
        </w:rPr>
        <w:t> </w:t>
      </w:r>
      <w:r w:rsidRPr="00E10BE6">
        <w:rPr>
          <w:rFonts w:ascii="Times New Roman" w:hAnsi="Times New Roman" w:cs="Times New Roman"/>
          <w:sz w:val="24"/>
          <w:szCs w:val="24"/>
        </w:rPr>
        <w:t xml:space="preserve">kulturní. Netradiční je i </w:t>
      </w:r>
      <w:r w:rsidR="006F5B49" w:rsidRPr="00E10BE6">
        <w:rPr>
          <w:rFonts w:ascii="Times New Roman" w:hAnsi="Times New Roman" w:cs="Times New Roman"/>
          <w:sz w:val="24"/>
          <w:szCs w:val="24"/>
        </w:rPr>
        <w:t>rozdělení práv v Listině základních práv EU</w:t>
      </w:r>
      <w:r w:rsidR="00214E68" w:rsidRPr="00E10BE6">
        <w:rPr>
          <w:rFonts w:ascii="Times New Roman" w:hAnsi="Times New Roman" w:cs="Times New Roman"/>
          <w:sz w:val="24"/>
          <w:szCs w:val="24"/>
        </w:rPr>
        <w:t>.</w:t>
      </w:r>
      <w:r w:rsidR="006F5B49" w:rsidRPr="00E10BE6">
        <w:rPr>
          <w:rFonts w:ascii="Times New Roman" w:hAnsi="Times New Roman" w:cs="Times New Roman"/>
          <w:sz w:val="24"/>
          <w:szCs w:val="24"/>
        </w:rPr>
        <w:t xml:space="preserve"> Listina upouští od členění práv do generací, čímž vyjadřuje nedělitelnost lidských práv a zásadu rovnosti všech práv s neexistencí hierarchie mezi nimi.</w:t>
      </w:r>
      <w:r w:rsidR="006F5B49" w:rsidRPr="00E10BE6">
        <w:rPr>
          <w:rStyle w:val="Znakapoznpodarou"/>
          <w:rFonts w:ascii="Times New Roman" w:hAnsi="Times New Roman" w:cs="Times New Roman"/>
          <w:sz w:val="24"/>
          <w:szCs w:val="24"/>
        </w:rPr>
        <w:footnoteReference w:id="17"/>
      </w:r>
    </w:p>
    <w:p w14:paraId="6F8BDF06" w14:textId="2ABAB520" w:rsidR="0062422E" w:rsidRPr="00E10BE6" w:rsidRDefault="00BE6EC8" w:rsidP="00DA735D">
      <w:pPr>
        <w:spacing w:after="0" w:line="360" w:lineRule="auto"/>
        <w:ind w:firstLine="708"/>
        <w:jc w:val="both"/>
        <w:rPr>
          <w:rFonts w:ascii="Times New Roman" w:hAnsi="Times New Roman" w:cs="Times New Roman"/>
          <w:sz w:val="24"/>
          <w:szCs w:val="24"/>
        </w:rPr>
      </w:pPr>
      <w:r w:rsidRPr="00E10BE6">
        <w:rPr>
          <w:rFonts w:ascii="Times New Roman" w:hAnsi="Times New Roman" w:cs="Times New Roman"/>
          <w:sz w:val="24"/>
          <w:szCs w:val="24"/>
        </w:rPr>
        <w:t>Listina základních práv EU však nebyla právně závazná</w:t>
      </w:r>
      <w:r w:rsidR="00296DB7" w:rsidRPr="00E10BE6">
        <w:rPr>
          <w:rFonts w:ascii="Times New Roman" w:hAnsi="Times New Roman" w:cs="Times New Roman"/>
          <w:sz w:val="24"/>
          <w:szCs w:val="24"/>
        </w:rPr>
        <w:t xml:space="preserve"> </w:t>
      </w:r>
      <w:r w:rsidR="00075E14" w:rsidRPr="00E10BE6">
        <w:rPr>
          <w:rFonts w:ascii="Times New Roman" w:hAnsi="Times New Roman" w:cs="Times New Roman"/>
          <w:sz w:val="24"/>
          <w:szCs w:val="24"/>
        </w:rPr>
        <w:t>hned</w:t>
      </w:r>
      <w:r w:rsidRPr="00E10BE6">
        <w:rPr>
          <w:rFonts w:ascii="Times New Roman" w:hAnsi="Times New Roman" w:cs="Times New Roman"/>
          <w:sz w:val="24"/>
          <w:szCs w:val="24"/>
        </w:rPr>
        <w:t xml:space="preserve"> od svého vyhlášení v roce 2000. Původně měla Listina základních práv EU získat svoji právní závaznost jako součást Smlouvy o Ústavě pro Evropu, </w:t>
      </w:r>
      <w:r w:rsidR="00075E14" w:rsidRPr="00E10BE6">
        <w:rPr>
          <w:rFonts w:ascii="Times New Roman" w:hAnsi="Times New Roman" w:cs="Times New Roman"/>
          <w:sz w:val="24"/>
          <w:szCs w:val="24"/>
        </w:rPr>
        <w:t xml:space="preserve">konkrétně </w:t>
      </w:r>
      <w:r w:rsidRPr="00E10BE6">
        <w:rPr>
          <w:rFonts w:ascii="Times New Roman" w:hAnsi="Times New Roman" w:cs="Times New Roman"/>
          <w:sz w:val="24"/>
          <w:szCs w:val="24"/>
        </w:rPr>
        <w:t>jako její Část II. Tato smlouva však nikdy nevstoupila v platnost. Právní závaznosti se tedy Listině základních práv EU dostalo až platností Lisabonské smlouvy.</w:t>
      </w:r>
      <w:r w:rsidRPr="00E10BE6">
        <w:rPr>
          <w:rStyle w:val="Znakapoznpodarou"/>
          <w:rFonts w:ascii="Times New Roman" w:hAnsi="Times New Roman" w:cs="Times New Roman"/>
          <w:sz w:val="24"/>
          <w:szCs w:val="24"/>
        </w:rPr>
        <w:footnoteReference w:id="18"/>
      </w:r>
      <w:r w:rsidRPr="00E10BE6">
        <w:rPr>
          <w:rFonts w:ascii="Times New Roman" w:hAnsi="Times New Roman" w:cs="Times New Roman"/>
          <w:sz w:val="24"/>
          <w:szCs w:val="24"/>
        </w:rPr>
        <w:t xml:space="preserve"> Lisabonská smlouva pozměnila článek 6 Smlouvy o EU takto: </w:t>
      </w:r>
      <w:r w:rsidRPr="00E10BE6">
        <w:rPr>
          <w:rFonts w:ascii="Times New Roman" w:hAnsi="Times New Roman" w:cs="Times New Roman"/>
          <w:i/>
          <w:iCs/>
          <w:sz w:val="24"/>
          <w:szCs w:val="24"/>
        </w:rPr>
        <w:t>„Unie uznává práva, svobody a zásady obsažené v Listině základních práv Evropské unie ze dne 7.</w:t>
      </w:r>
      <w:r w:rsidR="00214E68" w:rsidRPr="00E10BE6">
        <w:rPr>
          <w:rFonts w:ascii="Times New Roman" w:hAnsi="Times New Roman" w:cs="Times New Roman"/>
          <w:i/>
          <w:iCs/>
          <w:sz w:val="24"/>
          <w:szCs w:val="24"/>
        </w:rPr>
        <w:t> </w:t>
      </w:r>
      <w:r w:rsidRPr="00E10BE6">
        <w:rPr>
          <w:rFonts w:ascii="Times New Roman" w:hAnsi="Times New Roman" w:cs="Times New Roman"/>
          <w:i/>
          <w:iCs/>
          <w:sz w:val="24"/>
          <w:szCs w:val="24"/>
        </w:rPr>
        <w:t>prosince 2000, ve znění upraveném dne 12. prosince 2007 ve Štrasburku, jež má stejnou právní sílu jako Smlouvy“</w:t>
      </w:r>
      <w:r w:rsidRPr="00E10BE6">
        <w:rPr>
          <w:rFonts w:ascii="Times New Roman" w:hAnsi="Times New Roman" w:cs="Times New Roman"/>
          <w:sz w:val="24"/>
          <w:szCs w:val="24"/>
        </w:rPr>
        <w:t>.</w:t>
      </w:r>
      <w:r w:rsidRPr="00E10BE6">
        <w:rPr>
          <w:rStyle w:val="Znakapoznpodarou"/>
          <w:rFonts w:ascii="Times New Roman" w:hAnsi="Times New Roman" w:cs="Times New Roman"/>
          <w:sz w:val="24"/>
          <w:szCs w:val="24"/>
        </w:rPr>
        <w:footnoteReference w:id="19"/>
      </w:r>
    </w:p>
    <w:p w14:paraId="3F9F081E" w14:textId="5BA0143A" w:rsidR="006F5B49" w:rsidRPr="00E10BE6" w:rsidRDefault="00296DB7" w:rsidP="00DA735D">
      <w:pPr>
        <w:spacing w:after="0" w:line="360" w:lineRule="auto"/>
        <w:ind w:firstLine="708"/>
        <w:jc w:val="both"/>
        <w:rPr>
          <w:rFonts w:ascii="Times New Roman" w:hAnsi="Times New Roman" w:cs="Times New Roman"/>
          <w:sz w:val="24"/>
          <w:szCs w:val="24"/>
        </w:rPr>
      </w:pPr>
      <w:r w:rsidRPr="009D4C07">
        <w:rPr>
          <w:rFonts w:ascii="Times New Roman" w:hAnsi="Times New Roman" w:cs="Times New Roman"/>
          <w:sz w:val="24"/>
          <w:szCs w:val="24"/>
        </w:rPr>
        <w:lastRenderedPageBreak/>
        <w:t>Svoboda</w:t>
      </w:r>
      <w:r w:rsidRPr="00E10BE6">
        <w:rPr>
          <w:rFonts w:ascii="Times New Roman" w:hAnsi="Times New Roman" w:cs="Times New Roman"/>
          <w:sz w:val="24"/>
          <w:szCs w:val="24"/>
        </w:rPr>
        <w:t xml:space="preserve"> myšlení, svědomí a náboženského vyznání je upravena v hlavě II. (Svobody), konkrétně v čl. 10. Samotný obsah článku je téměř totožný se zněním čl. 9 </w:t>
      </w:r>
      <w:r w:rsidR="008C25ED">
        <w:rPr>
          <w:rFonts w:ascii="Times New Roman" w:hAnsi="Times New Roman" w:cs="Times New Roman"/>
          <w:sz w:val="24"/>
          <w:szCs w:val="24"/>
        </w:rPr>
        <w:t>Ú</w:t>
      </w:r>
      <w:r w:rsidRPr="00E10BE6">
        <w:rPr>
          <w:rFonts w:ascii="Times New Roman" w:hAnsi="Times New Roman" w:cs="Times New Roman"/>
          <w:sz w:val="24"/>
          <w:szCs w:val="24"/>
        </w:rPr>
        <w:t>mluvy o</w:t>
      </w:r>
      <w:r w:rsidR="00214E68" w:rsidRPr="00E10BE6">
        <w:rPr>
          <w:rFonts w:ascii="Times New Roman" w:hAnsi="Times New Roman" w:cs="Times New Roman"/>
          <w:sz w:val="24"/>
          <w:szCs w:val="24"/>
        </w:rPr>
        <w:t> </w:t>
      </w:r>
      <w:r w:rsidRPr="00E10BE6">
        <w:rPr>
          <w:rFonts w:ascii="Times New Roman" w:hAnsi="Times New Roman" w:cs="Times New Roman"/>
          <w:sz w:val="24"/>
          <w:szCs w:val="24"/>
        </w:rPr>
        <w:t xml:space="preserve">ochraně lidských práv a základních svobod. Na rozdíl od Úmluvy Listina základních práv EU zakotvuje v druhém odstavci čl. 10 právo odmítnout vykonávat vojenskou službu z důvodu svědomí. V čl. 52 Listiny základních práv EU je </w:t>
      </w:r>
      <w:r w:rsidRPr="00E10BE6">
        <w:rPr>
          <w:rFonts w:ascii="Times New Roman" w:hAnsi="Times New Roman" w:cs="Times New Roman"/>
          <w:sz w:val="24"/>
        </w:rPr>
        <w:t xml:space="preserve">poté </w:t>
      </w:r>
      <w:r w:rsidRPr="00E10BE6">
        <w:rPr>
          <w:rFonts w:ascii="Times New Roman" w:hAnsi="Times New Roman" w:cs="Times New Roman"/>
          <w:sz w:val="24"/>
          <w:szCs w:val="24"/>
        </w:rPr>
        <w:t>obsažena generální omezující klauzule.</w:t>
      </w:r>
    </w:p>
    <w:p w14:paraId="5BE58005" w14:textId="7C405DE3" w:rsidR="00D33C09" w:rsidRPr="00E10BE6" w:rsidRDefault="00296DB7" w:rsidP="00DA735D">
      <w:pPr>
        <w:spacing w:after="0" w:line="360" w:lineRule="auto"/>
        <w:ind w:firstLine="708"/>
        <w:jc w:val="both"/>
        <w:rPr>
          <w:rFonts w:ascii="Times New Roman" w:hAnsi="Times New Roman" w:cs="Times New Roman"/>
          <w:i/>
          <w:sz w:val="24"/>
        </w:rPr>
      </w:pPr>
      <w:r w:rsidRPr="00E10BE6">
        <w:rPr>
          <w:rFonts w:ascii="Times New Roman" w:hAnsi="Times New Roman" w:cs="Times New Roman"/>
          <w:sz w:val="24"/>
        </w:rPr>
        <w:t xml:space="preserve">Co se týče vzájemného postavení Listiny základních práv EU a Úmluvy, odpověď přímo poskytuje Listina základních práv EU ve svém čl. </w:t>
      </w:r>
      <w:r w:rsidR="00746BBD" w:rsidRPr="00E10BE6">
        <w:rPr>
          <w:rFonts w:ascii="Times New Roman" w:hAnsi="Times New Roman" w:cs="Times New Roman"/>
          <w:sz w:val="24"/>
        </w:rPr>
        <w:t xml:space="preserve">52, bodě 3: </w:t>
      </w:r>
      <w:r w:rsidR="00746BBD" w:rsidRPr="00E10BE6">
        <w:rPr>
          <w:rFonts w:ascii="Times New Roman" w:hAnsi="Times New Roman" w:cs="Times New Roman"/>
          <w:i/>
          <w:sz w:val="24"/>
        </w:rPr>
        <w:t>„Pokud tato listina obsahuje práva odpovídající právům zaručeným Úmluvou o ochraně lidských práv a základních svobod, jsou smysl a rozsah těchto práv stejné jako ty, které jim přikládá uvedená úmluva. Toto ustanovení nebrání tomu, aby právo Unie poskytovalo širší ochranu.“</w:t>
      </w:r>
      <w:r w:rsidR="00746BBD" w:rsidRPr="00E10BE6">
        <w:rPr>
          <w:rStyle w:val="Znakapoznpodarou"/>
          <w:rFonts w:ascii="Times New Roman" w:hAnsi="Times New Roman" w:cs="Times New Roman"/>
          <w:i/>
          <w:sz w:val="24"/>
        </w:rPr>
        <w:footnoteReference w:id="20"/>
      </w:r>
    </w:p>
    <w:p w14:paraId="244D182D" w14:textId="5F533481" w:rsidR="0030507F" w:rsidRPr="00E10BE6" w:rsidRDefault="009A09F6" w:rsidP="00DA735D">
      <w:pPr>
        <w:pStyle w:val="Nadpis3"/>
        <w:jc w:val="both"/>
        <w:rPr>
          <w:rFonts w:cs="Times New Roman"/>
        </w:rPr>
      </w:pPr>
      <w:bookmarkStart w:id="30" w:name="_Toc536289139"/>
      <w:bookmarkStart w:id="31" w:name="_Toc169296"/>
      <w:bookmarkStart w:id="32" w:name="_Toc3454697"/>
      <w:r w:rsidRPr="00E10BE6">
        <w:rPr>
          <w:rFonts w:cs="Times New Roman"/>
        </w:rPr>
        <w:t>Zakotvení svobody vyznání v českém právním řádu</w:t>
      </w:r>
      <w:bookmarkEnd w:id="30"/>
      <w:bookmarkEnd w:id="31"/>
      <w:bookmarkEnd w:id="32"/>
    </w:p>
    <w:p w14:paraId="4E7E33E6" w14:textId="523CE7CF" w:rsidR="0030507F" w:rsidRPr="00E10BE6" w:rsidRDefault="002B014C" w:rsidP="00DA735D">
      <w:pPr>
        <w:spacing w:after="0" w:line="360" w:lineRule="auto"/>
        <w:ind w:firstLine="708"/>
        <w:jc w:val="both"/>
        <w:rPr>
          <w:rFonts w:ascii="Times New Roman" w:hAnsi="Times New Roman" w:cs="Times New Roman"/>
          <w:sz w:val="24"/>
        </w:rPr>
      </w:pPr>
      <w:r w:rsidRPr="001D2C80">
        <w:rPr>
          <w:rFonts w:ascii="Times New Roman" w:hAnsi="Times New Roman" w:cs="Times New Roman"/>
          <w:sz w:val="24"/>
        </w:rPr>
        <w:t xml:space="preserve">Jak jsem psala již v úvodu mé práce, </w:t>
      </w:r>
      <w:r w:rsidRPr="009D4C07">
        <w:rPr>
          <w:rFonts w:ascii="Times New Roman" w:hAnsi="Times New Roman" w:cs="Times New Roman"/>
          <w:sz w:val="24"/>
        </w:rPr>
        <w:t>Česká republika zatím neučinila žádné kroky směřující k zákazu nošení muslimských šátků</w:t>
      </w:r>
      <w:r w:rsidR="00214E68" w:rsidRPr="009D4C07">
        <w:rPr>
          <w:rFonts w:ascii="Times New Roman" w:hAnsi="Times New Roman" w:cs="Times New Roman"/>
          <w:sz w:val="24"/>
        </w:rPr>
        <w:t>,</w:t>
      </w:r>
      <w:r w:rsidRPr="009D4C07">
        <w:rPr>
          <w:rFonts w:ascii="Times New Roman" w:hAnsi="Times New Roman" w:cs="Times New Roman"/>
          <w:sz w:val="24"/>
        </w:rPr>
        <w:t xml:space="preserve"> nebo jiné formy zahalování na veřejnosti na celém jejím území. Je otázkou, zda se tak stane v budoucnu a zda vůbec existují nějaké důvody pro takové kroky. </w:t>
      </w:r>
      <w:r w:rsidR="008C25ED">
        <w:rPr>
          <w:rFonts w:ascii="Times New Roman" w:hAnsi="Times New Roman" w:cs="Times New Roman"/>
          <w:sz w:val="24"/>
        </w:rPr>
        <w:t>Pro úplnost se však věnuji i české právní úpravě.</w:t>
      </w:r>
    </w:p>
    <w:p w14:paraId="65CD650B" w14:textId="04388603" w:rsidR="00A25D74" w:rsidRPr="00E10BE6" w:rsidRDefault="007A44C0" w:rsidP="00DA735D">
      <w:pPr>
        <w:spacing w:after="0" w:line="360" w:lineRule="auto"/>
        <w:ind w:firstLine="708"/>
        <w:jc w:val="both"/>
        <w:rPr>
          <w:rFonts w:ascii="Times New Roman" w:hAnsi="Times New Roman" w:cs="Times New Roman"/>
          <w:sz w:val="24"/>
          <w:szCs w:val="24"/>
        </w:rPr>
      </w:pPr>
      <w:r w:rsidRPr="00E10BE6">
        <w:rPr>
          <w:rFonts w:ascii="Times New Roman" w:hAnsi="Times New Roman" w:cs="Times New Roman"/>
          <w:sz w:val="24"/>
          <w:szCs w:val="24"/>
        </w:rPr>
        <w:t>Listina základních práv a svobod, která je součástí ústavního pořádku České republiky, zakazuje ve svém článku 2 státu vázat se na výlučnou ideologii, či na náboženské vyznání.</w:t>
      </w:r>
      <w:r w:rsidR="0076277E" w:rsidRPr="00E10BE6">
        <w:rPr>
          <w:rStyle w:val="Znakapoznpodarou"/>
          <w:rFonts w:ascii="Times New Roman" w:hAnsi="Times New Roman" w:cs="Times New Roman"/>
          <w:sz w:val="24"/>
          <w:szCs w:val="24"/>
        </w:rPr>
        <w:footnoteReference w:id="21"/>
      </w:r>
      <w:r w:rsidR="00CF4489" w:rsidRPr="00E10BE6">
        <w:rPr>
          <w:rFonts w:ascii="Times New Roman" w:hAnsi="Times New Roman" w:cs="Times New Roman"/>
          <w:sz w:val="24"/>
          <w:szCs w:val="24"/>
        </w:rPr>
        <w:t xml:space="preserve"> </w:t>
      </w:r>
      <w:r w:rsidR="002D4984" w:rsidRPr="00E10BE6">
        <w:rPr>
          <w:rFonts w:ascii="Times New Roman" w:hAnsi="Times New Roman" w:cs="Times New Roman"/>
          <w:sz w:val="24"/>
          <w:szCs w:val="24"/>
        </w:rPr>
        <w:t xml:space="preserve">Jedná se o vyjádření náboženské neutrality státu. </w:t>
      </w:r>
      <w:r w:rsidR="00CF4489" w:rsidRPr="00E10BE6">
        <w:rPr>
          <w:rFonts w:ascii="Times New Roman" w:hAnsi="Times New Roman" w:cs="Times New Roman"/>
          <w:sz w:val="24"/>
          <w:szCs w:val="24"/>
        </w:rPr>
        <w:t>I když tento zákaz vyjadřuje liberalitu státu a</w:t>
      </w:r>
      <w:r w:rsidR="00792105" w:rsidRPr="00E10BE6">
        <w:rPr>
          <w:rFonts w:ascii="Times New Roman" w:hAnsi="Times New Roman" w:cs="Times New Roman"/>
          <w:sz w:val="24"/>
          <w:szCs w:val="24"/>
        </w:rPr>
        <w:t> </w:t>
      </w:r>
      <w:r w:rsidR="00CF4489" w:rsidRPr="00E10BE6">
        <w:rPr>
          <w:rFonts w:ascii="Times New Roman" w:hAnsi="Times New Roman" w:cs="Times New Roman"/>
          <w:sz w:val="24"/>
          <w:szCs w:val="24"/>
        </w:rPr>
        <w:t xml:space="preserve">jeho toleranci k nejrůznějším ideovým proudům, </w:t>
      </w:r>
      <w:r w:rsidR="002B014C" w:rsidRPr="009D4C07">
        <w:rPr>
          <w:rFonts w:ascii="Times New Roman" w:hAnsi="Times New Roman" w:cs="Times New Roman"/>
          <w:sz w:val="24"/>
          <w:szCs w:val="24"/>
        </w:rPr>
        <w:t xml:space="preserve">nemůže zároveň vyjadřovat </w:t>
      </w:r>
      <w:r w:rsidR="002B014C" w:rsidRPr="00E10BE6">
        <w:rPr>
          <w:rFonts w:ascii="Times New Roman" w:hAnsi="Times New Roman" w:cs="Times New Roman"/>
          <w:sz w:val="24"/>
          <w:szCs w:val="24"/>
        </w:rPr>
        <w:t>toleranci státu</w:t>
      </w:r>
      <w:r w:rsidR="00CF4489" w:rsidRPr="00E10BE6">
        <w:rPr>
          <w:rFonts w:ascii="Times New Roman" w:hAnsi="Times New Roman" w:cs="Times New Roman"/>
          <w:sz w:val="24"/>
          <w:szCs w:val="24"/>
        </w:rPr>
        <w:t xml:space="preserve"> k proudům, které mají za cíl narušit ústavně politický systém. Proti takovým proudům může stát zakročit, pokud se subjekty nepohybují v mezích d</w:t>
      </w:r>
      <w:r w:rsidR="0030507F" w:rsidRPr="00E10BE6">
        <w:rPr>
          <w:rFonts w:ascii="Times New Roman" w:hAnsi="Times New Roman" w:cs="Times New Roman"/>
          <w:sz w:val="24"/>
          <w:szCs w:val="24"/>
        </w:rPr>
        <w:t xml:space="preserve">aných demokratickými hodnotami. </w:t>
      </w:r>
      <w:r w:rsidR="0099336C" w:rsidRPr="00E10BE6">
        <w:rPr>
          <w:rFonts w:ascii="Times New Roman" w:hAnsi="Times New Roman" w:cs="Times New Roman"/>
          <w:sz w:val="24"/>
          <w:szCs w:val="24"/>
        </w:rPr>
        <w:t>Eliška Wa</w:t>
      </w:r>
      <w:r w:rsidR="00923460" w:rsidRPr="00E10BE6">
        <w:rPr>
          <w:rFonts w:ascii="Times New Roman" w:hAnsi="Times New Roman" w:cs="Times New Roman"/>
          <w:sz w:val="24"/>
          <w:szCs w:val="24"/>
        </w:rPr>
        <w:t>gnerová chápe toto ustanovení nejen jako pokyn k toleranci ze strany státu, ale i</w:t>
      </w:r>
      <w:r w:rsidR="00792105" w:rsidRPr="00E10BE6">
        <w:rPr>
          <w:rFonts w:ascii="Times New Roman" w:hAnsi="Times New Roman" w:cs="Times New Roman"/>
          <w:sz w:val="24"/>
          <w:szCs w:val="24"/>
        </w:rPr>
        <w:t> </w:t>
      </w:r>
      <w:r w:rsidR="00923460" w:rsidRPr="00E10BE6">
        <w:rPr>
          <w:rFonts w:ascii="Times New Roman" w:hAnsi="Times New Roman" w:cs="Times New Roman"/>
          <w:sz w:val="24"/>
          <w:szCs w:val="24"/>
        </w:rPr>
        <w:t xml:space="preserve">jako </w:t>
      </w:r>
      <w:r w:rsidR="00923460" w:rsidRPr="0049591F">
        <w:rPr>
          <w:rFonts w:ascii="Times New Roman" w:hAnsi="Times New Roman" w:cs="Times New Roman"/>
          <w:i/>
          <w:iCs/>
          <w:sz w:val="24"/>
          <w:szCs w:val="24"/>
        </w:rPr>
        <w:t>„</w:t>
      </w:r>
      <w:r w:rsidR="00923460" w:rsidRPr="00E10BE6">
        <w:rPr>
          <w:rFonts w:ascii="Times New Roman" w:hAnsi="Times New Roman" w:cs="Times New Roman"/>
          <w:i/>
          <w:iCs/>
          <w:sz w:val="24"/>
          <w:szCs w:val="24"/>
        </w:rPr>
        <w:t>jednoznačný pokyn ke stejnému, resp. rovnému zacházení státu se všemi subjekty tvořícími společnost, jež se vyznačuje pluralitou ideo</w:t>
      </w:r>
      <w:r w:rsidR="006E0483" w:rsidRPr="00E10BE6">
        <w:rPr>
          <w:rFonts w:ascii="Times New Roman" w:hAnsi="Times New Roman" w:cs="Times New Roman"/>
          <w:i/>
          <w:iCs/>
          <w:sz w:val="24"/>
          <w:szCs w:val="24"/>
        </w:rPr>
        <w:t>vou či světonázorovou i pluralitou náboženskou.“</w:t>
      </w:r>
      <w:r w:rsidR="006E0483" w:rsidRPr="00E10BE6">
        <w:rPr>
          <w:rFonts w:ascii="Times New Roman" w:hAnsi="Times New Roman" w:cs="Times New Roman"/>
          <w:sz w:val="24"/>
          <w:szCs w:val="24"/>
        </w:rPr>
        <w:t xml:space="preserve"> Nestačí tedy, aby </w:t>
      </w:r>
      <w:r w:rsidR="005D1BA7">
        <w:rPr>
          <w:rFonts w:ascii="Times New Roman" w:hAnsi="Times New Roman" w:cs="Times New Roman"/>
          <w:sz w:val="24"/>
          <w:szCs w:val="24"/>
        </w:rPr>
        <w:t xml:space="preserve">byl </w:t>
      </w:r>
      <w:r w:rsidR="006E0483" w:rsidRPr="00E10BE6">
        <w:rPr>
          <w:rFonts w:ascii="Times New Roman" w:hAnsi="Times New Roman" w:cs="Times New Roman"/>
          <w:sz w:val="24"/>
          <w:szCs w:val="24"/>
        </w:rPr>
        <w:t>stát</w:t>
      </w:r>
      <w:r w:rsidR="005D1BA7">
        <w:rPr>
          <w:rFonts w:ascii="Times New Roman" w:hAnsi="Times New Roman" w:cs="Times New Roman"/>
          <w:sz w:val="24"/>
          <w:szCs w:val="24"/>
        </w:rPr>
        <w:t xml:space="preserve"> </w:t>
      </w:r>
      <w:r w:rsidR="006E0483" w:rsidRPr="00E10BE6">
        <w:rPr>
          <w:rFonts w:ascii="Times New Roman" w:hAnsi="Times New Roman" w:cs="Times New Roman"/>
          <w:sz w:val="24"/>
          <w:szCs w:val="24"/>
        </w:rPr>
        <w:t>v daných oblastech tolerantní,</w:t>
      </w:r>
      <w:r w:rsidR="005D1BA7">
        <w:rPr>
          <w:rFonts w:ascii="Times New Roman" w:hAnsi="Times New Roman" w:cs="Times New Roman"/>
          <w:sz w:val="24"/>
          <w:szCs w:val="24"/>
        </w:rPr>
        <w:t xml:space="preserve"> </w:t>
      </w:r>
      <w:r w:rsidR="006E0483" w:rsidRPr="00E10BE6">
        <w:rPr>
          <w:rFonts w:ascii="Times New Roman" w:hAnsi="Times New Roman" w:cs="Times New Roman"/>
          <w:sz w:val="24"/>
          <w:szCs w:val="24"/>
        </w:rPr>
        <w:t>stát musí naopak dopřát rovné zacházení všem.</w:t>
      </w:r>
      <w:r w:rsidR="00CF4489" w:rsidRPr="00E10BE6">
        <w:rPr>
          <w:rStyle w:val="Znakapoznpodarou"/>
          <w:rFonts w:ascii="Times New Roman" w:hAnsi="Times New Roman" w:cs="Times New Roman"/>
          <w:sz w:val="24"/>
          <w:szCs w:val="24"/>
        </w:rPr>
        <w:footnoteReference w:id="22"/>
      </w:r>
    </w:p>
    <w:p w14:paraId="256919AD" w14:textId="4E13C624" w:rsidR="004749DB" w:rsidRPr="00E10BE6" w:rsidRDefault="00256C0F" w:rsidP="00DA735D">
      <w:pPr>
        <w:spacing w:after="0" w:line="360" w:lineRule="auto"/>
        <w:ind w:firstLine="708"/>
        <w:jc w:val="both"/>
        <w:rPr>
          <w:rFonts w:ascii="Times New Roman" w:hAnsi="Times New Roman" w:cs="Times New Roman"/>
          <w:i/>
          <w:sz w:val="24"/>
        </w:rPr>
      </w:pPr>
      <w:r w:rsidRPr="00E10BE6">
        <w:rPr>
          <w:rFonts w:ascii="Times New Roman" w:hAnsi="Times New Roman" w:cs="Times New Roman"/>
          <w:sz w:val="24"/>
        </w:rPr>
        <w:t>Článek 15 odst.</w:t>
      </w:r>
      <w:r w:rsidR="0030507F" w:rsidRPr="00E10BE6">
        <w:rPr>
          <w:rFonts w:ascii="Times New Roman" w:hAnsi="Times New Roman" w:cs="Times New Roman"/>
          <w:sz w:val="24"/>
        </w:rPr>
        <w:t xml:space="preserve"> 1</w:t>
      </w:r>
      <w:r w:rsidRPr="00E10BE6">
        <w:rPr>
          <w:rFonts w:ascii="Times New Roman" w:hAnsi="Times New Roman" w:cs="Times New Roman"/>
          <w:sz w:val="24"/>
        </w:rPr>
        <w:t xml:space="preserve"> Listiny zaručuje svobodu myšlení, svědomí a náboženského vyznání a zakotvuje právo každého změnit své náboženství nebo víru</w:t>
      </w:r>
      <w:r w:rsidR="00792105" w:rsidRPr="00E10BE6">
        <w:rPr>
          <w:rFonts w:ascii="Times New Roman" w:hAnsi="Times New Roman" w:cs="Times New Roman"/>
          <w:sz w:val="24"/>
        </w:rPr>
        <w:t>,</w:t>
      </w:r>
      <w:r w:rsidRPr="00E10BE6">
        <w:rPr>
          <w:rFonts w:ascii="Times New Roman" w:hAnsi="Times New Roman" w:cs="Times New Roman"/>
          <w:sz w:val="24"/>
        </w:rPr>
        <w:t xml:space="preserve"> anebo být bez náboženského </w:t>
      </w:r>
      <w:r w:rsidRPr="00E10BE6">
        <w:rPr>
          <w:rFonts w:ascii="Times New Roman" w:hAnsi="Times New Roman" w:cs="Times New Roman"/>
          <w:sz w:val="24"/>
        </w:rPr>
        <w:lastRenderedPageBreak/>
        <w:t>vyznání.</w:t>
      </w:r>
      <w:r w:rsidR="007C4933" w:rsidRPr="00E10BE6">
        <w:rPr>
          <w:rFonts w:ascii="Times New Roman" w:hAnsi="Times New Roman" w:cs="Times New Roman"/>
          <w:sz w:val="24"/>
        </w:rPr>
        <w:t xml:space="preserve"> Jak uvádí Petr </w:t>
      </w:r>
      <w:proofErr w:type="spellStart"/>
      <w:r w:rsidR="007C4933" w:rsidRPr="00E10BE6">
        <w:rPr>
          <w:rFonts w:ascii="Times New Roman" w:hAnsi="Times New Roman" w:cs="Times New Roman"/>
          <w:sz w:val="24"/>
        </w:rPr>
        <w:t>Jäger</w:t>
      </w:r>
      <w:proofErr w:type="spellEnd"/>
      <w:r w:rsidR="007C4933" w:rsidRPr="00E10BE6">
        <w:rPr>
          <w:rFonts w:ascii="Times New Roman" w:hAnsi="Times New Roman" w:cs="Times New Roman"/>
          <w:sz w:val="24"/>
        </w:rPr>
        <w:t xml:space="preserve">: </w:t>
      </w:r>
      <w:r w:rsidR="007C4933" w:rsidRPr="00E10BE6">
        <w:rPr>
          <w:rFonts w:ascii="Times New Roman" w:hAnsi="Times New Roman" w:cs="Times New Roman"/>
          <w:i/>
          <w:sz w:val="24"/>
        </w:rPr>
        <w:t>„První věta čl. 15 odst. 1</w:t>
      </w:r>
      <w:r w:rsidR="00197D27" w:rsidRPr="00E10BE6">
        <w:rPr>
          <w:rStyle w:val="Znakapoznpodarou"/>
          <w:rFonts w:ascii="Times New Roman" w:hAnsi="Times New Roman" w:cs="Times New Roman"/>
          <w:i/>
          <w:sz w:val="24"/>
        </w:rPr>
        <w:footnoteReference w:id="23"/>
      </w:r>
      <w:r w:rsidR="007C4933" w:rsidRPr="00E10BE6">
        <w:rPr>
          <w:rFonts w:ascii="Times New Roman" w:hAnsi="Times New Roman" w:cs="Times New Roman"/>
          <w:i/>
          <w:sz w:val="24"/>
        </w:rPr>
        <w:t xml:space="preserve"> představuje záruku nedotknutelnosti bytostně privátních rozumových, hodnotových, hodnotících i emocionálních činností člověk, označovaných jako tzv. forum internum. Jedná se o takové subjektivní přesvědčení jedince, jehož obsah není bez dalšího seznatelný, pokud to jedinec sám svými projevy či postoji neumožní.</w:t>
      </w:r>
      <w:r w:rsidR="00197D27" w:rsidRPr="00E10BE6">
        <w:rPr>
          <w:rFonts w:ascii="Times New Roman" w:hAnsi="Times New Roman" w:cs="Times New Roman"/>
          <w:i/>
          <w:sz w:val="24"/>
        </w:rPr>
        <w:t xml:space="preserve"> K základním charakteristikám fori interni patří jeho absolutní povaha, tedy absence ospravedlnitelných důvodů pro jeho omezení.</w:t>
      </w:r>
      <w:r w:rsidR="007C4933" w:rsidRPr="00E10BE6">
        <w:rPr>
          <w:rFonts w:ascii="Times New Roman" w:hAnsi="Times New Roman" w:cs="Times New Roman"/>
          <w:i/>
          <w:sz w:val="24"/>
        </w:rPr>
        <w:t>“</w:t>
      </w:r>
      <w:r w:rsidR="00197D27" w:rsidRPr="00E10BE6">
        <w:rPr>
          <w:rStyle w:val="Znakapoznpodarou"/>
          <w:rFonts w:ascii="Times New Roman" w:hAnsi="Times New Roman" w:cs="Times New Roman"/>
          <w:i/>
          <w:sz w:val="24"/>
        </w:rPr>
        <w:footnoteReference w:id="24"/>
      </w:r>
    </w:p>
    <w:p w14:paraId="76D50C09" w14:textId="586EDF89" w:rsidR="00F07C9C" w:rsidRPr="00E10BE6" w:rsidRDefault="007A0C6D" w:rsidP="00CF7691">
      <w:pPr>
        <w:spacing w:after="0" w:line="360" w:lineRule="auto"/>
        <w:ind w:firstLine="708"/>
        <w:jc w:val="both"/>
        <w:rPr>
          <w:rFonts w:ascii="Times New Roman" w:hAnsi="Times New Roman" w:cs="Times New Roman"/>
          <w:sz w:val="24"/>
          <w:szCs w:val="24"/>
        </w:rPr>
      </w:pPr>
      <w:r w:rsidRPr="00E10BE6">
        <w:rPr>
          <w:rFonts w:ascii="Times New Roman" w:hAnsi="Times New Roman" w:cs="Times New Roman"/>
          <w:sz w:val="24"/>
          <w:szCs w:val="24"/>
        </w:rPr>
        <w:t>Článek 15 Listiny tedy zaručuje svobodu „vnitřního světa jedince“. Aby však člověk mohl plně vyznávat určitou víru nebo přesvědčení, musí nutně to</w:t>
      </w:r>
      <w:r w:rsidR="003D5A01" w:rsidRPr="00E10BE6">
        <w:rPr>
          <w:rFonts w:ascii="Times New Roman" w:hAnsi="Times New Roman" w:cs="Times New Roman"/>
          <w:sz w:val="24"/>
          <w:szCs w:val="24"/>
        </w:rPr>
        <w:t>to vyznání projevovat i</w:t>
      </w:r>
      <w:r w:rsidR="00792105" w:rsidRPr="00E10BE6">
        <w:rPr>
          <w:rFonts w:ascii="Times New Roman" w:hAnsi="Times New Roman" w:cs="Times New Roman"/>
          <w:sz w:val="24"/>
          <w:szCs w:val="24"/>
        </w:rPr>
        <w:t> </w:t>
      </w:r>
      <w:r w:rsidR="003D5A01" w:rsidRPr="00E10BE6">
        <w:rPr>
          <w:rFonts w:ascii="Times New Roman" w:hAnsi="Times New Roman" w:cs="Times New Roman"/>
          <w:sz w:val="24"/>
          <w:szCs w:val="24"/>
        </w:rPr>
        <w:t xml:space="preserve">navenek, ať už účastí na náboženských obřadech či nošením náboženských symbolů </w:t>
      </w:r>
      <w:r w:rsidR="00792105" w:rsidRPr="00E10BE6">
        <w:rPr>
          <w:rFonts w:ascii="Times New Roman" w:hAnsi="Times New Roman" w:cs="Times New Roman"/>
          <w:sz w:val="24"/>
          <w:szCs w:val="24"/>
        </w:rPr>
        <w:t xml:space="preserve">či </w:t>
      </w:r>
      <w:r w:rsidR="003D5A01" w:rsidRPr="00E10BE6">
        <w:rPr>
          <w:rFonts w:ascii="Times New Roman" w:hAnsi="Times New Roman" w:cs="Times New Roman"/>
          <w:sz w:val="24"/>
          <w:szCs w:val="24"/>
        </w:rPr>
        <w:t>oblečení. Listina pamatuje i na</w:t>
      </w:r>
      <w:r w:rsidR="00F07C9C" w:rsidRPr="00E10BE6">
        <w:rPr>
          <w:rFonts w:ascii="Times New Roman" w:hAnsi="Times New Roman" w:cs="Times New Roman"/>
          <w:sz w:val="24"/>
          <w:szCs w:val="24"/>
        </w:rPr>
        <w:t xml:space="preserve"> ochranu projevu vyznání</w:t>
      </w:r>
      <w:r w:rsidR="004749DB" w:rsidRPr="00E10BE6">
        <w:rPr>
          <w:rFonts w:ascii="Times New Roman" w:hAnsi="Times New Roman" w:cs="Times New Roman"/>
          <w:sz w:val="24"/>
          <w:szCs w:val="24"/>
        </w:rPr>
        <w:t xml:space="preserve"> speciálním článkem 16.</w:t>
      </w:r>
      <w:r w:rsidR="0030507F" w:rsidRPr="00E10BE6">
        <w:rPr>
          <w:rFonts w:ascii="Times New Roman" w:hAnsi="Times New Roman" w:cs="Times New Roman"/>
          <w:sz w:val="24"/>
          <w:szCs w:val="24"/>
        </w:rPr>
        <w:t xml:space="preserve"> </w:t>
      </w:r>
      <w:r w:rsidR="0020687F" w:rsidRPr="00E10BE6">
        <w:rPr>
          <w:rFonts w:ascii="Times New Roman" w:hAnsi="Times New Roman" w:cs="Times New Roman"/>
          <w:sz w:val="24"/>
          <w:szCs w:val="24"/>
        </w:rPr>
        <w:t>Právo svobodně projevovat své náboženství nebo víru, jak je zakotveno článkem 16 Listiny, je tedy rozvedením svobody</w:t>
      </w:r>
      <w:r w:rsidR="00F07C9C" w:rsidRPr="00E10BE6">
        <w:rPr>
          <w:rFonts w:ascii="Times New Roman" w:hAnsi="Times New Roman" w:cs="Times New Roman"/>
          <w:sz w:val="24"/>
          <w:szCs w:val="24"/>
        </w:rPr>
        <w:t xml:space="preserve"> náboženského</w:t>
      </w:r>
      <w:r w:rsidR="0020687F" w:rsidRPr="00E10BE6">
        <w:rPr>
          <w:rFonts w:ascii="Times New Roman" w:hAnsi="Times New Roman" w:cs="Times New Roman"/>
          <w:sz w:val="24"/>
          <w:szCs w:val="24"/>
        </w:rPr>
        <w:t xml:space="preserve"> vyznání podle čl. 15. </w:t>
      </w:r>
      <w:r w:rsidR="00F07C9C" w:rsidRPr="00E10BE6">
        <w:rPr>
          <w:rFonts w:ascii="Times New Roman" w:hAnsi="Times New Roman" w:cs="Times New Roman"/>
          <w:sz w:val="24"/>
          <w:szCs w:val="24"/>
        </w:rPr>
        <w:t>Na</w:t>
      </w:r>
      <w:r w:rsidR="00A152C1">
        <w:rPr>
          <w:rFonts w:ascii="Times New Roman" w:hAnsi="Times New Roman" w:cs="Times New Roman"/>
          <w:sz w:val="24"/>
          <w:szCs w:val="24"/>
        </w:rPr>
        <w:t xml:space="preserve"> </w:t>
      </w:r>
      <w:r w:rsidR="00F07C9C" w:rsidRPr="00E10BE6">
        <w:rPr>
          <w:rFonts w:ascii="Times New Roman" w:hAnsi="Times New Roman" w:cs="Times New Roman"/>
          <w:sz w:val="24"/>
          <w:szCs w:val="24"/>
        </w:rPr>
        <w:t>rozdíl od svobody náboženského vyznání jsou však nositelkami tohoto základního práva i církve a náboženské společnosti.</w:t>
      </w:r>
      <w:r w:rsidR="00C171A8" w:rsidRPr="00E10BE6">
        <w:rPr>
          <w:rStyle w:val="Znakapoznpodarou"/>
          <w:rFonts w:ascii="Times New Roman" w:hAnsi="Times New Roman" w:cs="Times New Roman"/>
          <w:sz w:val="24"/>
          <w:szCs w:val="24"/>
        </w:rPr>
        <w:footnoteReference w:id="25"/>
      </w:r>
    </w:p>
    <w:p w14:paraId="14B51A18" w14:textId="0EECA8A2" w:rsidR="00A25D74" w:rsidRPr="00E10BE6" w:rsidRDefault="00DA3D3A" w:rsidP="006C6EE1">
      <w:pPr>
        <w:spacing w:after="0" w:line="360" w:lineRule="auto"/>
        <w:jc w:val="both"/>
        <w:rPr>
          <w:rFonts w:ascii="Times New Roman" w:hAnsi="Times New Roman" w:cs="Times New Roman"/>
        </w:rPr>
      </w:pPr>
      <w:r w:rsidRPr="00E10BE6">
        <w:rPr>
          <w:rFonts w:ascii="Times New Roman" w:hAnsi="Times New Roman" w:cs="Times New Roman"/>
        </w:rPr>
        <w:tab/>
      </w:r>
      <w:r w:rsidRPr="00E10BE6">
        <w:rPr>
          <w:rFonts w:ascii="Times New Roman" w:hAnsi="Times New Roman" w:cs="Times New Roman"/>
          <w:sz w:val="24"/>
          <w:szCs w:val="24"/>
        </w:rPr>
        <w:t xml:space="preserve">Samotná Listina ve svém článku </w:t>
      </w:r>
      <w:r w:rsidR="004749DB" w:rsidRPr="00E10BE6">
        <w:rPr>
          <w:rFonts w:ascii="Times New Roman" w:hAnsi="Times New Roman" w:cs="Times New Roman"/>
          <w:sz w:val="24"/>
          <w:szCs w:val="24"/>
        </w:rPr>
        <w:t xml:space="preserve">16, odstavci </w:t>
      </w:r>
      <w:r w:rsidRPr="00E10BE6">
        <w:rPr>
          <w:rFonts w:ascii="Times New Roman" w:hAnsi="Times New Roman" w:cs="Times New Roman"/>
          <w:sz w:val="24"/>
          <w:szCs w:val="24"/>
        </w:rPr>
        <w:t>4 obsahuje omezující klauzuli práva svobodně projevovat náboženství či víru, toto právo tedy není právem absolutním. Tuto svobodu je možno omezit pouze zákonem (nikoliv například soudním rozhodnutím) a pouze, pokud jde o opatření v demokratické společnosti nezbytné pro ochranu veřejné bezpečnosti a</w:t>
      </w:r>
      <w:r w:rsidR="00792105" w:rsidRPr="00E10BE6">
        <w:rPr>
          <w:rFonts w:ascii="Times New Roman" w:hAnsi="Times New Roman" w:cs="Times New Roman"/>
          <w:sz w:val="24"/>
          <w:szCs w:val="24"/>
        </w:rPr>
        <w:t> </w:t>
      </w:r>
      <w:r w:rsidRPr="00E10BE6">
        <w:rPr>
          <w:rFonts w:ascii="Times New Roman" w:hAnsi="Times New Roman" w:cs="Times New Roman"/>
          <w:sz w:val="24"/>
          <w:szCs w:val="24"/>
        </w:rPr>
        <w:t>pořádku</w:t>
      </w:r>
      <w:r w:rsidR="00792105" w:rsidRPr="00E10BE6">
        <w:rPr>
          <w:rFonts w:ascii="Times New Roman" w:hAnsi="Times New Roman" w:cs="Times New Roman"/>
          <w:sz w:val="24"/>
          <w:szCs w:val="24"/>
        </w:rPr>
        <w:t>,</w:t>
      </w:r>
      <w:r w:rsidRPr="00E10BE6">
        <w:rPr>
          <w:rFonts w:ascii="Times New Roman" w:hAnsi="Times New Roman" w:cs="Times New Roman"/>
          <w:sz w:val="24"/>
          <w:szCs w:val="24"/>
        </w:rPr>
        <w:t xml:space="preserve"> zdraví a mravnosti</w:t>
      </w:r>
      <w:r w:rsidR="00792105" w:rsidRPr="00E10BE6">
        <w:rPr>
          <w:rFonts w:ascii="Times New Roman" w:hAnsi="Times New Roman" w:cs="Times New Roman"/>
          <w:sz w:val="24"/>
          <w:szCs w:val="24"/>
        </w:rPr>
        <w:t>,</w:t>
      </w:r>
      <w:r w:rsidRPr="00E10BE6">
        <w:rPr>
          <w:rFonts w:ascii="Times New Roman" w:hAnsi="Times New Roman" w:cs="Times New Roman"/>
          <w:sz w:val="24"/>
          <w:szCs w:val="24"/>
        </w:rPr>
        <w:t xml:space="preserve"> nebo práv a svobod druhých.</w:t>
      </w:r>
      <w:r w:rsidRPr="00E10BE6">
        <w:rPr>
          <w:rStyle w:val="Znakapoznpodarou"/>
          <w:rFonts w:ascii="Times New Roman" w:hAnsi="Times New Roman" w:cs="Times New Roman"/>
          <w:sz w:val="24"/>
          <w:szCs w:val="24"/>
        </w:rPr>
        <w:footnoteReference w:id="26"/>
      </w:r>
    </w:p>
    <w:p w14:paraId="2E34CAC7" w14:textId="4715A383" w:rsidR="00A9312D" w:rsidRPr="00E10BE6" w:rsidRDefault="009A09F6" w:rsidP="00A9312D">
      <w:pPr>
        <w:pStyle w:val="Nadpis2"/>
        <w:jc w:val="both"/>
        <w:rPr>
          <w:rFonts w:cs="Times New Roman"/>
        </w:rPr>
      </w:pPr>
      <w:bookmarkStart w:id="35" w:name="_Toc536289140"/>
      <w:bookmarkStart w:id="36" w:name="_Toc169297"/>
      <w:bookmarkStart w:id="37" w:name="_Toc3454698"/>
      <w:r w:rsidRPr="00E10BE6">
        <w:rPr>
          <w:rFonts w:cs="Times New Roman"/>
        </w:rPr>
        <w:t xml:space="preserve">Rozsah svobody </w:t>
      </w:r>
      <w:r w:rsidR="000B1F14" w:rsidRPr="00E10BE6">
        <w:rPr>
          <w:rFonts w:cs="Times New Roman"/>
        </w:rPr>
        <w:t xml:space="preserve">projevu </w:t>
      </w:r>
      <w:r w:rsidRPr="00E10BE6">
        <w:rPr>
          <w:rFonts w:cs="Times New Roman"/>
        </w:rPr>
        <w:t>vyznání</w:t>
      </w:r>
      <w:bookmarkEnd w:id="35"/>
      <w:bookmarkEnd w:id="36"/>
      <w:bookmarkEnd w:id="37"/>
    </w:p>
    <w:p w14:paraId="38906B22" w14:textId="700A00F7" w:rsidR="00FF1181" w:rsidRPr="00E10BE6" w:rsidRDefault="00A57FF2" w:rsidP="00A57FF2">
      <w:pPr>
        <w:spacing w:after="0" w:line="360" w:lineRule="auto"/>
        <w:ind w:firstLine="578"/>
        <w:jc w:val="both"/>
        <w:rPr>
          <w:rFonts w:ascii="Times New Roman" w:hAnsi="Times New Roman" w:cs="Times New Roman"/>
          <w:sz w:val="24"/>
        </w:rPr>
      </w:pPr>
      <w:r w:rsidRPr="00E10BE6">
        <w:rPr>
          <w:rFonts w:ascii="Times New Roman" w:hAnsi="Times New Roman" w:cs="Times New Roman"/>
          <w:sz w:val="24"/>
        </w:rPr>
        <w:t>V rámci úplnosti výkladu problematiky svobody vyznání je zapotřebí</w:t>
      </w:r>
      <w:r w:rsidR="00F006FF" w:rsidRPr="00E10BE6">
        <w:rPr>
          <w:rFonts w:ascii="Times New Roman" w:hAnsi="Times New Roman" w:cs="Times New Roman"/>
          <w:sz w:val="24"/>
        </w:rPr>
        <w:t xml:space="preserve"> </w:t>
      </w:r>
      <w:r w:rsidR="00A9312D" w:rsidRPr="00E10BE6">
        <w:rPr>
          <w:rFonts w:ascii="Times New Roman" w:hAnsi="Times New Roman" w:cs="Times New Roman"/>
          <w:sz w:val="24"/>
        </w:rPr>
        <w:t>poukázat na fakt, že ne</w:t>
      </w:r>
      <w:r w:rsidR="002075DE" w:rsidRPr="00E10BE6">
        <w:rPr>
          <w:rFonts w:ascii="Times New Roman" w:hAnsi="Times New Roman" w:cs="Times New Roman"/>
          <w:sz w:val="24"/>
          <w:szCs w:val="24"/>
        </w:rPr>
        <w:t xml:space="preserve"> každé jednání, kterým jedinec projevuje své náboženství nebo přesvědčení</w:t>
      </w:r>
      <w:r w:rsidR="00A152C1">
        <w:rPr>
          <w:rFonts w:ascii="Times New Roman" w:hAnsi="Times New Roman" w:cs="Times New Roman"/>
          <w:sz w:val="24"/>
          <w:szCs w:val="24"/>
        </w:rPr>
        <w:t xml:space="preserve">, </w:t>
      </w:r>
      <w:r w:rsidRPr="00E10BE6">
        <w:rPr>
          <w:rFonts w:ascii="Times New Roman" w:hAnsi="Times New Roman" w:cs="Times New Roman"/>
          <w:sz w:val="24"/>
          <w:szCs w:val="24"/>
        </w:rPr>
        <w:t>lze</w:t>
      </w:r>
      <w:r w:rsidR="00F006FF" w:rsidRPr="00E10BE6">
        <w:rPr>
          <w:rFonts w:ascii="Times New Roman" w:hAnsi="Times New Roman" w:cs="Times New Roman"/>
          <w:sz w:val="24"/>
          <w:szCs w:val="24"/>
        </w:rPr>
        <w:t xml:space="preserve"> </w:t>
      </w:r>
      <w:r w:rsidR="00A9312D" w:rsidRPr="00E10BE6">
        <w:rPr>
          <w:rFonts w:ascii="Times New Roman" w:hAnsi="Times New Roman" w:cs="Times New Roman"/>
          <w:sz w:val="24"/>
          <w:szCs w:val="24"/>
        </w:rPr>
        <w:t>za projev svobody náboženského vyznání</w:t>
      </w:r>
      <w:r w:rsidR="00075E14" w:rsidRPr="00E10BE6">
        <w:rPr>
          <w:rFonts w:ascii="Times New Roman" w:hAnsi="Times New Roman" w:cs="Times New Roman"/>
          <w:sz w:val="24"/>
          <w:szCs w:val="24"/>
        </w:rPr>
        <w:t xml:space="preserve"> považovat</w:t>
      </w:r>
      <w:r w:rsidRPr="00E10BE6">
        <w:rPr>
          <w:rFonts w:ascii="Times New Roman" w:hAnsi="Times New Roman" w:cs="Times New Roman"/>
          <w:sz w:val="24"/>
          <w:szCs w:val="24"/>
        </w:rPr>
        <w:t>. Takové jednání pak</w:t>
      </w:r>
      <w:r w:rsidR="00A9312D" w:rsidRPr="00E10BE6">
        <w:rPr>
          <w:rFonts w:ascii="Times New Roman" w:hAnsi="Times New Roman" w:cs="Times New Roman"/>
          <w:sz w:val="24"/>
          <w:szCs w:val="24"/>
        </w:rPr>
        <w:t xml:space="preserve"> ne</w:t>
      </w:r>
      <w:r w:rsidR="002075DE" w:rsidRPr="00E10BE6">
        <w:rPr>
          <w:rFonts w:ascii="Times New Roman" w:hAnsi="Times New Roman" w:cs="Times New Roman"/>
          <w:sz w:val="24"/>
          <w:szCs w:val="24"/>
        </w:rPr>
        <w:t>p</w:t>
      </w:r>
      <w:r w:rsidR="00BC5FA0" w:rsidRPr="00E10BE6">
        <w:rPr>
          <w:rFonts w:ascii="Times New Roman" w:hAnsi="Times New Roman" w:cs="Times New Roman"/>
          <w:sz w:val="24"/>
          <w:szCs w:val="24"/>
        </w:rPr>
        <w:t>ožívá ochrany dle čl. 9 Úmluvy. Otázkou posuzování</w:t>
      </w:r>
      <w:r w:rsidR="00165C36" w:rsidRPr="00E10BE6">
        <w:rPr>
          <w:rFonts w:ascii="Times New Roman" w:hAnsi="Times New Roman" w:cs="Times New Roman"/>
          <w:sz w:val="24"/>
          <w:szCs w:val="24"/>
        </w:rPr>
        <w:t>,</w:t>
      </w:r>
      <w:r w:rsidR="00BC5FA0" w:rsidRPr="00E10BE6">
        <w:rPr>
          <w:rFonts w:ascii="Times New Roman" w:hAnsi="Times New Roman" w:cs="Times New Roman"/>
          <w:sz w:val="24"/>
          <w:szCs w:val="24"/>
        </w:rPr>
        <w:t xml:space="preserve"> co lze považovat za projev vyznání</w:t>
      </w:r>
      <w:r w:rsidR="00165C36" w:rsidRPr="00E10BE6">
        <w:rPr>
          <w:rFonts w:ascii="Times New Roman" w:hAnsi="Times New Roman" w:cs="Times New Roman"/>
          <w:sz w:val="24"/>
          <w:szCs w:val="24"/>
        </w:rPr>
        <w:t>,</w:t>
      </w:r>
      <w:r w:rsidR="00BC5FA0" w:rsidRPr="00E10BE6">
        <w:rPr>
          <w:rFonts w:ascii="Times New Roman" w:hAnsi="Times New Roman" w:cs="Times New Roman"/>
          <w:sz w:val="24"/>
          <w:szCs w:val="24"/>
        </w:rPr>
        <w:t xml:space="preserve"> se zabývá Soud v rámci tzv. pětistupňového testu.</w:t>
      </w:r>
      <w:r w:rsidR="00BC5FA0" w:rsidRPr="00E10BE6">
        <w:rPr>
          <w:rStyle w:val="Znakapoznpodarou"/>
          <w:rFonts w:ascii="Times New Roman" w:hAnsi="Times New Roman" w:cs="Times New Roman"/>
          <w:sz w:val="24"/>
          <w:szCs w:val="24"/>
        </w:rPr>
        <w:footnoteReference w:id="27"/>
      </w:r>
    </w:p>
    <w:p w14:paraId="13DD5775" w14:textId="4148AD56" w:rsidR="00A9312D" w:rsidRPr="00E10BE6" w:rsidRDefault="00F22065" w:rsidP="006C6EE1">
      <w:pPr>
        <w:spacing w:after="0" w:line="360" w:lineRule="auto"/>
        <w:ind w:firstLine="578"/>
        <w:jc w:val="both"/>
        <w:rPr>
          <w:rFonts w:ascii="Times New Roman" w:hAnsi="Times New Roman" w:cs="Times New Roman"/>
          <w:sz w:val="24"/>
          <w:szCs w:val="24"/>
        </w:rPr>
      </w:pPr>
      <w:r w:rsidRPr="00E10BE6">
        <w:rPr>
          <w:rFonts w:ascii="Times New Roman" w:hAnsi="Times New Roman" w:cs="Times New Roman"/>
          <w:sz w:val="24"/>
          <w:szCs w:val="24"/>
        </w:rPr>
        <w:t>Důležitým</w:t>
      </w:r>
      <w:r w:rsidR="007E70EB" w:rsidRPr="00E10BE6">
        <w:rPr>
          <w:rFonts w:ascii="Times New Roman" w:hAnsi="Times New Roman" w:cs="Times New Roman"/>
          <w:sz w:val="24"/>
          <w:szCs w:val="24"/>
        </w:rPr>
        <w:t xml:space="preserve"> rozhodnutím v tomto případě je rozhodnutí Arrowsmith proti Spojenému Království. V tomto </w:t>
      </w:r>
      <w:r w:rsidR="00CF7691" w:rsidRPr="00E10BE6">
        <w:rPr>
          <w:rFonts w:ascii="Times New Roman" w:hAnsi="Times New Roman" w:cs="Times New Roman"/>
          <w:sz w:val="24"/>
          <w:szCs w:val="24"/>
        </w:rPr>
        <w:t xml:space="preserve">případu </w:t>
      </w:r>
      <w:r w:rsidR="007E70EB" w:rsidRPr="00E10BE6">
        <w:rPr>
          <w:rFonts w:ascii="Times New Roman" w:hAnsi="Times New Roman" w:cs="Times New Roman"/>
          <w:sz w:val="24"/>
          <w:szCs w:val="24"/>
        </w:rPr>
        <w:t xml:space="preserve">rozhodovala Evropská komise pro lidská práva ve věci </w:t>
      </w:r>
      <w:r w:rsidR="00A9312D" w:rsidRPr="00E10BE6">
        <w:rPr>
          <w:rFonts w:ascii="Times New Roman" w:hAnsi="Times New Roman" w:cs="Times New Roman"/>
          <w:sz w:val="24"/>
          <w:szCs w:val="24"/>
        </w:rPr>
        <w:t>stěžovatelky paní Arrowsmith. Ta byla odsou</w:t>
      </w:r>
      <w:r w:rsidR="00075E14" w:rsidRPr="00E10BE6">
        <w:rPr>
          <w:rFonts w:ascii="Times New Roman" w:hAnsi="Times New Roman" w:cs="Times New Roman"/>
          <w:sz w:val="24"/>
          <w:szCs w:val="24"/>
        </w:rPr>
        <w:t>zena k trestu odnětí svobody za</w:t>
      </w:r>
      <w:r w:rsidR="00A9312D" w:rsidRPr="00E10BE6">
        <w:rPr>
          <w:rFonts w:ascii="Times New Roman" w:hAnsi="Times New Roman" w:cs="Times New Roman"/>
          <w:sz w:val="24"/>
          <w:szCs w:val="24"/>
        </w:rPr>
        <w:t xml:space="preserve"> šíření letáků, ve </w:t>
      </w:r>
      <w:r w:rsidR="00A9312D" w:rsidRPr="00E10BE6">
        <w:rPr>
          <w:rFonts w:ascii="Times New Roman" w:hAnsi="Times New Roman" w:cs="Times New Roman"/>
          <w:sz w:val="24"/>
          <w:szCs w:val="24"/>
        </w:rPr>
        <w:lastRenderedPageBreak/>
        <w:t xml:space="preserve">kterých nabádala anglické vojáky k dezerci či neuposlechnutí rozkazu v případě, že by byli nasazeni k potlačování nepokojů v Severním Irsku. Stěžovatelka </w:t>
      </w:r>
      <w:r w:rsidR="005D334C" w:rsidRPr="00E10BE6">
        <w:rPr>
          <w:rFonts w:ascii="Times New Roman" w:hAnsi="Times New Roman" w:cs="Times New Roman"/>
          <w:sz w:val="24"/>
          <w:szCs w:val="24"/>
        </w:rPr>
        <w:t>namítala nezákonný zásah do své svobody vyznání ze strany Spojeného království, n</w:t>
      </w:r>
      <w:r w:rsidR="00A9312D" w:rsidRPr="00E10BE6">
        <w:rPr>
          <w:rFonts w:ascii="Times New Roman" w:hAnsi="Times New Roman" w:cs="Times New Roman"/>
          <w:sz w:val="24"/>
          <w:szCs w:val="24"/>
        </w:rPr>
        <w:t>eboť své názory šířila údajně coby projevy svého celoživotního pacifistického přesvědčení.</w:t>
      </w:r>
      <w:r w:rsidR="00527CFC" w:rsidRPr="00E10BE6">
        <w:rPr>
          <w:rStyle w:val="Znakapoznpodarou"/>
          <w:rFonts w:ascii="Times New Roman" w:hAnsi="Times New Roman" w:cs="Times New Roman"/>
          <w:sz w:val="24"/>
          <w:szCs w:val="24"/>
        </w:rPr>
        <w:footnoteReference w:id="28"/>
      </w:r>
      <w:r w:rsidR="00527CFC" w:rsidRPr="00E10BE6">
        <w:rPr>
          <w:rFonts w:ascii="Times New Roman" w:hAnsi="Times New Roman" w:cs="Times New Roman"/>
          <w:sz w:val="24"/>
          <w:szCs w:val="24"/>
        </w:rPr>
        <w:t xml:space="preserve"> </w:t>
      </w:r>
      <w:r w:rsidR="006002EB" w:rsidRPr="00E10BE6">
        <w:rPr>
          <w:rFonts w:ascii="Times New Roman" w:hAnsi="Times New Roman" w:cs="Times New Roman"/>
          <w:sz w:val="24"/>
          <w:szCs w:val="24"/>
        </w:rPr>
        <w:t>Evr</w:t>
      </w:r>
      <w:r w:rsidR="00FB5F21" w:rsidRPr="00E10BE6">
        <w:rPr>
          <w:rFonts w:ascii="Times New Roman" w:hAnsi="Times New Roman" w:cs="Times New Roman"/>
          <w:sz w:val="24"/>
          <w:szCs w:val="24"/>
        </w:rPr>
        <w:t>opská komise pro lidská práva v tomto rozhodnutí rozlišuje mezi jednáním, které je náboženstvím nebo vírou „motivované“</w:t>
      </w:r>
      <w:r w:rsidR="00B24152" w:rsidRPr="00E10BE6">
        <w:rPr>
          <w:rFonts w:ascii="Times New Roman" w:hAnsi="Times New Roman" w:cs="Times New Roman"/>
          <w:sz w:val="24"/>
          <w:szCs w:val="24"/>
        </w:rPr>
        <w:t>,</w:t>
      </w:r>
      <w:r w:rsidR="00FB5F21" w:rsidRPr="00E10BE6">
        <w:rPr>
          <w:rFonts w:ascii="Times New Roman" w:hAnsi="Times New Roman" w:cs="Times New Roman"/>
          <w:sz w:val="24"/>
          <w:szCs w:val="24"/>
        </w:rPr>
        <w:t xml:space="preserve"> a</w:t>
      </w:r>
      <w:r w:rsidR="00B24152" w:rsidRPr="00E10BE6">
        <w:rPr>
          <w:rFonts w:ascii="Times New Roman" w:hAnsi="Times New Roman" w:cs="Times New Roman"/>
          <w:sz w:val="24"/>
          <w:szCs w:val="24"/>
        </w:rPr>
        <w:t> </w:t>
      </w:r>
      <w:r w:rsidR="00FB5F21" w:rsidRPr="00E10BE6">
        <w:rPr>
          <w:rFonts w:ascii="Times New Roman" w:hAnsi="Times New Roman" w:cs="Times New Roman"/>
          <w:sz w:val="24"/>
          <w:szCs w:val="24"/>
        </w:rPr>
        <w:t>jednáním</w:t>
      </w:r>
      <w:r w:rsidR="00B24152" w:rsidRPr="00E10BE6">
        <w:rPr>
          <w:rFonts w:ascii="Times New Roman" w:hAnsi="Times New Roman" w:cs="Times New Roman"/>
          <w:sz w:val="24"/>
          <w:szCs w:val="24"/>
        </w:rPr>
        <w:t>,</w:t>
      </w:r>
      <w:r w:rsidR="00FB5F21" w:rsidRPr="00E10BE6">
        <w:rPr>
          <w:rFonts w:ascii="Times New Roman" w:hAnsi="Times New Roman" w:cs="Times New Roman"/>
          <w:sz w:val="24"/>
          <w:szCs w:val="24"/>
        </w:rPr>
        <w:t xml:space="preserve"> které je „náboženstvím či vírou přímo vyžadované“. Jednání přímo vyžadované poté spadá pod ochranu Úmluvy, konkrétně tedy čl. 9. Ve věci paní Arrowsmith však Komise rozhodla, že v tomto případě se jedná pouze o jednání vírou nebo náboženstvím motivované, a</w:t>
      </w:r>
      <w:r w:rsidR="00B24152" w:rsidRPr="00E10BE6">
        <w:rPr>
          <w:rFonts w:ascii="Times New Roman" w:hAnsi="Times New Roman" w:cs="Times New Roman"/>
          <w:sz w:val="24"/>
          <w:szCs w:val="24"/>
        </w:rPr>
        <w:t> </w:t>
      </w:r>
      <w:r w:rsidR="00FB5F21" w:rsidRPr="00E10BE6">
        <w:rPr>
          <w:rFonts w:ascii="Times New Roman" w:hAnsi="Times New Roman" w:cs="Times New Roman"/>
          <w:sz w:val="24"/>
          <w:szCs w:val="24"/>
        </w:rPr>
        <w:t>proto se ochrana na její jednání nevztahuje.</w:t>
      </w:r>
      <w:r w:rsidR="00FB5F21" w:rsidRPr="00E10BE6">
        <w:rPr>
          <w:rStyle w:val="Znakapoznpodarou"/>
          <w:rFonts w:ascii="Times New Roman" w:hAnsi="Times New Roman" w:cs="Times New Roman"/>
          <w:sz w:val="24"/>
          <w:szCs w:val="24"/>
        </w:rPr>
        <w:footnoteReference w:id="29"/>
      </w:r>
    </w:p>
    <w:p w14:paraId="4355AC98" w14:textId="13AB5A36" w:rsidR="002075DE" w:rsidRPr="00E10BE6" w:rsidRDefault="006D310F" w:rsidP="006C6EE1">
      <w:pPr>
        <w:spacing w:after="0" w:line="360" w:lineRule="auto"/>
        <w:ind w:firstLine="578"/>
        <w:jc w:val="both"/>
        <w:rPr>
          <w:rFonts w:ascii="Times New Roman" w:hAnsi="Times New Roman" w:cs="Times New Roman"/>
          <w:sz w:val="24"/>
        </w:rPr>
      </w:pPr>
      <w:r w:rsidRPr="00E10BE6">
        <w:rPr>
          <w:rFonts w:ascii="Times New Roman" w:hAnsi="Times New Roman" w:cs="Times New Roman"/>
          <w:sz w:val="24"/>
        </w:rPr>
        <w:t>Ve věcech Efstratiou proti Řecku a Valsamis proti Řecku se jednalo o skutkově podobné případy. Jednalo se o případ dvou žákyň, které byl</w:t>
      </w:r>
      <w:r w:rsidR="00B24152" w:rsidRPr="00E10BE6">
        <w:rPr>
          <w:rFonts w:ascii="Times New Roman" w:hAnsi="Times New Roman" w:cs="Times New Roman"/>
          <w:sz w:val="24"/>
        </w:rPr>
        <w:t>y</w:t>
      </w:r>
      <w:r w:rsidRPr="00E10BE6">
        <w:rPr>
          <w:rFonts w:ascii="Times New Roman" w:hAnsi="Times New Roman" w:cs="Times New Roman"/>
          <w:sz w:val="24"/>
        </w:rPr>
        <w:t xml:space="preserve"> na několik dní vyloučeny ze studia proto, že se odmítly zúčastnit slavnosti připomínající vypuknutí války mezi Řeckem a Itálií v roce 1940. Žákyně a </w:t>
      </w:r>
      <w:r w:rsidR="0058084A" w:rsidRPr="00E10BE6">
        <w:rPr>
          <w:rFonts w:ascii="Times New Roman" w:hAnsi="Times New Roman" w:cs="Times New Roman"/>
          <w:sz w:val="24"/>
        </w:rPr>
        <w:t xml:space="preserve">jejich rodiče jako stěžovatelé </w:t>
      </w:r>
      <w:r w:rsidRPr="00E10BE6">
        <w:rPr>
          <w:rFonts w:ascii="Times New Roman" w:hAnsi="Times New Roman" w:cs="Times New Roman"/>
          <w:sz w:val="24"/>
        </w:rPr>
        <w:t>byli Svědkové Jehovovi a úč</w:t>
      </w:r>
      <w:r w:rsidR="0058084A" w:rsidRPr="00E10BE6">
        <w:rPr>
          <w:rFonts w:ascii="Times New Roman" w:hAnsi="Times New Roman" w:cs="Times New Roman"/>
          <w:sz w:val="24"/>
        </w:rPr>
        <w:t>ast na takovéto oslavě pokládali</w:t>
      </w:r>
      <w:r w:rsidRPr="00E10BE6">
        <w:rPr>
          <w:rFonts w:ascii="Times New Roman" w:hAnsi="Times New Roman" w:cs="Times New Roman"/>
          <w:sz w:val="24"/>
        </w:rPr>
        <w:t xml:space="preserve"> za</w:t>
      </w:r>
      <w:r w:rsidR="005D334C" w:rsidRPr="00E10BE6">
        <w:rPr>
          <w:rFonts w:ascii="Times New Roman" w:hAnsi="Times New Roman" w:cs="Times New Roman"/>
          <w:sz w:val="24"/>
        </w:rPr>
        <w:t xml:space="preserve"> nezákonný zásah do jejich </w:t>
      </w:r>
      <w:r w:rsidRPr="00E10BE6">
        <w:rPr>
          <w:rFonts w:ascii="Times New Roman" w:hAnsi="Times New Roman" w:cs="Times New Roman"/>
          <w:sz w:val="24"/>
        </w:rPr>
        <w:t>pacifického přesvědčení, které tvoří součást nauky jejich náboženství.</w:t>
      </w:r>
      <w:r w:rsidR="00852433" w:rsidRPr="00E10BE6">
        <w:rPr>
          <w:rFonts w:ascii="Times New Roman" w:hAnsi="Times New Roman" w:cs="Times New Roman"/>
          <w:sz w:val="24"/>
        </w:rPr>
        <w:t xml:space="preserve"> </w:t>
      </w:r>
      <w:r w:rsidRPr="00E10BE6">
        <w:rPr>
          <w:rFonts w:ascii="Times New Roman" w:hAnsi="Times New Roman" w:cs="Times New Roman"/>
          <w:sz w:val="24"/>
        </w:rPr>
        <w:t>Přestože Soud již v případě Arrowsmith proti Spojenému království uznal pacifismus</w:t>
      </w:r>
      <w:r w:rsidR="00075E14" w:rsidRPr="00E10BE6">
        <w:rPr>
          <w:rFonts w:ascii="Times New Roman" w:hAnsi="Times New Roman" w:cs="Times New Roman"/>
          <w:sz w:val="24"/>
        </w:rPr>
        <w:t xml:space="preserve"> jako přesvědčení, které</w:t>
      </w:r>
      <w:r w:rsidRPr="00E10BE6">
        <w:rPr>
          <w:rFonts w:ascii="Times New Roman" w:hAnsi="Times New Roman" w:cs="Times New Roman"/>
          <w:sz w:val="24"/>
        </w:rPr>
        <w:t xml:space="preserve"> může být </w:t>
      </w:r>
      <w:r w:rsidR="00075E14" w:rsidRPr="00E10BE6">
        <w:rPr>
          <w:rFonts w:ascii="Times New Roman" w:hAnsi="Times New Roman" w:cs="Times New Roman"/>
          <w:sz w:val="24"/>
        </w:rPr>
        <w:t>hodno</w:t>
      </w:r>
      <w:r w:rsidRPr="00E10BE6">
        <w:rPr>
          <w:rFonts w:ascii="Times New Roman" w:hAnsi="Times New Roman" w:cs="Times New Roman"/>
          <w:sz w:val="24"/>
        </w:rPr>
        <w:t xml:space="preserve"> ochrany podle čl. 9 Úmluvy, v tomto případě </w:t>
      </w:r>
      <w:r w:rsidR="00852433" w:rsidRPr="00E10BE6">
        <w:rPr>
          <w:rFonts w:ascii="Times New Roman" w:hAnsi="Times New Roman" w:cs="Times New Roman"/>
          <w:sz w:val="24"/>
        </w:rPr>
        <w:t>ale stížnosti stěžovatelů nevyhověl. Dle rozhodnutí Soud v účasti na slavnosti nespatřuje nic, co by mohlo být v rozporu s náboženským přesvědčením stěžovatelů.</w:t>
      </w:r>
      <w:r w:rsidR="00852433" w:rsidRPr="00E10BE6">
        <w:rPr>
          <w:rStyle w:val="Znakapoznpodarou"/>
          <w:rFonts w:ascii="Times New Roman" w:hAnsi="Times New Roman" w:cs="Times New Roman"/>
          <w:sz w:val="24"/>
        </w:rPr>
        <w:footnoteReference w:id="30"/>
      </w:r>
    </w:p>
    <w:p w14:paraId="48F2EC39" w14:textId="2EB90C83" w:rsidR="002075DE" w:rsidRPr="00E10BE6" w:rsidRDefault="0058084A" w:rsidP="006C6EE1">
      <w:pPr>
        <w:spacing w:after="0" w:line="360" w:lineRule="auto"/>
        <w:ind w:firstLine="578"/>
        <w:jc w:val="both"/>
        <w:rPr>
          <w:rFonts w:ascii="Times New Roman" w:hAnsi="Times New Roman" w:cs="Times New Roman"/>
          <w:sz w:val="24"/>
        </w:rPr>
      </w:pPr>
      <w:r w:rsidRPr="00A152C1">
        <w:rPr>
          <w:rFonts w:ascii="Times New Roman" w:hAnsi="Times New Roman" w:cs="Times New Roman"/>
          <w:sz w:val="24"/>
        </w:rPr>
        <w:t>S tímto závěrem Soudu osobně nesouhlasím. Pokud je člověk pacifistou, a jako takový tedy odmítá jakékoliv násilí, je</w:t>
      </w:r>
      <w:r w:rsidR="008C25ED">
        <w:rPr>
          <w:rFonts w:ascii="Times New Roman" w:hAnsi="Times New Roman" w:cs="Times New Roman"/>
          <w:sz w:val="24"/>
        </w:rPr>
        <w:t xml:space="preserve"> dle mého názoru</w:t>
      </w:r>
      <w:r w:rsidRPr="00A152C1">
        <w:rPr>
          <w:rFonts w:ascii="Times New Roman" w:hAnsi="Times New Roman" w:cs="Times New Roman"/>
          <w:sz w:val="24"/>
        </w:rPr>
        <w:t xml:space="preserve"> jasné, že účast na oslavách</w:t>
      </w:r>
      <w:r w:rsidR="005800A3" w:rsidRPr="00A152C1">
        <w:rPr>
          <w:rFonts w:ascii="Times New Roman" w:hAnsi="Times New Roman" w:cs="Times New Roman"/>
          <w:sz w:val="24"/>
        </w:rPr>
        <w:t>,</w:t>
      </w:r>
      <w:r w:rsidRPr="00A152C1">
        <w:rPr>
          <w:rFonts w:ascii="Times New Roman" w:hAnsi="Times New Roman" w:cs="Times New Roman"/>
          <w:sz w:val="24"/>
        </w:rPr>
        <w:t xml:space="preserve"> které válku oslavují, jde přímo proti přesvědčení tohoto člověka.</w:t>
      </w:r>
    </w:p>
    <w:p w14:paraId="5AAD7E6D" w14:textId="0CA97E47" w:rsidR="00245512" w:rsidRPr="00E10BE6" w:rsidRDefault="00245512" w:rsidP="00F65D76">
      <w:pPr>
        <w:spacing w:after="0" w:line="360" w:lineRule="auto"/>
        <w:ind w:firstLine="578"/>
        <w:jc w:val="both"/>
        <w:rPr>
          <w:rFonts w:ascii="Times New Roman" w:hAnsi="Times New Roman" w:cs="Times New Roman"/>
          <w:sz w:val="24"/>
        </w:rPr>
      </w:pPr>
      <w:r w:rsidRPr="00E10BE6">
        <w:rPr>
          <w:rFonts w:ascii="Times New Roman" w:hAnsi="Times New Roman" w:cs="Times New Roman"/>
          <w:sz w:val="24"/>
        </w:rPr>
        <w:t xml:space="preserve">Dalším příkladem je rozhodnutí Soudu ve věci </w:t>
      </w:r>
      <w:bookmarkStart w:id="39" w:name="_Hlk531853082"/>
      <w:proofErr w:type="spellStart"/>
      <w:r w:rsidRPr="00E10BE6">
        <w:rPr>
          <w:rFonts w:ascii="Times New Roman" w:hAnsi="Times New Roman" w:cs="Times New Roman"/>
          <w:sz w:val="24"/>
        </w:rPr>
        <w:t>Cha’are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Shalom</w:t>
      </w:r>
      <w:proofErr w:type="spellEnd"/>
      <w:r w:rsidRPr="00E10BE6">
        <w:rPr>
          <w:rFonts w:ascii="Times New Roman" w:hAnsi="Times New Roman" w:cs="Times New Roman"/>
          <w:sz w:val="24"/>
        </w:rPr>
        <w:t xml:space="preserve"> Ve </w:t>
      </w:r>
      <w:proofErr w:type="spellStart"/>
      <w:r w:rsidRPr="00E10BE6">
        <w:rPr>
          <w:rFonts w:ascii="Times New Roman" w:hAnsi="Times New Roman" w:cs="Times New Roman"/>
          <w:sz w:val="24"/>
        </w:rPr>
        <w:t>Tsedek</w:t>
      </w:r>
      <w:proofErr w:type="spellEnd"/>
      <w:r w:rsidRPr="00E10BE6">
        <w:rPr>
          <w:rFonts w:ascii="Times New Roman" w:hAnsi="Times New Roman" w:cs="Times New Roman"/>
          <w:sz w:val="24"/>
        </w:rPr>
        <w:t xml:space="preserve"> proti Francii</w:t>
      </w:r>
      <w:bookmarkEnd w:id="39"/>
      <w:r w:rsidRPr="00E10BE6">
        <w:rPr>
          <w:rFonts w:ascii="Times New Roman" w:hAnsi="Times New Roman" w:cs="Times New Roman"/>
          <w:sz w:val="24"/>
        </w:rPr>
        <w:t>.</w:t>
      </w:r>
      <w:r w:rsidR="00C12141" w:rsidRPr="00E10BE6">
        <w:rPr>
          <w:rStyle w:val="Znakapoznpodarou"/>
          <w:rFonts w:ascii="Times New Roman" w:hAnsi="Times New Roman" w:cs="Times New Roman"/>
          <w:sz w:val="24"/>
        </w:rPr>
        <w:footnoteReference w:id="31"/>
      </w:r>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Cha’are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Shalom</w:t>
      </w:r>
      <w:proofErr w:type="spellEnd"/>
      <w:r w:rsidRPr="00E10BE6">
        <w:rPr>
          <w:rFonts w:ascii="Times New Roman" w:hAnsi="Times New Roman" w:cs="Times New Roman"/>
          <w:sz w:val="24"/>
        </w:rPr>
        <w:t xml:space="preserve"> Ve </w:t>
      </w:r>
      <w:proofErr w:type="spellStart"/>
      <w:r w:rsidRPr="00E10BE6">
        <w:rPr>
          <w:rFonts w:ascii="Times New Roman" w:hAnsi="Times New Roman" w:cs="Times New Roman"/>
          <w:sz w:val="24"/>
        </w:rPr>
        <w:t>Tsedek</w:t>
      </w:r>
      <w:proofErr w:type="spellEnd"/>
      <w:r w:rsidRPr="00E10BE6">
        <w:rPr>
          <w:rFonts w:ascii="Times New Roman" w:hAnsi="Times New Roman" w:cs="Times New Roman"/>
          <w:sz w:val="24"/>
        </w:rPr>
        <w:t xml:space="preserve"> bylo židovské sdružení ve Francii. Toto sdružení se snažilo získat povolení od francouzských úřadů k provádění rituálních porážek zvířat ve formě „</w:t>
      </w:r>
      <w:proofErr w:type="spellStart"/>
      <w:r w:rsidRPr="00E10BE6">
        <w:rPr>
          <w:rFonts w:ascii="Times New Roman" w:hAnsi="Times New Roman" w:cs="Times New Roman"/>
          <w:sz w:val="24"/>
        </w:rPr>
        <w:t>glatt</w:t>
      </w:r>
      <w:proofErr w:type="spellEnd"/>
      <w:r w:rsidRPr="00E10BE6">
        <w:rPr>
          <w:rFonts w:ascii="Times New Roman" w:hAnsi="Times New Roman" w:cs="Times New Roman"/>
          <w:sz w:val="24"/>
        </w:rPr>
        <w:t xml:space="preserve"> košer“</w:t>
      </w:r>
      <w:r w:rsidR="00EE149D" w:rsidRPr="00E10BE6">
        <w:rPr>
          <w:rFonts w:ascii="Times New Roman" w:hAnsi="Times New Roman" w:cs="Times New Roman"/>
          <w:sz w:val="24"/>
        </w:rPr>
        <w:t>. T</w:t>
      </w:r>
      <w:r w:rsidR="002715DE" w:rsidRPr="00E10BE6">
        <w:rPr>
          <w:rFonts w:ascii="Times New Roman" w:hAnsi="Times New Roman" w:cs="Times New Roman"/>
          <w:sz w:val="24"/>
        </w:rPr>
        <w:t xml:space="preserve">aková forma má zaručovat ještě vyšší čistotu masa než košer forma. Francouzské úřady však </w:t>
      </w:r>
      <w:r w:rsidR="00CF7691" w:rsidRPr="00E10BE6">
        <w:rPr>
          <w:rFonts w:ascii="Times New Roman" w:hAnsi="Times New Roman" w:cs="Times New Roman"/>
          <w:sz w:val="24"/>
        </w:rPr>
        <w:t xml:space="preserve">toto </w:t>
      </w:r>
      <w:r w:rsidR="002715DE" w:rsidRPr="00E10BE6">
        <w:rPr>
          <w:rFonts w:ascii="Times New Roman" w:hAnsi="Times New Roman" w:cs="Times New Roman"/>
          <w:sz w:val="24"/>
        </w:rPr>
        <w:t xml:space="preserve">povolení neposkytly, a proto se sdružení obrátilo se stížností </w:t>
      </w:r>
      <w:r w:rsidR="000A328A" w:rsidRPr="00E10BE6">
        <w:rPr>
          <w:rFonts w:ascii="Times New Roman" w:hAnsi="Times New Roman" w:cs="Times New Roman"/>
          <w:sz w:val="24"/>
        </w:rPr>
        <w:t xml:space="preserve">na Soud. Ten </w:t>
      </w:r>
      <w:r w:rsidR="002715DE" w:rsidRPr="00E10BE6">
        <w:rPr>
          <w:rFonts w:ascii="Times New Roman" w:hAnsi="Times New Roman" w:cs="Times New Roman"/>
          <w:sz w:val="24"/>
        </w:rPr>
        <w:t>došel k závěru, že svoboda náboženského vyznání stěžovatele porušena nebyla, protože maso poražené způsobem „</w:t>
      </w:r>
      <w:proofErr w:type="spellStart"/>
      <w:r w:rsidR="002715DE" w:rsidRPr="00E10BE6">
        <w:rPr>
          <w:rFonts w:ascii="Times New Roman" w:hAnsi="Times New Roman" w:cs="Times New Roman"/>
          <w:sz w:val="24"/>
        </w:rPr>
        <w:t>glatt</w:t>
      </w:r>
      <w:proofErr w:type="spellEnd"/>
      <w:r w:rsidR="002715DE" w:rsidRPr="00E10BE6">
        <w:rPr>
          <w:rFonts w:ascii="Times New Roman" w:hAnsi="Times New Roman" w:cs="Times New Roman"/>
          <w:sz w:val="24"/>
        </w:rPr>
        <w:t xml:space="preserve"> košer“ mohou členové sdružení dovážet z Belgie. Pouze</w:t>
      </w:r>
      <w:r w:rsidR="00F65D76" w:rsidRPr="00E10BE6">
        <w:rPr>
          <w:rFonts w:ascii="Times New Roman" w:hAnsi="Times New Roman" w:cs="Times New Roman"/>
          <w:sz w:val="24"/>
        </w:rPr>
        <w:t xml:space="preserve"> v případě, že</w:t>
      </w:r>
      <w:r w:rsidR="002715DE" w:rsidRPr="00E10BE6">
        <w:rPr>
          <w:rFonts w:ascii="Times New Roman" w:hAnsi="Times New Roman" w:cs="Times New Roman"/>
          <w:sz w:val="24"/>
        </w:rPr>
        <w:t xml:space="preserve"> by členové sdružení nemohli dané maso získat jiným způsobem než díky povolení francouzských </w:t>
      </w:r>
      <w:r w:rsidR="002715DE" w:rsidRPr="00E10BE6">
        <w:rPr>
          <w:rFonts w:ascii="Times New Roman" w:hAnsi="Times New Roman" w:cs="Times New Roman"/>
          <w:sz w:val="24"/>
        </w:rPr>
        <w:lastRenderedPageBreak/>
        <w:t>úřadů,</w:t>
      </w:r>
      <w:r w:rsidR="00EE149D" w:rsidRPr="00E10BE6">
        <w:rPr>
          <w:rFonts w:ascii="Times New Roman" w:hAnsi="Times New Roman" w:cs="Times New Roman"/>
          <w:sz w:val="24"/>
        </w:rPr>
        <w:t xml:space="preserve"> jednalo by se podle Soudu</w:t>
      </w:r>
      <w:r w:rsidR="002715DE" w:rsidRPr="00E10BE6">
        <w:rPr>
          <w:rFonts w:ascii="Times New Roman" w:hAnsi="Times New Roman" w:cs="Times New Roman"/>
          <w:sz w:val="24"/>
        </w:rPr>
        <w:t xml:space="preserve"> </w:t>
      </w:r>
      <w:r w:rsidR="00E55062" w:rsidRPr="00576F46">
        <w:rPr>
          <w:rFonts w:ascii="Times New Roman" w:hAnsi="Times New Roman" w:cs="Times New Roman"/>
          <w:sz w:val="24"/>
        </w:rPr>
        <w:t>pouze v takovém případě</w:t>
      </w:r>
      <w:r w:rsidR="00E55062" w:rsidRPr="00E10BE6">
        <w:rPr>
          <w:rFonts w:ascii="Times New Roman" w:hAnsi="Times New Roman" w:cs="Times New Roman"/>
          <w:sz w:val="24"/>
        </w:rPr>
        <w:t xml:space="preserve"> </w:t>
      </w:r>
      <w:r w:rsidR="002715DE" w:rsidRPr="00E10BE6">
        <w:rPr>
          <w:rFonts w:ascii="Times New Roman" w:hAnsi="Times New Roman" w:cs="Times New Roman"/>
          <w:sz w:val="24"/>
        </w:rPr>
        <w:t>o porušení svobody náboženského vyznání.</w:t>
      </w:r>
    </w:p>
    <w:p w14:paraId="4447F6A9" w14:textId="0C21C97F" w:rsidR="00FA5590" w:rsidRDefault="007E7A63" w:rsidP="0094110C">
      <w:pPr>
        <w:spacing w:after="0" w:line="360" w:lineRule="auto"/>
        <w:ind w:firstLine="578"/>
        <w:jc w:val="both"/>
        <w:rPr>
          <w:rFonts w:ascii="Times New Roman" w:hAnsi="Times New Roman" w:cs="Times New Roman"/>
          <w:sz w:val="24"/>
        </w:rPr>
      </w:pPr>
      <w:r w:rsidRPr="00E10BE6">
        <w:rPr>
          <w:rFonts w:ascii="Times New Roman" w:hAnsi="Times New Roman" w:cs="Times New Roman"/>
          <w:sz w:val="24"/>
        </w:rPr>
        <w:t>Znamená to tedy, že pokud bude takovéto „</w:t>
      </w:r>
      <w:proofErr w:type="spellStart"/>
      <w:r w:rsidRPr="00E10BE6">
        <w:rPr>
          <w:rFonts w:ascii="Times New Roman" w:hAnsi="Times New Roman" w:cs="Times New Roman"/>
          <w:sz w:val="24"/>
        </w:rPr>
        <w:t>glatt</w:t>
      </w:r>
      <w:proofErr w:type="spellEnd"/>
      <w:r w:rsidRPr="00E10BE6">
        <w:rPr>
          <w:rFonts w:ascii="Times New Roman" w:hAnsi="Times New Roman" w:cs="Times New Roman"/>
          <w:sz w:val="24"/>
        </w:rPr>
        <w:t xml:space="preserve"> košer“ maso dostupné pouze v jednom jediném státu, třeba i půl světa vzdáleného, opět se uplatní tento závěr Soudu, že lze maso </w:t>
      </w:r>
      <w:r w:rsidR="00EE149D" w:rsidRPr="00E10BE6">
        <w:rPr>
          <w:rFonts w:ascii="Times New Roman" w:hAnsi="Times New Roman" w:cs="Times New Roman"/>
          <w:sz w:val="24"/>
        </w:rPr>
        <w:t xml:space="preserve">sehnat jinde? </w:t>
      </w:r>
      <w:r w:rsidRPr="00E10BE6">
        <w:rPr>
          <w:rFonts w:ascii="Times New Roman" w:hAnsi="Times New Roman" w:cs="Times New Roman"/>
          <w:sz w:val="24"/>
        </w:rPr>
        <w:t>Bez přihlédnutí k ceně, poplatkům za dopravu apod.? Osobně</w:t>
      </w:r>
      <w:r w:rsidR="00C12141" w:rsidRPr="00E10BE6">
        <w:rPr>
          <w:rFonts w:ascii="Times New Roman" w:hAnsi="Times New Roman" w:cs="Times New Roman"/>
          <w:sz w:val="24"/>
        </w:rPr>
        <w:t xml:space="preserve"> s tímto rozhodnutím nesouhlasím, protože ani po přečtení rozhodnutí Soudu nevidím,</w:t>
      </w:r>
      <w:r w:rsidRPr="00E10BE6">
        <w:rPr>
          <w:rFonts w:ascii="Times New Roman" w:hAnsi="Times New Roman" w:cs="Times New Roman"/>
          <w:sz w:val="24"/>
        </w:rPr>
        <w:t xml:space="preserve"> jaké problémy by udělení povolení k provádění rituálních porážek způsobilo</w:t>
      </w:r>
      <w:r w:rsidR="00C12141" w:rsidRPr="00E10BE6">
        <w:rPr>
          <w:rFonts w:ascii="Times New Roman" w:hAnsi="Times New Roman" w:cs="Times New Roman"/>
          <w:sz w:val="24"/>
        </w:rPr>
        <w:t>.</w:t>
      </w:r>
    </w:p>
    <w:p w14:paraId="4985F6DE" w14:textId="77777777" w:rsidR="008C25ED" w:rsidRPr="00E10BE6" w:rsidRDefault="008C25ED" w:rsidP="008C25ED">
      <w:pPr>
        <w:spacing w:after="0" w:line="360" w:lineRule="auto"/>
        <w:ind w:firstLine="578"/>
        <w:jc w:val="both"/>
        <w:rPr>
          <w:rFonts w:ascii="Times New Roman" w:hAnsi="Times New Roman" w:cs="Times New Roman"/>
        </w:rPr>
      </w:pPr>
      <w:r w:rsidRPr="00E10BE6">
        <w:rPr>
          <w:rFonts w:ascii="Times New Roman" w:hAnsi="Times New Roman" w:cs="Times New Roman"/>
          <w:sz w:val="24"/>
          <w:szCs w:val="24"/>
        </w:rPr>
        <w:t>Přestože se tedy rozlišuje, jaká jednání spadají pod ochranu Úmluvy a jaká jednání tuto ochranu nepožívají, judikatura je</w:t>
      </w:r>
      <w:r>
        <w:rPr>
          <w:rFonts w:ascii="Times New Roman" w:hAnsi="Times New Roman" w:cs="Times New Roman"/>
          <w:sz w:val="24"/>
          <w:szCs w:val="24"/>
        </w:rPr>
        <w:t xml:space="preserve"> dle mého názoru</w:t>
      </w:r>
      <w:r w:rsidRPr="00E10BE6">
        <w:rPr>
          <w:rFonts w:ascii="Times New Roman" w:hAnsi="Times New Roman" w:cs="Times New Roman"/>
          <w:sz w:val="24"/>
          <w:szCs w:val="24"/>
        </w:rPr>
        <w:t xml:space="preserve"> v tomto ohledu nejednotná a není jasné, kde leží hranice mezi těmito dvěma kategoriemi. Nelze tedy dopředu odhadnout, jak bude Soud postupovat v dalších případech, a lze pouze poukázat na jeho dosavadní judikaturu v této oblasti.</w:t>
      </w:r>
    </w:p>
    <w:p w14:paraId="073BC0B1" w14:textId="77777777" w:rsidR="008C25ED" w:rsidRPr="00E10BE6" w:rsidRDefault="008C25ED" w:rsidP="0094110C">
      <w:pPr>
        <w:spacing w:after="0" w:line="360" w:lineRule="auto"/>
        <w:ind w:firstLine="578"/>
        <w:jc w:val="both"/>
        <w:rPr>
          <w:rFonts w:ascii="Times New Roman" w:hAnsi="Times New Roman" w:cs="Times New Roman"/>
          <w:sz w:val="24"/>
        </w:rPr>
      </w:pPr>
    </w:p>
    <w:p w14:paraId="758DC745" w14:textId="58C0F95E" w:rsidR="00EE149D" w:rsidRPr="00E10BE6" w:rsidRDefault="00EE149D" w:rsidP="00EE149D">
      <w:pPr>
        <w:rPr>
          <w:rFonts w:ascii="Times New Roman" w:hAnsi="Times New Roman" w:cs="Times New Roman"/>
          <w:sz w:val="24"/>
        </w:rPr>
      </w:pPr>
      <w:r w:rsidRPr="00E10BE6">
        <w:rPr>
          <w:rFonts w:ascii="Times New Roman" w:hAnsi="Times New Roman" w:cs="Times New Roman"/>
          <w:sz w:val="24"/>
        </w:rPr>
        <w:br w:type="page"/>
      </w:r>
    </w:p>
    <w:p w14:paraId="4D9B067D" w14:textId="2A12EF04" w:rsidR="0094110C" w:rsidRPr="00E10BE6" w:rsidRDefault="0094110C" w:rsidP="0094110C">
      <w:pPr>
        <w:pStyle w:val="Nadpis1"/>
        <w:rPr>
          <w:rFonts w:cs="Times New Roman"/>
        </w:rPr>
      </w:pPr>
      <w:bookmarkStart w:id="41" w:name="_Toc536289141"/>
      <w:bookmarkStart w:id="42" w:name="_Toc169298"/>
      <w:bookmarkStart w:id="43" w:name="_Toc3454699"/>
      <w:r w:rsidRPr="00E10BE6">
        <w:rPr>
          <w:rFonts w:cs="Times New Roman"/>
        </w:rPr>
        <w:lastRenderedPageBreak/>
        <w:t xml:space="preserve">Limity svobody vyznání v kontextu </w:t>
      </w:r>
      <w:bookmarkEnd w:id="41"/>
      <w:bookmarkEnd w:id="42"/>
      <w:bookmarkEnd w:id="43"/>
      <w:r w:rsidR="008C25ED">
        <w:rPr>
          <w:rFonts w:cs="Times New Roman"/>
        </w:rPr>
        <w:t>Soudu</w:t>
      </w:r>
    </w:p>
    <w:p w14:paraId="35AFE221" w14:textId="3E66CA92" w:rsidR="00FA5590" w:rsidRPr="00E10BE6" w:rsidRDefault="00FA5590" w:rsidP="00D518C6">
      <w:pPr>
        <w:spacing w:after="0" w:line="360" w:lineRule="auto"/>
        <w:ind w:firstLine="431"/>
        <w:jc w:val="both"/>
        <w:rPr>
          <w:rFonts w:ascii="Times New Roman" w:hAnsi="Times New Roman" w:cs="Times New Roman"/>
          <w:sz w:val="24"/>
        </w:rPr>
      </w:pPr>
      <w:r w:rsidRPr="00E10BE6">
        <w:rPr>
          <w:rFonts w:ascii="Times New Roman" w:hAnsi="Times New Roman" w:cs="Times New Roman"/>
          <w:sz w:val="24"/>
        </w:rPr>
        <w:t>Jestliže jsem v minulé kapitole řešila otázku vymezení a zakotvení svobody vyznání v českých i mezinárodních právních dokumentech, je nyní potřeba zabývat se možnostmi omezení této svobody</w:t>
      </w:r>
      <w:r w:rsidRPr="00700980">
        <w:rPr>
          <w:rFonts w:ascii="Times New Roman" w:hAnsi="Times New Roman" w:cs="Times New Roman"/>
          <w:sz w:val="24"/>
        </w:rPr>
        <w:t>. Omezením svobody vyznání se v následující kapitole zabýv</w:t>
      </w:r>
      <w:r w:rsidR="00700980" w:rsidRPr="00700980">
        <w:rPr>
          <w:rFonts w:ascii="Times New Roman" w:hAnsi="Times New Roman" w:cs="Times New Roman"/>
          <w:sz w:val="24"/>
        </w:rPr>
        <w:t>ám</w:t>
      </w:r>
      <w:r w:rsidRPr="00700980">
        <w:rPr>
          <w:rFonts w:ascii="Times New Roman" w:hAnsi="Times New Roman" w:cs="Times New Roman"/>
          <w:sz w:val="24"/>
        </w:rPr>
        <w:t xml:space="preserve"> nejprve v rámci Úmluvy, konkrétně</w:t>
      </w:r>
      <w:r w:rsidRPr="00E10BE6">
        <w:rPr>
          <w:rFonts w:ascii="Times New Roman" w:hAnsi="Times New Roman" w:cs="Times New Roman"/>
          <w:sz w:val="24"/>
        </w:rPr>
        <w:t xml:space="preserve"> v rámci tzv. pětistupňového testu</w:t>
      </w:r>
      <w:r w:rsidR="00D518C6" w:rsidRPr="00E10BE6">
        <w:rPr>
          <w:rFonts w:ascii="Times New Roman" w:hAnsi="Times New Roman" w:cs="Times New Roman"/>
          <w:sz w:val="24"/>
        </w:rPr>
        <w:t>,</w:t>
      </w:r>
      <w:r w:rsidRPr="00E10BE6">
        <w:rPr>
          <w:rFonts w:ascii="Times New Roman" w:hAnsi="Times New Roman" w:cs="Times New Roman"/>
          <w:sz w:val="24"/>
        </w:rPr>
        <w:t xml:space="preserve"> a následně v rámci rozhodnutí Soudu, kdy ukážu, jak </w:t>
      </w:r>
      <w:r w:rsidR="008C25ED">
        <w:rPr>
          <w:rFonts w:ascii="Times New Roman" w:hAnsi="Times New Roman" w:cs="Times New Roman"/>
          <w:sz w:val="24"/>
        </w:rPr>
        <w:t>S</w:t>
      </w:r>
      <w:r w:rsidRPr="00E10BE6">
        <w:rPr>
          <w:rFonts w:ascii="Times New Roman" w:hAnsi="Times New Roman" w:cs="Times New Roman"/>
          <w:sz w:val="24"/>
        </w:rPr>
        <w:t>oud postupuje při omezování této svobody v praxi. Soud je jedním z</w:t>
      </w:r>
      <w:r w:rsidR="00D518C6" w:rsidRPr="00E10BE6">
        <w:rPr>
          <w:rFonts w:ascii="Times New Roman" w:hAnsi="Times New Roman" w:cs="Times New Roman"/>
          <w:sz w:val="24"/>
        </w:rPr>
        <w:t>e</w:t>
      </w:r>
      <w:r w:rsidRPr="00E10BE6">
        <w:rPr>
          <w:rFonts w:ascii="Times New Roman" w:hAnsi="Times New Roman" w:cs="Times New Roman"/>
          <w:sz w:val="24"/>
        </w:rPr>
        <w:t> dvou hlavních orgánů ochrany lidských práv v Evropě. Druhým orgánem je Evropský soudní dvůr</w:t>
      </w:r>
      <w:r w:rsidR="00D518C6" w:rsidRPr="00E10BE6">
        <w:rPr>
          <w:rFonts w:ascii="Times New Roman" w:hAnsi="Times New Roman" w:cs="Times New Roman"/>
          <w:sz w:val="24"/>
        </w:rPr>
        <w:t xml:space="preserve">. </w:t>
      </w:r>
      <w:r w:rsidR="00960F51" w:rsidRPr="00E10BE6">
        <w:rPr>
          <w:rFonts w:ascii="Times New Roman" w:hAnsi="Times New Roman" w:cs="Times New Roman"/>
          <w:sz w:val="24"/>
        </w:rPr>
        <w:t>V závěru kapitoly</w:t>
      </w:r>
      <w:r w:rsidRPr="00E10BE6">
        <w:rPr>
          <w:rFonts w:ascii="Times New Roman" w:hAnsi="Times New Roman" w:cs="Times New Roman"/>
          <w:sz w:val="24"/>
        </w:rPr>
        <w:t xml:space="preserve"> </w:t>
      </w:r>
      <w:r w:rsidR="00D518C6" w:rsidRPr="00E10BE6">
        <w:rPr>
          <w:rFonts w:ascii="Times New Roman" w:hAnsi="Times New Roman" w:cs="Times New Roman"/>
          <w:sz w:val="24"/>
        </w:rPr>
        <w:t>j</w:t>
      </w:r>
      <w:r w:rsidR="002B3147" w:rsidRPr="00E10BE6">
        <w:rPr>
          <w:rFonts w:ascii="Times New Roman" w:hAnsi="Times New Roman" w:cs="Times New Roman"/>
          <w:sz w:val="24"/>
        </w:rPr>
        <w:t>e uvedeno i jedno z</w:t>
      </w:r>
      <w:r w:rsidR="00960F51" w:rsidRPr="00E10BE6">
        <w:rPr>
          <w:rFonts w:ascii="Times New Roman" w:hAnsi="Times New Roman" w:cs="Times New Roman"/>
          <w:sz w:val="24"/>
        </w:rPr>
        <w:t> </w:t>
      </w:r>
      <w:r w:rsidR="002B3147" w:rsidRPr="00E10BE6">
        <w:rPr>
          <w:rFonts w:ascii="Times New Roman" w:hAnsi="Times New Roman" w:cs="Times New Roman"/>
          <w:sz w:val="24"/>
        </w:rPr>
        <w:t>jeho</w:t>
      </w:r>
      <w:r w:rsidR="00960F51" w:rsidRPr="00E10BE6">
        <w:rPr>
          <w:rFonts w:ascii="Times New Roman" w:hAnsi="Times New Roman" w:cs="Times New Roman"/>
          <w:sz w:val="24"/>
        </w:rPr>
        <w:t xml:space="preserve"> </w:t>
      </w:r>
      <w:r w:rsidRPr="00E10BE6">
        <w:rPr>
          <w:rFonts w:ascii="Times New Roman" w:hAnsi="Times New Roman" w:cs="Times New Roman"/>
          <w:sz w:val="24"/>
        </w:rPr>
        <w:t>rozhodnutí v otázce nošení muslimských šátků v zaměstnání.</w:t>
      </w:r>
    </w:p>
    <w:p w14:paraId="3782E946" w14:textId="2C700A44" w:rsidR="00FA5590" w:rsidRPr="00E10BE6" w:rsidRDefault="00FA5590" w:rsidP="00FA5590">
      <w:pPr>
        <w:spacing w:after="0" w:line="360" w:lineRule="auto"/>
        <w:ind w:firstLine="431"/>
        <w:jc w:val="both"/>
        <w:rPr>
          <w:rFonts w:ascii="Times New Roman" w:hAnsi="Times New Roman" w:cs="Times New Roman"/>
          <w:sz w:val="24"/>
        </w:rPr>
      </w:pPr>
      <w:r w:rsidRPr="00E10BE6">
        <w:rPr>
          <w:rFonts w:ascii="Times New Roman" w:hAnsi="Times New Roman" w:cs="Times New Roman"/>
          <w:sz w:val="24"/>
        </w:rPr>
        <w:t xml:space="preserve">Jak jsem již uvedla výše, v otázkách svobody vyznání se rozlišují dvě „oblasti“. </w:t>
      </w:r>
      <w:r w:rsidRPr="00E10BE6">
        <w:rPr>
          <w:rFonts w:ascii="Times New Roman" w:hAnsi="Times New Roman" w:cs="Times New Roman"/>
          <w:i/>
          <w:sz w:val="24"/>
        </w:rPr>
        <w:t xml:space="preserve">Forum internum </w:t>
      </w:r>
      <w:r w:rsidRPr="00E10BE6">
        <w:rPr>
          <w:rFonts w:ascii="Times New Roman" w:hAnsi="Times New Roman" w:cs="Times New Roman"/>
          <w:sz w:val="24"/>
        </w:rPr>
        <w:t>jako absolutní, neomezitelné právo člověka ve vztahu k jeho vnitřní sféře</w:t>
      </w:r>
      <w:r w:rsidR="00D518C6" w:rsidRPr="00E10BE6">
        <w:rPr>
          <w:rFonts w:ascii="Times New Roman" w:hAnsi="Times New Roman" w:cs="Times New Roman"/>
          <w:sz w:val="24"/>
        </w:rPr>
        <w:t>,</w:t>
      </w:r>
      <w:r w:rsidRPr="00E10BE6">
        <w:rPr>
          <w:rFonts w:ascii="Times New Roman" w:hAnsi="Times New Roman" w:cs="Times New Roman"/>
          <w:sz w:val="24"/>
        </w:rPr>
        <w:t xml:space="preserve"> a </w:t>
      </w:r>
      <w:r w:rsidRPr="00E10BE6">
        <w:rPr>
          <w:rFonts w:ascii="Times New Roman" w:hAnsi="Times New Roman" w:cs="Times New Roman"/>
          <w:i/>
          <w:sz w:val="24"/>
        </w:rPr>
        <w:t>forum externum</w:t>
      </w:r>
      <w:r w:rsidRPr="00E10BE6">
        <w:rPr>
          <w:rFonts w:ascii="Times New Roman" w:hAnsi="Times New Roman" w:cs="Times New Roman"/>
          <w:sz w:val="24"/>
        </w:rPr>
        <w:t>, které zahrnuje vnější projevy této svobody</w:t>
      </w:r>
      <w:r w:rsidR="00960F51" w:rsidRPr="00E10BE6">
        <w:rPr>
          <w:rFonts w:ascii="Times New Roman" w:hAnsi="Times New Roman" w:cs="Times New Roman"/>
          <w:sz w:val="24"/>
        </w:rPr>
        <w:t>,</w:t>
      </w:r>
      <w:r w:rsidRPr="00E10BE6">
        <w:rPr>
          <w:rFonts w:ascii="Times New Roman" w:hAnsi="Times New Roman" w:cs="Times New Roman"/>
          <w:sz w:val="24"/>
        </w:rPr>
        <w:t xml:space="preserve"> a jako takové je tedy omezitelné. Pokud se budu dále zabývat omezením svobody vyznání, jedná se o omezení těchto vnějších projevů, nikoli práva na vyznání jako takového.</w:t>
      </w:r>
    </w:p>
    <w:p w14:paraId="343C01BD" w14:textId="77777777" w:rsidR="00FA5590" w:rsidRPr="00E10BE6" w:rsidRDefault="00FA5590" w:rsidP="00FA5590">
      <w:pPr>
        <w:pStyle w:val="Nadpis2"/>
        <w:rPr>
          <w:rFonts w:cs="Times New Roman"/>
        </w:rPr>
      </w:pPr>
      <w:bookmarkStart w:id="44" w:name="_Toc536289142"/>
      <w:bookmarkStart w:id="45" w:name="_Toc169299"/>
      <w:bookmarkStart w:id="46" w:name="_Toc3454700"/>
      <w:r w:rsidRPr="00E10BE6">
        <w:rPr>
          <w:rFonts w:cs="Times New Roman"/>
        </w:rPr>
        <w:t>Omezení podle Úmluvy a tzv. pětistupňový test</w:t>
      </w:r>
      <w:bookmarkEnd w:id="44"/>
      <w:bookmarkEnd w:id="45"/>
      <w:bookmarkEnd w:id="46"/>
    </w:p>
    <w:p w14:paraId="24BBC212" w14:textId="07A7E6F0" w:rsidR="00FA5590" w:rsidRPr="00E10BE6" w:rsidRDefault="00FA5590" w:rsidP="0094110C">
      <w:pPr>
        <w:spacing w:after="0" w:line="360" w:lineRule="auto"/>
        <w:ind w:firstLine="578"/>
        <w:jc w:val="both"/>
        <w:rPr>
          <w:rFonts w:ascii="Times New Roman" w:hAnsi="Times New Roman" w:cs="Times New Roman"/>
          <w:sz w:val="24"/>
          <w:szCs w:val="24"/>
        </w:rPr>
      </w:pPr>
      <w:r w:rsidRPr="00E10BE6">
        <w:rPr>
          <w:rFonts w:ascii="Times New Roman" w:hAnsi="Times New Roman" w:cs="Times New Roman"/>
          <w:sz w:val="24"/>
          <w:szCs w:val="24"/>
        </w:rPr>
        <w:t>Soud ve své judikatuře vyvinul vlastní způsob,</w:t>
      </w:r>
      <w:r w:rsidR="708D7B80" w:rsidRPr="00E10BE6">
        <w:rPr>
          <w:rFonts w:ascii="Times New Roman" w:hAnsi="Times New Roman" w:cs="Times New Roman"/>
          <w:sz w:val="24"/>
          <w:szCs w:val="24"/>
        </w:rPr>
        <w:t xml:space="preserve"> podle čeho</w:t>
      </w:r>
      <w:r w:rsidRPr="00E10BE6">
        <w:rPr>
          <w:rFonts w:ascii="Times New Roman" w:hAnsi="Times New Roman" w:cs="Times New Roman"/>
          <w:sz w:val="24"/>
          <w:szCs w:val="24"/>
        </w:rPr>
        <w:t xml:space="preserve"> posuzovat individuální přípustnost každého omezení svobod zakotvených v čl. 8</w:t>
      </w:r>
      <w:r w:rsidR="00F006FF" w:rsidRPr="00E10BE6">
        <w:rPr>
          <w:rFonts w:ascii="Times New Roman" w:hAnsi="Times New Roman" w:cs="Times New Roman"/>
          <w:sz w:val="24"/>
          <w:szCs w:val="24"/>
        </w:rPr>
        <w:t>–</w:t>
      </w:r>
      <w:r w:rsidRPr="00E10BE6">
        <w:rPr>
          <w:rFonts w:ascii="Times New Roman" w:hAnsi="Times New Roman" w:cs="Times New Roman"/>
          <w:sz w:val="24"/>
          <w:szCs w:val="24"/>
        </w:rPr>
        <w:t>11 Úmluvy (tedy včetně svobody vyznání podle čl. 9)</w:t>
      </w:r>
      <w:r w:rsidR="00D518C6" w:rsidRPr="00E10BE6">
        <w:rPr>
          <w:rFonts w:ascii="Times New Roman" w:hAnsi="Times New Roman" w:cs="Times New Roman"/>
          <w:sz w:val="24"/>
          <w:szCs w:val="24"/>
        </w:rPr>
        <w:t xml:space="preserve">. Tím způsobem je </w:t>
      </w:r>
      <w:r w:rsidRPr="00E10BE6">
        <w:rPr>
          <w:rFonts w:ascii="Times New Roman" w:hAnsi="Times New Roman" w:cs="Times New Roman"/>
          <w:sz w:val="24"/>
          <w:szCs w:val="24"/>
        </w:rPr>
        <w:t>tzv. pětistupňov</w:t>
      </w:r>
      <w:r w:rsidR="00D518C6" w:rsidRPr="00E10BE6">
        <w:rPr>
          <w:rFonts w:ascii="Times New Roman" w:hAnsi="Times New Roman" w:cs="Times New Roman"/>
          <w:sz w:val="24"/>
          <w:szCs w:val="24"/>
        </w:rPr>
        <w:t xml:space="preserve">ý </w:t>
      </w:r>
      <w:r w:rsidRPr="00E10BE6">
        <w:rPr>
          <w:rFonts w:ascii="Times New Roman" w:hAnsi="Times New Roman" w:cs="Times New Roman"/>
          <w:sz w:val="24"/>
          <w:szCs w:val="24"/>
        </w:rPr>
        <w:t>test.</w:t>
      </w:r>
      <w:r w:rsidR="00F006FF" w:rsidRPr="00E10BE6">
        <w:rPr>
          <w:rFonts w:ascii="Times New Roman" w:hAnsi="Times New Roman" w:cs="Times New Roman"/>
          <w:sz w:val="24"/>
          <w:szCs w:val="24"/>
        </w:rPr>
        <w:t xml:space="preserve"> </w:t>
      </w:r>
      <w:r w:rsidR="00D518C6" w:rsidRPr="00E10BE6">
        <w:rPr>
          <w:rFonts w:ascii="Times New Roman" w:hAnsi="Times New Roman" w:cs="Times New Roman"/>
          <w:sz w:val="24"/>
          <w:szCs w:val="24"/>
        </w:rPr>
        <w:t>Jedná se</w:t>
      </w:r>
      <w:r w:rsidR="002B3147" w:rsidRPr="00E10BE6">
        <w:rPr>
          <w:rFonts w:ascii="Times New Roman" w:hAnsi="Times New Roman" w:cs="Times New Roman"/>
          <w:sz w:val="24"/>
          <w:szCs w:val="24"/>
        </w:rPr>
        <w:t xml:space="preserve"> o</w:t>
      </w:r>
      <w:r w:rsidRPr="00E10BE6">
        <w:rPr>
          <w:rFonts w:ascii="Times New Roman" w:hAnsi="Times New Roman" w:cs="Times New Roman"/>
          <w:sz w:val="24"/>
          <w:szCs w:val="24"/>
        </w:rPr>
        <w:t xml:space="preserve"> pět otáz</w:t>
      </w:r>
      <w:r w:rsidR="00D518C6" w:rsidRPr="00E10BE6">
        <w:rPr>
          <w:rFonts w:ascii="Times New Roman" w:hAnsi="Times New Roman" w:cs="Times New Roman"/>
          <w:sz w:val="24"/>
          <w:szCs w:val="24"/>
        </w:rPr>
        <w:t>e</w:t>
      </w:r>
      <w:r w:rsidRPr="00E10BE6">
        <w:rPr>
          <w:rFonts w:ascii="Times New Roman" w:hAnsi="Times New Roman" w:cs="Times New Roman"/>
          <w:sz w:val="24"/>
          <w:szCs w:val="24"/>
        </w:rPr>
        <w:t>k, které si má Soud položit při úvaze, zda jde v daném případě o</w:t>
      </w:r>
      <w:r w:rsidR="00D518C6" w:rsidRPr="00E10BE6">
        <w:rPr>
          <w:rFonts w:ascii="Times New Roman" w:hAnsi="Times New Roman" w:cs="Times New Roman"/>
          <w:sz w:val="24"/>
          <w:szCs w:val="24"/>
        </w:rPr>
        <w:t> </w:t>
      </w:r>
      <w:r w:rsidRPr="00E10BE6">
        <w:rPr>
          <w:rFonts w:ascii="Times New Roman" w:hAnsi="Times New Roman" w:cs="Times New Roman"/>
          <w:sz w:val="24"/>
          <w:szCs w:val="24"/>
        </w:rPr>
        <w:t xml:space="preserve">dovolené omezení práva či nikoli. </w:t>
      </w:r>
      <w:r w:rsidR="708D7B80" w:rsidRPr="00E10BE6">
        <w:rPr>
          <w:rFonts w:ascii="Times New Roman" w:hAnsi="Times New Roman" w:cs="Times New Roman"/>
          <w:sz w:val="24"/>
          <w:szCs w:val="24"/>
        </w:rPr>
        <w:t>Otázky znějí:</w:t>
      </w:r>
    </w:p>
    <w:p w14:paraId="5210EFE6" w14:textId="77777777" w:rsidR="00FA5590" w:rsidRPr="00E10BE6" w:rsidRDefault="00FA5590" w:rsidP="00FA5590">
      <w:pPr>
        <w:numPr>
          <w:ilvl w:val="0"/>
          <w:numId w:val="9"/>
        </w:numPr>
        <w:spacing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Spadá případ pod rozsah některého z článků Úmluvy?</w:t>
      </w:r>
    </w:p>
    <w:p w14:paraId="6ED02FB5" w14:textId="77777777" w:rsidR="00FA5590" w:rsidRPr="00E10BE6" w:rsidRDefault="00FA5590" w:rsidP="00FA5590">
      <w:pPr>
        <w:numPr>
          <w:ilvl w:val="0"/>
          <w:numId w:val="9"/>
        </w:numPr>
        <w:spacing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Došlo k zásahu do namítaného práva stěžovatele?</w:t>
      </w:r>
    </w:p>
    <w:p w14:paraId="43C314D6" w14:textId="77777777" w:rsidR="00FA5590" w:rsidRPr="00E10BE6" w:rsidRDefault="00FA5590" w:rsidP="00FA5590">
      <w:pPr>
        <w:numPr>
          <w:ilvl w:val="0"/>
          <w:numId w:val="9"/>
        </w:numPr>
        <w:spacing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Byl zásah zákonný?</w:t>
      </w:r>
    </w:p>
    <w:p w14:paraId="2E0326BE" w14:textId="77777777" w:rsidR="00FA5590" w:rsidRPr="00E10BE6" w:rsidRDefault="00FA5590" w:rsidP="00FA5590">
      <w:pPr>
        <w:numPr>
          <w:ilvl w:val="0"/>
          <w:numId w:val="9"/>
        </w:numPr>
        <w:spacing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Sledoval zásah některý z legitimních cílů?</w:t>
      </w:r>
    </w:p>
    <w:p w14:paraId="49F20810" w14:textId="77777777" w:rsidR="00FA5590" w:rsidRPr="00E10BE6" w:rsidRDefault="00FA5590" w:rsidP="00FA5590">
      <w:pPr>
        <w:numPr>
          <w:ilvl w:val="0"/>
          <w:numId w:val="9"/>
        </w:numPr>
        <w:spacing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Byl zásah nezbytný v demokratické společnosti?</w:t>
      </w:r>
      <w:r w:rsidRPr="00E10BE6">
        <w:rPr>
          <w:rFonts w:ascii="Times New Roman" w:hAnsi="Times New Roman" w:cs="Times New Roman"/>
          <w:sz w:val="24"/>
          <w:szCs w:val="24"/>
          <w:vertAlign w:val="superscript"/>
        </w:rPr>
        <w:footnoteReference w:id="32"/>
      </w:r>
    </w:p>
    <w:p w14:paraId="200FD4CE" w14:textId="1EF0F798" w:rsidR="00FA5590" w:rsidRPr="00E10BE6" w:rsidRDefault="00FA5590" w:rsidP="002B3147">
      <w:pPr>
        <w:spacing w:line="360" w:lineRule="auto"/>
        <w:ind w:firstLine="420"/>
        <w:jc w:val="both"/>
        <w:rPr>
          <w:rFonts w:ascii="Times New Roman" w:hAnsi="Times New Roman" w:cs="Times New Roman"/>
          <w:sz w:val="24"/>
          <w:szCs w:val="24"/>
        </w:rPr>
      </w:pPr>
      <w:r w:rsidRPr="00E10BE6">
        <w:rPr>
          <w:rFonts w:ascii="Times New Roman" w:hAnsi="Times New Roman" w:cs="Times New Roman"/>
          <w:sz w:val="24"/>
          <w:szCs w:val="24"/>
        </w:rPr>
        <w:t xml:space="preserve">Pokud Soud odpoví kladně na všechny </w:t>
      </w:r>
      <w:r w:rsidRPr="00E10BE6">
        <w:rPr>
          <w:rFonts w:ascii="Times New Roman" w:hAnsi="Times New Roman" w:cs="Times New Roman"/>
          <w:sz w:val="24"/>
        </w:rPr>
        <w:t xml:space="preserve">tyto </w:t>
      </w:r>
      <w:r w:rsidRPr="00E10BE6">
        <w:rPr>
          <w:rFonts w:ascii="Times New Roman" w:hAnsi="Times New Roman" w:cs="Times New Roman"/>
          <w:sz w:val="24"/>
          <w:szCs w:val="24"/>
        </w:rPr>
        <w:t>otázky, jedná se sice o zásah do práva stěžovatele, ale takový zásah není porušením jeho práv.</w:t>
      </w:r>
      <w:r w:rsidR="00D518C6" w:rsidRPr="00E10BE6">
        <w:rPr>
          <w:rFonts w:ascii="Times New Roman" w:hAnsi="Times New Roman" w:cs="Times New Roman"/>
          <w:sz w:val="24"/>
          <w:szCs w:val="24"/>
        </w:rPr>
        <w:t xml:space="preserve"> Každá otázka je rozpracována v následujících </w:t>
      </w:r>
      <w:r w:rsidR="002B3147" w:rsidRPr="00E10BE6">
        <w:rPr>
          <w:rFonts w:ascii="Times New Roman" w:hAnsi="Times New Roman" w:cs="Times New Roman"/>
          <w:sz w:val="24"/>
          <w:szCs w:val="24"/>
        </w:rPr>
        <w:t>pod</w:t>
      </w:r>
      <w:r w:rsidR="00D518C6" w:rsidRPr="00E10BE6">
        <w:rPr>
          <w:rFonts w:ascii="Times New Roman" w:hAnsi="Times New Roman" w:cs="Times New Roman"/>
          <w:sz w:val="24"/>
          <w:szCs w:val="24"/>
        </w:rPr>
        <w:t>kapitolách.</w:t>
      </w:r>
    </w:p>
    <w:p w14:paraId="1A6396FD" w14:textId="77777777" w:rsidR="00FA5590" w:rsidRPr="00E10BE6" w:rsidRDefault="00FA5590" w:rsidP="00FA5590">
      <w:pPr>
        <w:pStyle w:val="Nadpis3"/>
        <w:rPr>
          <w:rFonts w:cs="Times New Roman"/>
        </w:rPr>
      </w:pPr>
      <w:bookmarkStart w:id="48" w:name="_Toc536289143"/>
      <w:bookmarkStart w:id="49" w:name="_Toc169300"/>
      <w:bookmarkStart w:id="50" w:name="_Toc3454701"/>
      <w:r w:rsidRPr="00E10BE6">
        <w:rPr>
          <w:rFonts w:cs="Times New Roman"/>
        </w:rPr>
        <w:lastRenderedPageBreak/>
        <w:t>Spadá případ pod rozsah některého z článků Úmluvy?</w:t>
      </w:r>
      <w:bookmarkEnd w:id="48"/>
      <w:bookmarkEnd w:id="49"/>
      <w:bookmarkEnd w:id="50"/>
    </w:p>
    <w:p w14:paraId="79A42B91" w14:textId="6D1BC9D4" w:rsidR="00FA5590" w:rsidRPr="00E10BE6" w:rsidRDefault="00FA5590" w:rsidP="002B3147">
      <w:pPr>
        <w:spacing w:after="0" w:line="360" w:lineRule="auto"/>
        <w:ind w:firstLine="709"/>
        <w:jc w:val="both"/>
        <w:rPr>
          <w:rFonts w:ascii="Times New Roman" w:hAnsi="Times New Roman" w:cs="Times New Roman"/>
          <w:sz w:val="24"/>
          <w:szCs w:val="24"/>
        </w:rPr>
      </w:pPr>
      <w:r w:rsidRPr="00E10BE6">
        <w:rPr>
          <w:rFonts w:ascii="Times New Roman" w:hAnsi="Times New Roman" w:cs="Times New Roman"/>
          <w:sz w:val="24"/>
          <w:szCs w:val="24"/>
        </w:rPr>
        <w:t>Tuto otázku si Soud p</w:t>
      </w:r>
      <w:r w:rsidR="708D7B80" w:rsidRPr="00E10BE6">
        <w:rPr>
          <w:rFonts w:ascii="Times New Roman" w:hAnsi="Times New Roman" w:cs="Times New Roman"/>
          <w:sz w:val="24"/>
          <w:szCs w:val="24"/>
        </w:rPr>
        <w:t xml:space="preserve">okládá </w:t>
      </w:r>
      <w:r w:rsidRPr="00E10BE6">
        <w:rPr>
          <w:rFonts w:ascii="Times New Roman" w:hAnsi="Times New Roman" w:cs="Times New Roman"/>
          <w:sz w:val="24"/>
          <w:szCs w:val="24"/>
        </w:rPr>
        <w:t>jako první. Pokud dojde k závěru, že se daný článek Úmluvy na sporný případ nevztahuje, není dána pravomoc Soudu věc projednat a</w:t>
      </w:r>
      <w:r w:rsidR="00D518C6" w:rsidRPr="00E10BE6">
        <w:rPr>
          <w:rFonts w:ascii="Times New Roman" w:hAnsi="Times New Roman" w:cs="Times New Roman"/>
          <w:sz w:val="24"/>
          <w:szCs w:val="24"/>
        </w:rPr>
        <w:t> </w:t>
      </w:r>
      <w:r w:rsidRPr="00E10BE6">
        <w:rPr>
          <w:rFonts w:ascii="Times New Roman" w:hAnsi="Times New Roman" w:cs="Times New Roman"/>
          <w:sz w:val="24"/>
          <w:szCs w:val="24"/>
        </w:rPr>
        <w:t>rozhodnout.</w:t>
      </w:r>
      <w:r w:rsidRPr="00E10BE6">
        <w:rPr>
          <w:rFonts w:ascii="Times New Roman" w:hAnsi="Times New Roman" w:cs="Times New Roman"/>
          <w:sz w:val="24"/>
          <w:szCs w:val="24"/>
          <w:vertAlign w:val="superscript"/>
        </w:rPr>
        <w:footnoteReference w:id="33"/>
      </w:r>
      <w:r w:rsidRPr="00E10BE6">
        <w:rPr>
          <w:rFonts w:ascii="Times New Roman" w:hAnsi="Times New Roman" w:cs="Times New Roman"/>
          <w:sz w:val="24"/>
          <w:szCs w:val="24"/>
        </w:rPr>
        <w:t xml:space="preserve"> Pokud bychom se zaměřili na posuzování tohoto bodu ve věcech svobody projevu vyznání, jednalo by se například o posouzení, zda určitý projev člověka je projevem jeho náboženského vyznání</w:t>
      </w:r>
      <w:r w:rsidR="1E680229" w:rsidRPr="00E10BE6">
        <w:rPr>
          <w:rFonts w:ascii="Times New Roman" w:hAnsi="Times New Roman" w:cs="Times New Roman"/>
          <w:sz w:val="24"/>
          <w:szCs w:val="24"/>
        </w:rPr>
        <w:t>,</w:t>
      </w:r>
      <w:r w:rsidRPr="00E10BE6">
        <w:rPr>
          <w:rFonts w:ascii="Times New Roman" w:hAnsi="Times New Roman" w:cs="Times New Roman"/>
          <w:sz w:val="24"/>
          <w:szCs w:val="24"/>
        </w:rPr>
        <w:t xml:space="preserve"> a tudíž, zda</w:t>
      </w:r>
      <w:r w:rsidR="00BC5FA0" w:rsidRPr="00E10BE6">
        <w:rPr>
          <w:rFonts w:ascii="Times New Roman" w:hAnsi="Times New Roman" w:cs="Times New Roman"/>
          <w:sz w:val="24"/>
          <w:szCs w:val="24"/>
        </w:rPr>
        <w:t xml:space="preserve"> je projev chráněn čl. 9 Úmluvy.</w:t>
      </w:r>
      <w:r w:rsidR="00BC5FA0" w:rsidRPr="00E10BE6">
        <w:rPr>
          <w:rStyle w:val="Znakapoznpodarou"/>
          <w:rFonts w:ascii="Times New Roman" w:hAnsi="Times New Roman" w:cs="Times New Roman"/>
          <w:sz w:val="24"/>
          <w:szCs w:val="24"/>
        </w:rPr>
        <w:footnoteReference w:id="34"/>
      </w:r>
    </w:p>
    <w:p w14:paraId="2A285AB4" w14:textId="77777777" w:rsidR="00FA5590" w:rsidRPr="00E10BE6" w:rsidRDefault="00FA5590" w:rsidP="00FA5590">
      <w:pPr>
        <w:pStyle w:val="Nadpis3"/>
        <w:rPr>
          <w:rFonts w:cs="Times New Roman"/>
        </w:rPr>
      </w:pPr>
      <w:bookmarkStart w:id="52" w:name="_Toc536289144"/>
      <w:bookmarkStart w:id="53" w:name="_Toc169301"/>
      <w:bookmarkStart w:id="54" w:name="_Toc3454702"/>
      <w:r w:rsidRPr="00E10BE6">
        <w:rPr>
          <w:rFonts w:cs="Times New Roman"/>
        </w:rPr>
        <w:t>Došlo k zásahu do namítaného práva stěžovatele?</w:t>
      </w:r>
      <w:bookmarkEnd w:id="52"/>
      <w:bookmarkEnd w:id="53"/>
      <w:bookmarkEnd w:id="54"/>
    </w:p>
    <w:p w14:paraId="692C7D23" w14:textId="43CFA379" w:rsidR="00FA5590" w:rsidRPr="00E10BE6" w:rsidRDefault="00FA5590" w:rsidP="0094110C">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Při posuzování této otázky už bylo rozhodnuto, že případ spadá pod ochranu Úmluvy. V tomto bodě se však musí posoudit, zda došlo k zásahu do práv garantovaných stěžovateli Úmluvou. V tuto chvíli soud nepátrá, zda pro zásah svědčily okolnosti svědčící o jeho nutnosti apod.</w:t>
      </w:r>
      <w:r w:rsidR="00760D69" w:rsidRPr="00E10BE6">
        <w:rPr>
          <w:rFonts w:ascii="Times New Roman" w:hAnsi="Times New Roman" w:cs="Times New Roman"/>
          <w:sz w:val="24"/>
        </w:rPr>
        <w:t>, z</w:t>
      </w:r>
      <w:r w:rsidRPr="00E10BE6">
        <w:rPr>
          <w:rFonts w:ascii="Times New Roman" w:hAnsi="Times New Roman" w:cs="Times New Roman"/>
          <w:sz w:val="24"/>
        </w:rPr>
        <w:t>de jde pouze o zjištění, zda k zásahu došlo či nikoli.</w:t>
      </w:r>
      <w:r w:rsidRPr="00E10BE6">
        <w:rPr>
          <w:rFonts w:ascii="Times New Roman" w:hAnsi="Times New Roman" w:cs="Times New Roman"/>
          <w:sz w:val="24"/>
          <w:vertAlign w:val="superscript"/>
        </w:rPr>
        <w:footnoteReference w:id="35"/>
      </w:r>
    </w:p>
    <w:p w14:paraId="6AC98812" w14:textId="77777777" w:rsidR="00FA5590" w:rsidRPr="00E10BE6" w:rsidRDefault="00FA5590" w:rsidP="00FA5590">
      <w:pPr>
        <w:pStyle w:val="Nadpis3"/>
        <w:rPr>
          <w:rFonts w:cs="Times New Roman"/>
        </w:rPr>
      </w:pPr>
      <w:bookmarkStart w:id="55" w:name="_Toc536289145"/>
      <w:bookmarkStart w:id="56" w:name="_Toc169302"/>
      <w:bookmarkStart w:id="57" w:name="_Toc3454703"/>
      <w:r w:rsidRPr="00E10BE6">
        <w:rPr>
          <w:rFonts w:cs="Times New Roman"/>
        </w:rPr>
        <w:t>Byl zásah zákonný? (test legality)</w:t>
      </w:r>
      <w:bookmarkEnd w:id="55"/>
      <w:bookmarkEnd w:id="56"/>
      <w:bookmarkEnd w:id="57"/>
    </w:p>
    <w:p w14:paraId="50760B01" w14:textId="4675E1B2" w:rsidR="00FA5590" w:rsidRPr="00E10BE6" w:rsidRDefault="00FA5590" w:rsidP="00FA5590">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 xml:space="preserve">Prvně je třeba říci, že pojem „zákonnosti“ </w:t>
      </w:r>
      <w:r w:rsidR="002B3147" w:rsidRPr="00E10BE6">
        <w:rPr>
          <w:rFonts w:ascii="Times New Roman" w:hAnsi="Times New Roman" w:cs="Times New Roman"/>
          <w:sz w:val="24"/>
        </w:rPr>
        <w:t xml:space="preserve">ve smyslu </w:t>
      </w:r>
      <w:r w:rsidRPr="00E10BE6">
        <w:rPr>
          <w:rFonts w:ascii="Times New Roman" w:hAnsi="Times New Roman" w:cs="Times New Roman"/>
          <w:sz w:val="24"/>
        </w:rPr>
        <w:t>souladu se zákonem neodpovídá anglickému „</w:t>
      </w:r>
      <w:proofErr w:type="spellStart"/>
      <w:r w:rsidRPr="00E10BE6">
        <w:rPr>
          <w:rFonts w:ascii="Times New Roman" w:hAnsi="Times New Roman" w:cs="Times New Roman"/>
          <w:sz w:val="24"/>
        </w:rPr>
        <w:t>prescripted</w:t>
      </w:r>
      <w:proofErr w:type="spellEnd"/>
      <w:r w:rsidRPr="00E10BE6">
        <w:rPr>
          <w:rFonts w:ascii="Times New Roman" w:hAnsi="Times New Roman" w:cs="Times New Roman"/>
          <w:sz w:val="24"/>
        </w:rPr>
        <w:t xml:space="preserve"> by </w:t>
      </w:r>
      <w:proofErr w:type="spellStart"/>
      <w:r w:rsidRPr="00E10BE6">
        <w:rPr>
          <w:rFonts w:ascii="Times New Roman" w:hAnsi="Times New Roman" w:cs="Times New Roman"/>
          <w:sz w:val="24"/>
        </w:rPr>
        <w:t>law</w:t>
      </w:r>
      <w:proofErr w:type="spellEnd"/>
      <w:r w:rsidRPr="00E10BE6">
        <w:rPr>
          <w:rFonts w:ascii="Times New Roman" w:hAnsi="Times New Roman" w:cs="Times New Roman"/>
          <w:sz w:val="24"/>
        </w:rPr>
        <w:t>“ tak, jak ho chápe judikatura Soudu. Ta při posuzování, zda byl pro zásah dán určitý právní základ</w:t>
      </w:r>
      <w:r w:rsidR="00760D69" w:rsidRPr="00E10BE6">
        <w:rPr>
          <w:rFonts w:ascii="Times New Roman" w:hAnsi="Times New Roman" w:cs="Times New Roman"/>
          <w:sz w:val="24"/>
        </w:rPr>
        <w:t>,</w:t>
      </w:r>
      <w:r w:rsidRPr="00E10BE6">
        <w:rPr>
          <w:rFonts w:ascii="Times New Roman" w:hAnsi="Times New Roman" w:cs="Times New Roman"/>
          <w:sz w:val="24"/>
        </w:rPr>
        <w:t xml:space="preserve"> přihlíží nejen k zákonům (jak by vyplývalo z českého pojetí zákonnosti), ale i k podzákonným předpisům či obecným normativním aktům vydaným profesními komorami. Obecnými požadavky pro naplnění legality zásahu je již zmíněný právní základ pro zásah</w:t>
      </w:r>
      <w:r w:rsidR="00F006FF" w:rsidRPr="00E10BE6">
        <w:rPr>
          <w:rFonts w:ascii="Times New Roman" w:hAnsi="Times New Roman" w:cs="Times New Roman"/>
          <w:sz w:val="24"/>
        </w:rPr>
        <w:t>,</w:t>
      </w:r>
      <w:r w:rsidRPr="00E10BE6">
        <w:rPr>
          <w:rFonts w:ascii="Times New Roman" w:hAnsi="Times New Roman" w:cs="Times New Roman"/>
          <w:sz w:val="24"/>
        </w:rPr>
        <w:t xml:space="preserve"> a</w:t>
      </w:r>
      <w:r w:rsidR="00700980">
        <w:rPr>
          <w:rFonts w:ascii="Times New Roman" w:hAnsi="Times New Roman" w:cs="Times New Roman"/>
          <w:sz w:val="24"/>
        </w:rPr>
        <w:t xml:space="preserve"> </w:t>
      </w:r>
      <w:r w:rsidRPr="00E10BE6">
        <w:rPr>
          <w:rFonts w:ascii="Times New Roman" w:hAnsi="Times New Roman" w:cs="Times New Roman"/>
          <w:sz w:val="24"/>
        </w:rPr>
        <w:t>požadavek dostupnosti, předvídatelnosti a požadavek poskytnutí dostatečných záruk před svévolnou aplikací práva.</w:t>
      </w:r>
      <w:r w:rsidRPr="00E10BE6">
        <w:rPr>
          <w:rFonts w:ascii="Times New Roman" w:hAnsi="Times New Roman" w:cs="Times New Roman"/>
          <w:sz w:val="24"/>
          <w:vertAlign w:val="superscript"/>
        </w:rPr>
        <w:footnoteReference w:id="36"/>
      </w:r>
    </w:p>
    <w:p w14:paraId="5B9117ED" w14:textId="77777777" w:rsidR="00FA5590" w:rsidRPr="00E10BE6" w:rsidRDefault="00FA5590" w:rsidP="00FA5590">
      <w:pPr>
        <w:pStyle w:val="Nadpis3"/>
        <w:rPr>
          <w:rFonts w:cs="Times New Roman"/>
        </w:rPr>
      </w:pPr>
      <w:bookmarkStart w:id="58" w:name="_Toc536289146"/>
      <w:bookmarkStart w:id="59" w:name="_Toc169303"/>
      <w:bookmarkStart w:id="60" w:name="_Toc3454704"/>
      <w:r w:rsidRPr="00E10BE6">
        <w:rPr>
          <w:rFonts w:cs="Times New Roman"/>
        </w:rPr>
        <w:t>Sledoval zásah některý z legitimních cílů? (test legitimity)</w:t>
      </w:r>
      <w:bookmarkEnd w:id="58"/>
      <w:bookmarkEnd w:id="59"/>
      <w:bookmarkEnd w:id="60"/>
    </w:p>
    <w:p w14:paraId="59A6D09F" w14:textId="7C2A0234" w:rsidR="00FA5590" w:rsidRPr="00E10BE6" w:rsidRDefault="00FA5590" w:rsidP="0094110C">
      <w:pPr>
        <w:spacing w:line="360" w:lineRule="auto"/>
        <w:ind w:firstLine="708"/>
        <w:jc w:val="both"/>
        <w:rPr>
          <w:rFonts w:ascii="Times New Roman" w:hAnsi="Times New Roman" w:cs="Times New Roman"/>
          <w:sz w:val="24"/>
        </w:rPr>
      </w:pPr>
      <w:r w:rsidRPr="00E10BE6">
        <w:rPr>
          <w:rFonts w:ascii="Times New Roman" w:hAnsi="Times New Roman" w:cs="Times New Roman"/>
          <w:sz w:val="24"/>
        </w:rPr>
        <w:t>Články 8 až 11 Úmluvy taxativně stanovují důvody, pro které lze omezit jednotlivá práva garantována Úmluvou. Konkrétně druhý odstavec čl. 9 určuje za tyto legitimní cíle ochranu veřejné bezpečnosti, veřejného pořádku, ochranu zdraví nebo morálky</w:t>
      </w:r>
      <w:r w:rsidR="001F12A9" w:rsidRPr="00E10BE6">
        <w:rPr>
          <w:rFonts w:ascii="Times New Roman" w:hAnsi="Times New Roman" w:cs="Times New Roman"/>
          <w:sz w:val="24"/>
        </w:rPr>
        <w:t>,</w:t>
      </w:r>
      <w:r w:rsidRPr="00E10BE6">
        <w:rPr>
          <w:rFonts w:ascii="Times New Roman" w:hAnsi="Times New Roman" w:cs="Times New Roman"/>
          <w:sz w:val="24"/>
        </w:rPr>
        <w:t xml:space="preserve"> nebo ochranu práv a svobod jiných. Pokud tedy má být splněna podmínka legitimity zásahu, musí zásah směřovat k ochraně některého z vyjmenovaných cílů.</w:t>
      </w:r>
      <w:r w:rsidRPr="00E10BE6">
        <w:rPr>
          <w:rFonts w:ascii="Times New Roman" w:hAnsi="Times New Roman" w:cs="Times New Roman"/>
          <w:sz w:val="24"/>
          <w:vertAlign w:val="superscript"/>
        </w:rPr>
        <w:footnoteReference w:id="37"/>
      </w:r>
      <w:r w:rsidRPr="00E10BE6">
        <w:rPr>
          <w:rFonts w:ascii="Times New Roman" w:hAnsi="Times New Roman" w:cs="Times New Roman"/>
          <w:sz w:val="24"/>
        </w:rPr>
        <w:t xml:space="preserve"> Výčet legitimních cílů je pevně stanoven a nelze hájit zásah jiným cílem</w:t>
      </w:r>
      <w:r w:rsidR="00F006FF" w:rsidRPr="00E10BE6">
        <w:rPr>
          <w:rFonts w:ascii="Times New Roman" w:hAnsi="Times New Roman" w:cs="Times New Roman"/>
          <w:sz w:val="24"/>
        </w:rPr>
        <w:t>,</w:t>
      </w:r>
      <w:r w:rsidRPr="00E10BE6">
        <w:rPr>
          <w:rFonts w:ascii="Times New Roman" w:hAnsi="Times New Roman" w:cs="Times New Roman"/>
          <w:sz w:val="24"/>
        </w:rPr>
        <w:t xml:space="preserve"> než cílem stanoveným Úmluvou.</w:t>
      </w:r>
    </w:p>
    <w:p w14:paraId="6F9E3A87" w14:textId="77777777" w:rsidR="00FA5590" w:rsidRPr="00E10BE6" w:rsidRDefault="00FA5590" w:rsidP="00FA5590">
      <w:pPr>
        <w:pStyle w:val="Nadpis3"/>
        <w:rPr>
          <w:rFonts w:cs="Times New Roman"/>
        </w:rPr>
      </w:pPr>
      <w:bookmarkStart w:id="61" w:name="_Toc536289147"/>
      <w:bookmarkStart w:id="62" w:name="_Toc169304"/>
      <w:bookmarkStart w:id="63" w:name="_Toc3454705"/>
      <w:r w:rsidRPr="00E10BE6">
        <w:rPr>
          <w:rFonts w:cs="Times New Roman"/>
        </w:rPr>
        <w:lastRenderedPageBreak/>
        <w:t>Test nezbytnosti</w:t>
      </w:r>
      <w:bookmarkEnd w:id="61"/>
      <w:bookmarkEnd w:id="62"/>
      <w:bookmarkEnd w:id="63"/>
      <w:r w:rsidRPr="00E10BE6">
        <w:rPr>
          <w:rFonts w:cs="Times New Roman"/>
        </w:rPr>
        <w:t xml:space="preserve"> </w:t>
      </w:r>
    </w:p>
    <w:p w14:paraId="243833EC" w14:textId="4ED54E4B" w:rsidR="00FA5590" w:rsidRPr="00E10BE6" w:rsidRDefault="00FA5590" w:rsidP="0094110C">
      <w:pPr>
        <w:spacing w:after="0" w:line="360" w:lineRule="auto"/>
        <w:ind w:firstLine="578"/>
        <w:jc w:val="both"/>
        <w:rPr>
          <w:rFonts w:ascii="Times New Roman" w:hAnsi="Times New Roman" w:cs="Times New Roman"/>
          <w:sz w:val="24"/>
        </w:rPr>
      </w:pPr>
      <w:r w:rsidRPr="00E10BE6">
        <w:rPr>
          <w:rFonts w:ascii="Times New Roman" w:hAnsi="Times New Roman" w:cs="Times New Roman"/>
          <w:sz w:val="24"/>
        </w:rPr>
        <w:t>V tomto posledním kroku Soud hledá odpověď na otázku, zda byl zásah nezbytný v</w:t>
      </w:r>
      <w:r w:rsidR="002228C1" w:rsidRPr="00E10BE6">
        <w:rPr>
          <w:rFonts w:ascii="Times New Roman" w:hAnsi="Times New Roman" w:cs="Times New Roman"/>
          <w:sz w:val="24"/>
        </w:rPr>
        <w:t> </w:t>
      </w:r>
      <w:r w:rsidRPr="00E10BE6">
        <w:rPr>
          <w:rFonts w:ascii="Times New Roman" w:hAnsi="Times New Roman" w:cs="Times New Roman"/>
          <w:sz w:val="24"/>
        </w:rPr>
        <w:t>demokratické společnosti. V rámci tohoto kroku neexistují žádná vnitřní pravidla či testy, které by zde Soud uplatňoval</w:t>
      </w:r>
      <w:r w:rsidR="001F12A9" w:rsidRPr="00E10BE6">
        <w:rPr>
          <w:rFonts w:ascii="Times New Roman" w:hAnsi="Times New Roman" w:cs="Times New Roman"/>
          <w:sz w:val="24"/>
        </w:rPr>
        <w:t>,</w:t>
      </w:r>
      <w:r w:rsidRPr="00E10BE6">
        <w:rPr>
          <w:rFonts w:ascii="Times New Roman" w:hAnsi="Times New Roman" w:cs="Times New Roman"/>
          <w:sz w:val="24"/>
        </w:rPr>
        <w:t xml:space="preserve"> a odůvodnění v těchto částech rozhodnutí tedy může působit značně nejednotně a chaoticky. Většina případů se rozhoduje právě až v tomto posledním kroku.</w:t>
      </w:r>
    </w:p>
    <w:p w14:paraId="1B1CC72B" w14:textId="110E37DE" w:rsidR="00FA5590" w:rsidRPr="00E10BE6" w:rsidRDefault="00FA5590" w:rsidP="0094110C">
      <w:pPr>
        <w:spacing w:after="0" w:line="360" w:lineRule="auto"/>
        <w:ind w:firstLine="578"/>
        <w:jc w:val="both"/>
        <w:rPr>
          <w:rFonts w:ascii="Times New Roman" w:hAnsi="Times New Roman" w:cs="Times New Roman"/>
          <w:sz w:val="24"/>
        </w:rPr>
      </w:pPr>
      <w:r w:rsidRPr="00E10BE6">
        <w:rPr>
          <w:rFonts w:ascii="Times New Roman" w:hAnsi="Times New Roman" w:cs="Times New Roman"/>
          <w:sz w:val="24"/>
        </w:rPr>
        <w:t>V této části posouzení případu Soud často odkazuje na doktrínu prostoru státu pro uvážení.</w:t>
      </w:r>
      <w:r w:rsidR="0060704D">
        <w:rPr>
          <w:rFonts w:ascii="Times New Roman" w:hAnsi="Times New Roman" w:cs="Times New Roman"/>
          <w:sz w:val="24"/>
        </w:rPr>
        <w:t xml:space="preserve"> </w:t>
      </w:r>
      <w:r w:rsidRPr="00E10BE6">
        <w:rPr>
          <w:rFonts w:ascii="Times New Roman" w:hAnsi="Times New Roman" w:cs="Times New Roman"/>
          <w:sz w:val="24"/>
        </w:rPr>
        <w:t>Soud prostřednictvím této doktríny uznává, že určité otázky by měly zůstat na posouzení konkrétního státu, protože stát</w:t>
      </w:r>
      <w:r w:rsidR="001F12A9" w:rsidRPr="00E10BE6">
        <w:rPr>
          <w:rFonts w:ascii="Times New Roman" w:hAnsi="Times New Roman" w:cs="Times New Roman"/>
          <w:sz w:val="24"/>
        </w:rPr>
        <w:t xml:space="preserve"> má</w:t>
      </w:r>
      <w:r w:rsidRPr="00E10BE6">
        <w:rPr>
          <w:rFonts w:ascii="Times New Roman" w:hAnsi="Times New Roman" w:cs="Times New Roman"/>
          <w:sz w:val="24"/>
        </w:rPr>
        <w:t xml:space="preserve"> k této otázce blíže než Soud.</w:t>
      </w:r>
      <w:r w:rsidRPr="00E10BE6">
        <w:rPr>
          <w:rFonts w:ascii="Times New Roman" w:hAnsi="Times New Roman" w:cs="Times New Roman"/>
          <w:sz w:val="24"/>
          <w:vertAlign w:val="superscript"/>
        </w:rPr>
        <w:footnoteReference w:id="38"/>
      </w:r>
      <w:r w:rsidR="008C25ED">
        <w:rPr>
          <w:rFonts w:ascii="Times New Roman" w:hAnsi="Times New Roman" w:cs="Times New Roman"/>
          <w:sz w:val="24"/>
        </w:rPr>
        <w:t xml:space="preserve"> </w:t>
      </w:r>
      <w:r w:rsidR="008C25ED" w:rsidRPr="00E10BE6">
        <w:rPr>
          <w:rFonts w:ascii="Times New Roman" w:hAnsi="Times New Roman" w:cs="Times New Roman"/>
          <w:sz w:val="24"/>
        </w:rPr>
        <w:t>Této doktríně se podrobně budu věnovat v následující kapitole</w:t>
      </w:r>
      <w:r w:rsidR="004C4349">
        <w:rPr>
          <w:rFonts w:ascii="Times New Roman" w:hAnsi="Times New Roman" w:cs="Times New Roman"/>
          <w:sz w:val="24"/>
        </w:rPr>
        <w:t>.</w:t>
      </w:r>
    </w:p>
    <w:p w14:paraId="3A117B30" w14:textId="77777777" w:rsidR="00FA5590" w:rsidRPr="00E10BE6" w:rsidRDefault="00FA5590" w:rsidP="00FA5590">
      <w:pPr>
        <w:pStyle w:val="Nadpis2"/>
        <w:rPr>
          <w:rFonts w:cs="Times New Roman"/>
        </w:rPr>
      </w:pPr>
      <w:bookmarkStart w:id="64" w:name="_Toc536289148"/>
      <w:bookmarkStart w:id="65" w:name="_Toc169305"/>
      <w:bookmarkStart w:id="66" w:name="_Toc3454706"/>
      <w:r w:rsidRPr="00E10BE6">
        <w:rPr>
          <w:rFonts w:cs="Times New Roman"/>
        </w:rPr>
        <w:t>Rozhodnutí Evropského soudu pro lidská práva v otázkách zahalování</w:t>
      </w:r>
      <w:bookmarkEnd w:id="64"/>
      <w:bookmarkEnd w:id="65"/>
      <w:bookmarkEnd w:id="66"/>
    </w:p>
    <w:p w14:paraId="4BAFAD9D" w14:textId="195E30E5" w:rsidR="00FA5590" w:rsidRPr="00E10BE6" w:rsidRDefault="0060704D" w:rsidP="00FA559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Minulá podkapitola uváděla </w:t>
      </w:r>
      <w:r w:rsidR="00FA5590" w:rsidRPr="00E10BE6">
        <w:rPr>
          <w:rFonts w:ascii="Times New Roman" w:hAnsi="Times New Roman" w:cs="Times New Roman"/>
          <w:sz w:val="24"/>
        </w:rPr>
        <w:t>obecné podmínky pro omezení svobody projevu vyznání. V této podkapitole uvedu nejdůležitější rozhodnutí Soudu v konkrétních případech tvrzeného zásahu do práva na svobodu projevu vyznání stěžovatele. Chci tak ukázat, jak se Soud v praxi vypořádává s danými podmínkami pro omezení. Jak z názvu práce vyplývá, zaměřím se na</w:t>
      </w:r>
      <w:r w:rsidR="00514CDA" w:rsidRPr="00E10BE6">
        <w:rPr>
          <w:rFonts w:ascii="Times New Roman" w:hAnsi="Times New Roman" w:cs="Times New Roman"/>
          <w:sz w:val="24"/>
        </w:rPr>
        <w:t xml:space="preserve"> rozhodnutí</w:t>
      </w:r>
      <w:r w:rsidR="00FA5590" w:rsidRPr="00E10BE6">
        <w:rPr>
          <w:rFonts w:ascii="Times New Roman" w:hAnsi="Times New Roman" w:cs="Times New Roman"/>
          <w:sz w:val="24"/>
        </w:rPr>
        <w:t xml:space="preserve"> týkající se namítaného omezení svobody projevu vyznání v souvislosti s nošením muslimských šátků.</w:t>
      </w:r>
    </w:p>
    <w:p w14:paraId="2DA43D53" w14:textId="1C63D954" w:rsidR="00FA5590" w:rsidRPr="00E10BE6" w:rsidRDefault="00FA5590" w:rsidP="00FA5590">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 xml:space="preserve">V současné době již konflikty související s nošením muslimských šátků nejsou pouze sporem konkrétního stěžovatele, který tvrdí zásah do svého práva. </w:t>
      </w:r>
      <w:r w:rsidR="0060704D">
        <w:rPr>
          <w:rFonts w:ascii="Times New Roman" w:hAnsi="Times New Roman" w:cs="Times New Roman"/>
          <w:sz w:val="24"/>
        </w:rPr>
        <w:t>P</w:t>
      </w:r>
      <w:r w:rsidRPr="00E10BE6">
        <w:rPr>
          <w:rFonts w:ascii="Times New Roman" w:hAnsi="Times New Roman" w:cs="Times New Roman"/>
          <w:sz w:val="24"/>
        </w:rPr>
        <w:t>řibývá států, které přijaly zákony zakazující zahalování obličeje na veřejnosti. I přesto, že Soud řeší tyto spory již několik let, je toto téma stále aktuální. Rozhodnutí Soudu navíc mohou silně ovlivňovat přípustnost tak závažného omezení nejen na území jednoho státu, ale v</w:t>
      </w:r>
      <w:r w:rsidR="0060704D">
        <w:rPr>
          <w:rFonts w:ascii="Times New Roman" w:hAnsi="Times New Roman" w:cs="Times New Roman"/>
          <w:sz w:val="24"/>
        </w:rPr>
        <w:t> </w:t>
      </w:r>
      <w:r w:rsidRPr="00E10BE6">
        <w:rPr>
          <w:rFonts w:ascii="Times New Roman" w:hAnsi="Times New Roman" w:cs="Times New Roman"/>
          <w:sz w:val="24"/>
        </w:rPr>
        <w:t>případě</w:t>
      </w:r>
      <w:r w:rsidR="0060704D">
        <w:rPr>
          <w:rFonts w:ascii="Times New Roman" w:hAnsi="Times New Roman" w:cs="Times New Roman"/>
          <w:sz w:val="24"/>
        </w:rPr>
        <w:t xml:space="preserve"> schválení postupu jednoho státu</w:t>
      </w:r>
      <w:r w:rsidRPr="00E10BE6">
        <w:rPr>
          <w:rFonts w:ascii="Times New Roman" w:hAnsi="Times New Roman" w:cs="Times New Roman"/>
          <w:sz w:val="24"/>
        </w:rPr>
        <w:t xml:space="preserve">, i na území celé Evropy. </w:t>
      </w:r>
    </w:p>
    <w:p w14:paraId="10D1521A" w14:textId="391508A7" w:rsidR="00FA5590" w:rsidRPr="00E10BE6" w:rsidRDefault="00514CDA" w:rsidP="00FA5590">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K vlivu rozhodnutí</w:t>
      </w:r>
      <w:r w:rsidR="00FA5590" w:rsidRPr="00E10BE6">
        <w:rPr>
          <w:rFonts w:ascii="Times New Roman" w:hAnsi="Times New Roman" w:cs="Times New Roman"/>
          <w:sz w:val="24"/>
        </w:rPr>
        <w:t xml:space="preserve"> Soudu se vyjádřil i Ústavní soud ČR ve svém nálezu, kde mj. uvedl, že: </w:t>
      </w:r>
      <w:r w:rsidR="00FA5590" w:rsidRPr="00E10BE6">
        <w:rPr>
          <w:rFonts w:ascii="Times New Roman" w:hAnsi="Times New Roman" w:cs="Times New Roman"/>
          <w:i/>
          <w:sz w:val="24"/>
        </w:rPr>
        <w:t>„orgány veřejné moci (mají) obecnou povinnost přihlížet k interpretaci Evropské úmluvy prováděné ESLP. Rozhodnutí ESLP představují významné interpretační vodítko pro aplikaci Úmluvy. Orgány veřejné moci, na prvém místě pak soudy, jsou proto povinny přihlížet k</w:t>
      </w:r>
      <w:r w:rsidR="00A829A3" w:rsidRPr="00E10BE6">
        <w:rPr>
          <w:rFonts w:ascii="Times New Roman" w:hAnsi="Times New Roman" w:cs="Times New Roman"/>
          <w:i/>
          <w:sz w:val="24"/>
        </w:rPr>
        <w:t> </w:t>
      </w:r>
      <w:r w:rsidR="00FA5590" w:rsidRPr="00E10BE6">
        <w:rPr>
          <w:rFonts w:ascii="Times New Roman" w:hAnsi="Times New Roman" w:cs="Times New Roman"/>
          <w:i/>
          <w:sz w:val="24"/>
        </w:rPr>
        <w:t xml:space="preserve">judikatuře ESLP jak ve věcech, kde rozhodovaly v řízeních proti České republice, tak i ve věcech, které se týkají jiného členského státu Úmluvy, pokud tyto věci mají podle své povahy </w:t>
      </w:r>
      <w:r w:rsidR="00FA5590" w:rsidRPr="00E10BE6">
        <w:rPr>
          <w:rFonts w:ascii="Times New Roman" w:hAnsi="Times New Roman" w:cs="Times New Roman"/>
          <w:i/>
          <w:sz w:val="24"/>
        </w:rPr>
        <w:lastRenderedPageBreak/>
        <w:t>význam též pro interpretaci Úmluvy v českém kontextu.“</w:t>
      </w:r>
      <w:r w:rsidR="00FA5590" w:rsidRPr="00E10BE6">
        <w:rPr>
          <w:rFonts w:ascii="Times New Roman" w:hAnsi="Times New Roman" w:cs="Times New Roman"/>
          <w:sz w:val="24"/>
          <w:vertAlign w:val="superscript"/>
        </w:rPr>
        <w:footnoteReference w:id="39"/>
      </w:r>
      <w:r w:rsidR="00FA5590" w:rsidRPr="00E10BE6">
        <w:rPr>
          <w:rFonts w:ascii="Times New Roman" w:hAnsi="Times New Roman" w:cs="Times New Roman"/>
          <w:sz w:val="24"/>
        </w:rPr>
        <w:t xml:space="preserve"> Ve své práci se tedy nezabývám rozhodnutími českých soudů a soustředím se na rozhodnutí Soudu.</w:t>
      </w:r>
    </w:p>
    <w:p w14:paraId="494764B8" w14:textId="77777777" w:rsidR="00FA5590" w:rsidRPr="00E10BE6" w:rsidRDefault="00FA5590" w:rsidP="00D900E0">
      <w:pPr>
        <w:pStyle w:val="Nadpis3"/>
        <w:jc w:val="both"/>
        <w:rPr>
          <w:rFonts w:cs="Times New Roman"/>
        </w:rPr>
      </w:pPr>
      <w:bookmarkStart w:id="67" w:name="_Toc536289149"/>
      <w:bookmarkStart w:id="68" w:name="_Toc169306"/>
      <w:bookmarkStart w:id="69" w:name="_Toc3454707"/>
      <w:proofErr w:type="spellStart"/>
      <w:r w:rsidRPr="00E10BE6">
        <w:rPr>
          <w:rFonts w:cs="Times New Roman"/>
        </w:rPr>
        <w:t>Dahlab</w:t>
      </w:r>
      <w:proofErr w:type="spellEnd"/>
      <w:r w:rsidRPr="00E10BE6">
        <w:rPr>
          <w:rFonts w:cs="Times New Roman"/>
        </w:rPr>
        <w:t xml:space="preserve"> proti Švýcarsku</w:t>
      </w:r>
      <w:r w:rsidRPr="00E10BE6">
        <w:rPr>
          <w:rFonts w:cs="Times New Roman"/>
          <w:vertAlign w:val="superscript"/>
        </w:rPr>
        <w:footnoteReference w:id="40"/>
      </w:r>
      <w:bookmarkEnd w:id="67"/>
      <w:bookmarkEnd w:id="68"/>
      <w:bookmarkEnd w:id="69"/>
    </w:p>
    <w:p w14:paraId="52EFC64D" w14:textId="7554F02B" w:rsidR="00FA5590" w:rsidRPr="00E10BE6" w:rsidRDefault="00FA5590" w:rsidP="00D900E0">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 xml:space="preserve">Soud zde rozhodoval o případu stěžovatelky, švýcarské učitelky na prvním stupni základní školy, paní L. </w:t>
      </w:r>
      <w:proofErr w:type="spellStart"/>
      <w:r w:rsidRPr="00E10BE6">
        <w:rPr>
          <w:rFonts w:ascii="Times New Roman" w:hAnsi="Times New Roman" w:cs="Times New Roman"/>
          <w:sz w:val="24"/>
        </w:rPr>
        <w:t>Dahlab</w:t>
      </w:r>
      <w:proofErr w:type="spellEnd"/>
      <w:r w:rsidRPr="00E10BE6">
        <w:rPr>
          <w:rFonts w:ascii="Times New Roman" w:hAnsi="Times New Roman" w:cs="Times New Roman"/>
          <w:sz w:val="24"/>
        </w:rPr>
        <w:t>. Stěžovatelka během působení na této škole konvertovala k islámu a</w:t>
      </w:r>
      <w:r w:rsidR="00A829A3" w:rsidRPr="00E10BE6">
        <w:rPr>
          <w:rFonts w:ascii="Times New Roman" w:hAnsi="Times New Roman" w:cs="Times New Roman"/>
          <w:sz w:val="24"/>
        </w:rPr>
        <w:t> </w:t>
      </w:r>
      <w:r w:rsidRPr="00E10BE6">
        <w:rPr>
          <w:rFonts w:ascii="Times New Roman" w:hAnsi="Times New Roman" w:cs="Times New Roman"/>
          <w:sz w:val="24"/>
        </w:rPr>
        <w:t>začala do výuky nosit muslimský šátek. Několik let poté, co stěžovatelka začala nosit šátek do výuky, však byla vyzvána, aby šátek do výuky nenosila, jelikož takové chování není dle ředitelství pro základní vzdělávání v souladu s článkem 6 zákona o veřejném vzdělávání</w:t>
      </w:r>
      <w:r w:rsidR="00A829A3" w:rsidRPr="00E10BE6">
        <w:rPr>
          <w:rFonts w:ascii="Times New Roman" w:hAnsi="Times New Roman" w:cs="Times New Roman"/>
          <w:sz w:val="24"/>
        </w:rPr>
        <w:t>.</w:t>
      </w:r>
      <w:r w:rsidRPr="00E10BE6">
        <w:rPr>
          <w:rFonts w:ascii="Times New Roman" w:hAnsi="Times New Roman" w:cs="Times New Roman"/>
          <w:sz w:val="24"/>
          <w:vertAlign w:val="superscript"/>
        </w:rPr>
        <w:footnoteReference w:id="41"/>
      </w:r>
      <w:r w:rsidRPr="00E10BE6">
        <w:rPr>
          <w:rFonts w:ascii="Times New Roman" w:hAnsi="Times New Roman" w:cs="Times New Roman"/>
          <w:sz w:val="24"/>
        </w:rPr>
        <w:t xml:space="preserve"> Proti tomuto rozhodnutí se stěžovatelka odvolala ke švýcarskému soudu,</w:t>
      </w:r>
      <w:r w:rsidR="00CA0EF9">
        <w:rPr>
          <w:rFonts w:ascii="Times New Roman" w:hAnsi="Times New Roman" w:cs="Times New Roman"/>
          <w:sz w:val="24"/>
        </w:rPr>
        <w:t xml:space="preserve"> </w:t>
      </w:r>
      <w:r w:rsidRPr="00E10BE6">
        <w:rPr>
          <w:rFonts w:ascii="Times New Roman" w:hAnsi="Times New Roman" w:cs="Times New Roman"/>
          <w:sz w:val="24"/>
        </w:rPr>
        <w:t xml:space="preserve">tento soud </w:t>
      </w:r>
      <w:r w:rsidRPr="00CA0EF9">
        <w:rPr>
          <w:rFonts w:ascii="Times New Roman" w:hAnsi="Times New Roman" w:cs="Times New Roman"/>
          <w:sz w:val="24"/>
        </w:rPr>
        <w:t>však</w:t>
      </w:r>
      <w:r w:rsidRPr="00E10BE6">
        <w:rPr>
          <w:rFonts w:ascii="Times New Roman" w:hAnsi="Times New Roman" w:cs="Times New Roman"/>
          <w:sz w:val="24"/>
        </w:rPr>
        <w:t xml:space="preserve"> rozhodnutí potvrdil. Soud přitom odkazoval na zmiňovaný čl. 6, čl. 120 odst. 2 zákona o</w:t>
      </w:r>
      <w:r w:rsidR="00A829A3" w:rsidRPr="00E10BE6">
        <w:rPr>
          <w:rFonts w:ascii="Times New Roman" w:hAnsi="Times New Roman" w:cs="Times New Roman"/>
          <w:sz w:val="24"/>
        </w:rPr>
        <w:t> </w:t>
      </w:r>
      <w:r w:rsidRPr="00E10BE6">
        <w:rPr>
          <w:rFonts w:ascii="Times New Roman" w:hAnsi="Times New Roman" w:cs="Times New Roman"/>
          <w:sz w:val="24"/>
        </w:rPr>
        <w:t>veřejném vzdělávání</w:t>
      </w:r>
      <w:r w:rsidRPr="00E10BE6">
        <w:rPr>
          <w:rFonts w:ascii="Times New Roman" w:hAnsi="Times New Roman" w:cs="Times New Roman"/>
          <w:sz w:val="24"/>
          <w:vertAlign w:val="superscript"/>
        </w:rPr>
        <w:footnoteReference w:id="42"/>
      </w:r>
      <w:r w:rsidRPr="00E10BE6">
        <w:rPr>
          <w:rFonts w:ascii="Times New Roman" w:hAnsi="Times New Roman" w:cs="Times New Roman"/>
          <w:sz w:val="24"/>
        </w:rPr>
        <w:t>, na principy oddělení státu od církve a Švýcarska jako sekularizovaného státu, které jsou obsaženy v</w:t>
      </w:r>
      <w:r w:rsidR="004C4349">
        <w:rPr>
          <w:rFonts w:ascii="Times New Roman" w:hAnsi="Times New Roman" w:cs="Times New Roman"/>
          <w:sz w:val="24"/>
        </w:rPr>
        <w:t>e švýcarské ústavě.</w:t>
      </w:r>
    </w:p>
    <w:p w14:paraId="15A33534" w14:textId="5DBCB20F" w:rsidR="00CA0EF9" w:rsidRDefault="00FA5590" w:rsidP="00D900E0">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 xml:space="preserve">Svoji stížnost k Soudu paní </w:t>
      </w:r>
      <w:proofErr w:type="spellStart"/>
      <w:r w:rsidRPr="00E10BE6">
        <w:rPr>
          <w:rFonts w:ascii="Times New Roman" w:hAnsi="Times New Roman" w:cs="Times New Roman"/>
          <w:sz w:val="24"/>
        </w:rPr>
        <w:t>Dahlab</w:t>
      </w:r>
      <w:proofErr w:type="spellEnd"/>
      <w:r w:rsidRPr="00E10BE6">
        <w:rPr>
          <w:rFonts w:ascii="Times New Roman" w:hAnsi="Times New Roman" w:cs="Times New Roman"/>
          <w:sz w:val="24"/>
        </w:rPr>
        <w:t xml:space="preserve"> odůvodňovala zásahem do jejího práva na svobodu vyznání, který dle jejího názoru nemá právní základ a není důvodný. Švýcarská vláda naproti tomu argumentovala skutečností, že Nejvyšší soud rozlišuje situace, kdy náboženský symbol nosí učitel a stejné chování na straně žáka. Zákaz nošení šátku se proto vztahuje na stěžovatelku pouze kvůli jejímu postavení učitelky na státní základní škole. Vláda odůvodnila zásah především ochranou neutrality státu. Učitel je dle vlády v postavení státního zaměstnance a jako takový i určitým reprezentantem státu. Jeho chování by tedy nemělo naznačovat, že stát upřednostňuje </w:t>
      </w:r>
      <w:r w:rsidR="00A829A3" w:rsidRPr="00E10BE6">
        <w:rPr>
          <w:rFonts w:ascii="Times New Roman" w:hAnsi="Times New Roman" w:cs="Times New Roman"/>
          <w:sz w:val="24"/>
        </w:rPr>
        <w:t>nějaké</w:t>
      </w:r>
      <w:r w:rsidRPr="00E10BE6">
        <w:rPr>
          <w:rFonts w:ascii="Times New Roman" w:hAnsi="Times New Roman" w:cs="Times New Roman"/>
          <w:sz w:val="24"/>
        </w:rPr>
        <w:t xml:space="preserve"> náboženství. Důležitým faktorem byl dle vlády i nízký věk žáků, kdy žáci často vnímají své učitele jako určité vzory, a tudíž mohou být svými učiteli ovlivňováni. Ostatně, čl. 120 odst. 2 švýcarského zákona o veřejném vzdělávání stanovil, že civilní zaměstnanci musí být </w:t>
      </w:r>
      <w:r w:rsidR="004C4349">
        <w:rPr>
          <w:rFonts w:ascii="Times New Roman" w:hAnsi="Times New Roman" w:cs="Times New Roman"/>
          <w:sz w:val="24"/>
        </w:rPr>
        <w:t>neutrální</w:t>
      </w:r>
      <w:r w:rsidRPr="00E10BE6">
        <w:rPr>
          <w:rFonts w:ascii="Times New Roman" w:hAnsi="Times New Roman" w:cs="Times New Roman"/>
          <w:sz w:val="24"/>
        </w:rPr>
        <w:t>. Zároveň ale připouští možnost odchýlení se od tohoto pravidla v případě univerzitních vyučujících.</w:t>
      </w:r>
    </w:p>
    <w:p w14:paraId="5397618C" w14:textId="30A819F5" w:rsidR="00FA5590" w:rsidRPr="00E10BE6" w:rsidRDefault="00FA5590" w:rsidP="00D900E0">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Myslím, že toto ustanovení tedy počítá s rozdílným vlivem, který mají náboženské symboly</w:t>
      </w:r>
      <w:r w:rsidR="004C4349">
        <w:rPr>
          <w:rFonts w:ascii="Times New Roman" w:hAnsi="Times New Roman" w:cs="Times New Roman"/>
          <w:sz w:val="24"/>
        </w:rPr>
        <w:t xml:space="preserve"> </w:t>
      </w:r>
      <w:r w:rsidRPr="00E10BE6">
        <w:rPr>
          <w:rFonts w:ascii="Times New Roman" w:hAnsi="Times New Roman" w:cs="Times New Roman"/>
          <w:sz w:val="24"/>
        </w:rPr>
        <w:t xml:space="preserve">na žáky v závislosti na jejich věku. Univerzitní studenti nebudou podléhat vlivu svého vyučujícího tak, jako by mohli právě žáci prvního stupně základní školy. U nich lze </w:t>
      </w:r>
      <w:r w:rsidRPr="00E10BE6">
        <w:rPr>
          <w:rFonts w:ascii="Times New Roman" w:hAnsi="Times New Roman" w:cs="Times New Roman"/>
          <w:sz w:val="24"/>
        </w:rPr>
        <w:lastRenderedPageBreak/>
        <w:t>předpokládat, že studenti vysokých škol jsou schopni samostatně přemýšlet nad významem těchto náboženských symbolů a zhodnotit veškeré okolnosti.</w:t>
      </w:r>
    </w:p>
    <w:p w14:paraId="71860F13" w14:textId="034A4B92" w:rsidR="00FA5590" w:rsidRPr="00E10BE6" w:rsidRDefault="00FA5590" w:rsidP="00D900E0">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 xml:space="preserve">Soud se při posuzování případu držel pětistupňového </w:t>
      </w:r>
      <w:r w:rsidRPr="00C67DEE">
        <w:rPr>
          <w:rFonts w:ascii="Times New Roman" w:hAnsi="Times New Roman" w:cs="Times New Roman"/>
          <w:sz w:val="24"/>
        </w:rPr>
        <w:t xml:space="preserve">testu, jak jsem ho vysvětlila výše. </w:t>
      </w:r>
      <w:r w:rsidRPr="00E10BE6">
        <w:rPr>
          <w:rFonts w:ascii="Times New Roman" w:hAnsi="Times New Roman" w:cs="Times New Roman"/>
          <w:sz w:val="24"/>
        </w:rPr>
        <w:t>V rozhodnutí se Soud věnoval rovnou otázce „třetí“, zda byl zásah zákonný (</w:t>
      </w:r>
      <w:proofErr w:type="spellStart"/>
      <w:r w:rsidRPr="00E10BE6">
        <w:rPr>
          <w:rFonts w:ascii="Times New Roman" w:hAnsi="Times New Roman" w:cs="Times New Roman"/>
          <w:sz w:val="24"/>
        </w:rPr>
        <w:t>prescribed</w:t>
      </w:r>
      <w:proofErr w:type="spellEnd"/>
      <w:r w:rsidRPr="00E10BE6">
        <w:rPr>
          <w:rFonts w:ascii="Times New Roman" w:hAnsi="Times New Roman" w:cs="Times New Roman"/>
          <w:sz w:val="24"/>
        </w:rPr>
        <w:t xml:space="preserve"> by </w:t>
      </w:r>
      <w:proofErr w:type="spellStart"/>
      <w:r w:rsidRPr="00E10BE6">
        <w:rPr>
          <w:rFonts w:ascii="Times New Roman" w:hAnsi="Times New Roman" w:cs="Times New Roman"/>
          <w:sz w:val="24"/>
        </w:rPr>
        <w:t>law</w:t>
      </w:r>
      <w:proofErr w:type="spellEnd"/>
      <w:r w:rsidRPr="00E10BE6">
        <w:rPr>
          <w:rFonts w:ascii="Times New Roman" w:hAnsi="Times New Roman" w:cs="Times New Roman"/>
          <w:sz w:val="24"/>
        </w:rPr>
        <w:t>).</w:t>
      </w:r>
      <w:r w:rsidRPr="00E10BE6">
        <w:rPr>
          <w:rFonts w:ascii="Times New Roman" w:hAnsi="Times New Roman" w:cs="Times New Roman"/>
        </w:rPr>
        <w:t xml:space="preserve"> </w:t>
      </w:r>
      <w:r w:rsidRPr="00E10BE6">
        <w:rPr>
          <w:rFonts w:ascii="Times New Roman" w:hAnsi="Times New Roman" w:cs="Times New Roman"/>
          <w:sz w:val="24"/>
        </w:rPr>
        <w:t>I přes námitky stěžovatelky</w:t>
      </w:r>
      <w:r w:rsidR="00CC4992" w:rsidRPr="00E10BE6">
        <w:rPr>
          <w:rFonts w:ascii="Times New Roman" w:hAnsi="Times New Roman" w:cs="Times New Roman"/>
          <w:sz w:val="24"/>
        </w:rPr>
        <w:t xml:space="preserve"> </w:t>
      </w:r>
      <w:r w:rsidRPr="00E10BE6">
        <w:rPr>
          <w:rFonts w:ascii="Times New Roman" w:hAnsi="Times New Roman" w:cs="Times New Roman"/>
          <w:sz w:val="24"/>
        </w:rPr>
        <w:t>Soud v tomto bodě dospěl k závěru, že zákonný podklad pro zásah byl dán zákonem o veřejném vzdělávání, konkrétně články 6 a 120 odst. 2.</w:t>
      </w:r>
    </w:p>
    <w:p w14:paraId="3EFD363A" w14:textId="14837007" w:rsidR="00FA5590" w:rsidRPr="00E10BE6" w:rsidRDefault="00FA5590" w:rsidP="00D900E0">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 xml:space="preserve">Krok čtvrtý, zda zásah sledoval legitimní cíl, Soud posoudil v rámci jednoho odstavce, kdy bez hlubšího odůvodnění konstatoval, že zásah byl legitimní za účelem ochrany práv a svobod jiných, veřejné bezpečnosti a veřejného pořádku. </w:t>
      </w:r>
      <w:r w:rsidRPr="00C67DEE">
        <w:rPr>
          <w:rFonts w:ascii="Times New Roman" w:hAnsi="Times New Roman" w:cs="Times New Roman"/>
          <w:sz w:val="24"/>
        </w:rPr>
        <w:t>V čem ale spatřuje ohrožení veřejné bezpečnosti a veřejného pořádku</w:t>
      </w:r>
      <w:r w:rsidR="007257EC" w:rsidRPr="00C67DEE">
        <w:rPr>
          <w:rFonts w:ascii="Times New Roman" w:hAnsi="Times New Roman" w:cs="Times New Roman"/>
          <w:sz w:val="24"/>
        </w:rPr>
        <w:t>,</w:t>
      </w:r>
      <w:r w:rsidRPr="00C67DEE">
        <w:rPr>
          <w:rFonts w:ascii="Times New Roman" w:hAnsi="Times New Roman" w:cs="Times New Roman"/>
          <w:sz w:val="24"/>
        </w:rPr>
        <w:t xml:space="preserve"> Soud neobjasnil.</w:t>
      </w:r>
    </w:p>
    <w:p w14:paraId="13161F52" w14:textId="69756010" w:rsidR="00FA5590" w:rsidRPr="00E10BE6" w:rsidRDefault="00FA5590" w:rsidP="00D900E0">
      <w:pPr>
        <w:spacing w:after="0" w:line="360" w:lineRule="auto"/>
        <w:ind w:firstLine="360"/>
        <w:jc w:val="both"/>
        <w:rPr>
          <w:rFonts w:ascii="Times New Roman" w:hAnsi="Times New Roman" w:cs="Times New Roman"/>
          <w:sz w:val="24"/>
        </w:rPr>
      </w:pPr>
      <w:r w:rsidRPr="00C67DEE">
        <w:rPr>
          <w:rFonts w:ascii="Times New Roman" w:hAnsi="Times New Roman" w:cs="Times New Roman"/>
          <w:sz w:val="24"/>
        </w:rPr>
        <w:t xml:space="preserve">Konečně, při posuzování pátého kroku nezbytnosti </w:t>
      </w:r>
      <w:r w:rsidR="007257EC" w:rsidRPr="00C67DEE">
        <w:rPr>
          <w:rFonts w:ascii="Times New Roman" w:hAnsi="Times New Roman" w:cs="Times New Roman"/>
          <w:sz w:val="24"/>
        </w:rPr>
        <w:t>S</w:t>
      </w:r>
      <w:r w:rsidRPr="00C67DEE">
        <w:rPr>
          <w:rFonts w:ascii="Times New Roman" w:hAnsi="Times New Roman" w:cs="Times New Roman"/>
          <w:sz w:val="24"/>
        </w:rPr>
        <w:t xml:space="preserve">oud </w:t>
      </w:r>
      <w:r w:rsidRPr="00E10BE6">
        <w:rPr>
          <w:rFonts w:ascii="Times New Roman" w:hAnsi="Times New Roman" w:cs="Times New Roman"/>
          <w:sz w:val="24"/>
        </w:rPr>
        <w:t>odkazuje na prostor volného uvážení státu, o kterém</w:t>
      </w:r>
      <w:r w:rsidR="00F006FF" w:rsidRPr="00E10BE6">
        <w:rPr>
          <w:rFonts w:ascii="Times New Roman" w:hAnsi="Times New Roman" w:cs="Times New Roman"/>
          <w:sz w:val="24"/>
        </w:rPr>
        <w:t xml:space="preserve"> </w:t>
      </w:r>
      <w:r w:rsidR="007018A5" w:rsidRPr="00E10BE6">
        <w:rPr>
          <w:rFonts w:ascii="Times New Roman" w:hAnsi="Times New Roman" w:cs="Times New Roman"/>
          <w:sz w:val="24"/>
        </w:rPr>
        <w:t>je psáno</w:t>
      </w:r>
      <w:r w:rsidRPr="00E10BE6">
        <w:rPr>
          <w:rFonts w:ascii="Times New Roman" w:hAnsi="Times New Roman" w:cs="Times New Roman"/>
          <w:sz w:val="24"/>
        </w:rPr>
        <w:t xml:space="preserve"> níže. Stát má dle Soudu sám posoudit nutnost a rozsah zásahu, avšak toto uvážení státu podléhá dohledu ze strany Soudu. Role Soudu je tak v tomto případě omezena pouze na určení, zda opatření přijatá na národní úrovni byla dostatečně odůvodněna a</w:t>
      </w:r>
      <w:r w:rsidR="00A829A3" w:rsidRPr="00E10BE6">
        <w:rPr>
          <w:rFonts w:ascii="Times New Roman" w:hAnsi="Times New Roman" w:cs="Times New Roman"/>
          <w:sz w:val="24"/>
        </w:rPr>
        <w:t> </w:t>
      </w:r>
      <w:r w:rsidRPr="00E10BE6">
        <w:rPr>
          <w:rFonts w:ascii="Times New Roman" w:hAnsi="Times New Roman" w:cs="Times New Roman"/>
          <w:sz w:val="24"/>
        </w:rPr>
        <w:t xml:space="preserve">zda </w:t>
      </w:r>
      <w:r w:rsidR="004F0478" w:rsidRPr="00E10BE6">
        <w:rPr>
          <w:rFonts w:ascii="Times New Roman" w:hAnsi="Times New Roman" w:cs="Times New Roman"/>
          <w:sz w:val="24"/>
        </w:rPr>
        <w:t xml:space="preserve">byla </w:t>
      </w:r>
      <w:r w:rsidRPr="00E10BE6">
        <w:rPr>
          <w:rFonts w:ascii="Times New Roman" w:hAnsi="Times New Roman" w:cs="Times New Roman"/>
          <w:sz w:val="24"/>
        </w:rPr>
        <w:t xml:space="preserve">opatření proporcionální vzhledem ke sledovanému cíli. </w:t>
      </w:r>
      <w:r w:rsidR="004F0478" w:rsidRPr="00E10BE6">
        <w:rPr>
          <w:rFonts w:ascii="Times New Roman" w:hAnsi="Times New Roman" w:cs="Times New Roman"/>
          <w:sz w:val="24"/>
        </w:rPr>
        <w:t xml:space="preserve">V tomto případě </w:t>
      </w:r>
      <w:r w:rsidRPr="00E10BE6">
        <w:rPr>
          <w:rFonts w:ascii="Times New Roman" w:hAnsi="Times New Roman" w:cs="Times New Roman"/>
          <w:sz w:val="24"/>
        </w:rPr>
        <w:t>Soud v konečné fázi rozhodl v neprospěch stěžovatelky a potvrdil, že opatření přijatá státem nebyla nepřiměřená. Své rozhodnutí odůvodnil nízkým věkem žáků, kteří jsou snadněji ovlivnitelní než starší žáci</w:t>
      </w:r>
      <w:r w:rsidR="004F0478" w:rsidRPr="00E10BE6">
        <w:rPr>
          <w:rFonts w:ascii="Times New Roman" w:hAnsi="Times New Roman" w:cs="Times New Roman"/>
          <w:sz w:val="24"/>
        </w:rPr>
        <w:t>,</w:t>
      </w:r>
      <w:r w:rsidRPr="00E10BE6">
        <w:rPr>
          <w:rFonts w:ascii="Times New Roman" w:hAnsi="Times New Roman" w:cs="Times New Roman"/>
          <w:sz w:val="24"/>
        </w:rPr>
        <w:t xml:space="preserve"> a potřebou chránit právo dětí vzděláván</w:t>
      </w:r>
      <w:r w:rsidR="004F0478" w:rsidRPr="00E10BE6">
        <w:rPr>
          <w:rFonts w:ascii="Times New Roman" w:hAnsi="Times New Roman" w:cs="Times New Roman"/>
          <w:sz w:val="24"/>
        </w:rPr>
        <w:t>í</w:t>
      </w:r>
      <w:r w:rsidRPr="00E10BE6">
        <w:rPr>
          <w:rFonts w:ascii="Times New Roman" w:hAnsi="Times New Roman" w:cs="Times New Roman"/>
          <w:sz w:val="24"/>
        </w:rPr>
        <w:t xml:space="preserve"> v nábožensky neutrálním prostředí.</w:t>
      </w:r>
    </w:p>
    <w:p w14:paraId="52BC54DF" w14:textId="760938BF" w:rsidR="00FA5590" w:rsidRPr="00E10BE6" w:rsidRDefault="00514CDA" w:rsidP="00D900E0">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 xml:space="preserve">Při rozboru </w:t>
      </w:r>
      <w:bookmarkStart w:id="70" w:name="_Hlk2599623"/>
      <w:r w:rsidRPr="00E10BE6">
        <w:rPr>
          <w:rFonts w:ascii="Times New Roman" w:hAnsi="Times New Roman" w:cs="Times New Roman"/>
          <w:sz w:val="24"/>
        </w:rPr>
        <w:t>rozhodnutí</w:t>
      </w:r>
      <w:bookmarkEnd w:id="70"/>
      <w:r w:rsidR="00FA5590" w:rsidRPr="00E10BE6">
        <w:rPr>
          <w:rFonts w:ascii="Times New Roman" w:hAnsi="Times New Roman" w:cs="Times New Roman"/>
          <w:sz w:val="24"/>
        </w:rPr>
        <w:t xml:space="preserve"> mne v první řadě zaujalo dle mého nedostatečné odůvodnění</w:t>
      </w:r>
      <w:r w:rsidR="007257EC" w:rsidRPr="00E10BE6">
        <w:rPr>
          <w:rFonts w:ascii="Times New Roman" w:hAnsi="Times New Roman" w:cs="Times New Roman"/>
          <w:sz w:val="24"/>
        </w:rPr>
        <w:t>.</w:t>
      </w:r>
      <w:r w:rsidR="00C67DEE">
        <w:rPr>
          <w:rFonts w:ascii="Times New Roman" w:hAnsi="Times New Roman" w:cs="Times New Roman"/>
          <w:sz w:val="24"/>
        </w:rPr>
        <w:t xml:space="preserve"> </w:t>
      </w:r>
      <w:r w:rsidR="00FA5590" w:rsidRPr="00E10BE6">
        <w:rPr>
          <w:rFonts w:ascii="Times New Roman" w:hAnsi="Times New Roman" w:cs="Times New Roman"/>
          <w:sz w:val="24"/>
        </w:rPr>
        <w:t xml:space="preserve">Možnou výjimkou je posuzování nezbytnosti zásahu, kde ale vlastně Soud posuzuje, zda došlo k překročení rozsahu </w:t>
      </w:r>
      <w:r w:rsidR="00C67DEE">
        <w:rPr>
          <w:rFonts w:ascii="Times New Roman" w:hAnsi="Times New Roman" w:cs="Times New Roman"/>
          <w:sz w:val="24"/>
        </w:rPr>
        <w:t xml:space="preserve">prostoru </w:t>
      </w:r>
      <w:r w:rsidR="00FA5590" w:rsidRPr="00E10BE6">
        <w:rPr>
          <w:rFonts w:ascii="Times New Roman" w:hAnsi="Times New Roman" w:cs="Times New Roman"/>
          <w:sz w:val="24"/>
        </w:rPr>
        <w:t>pro uvážení</w:t>
      </w:r>
      <w:r w:rsidR="00C67DEE">
        <w:rPr>
          <w:rFonts w:ascii="Times New Roman" w:hAnsi="Times New Roman" w:cs="Times New Roman"/>
          <w:sz w:val="24"/>
        </w:rPr>
        <w:t xml:space="preserve"> státu</w:t>
      </w:r>
      <w:r w:rsidR="00FA5590" w:rsidRPr="00E10BE6">
        <w:rPr>
          <w:rFonts w:ascii="Times New Roman" w:hAnsi="Times New Roman" w:cs="Times New Roman"/>
          <w:sz w:val="24"/>
        </w:rPr>
        <w:t xml:space="preserve"> a nezabývá se samotnou nutností zásahu do práva stěžovatelky. V zásadě ale souhlasím s jeho rozhodnutím, a to s ohledem na </w:t>
      </w:r>
      <w:r w:rsidR="00FA5590" w:rsidRPr="00C67DEE">
        <w:rPr>
          <w:rFonts w:ascii="Times New Roman" w:hAnsi="Times New Roman" w:cs="Times New Roman"/>
          <w:sz w:val="24"/>
        </w:rPr>
        <w:t xml:space="preserve">již několikrát zmiňované </w:t>
      </w:r>
      <w:r w:rsidR="00FA5590" w:rsidRPr="00E10BE6">
        <w:rPr>
          <w:rFonts w:ascii="Times New Roman" w:hAnsi="Times New Roman" w:cs="Times New Roman"/>
          <w:sz w:val="24"/>
        </w:rPr>
        <w:t>postavení učitele a</w:t>
      </w:r>
      <w:r w:rsidR="00A829A3" w:rsidRPr="00E10BE6">
        <w:rPr>
          <w:rFonts w:ascii="Times New Roman" w:hAnsi="Times New Roman" w:cs="Times New Roman"/>
          <w:sz w:val="24"/>
        </w:rPr>
        <w:t> </w:t>
      </w:r>
      <w:r w:rsidR="00FA5590" w:rsidRPr="00E10BE6">
        <w:rPr>
          <w:rFonts w:ascii="Times New Roman" w:hAnsi="Times New Roman" w:cs="Times New Roman"/>
          <w:sz w:val="24"/>
        </w:rPr>
        <w:t xml:space="preserve">žáka na základní škole. </w:t>
      </w:r>
      <w:r w:rsidR="00FA5590" w:rsidRPr="00D900E0">
        <w:rPr>
          <w:rFonts w:ascii="Times New Roman" w:hAnsi="Times New Roman" w:cs="Times New Roman"/>
          <w:sz w:val="24"/>
        </w:rPr>
        <w:t xml:space="preserve">Pokud má stát zajišťovat a vyjadřovat náboženskou neutralitu, je </w:t>
      </w:r>
      <w:r w:rsidR="00FA5590" w:rsidRPr="00D900E0">
        <w:rPr>
          <w:rFonts w:ascii="Times New Roman" w:hAnsi="Times New Roman" w:cs="Times New Roman"/>
          <w:color w:val="000000" w:themeColor="text1"/>
          <w:sz w:val="24"/>
        </w:rPr>
        <w:t>potřeba být neutrální nejen ve vztahu k učiteli samotnému</w:t>
      </w:r>
      <w:r w:rsidR="00E10BE6" w:rsidRPr="00D900E0">
        <w:rPr>
          <w:rFonts w:ascii="Times New Roman" w:hAnsi="Times New Roman" w:cs="Times New Roman"/>
          <w:color w:val="000000" w:themeColor="text1"/>
          <w:sz w:val="24"/>
        </w:rPr>
        <w:t>. Tato</w:t>
      </w:r>
      <w:r w:rsidR="00FA5590" w:rsidRPr="00D900E0">
        <w:rPr>
          <w:rFonts w:ascii="Times New Roman" w:hAnsi="Times New Roman" w:cs="Times New Roman"/>
          <w:color w:val="000000" w:themeColor="text1"/>
          <w:sz w:val="24"/>
        </w:rPr>
        <w:t xml:space="preserve"> neutralita by mohla být za jiných okolností zajištěna naopak právě volností učitele nosit oblečení, případně jiné symboly jeho víry</w:t>
      </w:r>
      <w:r w:rsidR="00C67DEE" w:rsidRPr="00D900E0">
        <w:rPr>
          <w:rFonts w:ascii="Times New Roman" w:hAnsi="Times New Roman" w:cs="Times New Roman"/>
          <w:color w:val="000000" w:themeColor="text1"/>
          <w:sz w:val="24"/>
        </w:rPr>
        <w:t xml:space="preserve">. V tomto případě však musí převážit náboženská neutralita ve vztahu k žákům. Vzhledem k jejich nízkému věku je zapotřebí omezit </w:t>
      </w:r>
      <w:r w:rsidR="00D900E0" w:rsidRPr="00D900E0">
        <w:rPr>
          <w:rFonts w:ascii="Times New Roman" w:hAnsi="Times New Roman" w:cs="Times New Roman"/>
          <w:color w:val="000000" w:themeColor="text1"/>
          <w:sz w:val="24"/>
        </w:rPr>
        <w:t>právo učitelky, aby byla žákům</w:t>
      </w:r>
      <w:r w:rsidR="00FA5590" w:rsidRPr="00D900E0">
        <w:rPr>
          <w:rFonts w:ascii="Times New Roman" w:hAnsi="Times New Roman" w:cs="Times New Roman"/>
          <w:color w:val="000000" w:themeColor="text1"/>
          <w:sz w:val="24"/>
        </w:rPr>
        <w:t xml:space="preserve"> poskytn</w:t>
      </w:r>
      <w:r w:rsidR="00D900E0" w:rsidRPr="00D900E0">
        <w:rPr>
          <w:rFonts w:ascii="Times New Roman" w:hAnsi="Times New Roman" w:cs="Times New Roman"/>
          <w:color w:val="000000" w:themeColor="text1"/>
          <w:sz w:val="24"/>
        </w:rPr>
        <w:t>uta</w:t>
      </w:r>
      <w:r w:rsidR="00FA5590" w:rsidRPr="00D900E0">
        <w:rPr>
          <w:rFonts w:ascii="Times New Roman" w:hAnsi="Times New Roman" w:cs="Times New Roman"/>
          <w:color w:val="000000" w:themeColor="text1"/>
          <w:sz w:val="24"/>
        </w:rPr>
        <w:t xml:space="preserve"> volnost najít si sami v budoucím životě své vlastní vyznání, nebo se rozhodnout být bez vyznání.</w:t>
      </w:r>
    </w:p>
    <w:p w14:paraId="1E10BED0" w14:textId="77777777" w:rsidR="00FA5590" w:rsidRPr="00E10BE6" w:rsidRDefault="00FA5590" w:rsidP="00FA5590">
      <w:pPr>
        <w:pStyle w:val="Nadpis3"/>
        <w:rPr>
          <w:rFonts w:cs="Times New Roman"/>
        </w:rPr>
      </w:pPr>
      <w:bookmarkStart w:id="71" w:name="_Toc536289150"/>
      <w:bookmarkStart w:id="72" w:name="_Toc169307"/>
      <w:bookmarkStart w:id="73" w:name="_Toc3454708"/>
      <w:proofErr w:type="spellStart"/>
      <w:r w:rsidRPr="00E10BE6">
        <w:rPr>
          <w:rFonts w:cs="Times New Roman"/>
        </w:rPr>
        <w:lastRenderedPageBreak/>
        <w:t>Dogru</w:t>
      </w:r>
      <w:proofErr w:type="spellEnd"/>
      <w:r w:rsidRPr="00E10BE6">
        <w:rPr>
          <w:rFonts w:cs="Times New Roman"/>
        </w:rPr>
        <w:t xml:space="preserve"> proti Francii</w:t>
      </w:r>
      <w:r w:rsidRPr="00E10BE6">
        <w:rPr>
          <w:rFonts w:cs="Times New Roman"/>
          <w:vertAlign w:val="superscript"/>
        </w:rPr>
        <w:footnoteReference w:id="43"/>
      </w:r>
      <w:bookmarkEnd w:id="71"/>
      <w:bookmarkEnd w:id="72"/>
      <w:bookmarkEnd w:id="73"/>
    </w:p>
    <w:p w14:paraId="0374F633" w14:textId="035647B2" w:rsidR="00FA5590" w:rsidRPr="00E10BE6" w:rsidRDefault="00FA5590" w:rsidP="00FA5590">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Na rozdíl od předchozího případu,</w:t>
      </w:r>
      <w:r w:rsidR="001F78F9" w:rsidRPr="00E10BE6">
        <w:rPr>
          <w:rFonts w:ascii="Times New Roman" w:hAnsi="Times New Roman" w:cs="Times New Roman"/>
          <w:sz w:val="24"/>
        </w:rPr>
        <w:t xml:space="preserve"> kde stěžovatelkou byla učitelk</w:t>
      </w:r>
      <w:r w:rsidR="007B7366" w:rsidRPr="00E10BE6">
        <w:rPr>
          <w:rFonts w:ascii="Times New Roman" w:hAnsi="Times New Roman" w:cs="Times New Roman"/>
          <w:sz w:val="24"/>
        </w:rPr>
        <w:t>a</w:t>
      </w:r>
      <w:r w:rsidRPr="00E10BE6">
        <w:rPr>
          <w:rFonts w:ascii="Times New Roman" w:hAnsi="Times New Roman" w:cs="Times New Roman"/>
          <w:sz w:val="24"/>
        </w:rPr>
        <w:t xml:space="preserve">, </w:t>
      </w:r>
      <w:r w:rsidR="00E10BE6">
        <w:rPr>
          <w:rFonts w:ascii="Times New Roman" w:hAnsi="Times New Roman" w:cs="Times New Roman"/>
          <w:sz w:val="24"/>
        </w:rPr>
        <w:t>z</w:t>
      </w:r>
      <w:r w:rsidRPr="00E10BE6">
        <w:rPr>
          <w:rFonts w:ascii="Times New Roman" w:hAnsi="Times New Roman" w:cs="Times New Roman"/>
          <w:sz w:val="24"/>
        </w:rPr>
        <w:t>de Soud rozhodoval, zda došlo k porušení práv stěžovatelky, která byla v té době studentkou základní školy. Stěžovatelkou byla jedenáctiletá muslimka,</w:t>
      </w:r>
      <w:r w:rsidR="00E10BE6">
        <w:rPr>
          <w:rFonts w:ascii="Times New Roman" w:hAnsi="Times New Roman" w:cs="Times New Roman"/>
          <w:sz w:val="24"/>
        </w:rPr>
        <w:t xml:space="preserve"> </w:t>
      </w:r>
      <w:r w:rsidRPr="00E10BE6">
        <w:rPr>
          <w:rFonts w:ascii="Times New Roman" w:hAnsi="Times New Roman" w:cs="Times New Roman"/>
          <w:sz w:val="24"/>
        </w:rPr>
        <w:t>která si odmítala sundat muslimský šátek při hodinách tělocviku. Stěžovatelka byla ze školy vyloučena pro neúčast na hodinách tělesné výchovy, ale posléze studovala školu korespondenčně</w:t>
      </w:r>
      <w:r w:rsidRPr="004B3F6C">
        <w:rPr>
          <w:rFonts w:ascii="Times New Roman" w:hAnsi="Times New Roman" w:cs="Times New Roman"/>
          <w:sz w:val="24"/>
        </w:rPr>
        <w:t xml:space="preserve">. </w:t>
      </w:r>
      <w:r w:rsidRPr="00D900E0">
        <w:rPr>
          <w:rFonts w:ascii="Times New Roman" w:hAnsi="Times New Roman" w:cs="Times New Roman"/>
          <w:sz w:val="24"/>
        </w:rPr>
        <w:t>Snahy</w:t>
      </w:r>
      <w:r w:rsidR="004B3F6C" w:rsidRPr="00D900E0">
        <w:rPr>
          <w:rFonts w:ascii="Times New Roman" w:hAnsi="Times New Roman" w:cs="Times New Roman"/>
          <w:sz w:val="24"/>
        </w:rPr>
        <w:t xml:space="preserve"> </w:t>
      </w:r>
      <w:r w:rsidRPr="00D900E0">
        <w:rPr>
          <w:rFonts w:ascii="Times New Roman" w:hAnsi="Times New Roman" w:cs="Times New Roman"/>
          <w:sz w:val="24"/>
        </w:rPr>
        <w:t>rodičů</w:t>
      </w:r>
      <w:r w:rsidR="004B3F6C" w:rsidRPr="00D900E0">
        <w:rPr>
          <w:rFonts w:ascii="Times New Roman" w:hAnsi="Times New Roman" w:cs="Times New Roman"/>
          <w:sz w:val="24"/>
        </w:rPr>
        <w:t xml:space="preserve"> studentky </w:t>
      </w:r>
      <w:r w:rsidRPr="00D900E0">
        <w:rPr>
          <w:rFonts w:ascii="Times New Roman" w:hAnsi="Times New Roman" w:cs="Times New Roman"/>
          <w:sz w:val="24"/>
        </w:rPr>
        <w:t>zvrátit rozhodnutí o</w:t>
      </w:r>
      <w:r w:rsidR="004B3F6C" w:rsidRPr="00D900E0">
        <w:rPr>
          <w:rFonts w:ascii="Times New Roman" w:hAnsi="Times New Roman" w:cs="Times New Roman"/>
          <w:sz w:val="24"/>
        </w:rPr>
        <w:t> </w:t>
      </w:r>
      <w:r w:rsidRPr="00D900E0">
        <w:rPr>
          <w:rFonts w:ascii="Times New Roman" w:hAnsi="Times New Roman" w:cs="Times New Roman"/>
          <w:sz w:val="24"/>
        </w:rPr>
        <w:t>vyloučení jejich dcery vedly až ke stížnosti k Evropskému soudu pro lidská práva, jelikož všechny vnitrostátní orgány potvrdily prvotní rozhodnutí o vyloučení</w:t>
      </w:r>
      <w:r w:rsidR="004B3F6C" w:rsidRPr="00D900E0">
        <w:rPr>
          <w:rFonts w:ascii="Times New Roman" w:hAnsi="Times New Roman" w:cs="Times New Roman"/>
          <w:sz w:val="24"/>
        </w:rPr>
        <w:t>.</w:t>
      </w:r>
    </w:p>
    <w:p w14:paraId="3915C4B1" w14:textId="3C555FED" w:rsidR="00FA5590" w:rsidRPr="00E10BE6" w:rsidRDefault="00FA5590" w:rsidP="00FA5590">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Soud připomíná, že výkon svobody vyznání na veřejnosti je přímo spjat s principem sekularismu, na kterém je Franc</w:t>
      </w:r>
      <w:r w:rsidR="00487575" w:rsidRPr="00E10BE6">
        <w:rPr>
          <w:rFonts w:ascii="Times New Roman" w:hAnsi="Times New Roman" w:cs="Times New Roman"/>
          <w:sz w:val="24"/>
        </w:rPr>
        <w:t xml:space="preserve">ouzská republika </w:t>
      </w:r>
      <w:r w:rsidRPr="00E10BE6">
        <w:rPr>
          <w:rFonts w:ascii="Times New Roman" w:hAnsi="Times New Roman" w:cs="Times New Roman"/>
          <w:sz w:val="24"/>
        </w:rPr>
        <w:t xml:space="preserve">založena. O sekularismu jako o jednom ze základních principů státu mluví i tehdejší </w:t>
      </w:r>
      <w:r w:rsidR="007B7366" w:rsidRPr="00E10BE6">
        <w:rPr>
          <w:rFonts w:ascii="Times New Roman" w:hAnsi="Times New Roman" w:cs="Times New Roman"/>
          <w:sz w:val="24"/>
        </w:rPr>
        <w:t>m</w:t>
      </w:r>
      <w:r w:rsidRPr="00E10BE6">
        <w:rPr>
          <w:rFonts w:ascii="Times New Roman" w:hAnsi="Times New Roman" w:cs="Times New Roman"/>
          <w:sz w:val="24"/>
        </w:rPr>
        <w:t>inistr školství v oběžníku</w:t>
      </w:r>
      <w:r w:rsidR="00487575" w:rsidRPr="00E10BE6">
        <w:rPr>
          <w:rFonts w:ascii="Times New Roman" w:hAnsi="Times New Roman" w:cs="Times New Roman"/>
          <w:sz w:val="24"/>
        </w:rPr>
        <w:t xml:space="preserve"> Ministerstva školství</w:t>
      </w:r>
      <w:r w:rsidRPr="00E10BE6">
        <w:rPr>
          <w:rFonts w:ascii="Times New Roman" w:hAnsi="Times New Roman" w:cs="Times New Roman"/>
          <w:sz w:val="24"/>
        </w:rPr>
        <w:t xml:space="preserve"> z roku 1989. Tento oběžník vznikl jako jakýsi „návod“</w:t>
      </w:r>
      <w:r w:rsidR="004B3F6C">
        <w:rPr>
          <w:rFonts w:ascii="Times New Roman" w:hAnsi="Times New Roman" w:cs="Times New Roman"/>
          <w:sz w:val="24"/>
        </w:rPr>
        <w:t>,</w:t>
      </w:r>
      <w:r w:rsidRPr="00E10BE6">
        <w:rPr>
          <w:rFonts w:ascii="Times New Roman" w:hAnsi="Times New Roman" w:cs="Times New Roman"/>
          <w:sz w:val="24"/>
        </w:rPr>
        <w:t xml:space="preserve"> jak mají školní inspektoři či ředitelé škol postupovat, pokud dojde k nějakému konfliktu kvůli nošení náboženského symbolu žáky. </w:t>
      </w:r>
      <w:r w:rsidRPr="004B3F6C">
        <w:rPr>
          <w:rFonts w:ascii="Times New Roman" w:hAnsi="Times New Roman" w:cs="Times New Roman"/>
          <w:sz w:val="24"/>
        </w:rPr>
        <w:t xml:space="preserve">V tomto oběžníku sice ministr vyzývá, aby s danými žáky byla vedena debata, ovšem sám ministr vidí jako jediný možný výsledek debaty souhlas žáka příp. jeho rodičů s upuštěním od nošení takového symbolu. </w:t>
      </w:r>
      <w:r w:rsidRPr="00E10BE6">
        <w:rPr>
          <w:rFonts w:ascii="Times New Roman" w:hAnsi="Times New Roman" w:cs="Times New Roman"/>
          <w:sz w:val="24"/>
        </w:rPr>
        <w:t>Všechny kroky uvedené v tomto oběžníku jsou dle ministra školství vedeny snahou o ochranu celé školní komunity před jakýmkoli ideologickým nebo náboženským tlakem.</w:t>
      </w:r>
      <w:r w:rsidR="00D900E0">
        <w:rPr>
          <w:rStyle w:val="Znakapoznpodarou"/>
          <w:rFonts w:ascii="Times New Roman" w:hAnsi="Times New Roman" w:cs="Times New Roman"/>
          <w:sz w:val="24"/>
        </w:rPr>
        <w:footnoteReference w:id="44"/>
      </w:r>
    </w:p>
    <w:p w14:paraId="13277CB1" w14:textId="235A3335" w:rsidR="00FA5590" w:rsidRPr="00E10BE6" w:rsidRDefault="00FA5590" w:rsidP="00FA5590">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Stěžovatelka v řízení před Soudem namítala, že zásah do jejího práva nesledoval legitimní cíl</w:t>
      </w:r>
      <w:r w:rsidR="004B3F6C">
        <w:rPr>
          <w:rFonts w:ascii="Times New Roman" w:hAnsi="Times New Roman" w:cs="Times New Roman"/>
          <w:sz w:val="24"/>
        </w:rPr>
        <w:t>,</w:t>
      </w:r>
      <w:r w:rsidRPr="00E10BE6">
        <w:rPr>
          <w:rFonts w:ascii="Times New Roman" w:hAnsi="Times New Roman" w:cs="Times New Roman"/>
          <w:sz w:val="24"/>
        </w:rPr>
        <w:t xml:space="preserve"> a nebyl nezbytný v demokratické společnosti. Mimo jiné uvedla, že účast na hodinách tělocviku jí byla z důvodu bezpečnosti odepírána i poté, kdy navrhla</w:t>
      </w:r>
      <w:r w:rsidR="007B7366" w:rsidRPr="00E10BE6">
        <w:rPr>
          <w:rFonts w:ascii="Times New Roman" w:hAnsi="Times New Roman" w:cs="Times New Roman"/>
          <w:sz w:val="24"/>
        </w:rPr>
        <w:t>,</w:t>
      </w:r>
      <w:r w:rsidRPr="00E10BE6">
        <w:rPr>
          <w:rFonts w:ascii="Times New Roman" w:hAnsi="Times New Roman" w:cs="Times New Roman"/>
          <w:sz w:val="24"/>
        </w:rPr>
        <w:t xml:space="preserve"> že by mohla do hodin nosit místo šátku klobouk či </w:t>
      </w:r>
      <w:proofErr w:type="spellStart"/>
      <w:r w:rsidRPr="00E10BE6">
        <w:rPr>
          <w:rFonts w:ascii="Times New Roman" w:hAnsi="Times New Roman" w:cs="Times New Roman"/>
          <w:sz w:val="24"/>
        </w:rPr>
        <w:t>balaklavu</w:t>
      </w:r>
      <w:proofErr w:type="spellEnd"/>
      <w:r w:rsidRPr="00E10BE6">
        <w:rPr>
          <w:rFonts w:ascii="Times New Roman" w:hAnsi="Times New Roman" w:cs="Times New Roman"/>
          <w:sz w:val="24"/>
        </w:rPr>
        <w:t>.</w:t>
      </w:r>
      <w:r w:rsidRPr="00E10BE6">
        <w:rPr>
          <w:rFonts w:ascii="Times New Roman" w:hAnsi="Times New Roman" w:cs="Times New Roman"/>
          <w:sz w:val="24"/>
          <w:vertAlign w:val="superscript"/>
        </w:rPr>
        <w:footnoteReference w:id="45"/>
      </w:r>
      <w:r w:rsidRPr="00E10BE6">
        <w:rPr>
          <w:rFonts w:ascii="Times New Roman" w:hAnsi="Times New Roman" w:cs="Times New Roman"/>
          <w:sz w:val="24"/>
        </w:rPr>
        <w:t xml:space="preserve"> Sám učitel však odmítl vysvětlit, jak by případné nošení této </w:t>
      </w:r>
      <w:proofErr w:type="spellStart"/>
      <w:r w:rsidRPr="00E10BE6">
        <w:rPr>
          <w:rFonts w:ascii="Times New Roman" w:hAnsi="Times New Roman" w:cs="Times New Roman"/>
          <w:sz w:val="24"/>
        </w:rPr>
        <w:t>balaklavy</w:t>
      </w:r>
      <w:proofErr w:type="spellEnd"/>
      <w:r w:rsidRPr="00E10BE6">
        <w:rPr>
          <w:rFonts w:ascii="Times New Roman" w:hAnsi="Times New Roman" w:cs="Times New Roman"/>
          <w:sz w:val="24"/>
        </w:rPr>
        <w:t xml:space="preserve"> ohrožovalo zdraví stěžovatelky.</w:t>
      </w:r>
    </w:p>
    <w:p w14:paraId="7F0AF95C" w14:textId="028DB4E8" w:rsidR="00FA5590" w:rsidRPr="00E10BE6" w:rsidRDefault="00FA5590" w:rsidP="0052341D">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Při posuzování případu Soud postupoval přesně v souladu s body pětistupňového testu. Při posuzování, zda byl pro zásah dán zákonný podklad</w:t>
      </w:r>
      <w:r w:rsidR="007B7366" w:rsidRPr="00E10BE6">
        <w:rPr>
          <w:rFonts w:ascii="Times New Roman" w:hAnsi="Times New Roman" w:cs="Times New Roman"/>
          <w:sz w:val="24"/>
        </w:rPr>
        <w:t>,</w:t>
      </w:r>
      <w:r w:rsidRPr="00E10BE6">
        <w:rPr>
          <w:rFonts w:ascii="Times New Roman" w:hAnsi="Times New Roman" w:cs="Times New Roman"/>
          <w:sz w:val="24"/>
        </w:rPr>
        <w:t xml:space="preserve"> Soud vysvětlil, že </w:t>
      </w:r>
      <w:r w:rsidR="00122D6C" w:rsidRPr="00E10BE6">
        <w:rPr>
          <w:rFonts w:ascii="Times New Roman" w:hAnsi="Times New Roman" w:cs="Times New Roman"/>
          <w:sz w:val="24"/>
        </w:rPr>
        <w:t>podmínku zákonného podkladu nenaplňuje pouze zákon ve formálním smyslu slova</w:t>
      </w:r>
      <w:r w:rsidR="000B4D28">
        <w:rPr>
          <w:rFonts w:ascii="Times New Roman" w:hAnsi="Times New Roman" w:cs="Times New Roman"/>
          <w:sz w:val="24"/>
        </w:rPr>
        <w:t>,</w:t>
      </w:r>
      <w:r w:rsidR="00122D6C" w:rsidRPr="00E10BE6">
        <w:rPr>
          <w:rFonts w:ascii="Times New Roman" w:hAnsi="Times New Roman" w:cs="Times New Roman"/>
          <w:sz w:val="24"/>
        </w:rPr>
        <w:t xml:space="preserve"> ale i dokumenty</w:t>
      </w:r>
      <w:r w:rsidR="000B4D28">
        <w:rPr>
          <w:rFonts w:ascii="Times New Roman" w:hAnsi="Times New Roman" w:cs="Times New Roman"/>
          <w:sz w:val="24"/>
        </w:rPr>
        <w:t>,</w:t>
      </w:r>
      <w:r w:rsidR="00122D6C" w:rsidRPr="00E10BE6">
        <w:rPr>
          <w:rFonts w:ascii="Times New Roman" w:hAnsi="Times New Roman" w:cs="Times New Roman"/>
          <w:sz w:val="24"/>
        </w:rPr>
        <w:t xml:space="preserve"> které poskytují určitý právní základ pro danou praktiku. </w:t>
      </w:r>
      <w:r w:rsidR="000B4D28">
        <w:rPr>
          <w:rFonts w:ascii="Times New Roman" w:hAnsi="Times New Roman" w:cs="Times New Roman"/>
          <w:sz w:val="24"/>
        </w:rPr>
        <w:t>T</w:t>
      </w:r>
      <w:r w:rsidRPr="00E10BE6">
        <w:rPr>
          <w:rFonts w:ascii="Times New Roman" w:hAnsi="Times New Roman" w:cs="Times New Roman"/>
          <w:sz w:val="24"/>
        </w:rPr>
        <w:t>ato podmínka nemusí být nutně splněna</w:t>
      </w:r>
      <w:r w:rsidR="00F86159" w:rsidRPr="00E10BE6">
        <w:rPr>
          <w:rFonts w:ascii="Times New Roman" w:hAnsi="Times New Roman" w:cs="Times New Roman"/>
          <w:sz w:val="24"/>
        </w:rPr>
        <w:t>,</w:t>
      </w:r>
      <w:r w:rsidRPr="00E10BE6">
        <w:rPr>
          <w:rFonts w:ascii="Times New Roman" w:hAnsi="Times New Roman" w:cs="Times New Roman"/>
          <w:sz w:val="24"/>
        </w:rPr>
        <w:t xml:space="preserve"> pouze pokud je zde právní předpis zákonné úrovně</w:t>
      </w:r>
      <w:r w:rsidR="000B4D28">
        <w:rPr>
          <w:rFonts w:ascii="Times New Roman" w:hAnsi="Times New Roman" w:cs="Times New Roman"/>
          <w:sz w:val="24"/>
        </w:rPr>
        <w:t>,</w:t>
      </w:r>
      <w:r w:rsidR="00122D6C" w:rsidRPr="00E10BE6">
        <w:rPr>
          <w:rFonts w:ascii="Times New Roman" w:hAnsi="Times New Roman" w:cs="Times New Roman"/>
          <w:sz w:val="24"/>
        </w:rPr>
        <w:t xml:space="preserve"> naplňují ji</w:t>
      </w:r>
      <w:r w:rsidR="000B4D28">
        <w:rPr>
          <w:rFonts w:ascii="Times New Roman" w:hAnsi="Times New Roman" w:cs="Times New Roman"/>
          <w:sz w:val="24"/>
        </w:rPr>
        <w:t xml:space="preserve"> </w:t>
      </w:r>
      <w:r w:rsidRPr="00E10BE6">
        <w:rPr>
          <w:rFonts w:ascii="Times New Roman" w:hAnsi="Times New Roman" w:cs="Times New Roman"/>
          <w:sz w:val="24"/>
        </w:rPr>
        <w:t>i vnitřní předpisy školy či oběžníky. Stejně jako v minulém rozhodnutí Soudu, i zde však chybí dostatečné odůvodnění jeho rozhodnutí v otázce legitimního cíle zásahu. Soud zde opět pouze konstatuje</w:t>
      </w:r>
      <w:r w:rsidR="00F86159" w:rsidRPr="00E10BE6">
        <w:rPr>
          <w:rFonts w:ascii="Times New Roman" w:hAnsi="Times New Roman" w:cs="Times New Roman"/>
          <w:sz w:val="24"/>
        </w:rPr>
        <w:t>,</w:t>
      </w:r>
      <w:r w:rsidRPr="00E10BE6">
        <w:rPr>
          <w:rFonts w:ascii="Times New Roman" w:hAnsi="Times New Roman" w:cs="Times New Roman"/>
          <w:sz w:val="24"/>
        </w:rPr>
        <w:t xml:space="preserve"> že cílem </w:t>
      </w:r>
      <w:r w:rsidRPr="00E10BE6">
        <w:rPr>
          <w:rFonts w:ascii="Times New Roman" w:hAnsi="Times New Roman" w:cs="Times New Roman"/>
          <w:sz w:val="24"/>
        </w:rPr>
        <w:lastRenderedPageBreak/>
        <w:t>omezení byla ochrana práv a svobod jiných a ochrana veřejného pořádku. Vůbec nevysvětluje, jaká práva jiných chrání, ani koho za tyto jiné osoby považuje a v čem spatřuje ochranu veřejného pořádku.</w:t>
      </w:r>
    </w:p>
    <w:p w14:paraId="096AC8EF" w14:textId="77777777" w:rsidR="0052341D" w:rsidRDefault="00FA5590" w:rsidP="0052341D">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I v tomto případě rozhodl Soud ve prospěch státu a potvrdil, že nedošlo k porušení článku 9 Úmluvy. Podle Soudu byl zásah dostatečně odůvodněn nutností chování žáků v souladu s pravidly školy na ochranu zdraví a bezpečnosti.</w:t>
      </w:r>
    </w:p>
    <w:p w14:paraId="630D30D6" w14:textId="75639C29" w:rsidR="00FA5590" w:rsidRPr="00E10BE6" w:rsidRDefault="00FA5590" w:rsidP="0052341D">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 xml:space="preserve">S tímto odůvodněním osobně nesouhlasím. Souhlasím, že účast na hodinách tělesné výchovy sebou nese určitá omezení nutná právě k zachování bezpečnosti žáků, jako například zákaz nošení řetízků či prstýnků, které mohou při sportu způsobit různá zranění. V daném případě ale není jisté, zda by nošením například </w:t>
      </w:r>
      <w:r w:rsidRPr="0052341D">
        <w:rPr>
          <w:rFonts w:ascii="Times New Roman" w:hAnsi="Times New Roman" w:cs="Times New Roman"/>
          <w:color w:val="000000" w:themeColor="text1"/>
          <w:sz w:val="24"/>
        </w:rPr>
        <w:t xml:space="preserve">již zmíněné </w:t>
      </w:r>
      <w:proofErr w:type="spellStart"/>
      <w:r w:rsidRPr="00E10BE6">
        <w:rPr>
          <w:rFonts w:ascii="Times New Roman" w:hAnsi="Times New Roman" w:cs="Times New Roman"/>
          <w:sz w:val="24"/>
        </w:rPr>
        <w:t>balaklavy</w:t>
      </w:r>
      <w:proofErr w:type="spellEnd"/>
      <w:r w:rsidRPr="00E10BE6">
        <w:rPr>
          <w:rFonts w:ascii="Times New Roman" w:hAnsi="Times New Roman" w:cs="Times New Roman"/>
          <w:sz w:val="24"/>
        </w:rPr>
        <w:t xml:space="preserve"> došlo k nějakému ohrožení zdraví stěžovatelky. Podívejme se například na olympiádu a sportovkyně z muslimských zemí. Zde je jasně vidět, jak lze skloubit víru těchto sportovkyň a jejich bezpečí při sportovních aktivitách</w:t>
      </w:r>
      <w:r w:rsidR="000B4D28">
        <w:rPr>
          <w:rFonts w:ascii="Times New Roman" w:hAnsi="Times New Roman" w:cs="Times New Roman"/>
          <w:sz w:val="24"/>
        </w:rPr>
        <w:t>.</w:t>
      </w:r>
    </w:p>
    <w:p w14:paraId="0C1769AC" w14:textId="714886C4" w:rsidR="00FA5590" w:rsidRPr="00E10BE6" w:rsidRDefault="00FA5590" w:rsidP="0052341D">
      <w:pPr>
        <w:pStyle w:val="Nadpis3"/>
        <w:jc w:val="both"/>
        <w:rPr>
          <w:rFonts w:cs="Times New Roman"/>
        </w:rPr>
      </w:pPr>
      <w:bookmarkStart w:id="77" w:name="_Toc536289151"/>
      <w:bookmarkStart w:id="78" w:name="_Toc169308"/>
      <w:bookmarkStart w:id="79" w:name="_Toc3454709"/>
      <w:r w:rsidRPr="00E10BE6">
        <w:rPr>
          <w:rFonts w:cs="Times New Roman"/>
        </w:rPr>
        <w:t>S.A.S</w:t>
      </w:r>
      <w:r w:rsidR="0052341D">
        <w:rPr>
          <w:rFonts w:cs="Times New Roman"/>
        </w:rPr>
        <w:t xml:space="preserve">. </w:t>
      </w:r>
      <w:r w:rsidRPr="00E10BE6">
        <w:rPr>
          <w:rFonts w:cs="Times New Roman"/>
        </w:rPr>
        <w:t>proti Francii</w:t>
      </w:r>
      <w:r w:rsidRPr="00E10BE6">
        <w:rPr>
          <w:rFonts w:cs="Times New Roman"/>
          <w:vertAlign w:val="superscript"/>
        </w:rPr>
        <w:footnoteReference w:id="46"/>
      </w:r>
      <w:bookmarkEnd w:id="77"/>
      <w:bookmarkEnd w:id="78"/>
      <w:bookmarkEnd w:id="79"/>
    </w:p>
    <w:p w14:paraId="08120D76" w14:textId="181978AB" w:rsidR="0094110C" w:rsidRPr="00E10BE6" w:rsidRDefault="00FA5590" w:rsidP="0052341D">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V minulých případech bylo Soudem rozhodováno vždy o individuálních stížnostech stěžovatelek, které se domáhal</w:t>
      </w:r>
      <w:r w:rsidR="00785C33" w:rsidRPr="00E10BE6">
        <w:rPr>
          <w:rFonts w:ascii="Times New Roman" w:hAnsi="Times New Roman" w:cs="Times New Roman"/>
          <w:sz w:val="24"/>
        </w:rPr>
        <w:t>y</w:t>
      </w:r>
      <w:r w:rsidRPr="00E10BE6">
        <w:rPr>
          <w:rFonts w:ascii="Times New Roman" w:hAnsi="Times New Roman" w:cs="Times New Roman"/>
          <w:sz w:val="24"/>
        </w:rPr>
        <w:t xml:space="preserve"> určení, že došlo k zásahu do jejich individuálních práv. Ve věci S.A.S</w:t>
      </w:r>
      <w:r w:rsidR="0052341D">
        <w:rPr>
          <w:rFonts w:ascii="Times New Roman" w:hAnsi="Times New Roman" w:cs="Times New Roman"/>
          <w:sz w:val="24"/>
        </w:rPr>
        <w:t xml:space="preserve">. </w:t>
      </w:r>
      <w:r w:rsidRPr="00E10BE6">
        <w:rPr>
          <w:rFonts w:ascii="Times New Roman" w:hAnsi="Times New Roman" w:cs="Times New Roman"/>
          <w:sz w:val="24"/>
        </w:rPr>
        <w:t xml:space="preserve">proti Francii se však stěžovatelka domáhá rozhodnutí Soudu, že celý zákon je v rozporu s Úmluvou. </w:t>
      </w:r>
      <w:r w:rsidR="00785C33" w:rsidRPr="00E10BE6">
        <w:rPr>
          <w:rFonts w:ascii="Times New Roman" w:hAnsi="Times New Roman" w:cs="Times New Roman"/>
          <w:sz w:val="24"/>
        </w:rPr>
        <w:t>J</w:t>
      </w:r>
      <w:r w:rsidRPr="00E10BE6">
        <w:rPr>
          <w:rFonts w:ascii="Times New Roman" w:hAnsi="Times New Roman" w:cs="Times New Roman"/>
          <w:sz w:val="24"/>
        </w:rPr>
        <w:t xml:space="preserve">edná </w:t>
      </w:r>
      <w:r w:rsidR="00785C33" w:rsidRPr="00E10BE6">
        <w:rPr>
          <w:rFonts w:ascii="Times New Roman" w:hAnsi="Times New Roman" w:cs="Times New Roman"/>
          <w:sz w:val="24"/>
        </w:rPr>
        <w:t xml:space="preserve">se </w:t>
      </w:r>
      <w:r w:rsidRPr="00E10BE6">
        <w:rPr>
          <w:rFonts w:ascii="Times New Roman" w:hAnsi="Times New Roman" w:cs="Times New Roman"/>
          <w:sz w:val="24"/>
        </w:rPr>
        <w:t xml:space="preserve">o zákon přijatý ve Francii v roce 2010, kterým </w:t>
      </w:r>
      <w:r w:rsidR="00785C33" w:rsidRPr="00E10BE6">
        <w:rPr>
          <w:rFonts w:ascii="Times New Roman" w:hAnsi="Times New Roman" w:cs="Times New Roman"/>
          <w:sz w:val="24"/>
        </w:rPr>
        <w:t>j</w:t>
      </w:r>
      <w:r w:rsidRPr="00E10BE6">
        <w:rPr>
          <w:rFonts w:ascii="Times New Roman" w:hAnsi="Times New Roman" w:cs="Times New Roman"/>
          <w:sz w:val="24"/>
        </w:rPr>
        <w:t>e zak</w:t>
      </w:r>
      <w:r w:rsidR="00785C33" w:rsidRPr="00E10BE6">
        <w:rPr>
          <w:rFonts w:ascii="Times New Roman" w:hAnsi="Times New Roman" w:cs="Times New Roman"/>
          <w:sz w:val="24"/>
        </w:rPr>
        <w:t>ázáno</w:t>
      </w:r>
      <w:r w:rsidRPr="00E10BE6">
        <w:rPr>
          <w:rFonts w:ascii="Times New Roman" w:hAnsi="Times New Roman" w:cs="Times New Roman"/>
          <w:sz w:val="24"/>
        </w:rPr>
        <w:t xml:space="preserve"> zahalování tváře na veřejných místech. Tímto zákonem se tedy zakazuje nošení </w:t>
      </w:r>
      <w:proofErr w:type="spellStart"/>
      <w:r w:rsidRPr="00E10BE6">
        <w:rPr>
          <w:rFonts w:ascii="Times New Roman" w:hAnsi="Times New Roman" w:cs="Times New Roman"/>
          <w:sz w:val="24"/>
        </w:rPr>
        <w:t>nikábu</w:t>
      </w:r>
      <w:proofErr w:type="spellEnd"/>
      <w:r w:rsidRPr="00E10BE6">
        <w:rPr>
          <w:rFonts w:ascii="Times New Roman" w:hAnsi="Times New Roman" w:cs="Times New Roman"/>
          <w:sz w:val="24"/>
        </w:rPr>
        <w:t xml:space="preserve"> a burek na veřejnosti.</w:t>
      </w:r>
      <w:r w:rsidRPr="00E10BE6">
        <w:rPr>
          <w:rFonts w:ascii="Times New Roman" w:hAnsi="Times New Roman" w:cs="Times New Roman"/>
          <w:sz w:val="24"/>
          <w:vertAlign w:val="superscript"/>
        </w:rPr>
        <w:footnoteReference w:id="47"/>
      </w:r>
      <w:r w:rsidRPr="00E10BE6">
        <w:rPr>
          <w:rFonts w:ascii="Times New Roman" w:hAnsi="Times New Roman" w:cs="Times New Roman"/>
          <w:sz w:val="24"/>
        </w:rPr>
        <w:t xml:space="preserve"> Nikde v zákoně však není napsáno, že se zákon týká výhradně nošení muslimských pokrývek hlavy</w:t>
      </w:r>
      <w:r w:rsidR="00FA5D3B">
        <w:rPr>
          <w:rFonts w:ascii="Times New Roman" w:hAnsi="Times New Roman" w:cs="Times New Roman"/>
          <w:sz w:val="24"/>
        </w:rPr>
        <w:t>,</w:t>
      </w:r>
      <w:r w:rsidRPr="00E10BE6">
        <w:rPr>
          <w:rFonts w:ascii="Times New Roman" w:hAnsi="Times New Roman" w:cs="Times New Roman"/>
          <w:sz w:val="24"/>
        </w:rPr>
        <w:t xml:space="preserve"> a teoreticky se tak zákaz vztahuje obecně</w:t>
      </w:r>
      <w:r w:rsidR="00785C33" w:rsidRPr="00E10BE6">
        <w:rPr>
          <w:rFonts w:ascii="Times New Roman" w:hAnsi="Times New Roman" w:cs="Times New Roman"/>
          <w:sz w:val="24"/>
        </w:rPr>
        <w:t xml:space="preserve"> na</w:t>
      </w:r>
      <w:r w:rsidRPr="00E10BE6">
        <w:rPr>
          <w:rFonts w:ascii="Times New Roman" w:hAnsi="Times New Roman" w:cs="Times New Roman"/>
          <w:sz w:val="24"/>
        </w:rPr>
        <w:t xml:space="preserve"> jakoukoli část oblečení zahalující tvář. </w:t>
      </w:r>
    </w:p>
    <w:p w14:paraId="1CEE8A41" w14:textId="0CDDC4BE" w:rsidR="001F78F9" w:rsidRPr="00E10BE6" w:rsidRDefault="00FA5590" w:rsidP="0052341D">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Francie byla prvním státem, který přijal takovýto zákon</w:t>
      </w:r>
      <w:r w:rsidR="00FA5D3B">
        <w:rPr>
          <w:rFonts w:ascii="Times New Roman" w:hAnsi="Times New Roman" w:cs="Times New Roman"/>
          <w:sz w:val="24"/>
        </w:rPr>
        <w:t>,</w:t>
      </w:r>
      <w:r w:rsidRPr="00E10BE6">
        <w:rPr>
          <w:rFonts w:ascii="Times New Roman" w:hAnsi="Times New Roman" w:cs="Times New Roman"/>
          <w:sz w:val="24"/>
        </w:rPr>
        <w:t xml:space="preserve"> rozhodně ale není posledním. Dalšími státy, které přistoupil</w:t>
      </w:r>
      <w:r w:rsidR="00FA5D3B">
        <w:rPr>
          <w:rFonts w:ascii="Times New Roman" w:hAnsi="Times New Roman" w:cs="Times New Roman"/>
          <w:sz w:val="24"/>
        </w:rPr>
        <w:t>y</w:t>
      </w:r>
      <w:r w:rsidRPr="00E10BE6">
        <w:rPr>
          <w:rFonts w:ascii="Times New Roman" w:hAnsi="Times New Roman" w:cs="Times New Roman"/>
          <w:sz w:val="24"/>
        </w:rPr>
        <w:t xml:space="preserve"> k tomuto zák</w:t>
      </w:r>
      <w:r w:rsidR="00620B97" w:rsidRPr="00E10BE6">
        <w:rPr>
          <w:rFonts w:ascii="Times New Roman" w:hAnsi="Times New Roman" w:cs="Times New Roman"/>
          <w:sz w:val="24"/>
        </w:rPr>
        <w:t>azu</w:t>
      </w:r>
      <w:r w:rsidR="00FA5D3B">
        <w:rPr>
          <w:rFonts w:ascii="Times New Roman" w:hAnsi="Times New Roman" w:cs="Times New Roman"/>
          <w:sz w:val="24"/>
        </w:rPr>
        <w:t>,</w:t>
      </w:r>
      <w:r w:rsidRPr="00E10BE6">
        <w:rPr>
          <w:rFonts w:ascii="Times New Roman" w:hAnsi="Times New Roman" w:cs="Times New Roman"/>
          <w:sz w:val="24"/>
        </w:rPr>
        <w:t xml:space="preserve"> jsou </w:t>
      </w:r>
      <w:r w:rsidR="0052341D">
        <w:rPr>
          <w:rFonts w:ascii="Times New Roman" w:hAnsi="Times New Roman" w:cs="Times New Roman"/>
          <w:sz w:val="24"/>
        </w:rPr>
        <w:t xml:space="preserve">například </w:t>
      </w:r>
      <w:r w:rsidRPr="00E10BE6">
        <w:rPr>
          <w:rFonts w:ascii="Times New Roman" w:hAnsi="Times New Roman" w:cs="Times New Roman"/>
          <w:sz w:val="24"/>
        </w:rPr>
        <w:t>Belgie</w:t>
      </w:r>
      <w:r w:rsidR="00FA5D3B">
        <w:rPr>
          <w:rFonts w:ascii="Times New Roman" w:hAnsi="Times New Roman" w:cs="Times New Roman"/>
          <w:sz w:val="24"/>
        </w:rPr>
        <w:t xml:space="preserve"> a </w:t>
      </w:r>
      <w:r w:rsidRPr="00E10BE6">
        <w:rPr>
          <w:rFonts w:ascii="Times New Roman" w:hAnsi="Times New Roman" w:cs="Times New Roman"/>
          <w:sz w:val="24"/>
        </w:rPr>
        <w:t>Rakousko.</w:t>
      </w:r>
      <w:r w:rsidRPr="00E10BE6">
        <w:rPr>
          <w:rFonts w:ascii="Times New Roman" w:hAnsi="Times New Roman" w:cs="Times New Roman"/>
          <w:sz w:val="24"/>
          <w:vertAlign w:val="superscript"/>
        </w:rPr>
        <w:footnoteReference w:id="48"/>
      </w:r>
      <w:r w:rsidRPr="00E10BE6">
        <w:rPr>
          <w:rFonts w:ascii="Times New Roman" w:hAnsi="Times New Roman" w:cs="Times New Roman"/>
          <w:sz w:val="24"/>
        </w:rPr>
        <w:t xml:space="preserve"> Rozhodnutí </w:t>
      </w:r>
      <w:r w:rsidR="000B5DEE">
        <w:rPr>
          <w:rFonts w:ascii="Times New Roman" w:hAnsi="Times New Roman" w:cs="Times New Roman"/>
          <w:sz w:val="24"/>
        </w:rPr>
        <w:t>So</w:t>
      </w:r>
      <w:r w:rsidRPr="00E10BE6">
        <w:rPr>
          <w:rFonts w:ascii="Times New Roman" w:hAnsi="Times New Roman" w:cs="Times New Roman"/>
          <w:sz w:val="24"/>
        </w:rPr>
        <w:t>udu v případě S.A.S. proti Francii tedy může</w:t>
      </w:r>
      <w:r w:rsidR="00FA5D3B">
        <w:rPr>
          <w:rFonts w:ascii="Times New Roman" w:hAnsi="Times New Roman" w:cs="Times New Roman"/>
          <w:sz w:val="24"/>
        </w:rPr>
        <w:t xml:space="preserve"> působit,</w:t>
      </w:r>
      <w:r w:rsidRPr="00E10BE6">
        <w:rPr>
          <w:rFonts w:ascii="Times New Roman" w:hAnsi="Times New Roman" w:cs="Times New Roman"/>
          <w:sz w:val="24"/>
        </w:rPr>
        <w:t xml:space="preserve"> jako určité </w:t>
      </w:r>
      <w:r w:rsidR="00620B97" w:rsidRPr="00E10BE6">
        <w:rPr>
          <w:rFonts w:ascii="Times New Roman" w:hAnsi="Times New Roman" w:cs="Times New Roman"/>
          <w:sz w:val="24"/>
        </w:rPr>
        <w:t xml:space="preserve">schvalování </w:t>
      </w:r>
      <w:r w:rsidRPr="00E10BE6">
        <w:rPr>
          <w:rFonts w:ascii="Times New Roman" w:hAnsi="Times New Roman" w:cs="Times New Roman"/>
          <w:sz w:val="24"/>
        </w:rPr>
        <w:t>praktik států při snahá</w:t>
      </w:r>
      <w:r w:rsidR="00620B97" w:rsidRPr="00E10BE6">
        <w:rPr>
          <w:rFonts w:ascii="Times New Roman" w:hAnsi="Times New Roman" w:cs="Times New Roman"/>
          <w:sz w:val="24"/>
        </w:rPr>
        <w:t>ch</w:t>
      </w:r>
      <w:r w:rsidRPr="00E10BE6">
        <w:rPr>
          <w:rFonts w:ascii="Times New Roman" w:hAnsi="Times New Roman" w:cs="Times New Roman"/>
          <w:sz w:val="24"/>
        </w:rPr>
        <w:t xml:space="preserve"> omezit nošení muslimských oděvů na veřejnosti.</w:t>
      </w:r>
    </w:p>
    <w:p w14:paraId="4BA9394E" w14:textId="292D72DD" w:rsidR="00FA5590" w:rsidRPr="00E10BE6" w:rsidRDefault="001F78F9" w:rsidP="0052341D">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Nutno podotknout, že v předchozích případech stě</w:t>
      </w:r>
      <w:r w:rsidR="008F6BD4" w:rsidRPr="00E10BE6">
        <w:rPr>
          <w:rFonts w:ascii="Times New Roman" w:hAnsi="Times New Roman" w:cs="Times New Roman"/>
          <w:sz w:val="24"/>
        </w:rPr>
        <w:t>žovatelky nosily</w:t>
      </w:r>
      <w:r w:rsidRPr="00E10BE6">
        <w:rPr>
          <w:rFonts w:ascii="Times New Roman" w:hAnsi="Times New Roman" w:cs="Times New Roman"/>
          <w:sz w:val="24"/>
        </w:rPr>
        <w:t xml:space="preserve"> muslimský šátek, který byl zdrojem rozporů</w:t>
      </w:r>
      <w:r w:rsidR="00FA5D3B">
        <w:rPr>
          <w:rFonts w:ascii="Times New Roman" w:hAnsi="Times New Roman" w:cs="Times New Roman"/>
          <w:sz w:val="24"/>
        </w:rPr>
        <w:t>,</w:t>
      </w:r>
      <w:r w:rsidRPr="00E10BE6">
        <w:rPr>
          <w:rFonts w:ascii="Times New Roman" w:hAnsi="Times New Roman" w:cs="Times New Roman"/>
          <w:sz w:val="24"/>
        </w:rPr>
        <w:t xml:space="preserve"> a jehož nošení bylo předmětem řízení u Soudu. V tomto případě výše uvedený zákon nošení muslimských šátků na veřejnosti nezakazuje</w:t>
      </w:r>
      <w:r w:rsidR="00FA5D3B" w:rsidRPr="0052341D">
        <w:rPr>
          <w:rFonts w:ascii="Times New Roman" w:hAnsi="Times New Roman" w:cs="Times New Roman"/>
          <w:color w:val="000000" w:themeColor="text1"/>
          <w:sz w:val="24"/>
        </w:rPr>
        <w:t>,</w:t>
      </w:r>
      <w:r w:rsidRPr="0052341D">
        <w:rPr>
          <w:rFonts w:ascii="Times New Roman" w:hAnsi="Times New Roman" w:cs="Times New Roman"/>
          <w:color w:val="000000" w:themeColor="text1"/>
          <w:sz w:val="24"/>
        </w:rPr>
        <w:t xml:space="preserve"> </w:t>
      </w:r>
      <w:r w:rsidR="00FA5D3B" w:rsidRPr="0052341D">
        <w:rPr>
          <w:rFonts w:ascii="Times New Roman" w:hAnsi="Times New Roman" w:cs="Times New Roman"/>
          <w:color w:val="000000" w:themeColor="text1"/>
          <w:sz w:val="24"/>
        </w:rPr>
        <w:t xml:space="preserve">ale zakazuje nošení </w:t>
      </w:r>
      <w:r w:rsidR="00FA5D3B" w:rsidRPr="0052341D">
        <w:rPr>
          <w:rFonts w:ascii="Times New Roman" w:hAnsi="Times New Roman" w:cs="Times New Roman"/>
          <w:color w:val="000000" w:themeColor="text1"/>
          <w:sz w:val="24"/>
        </w:rPr>
        <w:lastRenderedPageBreak/>
        <w:t xml:space="preserve">např. </w:t>
      </w:r>
      <w:proofErr w:type="spellStart"/>
      <w:r w:rsidRPr="0052341D">
        <w:rPr>
          <w:rFonts w:ascii="Times New Roman" w:hAnsi="Times New Roman" w:cs="Times New Roman"/>
          <w:color w:val="000000" w:themeColor="text1"/>
          <w:sz w:val="24"/>
        </w:rPr>
        <w:t>nikábu</w:t>
      </w:r>
      <w:proofErr w:type="spellEnd"/>
      <w:r w:rsidRPr="0052341D">
        <w:rPr>
          <w:rFonts w:ascii="Times New Roman" w:hAnsi="Times New Roman" w:cs="Times New Roman"/>
          <w:color w:val="000000" w:themeColor="text1"/>
          <w:sz w:val="24"/>
        </w:rPr>
        <w:t xml:space="preserve"> či burky.</w:t>
      </w:r>
      <w:r w:rsidR="008F6BD4" w:rsidRPr="0052341D">
        <w:rPr>
          <w:rFonts w:ascii="Times New Roman" w:hAnsi="Times New Roman" w:cs="Times New Roman"/>
          <w:color w:val="000000" w:themeColor="text1"/>
          <w:sz w:val="24"/>
        </w:rPr>
        <w:t xml:space="preserve"> </w:t>
      </w:r>
      <w:r w:rsidR="008F6BD4" w:rsidRPr="00E10BE6">
        <w:rPr>
          <w:rFonts w:ascii="Times New Roman" w:hAnsi="Times New Roman" w:cs="Times New Roman"/>
          <w:sz w:val="24"/>
        </w:rPr>
        <w:t xml:space="preserve">Burka či </w:t>
      </w:r>
      <w:proofErr w:type="spellStart"/>
      <w:r w:rsidR="008F6BD4" w:rsidRPr="00E10BE6">
        <w:rPr>
          <w:rFonts w:ascii="Times New Roman" w:hAnsi="Times New Roman" w:cs="Times New Roman"/>
          <w:sz w:val="24"/>
        </w:rPr>
        <w:t>nikáb</w:t>
      </w:r>
      <w:proofErr w:type="spellEnd"/>
      <w:r w:rsidR="008F6BD4" w:rsidRPr="00E10BE6">
        <w:rPr>
          <w:rFonts w:ascii="Times New Roman" w:hAnsi="Times New Roman" w:cs="Times New Roman"/>
          <w:sz w:val="24"/>
        </w:rPr>
        <w:t xml:space="preserve"> </w:t>
      </w:r>
      <w:r w:rsidR="00FA5D3B">
        <w:rPr>
          <w:rFonts w:ascii="Times New Roman" w:hAnsi="Times New Roman" w:cs="Times New Roman"/>
          <w:sz w:val="24"/>
        </w:rPr>
        <w:t xml:space="preserve">totiž </w:t>
      </w:r>
      <w:r w:rsidRPr="00E10BE6">
        <w:rPr>
          <w:rFonts w:ascii="Times New Roman" w:hAnsi="Times New Roman" w:cs="Times New Roman"/>
          <w:sz w:val="24"/>
        </w:rPr>
        <w:t>zahaluje celý ob</w:t>
      </w:r>
      <w:r w:rsidR="00651BE6" w:rsidRPr="00E10BE6">
        <w:rPr>
          <w:rFonts w:ascii="Times New Roman" w:hAnsi="Times New Roman" w:cs="Times New Roman"/>
          <w:sz w:val="24"/>
        </w:rPr>
        <w:t>ličej</w:t>
      </w:r>
      <w:r w:rsidR="004E6A0F" w:rsidRPr="00E10BE6">
        <w:rPr>
          <w:rFonts w:ascii="Times New Roman" w:hAnsi="Times New Roman" w:cs="Times New Roman"/>
          <w:sz w:val="24"/>
        </w:rPr>
        <w:t>,</w:t>
      </w:r>
      <w:r w:rsidR="00651BE6" w:rsidRPr="00E10BE6">
        <w:rPr>
          <w:rFonts w:ascii="Times New Roman" w:hAnsi="Times New Roman" w:cs="Times New Roman"/>
          <w:sz w:val="24"/>
        </w:rPr>
        <w:t xml:space="preserve"> nebo jeho část. Právě </w:t>
      </w:r>
      <w:r w:rsidR="008F6BD4" w:rsidRPr="00E10BE6">
        <w:rPr>
          <w:rFonts w:ascii="Times New Roman" w:hAnsi="Times New Roman" w:cs="Times New Roman"/>
          <w:sz w:val="24"/>
        </w:rPr>
        <w:t>skutečnost, že tyto muslimské oděvy již určitým způsobem zahalují obličej ž</w:t>
      </w:r>
      <w:r w:rsidR="00651BE6" w:rsidRPr="00E10BE6">
        <w:rPr>
          <w:rFonts w:ascii="Times New Roman" w:hAnsi="Times New Roman" w:cs="Times New Roman"/>
          <w:sz w:val="24"/>
        </w:rPr>
        <w:t>eny</w:t>
      </w:r>
      <w:r w:rsidR="004E6A0F" w:rsidRPr="00E10BE6">
        <w:rPr>
          <w:rFonts w:ascii="Times New Roman" w:hAnsi="Times New Roman" w:cs="Times New Roman"/>
          <w:sz w:val="24"/>
        </w:rPr>
        <w:t>,</w:t>
      </w:r>
      <w:r w:rsidR="00651BE6" w:rsidRPr="00E10BE6">
        <w:rPr>
          <w:rFonts w:ascii="Times New Roman" w:hAnsi="Times New Roman" w:cs="Times New Roman"/>
          <w:sz w:val="24"/>
        </w:rPr>
        <w:t xml:space="preserve"> přináší další možné důvody, pro které je třeba přistoupit k zákazu zahalování obličeje na veřejnosti</w:t>
      </w:r>
      <w:r w:rsidR="004E6A0F" w:rsidRPr="00E10BE6">
        <w:rPr>
          <w:rFonts w:ascii="Times New Roman" w:hAnsi="Times New Roman" w:cs="Times New Roman"/>
          <w:sz w:val="24"/>
        </w:rPr>
        <w:t>,</w:t>
      </w:r>
      <w:r w:rsidR="00651BE6" w:rsidRPr="00E10BE6">
        <w:rPr>
          <w:rFonts w:ascii="Times New Roman" w:hAnsi="Times New Roman" w:cs="Times New Roman"/>
          <w:sz w:val="24"/>
        </w:rPr>
        <w:t xml:space="preserve"> jakým je například ochrana veřejné bezpečnosti.</w:t>
      </w:r>
    </w:p>
    <w:p w14:paraId="360853B5" w14:textId="1598DCA6" w:rsidR="00FA5590" w:rsidRPr="00E10BE6" w:rsidRDefault="00FA5590" w:rsidP="0094110C">
      <w:pPr>
        <w:spacing w:after="0" w:line="360" w:lineRule="auto"/>
        <w:ind w:firstLine="708"/>
        <w:jc w:val="both"/>
        <w:rPr>
          <w:rFonts w:ascii="Times New Roman" w:hAnsi="Times New Roman" w:cs="Times New Roman"/>
          <w:sz w:val="24"/>
        </w:rPr>
      </w:pPr>
      <w:r w:rsidRPr="00E10BE6">
        <w:rPr>
          <w:rFonts w:ascii="Times New Roman" w:hAnsi="Times New Roman" w:cs="Times New Roman"/>
          <w:sz w:val="24"/>
        </w:rPr>
        <w:t>Stěžovatelka, jejíž totožnost byla na její žádost utajena, namítala porušení čl. 3, 8, 9 a</w:t>
      </w:r>
      <w:r w:rsidR="008869A1">
        <w:rPr>
          <w:rFonts w:ascii="Times New Roman" w:hAnsi="Times New Roman" w:cs="Times New Roman"/>
          <w:sz w:val="24"/>
        </w:rPr>
        <w:t> </w:t>
      </w:r>
      <w:r w:rsidRPr="00E10BE6">
        <w:rPr>
          <w:rFonts w:ascii="Times New Roman" w:hAnsi="Times New Roman" w:cs="Times New Roman"/>
          <w:sz w:val="24"/>
        </w:rPr>
        <w:t>10 Úmluvy. Porušení zákazu</w:t>
      </w:r>
      <w:r w:rsidR="00620B97" w:rsidRPr="00E10BE6">
        <w:rPr>
          <w:rFonts w:ascii="Times New Roman" w:hAnsi="Times New Roman" w:cs="Times New Roman"/>
          <w:sz w:val="24"/>
        </w:rPr>
        <w:t xml:space="preserve"> nelidského či ponižujícího zacházení</w:t>
      </w:r>
      <w:r w:rsidRPr="00E10BE6">
        <w:rPr>
          <w:rFonts w:ascii="Times New Roman" w:hAnsi="Times New Roman" w:cs="Times New Roman"/>
          <w:sz w:val="24"/>
        </w:rPr>
        <w:t xml:space="preserve"> a svobody shromažďování však Soud shledal jako neopodstatněné a dále se zabýval namítaným porušením čl. 8 a 9 Úmluvy. Stěžovatelka je muslimkou, která dle </w:t>
      </w:r>
      <w:r w:rsidR="004E6A0F" w:rsidRPr="00E10BE6">
        <w:rPr>
          <w:rFonts w:ascii="Times New Roman" w:hAnsi="Times New Roman" w:cs="Times New Roman"/>
          <w:sz w:val="24"/>
        </w:rPr>
        <w:t xml:space="preserve">svých </w:t>
      </w:r>
      <w:r w:rsidRPr="00E10BE6">
        <w:rPr>
          <w:rFonts w:ascii="Times New Roman" w:hAnsi="Times New Roman" w:cs="Times New Roman"/>
          <w:sz w:val="24"/>
        </w:rPr>
        <w:t xml:space="preserve">slov nenosí </w:t>
      </w:r>
      <w:proofErr w:type="spellStart"/>
      <w:r w:rsidRPr="00E10BE6">
        <w:rPr>
          <w:rFonts w:ascii="Times New Roman" w:hAnsi="Times New Roman" w:cs="Times New Roman"/>
          <w:sz w:val="24"/>
        </w:rPr>
        <w:t>nikáb</w:t>
      </w:r>
      <w:proofErr w:type="spellEnd"/>
      <w:r w:rsidRPr="00E10BE6">
        <w:rPr>
          <w:rFonts w:ascii="Times New Roman" w:hAnsi="Times New Roman" w:cs="Times New Roman"/>
          <w:sz w:val="24"/>
        </w:rPr>
        <w:t xml:space="preserve"> ani burku pravidelně,</w:t>
      </w:r>
      <w:r w:rsidR="00F006FF" w:rsidRPr="00E10BE6">
        <w:rPr>
          <w:rFonts w:ascii="Times New Roman" w:hAnsi="Times New Roman" w:cs="Times New Roman"/>
          <w:sz w:val="24"/>
        </w:rPr>
        <w:t xml:space="preserve"> </w:t>
      </w:r>
      <w:r w:rsidRPr="00E10BE6">
        <w:rPr>
          <w:rFonts w:ascii="Times New Roman" w:hAnsi="Times New Roman" w:cs="Times New Roman"/>
          <w:sz w:val="24"/>
        </w:rPr>
        <w:t xml:space="preserve">záleží na konkrétní situaci. </w:t>
      </w:r>
      <w:r w:rsidR="008869A1" w:rsidRPr="0052341D">
        <w:rPr>
          <w:rFonts w:ascii="Times New Roman" w:hAnsi="Times New Roman" w:cs="Times New Roman"/>
          <w:color w:val="000000" w:themeColor="text1"/>
          <w:sz w:val="24"/>
        </w:rPr>
        <w:t>Přeje si však, aby měla</w:t>
      </w:r>
      <w:r w:rsidR="004E6A0F" w:rsidRPr="0052341D">
        <w:rPr>
          <w:rFonts w:ascii="Times New Roman" w:hAnsi="Times New Roman" w:cs="Times New Roman"/>
          <w:color w:val="000000" w:themeColor="text1"/>
          <w:sz w:val="24"/>
        </w:rPr>
        <w:t xml:space="preserve"> </w:t>
      </w:r>
      <w:r w:rsidR="004E6A0F" w:rsidRPr="00E10BE6">
        <w:rPr>
          <w:rFonts w:ascii="Times New Roman" w:hAnsi="Times New Roman" w:cs="Times New Roman"/>
          <w:sz w:val="24"/>
        </w:rPr>
        <w:t xml:space="preserve">možnost </w:t>
      </w:r>
      <w:r w:rsidRPr="00E10BE6">
        <w:rPr>
          <w:rFonts w:ascii="Times New Roman" w:hAnsi="Times New Roman" w:cs="Times New Roman"/>
          <w:sz w:val="24"/>
        </w:rPr>
        <w:t>sama</w:t>
      </w:r>
      <w:r w:rsidR="004E6A0F" w:rsidRPr="00E10BE6">
        <w:rPr>
          <w:rFonts w:ascii="Times New Roman" w:hAnsi="Times New Roman" w:cs="Times New Roman"/>
          <w:sz w:val="24"/>
        </w:rPr>
        <w:t xml:space="preserve"> se</w:t>
      </w:r>
      <w:r w:rsidRPr="00E10BE6">
        <w:rPr>
          <w:rFonts w:ascii="Times New Roman" w:hAnsi="Times New Roman" w:cs="Times New Roman"/>
          <w:sz w:val="24"/>
        </w:rPr>
        <w:t xml:space="preserve"> rozhodnout, zda si toto oblečení zvolí či nikoli. Dodává, že nic nenamítá proti odhalování své tváře</w:t>
      </w:r>
      <w:r w:rsidR="004E6A0F" w:rsidRPr="00E10BE6">
        <w:rPr>
          <w:rFonts w:ascii="Times New Roman" w:hAnsi="Times New Roman" w:cs="Times New Roman"/>
          <w:sz w:val="24"/>
        </w:rPr>
        <w:t>,</w:t>
      </w:r>
      <w:r w:rsidRPr="00E10BE6">
        <w:rPr>
          <w:rFonts w:ascii="Times New Roman" w:hAnsi="Times New Roman" w:cs="Times New Roman"/>
          <w:sz w:val="24"/>
        </w:rPr>
        <w:t xml:space="preserve"> například při bezpečnostních kontrolách.</w:t>
      </w:r>
    </w:p>
    <w:p w14:paraId="78800F95" w14:textId="7292AB0C" w:rsidR="00FA5590" w:rsidRPr="00E10BE6" w:rsidRDefault="00FA5590" w:rsidP="0094110C">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Stěžovatelka mj. nesouhlasila s </w:t>
      </w:r>
      <w:r w:rsidR="004E6A0F" w:rsidRPr="00E10BE6">
        <w:rPr>
          <w:rFonts w:ascii="Times New Roman" w:hAnsi="Times New Roman" w:cs="Times New Roman"/>
          <w:sz w:val="24"/>
        </w:rPr>
        <w:t xml:space="preserve">legitimitou </w:t>
      </w:r>
      <w:r w:rsidRPr="00E10BE6">
        <w:rPr>
          <w:rFonts w:ascii="Times New Roman" w:hAnsi="Times New Roman" w:cs="Times New Roman"/>
          <w:sz w:val="24"/>
        </w:rPr>
        <w:t>tohoto zákazu</w:t>
      </w:r>
      <w:r w:rsidR="004E6A0F" w:rsidRPr="00E10BE6">
        <w:rPr>
          <w:rFonts w:ascii="Times New Roman" w:hAnsi="Times New Roman" w:cs="Times New Roman"/>
          <w:sz w:val="24"/>
        </w:rPr>
        <w:t>,</w:t>
      </w:r>
      <w:r w:rsidRPr="00E10BE6">
        <w:rPr>
          <w:rFonts w:ascii="Times New Roman" w:hAnsi="Times New Roman" w:cs="Times New Roman"/>
          <w:sz w:val="24"/>
        </w:rPr>
        <w:t xml:space="preserve"> která by měla dle vlády spočívat v ochraně veřejné bezpečnosti. Dle jejího názoru se nejedná o opatření sloužící k řešení určitých bezpečnostních hrozeb, ale o obecný zákaz vztahu</w:t>
      </w:r>
      <w:r w:rsidR="008F6BD4" w:rsidRPr="00E10BE6">
        <w:rPr>
          <w:rFonts w:ascii="Times New Roman" w:hAnsi="Times New Roman" w:cs="Times New Roman"/>
          <w:sz w:val="24"/>
        </w:rPr>
        <w:t>jící se téměř na všechna veřejná</w:t>
      </w:r>
      <w:r w:rsidRPr="00E10BE6">
        <w:rPr>
          <w:rFonts w:ascii="Times New Roman" w:hAnsi="Times New Roman" w:cs="Times New Roman"/>
          <w:sz w:val="24"/>
        </w:rPr>
        <w:t xml:space="preserve"> místa. Zároveň se podle ní tedy nejedná o opatření nezbytná v demokratické společnosti</w:t>
      </w:r>
      <w:r w:rsidR="004E6A0F" w:rsidRPr="00E10BE6">
        <w:rPr>
          <w:rFonts w:ascii="Times New Roman" w:hAnsi="Times New Roman" w:cs="Times New Roman"/>
          <w:sz w:val="24"/>
        </w:rPr>
        <w:t>. P</w:t>
      </w:r>
      <w:r w:rsidRPr="00E10BE6">
        <w:rPr>
          <w:rFonts w:ascii="Times New Roman" w:hAnsi="Times New Roman" w:cs="Times New Roman"/>
          <w:sz w:val="24"/>
        </w:rPr>
        <w:t>ro zajištění bezpečnosti by postačilo zavedení identifikačních kontrol na místech</w:t>
      </w:r>
      <w:r w:rsidR="00BD2F3F" w:rsidRPr="00E10BE6">
        <w:rPr>
          <w:rFonts w:ascii="Times New Roman" w:hAnsi="Times New Roman" w:cs="Times New Roman"/>
          <w:sz w:val="24"/>
        </w:rPr>
        <w:t>,</w:t>
      </w:r>
      <w:r w:rsidRPr="00E10BE6">
        <w:rPr>
          <w:rFonts w:ascii="Times New Roman" w:hAnsi="Times New Roman" w:cs="Times New Roman"/>
          <w:sz w:val="24"/>
        </w:rPr>
        <w:t xml:space="preserve"> kde hrozí zvýšené nebezpečí.</w:t>
      </w:r>
    </w:p>
    <w:p w14:paraId="63E2B63F" w14:textId="2C1057F3" w:rsidR="00FA5590" w:rsidRPr="00E10BE6" w:rsidRDefault="00FA5590" w:rsidP="0094110C">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 xml:space="preserve">Vláda jako další z legitimních cílů zákona uvádí ochranu práv a svobod druhých. Této ochrany má být dosaženo zajišťováním „respektu k hodnotám otevřené a demokratické společnosti“. Těmito hodnotami </w:t>
      </w:r>
      <w:r w:rsidR="00BD2F3F" w:rsidRPr="00E10BE6">
        <w:rPr>
          <w:rFonts w:ascii="Times New Roman" w:hAnsi="Times New Roman" w:cs="Times New Roman"/>
          <w:sz w:val="24"/>
        </w:rPr>
        <w:t>jsou</w:t>
      </w:r>
      <w:r w:rsidRPr="00E10BE6">
        <w:rPr>
          <w:rFonts w:ascii="Times New Roman" w:hAnsi="Times New Roman" w:cs="Times New Roman"/>
          <w:sz w:val="24"/>
        </w:rPr>
        <w:t xml:space="preserve"> rovnost pohlaví, lidská důstojnost a respekt k minimálním požadavkům života ve společnosti. Dle vlády lze mezi tyto minimální požadavky řadit právo člověka vidět tvář člověka</w:t>
      </w:r>
      <w:r w:rsidR="00BD2F3F" w:rsidRPr="00E10BE6">
        <w:rPr>
          <w:rFonts w:ascii="Times New Roman" w:hAnsi="Times New Roman" w:cs="Times New Roman"/>
          <w:sz w:val="24"/>
        </w:rPr>
        <w:t>,</w:t>
      </w:r>
      <w:r w:rsidRPr="00E10BE6">
        <w:rPr>
          <w:rFonts w:ascii="Times New Roman" w:hAnsi="Times New Roman" w:cs="Times New Roman"/>
          <w:sz w:val="24"/>
        </w:rPr>
        <w:t xml:space="preserve"> s</w:t>
      </w:r>
      <w:r w:rsidR="00BD2F3F" w:rsidRPr="00E10BE6">
        <w:rPr>
          <w:rFonts w:ascii="Times New Roman" w:hAnsi="Times New Roman" w:cs="Times New Roman"/>
          <w:sz w:val="24"/>
        </w:rPr>
        <w:t>e</w:t>
      </w:r>
      <w:r w:rsidRPr="00E10BE6">
        <w:rPr>
          <w:rFonts w:ascii="Times New Roman" w:hAnsi="Times New Roman" w:cs="Times New Roman"/>
          <w:sz w:val="24"/>
        </w:rPr>
        <w:t> kterým je v určité interakci, jelikož tvář člověka má důležitý význam při této interakci, vyjadřuje jedinečnost člověka</w:t>
      </w:r>
      <w:r w:rsidR="00BD2F3F" w:rsidRPr="00E10BE6">
        <w:rPr>
          <w:rFonts w:ascii="Times New Roman" w:hAnsi="Times New Roman" w:cs="Times New Roman"/>
          <w:sz w:val="24"/>
        </w:rPr>
        <w:t xml:space="preserve">. Dá se říci, že </w:t>
      </w:r>
      <w:r w:rsidR="00620B97" w:rsidRPr="00E10BE6">
        <w:rPr>
          <w:rFonts w:ascii="Times New Roman" w:hAnsi="Times New Roman" w:cs="Times New Roman"/>
          <w:sz w:val="24"/>
        </w:rPr>
        <w:t>z</w:t>
      </w:r>
      <w:r w:rsidRPr="00E10BE6">
        <w:rPr>
          <w:rFonts w:ascii="Times New Roman" w:hAnsi="Times New Roman" w:cs="Times New Roman"/>
          <w:sz w:val="24"/>
        </w:rPr>
        <w:t>akrytí obličeje narušuje sociální vazby a porušuje tzv. princip spolužití.</w:t>
      </w:r>
    </w:p>
    <w:p w14:paraId="0B76771E" w14:textId="2F5C032D" w:rsidR="00FA5590" w:rsidRPr="00E10BE6" w:rsidRDefault="00FA5590" w:rsidP="00D474EE">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Otázku, zda lze ochranu bezpečnosti považovat za legitimní cíl omezení svobody vyznání</w:t>
      </w:r>
      <w:r w:rsidR="008869A1">
        <w:rPr>
          <w:rFonts w:ascii="Times New Roman" w:hAnsi="Times New Roman" w:cs="Times New Roman"/>
          <w:sz w:val="24"/>
        </w:rPr>
        <w:t>,</w:t>
      </w:r>
      <w:r w:rsidRPr="00E10BE6">
        <w:rPr>
          <w:rFonts w:ascii="Times New Roman" w:hAnsi="Times New Roman" w:cs="Times New Roman"/>
          <w:sz w:val="24"/>
        </w:rPr>
        <w:t xml:space="preserve"> Soud zodpověděl kladně s odkazem na vyjádření národních zákonodárců. V</w:t>
      </w:r>
      <w:r w:rsidR="002A0292" w:rsidRPr="00E10BE6">
        <w:rPr>
          <w:rFonts w:ascii="Times New Roman" w:hAnsi="Times New Roman" w:cs="Times New Roman"/>
          <w:sz w:val="24"/>
        </w:rPr>
        <w:t> </w:t>
      </w:r>
      <w:r w:rsidRPr="00E10BE6">
        <w:rPr>
          <w:rFonts w:ascii="Times New Roman" w:hAnsi="Times New Roman" w:cs="Times New Roman"/>
          <w:sz w:val="24"/>
        </w:rPr>
        <w:t>části</w:t>
      </w:r>
      <w:r w:rsidR="002A0292" w:rsidRPr="00E10BE6">
        <w:rPr>
          <w:rFonts w:ascii="Times New Roman" w:hAnsi="Times New Roman" w:cs="Times New Roman"/>
          <w:sz w:val="24"/>
        </w:rPr>
        <w:t>,</w:t>
      </w:r>
      <w:r w:rsidRPr="00E10BE6">
        <w:rPr>
          <w:rFonts w:ascii="Times New Roman" w:hAnsi="Times New Roman" w:cs="Times New Roman"/>
          <w:sz w:val="24"/>
        </w:rPr>
        <w:t xml:space="preserve"> kde se zabýval nezbytností celoplošného zákazu zahalování na veřejnosti z důvodu ochrany bezpečnosti</w:t>
      </w:r>
      <w:r w:rsidR="008869A1">
        <w:rPr>
          <w:rFonts w:ascii="Times New Roman" w:hAnsi="Times New Roman" w:cs="Times New Roman"/>
          <w:sz w:val="24"/>
        </w:rPr>
        <w:t>,</w:t>
      </w:r>
      <w:r w:rsidRPr="00E10BE6">
        <w:rPr>
          <w:rFonts w:ascii="Times New Roman" w:hAnsi="Times New Roman" w:cs="Times New Roman"/>
          <w:sz w:val="24"/>
        </w:rPr>
        <w:t xml:space="preserve"> však konstatoval, že takovýto zákaz může být proporcionálním</w:t>
      </w:r>
      <w:r w:rsidR="002A0292" w:rsidRPr="00E10BE6">
        <w:rPr>
          <w:rFonts w:ascii="Times New Roman" w:hAnsi="Times New Roman" w:cs="Times New Roman"/>
          <w:sz w:val="24"/>
        </w:rPr>
        <w:t>,</w:t>
      </w:r>
      <w:r w:rsidRPr="00E10BE6">
        <w:rPr>
          <w:rFonts w:ascii="Times New Roman" w:hAnsi="Times New Roman" w:cs="Times New Roman"/>
          <w:sz w:val="24"/>
        </w:rPr>
        <w:t xml:space="preserve"> pouze pokud existuje hrozba pro společnost, která zde v tomto případě není. Podle Soudu lze cíle ochrany bezpečnosti, jak ho zdůvodňuje vláda, dosáhnout i pou</w:t>
      </w:r>
      <w:r w:rsidR="008869A1">
        <w:rPr>
          <w:rFonts w:ascii="Times New Roman" w:hAnsi="Times New Roman" w:cs="Times New Roman"/>
          <w:sz w:val="24"/>
        </w:rPr>
        <w:t>h</w:t>
      </w:r>
      <w:r w:rsidR="002A0292" w:rsidRPr="00E10BE6">
        <w:rPr>
          <w:rFonts w:ascii="Times New Roman" w:hAnsi="Times New Roman" w:cs="Times New Roman"/>
          <w:sz w:val="24"/>
        </w:rPr>
        <w:t>ým</w:t>
      </w:r>
      <w:r w:rsidRPr="00E10BE6">
        <w:rPr>
          <w:rFonts w:ascii="Times New Roman" w:hAnsi="Times New Roman" w:cs="Times New Roman"/>
          <w:sz w:val="24"/>
        </w:rPr>
        <w:t xml:space="preserve"> uložením povinnosti identifikovat se a odhalit obličej v takové situaci, kdy bylo rozhodnuto</w:t>
      </w:r>
      <w:r w:rsidR="002A0292" w:rsidRPr="00E10BE6">
        <w:rPr>
          <w:rFonts w:ascii="Times New Roman" w:hAnsi="Times New Roman" w:cs="Times New Roman"/>
          <w:sz w:val="24"/>
        </w:rPr>
        <w:t>,</w:t>
      </w:r>
      <w:r w:rsidRPr="00E10BE6">
        <w:rPr>
          <w:rFonts w:ascii="Times New Roman" w:hAnsi="Times New Roman" w:cs="Times New Roman"/>
          <w:sz w:val="24"/>
        </w:rPr>
        <w:t xml:space="preserve"> že zde</w:t>
      </w:r>
      <w:r w:rsidR="000257A6" w:rsidRPr="00E10BE6">
        <w:rPr>
          <w:rFonts w:ascii="Times New Roman" w:hAnsi="Times New Roman" w:cs="Times New Roman"/>
          <w:sz w:val="24"/>
        </w:rPr>
        <w:t xml:space="preserve"> určité</w:t>
      </w:r>
      <w:r w:rsidRPr="00E10BE6">
        <w:rPr>
          <w:rFonts w:ascii="Times New Roman" w:hAnsi="Times New Roman" w:cs="Times New Roman"/>
          <w:sz w:val="24"/>
        </w:rPr>
        <w:t xml:space="preserve"> nebezpečí pro osoby nebo majetek</w:t>
      </w:r>
      <w:r w:rsidR="002A0292" w:rsidRPr="00E10BE6">
        <w:rPr>
          <w:rFonts w:ascii="Times New Roman" w:hAnsi="Times New Roman" w:cs="Times New Roman"/>
          <w:sz w:val="24"/>
        </w:rPr>
        <w:t xml:space="preserve"> hrozí.</w:t>
      </w:r>
    </w:p>
    <w:p w14:paraId="5AC46069" w14:textId="3EE4DDFA" w:rsidR="00FA5590" w:rsidRPr="00E10BE6" w:rsidRDefault="00FA5590" w:rsidP="00D474EE">
      <w:pPr>
        <w:spacing w:after="0" w:line="360" w:lineRule="auto"/>
        <w:ind w:firstLine="709"/>
        <w:jc w:val="both"/>
        <w:rPr>
          <w:rFonts w:ascii="Times New Roman" w:hAnsi="Times New Roman" w:cs="Times New Roman"/>
          <w:sz w:val="24"/>
        </w:rPr>
      </w:pPr>
      <w:r w:rsidRPr="00E10BE6">
        <w:rPr>
          <w:rFonts w:ascii="Times New Roman" w:hAnsi="Times New Roman" w:cs="Times New Roman"/>
          <w:sz w:val="24"/>
        </w:rPr>
        <w:t xml:space="preserve">Zatímco zajištění rovnosti pohlaví a ochranu lidské důstojnosti jako legitimní cíle </w:t>
      </w:r>
      <w:r w:rsidR="002A0292" w:rsidRPr="00E10BE6">
        <w:rPr>
          <w:rFonts w:ascii="Times New Roman" w:hAnsi="Times New Roman" w:cs="Times New Roman"/>
          <w:sz w:val="24"/>
        </w:rPr>
        <w:t xml:space="preserve">Soud </w:t>
      </w:r>
      <w:r w:rsidRPr="00E10BE6">
        <w:rPr>
          <w:rFonts w:ascii="Times New Roman" w:hAnsi="Times New Roman" w:cs="Times New Roman"/>
          <w:sz w:val="24"/>
        </w:rPr>
        <w:t>odmítl, připustil</w:t>
      </w:r>
      <w:r w:rsidR="002A0292" w:rsidRPr="00E10BE6">
        <w:rPr>
          <w:rFonts w:ascii="Times New Roman" w:hAnsi="Times New Roman" w:cs="Times New Roman"/>
          <w:sz w:val="24"/>
        </w:rPr>
        <w:t>,</w:t>
      </w:r>
      <w:r w:rsidRPr="00E10BE6">
        <w:rPr>
          <w:rFonts w:ascii="Times New Roman" w:hAnsi="Times New Roman" w:cs="Times New Roman"/>
          <w:sz w:val="24"/>
        </w:rPr>
        <w:t xml:space="preserve"> že princip spolužití může být považován za legitimní cíl zákona. Souhlasí, že </w:t>
      </w:r>
      <w:r w:rsidRPr="00E10BE6">
        <w:rPr>
          <w:rFonts w:ascii="Times New Roman" w:hAnsi="Times New Roman" w:cs="Times New Roman"/>
          <w:sz w:val="24"/>
        </w:rPr>
        <w:lastRenderedPageBreak/>
        <w:t>tvář hraje důležitou roli při sociální interakci mezi lidmi</w:t>
      </w:r>
      <w:r w:rsidR="002A0292" w:rsidRPr="00E10BE6">
        <w:rPr>
          <w:rFonts w:ascii="Times New Roman" w:hAnsi="Times New Roman" w:cs="Times New Roman"/>
          <w:sz w:val="24"/>
        </w:rPr>
        <w:t xml:space="preserve"> a</w:t>
      </w:r>
      <w:r w:rsidR="000257A6" w:rsidRPr="00E10BE6">
        <w:rPr>
          <w:rFonts w:ascii="Times New Roman" w:hAnsi="Times New Roman" w:cs="Times New Roman"/>
          <w:sz w:val="24"/>
        </w:rPr>
        <w:t xml:space="preserve"> </w:t>
      </w:r>
      <w:r w:rsidRPr="00E10BE6">
        <w:rPr>
          <w:rFonts w:ascii="Times New Roman" w:hAnsi="Times New Roman" w:cs="Times New Roman"/>
          <w:sz w:val="24"/>
        </w:rPr>
        <w:t>zahalování tváře může být vnímáno jako porušení práva jiných žít v</w:t>
      </w:r>
      <w:r w:rsidR="002A0292" w:rsidRPr="00E10BE6">
        <w:rPr>
          <w:rFonts w:ascii="Times New Roman" w:hAnsi="Times New Roman" w:cs="Times New Roman"/>
          <w:sz w:val="24"/>
        </w:rPr>
        <w:t> </w:t>
      </w:r>
      <w:r w:rsidRPr="00E10BE6">
        <w:rPr>
          <w:rFonts w:ascii="Times New Roman" w:hAnsi="Times New Roman" w:cs="Times New Roman"/>
          <w:sz w:val="24"/>
        </w:rPr>
        <w:t>prostředí</w:t>
      </w:r>
      <w:r w:rsidR="002A0292" w:rsidRPr="00E10BE6">
        <w:rPr>
          <w:rFonts w:ascii="Times New Roman" w:hAnsi="Times New Roman" w:cs="Times New Roman"/>
          <w:sz w:val="24"/>
        </w:rPr>
        <w:t>,</w:t>
      </w:r>
      <w:r w:rsidRPr="00E10BE6">
        <w:rPr>
          <w:rFonts w:ascii="Times New Roman" w:hAnsi="Times New Roman" w:cs="Times New Roman"/>
          <w:sz w:val="24"/>
        </w:rPr>
        <w:t xml:space="preserve"> ve kterém k těmto interakcím dochází, jelikož tyto sociální interakce spolužití usnadňují.</w:t>
      </w:r>
      <w:r w:rsidR="00F006FF" w:rsidRPr="00E10BE6">
        <w:rPr>
          <w:rFonts w:ascii="Times New Roman" w:hAnsi="Times New Roman" w:cs="Times New Roman"/>
          <w:sz w:val="24"/>
        </w:rPr>
        <w:t xml:space="preserve"> </w:t>
      </w:r>
      <w:r w:rsidRPr="00E10BE6">
        <w:rPr>
          <w:rFonts w:ascii="Times New Roman" w:hAnsi="Times New Roman" w:cs="Times New Roman"/>
          <w:sz w:val="24"/>
        </w:rPr>
        <w:t>Při posuzování nezbytnosti zásahu přiznal Soud Francii široký rozsah prostoru pro uvážení jeho nezbytnosti</w:t>
      </w:r>
      <w:r w:rsidR="002A0292" w:rsidRPr="00E10BE6">
        <w:rPr>
          <w:rFonts w:ascii="Times New Roman" w:hAnsi="Times New Roman" w:cs="Times New Roman"/>
          <w:sz w:val="24"/>
        </w:rPr>
        <w:t>. Podle Soudu</w:t>
      </w:r>
      <w:r w:rsidR="00AA6D0F">
        <w:rPr>
          <w:rFonts w:ascii="Times New Roman" w:hAnsi="Times New Roman" w:cs="Times New Roman"/>
          <w:sz w:val="24"/>
        </w:rPr>
        <w:t xml:space="preserve"> </w:t>
      </w:r>
      <w:r w:rsidRPr="00E10BE6">
        <w:rPr>
          <w:rFonts w:ascii="Times New Roman" w:hAnsi="Times New Roman" w:cs="Times New Roman"/>
          <w:sz w:val="24"/>
        </w:rPr>
        <w:t>neexistuje všeobecná shoda</w:t>
      </w:r>
      <w:r w:rsidR="002A0292" w:rsidRPr="00E10BE6">
        <w:rPr>
          <w:rFonts w:ascii="Times New Roman" w:hAnsi="Times New Roman" w:cs="Times New Roman"/>
          <w:sz w:val="24"/>
        </w:rPr>
        <w:t xml:space="preserve"> v této věci</w:t>
      </w:r>
      <w:r w:rsidRPr="00E10BE6">
        <w:rPr>
          <w:rFonts w:ascii="Times New Roman" w:hAnsi="Times New Roman" w:cs="Times New Roman"/>
          <w:sz w:val="24"/>
        </w:rPr>
        <w:t xml:space="preserve"> mezi ostatními státy. Patnácti hlasy proti porušení a dvěma hlasy </w:t>
      </w:r>
      <w:r w:rsidRPr="00D474EE">
        <w:rPr>
          <w:rFonts w:ascii="Times New Roman" w:hAnsi="Times New Roman" w:cs="Times New Roman"/>
          <w:color w:val="000000" w:themeColor="text1"/>
          <w:sz w:val="24"/>
        </w:rPr>
        <w:t xml:space="preserve">hlasujícími </w:t>
      </w:r>
      <w:r w:rsidRPr="00E10BE6">
        <w:rPr>
          <w:rFonts w:ascii="Times New Roman" w:hAnsi="Times New Roman" w:cs="Times New Roman"/>
          <w:sz w:val="24"/>
        </w:rPr>
        <w:t xml:space="preserve">pro porušení Úmluvy Soud uzavřel, že v daném případě nedošlo k žádnému porušení čl. 8 a 9 Úmluvy. </w:t>
      </w:r>
    </w:p>
    <w:p w14:paraId="1C5718F4" w14:textId="30DE7020" w:rsidR="00F71987" w:rsidRDefault="00FA5590" w:rsidP="00D474EE">
      <w:pPr>
        <w:spacing w:after="0" w:line="360" w:lineRule="auto"/>
        <w:ind w:firstLine="709"/>
        <w:jc w:val="both"/>
        <w:rPr>
          <w:rFonts w:ascii="Times New Roman" w:hAnsi="Times New Roman" w:cs="Times New Roman"/>
          <w:i/>
          <w:sz w:val="24"/>
        </w:rPr>
      </w:pPr>
      <w:r w:rsidRPr="00E10BE6">
        <w:rPr>
          <w:rFonts w:ascii="Times New Roman" w:hAnsi="Times New Roman" w:cs="Times New Roman"/>
          <w:sz w:val="24"/>
        </w:rPr>
        <w:t xml:space="preserve">Velice mne </w:t>
      </w:r>
      <w:r w:rsidR="000C5813" w:rsidRPr="00E10BE6">
        <w:rPr>
          <w:rFonts w:ascii="Times New Roman" w:hAnsi="Times New Roman" w:cs="Times New Roman"/>
          <w:sz w:val="24"/>
        </w:rPr>
        <w:t xml:space="preserve">překvapuje </w:t>
      </w:r>
      <w:r w:rsidRPr="00E10BE6">
        <w:rPr>
          <w:rFonts w:ascii="Times New Roman" w:hAnsi="Times New Roman" w:cs="Times New Roman"/>
          <w:sz w:val="24"/>
        </w:rPr>
        <w:t xml:space="preserve">argumentace principem spolužití. Myšlenka, že se osoba, které její víra </w:t>
      </w:r>
      <w:r w:rsidR="00D474EE">
        <w:rPr>
          <w:rFonts w:ascii="Times New Roman" w:hAnsi="Times New Roman" w:cs="Times New Roman"/>
          <w:color w:val="000000" w:themeColor="text1"/>
          <w:sz w:val="24"/>
        </w:rPr>
        <w:t>ukládá</w:t>
      </w:r>
      <w:r w:rsidRPr="00AA6D0F">
        <w:rPr>
          <w:rFonts w:ascii="Times New Roman" w:hAnsi="Times New Roman" w:cs="Times New Roman"/>
          <w:color w:val="FF0000"/>
          <w:sz w:val="24"/>
        </w:rPr>
        <w:t xml:space="preserve"> </w:t>
      </w:r>
      <w:r w:rsidRPr="00E10BE6">
        <w:rPr>
          <w:rFonts w:ascii="Times New Roman" w:hAnsi="Times New Roman" w:cs="Times New Roman"/>
          <w:sz w:val="24"/>
        </w:rPr>
        <w:t>oblékat se určitým způsobem, má chovat v rozporu se svou vírou jen proto, aby ostatní mohli vidět její obličej</w:t>
      </w:r>
      <w:r w:rsidR="00AA6D0F">
        <w:rPr>
          <w:rFonts w:ascii="Times New Roman" w:hAnsi="Times New Roman" w:cs="Times New Roman"/>
          <w:sz w:val="24"/>
        </w:rPr>
        <w:t>,</w:t>
      </w:r>
      <w:r w:rsidRPr="00E10BE6">
        <w:rPr>
          <w:rFonts w:ascii="Times New Roman" w:hAnsi="Times New Roman" w:cs="Times New Roman"/>
          <w:sz w:val="24"/>
        </w:rPr>
        <w:t xml:space="preserve"> a tím být schopni interakce či komunikace s</w:t>
      </w:r>
      <w:r w:rsidR="00AA6D0F">
        <w:rPr>
          <w:rFonts w:ascii="Times New Roman" w:hAnsi="Times New Roman" w:cs="Times New Roman"/>
          <w:sz w:val="24"/>
        </w:rPr>
        <w:t> </w:t>
      </w:r>
      <w:r w:rsidRPr="00E10BE6">
        <w:rPr>
          <w:rFonts w:ascii="Times New Roman" w:hAnsi="Times New Roman" w:cs="Times New Roman"/>
          <w:sz w:val="24"/>
        </w:rPr>
        <w:t>ní</w:t>
      </w:r>
      <w:r w:rsidR="00AA6D0F">
        <w:rPr>
          <w:rFonts w:ascii="Times New Roman" w:hAnsi="Times New Roman" w:cs="Times New Roman"/>
          <w:sz w:val="24"/>
        </w:rPr>
        <w:t>,</w:t>
      </w:r>
      <w:r w:rsidRPr="00E10BE6">
        <w:rPr>
          <w:rFonts w:ascii="Times New Roman" w:hAnsi="Times New Roman" w:cs="Times New Roman"/>
          <w:sz w:val="24"/>
        </w:rPr>
        <w:t xml:space="preserve"> pro mne postrádá ospravedlnění. Ostatně i</w:t>
      </w:r>
      <w:r w:rsidR="00AA6D0F">
        <w:rPr>
          <w:rFonts w:ascii="Times New Roman" w:hAnsi="Times New Roman" w:cs="Times New Roman"/>
          <w:sz w:val="24"/>
        </w:rPr>
        <w:t xml:space="preserve"> s</w:t>
      </w:r>
      <w:r w:rsidRPr="00E10BE6">
        <w:rPr>
          <w:rFonts w:ascii="Times New Roman" w:hAnsi="Times New Roman" w:cs="Times New Roman"/>
          <w:sz w:val="24"/>
        </w:rPr>
        <w:t xml:space="preserve">oudkyně </w:t>
      </w:r>
      <w:proofErr w:type="spellStart"/>
      <w:r w:rsidRPr="00E10BE6">
        <w:rPr>
          <w:rFonts w:ascii="Times New Roman" w:hAnsi="Times New Roman" w:cs="Times New Roman"/>
          <w:sz w:val="24"/>
        </w:rPr>
        <w:t>Nußberger</w:t>
      </w:r>
      <w:proofErr w:type="spellEnd"/>
      <w:r w:rsidRPr="00E10BE6">
        <w:rPr>
          <w:rFonts w:ascii="Times New Roman" w:hAnsi="Times New Roman" w:cs="Times New Roman"/>
          <w:sz w:val="24"/>
        </w:rPr>
        <w:t xml:space="preserve"> a </w:t>
      </w:r>
      <w:proofErr w:type="spellStart"/>
      <w:r w:rsidRPr="00E10BE6">
        <w:rPr>
          <w:rFonts w:ascii="Times New Roman" w:hAnsi="Times New Roman" w:cs="Times New Roman"/>
          <w:sz w:val="24"/>
        </w:rPr>
        <w:t>Jäderblom</w:t>
      </w:r>
      <w:proofErr w:type="spellEnd"/>
      <w:r w:rsidRPr="00E10BE6">
        <w:rPr>
          <w:rFonts w:ascii="Times New Roman" w:hAnsi="Times New Roman" w:cs="Times New Roman"/>
          <w:sz w:val="24"/>
        </w:rPr>
        <w:t xml:space="preserve"> uvádí ve svém odlišném stanovisku, že myšlenka spolužití nemůže být překroucena tak, aby vedla k závěru, že komunikace mezi lidmi není možná, pokud není vidět celý obličej člověka. Myslím, že trefně komentuje rozhodnutí Soudu ve svém článku</w:t>
      </w:r>
      <w:r w:rsidR="001A313E" w:rsidRPr="00E10BE6">
        <w:rPr>
          <w:rFonts w:ascii="Times New Roman" w:hAnsi="Times New Roman" w:cs="Times New Roman"/>
          <w:sz w:val="24"/>
        </w:rPr>
        <w:t xml:space="preserve"> S</w:t>
      </w:r>
      <w:r w:rsidR="000257A6" w:rsidRPr="00E10BE6">
        <w:rPr>
          <w:rFonts w:ascii="Times New Roman" w:hAnsi="Times New Roman" w:cs="Times New Roman"/>
          <w:sz w:val="24"/>
        </w:rPr>
        <w:t xml:space="preserve">tephanie </w:t>
      </w:r>
      <w:proofErr w:type="spellStart"/>
      <w:r w:rsidR="001A313E" w:rsidRPr="00E10BE6">
        <w:rPr>
          <w:rFonts w:ascii="Times New Roman" w:hAnsi="Times New Roman" w:cs="Times New Roman"/>
          <w:sz w:val="24"/>
        </w:rPr>
        <w:t>Berry</w:t>
      </w:r>
      <w:proofErr w:type="spellEnd"/>
      <w:r w:rsidRPr="00E10BE6">
        <w:rPr>
          <w:rFonts w:ascii="Times New Roman" w:hAnsi="Times New Roman" w:cs="Times New Roman"/>
          <w:sz w:val="24"/>
        </w:rPr>
        <w:t xml:space="preserve">, kde mimo jiné uvádí, že: </w:t>
      </w:r>
      <w:r w:rsidRPr="00E10BE6">
        <w:rPr>
          <w:rFonts w:ascii="Times New Roman" w:hAnsi="Times New Roman" w:cs="Times New Roman"/>
          <w:i/>
          <w:sz w:val="24"/>
        </w:rPr>
        <w:t>„Uznání principu spolužití jako podkladu pro omezení práva na svobodu vyznání je důvodem k obavám. Princip, který není vyjádřen v Evropské úmluvě o ochraně lidských práv a svobod</w:t>
      </w:r>
      <w:r w:rsidR="002620A1">
        <w:rPr>
          <w:rFonts w:ascii="Times New Roman" w:hAnsi="Times New Roman" w:cs="Times New Roman"/>
          <w:i/>
          <w:sz w:val="24"/>
        </w:rPr>
        <w:t>,</w:t>
      </w:r>
      <w:r w:rsidRPr="00E10BE6">
        <w:rPr>
          <w:rFonts w:ascii="Times New Roman" w:hAnsi="Times New Roman" w:cs="Times New Roman"/>
          <w:i/>
          <w:sz w:val="24"/>
        </w:rPr>
        <w:t xml:space="preserve"> zde dostává přednost před jednotlivými právy garantovanými Úmluvou (bod 2 odlišného stanoviska)</w:t>
      </w:r>
      <w:r w:rsidR="002620A1">
        <w:rPr>
          <w:rFonts w:ascii="Times New Roman" w:hAnsi="Times New Roman" w:cs="Times New Roman"/>
          <w:i/>
          <w:sz w:val="24"/>
        </w:rPr>
        <w:t>,</w:t>
      </w:r>
      <w:r w:rsidRPr="00E10BE6">
        <w:rPr>
          <w:rFonts w:ascii="Times New Roman" w:hAnsi="Times New Roman" w:cs="Times New Roman"/>
          <w:i/>
          <w:sz w:val="24"/>
        </w:rPr>
        <w:t xml:space="preserve"> což vyvolává nebezpečí</w:t>
      </w:r>
      <w:r w:rsidR="002620A1">
        <w:rPr>
          <w:rFonts w:ascii="Times New Roman" w:hAnsi="Times New Roman" w:cs="Times New Roman"/>
          <w:i/>
          <w:sz w:val="24"/>
        </w:rPr>
        <w:t xml:space="preserve">, že </w:t>
      </w:r>
      <w:r w:rsidRPr="00E10BE6">
        <w:rPr>
          <w:rFonts w:ascii="Times New Roman" w:hAnsi="Times New Roman" w:cs="Times New Roman"/>
          <w:i/>
          <w:sz w:val="24"/>
        </w:rPr>
        <w:t>většina bude moci nařizovat menšinám, aby se přizpůsobil</w:t>
      </w:r>
      <w:r w:rsidR="00163CD5">
        <w:rPr>
          <w:rFonts w:ascii="Times New Roman" w:hAnsi="Times New Roman" w:cs="Times New Roman"/>
          <w:i/>
          <w:sz w:val="24"/>
        </w:rPr>
        <w:t>y</w:t>
      </w:r>
      <w:r w:rsidRPr="00E10BE6">
        <w:rPr>
          <w:rFonts w:ascii="Times New Roman" w:hAnsi="Times New Roman" w:cs="Times New Roman"/>
          <w:i/>
          <w:sz w:val="24"/>
        </w:rPr>
        <w:t xml:space="preserve"> v zájmu společného žití, místo hledání jiných způsobů zachování pluralismu, tolerance a snášenlivosti</w:t>
      </w:r>
      <w:r w:rsidR="00163CD5">
        <w:rPr>
          <w:rFonts w:ascii="Times New Roman" w:hAnsi="Times New Roman" w:cs="Times New Roman"/>
          <w:i/>
          <w:sz w:val="24"/>
        </w:rPr>
        <w:t>,</w:t>
      </w:r>
      <w:r w:rsidRPr="00E10BE6">
        <w:rPr>
          <w:rFonts w:ascii="Times New Roman" w:hAnsi="Times New Roman" w:cs="Times New Roman"/>
          <w:i/>
          <w:sz w:val="24"/>
        </w:rPr>
        <w:t xml:space="preserve"> které by více odpovídal</w:t>
      </w:r>
      <w:bookmarkStart w:id="81" w:name="_Hlk517618051"/>
      <w:r w:rsidR="00163CD5">
        <w:rPr>
          <w:rFonts w:ascii="Times New Roman" w:hAnsi="Times New Roman" w:cs="Times New Roman"/>
          <w:i/>
          <w:sz w:val="24"/>
        </w:rPr>
        <w:t>y</w:t>
      </w:r>
      <w:r w:rsidRPr="00E10BE6">
        <w:rPr>
          <w:rFonts w:ascii="Times New Roman" w:hAnsi="Times New Roman" w:cs="Times New Roman"/>
          <w:i/>
          <w:sz w:val="24"/>
        </w:rPr>
        <w:t xml:space="preserve"> snaze začlenění do společnosti</w:t>
      </w:r>
      <w:r w:rsidR="00163CD5">
        <w:rPr>
          <w:rFonts w:ascii="Times New Roman" w:hAnsi="Times New Roman" w:cs="Times New Roman"/>
          <w:i/>
          <w:sz w:val="24"/>
        </w:rPr>
        <w:t>.</w:t>
      </w:r>
      <w:r w:rsidRPr="002620A1">
        <w:rPr>
          <w:rFonts w:ascii="Times New Roman" w:hAnsi="Times New Roman" w:cs="Times New Roman"/>
          <w:i/>
          <w:sz w:val="24"/>
        </w:rPr>
        <w:t>“</w:t>
      </w:r>
      <w:r w:rsidRPr="00E10BE6">
        <w:rPr>
          <w:rFonts w:ascii="Times New Roman" w:hAnsi="Times New Roman" w:cs="Times New Roman"/>
          <w:sz w:val="24"/>
          <w:vertAlign w:val="superscript"/>
        </w:rPr>
        <w:footnoteReference w:id="49"/>
      </w:r>
      <w:bookmarkEnd w:id="81"/>
    </w:p>
    <w:p w14:paraId="2A9FD710" w14:textId="3E56A079" w:rsidR="00AF0CF3" w:rsidRPr="00163CD5" w:rsidRDefault="00163CD5" w:rsidP="00D474EE">
      <w:pPr>
        <w:spacing w:after="0" w:line="360" w:lineRule="auto"/>
        <w:ind w:firstLine="709"/>
        <w:jc w:val="both"/>
        <w:rPr>
          <w:rFonts w:ascii="Times New Roman" w:hAnsi="Times New Roman" w:cs="Times New Roman"/>
          <w:i/>
          <w:sz w:val="24"/>
        </w:rPr>
      </w:pPr>
      <w:r>
        <w:rPr>
          <w:rFonts w:ascii="Times New Roman" w:hAnsi="Times New Roman" w:cs="Times New Roman"/>
          <w:sz w:val="24"/>
        </w:rPr>
        <w:t>N</w:t>
      </w:r>
      <w:r w:rsidR="008F6BD4" w:rsidRPr="00E10BE6">
        <w:rPr>
          <w:rFonts w:ascii="Times New Roman" w:hAnsi="Times New Roman" w:cs="Times New Roman"/>
          <w:sz w:val="24"/>
        </w:rPr>
        <w:t>a začátku této podkapitoly</w:t>
      </w:r>
      <w:r w:rsidR="00B32A8E" w:rsidRPr="00E10BE6">
        <w:rPr>
          <w:rFonts w:ascii="Times New Roman" w:hAnsi="Times New Roman" w:cs="Times New Roman"/>
          <w:sz w:val="24"/>
        </w:rPr>
        <w:t xml:space="preserve"> jsem</w:t>
      </w:r>
      <w:r w:rsidR="008F6BD4" w:rsidRPr="00E10BE6">
        <w:rPr>
          <w:rFonts w:ascii="Times New Roman" w:hAnsi="Times New Roman" w:cs="Times New Roman"/>
          <w:sz w:val="24"/>
        </w:rPr>
        <w:t xml:space="preserve"> zdůraznila, že </w:t>
      </w:r>
      <w:r>
        <w:rPr>
          <w:rFonts w:ascii="Times New Roman" w:hAnsi="Times New Roman" w:cs="Times New Roman"/>
          <w:sz w:val="24"/>
        </w:rPr>
        <w:t xml:space="preserve">se </w:t>
      </w:r>
      <w:r w:rsidR="008F6BD4" w:rsidRPr="00E10BE6">
        <w:rPr>
          <w:rFonts w:ascii="Times New Roman" w:hAnsi="Times New Roman" w:cs="Times New Roman"/>
          <w:sz w:val="24"/>
        </w:rPr>
        <w:t>zde</w:t>
      </w:r>
      <w:r>
        <w:rPr>
          <w:rFonts w:ascii="Times New Roman" w:hAnsi="Times New Roman" w:cs="Times New Roman"/>
          <w:sz w:val="24"/>
        </w:rPr>
        <w:t xml:space="preserve"> </w:t>
      </w:r>
      <w:r w:rsidR="008F6BD4" w:rsidRPr="00E10BE6">
        <w:rPr>
          <w:rFonts w:ascii="Times New Roman" w:hAnsi="Times New Roman" w:cs="Times New Roman"/>
          <w:sz w:val="24"/>
        </w:rPr>
        <w:t xml:space="preserve">nejedná o </w:t>
      </w:r>
      <w:r w:rsidR="00651BE6" w:rsidRPr="00E10BE6">
        <w:rPr>
          <w:rFonts w:ascii="Times New Roman" w:hAnsi="Times New Roman" w:cs="Times New Roman"/>
          <w:sz w:val="24"/>
        </w:rPr>
        <w:t xml:space="preserve">„pouhé“ </w:t>
      </w:r>
      <w:r w:rsidR="008F6BD4" w:rsidRPr="00E10BE6">
        <w:rPr>
          <w:rFonts w:ascii="Times New Roman" w:hAnsi="Times New Roman" w:cs="Times New Roman"/>
          <w:sz w:val="24"/>
        </w:rPr>
        <w:t>nošení muslimského šátku</w:t>
      </w:r>
      <w:r>
        <w:rPr>
          <w:rFonts w:ascii="Times New Roman" w:hAnsi="Times New Roman" w:cs="Times New Roman"/>
          <w:sz w:val="24"/>
        </w:rPr>
        <w:t>,</w:t>
      </w:r>
      <w:r w:rsidR="008F6BD4" w:rsidRPr="00E10BE6">
        <w:rPr>
          <w:rFonts w:ascii="Times New Roman" w:hAnsi="Times New Roman" w:cs="Times New Roman"/>
          <w:sz w:val="24"/>
        </w:rPr>
        <w:t xml:space="preserve"> ale</w:t>
      </w:r>
      <w:r w:rsidR="00651BE6" w:rsidRPr="00E10BE6">
        <w:rPr>
          <w:rFonts w:ascii="Times New Roman" w:hAnsi="Times New Roman" w:cs="Times New Roman"/>
          <w:sz w:val="24"/>
        </w:rPr>
        <w:t xml:space="preserve"> o</w:t>
      </w:r>
      <w:r w:rsidR="008F6BD4" w:rsidRPr="00E10BE6">
        <w:rPr>
          <w:rFonts w:ascii="Times New Roman" w:hAnsi="Times New Roman" w:cs="Times New Roman"/>
          <w:sz w:val="24"/>
        </w:rPr>
        <w:t xml:space="preserve"> zahalování obličeje v souladu s vírou </w:t>
      </w:r>
      <w:r w:rsidR="00651BE6" w:rsidRPr="00E10BE6">
        <w:rPr>
          <w:rFonts w:ascii="Times New Roman" w:hAnsi="Times New Roman" w:cs="Times New Roman"/>
          <w:sz w:val="24"/>
        </w:rPr>
        <w:t>stěžovatelky</w:t>
      </w:r>
      <w:r>
        <w:rPr>
          <w:rFonts w:ascii="Times New Roman" w:hAnsi="Times New Roman" w:cs="Times New Roman"/>
          <w:sz w:val="24"/>
        </w:rPr>
        <w:t>,</w:t>
      </w:r>
      <w:r w:rsidR="00651BE6" w:rsidRPr="00E10BE6">
        <w:rPr>
          <w:rFonts w:ascii="Times New Roman" w:hAnsi="Times New Roman" w:cs="Times New Roman"/>
          <w:sz w:val="24"/>
        </w:rPr>
        <w:t xml:space="preserve"> a proto</w:t>
      </w:r>
      <w:r w:rsidR="008F6BD4" w:rsidRPr="00E10BE6">
        <w:rPr>
          <w:rFonts w:ascii="Times New Roman" w:hAnsi="Times New Roman" w:cs="Times New Roman"/>
          <w:sz w:val="24"/>
        </w:rPr>
        <w:t xml:space="preserve"> „jsou ve hře“ i jiné důvody pro přistoupení k zákazu zahalování obličeje</w:t>
      </w:r>
      <w:r w:rsidR="00B32A8E" w:rsidRPr="00E10BE6">
        <w:rPr>
          <w:rFonts w:ascii="Times New Roman" w:hAnsi="Times New Roman" w:cs="Times New Roman"/>
          <w:sz w:val="24"/>
        </w:rPr>
        <w:t>. D</w:t>
      </w:r>
      <w:r w:rsidR="00651BE6" w:rsidRPr="00E10BE6">
        <w:rPr>
          <w:rFonts w:ascii="Times New Roman" w:hAnsi="Times New Roman" w:cs="Times New Roman"/>
          <w:sz w:val="24"/>
        </w:rPr>
        <w:t>le mého názoru by</w:t>
      </w:r>
      <w:r w:rsidR="00B32A8E" w:rsidRPr="00E10BE6">
        <w:rPr>
          <w:rFonts w:ascii="Times New Roman" w:hAnsi="Times New Roman" w:cs="Times New Roman"/>
          <w:sz w:val="24"/>
        </w:rPr>
        <w:t xml:space="preserve"> ale</w:t>
      </w:r>
      <w:r w:rsidR="00651BE6" w:rsidRPr="00E10BE6">
        <w:rPr>
          <w:rFonts w:ascii="Times New Roman" w:hAnsi="Times New Roman" w:cs="Times New Roman"/>
          <w:sz w:val="24"/>
        </w:rPr>
        <w:t xml:space="preserve"> žádné z důvodů</w:t>
      </w:r>
      <w:r w:rsidR="00B32A8E" w:rsidRPr="00E10BE6">
        <w:rPr>
          <w:rFonts w:ascii="Times New Roman" w:hAnsi="Times New Roman" w:cs="Times New Roman"/>
          <w:sz w:val="24"/>
        </w:rPr>
        <w:t xml:space="preserve"> uvedených Soudem v tomto rozhodnutí</w:t>
      </w:r>
      <w:r w:rsidR="00651BE6" w:rsidRPr="00E10BE6">
        <w:rPr>
          <w:rFonts w:ascii="Times New Roman" w:hAnsi="Times New Roman" w:cs="Times New Roman"/>
          <w:sz w:val="24"/>
        </w:rPr>
        <w:t xml:space="preserve"> neměly vést k zákazu nošení muslimských oděvů na veřejnosti</w:t>
      </w:r>
      <w:r>
        <w:rPr>
          <w:rFonts w:ascii="Times New Roman" w:hAnsi="Times New Roman" w:cs="Times New Roman"/>
          <w:sz w:val="24"/>
        </w:rPr>
        <w:t>.</w:t>
      </w:r>
    </w:p>
    <w:p w14:paraId="31CB3013" w14:textId="0D8AC31A" w:rsidR="00AF0CF3" w:rsidRPr="00E10BE6" w:rsidRDefault="00AF0CF3" w:rsidP="00FA5590">
      <w:pPr>
        <w:pStyle w:val="Nadpis3"/>
        <w:rPr>
          <w:rFonts w:cs="Times New Roman"/>
        </w:rPr>
      </w:pPr>
      <w:bookmarkStart w:id="82" w:name="_Toc536289152"/>
      <w:bookmarkStart w:id="83" w:name="_Toc169309"/>
      <w:bookmarkStart w:id="84" w:name="_Toc3454710"/>
      <w:r w:rsidRPr="00E10BE6">
        <w:rPr>
          <w:rFonts w:cs="Times New Roman"/>
        </w:rPr>
        <w:lastRenderedPageBreak/>
        <w:t>Lachiri proti Belgii</w:t>
      </w:r>
      <w:r w:rsidRPr="00E10BE6">
        <w:rPr>
          <w:rStyle w:val="Znakapoznpodarou"/>
          <w:rFonts w:cs="Times New Roman"/>
        </w:rPr>
        <w:footnoteReference w:id="50"/>
      </w:r>
      <w:bookmarkEnd w:id="82"/>
      <w:bookmarkEnd w:id="83"/>
      <w:bookmarkEnd w:id="84"/>
    </w:p>
    <w:p w14:paraId="40E88562" w14:textId="6684F59B" w:rsidR="00AF0CF3" w:rsidRPr="00E10BE6" w:rsidRDefault="00AF0CF3" w:rsidP="00AF0CF3">
      <w:pPr>
        <w:spacing w:after="0" w:line="360" w:lineRule="auto"/>
        <w:ind w:firstLine="357"/>
        <w:jc w:val="both"/>
        <w:rPr>
          <w:rFonts w:ascii="Times New Roman" w:hAnsi="Times New Roman" w:cs="Times New Roman"/>
          <w:sz w:val="24"/>
        </w:rPr>
      </w:pPr>
      <w:r w:rsidRPr="00E10BE6">
        <w:rPr>
          <w:rFonts w:ascii="Times New Roman" w:hAnsi="Times New Roman" w:cs="Times New Roman"/>
          <w:sz w:val="24"/>
        </w:rPr>
        <w:t>18. září 2018 rozhodl senát Evropského soudu pro lidská práva, že byla porušena svoboda náboženského vyznání stěžovatelky</w:t>
      </w:r>
      <w:r w:rsidR="001A313E" w:rsidRPr="00E10BE6">
        <w:rPr>
          <w:rFonts w:ascii="Times New Roman" w:hAnsi="Times New Roman" w:cs="Times New Roman"/>
          <w:sz w:val="24"/>
        </w:rPr>
        <w:t>,</w:t>
      </w:r>
      <w:r w:rsidRPr="00E10BE6">
        <w:rPr>
          <w:rFonts w:ascii="Times New Roman" w:hAnsi="Times New Roman" w:cs="Times New Roman"/>
          <w:sz w:val="24"/>
        </w:rPr>
        <w:t xml:space="preserve"> která se nemohla účastnit soudního líčení, pr</w:t>
      </w:r>
      <w:r w:rsidR="00651BE6" w:rsidRPr="00E10BE6">
        <w:rPr>
          <w:rFonts w:ascii="Times New Roman" w:hAnsi="Times New Roman" w:cs="Times New Roman"/>
          <w:sz w:val="24"/>
        </w:rPr>
        <w:t>otože si odmítla sundat hidžáb.</w:t>
      </w:r>
    </w:p>
    <w:p w14:paraId="3351E1DC" w14:textId="6A3D71B6" w:rsidR="00AF0CF3" w:rsidRPr="00E10BE6" w:rsidRDefault="00AF0CF3" w:rsidP="00AF0CF3">
      <w:pPr>
        <w:spacing w:after="0" w:line="360" w:lineRule="auto"/>
        <w:ind w:firstLine="357"/>
        <w:jc w:val="both"/>
        <w:rPr>
          <w:rFonts w:ascii="Times New Roman" w:hAnsi="Times New Roman" w:cs="Times New Roman"/>
          <w:sz w:val="24"/>
        </w:rPr>
      </w:pPr>
      <w:r w:rsidRPr="00E10BE6">
        <w:rPr>
          <w:rFonts w:ascii="Times New Roman" w:hAnsi="Times New Roman" w:cs="Times New Roman"/>
          <w:sz w:val="24"/>
        </w:rPr>
        <w:t xml:space="preserve">Stěžovatelka spolu s dalšími členy </w:t>
      </w:r>
      <w:r w:rsidR="001A313E" w:rsidRPr="00E10BE6">
        <w:rPr>
          <w:rFonts w:ascii="Times New Roman" w:hAnsi="Times New Roman" w:cs="Times New Roman"/>
          <w:sz w:val="24"/>
        </w:rPr>
        <w:t xml:space="preserve">své </w:t>
      </w:r>
      <w:r w:rsidRPr="00E10BE6">
        <w:rPr>
          <w:rFonts w:ascii="Times New Roman" w:hAnsi="Times New Roman" w:cs="Times New Roman"/>
          <w:sz w:val="24"/>
        </w:rPr>
        <w:t xml:space="preserve">rodiny byla stranou trestního řízení vyšetřujícího smrt bratra stěžovatelky. V roce 2007 se stěžovatelka měla účastnit jednání v této věci, ale vstup do soudní síně jí byl odepřen. Stěžovatelka </w:t>
      </w:r>
      <w:r w:rsidR="001A313E" w:rsidRPr="00E10BE6">
        <w:rPr>
          <w:rFonts w:ascii="Times New Roman" w:hAnsi="Times New Roman" w:cs="Times New Roman"/>
          <w:sz w:val="24"/>
        </w:rPr>
        <w:t xml:space="preserve">je </w:t>
      </w:r>
      <w:r w:rsidRPr="00E10BE6">
        <w:rPr>
          <w:rFonts w:ascii="Times New Roman" w:hAnsi="Times New Roman" w:cs="Times New Roman"/>
          <w:sz w:val="24"/>
        </w:rPr>
        <w:t>muslimk</w:t>
      </w:r>
      <w:r w:rsidR="001A313E" w:rsidRPr="00E10BE6">
        <w:rPr>
          <w:rFonts w:ascii="Times New Roman" w:hAnsi="Times New Roman" w:cs="Times New Roman"/>
          <w:sz w:val="24"/>
        </w:rPr>
        <w:t>a</w:t>
      </w:r>
      <w:r w:rsidRPr="00E10BE6">
        <w:rPr>
          <w:rFonts w:ascii="Times New Roman" w:hAnsi="Times New Roman" w:cs="Times New Roman"/>
          <w:sz w:val="24"/>
        </w:rPr>
        <w:t xml:space="preserve"> a do budovy soudu přišla v </w:t>
      </w:r>
      <w:proofErr w:type="spellStart"/>
      <w:r w:rsidRPr="00E10BE6">
        <w:rPr>
          <w:rFonts w:ascii="Times New Roman" w:hAnsi="Times New Roman" w:cs="Times New Roman"/>
          <w:sz w:val="24"/>
        </w:rPr>
        <w:t>hidžábu</w:t>
      </w:r>
      <w:proofErr w:type="spellEnd"/>
      <w:r w:rsidRPr="00E10BE6">
        <w:rPr>
          <w:rFonts w:ascii="Times New Roman" w:hAnsi="Times New Roman" w:cs="Times New Roman"/>
          <w:sz w:val="24"/>
        </w:rPr>
        <w:t>. Přestože byla stěžovatelka upozorněna, že podle trestního zákoníku je povinna před vstupem do soudní síně hidžáb odložit, neučinila</w:t>
      </w:r>
      <w:r w:rsidR="00551EE9" w:rsidRPr="00E10BE6">
        <w:rPr>
          <w:rFonts w:ascii="Times New Roman" w:hAnsi="Times New Roman" w:cs="Times New Roman"/>
          <w:sz w:val="24"/>
        </w:rPr>
        <w:t xml:space="preserve"> tak,</w:t>
      </w:r>
      <w:r w:rsidRPr="00E10BE6">
        <w:rPr>
          <w:rFonts w:ascii="Times New Roman" w:hAnsi="Times New Roman" w:cs="Times New Roman"/>
          <w:sz w:val="24"/>
        </w:rPr>
        <w:t xml:space="preserve"> a proto</w:t>
      </w:r>
      <w:r w:rsidR="00D474EE">
        <w:rPr>
          <w:rFonts w:ascii="Times New Roman" w:hAnsi="Times New Roman" w:cs="Times New Roman"/>
          <w:sz w:val="24"/>
        </w:rPr>
        <w:t xml:space="preserve"> nebyla do soudní síně vpuštěna</w:t>
      </w:r>
      <w:r w:rsidRPr="00E10BE6">
        <w:rPr>
          <w:rFonts w:ascii="Times New Roman" w:hAnsi="Times New Roman" w:cs="Times New Roman"/>
          <w:sz w:val="24"/>
        </w:rPr>
        <w:t xml:space="preserve">. Stěžovatelka se proti tomuto zásahu bránila nejdříve u odvolacího soudu, poté u kasačního soudu a následně podala stížnost k Soudu, kde </w:t>
      </w:r>
      <w:r w:rsidRPr="00F71987">
        <w:rPr>
          <w:rFonts w:ascii="Times New Roman" w:hAnsi="Times New Roman" w:cs="Times New Roman"/>
          <w:sz w:val="24"/>
        </w:rPr>
        <w:t>namítala</w:t>
      </w:r>
      <w:r w:rsidRPr="00E10BE6">
        <w:rPr>
          <w:rFonts w:ascii="Times New Roman" w:hAnsi="Times New Roman" w:cs="Times New Roman"/>
          <w:sz w:val="24"/>
        </w:rPr>
        <w:t xml:space="preserve"> porušení svobody náboženského vyznání dle čl. 9 Úmluvy.</w:t>
      </w:r>
    </w:p>
    <w:p w14:paraId="675285EB" w14:textId="4A50A18A" w:rsidR="00AF0CF3" w:rsidRPr="00E10BE6" w:rsidRDefault="00AF0CF3" w:rsidP="00AF0CF3">
      <w:pPr>
        <w:spacing w:after="0" w:line="360" w:lineRule="auto"/>
        <w:ind w:firstLine="357"/>
        <w:jc w:val="both"/>
        <w:rPr>
          <w:rFonts w:ascii="Times New Roman" w:hAnsi="Times New Roman" w:cs="Times New Roman"/>
          <w:sz w:val="24"/>
        </w:rPr>
      </w:pPr>
      <w:r w:rsidRPr="00E10BE6">
        <w:rPr>
          <w:rFonts w:ascii="Times New Roman" w:hAnsi="Times New Roman" w:cs="Times New Roman"/>
          <w:sz w:val="24"/>
        </w:rPr>
        <w:t>Odpověď na otázku</w:t>
      </w:r>
      <w:r w:rsidR="00551EE9" w:rsidRPr="00E10BE6">
        <w:rPr>
          <w:rFonts w:ascii="Times New Roman" w:hAnsi="Times New Roman" w:cs="Times New Roman"/>
          <w:sz w:val="24"/>
        </w:rPr>
        <w:t>,</w:t>
      </w:r>
      <w:r w:rsidRPr="00E10BE6">
        <w:rPr>
          <w:rFonts w:ascii="Times New Roman" w:hAnsi="Times New Roman" w:cs="Times New Roman"/>
          <w:sz w:val="24"/>
        </w:rPr>
        <w:t xml:space="preserve"> zda byl zásah zákonný, Soud zodpověděl kladně s odkazem na čl. 759 belgického trestního zákoníku. Tento článek stanovuje, že žádný účastník jednání nesmí mít v soudní síni zahalenou hlavu. Soud shledal, že daný článek sleduje i legitimní cíl zachování pořádku, jelikož toto ustanovení předchází neuctivému chování vůči soudu a zajišťuje bezproblémový průběh jednání.</w:t>
      </w:r>
    </w:p>
    <w:p w14:paraId="63E86FC5" w14:textId="1252001B" w:rsidR="00AF0CF3" w:rsidRPr="00E10BE6" w:rsidRDefault="00AF0CF3" w:rsidP="00AF0CF3">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Co se tý</w:t>
      </w:r>
      <w:r w:rsidR="00551EE9" w:rsidRPr="00E10BE6">
        <w:rPr>
          <w:rFonts w:ascii="Times New Roman" w:hAnsi="Times New Roman" w:cs="Times New Roman"/>
          <w:sz w:val="24"/>
        </w:rPr>
        <w:t>ká</w:t>
      </w:r>
      <w:r w:rsidRPr="00E10BE6">
        <w:rPr>
          <w:rFonts w:ascii="Times New Roman" w:hAnsi="Times New Roman" w:cs="Times New Roman"/>
          <w:sz w:val="24"/>
        </w:rPr>
        <w:t xml:space="preserve"> nezbytnosti takového zásahu v demokratické společnosti</w:t>
      </w:r>
      <w:r w:rsidR="00F71987">
        <w:rPr>
          <w:rFonts w:ascii="Times New Roman" w:hAnsi="Times New Roman" w:cs="Times New Roman"/>
          <w:sz w:val="24"/>
        </w:rPr>
        <w:t>,</w:t>
      </w:r>
      <w:r w:rsidRPr="00E10BE6">
        <w:rPr>
          <w:rFonts w:ascii="Times New Roman" w:hAnsi="Times New Roman" w:cs="Times New Roman"/>
          <w:sz w:val="24"/>
        </w:rPr>
        <w:t xml:space="preserve"> Soud rozhodl, že nezbytnost tohoto zásahu dána nebyla a zásah do práva stěžovatelky není ospravedlnitelný. Dle Soudu stěžovatelka svý</w:t>
      </w:r>
      <w:r w:rsidR="00551EE9" w:rsidRPr="00E10BE6">
        <w:rPr>
          <w:rFonts w:ascii="Times New Roman" w:hAnsi="Times New Roman" w:cs="Times New Roman"/>
          <w:sz w:val="24"/>
        </w:rPr>
        <w:t>m</w:t>
      </w:r>
      <w:r w:rsidRPr="00E10BE6">
        <w:rPr>
          <w:rFonts w:ascii="Times New Roman" w:hAnsi="Times New Roman" w:cs="Times New Roman"/>
          <w:sz w:val="24"/>
        </w:rPr>
        <w:t xml:space="preserve"> chováním nenarušovala průběh jednání a její jednání nelze vyložit ani jako neúctu k soudu. Proto Soud shledal porušení čl. 9 Úmluvy. Rozhodnutí senátu ale ještě není konečné. Strany mohou požádat o </w:t>
      </w:r>
      <w:r w:rsidRPr="00F71987">
        <w:rPr>
          <w:rFonts w:ascii="Times New Roman" w:hAnsi="Times New Roman" w:cs="Times New Roman"/>
          <w:sz w:val="24"/>
        </w:rPr>
        <w:t>postoupení</w:t>
      </w:r>
      <w:r w:rsidRPr="00E10BE6">
        <w:rPr>
          <w:rFonts w:ascii="Times New Roman" w:hAnsi="Times New Roman" w:cs="Times New Roman"/>
          <w:sz w:val="24"/>
        </w:rPr>
        <w:t xml:space="preserve"> případu k Velkému senátu do 3 měsíců od vydání rozhodnutí senátu</w:t>
      </w:r>
      <w:r w:rsidR="00551EE9" w:rsidRPr="00E10BE6">
        <w:rPr>
          <w:rFonts w:ascii="Times New Roman" w:hAnsi="Times New Roman" w:cs="Times New Roman"/>
          <w:sz w:val="24"/>
        </w:rPr>
        <w:t xml:space="preserve"> </w:t>
      </w:r>
      <w:r w:rsidRPr="00E10BE6">
        <w:rPr>
          <w:rFonts w:ascii="Times New Roman" w:hAnsi="Times New Roman" w:cs="Times New Roman"/>
          <w:sz w:val="24"/>
        </w:rPr>
        <w:t>v souladu s čl. 43 Úmluvy.</w:t>
      </w:r>
    </w:p>
    <w:p w14:paraId="6714CBE1" w14:textId="60BDDD04" w:rsidR="00AF0CF3" w:rsidRPr="00E10BE6" w:rsidRDefault="004173C6" w:rsidP="00AF0CF3">
      <w:pPr>
        <w:spacing w:after="0" w:line="360" w:lineRule="auto"/>
        <w:ind w:firstLine="360"/>
        <w:jc w:val="both"/>
        <w:rPr>
          <w:rFonts w:ascii="Times New Roman" w:hAnsi="Times New Roman" w:cs="Times New Roman"/>
          <w:sz w:val="24"/>
        </w:rPr>
      </w:pPr>
      <w:r w:rsidRPr="00E10BE6">
        <w:rPr>
          <w:rFonts w:ascii="Times New Roman" w:hAnsi="Times New Roman" w:cs="Times New Roman"/>
          <w:sz w:val="24"/>
        </w:rPr>
        <w:t>I zde je třeba připomenout, že v tomto případě byl předmětem sporu „jen“ muslimský šátek. Lze si jen domýšlet, jak by Soud rozhodl</w:t>
      </w:r>
      <w:r w:rsidR="00F71987">
        <w:rPr>
          <w:rFonts w:ascii="Times New Roman" w:hAnsi="Times New Roman" w:cs="Times New Roman"/>
          <w:sz w:val="24"/>
        </w:rPr>
        <w:t>,</w:t>
      </w:r>
      <w:r w:rsidRPr="00E10BE6">
        <w:rPr>
          <w:rFonts w:ascii="Times New Roman" w:hAnsi="Times New Roman" w:cs="Times New Roman"/>
          <w:sz w:val="24"/>
        </w:rPr>
        <w:t xml:space="preserve"> kdyby se jednalo o stěžovatelku oděnou do </w:t>
      </w:r>
      <w:proofErr w:type="spellStart"/>
      <w:r w:rsidRPr="00E10BE6">
        <w:rPr>
          <w:rFonts w:ascii="Times New Roman" w:hAnsi="Times New Roman" w:cs="Times New Roman"/>
          <w:sz w:val="24"/>
        </w:rPr>
        <w:t>nikábu</w:t>
      </w:r>
      <w:proofErr w:type="spellEnd"/>
      <w:r w:rsidRPr="00E10BE6">
        <w:rPr>
          <w:rFonts w:ascii="Times New Roman" w:hAnsi="Times New Roman" w:cs="Times New Roman"/>
          <w:sz w:val="24"/>
        </w:rPr>
        <w:t>, případně burky</w:t>
      </w:r>
      <w:r w:rsidR="00F71987">
        <w:rPr>
          <w:rFonts w:ascii="Times New Roman" w:hAnsi="Times New Roman" w:cs="Times New Roman"/>
          <w:sz w:val="24"/>
        </w:rPr>
        <w:t>.</w:t>
      </w:r>
      <w:r w:rsidR="001572D1" w:rsidRPr="00E10BE6">
        <w:rPr>
          <w:rFonts w:ascii="Times New Roman" w:hAnsi="Times New Roman" w:cs="Times New Roman"/>
          <w:sz w:val="24"/>
        </w:rPr>
        <w:t xml:space="preserve"> </w:t>
      </w:r>
      <w:r w:rsidR="00AF0CF3" w:rsidRPr="00E10BE6">
        <w:rPr>
          <w:rFonts w:ascii="Times New Roman" w:hAnsi="Times New Roman" w:cs="Times New Roman"/>
          <w:sz w:val="24"/>
        </w:rPr>
        <w:t>I přesto se jedná o přelomové rozhodnutí, neboť</w:t>
      </w:r>
      <w:r w:rsidR="00F006FF" w:rsidRPr="00E10BE6">
        <w:rPr>
          <w:rFonts w:ascii="Times New Roman" w:hAnsi="Times New Roman" w:cs="Times New Roman"/>
          <w:sz w:val="24"/>
        </w:rPr>
        <w:t xml:space="preserve"> </w:t>
      </w:r>
      <w:r w:rsidR="00AF0CF3" w:rsidRPr="00E10BE6">
        <w:rPr>
          <w:rFonts w:ascii="Times New Roman" w:hAnsi="Times New Roman" w:cs="Times New Roman"/>
          <w:sz w:val="24"/>
        </w:rPr>
        <w:t>je</w:t>
      </w:r>
      <w:r w:rsidR="00551EE9" w:rsidRPr="00E10BE6">
        <w:rPr>
          <w:rFonts w:ascii="Times New Roman" w:hAnsi="Times New Roman" w:cs="Times New Roman"/>
          <w:sz w:val="24"/>
        </w:rPr>
        <w:t xml:space="preserve"> to</w:t>
      </w:r>
      <w:r w:rsidR="00AF0CF3" w:rsidRPr="00E10BE6">
        <w:rPr>
          <w:rFonts w:ascii="Times New Roman" w:hAnsi="Times New Roman" w:cs="Times New Roman"/>
          <w:sz w:val="24"/>
        </w:rPr>
        <w:t xml:space="preserve"> poprvé, kdy Soud rozhodl ve prospěch muslimek a jejich práva nosit šátek.</w:t>
      </w:r>
      <w:r w:rsidR="00AF0CF3" w:rsidRPr="00E10BE6">
        <w:rPr>
          <w:rFonts w:ascii="Times New Roman" w:hAnsi="Times New Roman" w:cs="Times New Roman"/>
          <w:sz w:val="24"/>
          <w:vertAlign w:val="superscript"/>
        </w:rPr>
        <w:footnoteReference w:id="51"/>
      </w:r>
      <w:r w:rsidR="00AF0CF3" w:rsidRPr="00E10BE6">
        <w:rPr>
          <w:rFonts w:ascii="Times New Roman" w:hAnsi="Times New Roman" w:cs="Times New Roman"/>
          <w:sz w:val="24"/>
        </w:rPr>
        <w:t xml:space="preserve"> Rozhodnutím Soud dává státům jasně najevo, že ne všechny zákazy a příkazy pro nošení muslimských šátků jsou samy o sobě přípustné. Státům musí být připomínáno, že takovéto zákazy musí v každém jednotlivém případě mít </w:t>
      </w:r>
      <w:r w:rsidR="00AF0CF3" w:rsidRPr="00E10BE6">
        <w:rPr>
          <w:rFonts w:ascii="Times New Roman" w:hAnsi="Times New Roman" w:cs="Times New Roman"/>
          <w:sz w:val="24"/>
        </w:rPr>
        <w:lastRenderedPageBreak/>
        <w:t>rozumný podklad, který je</w:t>
      </w:r>
      <w:r w:rsidR="00F006FF" w:rsidRPr="00E10BE6">
        <w:rPr>
          <w:rFonts w:ascii="Times New Roman" w:hAnsi="Times New Roman" w:cs="Times New Roman"/>
          <w:sz w:val="24"/>
        </w:rPr>
        <w:t xml:space="preserve"> </w:t>
      </w:r>
      <w:r w:rsidR="00AF0CF3" w:rsidRPr="00E10BE6">
        <w:rPr>
          <w:rFonts w:ascii="Times New Roman" w:hAnsi="Times New Roman" w:cs="Times New Roman"/>
          <w:sz w:val="24"/>
        </w:rPr>
        <w:t>Soudem přezkoumáván</w:t>
      </w:r>
      <w:r w:rsidR="00F71987">
        <w:rPr>
          <w:rFonts w:ascii="Times New Roman" w:hAnsi="Times New Roman" w:cs="Times New Roman"/>
          <w:sz w:val="24"/>
        </w:rPr>
        <w:t xml:space="preserve">, </w:t>
      </w:r>
      <w:r w:rsidR="00AF0CF3" w:rsidRPr="00E10BE6">
        <w:rPr>
          <w:rFonts w:ascii="Times New Roman" w:hAnsi="Times New Roman" w:cs="Times New Roman"/>
          <w:sz w:val="24"/>
        </w:rPr>
        <w:t xml:space="preserve">a </w:t>
      </w:r>
      <w:r w:rsidR="00F71987" w:rsidRPr="0063313C">
        <w:rPr>
          <w:rFonts w:ascii="Times New Roman" w:hAnsi="Times New Roman" w:cs="Times New Roman"/>
          <w:color w:val="000000" w:themeColor="text1"/>
          <w:sz w:val="24"/>
        </w:rPr>
        <w:t>domnívám se,</w:t>
      </w:r>
      <w:r w:rsidR="0063313C" w:rsidRPr="0063313C">
        <w:rPr>
          <w:rFonts w:ascii="Times New Roman" w:hAnsi="Times New Roman" w:cs="Times New Roman"/>
          <w:color w:val="000000" w:themeColor="text1"/>
          <w:sz w:val="24"/>
        </w:rPr>
        <w:t xml:space="preserve"> že </w:t>
      </w:r>
      <w:r w:rsidR="00AF0CF3" w:rsidRPr="0063313C">
        <w:rPr>
          <w:rFonts w:ascii="Times New Roman" w:hAnsi="Times New Roman" w:cs="Times New Roman"/>
          <w:color w:val="000000" w:themeColor="text1"/>
          <w:sz w:val="24"/>
        </w:rPr>
        <w:t>toto rozhodnutí</w:t>
      </w:r>
      <w:r w:rsidR="0063313C">
        <w:rPr>
          <w:rFonts w:ascii="Times New Roman" w:hAnsi="Times New Roman" w:cs="Times New Roman"/>
          <w:color w:val="000000" w:themeColor="text1"/>
          <w:sz w:val="24"/>
        </w:rPr>
        <w:t xml:space="preserve"> vysílá </w:t>
      </w:r>
      <w:r w:rsidR="00AF0CF3" w:rsidRPr="0063313C">
        <w:rPr>
          <w:rFonts w:ascii="Times New Roman" w:hAnsi="Times New Roman" w:cs="Times New Roman"/>
          <w:color w:val="000000" w:themeColor="text1"/>
          <w:sz w:val="24"/>
        </w:rPr>
        <w:t>státům přesně takovou zprávu.</w:t>
      </w:r>
    </w:p>
    <w:p w14:paraId="4F9EA535" w14:textId="77777777" w:rsidR="00E55062" w:rsidRPr="00651BE6" w:rsidRDefault="00E55062" w:rsidP="00E55062">
      <w:pPr>
        <w:pStyle w:val="Nadpis3"/>
        <w:rPr>
          <w:rFonts w:cs="Times New Roman"/>
        </w:rPr>
      </w:pPr>
      <w:bookmarkStart w:id="85" w:name="_Toc536289153"/>
      <w:bookmarkStart w:id="86" w:name="_Toc169310"/>
      <w:bookmarkStart w:id="87" w:name="_Toc3454711"/>
      <w:r w:rsidRPr="00651BE6">
        <w:rPr>
          <w:rFonts w:cs="Times New Roman"/>
        </w:rPr>
        <w:t>Závěr</w:t>
      </w:r>
      <w:bookmarkEnd w:id="85"/>
      <w:bookmarkEnd w:id="86"/>
      <w:bookmarkEnd w:id="87"/>
    </w:p>
    <w:p w14:paraId="1434BC05" w14:textId="5F6B73E0"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Společným prvkem</w:t>
      </w:r>
      <w:r>
        <w:rPr>
          <w:rFonts w:ascii="Times New Roman" w:hAnsi="Times New Roman" w:cs="Times New Roman"/>
          <w:sz w:val="24"/>
        </w:rPr>
        <w:t xml:space="preserve"> těchto</w:t>
      </w:r>
      <w:r w:rsidRPr="00651BE6">
        <w:rPr>
          <w:rFonts w:ascii="Times New Roman" w:hAnsi="Times New Roman" w:cs="Times New Roman"/>
          <w:sz w:val="24"/>
        </w:rPr>
        <w:t xml:space="preserve"> rozhodnutí je dle mého názoru nedostatečné odůvodnění Soudu v otázce legitimního cíle omezení. Soud v uvedených případech nevysvětluje, jak konkrétně nošení </w:t>
      </w:r>
      <w:r w:rsidRPr="00B32A8E">
        <w:rPr>
          <w:rFonts w:ascii="Times New Roman" w:hAnsi="Times New Roman" w:cs="Times New Roman"/>
          <w:sz w:val="24"/>
        </w:rPr>
        <w:t>šátku, nebo jiného muslimského oděvu, porušuje</w:t>
      </w:r>
      <w:r w:rsidRPr="00651BE6">
        <w:rPr>
          <w:rFonts w:ascii="Times New Roman" w:hAnsi="Times New Roman" w:cs="Times New Roman"/>
          <w:sz w:val="24"/>
        </w:rPr>
        <w:t xml:space="preserve"> ochranu veřejného pořádku či jiný ze stanovených cílů. Toto odůvodnění přípustnosti zásahu do svobody vyznání by</w:t>
      </w:r>
      <w:r>
        <w:rPr>
          <w:rFonts w:ascii="Times New Roman" w:hAnsi="Times New Roman" w:cs="Times New Roman"/>
          <w:sz w:val="24"/>
        </w:rPr>
        <w:t xml:space="preserve"> přitom</w:t>
      </w:r>
      <w:r w:rsidRPr="00651BE6">
        <w:rPr>
          <w:rFonts w:ascii="Times New Roman" w:hAnsi="Times New Roman" w:cs="Times New Roman"/>
          <w:sz w:val="24"/>
        </w:rPr>
        <w:t xml:space="preserve"> mělo být důležitou součástí rozhodnutí a hrálo by důležitou roli při rozhodování dalších podobných případů do budoucna.</w:t>
      </w:r>
    </w:p>
    <w:p w14:paraId="461DD685" w14:textId="5CDC4821"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 xml:space="preserve">Všechna tato rozhodnutí se vyznačují </w:t>
      </w:r>
      <w:r w:rsidRPr="00B32A8E">
        <w:rPr>
          <w:rFonts w:ascii="Times New Roman" w:hAnsi="Times New Roman" w:cs="Times New Roman"/>
          <w:sz w:val="24"/>
        </w:rPr>
        <w:t>také širokým rozsahem státu pro uvážení</w:t>
      </w:r>
      <w:r w:rsidRPr="00651BE6">
        <w:rPr>
          <w:rFonts w:ascii="Times New Roman" w:hAnsi="Times New Roman" w:cs="Times New Roman"/>
          <w:sz w:val="24"/>
        </w:rPr>
        <w:t xml:space="preserve"> („</w:t>
      </w:r>
      <w:proofErr w:type="spellStart"/>
      <w:r w:rsidRPr="00651BE6">
        <w:rPr>
          <w:rFonts w:ascii="Times New Roman" w:hAnsi="Times New Roman" w:cs="Times New Roman"/>
          <w:sz w:val="24"/>
        </w:rPr>
        <w:t>wide</w:t>
      </w:r>
      <w:proofErr w:type="spellEnd"/>
      <w:r w:rsidRPr="00651BE6">
        <w:rPr>
          <w:rFonts w:ascii="Times New Roman" w:hAnsi="Times New Roman" w:cs="Times New Roman"/>
          <w:sz w:val="24"/>
        </w:rPr>
        <w:t xml:space="preserve"> margin of appreciation“). Tato doktrína ztěžuje předvídatelnost rozhodování Soudu v</w:t>
      </w:r>
      <w:r>
        <w:rPr>
          <w:rFonts w:ascii="Times New Roman" w:hAnsi="Times New Roman" w:cs="Times New Roman"/>
          <w:sz w:val="24"/>
        </w:rPr>
        <w:t> </w:t>
      </w:r>
      <w:r w:rsidRPr="00651BE6">
        <w:rPr>
          <w:rFonts w:ascii="Times New Roman" w:hAnsi="Times New Roman" w:cs="Times New Roman"/>
          <w:sz w:val="24"/>
        </w:rPr>
        <w:t>podobných otázkách nošení muslimských šátků. Například v uvedeném rozhodnutí S.A.S. proti Francii Soud podle mne správně konstatoval</w:t>
      </w:r>
      <w:r>
        <w:rPr>
          <w:rFonts w:ascii="Times New Roman" w:hAnsi="Times New Roman" w:cs="Times New Roman"/>
          <w:sz w:val="24"/>
        </w:rPr>
        <w:t>,</w:t>
      </w:r>
      <w:r w:rsidRPr="00651BE6">
        <w:rPr>
          <w:rFonts w:ascii="Times New Roman" w:hAnsi="Times New Roman" w:cs="Times New Roman"/>
          <w:sz w:val="24"/>
        </w:rPr>
        <w:t xml:space="preserve"> že přijetí napadeného zákona není nezbytným způsobem zajištění bezpečnosti ve společnosti, ale zároveň rozhodl v neprospěch stěžovatelky mj. právě s ohledem na ši</w:t>
      </w:r>
      <w:r>
        <w:rPr>
          <w:rFonts w:ascii="Times New Roman" w:hAnsi="Times New Roman" w:cs="Times New Roman"/>
          <w:sz w:val="24"/>
        </w:rPr>
        <w:t>roký rozsah</w:t>
      </w:r>
      <w:r w:rsidR="004C4349">
        <w:rPr>
          <w:rFonts w:ascii="Times New Roman" w:hAnsi="Times New Roman" w:cs="Times New Roman"/>
          <w:sz w:val="24"/>
        </w:rPr>
        <w:t xml:space="preserve"> prostoru</w:t>
      </w:r>
      <w:r>
        <w:rPr>
          <w:rFonts w:ascii="Times New Roman" w:hAnsi="Times New Roman" w:cs="Times New Roman"/>
          <w:sz w:val="24"/>
        </w:rPr>
        <w:t xml:space="preserve"> pro uvážení státu. </w:t>
      </w:r>
      <w:r w:rsidRPr="00651BE6">
        <w:rPr>
          <w:rFonts w:ascii="Times New Roman" w:hAnsi="Times New Roman" w:cs="Times New Roman"/>
          <w:sz w:val="24"/>
        </w:rPr>
        <w:t>Ani v tom, že Soud v</w:t>
      </w:r>
      <w:r>
        <w:rPr>
          <w:rFonts w:ascii="Times New Roman" w:hAnsi="Times New Roman" w:cs="Times New Roman"/>
          <w:sz w:val="24"/>
        </w:rPr>
        <w:t> </w:t>
      </w:r>
      <w:r w:rsidRPr="00651BE6">
        <w:rPr>
          <w:rFonts w:ascii="Times New Roman" w:hAnsi="Times New Roman" w:cs="Times New Roman"/>
          <w:sz w:val="24"/>
        </w:rPr>
        <w:t>daných případech vždy rozhodl pro omezení svobody vyznání, nelze spatřovat žádné osvětlení toho, jak se Soud k těmto otázkám staví. Proto</w:t>
      </w:r>
      <w:r>
        <w:rPr>
          <w:rFonts w:ascii="Times New Roman" w:hAnsi="Times New Roman" w:cs="Times New Roman"/>
          <w:sz w:val="24"/>
        </w:rPr>
        <w:t xml:space="preserve"> je </w:t>
      </w:r>
      <w:r w:rsidRPr="00651BE6">
        <w:rPr>
          <w:rFonts w:ascii="Times New Roman" w:hAnsi="Times New Roman" w:cs="Times New Roman"/>
          <w:sz w:val="24"/>
        </w:rPr>
        <w:t>další kapitol</w:t>
      </w:r>
      <w:r>
        <w:rPr>
          <w:rFonts w:ascii="Times New Roman" w:hAnsi="Times New Roman" w:cs="Times New Roman"/>
          <w:sz w:val="24"/>
        </w:rPr>
        <w:t>a</w:t>
      </w:r>
      <w:r w:rsidRPr="00651BE6">
        <w:rPr>
          <w:rFonts w:ascii="Times New Roman" w:hAnsi="Times New Roman" w:cs="Times New Roman"/>
          <w:sz w:val="24"/>
        </w:rPr>
        <w:t xml:space="preserve"> zaměř</w:t>
      </w:r>
      <w:r>
        <w:rPr>
          <w:rFonts w:ascii="Times New Roman" w:hAnsi="Times New Roman" w:cs="Times New Roman"/>
          <w:sz w:val="24"/>
        </w:rPr>
        <w:t>ena</w:t>
      </w:r>
      <w:r w:rsidRPr="00651BE6">
        <w:rPr>
          <w:rFonts w:ascii="Times New Roman" w:hAnsi="Times New Roman" w:cs="Times New Roman"/>
          <w:sz w:val="24"/>
        </w:rPr>
        <w:t xml:space="preserve"> na doktrínu rozsahu pro uvážení a objas</w:t>
      </w:r>
      <w:r>
        <w:rPr>
          <w:rFonts w:ascii="Times New Roman" w:hAnsi="Times New Roman" w:cs="Times New Roman"/>
          <w:sz w:val="24"/>
        </w:rPr>
        <w:t>nění</w:t>
      </w:r>
      <w:r w:rsidRPr="00651BE6">
        <w:rPr>
          <w:rFonts w:ascii="Times New Roman" w:hAnsi="Times New Roman" w:cs="Times New Roman"/>
          <w:sz w:val="24"/>
        </w:rPr>
        <w:t>, zda je vhodné poskytovat takto široké uvážení státům v</w:t>
      </w:r>
      <w:r w:rsidR="00864A04">
        <w:rPr>
          <w:rFonts w:ascii="Times New Roman" w:hAnsi="Times New Roman" w:cs="Times New Roman"/>
          <w:sz w:val="24"/>
        </w:rPr>
        <w:t> </w:t>
      </w:r>
      <w:r w:rsidRPr="00651BE6">
        <w:rPr>
          <w:rFonts w:ascii="Times New Roman" w:hAnsi="Times New Roman" w:cs="Times New Roman"/>
          <w:sz w:val="24"/>
        </w:rPr>
        <w:t>otázkách omezení svobody vyznání</w:t>
      </w:r>
      <w:r w:rsidRPr="00651BE6">
        <w:rPr>
          <w:rFonts w:ascii="Times New Roman" w:hAnsi="Times New Roman" w:cs="Times New Roman"/>
          <w:b/>
          <w:sz w:val="24"/>
        </w:rPr>
        <w:t>.</w:t>
      </w:r>
    </w:p>
    <w:p w14:paraId="01BB89D5" w14:textId="77777777" w:rsidR="00E55062" w:rsidRPr="00651BE6" w:rsidRDefault="00E55062" w:rsidP="00E55062">
      <w:pPr>
        <w:pStyle w:val="Nadpis2"/>
        <w:rPr>
          <w:rFonts w:cs="Times New Roman"/>
        </w:rPr>
      </w:pPr>
      <w:bookmarkStart w:id="88" w:name="_Toc536289154"/>
      <w:bookmarkStart w:id="89" w:name="_Toc169311"/>
      <w:bookmarkStart w:id="90" w:name="_Toc3454712"/>
      <w:r w:rsidRPr="00651BE6">
        <w:rPr>
          <w:rFonts w:cs="Times New Roman"/>
        </w:rPr>
        <w:t>Rozhodnutí Soudního dvora EU</w:t>
      </w:r>
      <w:bookmarkEnd w:id="88"/>
      <w:bookmarkEnd w:id="89"/>
      <w:bookmarkEnd w:id="90"/>
    </w:p>
    <w:p w14:paraId="12A357DF" w14:textId="53A49971"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Soudní dvůr EU (dále jen</w:t>
      </w:r>
      <w:r w:rsidR="0063313C">
        <w:rPr>
          <w:rFonts w:ascii="Times New Roman" w:hAnsi="Times New Roman" w:cs="Times New Roman"/>
          <w:sz w:val="24"/>
        </w:rPr>
        <w:t xml:space="preserve"> ESD</w:t>
      </w:r>
      <w:r w:rsidRPr="00651BE6">
        <w:rPr>
          <w:rFonts w:ascii="Times New Roman" w:hAnsi="Times New Roman" w:cs="Times New Roman"/>
          <w:sz w:val="24"/>
        </w:rPr>
        <w:t>) jako vrcholný soudní orgán EU neposuzuje dodržování Úmluvy a na rozdíl od Soudu není jeho jediným úkolem ochrana základních lidských práv.</w:t>
      </w:r>
      <w:r w:rsidR="004C4349">
        <w:rPr>
          <w:rFonts w:ascii="Times New Roman" w:hAnsi="Times New Roman" w:cs="Times New Roman"/>
          <w:sz w:val="24"/>
        </w:rPr>
        <w:t xml:space="preserve"> ESD</w:t>
      </w:r>
      <w:r w:rsidRPr="00651BE6">
        <w:rPr>
          <w:rFonts w:ascii="Times New Roman" w:hAnsi="Times New Roman" w:cs="Times New Roman"/>
          <w:sz w:val="24"/>
        </w:rPr>
        <w:t xml:space="preserve"> zajišťuje jednotný výklad práva EU a ve stanovených případech rozhoduje o žalobách podaných členskými státy, orgánem EU </w:t>
      </w:r>
      <w:r w:rsidRPr="0063313C">
        <w:rPr>
          <w:rFonts w:ascii="Times New Roman" w:hAnsi="Times New Roman" w:cs="Times New Roman"/>
          <w:sz w:val="24"/>
        </w:rPr>
        <w:t>či PO nebo FO.</w:t>
      </w:r>
      <w:r w:rsidRPr="0063313C">
        <w:rPr>
          <w:rFonts w:ascii="Times New Roman" w:hAnsi="Times New Roman" w:cs="Times New Roman"/>
          <w:sz w:val="24"/>
          <w:vertAlign w:val="superscript"/>
        </w:rPr>
        <w:footnoteReference w:id="52"/>
      </w:r>
    </w:p>
    <w:p w14:paraId="1F6EAEED" w14:textId="1D51CD06"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 xml:space="preserve">Ačkoli </w:t>
      </w:r>
      <w:r w:rsidR="0063313C">
        <w:rPr>
          <w:rFonts w:ascii="Times New Roman" w:hAnsi="Times New Roman" w:cs="Times New Roman"/>
          <w:sz w:val="24"/>
        </w:rPr>
        <w:t>ESD</w:t>
      </w:r>
      <w:r w:rsidRPr="00651BE6">
        <w:rPr>
          <w:rFonts w:ascii="Times New Roman" w:hAnsi="Times New Roman" w:cs="Times New Roman"/>
          <w:sz w:val="24"/>
        </w:rPr>
        <w:t xml:space="preserve"> neposuzuje dodržování Úmluvy, v průběhu let uznal Úmluvu jako inspirační zdroj svého rozhodování. Vždy však posuzuje, zda v konkrétním případě existují jeho vlastní rozsudky, které by mohl</w:t>
      </w:r>
      <w:r>
        <w:rPr>
          <w:rFonts w:ascii="Times New Roman" w:hAnsi="Times New Roman" w:cs="Times New Roman"/>
          <w:sz w:val="24"/>
        </w:rPr>
        <w:t>y</w:t>
      </w:r>
      <w:r w:rsidRPr="00651BE6">
        <w:rPr>
          <w:rFonts w:ascii="Times New Roman" w:hAnsi="Times New Roman" w:cs="Times New Roman"/>
          <w:sz w:val="24"/>
        </w:rPr>
        <w:t xml:space="preserve"> být použity při rozhodování v oblasti lidských práv.</w:t>
      </w:r>
      <w:r w:rsidRPr="00651BE6">
        <w:rPr>
          <w:rFonts w:ascii="Times New Roman" w:hAnsi="Times New Roman" w:cs="Times New Roman"/>
          <w:sz w:val="24"/>
          <w:vertAlign w:val="superscript"/>
        </w:rPr>
        <w:footnoteReference w:id="53"/>
      </w:r>
      <w:r w:rsidRPr="00651BE6">
        <w:rPr>
          <w:rFonts w:ascii="Times New Roman" w:hAnsi="Times New Roman" w:cs="Times New Roman"/>
          <w:sz w:val="24"/>
        </w:rPr>
        <w:t xml:space="preserve"> I </w:t>
      </w:r>
      <w:r w:rsidR="0063313C">
        <w:rPr>
          <w:rFonts w:ascii="Times New Roman" w:hAnsi="Times New Roman" w:cs="Times New Roman"/>
          <w:sz w:val="24"/>
        </w:rPr>
        <w:t xml:space="preserve">ESD </w:t>
      </w:r>
      <w:r w:rsidRPr="00651BE6">
        <w:rPr>
          <w:rFonts w:ascii="Times New Roman" w:hAnsi="Times New Roman" w:cs="Times New Roman"/>
          <w:sz w:val="24"/>
        </w:rPr>
        <w:t>tedy může rozhodovat o otázkách</w:t>
      </w:r>
      <w:r>
        <w:rPr>
          <w:rFonts w:ascii="Times New Roman" w:hAnsi="Times New Roman" w:cs="Times New Roman"/>
          <w:sz w:val="24"/>
        </w:rPr>
        <w:t xml:space="preserve"> svobody vyznán</w:t>
      </w:r>
      <w:r w:rsidR="00864A04">
        <w:rPr>
          <w:rFonts w:ascii="Times New Roman" w:hAnsi="Times New Roman" w:cs="Times New Roman"/>
          <w:sz w:val="24"/>
        </w:rPr>
        <w:t>í.</w:t>
      </w:r>
      <w:r>
        <w:rPr>
          <w:rFonts w:ascii="Times New Roman" w:hAnsi="Times New Roman" w:cs="Times New Roman"/>
          <w:sz w:val="24"/>
        </w:rPr>
        <w:t xml:space="preserve"> Ilustrativním případem je</w:t>
      </w:r>
      <w:r w:rsidRPr="00651BE6">
        <w:rPr>
          <w:rFonts w:ascii="Times New Roman" w:hAnsi="Times New Roman" w:cs="Times New Roman"/>
          <w:sz w:val="24"/>
        </w:rPr>
        <w:t xml:space="preserve"> </w:t>
      </w:r>
      <w:proofErr w:type="spellStart"/>
      <w:r w:rsidRPr="00651BE6">
        <w:rPr>
          <w:rFonts w:ascii="Times New Roman" w:hAnsi="Times New Roman" w:cs="Times New Roman"/>
          <w:sz w:val="24"/>
        </w:rPr>
        <w:t>Achbita</w:t>
      </w:r>
      <w:proofErr w:type="spellEnd"/>
      <w:r w:rsidRPr="00651BE6">
        <w:rPr>
          <w:rFonts w:ascii="Times New Roman" w:hAnsi="Times New Roman" w:cs="Times New Roman"/>
          <w:sz w:val="24"/>
        </w:rPr>
        <w:t xml:space="preserve"> proti G4S.</w:t>
      </w:r>
    </w:p>
    <w:p w14:paraId="74398B51" w14:textId="77777777" w:rsidR="00E55062" w:rsidRPr="00651BE6" w:rsidRDefault="00E55062" w:rsidP="00E55062">
      <w:pPr>
        <w:pStyle w:val="Nadpis3"/>
        <w:rPr>
          <w:rFonts w:cs="Times New Roman"/>
        </w:rPr>
      </w:pPr>
      <w:bookmarkStart w:id="91" w:name="_Toc536289155"/>
      <w:bookmarkStart w:id="92" w:name="_Toc169312"/>
      <w:bookmarkStart w:id="93" w:name="_Toc3454713"/>
      <w:proofErr w:type="spellStart"/>
      <w:r w:rsidRPr="00651BE6">
        <w:rPr>
          <w:rFonts w:cs="Times New Roman"/>
        </w:rPr>
        <w:lastRenderedPageBreak/>
        <w:t>Achbita</w:t>
      </w:r>
      <w:proofErr w:type="spellEnd"/>
      <w:r w:rsidRPr="00651BE6">
        <w:rPr>
          <w:rFonts w:cs="Times New Roman"/>
        </w:rPr>
        <w:t xml:space="preserve"> proti G4S</w:t>
      </w:r>
      <w:r w:rsidRPr="00651BE6">
        <w:rPr>
          <w:rFonts w:cs="Times New Roman"/>
          <w:vertAlign w:val="superscript"/>
        </w:rPr>
        <w:footnoteReference w:id="54"/>
      </w:r>
      <w:bookmarkEnd w:id="91"/>
      <w:bookmarkEnd w:id="92"/>
      <w:bookmarkEnd w:id="93"/>
    </w:p>
    <w:p w14:paraId="5EA29EBB" w14:textId="77777777"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 xml:space="preserve">Zde byla stěžovatelkou S. </w:t>
      </w:r>
      <w:proofErr w:type="spellStart"/>
      <w:r w:rsidRPr="00651BE6">
        <w:rPr>
          <w:rFonts w:ascii="Times New Roman" w:hAnsi="Times New Roman" w:cs="Times New Roman"/>
          <w:sz w:val="24"/>
        </w:rPr>
        <w:t>Achbita</w:t>
      </w:r>
      <w:proofErr w:type="spellEnd"/>
      <w:r w:rsidRPr="00651BE6">
        <w:rPr>
          <w:rFonts w:ascii="Times New Roman" w:hAnsi="Times New Roman" w:cs="Times New Roman"/>
          <w:sz w:val="24"/>
        </w:rPr>
        <w:t xml:space="preserve">, která pracovala jako recepční u belgické společnosti G4S. Několik let po nástupu do zaměstnání se stěžovatelka rozhodla nosit v pracovní době muslimský šátek z důvodu </w:t>
      </w:r>
      <w:r>
        <w:rPr>
          <w:rFonts w:ascii="Times New Roman" w:hAnsi="Times New Roman" w:cs="Times New Roman"/>
          <w:sz w:val="24"/>
        </w:rPr>
        <w:t>svého</w:t>
      </w:r>
      <w:r w:rsidRPr="00651BE6">
        <w:rPr>
          <w:rFonts w:ascii="Times New Roman" w:hAnsi="Times New Roman" w:cs="Times New Roman"/>
          <w:sz w:val="24"/>
        </w:rPr>
        <w:t xml:space="preserve"> muslimského vyznání. Její zaměstnavatel však s takovým chováním nesouhlasil, jelikož bylo údajně v rozporu s dosavadní politikou společnosti, která vyústila v přijetí nařízení, které pracovníkům zakazovalo nosit na pracovišti viditelné symboly svého politického, filozofického nebo náboženského přesvědčení.</w:t>
      </w:r>
      <w:r>
        <w:rPr>
          <w:rFonts w:ascii="Times New Roman" w:hAnsi="Times New Roman" w:cs="Times New Roman"/>
          <w:sz w:val="24"/>
        </w:rPr>
        <w:t xml:space="preserve"> </w:t>
      </w:r>
      <w:r w:rsidRPr="00651BE6">
        <w:rPr>
          <w:rFonts w:ascii="Times New Roman" w:hAnsi="Times New Roman" w:cs="Times New Roman"/>
          <w:sz w:val="24"/>
        </w:rPr>
        <w:t xml:space="preserve">Protože i po přijetí tohoto nařízení stěžovatelka dále nosila šátek do zaměstnání, byla ze zaměstnání propuštěna. Stěžovatelka se domáhala zrušení rozhodnutí o propuštění a případ se dostal až ke Kasačnímu soudnímu dvoru v Belgii. </w:t>
      </w:r>
    </w:p>
    <w:p w14:paraId="1FB052F6" w14:textId="775C9E75"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 xml:space="preserve">Kasační soud se při projednávání případu rozhodl řízení přerušit a obrátit se na </w:t>
      </w:r>
      <w:r w:rsidR="0063313C">
        <w:rPr>
          <w:rFonts w:ascii="Times New Roman" w:hAnsi="Times New Roman" w:cs="Times New Roman"/>
          <w:sz w:val="24"/>
        </w:rPr>
        <w:t xml:space="preserve">ESD </w:t>
      </w:r>
      <w:r w:rsidRPr="00651BE6">
        <w:rPr>
          <w:rFonts w:ascii="Times New Roman" w:hAnsi="Times New Roman" w:cs="Times New Roman"/>
          <w:sz w:val="24"/>
        </w:rPr>
        <w:t>s předběžnou otázkou ohledně výkladu směrnice Rady, kterou se stanoví obecný rámec pro rovné zacházení v zaměstnání a povolání.</w:t>
      </w:r>
      <w:r w:rsidRPr="00651BE6">
        <w:rPr>
          <w:rFonts w:ascii="Times New Roman" w:hAnsi="Times New Roman" w:cs="Times New Roman"/>
          <w:sz w:val="24"/>
          <w:vertAlign w:val="superscript"/>
        </w:rPr>
        <w:footnoteReference w:id="55"/>
      </w:r>
      <w:r w:rsidRPr="00651BE6">
        <w:rPr>
          <w:rFonts w:ascii="Times New Roman" w:hAnsi="Times New Roman" w:cs="Times New Roman"/>
          <w:sz w:val="24"/>
        </w:rPr>
        <w:t xml:space="preserve"> Belgický soud se na Soudní dvůr obrátil s otázkou, zda čl. 2 odst. 2 písm. a směrnice musí být vykládán tak, že zákaz nosit muslimský šátek</w:t>
      </w:r>
      <w:r>
        <w:rPr>
          <w:rFonts w:ascii="Times New Roman" w:hAnsi="Times New Roman" w:cs="Times New Roman"/>
          <w:sz w:val="24"/>
        </w:rPr>
        <w:t>,</w:t>
      </w:r>
      <w:r w:rsidRPr="00651BE6">
        <w:rPr>
          <w:rFonts w:ascii="Times New Roman" w:hAnsi="Times New Roman" w:cs="Times New Roman"/>
          <w:sz w:val="24"/>
        </w:rPr>
        <w:t xml:space="preserve"> který vyplývá z interního pravidla společnosti zakazujícího viditelné nošení všech politických, filozofických nebo náboženských symbolů na pracovišti, představuje přímou diskriminaci, která je směrnicí zakázána. V tomto případě </w:t>
      </w:r>
      <w:r w:rsidR="0063313C">
        <w:rPr>
          <w:rFonts w:ascii="Times New Roman" w:hAnsi="Times New Roman" w:cs="Times New Roman"/>
          <w:sz w:val="24"/>
        </w:rPr>
        <w:t>ESD</w:t>
      </w:r>
      <w:r w:rsidRPr="00651BE6">
        <w:rPr>
          <w:rFonts w:ascii="Times New Roman" w:hAnsi="Times New Roman" w:cs="Times New Roman"/>
          <w:sz w:val="24"/>
        </w:rPr>
        <w:t xml:space="preserve"> nerozhoduje, zda došlo k nějakému zásahu do práv stěžovatelky, ale pouze poskytuje pomoc při výkladu evropského práva národním soudům.</w:t>
      </w:r>
    </w:p>
    <w:p w14:paraId="4A6B77D7" w14:textId="3B26D29A" w:rsidR="00E55062" w:rsidRPr="00651BE6" w:rsidRDefault="0063313C" w:rsidP="00E5506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ESD </w:t>
      </w:r>
      <w:r w:rsidR="00E55062" w:rsidRPr="00651BE6">
        <w:rPr>
          <w:rFonts w:ascii="Times New Roman" w:hAnsi="Times New Roman" w:cs="Times New Roman"/>
          <w:sz w:val="24"/>
        </w:rPr>
        <w:t>dané pravidlo vyložil jako pravidlo, které není přímo diskriminační, jelikož se týká nošení viditelných symbolů polického, filozofického nebo náboženského přesvědčení, a</w:t>
      </w:r>
      <w:r w:rsidR="00864A04">
        <w:rPr>
          <w:rFonts w:ascii="Times New Roman" w:hAnsi="Times New Roman" w:cs="Times New Roman"/>
          <w:sz w:val="24"/>
        </w:rPr>
        <w:t> </w:t>
      </w:r>
      <w:r w:rsidR="00E55062" w:rsidRPr="00651BE6">
        <w:rPr>
          <w:rFonts w:ascii="Times New Roman" w:hAnsi="Times New Roman" w:cs="Times New Roman"/>
          <w:sz w:val="24"/>
        </w:rPr>
        <w:t>vztahuje se proto bez rozdílu na jakýkoliv projev takového přesvědčení. Přestože Soudní dvůr vyloučil možnost přímé diskriminace, připomněl ale, že se nicméně může jednat o diskriminaci nepřímou, pokud se ukáže, že pravidlo obsahuje zdánlivě neutrální povinnost, která ale ve skutečnosti vede ke zvláštnímu znevýhodnění příslušníků určitého náboženského vyznání nebo víry. Posouzení, zda se jedná o nepřímou diskriminaci</w:t>
      </w:r>
      <w:r w:rsidR="00E55062">
        <w:rPr>
          <w:rFonts w:ascii="Times New Roman" w:hAnsi="Times New Roman" w:cs="Times New Roman"/>
          <w:sz w:val="24"/>
        </w:rPr>
        <w:t>,</w:t>
      </w:r>
      <w:r w:rsidR="00E55062" w:rsidRPr="00651BE6">
        <w:rPr>
          <w:rFonts w:ascii="Times New Roman" w:hAnsi="Times New Roman" w:cs="Times New Roman"/>
          <w:sz w:val="24"/>
        </w:rPr>
        <w:t xml:space="preserve"> náleží vnitrostátnímu soudu.</w:t>
      </w:r>
    </w:p>
    <w:p w14:paraId="17E15018" w14:textId="16E11CE3" w:rsidR="00E55062" w:rsidRDefault="00E55062" w:rsidP="00E55062">
      <w:pPr>
        <w:spacing w:after="0" w:line="360" w:lineRule="auto"/>
        <w:ind w:firstLine="708"/>
        <w:jc w:val="both"/>
        <w:rPr>
          <w:rFonts w:ascii="Times New Roman" w:hAnsi="Times New Roman" w:cs="Times New Roman"/>
          <w:sz w:val="24"/>
        </w:rPr>
      </w:pPr>
      <w:r w:rsidRPr="00651BE6">
        <w:rPr>
          <w:rFonts w:ascii="Times New Roman" w:hAnsi="Times New Roman" w:cs="Times New Roman"/>
          <w:sz w:val="24"/>
        </w:rPr>
        <w:t xml:space="preserve">Jak už bylo řečeno, </w:t>
      </w:r>
      <w:r w:rsidR="0063313C">
        <w:rPr>
          <w:rFonts w:ascii="Times New Roman" w:hAnsi="Times New Roman" w:cs="Times New Roman"/>
          <w:sz w:val="24"/>
        </w:rPr>
        <w:t>ESD</w:t>
      </w:r>
      <w:r w:rsidRPr="00651BE6">
        <w:rPr>
          <w:rFonts w:ascii="Times New Roman" w:hAnsi="Times New Roman" w:cs="Times New Roman"/>
          <w:sz w:val="24"/>
        </w:rPr>
        <w:t xml:space="preserve"> zde nerozhodoval, zda v tomto konkrétním případě došlo či </w:t>
      </w:r>
      <w:r w:rsidRPr="0063313C">
        <w:rPr>
          <w:rFonts w:ascii="Times New Roman" w:hAnsi="Times New Roman" w:cs="Times New Roman"/>
          <w:sz w:val="24"/>
        </w:rPr>
        <w:t>nedošlo k diskriminaci,</w:t>
      </w:r>
      <w:r w:rsidRPr="00651BE6">
        <w:rPr>
          <w:rFonts w:ascii="Times New Roman" w:hAnsi="Times New Roman" w:cs="Times New Roman"/>
          <w:sz w:val="24"/>
        </w:rPr>
        <w:t xml:space="preserve"> odpovídal pouze na otázku výkladu evropského práva. Rozhodnutí ale může být mylně vnímáno jako schválení postupů zaměstnavatelů zakazujících nošení </w:t>
      </w:r>
      <w:r w:rsidRPr="00651BE6">
        <w:rPr>
          <w:rFonts w:ascii="Times New Roman" w:hAnsi="Times New Roman" w:cs="Times New Roman"/>
          <w:sz w:val="24"/>
        </w:rPr>
        <w:lastRenderedPageBreak/>
        <w:t>náboženských symbolů na pracovišti.</w:t>
      </w:r>
      <w:r w:rsidRPr="00651BE6">
        <w:rPr>
          <w:rFonts w:ascii="Times New Roman" w:hAnsi="Times New Roman" w:cs="Times New Roman"/>
          <w:sz w:val="24"/>
          <w:vertAlign w:val="superscript"/>
        </w:rPr>
        <w:footnoteReference w:id="56"/>
      </w:r>
      <w:r w:rsidRPr="00651BE6">
        <w:rPr>
          <w:rFonts w:ascii="Times New Roman" w:hAnsi="Times New Roman" w:cs="Times New Roman"/>
          <w:sz w:val="24"/>
        </w:rPr>
        <w:t xml:space="preserve"> Vždy bude ale</w:t>
      </w:r>
      <w:r>
        <w:rPr>
          <w:rFonts w:ascii="Times New Roman" w:hAnsi="Times New Roman" w:cs="Times New Roman"/>
          <w:sz w:val="24"/>
        </w:rPr>
        <w:t xml:space="preserve"> v podobných případech</w:t>
      </w:r>
      <w:r w:rsidRPr="00651BE6">
        <w:rPr>
          <w:rFonts w:ascii="Times New Roman" w:hAnsi="Times New Roman" w:cs="Times New Roman"/>
          <w:sz w:val="24"/>
        </w:rPr>
        <w:t xml:space="preserve"> záležet na posouzení okolností, zda bude tento postup zaměstnavatele </w:t>
      </w:r>
      <w:r>
        <w:rPr>
          <w:rFonts w:ascii="Times New Roman" w:hAnsi="Times New Roman" w:cs="Times New Roman"/>
          <w:sz w:val="24"/>
        </w:rPr>
        <w:t xml:space="preserve">shledán jako </w:t>
      </w:r>
      <w:r w:rsidRPr="00651BE6">
        <w:rPr>
          <w:rFonts w:ascii="Times New Roman" w:hAnsi="Times New Roman" w:cs="Times New Roman"/>
          <w:sz w:val="24"/>
        </w:rPr>
        <w:t>diskriminační.</w:t>
      </w:r>
    </w:p>
    <w:p w14:paraId="39CA6C28" w14:textId="77777777" w:rsidR="00E55062" w:rsidRDefault="00E55062" w:rsidP="00E55062">
      <w:pPr>
        <w:rPr>
          <w:rFonts w:ascii="Times New Roman" w:hAnsi="Times New Roman" w:cs="Times New Roman"/>
          <w:sz w:val="24"/>
        </w:rPr>
      </w:pPr>
      <w:r>
        <w:rPr>
          <w:rFonts w:ascii="Times New Roman" w:hAnsi="Times New Roman" w:cs="Times New Roman"/>
          <w:sz w:val="24"/>
        </w:rPr>
        <w:br w:type="page"/>
      </w:r>
    </w:p>
    <w:p w14:paraId="25A4004B" w14:textId="77777777" w:rsidR="00E55062" w:rsidRPr="009337B0" w:rsidRDefault="00E55062" w:rsidP="00E55062">
      <w:pPr>
        <w:pStyle w:val="Nadpis1"/>
        <w:rPr>
          <w:rFonts w:cs="Times New Roman"/>
        </w:rPr>
      </w:pPr>
      <w:bookmarkStart w:id="94" w:name="_Toc536289156"/>
      <w:bookmarkStart w:id="95" w:name="_Toc169313"/>
      <w:bookmarkStart w:id="96" w:name="_Toc3454714"/>
      <w:r w:rsidRPr="009337B0">
        <w:rPr>
          <w:rFonts w:cs="Times New Roman"/>
        </w:rPr>
        <w:lastRenderedPageBreak/>
        <w:t>Doktrína prostoru státu pro uvážení</w:t>
      </w:r>
      <w:bookmarkEnd w:id="94"/>
      <w:bookmarkEnd w:id="95"/>
      <w:bookmarkEnd w:id="96"/>
    </w:p>
    <w:p w14:paraId="1FABF4D8" w14:textId="77777777" w:rsidR="00E55062" w:rsidRPr="00651BE6" w:rsidRDefault="00E55062" w:rsidP="00E55062">
      <w:pPr>
        <w:spacing w:after="0" w:line="360" w:lineRule="auto"/>
        <w:ind w:firstLine="431"/>
        <w:jc w:val="both"/>
        <w:rPr>
          <w:rFonts w:ascii="Times New Roman" w:hAnsi="Times New Roman" w:cs="Times New Roman"/>
          <w:sz w:val="24"/>
        </w:rPr>
      </w:pPr>
      <w:r w:rsidRPr="00651BE6">
        <w:rPr>
          <w:rFonts w:ascii="Times New Roman" w:hAnsi="Times New Roman" w:cs="Times New Roman"/>
          <w:sz w:val="24"/>
        </w:rPr>
        <w:t>O doktríně prostoru státu pro uvážení jsem se již zmiňovala v předchozí kapitole mé práce, kde v uvedených případech Soud přiznával státům široký rozsah pro uvážení. Užití této doktríny přitom není při rozhodování Soudu nic výjimečného. Postupně se také rozšiřuje okruh práv garantovaných Úmluvou, ve které je tato doktrína Soudem využívána.</w:t>
      </w:r>
      <w:r w:rsidRPr="00651BE6">
        <w:rPr>
          <w:rFonts w:ascii="Times New Roman" w:hAnsi="Times New Roman" w:cs="Times New Roman"/>
          <w:sz w:val="24"/>
          <w:vertAlign w:val="superscript"/>
        </w:rPr>
        <w:footnoteReference w:id="57"/>
      </w:r>
      <w:r w:rsidRPr="00651BE6">
        <w:rPr>
          <w:rFonts w:ascii="Times New Roman" w:hAnsi="Times New Roman" w:cs="Times New Roman"/>
          <w:sz w:val="24"/>
        </w:rPr>
        <w:t xml:space="preserve"> </w:t>
      </w:r>
    </w:p>
    <w:p w14:paraId="22DCD3C5" w14:textId="762DDA10" w:rsidR="00E55062" w:rsidRPr="00651BE6" w:rsidRDefault="00E55062" w:rsidP="00E55062">
      <w:pPr>
        <w:spacing w:after="0" w:line="360" w:lineRule="auto"/>
        <w:ind w:firstLine="431"/>
        <w:jc w:val="both"/>
        <w:rPr>
          <w:rFonts w:ascii="Times New Roman" w:hAnsi="Times New Roman" w:cs="Times New Roman"/>
          <w:sz w:val="24"/>
        </w:rPr>
      </w:pPr>
      <w:r w:rsidRPr="00651BE6">
        <w:rPr>
          <w:rFonts w:ascii="Times New Roman" w:hAnsi="Times New Roman" w:cs="Times New Roman"/>
          <w:sz w:val="24"/>
        </w:rPr>
        <w:t xml:space="preserve">Rozhodování Soudu v oblasti přípustnosti zahalování muslimských žen je značně ovlivňováno touto doktrínou. </w:t>
      </w:r>
      <w:r w:rsidRPr="004F36A5">
        <w:rPr>
          <w:rFonts w:ascii="Times New Roman" w:hAnsi="Times New Roman" w:cs="Times New Roman"/>
          <w:sz w:val="24"/>
        </w:rPr>
        <w:t>Proto v první části této kapitoly nejprve vysvětl</w:t>
      </w:r>
      <w:r>
        <w:rPr>
          <w:rFonts w:ascii="Times New Roman" w:hAnsi="Times New Roman" w:cs="Times New Roman"/>
          <w:sz w:val="24"/>
        </w:rPr>
        <w:t>uji</w:t>
      </w:r>
      <w:r w:rsidRPr="004F36A5">
        <w:rPr>
          <w:rFonts w:ascii="Times New Roman" w:hAnsi="Times New Roman" w:cs="Times New Roman"/>
          <w:sz w:val="24"/>
        </w:rPr>
        <w:t xml:space="preserve">, co je to prostor pro uvážení státu a jak ovlivňuje rozhodování Soudu. Ve druhé části se </w:t>
      </w:r>
      <w:r>
        <w:rPr>
          <w:rFonts w:ascii="Times New Roman" w:hAnsi="Times New Roman" w:cs="Times New Roman"/>
          <w:sz w:val="24"/>
        </w:rPr>
        <w:t>zabývám</w:t>
      </w:r>
      <w:r w:rsidRPr="004F36A5">
        <w:rPr>
          <w:rFonts w:ascii="Times New Roman" w:hAnsi="Times New Roman" w:cs="Times New Roman"/>
          <w:sz w:val="24"/>
        </w:rPr>
        <w:t xml:space="preserve"> kritikou této doktríny, neboť na její nedostatky poukazují nejen odborníci</w:t>
      </w:r>
      <w:r w:rsidRPr="00651BE6">
        <w:rPr>
          <w:rFonts w:ascii="Times New Roman" w:hAnsi="Times New Roman" w:cs="Times New Roman"/>
          <w:sz w:val="24"/>
          <w:vertAlign w:val="superscript"/>
        </w:rPr>
        <w:footnoteReference w:id="58"/>
      </w:r>
      <w:r w:rsidRPr="00651BE6">
        <w:rPr>
          <w:rFonts w:ascii="Times New Roman" w:hAnsi="Times New Roman" w:cs="Times New Roman"/>
          <w:sz w:val="24"/>
        </w:rPr>
        <w:t>, ale kritika přichází např. i od samotného soudce Soudu.</w:t>
      </w:r>
      <w:r w:rsidRPr="00651BE6">
        <w:rPr>
          <w:rFonts w:ascii="Times New Roman" w:hAnsi="Times New Roman" w:cs="Times New Roman"/>
          <w:sz w:val="24"/>
          <w:vertAlign w:val="superscript"/>
        </w:rPr>
        <w:footnoteReference w:id="59"/>
      </w:r>
      <w:r w:rsidRPr="00651BE6">
        <w:rPr>
          <w:rFonts w:ascii="Times New Roman" w:hAnsi="Times New Roman" w:cs="Times New Roman"/>
          <w:sz w:val="24"/>
        </w:rPr>
        <w:t xml:space="preserve"> </w:t>
      </w:r>
      <w:r w:rsidRPr="009337B0">
        <w:rPr>
          <w:rFonts w:ascii="Times New Roman" w:hAnsi="Times New Roman" w:cs="Times New Roman"/>
          <w:sz w:val="24"/>
        </w:rPr>
        <w:t>V poslední, třetí části</w:t>
      </w:r>
      <w:r w:rsidR="00864A04" w:rsidRPr="009337B0">
        <w:rPr>
          <w:rFonts w:ascii="Times New Roman" w:hAnsi="Times New Roman" w:cs="Times New Roman"/>
          <w:sz w:val="24"/>
        </w:rPr>
        <w:t>,</w:t>
      </w:r>
      <w:r w:rsidRPr="009337B0">
        <w:rPr>
          <w:rFonts w:ascii="Times New Roman" w:hAnsi="Times New Roman" w:cs="Times New Roman"/>
          <w:sz w:val="24"/>
        </w:rPr>
        <w:t xml:space="preserve"> se </w:t>
      </w:r>
      <w:r w:rsidR="009337B0" w:rsidRPr="009337B0">
        <w:rPr>
          <w:rFonts w:ascii="Times New Roman" w:hAnsi="Times New Roman" w:cs="Times New Roman"/>
          <w:sz w:val="24"/>
        </w:rPr>
        <w:t xml:space="preserve">zabývám </w:t>
      </w:r>
      <w:r w:rsidRPr="009337B0">
        <w:rPr>
          <w:rFonts w:ascii="Times New Roman" w:hAnsi="Times New Roman" w:cs="Times New Roman"/>
          <w:sz w:val="24"/>
        </w:rPr>
        <w:t xml:space="preserve">otázkou, proč zrovna v oblasti svobody vyznání bývá prostor pro uvážení státu široký, a </w:t>
      </w:r>
      <w:r w:rsidR="009337B0">
        <w:rPr>
          <w:rFonts w:ascii="Times New Roman" w:hAnsi="Times New Roman" w:cs="Times New Roman"/>
          <w:sz w:val="24"/>
        </w:rPr>
        <w:t xml:space="preserve">snažím se </w:t>
      </w:r>
      <w:r w:rsidRPr="009337B0">
        <w:rPr>
          <w:rFonts w:ascii="Times New Roman" w:hAnsi="Times New Roman" w:cs="Times New Roman"/>
          <w:sz w:val="24"/>
        </w:rPr>
        <w:t>najít odpověď na výzkumnou otázku této práce, totiž zda je důvodné, aby Soud tento široký prostor pro uvážení státu poskytoval.</w:t>
      </w:r>
    </w:p>
    <w:p w14:paraId="0CB4E31E" w14:textId="77777777" w:rsidR="00E55062" w:rsidRPr="00651BE6" w:rsidRDefault="00E55062" w:rsidP="00E55062">
      <w:pPr>
        <w:pStyle w:val="Nadpis2"/>
        <w:rPr>
          <w:rFonts w:cs="Times New Roman"/>
        </w:rPr>
      </w:pPr>
      <w:bookmarkStart w:id="99" w:name="_Toc536289157"/>
      <w:bookmarkStart w:id="100" w:name="_Toc169314"/>
      <w:bookmarkStart w:id="101" w:name="_Toc3454715"/>
      <w:r w:rsidRPr="00651BE6">
        <w:rPr>
          <w:rFonts w:cs="Times New Roman"/>
        </w:rPr>
        <w:t>Vznik doktríny a její aplikace</w:t>
      </w:r>
      <w:bookmarkEnd w:id="99"/>
      <w:bookmarkEnd w:id="100"/>
      <w:bookmarkEnd w:id="101"/>
    </w:p>
    <w:p w14:paraId="1279B25E" w14:textId="77777777" w:rsidR="00E55062" w:rsidRPr="00651BE6" w:rsidRDefault="00E55062" w:rsidP="00E55062">
      <w:pPr>
        <w:spacing w:after="0" w:line="360" w:lineRule="auto"/>
        <w:ind w:firstLine="578"/>
        <w:jc w:val="both"/>
        <w:rPr>
          <w:rFonts w:ascii="Times New Roman" w:hAnsi="Times New Roman" w:cs="Times New Roman"/>
          <w:sz w:val="24"/>
        </w:rPr>
      </w:pPr>
      <w:r w:rsidRPr="00651BE6">
        <w:rPr>
          <w:rFonts w:ascii="Times New Roman" w:hAnsi="Times New Roman" w:cs="Times New Roman"/>
          <w:sz w:val="24"/>
        </w:rPr>
        <w:t>Úmluva přiznává práva v ní uvedená všem občanům států Rady Evropy bez rozdílu. Tato práva tedy musí být uznávána a chráněna napříč náboženstvími, tradicemi a hranicemi.</w:t>
      </w:r>
      <w:r w:rsidRPr="00651BE6">
        <w:rPr>
          <w:rFonts w:ascii="Times New Roman" w:hAnsi="Times New Roman" w:cs="Times New Roman"/>
        </w:rPr>
        <w:t xml:space="preserve"> </w:t>
      </w:r>
      <w:r w:rsidRPr="00651BE6">
        <w:rPr>
          <w:rFonts w:ascii="Times New Roman" w:hAnsi="Times New Roman" w:cs="Times New Roman"/>
          <w:sz w:val="24"/>
        </w:rPr>
        <w:t>Jedná se o projev univerzality lidských práv.</w:t>
      </w:r>
      <w:r w:rsidRPr="00651BE6">
        <w:rPr>
          <w:rFonts w:ascii="Times New Roman" w:hAnsi="Times New Roman" w:cs="Times New Roman"/>
          <w:sz w:val="24"/>
          <w:vertAlign w:val="superscript"/>
        </w:rPr>
        <w:footnoteReference w:id="60"/>
      </w:r>
      <w:r w:rsidRPr="00651BE6">
        <w:rPr>
          <w:rFonts w:ascii="Times New Roman" w:hAnsi="Times New Roman" w:cs="Times New Roman"/>
          <w:sz w:val="24"/>
        </w:rPr>
        <w:t xml:space="preserve"> V souladu s tímto principem univerzality je cílem Úmluvy dosáhnout jejího co nejjednotnějšího výkladu. Jelikož je ale díky rozdílnosti států obtížné vykládat Úmluvu a práva v ní zakotven</w:t>
      </w:r>
      <w:r>
        <w:rPr>
          <w:rFonts w:ascii="Times New Roman" w:hAnsi="Times New Roman" w:cs="Times New Roman"/>
          <w:sz w:val="24"/>
        </w:rPr>
        <w:t>á</w:t>
      </w:r>
      <w:r w:rsidRPr="00651BE6">
        <w:rPr>
          <w:rFonts w:ascii="Times New Roman" w:hAnsi="Times New Roman" w:cs="Times New Roman"/>
          <w:sz w:val="24"/>
        </w:rPr>
        <w:t xml:space="preserve"> jednotně ve všech státech, byla v souladu s principem univerzality vytvořena doktrína prostoru státu pro uvážení.</w:t>
      </w:r>
      <w:r w:rsidRPr="00651BE6">
        <w:rPr>
          <w:rFonts w:ascii="Times New Roman" w:hAnsi="Times New Roman" w:cs="Times New Roman"/>
          <w:sz w:val="24"/>
          <w:vertAlign w:val="superscript"/>
        </w:rPr>
        <w:footnoteReference w:id="61"/>
      </w:r>
    </w:p>
    <w:p w14:paraId="61BC8A07" w14:textId="77777777" w:rsidR="00E55062" w:rsidRPr="00651BE6" w:rsidRDefault="00E55062" w:rsidP="00E55062">
      <w:pPr>
        <w:spacing w:after="0" w:line="360" w:lineRule="auto"/>
        <w:ind w:firstLine="578"/>
        <w:jc w:val="both"/>
        <w:rPr>
          <w:rFonts w:ascii="Times New Roman" w:hAnsi="Times New Roman" w:cs="Times New Roman"/>
          <w:b/>
          <w:sz w:val="24"/>
        </w:rPr>
      </w:pPr>
      <w:r w:rsidRPr="00651BE6">
        <w:rPr>
          <w:rFonts w:ascii="Times New Roman" w:hAnsi="Times New Roman" w:cs="Times New Roman"/>
          <w:sz w:val="24"/>
        </w:rPr>
        <w:t>Je samozřejmé že státy, které podléhají Úmluvě se od sebe liší. Rozdíly nejsou jen hospodářské či geografické. Význam z hlediska ochrany lidských práv mají hlavně odlišnosti kultur jednotlivých států, jejich tradic, náboženství a podobně. Co jedním státem může být vnímáno jako běžné, je jiným státem vnímáno jako ostrý rozpor s jeho hodnotami.</w:t>
      </w:r>
    </w:p>
    <w:p w14:paraId="19080C22" w14:textId="188FA631" w:rsidR="00E55062" w:rsidRPr="00651BE6" w:rsidRDefault="00E55062" w:rsidP="00E55062">
      <w:pPr>
        <w:spacing w:after="0" w:line="360" w:lineRule="auto"/>
        <w:ind w:firstLine="578"/>
        <w:jc w:val="both"/>
        <w:rPr>
          <w:rFonts w:ascii="Times New Roman" w:hAnsi="Times New Roman" w:cs="Times New Roman"/>
          <w:sz w:val="24"/>
        </w:rPr>
      </w:pPr>
      <w:r w:rsidRPr="00864A04">
        <w:rPr>
          <w:rFonts w:ascii="Times New Roman" w:hAnsi="Times New Roman" w:cs="Times New Roman"/>
          <w:sz w:val="24"/>
        </w:rPr>
        <w:lastRenderedPageBreak/>
        <w:t>Široký, případně</w:t>
      </w:r>
      <w:r w:rsidR="00864A04" w:rsidRPr="00864A04">
        <w:rPr>
          <w:rFonts w:ascii="Times New Roman" w:hAnsi="Times New Roman" w:cs="Times New Roman"/>
          <w:sz w:val="24"/>
        </w:rPr>
        <w:t xml:space="preserve"> </w:t>
      </w:r>
      <w:r w:rsidRPr="00864A04">
        <w:rPr>
          <w:rFonts w:ascii="Times New Roman" w:hAnsi="Times New Roman" w:cs="Times New Roman"/>
          <w:sz w:val="24"/>
        </w:rPr>
        <w:t xml:space="preserve">úzký </w:t>
      </w:r>
      <w:r w:rsidRPr="00651BE6">
        <w:rPr>
          <w:rFonts w:ascii="Times New Roman" w:hAnsi="Times New Roman" w:cs="Times New Roman"/>
          <w:sz w:val="24"/>
        </w:rPr>
        <w:t>rozsah prostoru státu pro uvážení poskytuje státu určitou</w:t>
      </w:r>
      <w:r>
        <w:rPr>
          <w:rFonts w:ascii="Times New Roman" w:hAnsi="Times New Roman" w:cs="Times New Roman"/>
          <w:sz w:val="24"/>
        </w:rPr>
        <w:t xml:space="preserve"> větší či menší</w:t>
      </w:r>
      <w:r w:rsidRPr="00651BE6">
        <w:rPr>
          <w:rFonts w:ascii="Times New Roman" w:hAnsi="Times New Roman" w:cs="Times New Roman"/>
          <w:sz w:val="24"/>
        </w:rPr>
        <w:t xml:space="preserve"> míru volné úvahy v otázkách, </w:t>
      </w:r>
      <w:r>
        <w:rPr>
          <w:rFonts w:ascii="Times New Roman" w:hAnsi="Times New Roman" w:cs="Times New Roman"/>
          <w:sz w:val="24"/>
        </w:rPr>
        <w:t xml:space="preserve">ve </w:t>
      </w:r>
      <w:r w:rsidRPr="00651BE6">
        <w:rPr>
          <w:rFonts w:ascii="Times New Roman" w:hAnsi="Times New Roman" w:cs="Times New Roman"/>
          <w:sz w:val="24"/>
        </w:rPr>
        <w:t>kter</w:t>
      </w:r>
      <w:r>
        <w:rPr>
          <w:rFonts w:ascii="Times New Roman" w:hAnsi="Times New Roman" w:cs="Times New Roman"/>
          <w:sz w:val="24"/>
        </w:rPr>
        <w:t>ých</w:t>
      </w:r>
      <w:r w:rsidRPr="00651BE6">
        <w:rPr>
          <w:rFonts w:ascii="Times New Roman" w:hAnsi="Times New Roman" w:cs="Times New Roman"/>
          <w:sz w:val="24"/>
        </w:rPr>
        <w:t xml:space="preserve"> by jinak rozhodoval Soud. To znamená, že v určitých případech Soud nechává na státu, aby určitou otázku posoudil sám. Stát ale nesmí překročit danou hranici takového uvážení. Tento prostor pro uvážení je státům poskytován např. při posuzování nezbytnosti zásahu do práva garantovaného Úmluvou či jiném užívání limitačních klauzulí.</w:t>
      </w:r>
      <w:r w:rsidRPr="00651BE6">
        <w:rPr>
          <w:rFonts w:ascii="Times New Roman" w:hAnsi="Times New Roman" w:cs="Times New Roman"/>
          <w:sz w:val="24"/>
          <w:vertAlign w:val="superscript"/>
        </w:rPr>
        <w:footnoteReference w:id="62"/>
      </w:r>
      <w:r w:rsidRPr="00651BE6">
        <w:rPr>
          <w:rFonts w:ascii="Times New Roman" w:hAnsi="Times New Roman" w:cs="Times New Roman"/>
          <w:sz w:val="24"/>
        </w:rPr>
        <w:t xml:space="preserve"> Široký prostor pro uvážení je státům často poskytován, jestliže národní právo či politika odráží zažité názory občanů státu na otázky morálky. Pokud má stát hledat rovnováhu mezi protichůdnými soukromými a veřejnými zájmy, je mu v tomto ohledu také poskytován široký prostor pro uvážení, stejně jako při kolizi práv, která jsou chráněna Úmluvou. Nutno dodat, že taxativní výčet článků, na které se toto uvážení může vztahovat</w:t>
      </w:r>
      <w:r>
        <w:rPr>
          <w:rFonts w:ascii="Times New Roman" w:hAnsi="Times New Roman" w:cs="Times New Roman"/>
          <w:sz w:val="24"/>
        </w:rPr>
        <w:t>,</w:t>
      </w:r>
      <w:r w:rsidRPr="00651BE6">
        <w:rPr>
          <w:rFonts w:ascii="Times New Roman" w:hAnsi="Times New Roman" w:cs="Times New Roman"/>
          <w:sz w:val="24"/>
        </w:rPr>
        <w:t xml:space="preserve"> neexistuje, a proto nelze vyloučit jeho aplikaci ve všech oblastech Úmluvy.</w:t>
      </w:r>
      <w:r w:rsidRPr="00651BE6">
        <w:rPr>
          <w:rFonts w:ascii="Times New Roman" w:hAnsi="Times New Roman" w:cs="Times New Roman"/>
          <w:sz w:val="24"/>
          <w:vertAlign w:val="superscript"/>
        </w:rPr>
        <w:footnoteReference w:id="63"/>
      </w:r>
    </w:p>
    <w:p w14:paraId="64C622CE" w14:textId="574D1339" w:rsidR="00E55062" w:rsidRPr="00651BE6" w:rsidRDefault="00E55062" w:rsidP="00E55062">
      <w:pPr>
        <w:spacing w:after="0" w:line="360" w:lineRule="auto"/>
        <w:ind w:firstLine="578"/>
        <w:jc w:val="both"/>
        <w:rPr>
          <w:rFonts w:ascii="Times New Roman" w:hAnsi="Times New Roman" w:cs="Times New Roman"/>
          <w:sz w:val="24"/>
        </w:rPr>
      </w:pPr>
      <w:r w:rsidRPr="00651BE6">
        <w:rPr>
          <w:rFonts w:ascii="Times New Roman" w:hAnsi="Times New Roman" w:cs="Times New Roman"/>
          <w:sz w:val="24"/>
        </w:rPr>
        <w:t xml:space="preserve">Doktrína není novinkou posledních let. V roce 1978 Soud výslovně přiznal státu široký prostor pro uvážení. Stalo se tak </w:t>
      </w:r>
      <w:r>
        <w:rPr>
          <w:rFonts w:ascii="Times New Roman" w:hAnsi="Times New Roman" w:cs="Times New Roman"/>
          <w:sz w:val="24"/>
        </w:rPr>
        <w:t>rozhodnutím</w:t>
      </w:r>
      <w:r w:rsidRPr="00651BE6">
        <w:rPr>
          <w:rFonts w:ascii="Times New Roman" w:hAnsi="Times New Roman" w:cs="Times New Roman"/>
          <w:sz w:val="24"/>
        </w:rPr>
        <w:t xml:space="preserve"> Soudu v případu Irsko proti Spojenému království. Dle Soudu je pro posouzení, zda je v dané situaci ohrožena veřejná státní existence dle čl. 15 Úmluvy, stát v lepším postavení oproti mezinárodnímu soudci pro rozhodnutí jak o</w:t>
      </w:r>
      <w:r w:rsidR="00864A04">
        <w:rPr>
          <w:rFonts w:ascii="Times New Roman" w:hAnsi="Times New Roman" w:cs="Times New Roman"/>
          <w:sz w:val="24"/>
        </w:rPr>
        <w:t> </w:t>
      </w:r>
      <w:r w:rsidRPr="00651BE6">
        <w:rPr>
          <w:rFonts w:ascii="Times New Roman" w:hAnsi="Times New Roman" w:cs="Times New Roman"/>
          <w:sz w:val="24"/>
        </w:rPr>
        <w:t>existenci tohoto nebezpečí, tak i o povaze opatření přijatých k jeho odvrácení. Toto lepší postavení Soud v rozhodnutí odůvodňuje tím, že vnitrostátní orgány jsou v přímém a</w:t>
      </w:r>
      <w:r w:rsidR="00864A04">
        <w:rPr>
          <w:rFonts w:ascii="Times New Roman" w:hAnsi="Times New Roman" w:cs="Times New Roman"/>
          <w:sz w:val="24"/>
        </w:rPr>
        <w:t> </w:t>
      </w:r>
      <w:r w:rsidRPr="00651BE6">
        <w:rPr>
          <w:rFonts w:ascii="Times New Roman" w:hAnsi="Times New Roman" w:cs="Times New Roman"/>
          <w:sz w:val="24"/>
        </w:rPr>
        <w:t>nepřetržitém styku s aktuálními problémy.</w:t>
      </w:r>
      <w:r w:rsidRPr="00651BE6">
        <w:rPr>
          <w:rFonts w:ascii="Times New Roman" w:hAnsi="Times New Roman" w:cs="Times New Roman"/>
          <w:sz w:val="24"/>
          <w:vertAlign w:val="superscript"/>
        </w:rPr>
        <w:footnoteReference w:id="64"/>
      </w:r>
    </w:p>
    <w:p w14:paraId="20322A5B" w14:textId="3FBB3D4F" w:rsidR="00E55062" w:rsidRPr="00651BE6" w:rsidRDefault="00E55062" w:rsidP="00E55062">
      <w:pPr>
        <w:spacing w:after="0" w:line="360" w:lineRule="auto"/>
        <w:ind w:firstLine="578"/>
        <w:jc w:val="both"/>
        <w:rPr>
          <w:rFonts w:ascii="Times New Roman" w:hAnsi="Times New Roman" w:cs="Times New Roman"/>
          <w:sz w:val="24"/>
        </w:rPr>
      </w:pPr>
      <w:r w:rsidRPr="00651BE6">
        <w:rPr>
          <w:rFonts w:ascii="Times New Roman" w:hAnsi="Times New Roman" w:cs="Times New Roman"/>
          <w:sz w:val="24"/>
        </w:rPr>
        <w:t>Podrobnější zdůvodnění, proč je namístě</w:t>
      </w:r>
      <w:r>
        <w:rPr>
          <w:rFonts w:ascii="Times New Roman" w:hAnsi="Times New Roman" w:cs="Times New Roman"/>
          <w:sz w:val="24"/>
        </w:rPr>
        <w:t>,</w:t>
      </w:r>
      <w:r w:rsidRPr="00651BE6">
        <w:rPr>
          <w:rFonts w:ascii="Times New Roman" w:hAnsi="Times New Roman" w:cs="Times New Roman"/>
          <w:sz w:val="24"/>
        </w:rPr>
        <w:t xml:space="preserve"> aby Soud postupoval v souladu s touto doktrínou</w:t>
      </w:r>
      <w:r>
        <w:rPr>
          <w:rFonts w:ascii="Times New Roman" w:hAnsi="Times New Roman" w:cs="Times New Roman"/>
          <w:sz w:val="24"/>
        </w:rPr>
        <w:t>,</w:t>
      </w:r>
      <w:r w:rsidRPr="00651BE6">
        <w:rPr>
          <w:rFonts w:ascii="Times New Roman" w:hAnsi="Times New Roman" w:cs="Times New Roman"/>
          <w:sz w:val="24"/>
        </w:rPr>
        <w:t xml:space="preserve"> Soud vysvětluje v rozhodnutí </w:t>
      </w:r>
      <w:proofErr w:type="spellStart"/>
      <w:r w:rsidRPr="00651BE6">
        <w:rPr>
          <w:rFonts w:ascii="Times New Roman" w:hAnsi="Times New Roman" w:cs="Times New Roman"/>
          <w:sz w:val="24"/>
        </w:rPr>
        <w:t>Handyside</w:t>
      </w:r>
      <w:proofErr w:type="spellEnd"/>
      <w:r w:rsidRPr="00651BE6">
        <w:rPr>
          <w:rFonts w:ascii="Times New Roman" w:hAnsi="Times New Roman" w:cs="Times New Roman"/>
          <w:sz w:val="24"/>
        </w:rPr>
        <w:t xml:space="preserve"> proti Spojenému království. Tento případ se týkal ochrany veřejné morálky. Právě ohledně posouzení, jaký je přesně význam a obsah slova „morálka“ a nezbytnosti přijetí opatření k jejímu zachování</w:t>
      </w:r>
      <w:r>
        <w:rPr>
          <w:rFonts w:ascii="Times New Roman" w:hAnsi="Times New Roman" w:cs="Times New Roman"/>
          <w:sz w:val="24"/>
        </w:rPr>
        <w:t>,</w:t>
      </w:r>
      <w:r w:rsidRPr="00651BE6">
        <w:rPr>
          <w:rFonts w:ascii="Times New Roman" w:hAnsi="Times New Roman" w:cs="Times New Roman"/>
          <w:sz w:val="24"/>
        </w:rPr>
        <w:t xml:space="preserve"> Soud přiznal státu široký prostor pro uvážení. Soud zde vysvětluje, že v národních řádech jednotlivých členských států nelze najít jednotný evropský výklad tohoto pojmu. Zdůrazňuje, že každý stát pohlíží na morálku jinak a její výklad se liší v závislosti na místě a času, především </w:t>
      </w:r>
      <w:r w:rsidRPr="00864A04">
        <w:rPr>
          <w:rFonts w:ascii="Times New Roman" w:hAnsi="Times New Roman" w:cs="Times New Roman"/>
          <w:sz w:val="24"/>
        </w:rPr>
        <w:t>v dnešní době rychlého vývoje názorů v této oblasti</w:t>
      </w:r>
      <w:r w:rsidRPr="00651BE6">
        <w:rPr>
          <w:rFonts w:ascii="Times New Roman" w:hAnsi="Times New Roman" w:cs="Times New Roman"/>
          <w:sz w:val="24"/>
        </w:rPr>
        <w:t>. Stejně jako v rozhodnutí Irsko proti Spojenému království, i zde Soud argumentuje ve prospěch doktríny přímým a nepřetržitým stykem státu s hybnými silami jejich země, a proto jsou národní orgány v lepší pozici pro rozhodnutí o daných otázkách.</w:t>
      </w:r>
      <w:r w:rsidRPr="00651BE6">
        <w:rPr>
          <w:rFonts w:ascii="Times New Roman" w:hAnsi="Times New Roman" w:cs="Times New Roman"/>
          <w:sz w:val="24"/>
          <w:vertAlign w:val="superscript"/>
        </w:rPr>
        <w:footnoteReference w:id="65"/>
      </w:r>
      <w:r>
        <w:rPr>
          <w:rFonts w:ascii="Times New Roman" w:hAnsi="Times New Roman" w:cs="Times New Roman"/>
          <w:sz w:val="24"/>
        </w:rPr>
        <w:t xml:space="preserve"> </w:t>
      </w:r>
    </w:p>
    <w:p w14:paraId="3F8F9FA7" w14:textId="66E5CFBA" w:rsidR="00E55062" w:rsidRPr="00651BE6" w:rsidRDefault="00E55062" w:rsidP="00E55062">
      <w:pPr>
        <w:spacing w:after="0" w:line="360" w:lineRule="auto"/>
        <w:ind w:firstLine="578"/>
        <w:jc w:val="both"/>
        <w:rPr>
          <w:rFonts w:ascii="Times New Roman" w:hAnsi="Times New Roman" w:cs="Times New Roman"/>
          <w:sz w:val="24"/>
        </w:rPr>
      </w:pPr>
      <w:r w:rsidRPr="00651BE6">
        <w:rPr>
          <w:rFonts w:ascii="Times New Roman" w:hAnsi="Times New Roman" w:cs="Times New Roman"/>
          <w:sz w:val="24"/>
        </w:rPr>
        <w:lastRenderedPageBreak/>
        <w:t>Jak plyne z výše uvedeného, doktrína prostoru státu pro uvážení byla vytvořena Soudem a jeho judikaturou a její užívání tedy nem</w:t>
      </w:r>
      <w:r w:rsidR="00864A04">
        <w:rPr>
          <w:rFonts w:ascii="Times New Roman" w:hAnsi="Times New Roman" w:cs="Times New Roman"/>
          <w:sz w:val="24"/>
        </w:rPr>
        <w:t>á</w:t>
      </w:r>
      <w:r w:rsidRPr="00651BE6">
        <w:rPr>
          <w:rFonts w:ascii="Times New Roman" w:hAnsi="Times New Roman" w:cs="Times New Roman"/>
          <w:sz w:val="24"/>
        </w:rPr>
        <w:t xml:space="preserve"> žádný poklad v Úmluvě. 19. a 20. dubna 2012 se v Brightonu konala konference</w:t>
      </w:r>
      <w:r>
        <w:rPr>
          <w:rFonts w:ascii="Times New Roman" w:hAnsi="Times New Roman" w:cs="Times New Roman"/>
          <w:sz w:val="24"/>
        </w:rPr>
        <w:t>,</w:t>
      </w:r>
      <w:r w:rsidRPr="00651BE6">
        <w:rPr>
          <w:rFonts w:ascii="Times New Roman" w:hAnsi="Times New Roman" w:cs="Times New Roman"/>
          <w:sz w:val="24"/>
        </w:rPr>
        <w:t xml:space="preserve"> na které byla přijata tzv. Brightonská deklarace.</w:t>
      </w:r>
      <w:r w:rsidRPr="00651BE6">
        <w:rPr>
          <w:rFonts w:ascii="Times New Roman" w:hAnsi="Times New Roman" w:cs="Times New Roman"/>
          <w:sz w:val="24"/>
          <w:vertAlign w:val="superscript"/>
        </w:rPr>
        <w:footnoteReference w:id="66"/>
      </w:r>
      <w:r w:rsidRPr="00651BE6">
        <w:rPr>
          <w:rFonts w:ascii="Times New Roman" w:hAnsi="Times New Roman" w:cs="Times New Roman"/>
          <w:sz w:val="24"/>
        </w:rPr>
        <w:t xml:space="preserve"> Dle mého velmi důležitý bod 11 této deklarace uvádí: </w:t>
      </w:r>
      <w:r w:rsidRPr="00651BE6">
        <w:rPr>
          <w:rFonts w:ascii="Times New Roman" w:hAnsi="Times New Roman" w:cs="Times New Roman"/>
          <w:i/>
          <w:sz w:val="24"/>
        </w:rPr>
        <w:t xml:space="preserve">„Judikatura Soudu stanovuje, že členským státům je přiznán prostor pro </w:t>
      </w:r>
      <w:r w:rsidRPr="00432A9C">
        <w:rPr>
          <w:rFonts w:ascii="Times New Roman" w:hAnsi="Times New Roman" w:cs="Times New Roman"/>
          <w:i/>
          <w:sz w:val="24"/>
        </w:rPr>
        <w:t>uvážení,</w:t>
      </w:r>
      <w:r w:rsidRPr="00651BE6">
        <w:rPr>
          <w:rFonts w:ascii="Times New Roman" w:hAnsi="Times New Roman" w:cs="Times New Roman"/>
          <w:i/>
          <w:sz w:val="24"/>
        </w:rPr>
        <w:t xml:space="preserve"> jak aplikovat a implementovat Úmluvu v závislosti na okolnostech případu a dotčených právech a povinnostech. Je tomu tak proto, že systém Úmluvy je subsidiárním oproti ochraně lidských práv na národní úrovni a národní orgány jsou v lepším postavení než mezinárodní soud k zhodnocení místních potřeb a podmínek. Tento prostor pro uvážení jde ruku v ruce s dohledem podle Úmluvy. V tomto ohledu je úkolem Soudu přezkoumávat, zda jsou rozhodnutí národních orgánů v souladu s Úmluvou s přihlédnutím k prostoru pro uvážení státu</w:t>
      </w:r>
      <w:r w:rsidRPr="00651BE6">
        <w:rPr>
          <w:rFonts w:ascii="Times New Roman" w:hAnsi="Times New Roman" w:cs="Times New Roman"/>
          <w:sz w:val="24"/>
        </w:rPr>
        <w:t>.</w:t>
      </w:r>
      <w:r w:rsidRPr="007B00AD">
        <w:rPr>
          <w:rFonts w:ascii="Times New Roman" w:hAnsi="Times New Roman" w:cs="Times New Roman"/>
          <w:i/>
          <w:sz w:val="24"/>
        </w:rPr>
        <w:t>“</w:t>
      </w:r>
      <w:r w:rsidRPr="00651BE6">
        <w:rPr>
          <w:rFonts w:ascii="Times New Roman" w:hAnsi="Times New Roman" w:cs="Times New Roman"/>
          <w:sz w:val="24"/>
          <w:vertAlign w:val="superscript"/>
        </w:rPr>
        <w:footnoteReference w:id="67"/>
      </w:r>
      <w:r w:rsidRPr="00651BE6">
        <w:rPr>
          <w:rFonts w:ascii="Times New Roman" w:hAnsi="Times New Roman" w:cs="Times New Roman"/>
          <w:sz w:val="24"/>
        </w:rPr>
        <w:t xml:space="preserve"> V dalším bodu deklarace nabádá Soud, aby princip subsidiarity a doktrínu prostoru pro uvážení důsledně uplatňoval ve svých </w:t>
      </w:r>
      <w:r>
        <w:rPr>
          <w:rFonts w:ascii="Times New Roman" w:hAnsi="Times New Roman" w:cs="Times New Roman"/>
          <w:sz w:val="24"/>
        </w:rPr>
        <w:t>rozhodnutích</w:t>
      </w:r>
      <w:r w:rsidRPr="00651BE6">
        <w:rPr>
          <w:rFonts w:ascii="Times New Roman" w:hAnsi="Times New Roman" w:cs="Times New Roman"/>
          <w:sz w:val="24"/>
        </w:rPr>
        <w:t xml:space="preserve"> a vyzývá Výbor ministrů k podniknutí potřebných kroků, aby byly princip subsidiarity a doktrína prostoru pro uvážení zaneseny do preambule Úmluvy.</w:t>
      </w:r>
      <w:r w:rsidRPr="00651BE6">
        <w:rPr>
          <w:rFonts w:ascii="Times New Roman" w:hAnsi="Times New Roman" w:cs="Times New Roman"/>
          <w:sz w:val="24"/>
          <w:vertAlign w:val="superscript"/>
        </w:rPr>
        <w:footnoteReference w:id="68"/>
      </w:r>
      <w:r w:rsidRPr="00651BE6">
        <w:rPr>
          <w:rFonts w:ascii="Times New Roman" w:hAnsi="Times New Roman" w:cs="Times New Roman"/>
          <w:sz w:val="24"/>
        </w:rPr>
        <w:t xml:space="preserve"> </w:t>
      </w:r>
    </w:p>
    <w:p w14:paraId="03ECA529" w14:textId="77777777" w:rsidR="00E55062" w:rsidRPr="00651BE6" w:rsidRDefault="00E55062" w:rsidP="00E55062">
      <w:pPr>
        <w:spacing w:after="0" w:line="360" w:lineRule="auto"/>
        <w:ind w:firstLine="578"/>
        <w:jc w:val="both"/>
        <w:rPr>
          <w:rFonts w:ascii="Times New Roman" w:hAnsi="Times New Roman" w:cs="Times New Roman"/>
          <w:i/>
          <w:sz w:val="24"/>
        </w:rPr>
      </w:pPr>
      <w:r w:rsidRPr="00651BE6">
        <w:rPr>
          <w:rFonts w:ascii="Times New Roman" w:hAnsi="Times New Roman" w:cs="Times New Roman"/>
          <w:sz w:val="24"/>
        </w:rPr>
        <w:t xml:space="preserve">V červnu 2013 Rada Evropy </w:t>
      </w:r>
      <w:r w:rsidRPr="00432A9C">
        <w:rPr>
          <w:rFonts w:ascii="Times New Roman" w:hAnsi="Times New Roman" w:cs="Times New Roman"/>
          <w:sz w:val="24"/>
        </w:rPr>
        <w:t>přijala Protokol</w:t>
      </w:r>
      <w:r w:rsidRPr="00651BE6">
        <w:rPr>
          <w:rFonts w:ascii="Times New Roman" w:hAnsi="Times New Roman" w:cs="Times New Roman"/>
          <w:sz w:val="24"/>
        </w:rPr>
        <w:t xml:space="preserve"> č. 15 k Úmluvě, který mj. doplňuje preambuli Úmluvy o odkaz právě na princip subsidiarity a prostor pro uvážení státu. Dotčená část Protokolu č. 15 pozměňuje preambuli Úmluvy takto: </w:t>
      </w:r>
      <w:r w:rsidRPr="00651BE6">
        <w:rPr>
          <w:rFonts w:ascii="Times New Roman" w:hAnsi="Times New Roman" w:cs="Times New Roman"/>
          <w:i/>
          <w:sz w:val="24"/>
        </w:rPr>
        <w:t>„Potvrzujíce, že Vysoké smluvní strany mají v souladu se zásadou subsidiarity primární odpovědnost zajišťovat práva a svobody zakotvené v Úmluvě a jejích protokolech, přičemž požívají prostor pro uvážení podléhající dozoru Evropského soudu pro lidská práva</w:t>
      </w:r>
      <w:r>
        <w:rPr>
          <w:rFonts w:ascii="Times New Roman" w:hAnsi="Times New Roman" w:cs="Times New Roman"/>
          <w:i/>
          <w:sz w:val="24"/>
        </w:rPr>
        <w:t>.</w:t>
      </w:r>
      <w:r w:rsidRPr="00651BE6">
        <w:rPr>
          <w:rFonts w:ascii="Times New Roman" w:hAnsi="Times New Roman" w:cs="Times New Roman"/>
          <w:i/>
          <w:sz w:val="24"/>
        </w:rPr>
        <w:t>“</w:t>
      </w:r>
      <w:r w:rsidRPr="00651BE6">
        <w:rPr>
          <w:rFonts w:ascii="Times New Roman" w:hAnsi="Times New Roman" w:cs="Times New Roman"/>
          <w:i/>
          <w:sz w:val="24"/>
          <w:vertAlign w:val="superscript"/>
        </w:rPr>
        <w:footnoteReference w:id="69"/>
      </w:r>
    </w:p>
    <w:p w14:paraId="2888C10E" w14:textId="2E18AEB9" w:rsidR="00E55062" w:rsidRPr="00651BE6" w:rsidRDefault="00E55062" w:rsidP="00E55062">
      <w:pPr>
        <w:spacing w:after="0" w:line="360" w:lineRule="auto"/>
        <w:ind w:firstLine="578"/>
        <w:jc w:val="both"/>
        <w:rPr>
          <w:rFonts w:ascii="Times New Roman" w:hAnsi="Times New Roman" w:cs="Times New Roman"/>
          <w:i/>
          <w:sz w:val="24"/>
        </w:rPr>
      </w:pPr>
      <w:r w:rsidRPr="00651BE6">
        <w:rPr>
          <w:rFonts w:ascii="Times New Roman" w:hAnsi="Times New Roman" w:cs="Times New Roman"/>
          <w:sz w:val="24"/>
        </w:rPr>
        <w:t>Protokol nabude platnosti, až všechny členské státy Rady Evropy Protokol přijmou a</w:t>
      </w:r>
      <w:r w:rsidR="00864A04">
        <w:rPr>
          <w:rFonts w:ascii="Times New Roman" w:hAnsi="Times New Roman" w:cs="Times New Roman"/>
          <w:sz w:val="24"/>
        </w:rPr>
        <w:t> </w:t>
      </w:r>
      <w:r w:rsidRPr="00651BE6">
        <w:rPr>
          <w:rFonts w:ascii="Times New Roman" w:hAnsi="Times New Roman" w:cs="Times New Roman"/>
          <w:sz w:val="24"/>
        </w:rPr>
        <w:t>ratifikují. Ačkoliv byl k 13. listopadu 2018 Protokol ratifikován 45 členy Rady Evropy, 2</w:t>
      </w:r>
      <w:r w:rsidR="00864A04">
        <w:rPr>
          <w:rFonts w:ascii="Times New Roman" w:hAnsi="Times New Roman" w:cs="Times New Roman"/>
          <w:sz w:val="24"/>
        </w:rPr>
        <w:t> </w:t>
      </w:r>
      <w:r w:rsidRPr="00651BE6">
        <w:rPr>
          <w:rFonts w:ascii="Times New Roman" w:hAnsi="Times New Roman" w:cs="Times New Roman"/>
          <w:sz w:val="24"/>
        </w:rPr>
        <w:t xml:space="preserve">členské státy dosud </w:t>
      </w:r>
      <w:r w:rsidRPr="00432A9C">
        <w:rPr>
          <w:rFonts w:ascii="Times New Roman" w:hAnsi="Times New Roman" w:cs="Times New Roman"/>
          <w:sz w:val="24"/>
        </w:rPr>
        <w:t>Protokol č. 15 neratifikovaly</w:t>
      </w:r>
      <w:r w:rsidRPr="00651BE6">
        <w:rPr>
          <w:rFonts w:ascii="Times New Roman" w:hAnsi="Times New Roman" w:cs="Times New Roman"/>
          <w:sz w:val="24"/>
        </w:rPr>
        <w:t xml:space="preserve">, a proto Protokol č. 15 ještě nenabyl </w:t>
      </w:r>
      <w:r w:rsidRPr="00651BE6">
        <w:rPr>
          <w:rFonts w:ascii="Times New Roman" w:hAnsi="Times New Roman" w:cs="Times New Roman"/>
          <w:sz w:val="24"/>
        </w:rPr>
        <w:lastRenderedPageBreak/>
        <w:t xml:space="preserve">platnosti. </w:t>
      </w:r>
      <w:r w:rsidRPr="00651BE6">
        <w:rPr>
          <w:rFonts w:ascii="Times New Roman" w:hAnsi="Times New Roman" w:cs="Times New Roman"/>
          <w:sz w:val="24"/>
          <w:vertAlign w:val="superscript"/>
        </w:rPr>
        <w:footnoteReference w:id="70"/>
      </w:r>
      <w:r w:rsidRPr="00651BE6">
        <w:rPr>
          <w:rFonts w:ascii="Times New Roman" w:hAnsi="Times New Roman" w:cs="Times New Roman"/>
          <w:sz w:val="24"/>
        </w:rPr>
        <w:t xml:space="preserve"> Až všechny státy Protokol ratifikují, bude doktrína prostoru pro uvážení zakotvena přímo v Úmluvě. </w:t>
      </w:r>
    </w:p>
    <w:p w14:paraId="2163018A" w14:textId="77777777" w:rsidR="00E55062" w:rsidRPr="00651BE6" w:rsidRDefault="00E55062" w:rsidP="00E55062">
      <w:pPr>
        <w:pStyle w:val="Nadpis2"/>
        <w:rPr>
          <w:rFonts w:cs="Times New Roman"/>
        </w:rPr>
      </w:pPr>
      <w:bookmarkStart w:id="106" w:name="_Toc536289158"/>
      <w:bookmarkStart w:id="107" w:name="_Toc169315"/>
      <w:bookmarkStart w:id="108" w:name="_Toc3454716"/>
      <w:r w:rsidRPr="00432A9C">
        <w:rPr>
          <w:rFonts w:cs="Times New Roman"/>
        </w:rPr>
        <w:t>Problematické aspekty</w:t>
      </w:r>
      <w:r w:rsidRPr="00651BE6">
        <w:rPr>
          <w:rFonts w:cs="Times New Roman"/>
        </w:rPr>
        <w:t xml:space="preserve"> </w:t>
      </w:r>
      <w:bookmarkEnd w:id="106"/>
      <w:bookmarkEnd w:id="107"/>
      <w:r>
        <w:rPr>
          <w:rFonts w:cs="Times New Roman"/>
        </w:rPr>
        <w:t>užívání doktríny</w:t>
      </w:r>
      <w:bookmarkEnd w:id="108"/>
    </w:p>
    <w:p w14:paraId="6E3EE199" w14:textId="77777777" w:rsidR="00E55062" w:rsidRPr="00651BE6" w:rsidRDefault="00E55062" w:rsidP="00E55062">
      <w:pPr>
        <w:spacing w:after="0" w:line="360" w:lineRule="auto"/>
        <w:ind w:firstLine="578"/>
        <w:jc w:val="both"/>
        <w:rPr>
          <w:rFonts w:ascii="Times New Roman" w:hAnsi="Times New Roman" w:cs="Times New Roman"/>
          <w:sz w:val="24"/>
        </w:rPr>
      </w:pPr>
      <w:r w:rsidRPr="00651BE6">
        <w:rPr>
          <w:rFonts w:ascii="Times New Roman" w:hAnsi="Times New Roman" w:cs="Times New Roman"/>
          <w:sz w:val="24"/>
        </w:rPr>
        <w:t xml:space="preserve">Za dobu existence doktríny prostoru státu pro uvážení se objevily různé argumenty hovořící v neprospěch jejího užívání. Jak jsem již psala v úvodu kapitoly, kritika doktríny prostoru pro uvážení přichází hlavně ze strany odborníků. Například J. </w:t>
      </w:r>
      <w:proofErr w:type="spellStart"/>
      <w:r w:rsidRPr="00651BE6">
        <w:rPr>
          <w:rFonts w:ascii="Times New Roman" w:hAnsi="Times New Roman" w:cs="Times New Roman"/>
          <w:sz w:val="24"/>
        </w:rPr>
        <w:t>Gerards</w:t>
      </w:r>
      <w:proofErr w:type="spellEnd"/>
      <w:r w:rsidRPr="00651BE6">
        <w:rPr>
          <w:rFonts w:ascii="Times New Roman" w:hAnsi="Times New Roman" w:cs="Times New Roman"/>
          <w:sz w:val="24"/>
        </w:rPr>
        <w:t xml:space="preserve"> kritizuje použití doktríny Soudem</w:t>
      </w:r>
      <w:r>
        <w:rPr>
          <w:rFonts w:ascii="Times New Roman" w:hAnsi="Times New Roman" w:cs="Times New Roman"/>
          <w:sz w:val="24"/>
        </w:rPr>
        <w:t xml:space="preserve"> v </w:t>
      </w:r>
      <w:r w:rsidRPr="00651BE6">
        <w:rPr>
          <w:rFonts w:ascii="Times New Roman" w:hAnsi="Times New Roman" w:cs="Times New Roman"/>
          <w:sz w:val="24"/>
        </w:rPr>
        <w:t>situac</w:t>
      </w:r>
      <w:r>
        <w:rPr>
          <w:rFonts w:ascii="Times New Roman" w:hAnsi="Times New Roman" w:cs="Times New Roman"/>
          <w:sz w:val="24"/>
        </w:rPr>
        <w:t>i, ve které</w:t>
      </w:r>
      <w:r w:rsidRPr="00651BE6">
        <w:rPr>
          <w:rFonts w:ascii="Times New Roman" w:hAnsi="Times New Roman" w:cs="Times New Roman"/>
          <w:sz w:val="24"/>
        </w:rPr>
        <w:t xml:space="preserve"> Soud přizná státu prostor pro jeho volné uvážení, ale nevysvětlí, jaké jsou důvody pro to, aby stát mohl rozhodnout podle svého přesvědčení. Poukazuje také na rozhodnutí Soudu, ve kterých je státu přiznán prostor pro uvážení, ale v rozhodnutí již chybí vymezení rozsahu tohoto uvážení.</w:t>
      </w:r>
      <w:r w:rsidRPr="00651BE6">
        <w:rPr>
          <w:rFonts w:ascii="Times New Roman" w:hAnsi="Times New Roman" w:cs="Times New Roman"/>
          <w:sz w:val="24"/>
          <w:vertAlign w:val="superscript"/>
        </w:rPr>
        <w:footnoteReference w:id="71"/>
      </w:r>
      <w:r w:rsidRPr="00651BE6">
        <w:rPr>
          <w:rFonts w:ascii="Times New Roman" w:hAnsi="Times New Roman" w:cs="Times New Roman"/>
          <w:sz w:val="24"/>
        </w:rPr>
        <w:t xml:space="preserve"> </w:t>
      </w:r>
    </w:p>
    <w:p w14:paraId="7D619BF2" w14:textId="465EE138" w:rsidR="00E55062" w:rsidRPr="00651BE6" w:rsidRDefault="00E55062" w:rsidP="00E55062">
      <w:pPr>
        <w:spacing w:after="0" w:line="360" w:lineRule="auto"/>
        <w:ind w:firstLine="578"/>
        <w:jc w:val="both"/>
        <w:rPr>
          <w:rFonts w:ascii="Times New Roman" w:hAnsi="Times New Roman" w:cs="Times New Roman"/>
          <w:sz w:val="24"/>
        </w:rPr>
      </w:pPr>
      <w:r w:rsidRPr="00651BE6">
        <w:rPr>
          <w:rFonts w:ascii="Times New Roman" w:hAnsi="Times New Roman" w:cs="Times New Roman"/>
          <w:sz w:val="24"/>
        </w:rPr>
        <w:t xml:space="preserve">Stejně jako J. </w:t>
      </w:r>
      <w:proofErr w:type="spellStart"/>
      <w:r w:rsidRPr="00651BE6">
        <w:rPr>
          <w:rFonts w:ascii="Times New Roman" w:hAnsi="Times New Roman" w:cs="Times New Roman"/>
          <w:sz w:val="24"/>
        </w:rPr>
        <w:t>Gerards</w:t>
      </w:r>
      <w:proofErr w:type="spellEnd"/>
      <w:r w:rsidRPr="00651BE6">
        <w:rPr>
          <w:rFonts w:ascii="Times New Roman" w:hAnsi="Times New Roman" w:cs="Times New Roman"/>
          <w:sz w:val="24"/>
        </w:rPr>
        <w:t>, i J. Kratochvíl ve svém článku upozorňuje, že se stává běžnou praxí Soudu, že Soud přizná státu prostor pro uvážení, ale nevymezí šíři tohoto prostoru. Pro představu J. Kratochvíl uvádí, že v první polovině roku 2009 byla doktrína použita ve 109 případech, z toho šíře prostoru pro uvážení byla vymezena ve 34 případech. V ostatních rozhodnutích Soud hovořil pouze o „prostoru pro uvážení“ či „určitém prostoru pro uvážení“. Další z</w:t>
      </w:r>
      <w:r w:rsidR="00432A9C">
        <w:rPr>
          <w:rFonts w:ascii="Times New Roman" w:hAnsi="Times New Roman" w:cs="Times New Roman"/>
          <w:sz w:val="24"/>
        </w:rPr>
        <w:t> </w:t>
      </w:r>
      <w:r w:rsidRPr="00651BE6">
        <w:rPr>
          <w:rFonts w:ascii="Times New Roman" w:hAnsi="Times New Roman" w:cs="Times New Roman"/>
          <w:sz w:val="24"/>
        </w:rPr>
        <w:t>častých</w:t>
      </w:r>
      <w:r w:rsidR="00432A9C">
        <w:rPr>
          <w:rFonts w:ascii="Times New Roman" w:hAnsi="Times New Roman" w:cs="Times New Roman"/>
          <w:sz w:val="24"/>
        </w:rPr>
        <w:t xml:space="preserve"> kroků</w:t>
      </w:r>
      <w:r w:rsidRPr="00651BE6">
        <w:rPr>
          <w:rFonts w:ascii="Times New Roman" w:hAnsi="Times New Roman" w:cs="Times New Roman"/>
          <w:sz w:val="24"/>
        </w:rPr>
        <w:t xml:space="preserve"> Soudu, o které se J. Kratochvíl zmiňuje ve svém článku</w:t>
      </w:r>
      <w:r w:rsidR="00864A04">
        <w:rPr>
          <w:rFonts w:ascii="Times New Roman" w:hAnsi="Times New Roman" w:cs="Times New Roman"/>
          <w:sz w:val="24"/>
        </w:rPr>
        <w:t>,</w:t>
      </w:r>
      <w:r w:rsidRPr="00651BE6">
        <w:rPr>
          <w:rFonts w:ascii="Times New Roman" w:hAnsi="Times New Roman" w:cs="Times New Roman"/>
          <w:sz w:val="24"/>
        </w:rPr>
        <w:t xml:space="preserve"> </w:t>
      </w:r>
      <w:r w:rsidR="00864A04">
        <w:rPr>
          <w:rFonts w:ascii="Times New Roman" w:hAnsi="Times New Roman" w:cs="Times New Roman"/>
          <w:sz w:val="24"/>
        </w:rPr>
        <w:t xml:space="preserve">je </w:t>
      </w:r>
      <w:r w:rsidRPr="00651BE6">
        <w:rPr>
          <w:rFonts w:ascii="Times New Roman" w:hAnsi="Times New Roman" w:cs="Times New Roman"/>
          <w:sz w:val="24"/>
        </w:rPr>
        <w:t xml:space="preserve">dle mého názoru závažným pochybením v rozhodování Soudu. Jedná se o případy, </w:t>
      </w:r>
      <w:r>
        <w:rPr>
          <w:rFonts w:ascii="Times New Roman" w:hAnsi="Times New Roman" w:cs="Times New Roman"/>
          <w:sz w:val="24"/>
        </w:rPr>
        <w:t>ve kterých</w:t>
      </w:r>
      <w:r w:rsidRPr="00651BE6">
        <w:rPr>
          <w:rFonts w:ascii="Times New Roman" w:hAnsi="Times New Roman" w:cs="Times New Roman"/>
          <w:sz w:val="24"/>
        </w:rPr>
        <w:t xml:space="preserve"> nejenom že Soud nevymezí šíři prostoru pro uvážení, ale o samotné doktríně se Soud zmíní až v závěru rozhodnutí, a to bez důkladnějšího zdůvodnění, proč se v daném </w:t>
      </w:r>
      <w:r w:rsidRPr="001F4287">
        <w:rPr>
          <w:rFonts w:ascii="Times New Roman" w:hAnsi="Times New Roman" w:cs="Times New Roman"/>
          <w:sz w:val="24"/>
        </w:rPr>
        <w:t xml:space="preserve">případě uplatí doktrína. </w:t>
      </w:r>
      <w:r w:rsidRPr="00864A04">
        <w:rPr>
          <w:rFonts w:ascii="Times New Roman" w:hAnsi="Times New Roman" w:cs="Times New Roman"/>
          <w:sz w:val="24"/>
        </w:rPr>
        <w:t>Je pravda, že takovéto rozhodnutí nemusí vždy ukazovat na závažné pochybení Soudu. Pokud Soud zmíní doktrínu takto v závěru, ale ve skutečnosti při svých úvahách k doktríně nepřihlédl a rozhodl čistě dle svého názoru, je zmínka o ní v závěru rozhodnutí přebytečná a nepotřebná.</w:t>
      </w:r>
      <w:r w:rsidRPr="00651BE6">
        <w:rPr>
          <w:rFonts w:ascii="Times New Roman" w:hAnsi="Times New Roman" w:cs="Times New Roman"/>
          <w:sz w:val="24"/>
        </w:rPr>
        <w:t xml:space="preserve"> Pokud ale Soud rozhodne případ v závislosti na posouzení otázky státem v rámci jeho prostoru pro uvážení a Soud nezdůvodní důvody, proč byl státu přiznán tento prostor a neposkytne bližší odůvodnění jeho kroků, pak takové rozhodnutí nemůže být považováno za jasné a</w:t>
      </w:r>
      <w:r w:rsidR="00864A04">
        <w:rPr>
          <w:rFonts w:ascii="Times New Roman" w:hAnsi="Times New Roman" w:cs="Times New Roman"/>
          <w:sz w:val="24"/>
        </w:rPr>
        <w:t> </w:t>
      </w:r>
      <w:r w:rsidRPr="00651BE6">
        <w:rPr>
          <w:rFonts w:ascii="Times New Roman" w:hAnsi="Times New Roman" w:cs="Times New Roman"/>
          <w:sz w:val="24"/>
        </w:rPr>
        <w:t>transparentní.</w:t>
      </w:r>
      <w:r w:rsidRPr="00651BE6">
        <w:rPr>
          <w:rFonts w:ascii="Times New Roman" w:hAnsi="Times New Roman" w:cs="Times New Roman"/>
          <w:sz w:val="24"/>
          <w:vertAlign w:val="superscript"/>
        </w:rPr>
        <w:footnoteReference w:id="72"/>
      </w:r>
      <w:r w:rsidRPr="00651BE6">
        <w:rPr>
          <w:rFonts w:ascii="Times New Roman" w:hAnsi="Times New Roman" w:cs="Times New Roman"/>
          <w:sz w:val="24"/>
        </w:rPr>
        <w:t xml:space="preserve"> </w:t>
      </w:r>
    </w:p>
    <w:p w14:paraId="24A88C60" w14:textId="74227E53" w:rsidR="00E55062" w:rsidRPr="00651BE6" w:rsidRDefault="00E55062" w:rsidP="00E55062">
      <w:pPr>
        <w:spacing w:after="0" w:line="360" w:lineRule="auto"/>
        <w:jc w:val="both"/>
        <w:rPr>
          <w:rFonts w:ascii="Times New Roman" w:hAnsi="Times New Roman" w:cs="Times New Roman"/>
          <w:b/>
          <w:color w:val="FF0000"/>
          <w:sz w:val="24"/>
        </w:rPr>
      </w:pPr>
      <w:r w:rsidRPr="00651BE6">
        <w:rPr>
          <w:rFonts w:ascii="Times New Roman" w:hAnsi="Times New Roman" w:cs="Times New Roman"/>
          <w:sz w:val="24"/>
        </w:rPr>
        <w:tab/>
        <w:t xml:space="preserve">J. Kratochvíl ve svém článku uvádí další problematické aspekty užití doktríny v rozhodnutí Soudu. Společným jmenovatelem všech těchto problémů je podle něj praxe </w:t>
      </w:r>
      <w:r w:rsidRPr="00651BE6">
        <w:rPr>
          <w:rFonts w:ascii="Times New Roman" w:hAnsi="Times New Roman" w:cs="Times New Roman"/>
          <w:sz w:val="24"/>
        </w:rPr>
        <w:lastRenderedPageBreak/>
        <w:t>Soudu,</w:t>
      </w:r>
      <w:r w:rsidR="00864A04">
        <w:rPr>
          <w:rFonts w:ascii="Times New Roman" w:hAnsi="Times New Roman" w:cs="Times New Roman"/>
          <w:sz w:val="24"/>
        </w:rPr>
        <w:t xml:space="preserve"> </w:t>
      </w:r>
      <w:r w:rsidRPr="00651BE6">
        <w:rPr>
          <w:rFonts w:ascii="Times New Roman" w:hAnsi="Times New Roman" w:cs="Times New Roman"/>
          <w:sz w:val="24"/>
        </w:rPr>
        <w:t>Soud ve svých rozhodnutích odkazuje na doktrínu prostoru státu pro uvážení, ačkoliv okolnosti případu takový postup Soudu</w:t>
      </w:r>
      <w:r>
        <w:rPr>
          <w:rFonts w:ascii="Times New Roman" w:hAnsi="Times New Roman" w:cs="Times New Roman"/>
          <w:sz w:val="24"/>
        </w:rPr>
        <w:t xml:space="preserve"> </w:t>
      </w:r>
      <w:r w:rsidRPr="00651BE6">
        <w:rPr>
          <w:rFonts w:ascii="Times New Roman" w:hAnsi="Times New Roman" w:cs="Times New Roman"/>
          <w:sz w:val="24"/>
        </w:rPr>
        <w:t>neodůvodňují.</w:t>
      </w:r>
      <w:r w:rsidRPr="00651BE6">
        <w:rPr>
          <w:rFonts w:ascii="Times New Roman" w:hAnsi="Times New Roman" w:cs="Times New Roman"/>
          <w:sz w:val="24"/>
          <w:vertAlign w:val="superscript"/>
        </w:rPr>
        <w:footnoteReference w:id="73"/>
      </w:r>
      <w:r w:rsidRPr="00651BE6">
        <w:rPr>
          <w:rFonts w:ascii="Times New Roman" w:hAnsi="Times New Roman" w:cs="Times New Roman"/>
          <w:sz w:val="24"/>
        </w:rPr>
        <w:t xml:space="preserve"> </w:t>
      </w:r>
    </w:p>
    <w:p w14:paraId="711E0348" w14:textId="4344FB23" w:rsidR="00E55062" w:rsidRPr="00651BE6" w:rsidRDefault="00E55062" w:rsidP="00E55062">
      <w:pPr>
        <w:spacing w:after="0" w:line="360" w:lineRule="auto"/>
        <w:ind w:firstLine="357"/>
        <w:jc w:val="both"/>
        <w:rPr>
          <w:rFonts w:ascii="Times New Roman" w:hAnsi="Times New Roman" w:cs="Times New Roman"/>
          <w:i/>
          <w:sz w:val="24"/>
        </w:rPr>
      </w:pPr>
      <w:r w:rsidRPr="00651BE6">
        <w:rPr>
          <w:rFonts w:ascii="Times New Roman" w:hAnsi="Times New Roman" w:cs="Times New Roman"/>
          <w:sz w:val="24"/>
        </w:rPr>
        <w:t xml:space="preserve">Kritika doktríny přichází nejen ze strany akademiků. Soudce De </w:t>
      </w:r>
      <w:proofErr w:type="spellStart"/>
      <w:r w:rsidRPr="00651BE6">
        <w:rPr>
          <w:rFonts w:ascii="Times New Roman" w:hAnsi="Times New Roman" w:cs="Times New Roman"/>
          <w:sz w:val="24"/>
        </w:rPr>
        <w:t>Meyer</w:t>
      </w:r>
      <w:proofErr w:type="spellEnd"/>
      <w:r w:rsidRPr="00651BE6">
        <w:rPr>
          <w:rFonts w:ascii="Times New Roman" w:hAnsi="Times New Roman" w:cs="Times New Roman"/>
          <w:sz w:val="24"/>
        </w:rPr>
        <w:t xml:space="preserve"> ve svém separátním vótu v případu Z. proti Finsku, který se týkal lékařského tajemství uvádí, následující: </w:t>
      </w:r>
      <w:r w:rsidRPr="00651BE6">
        <w:rPr>
          <w:rFonts w:ascii="Times New Roman" w:hAnsi="Times New Roman" w:cs="Times New Roman"/>
          <w:i/>
          <w:sz w:val="24"/>
        </w:rPr>
        <w:t>Myslím, že je nejvyšší čas, aby Soud ve svých úvahách opustil tento koncept. Již dlouho se otálí s opuštěním této otřepané fráze a se zřeknutím se relativismu, který koncept naznačuje. Užití prostoru státu pro uvážení si lze představit v určitých oblastech. Například je zcela normální, když trestní soud určí trest v mezích stanovených judikaturou v závislosti na zhodnocení vážnosti případu. Pokud se ale jedná o lidská práva, není zde prostor pro uvážení státu, který by státu umožnil rozhodnout co je přípustné a co ne. V těchto případech, nepřekročitelná hranice musí být co nejvíc jasná a přesná. Je tedy na Soudu, ne na jednotlivých státech, aby rozhodli daný případ a názor Soudu se musí vztahovat na všechny v jurisdikci jednotlivých států. Prázdné fráze o prostoru státu pro uvážení, které už tak dlouho opakuje Soud ve svých rozhodnutích, jsou zbytečnými rozvláčnostmi, které jen nesrozumitelně vysvětlují, že státy mohou činit vše, co Soud nepovažuje za neslučitelné s lidskými právy. Takováto terminologie, nesprávná v principu a bezvýznamná v praxi, by měla být bezodkladně opuštěna.</w:t>
      </w:r>
      <w:r w:rsidRPr="00651BE6">
        <w:rPr>
          <w:rFonts w:ascii="Times New Roman" w:hAnsi="Times New Roman" w:cs="Times New Roman"/>
          <w:i/>
          <w:sz w:val="24"/>
          <w:vertAlign w:val="superscript"/>
        </w:rPr>
        <w:footnoteReference w:id="74"/>
      </w:r>
    </w:p>
    <w:p w14:paraId="2770DB24" w14:textId="4E6E3082"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Podle mého názoru fakt, že ke kritice doktríny dochází i ze strany soudce Soudu je důležitým ukazatelem, že ani uvnitř samotného Soudu neexistuje konsensus ohledně jejího užívání. Kritika</w:t>
      </w:r>
      <w:r w:rsidR="00864A04">
        <w:rPr>
          <w:rFonts w:ascii="Times New Roman" w:hAnsi="Times New Roman" w:cs="Times New Roman"/>
          <w:sz w:val="24"/>
        </w:rPr>
        <w:t xml:space="preserve"> </w:t>
      </w:r>
      <w:r w:rsidRPr="00651BE6">
        <w:rPr>
          <w:rFonts w:ascii="Times New Roman" w:hAnsi="Times New Roman" w:cs="Times New Roman"/>
          <w:sz w:val="24"/>
        </w:rPr>
        <w:t>se navíc netýká ani tak otázek, zda musí existovat něco jako tato doktrína, zda jsou pro její existenci dané důvody apod.</w:t>
      </w:r>
      <w:r w:rsidR="00864A04">
        <w:rPr>
          <w:rFonts w:ascii="Times New Roman" w:hAnsi="Times New Roman" w:cs="Times New Roman"/>
          <w:sz w:val="24"/>
        </w:rPr>
        <w:t>,</w:t>
      </w:r>
      <w:r w:rsidRPr="00651BE6">
        <w:rPr>
          <w:rFonts w:ascii="Times New Roman" w:hAnsi="Times New Roman" w:cs="Times New Roman"/>
          <w:sz w:val="24"/>
        </w:rPr>
        <w:t xml:space="preserve"> jako spíše její aplikace. Chybějící odůvodnění, neurčitý rozsah prostoru pro uvážení a užívání doktríny bezdůvodně jsou vlastně pochybením Soudu a jeho soudců. Tyto nedostatky by tedy mohl odstranit samotný Soud.</w:t>
      </w:r>
    </w:p>
    <w:p w14:paraId="2F93C2D4" w14:textId="2C696D75" w:rsidR="00E55062" w:rsidRPr="00651BE6" w:rsidRDefault="00E55062" w:rsidP="00E55062">
      <w:pPr>
        <w:spacing w:after="0" w:line="360" w:lineRule="auto"/>
        <w:ind w:firstLine="357"/>
        <w:jc w:val="both"/>
        <w:rPr>
          <w:rFonts w:ascii="Times New Roman" w:hAnsi="Times New Roman" w:cs="Times New Roman"/>
          <w:sz w:val="24"/>
        </w:rPr>
      </w:pPr>
      <w:r>
        <w:rPr>
          <w:rFonts w:ascii="Times New Roman" w:hAnsi="Times New Roman" w:cs="Times New Roman"/>
          <w:sz w:val="24"/>
        </w:rPr>
        <w:t>Jako příklad uvádím</w:t>
      </w:r>
      <w:r w:rsidR="00864A04">
        <w:rPr>
          <w:rFonts w:ascii="Times New Roman" w:hAnsi="Times New Roman" w:cs="Times New Roman"/>
          <w:sz w:val="24"/>
        </w:rPr>
        <w:t xml:space="preserve"> </w:t>
      </w:r>
      <w:r w:rsidRPr="00651BE6">
        <w:rPr>
          <w:rFonts w:ascii="Times New Roman" w:hAnsi="Times New Roman" w:cs="Times New Roman"/>
          <w:sz w:val="24"/>
        </w:rPr>
        <w:t xml:space="preserve">argumentaci Soudu v rozhodnutí </w:t>
      </w:r>
      <w:proofErr w:type="spellStart"/>
      <w:r w:rsidRPr="00651BE6">
        <w:rPr>
          <w:rFonts w:ascii="Times New Roman" w:hAnsi="Times New Roman" w:cs="Times New Roman"/>
          <w:sz w:val="24"/>
        </w:rPr>
        <w:t>Dahlab</w:t>
      </w:r>
      <w:proofErr w:type="spellEnd"/>
      <w:r w:rsidRPr="00651BE6">
        <w:rPr>
          <w:rFonts w:ascii="Times New Roman" w:hAnsi="Times New Roman" w:cs="Times New Roman"/>
          <w:sz w:val="24"/>
        </w:rPr>
        <w:t xml:space="preserve"> proti Švýcarsku, které jsem uváděla v minulé kapitole.</w:t>
      </w:r>
      <w:r w:rsidRPr="00651BE6">
        <w:rPr>
          <w:rFonts w:ascii="Times New Roman" w:hAnsi="Times New Roman" w:cs="Times New Roman"/>
          <w:sz w:val="24"/>
          <w:vertAlign w:val="superscript"/>
        </w:rPr>
        <w:footnoteReference w:id="75"/>
      </w:r>
      <w:r w:rsidRPr="00651BE6">
        <w:rPr>
          <w:rFonts w:ascii="Times New Roman" w:hAnsi="Times New Roman" w:cs="Times New Roman"/>
          <w:sz w:val="24"/>
        </w:rPr>
        <w:t xml:space="preserve"> Soud v tomto případě konstatuje, že podle dosavadní judikatury </w:t>
      </w:r>
      <w:r w:rsidRPr="00651BE6">
        <w:rPr>
          <w:rFonts w:ascii="Times New Roman" w:hAnsi="Times New Roman" w:cs="Times New Roman"/>
          <w:sz w:val="24"/>
        </w:rPr>
        <w:lastRenderedPageBreak/>
        <w:t>má Švýcarsko „určitý“ prostor pro uvážení, zda je třeba zasáhnout do práva stěžovatelky a</w:t>
      </w:r>
      <w:r w:rsidR="00864A04">
        <w:rPr>
          <w:rFonts w:ascii="Times New Roman" w:hAnsi="Times New Roman" w:cs="Times New Roman"/>
          <w:sz w:val="24"/>
        </w:rPr>
        <w:t> </w:t>
      </w:r>
      <w:r w:rsidRPr="00651BE6">
        <w:rPr>
          <w:rFonts w:ascii="Times New Roman" w:hAnsi="Times New Roman" w:cs="Times New Roman"/>
          <w:sz w:val="24"/>
        </w:rPr>
        <w:t xml:space="preserve">v jakém rozsahu. </w:t>
      </w:r>
      <w:r>
        <w:rPr>
          <w:rFonts w:ascii="Times New Roman" w:hAnsi="Times New Roman" w:cs="Times New Roman"/>
          <w:sz w:val="24"/>
        </w:rPr>
        <w:t>Vzápětí</w:t>
      </w:r>
      <w:r w:rsidRPr="00651BE6">
        <w:rPr>
          <w:rFonts w:ascii="Times New Roman" w:hAnsi="Times New Roman" w:cs="Times New Roman"/>
          <w:sz w:val="24"/>
        </w:rPr>
        <w:t xml:space="preserve"> dodává, že tento prostor podléhá evropskému dohledu</w:t>
      </w:r>
      <w:r w:rsidR="00864A04">
        <w:rPr>
          <w:rFonts w:ascii="Times New Roman" w:hAnsi="Times New Roman" w:cs="Times New Roman"/>
          <w:sz w:val="24"/>
        </w:rPr>
        <w:t>,</w:t>
      </w:r>
      <w:r w:rsidRPr="00651BE6">
        <w:rPr>
          <w:rFonts w:ascii="Times New Roman" w:hAnsi="Times New Roman" w:cs="Times New Roman"/>
          <w:sz w:val="24"/>
        </w:rPr>
        <w:t xml:space="preserve"> který má dohlížet, </w:t>
      </w:r>
      <w:r w:rsidR="00432A9C">
        <w:rPr>
          <w:rFonts w:ascii="Times New Roman" w:hAnsi="Times New Roman" w:cs="Times New Roman"/>
          <w:sz w:val="24"/>
        </w:rPr>
        <w:t>zda</w:t>
      </w:r>
      <w:r w:rsidRPr="00651BE6">
        <w:rPr>
          <w:rFonts w:ascii="Times New Roman" w:hAnsi="Times New Roman" w:cs="Times New Roman"/>
          <w:sz w:val="24"/>
        </w:rPr>
        <w:t xml:space="preserve"> kroky národních zákonodárců jsou mj. proporcionální sledovanému legitimnímu cíli omezení práva. Z pohledu kritiky uvedené výše Soud pouze určil, že </w:t>
      </w:r>
      <w:r w:rsidRPr="00864A04">
        <w:rPr>
          <w:rFonts w:ascii="Times New Roman" w:hAnsi="Times New Roman" w:cs="Times New Roman"/>
          <w:sz w:val="24"/>
        </w:rPr>
        <w:t>zde</w:t>
      </w:r>
      <w:r w:rsidRPr="00651BE6">
        <w:rPr>
          <w:rFonts w:ascii="Times New Roman" w:hAnsi="Times New Roman" w:cs="Times New Roman"/>
          <w:sz w:val="24"/>
        </w:rPr>
        <w:t xml:space="preserve"> určitý prostor je a</w:t>
      </w:r>
      <w:r w:rsidR="00864A04">
        <w:rPr>
          <w:rFonts w:ascii="Times New Roman" w:hAnsi="Times New Roman" w:cs="Times New Roman"/>
          <w:sz w:val="24"/>
        </w:rPr>
        <w:t> </w:t>
      </w:r>
      <w:r w:rsidRPr="00651BE6">
        <w:rPr>
          <w:rFonts w:ascii="Times New Roman" w:hAnsi="Times New Roman" w:cs="Times New Roman"/>
          <w:sz w:val="24"/>
        </w:rPr>
        <w:t xml:space="preserve">dále se soustředí na argumentaci, že v daném případě stát postupoval proporcionálně. Vypadá to, jako by </w:t>
      </w:r>
      <w:r>
        <w:rPr>
          <w:rFonts w:ascii="Times New Roman" w:hAnsi="Times New Roman" w:cs="Times New Roman"/>
          <w:sz w:val="24"/>
        </w:rPr>
        <w:t>v </w:t>
      </w:r>
      <w:r w:rsidRPr="00432A9C">
        <w:rPr>
          <w:rFonts w:ascii="Times New Roman" w:hAnsi="Times New Roman" w:cs="Times New Roman"/>
          <w:sz w:val="24"/>
        </w:rPr>
        <w:t xml:space="preserve">tomto případě </w:t>
      </w:r>
      <w:r w:rsidR="00864A04" w:rsidRPr="00432A9C">
        <w:rPr>
          <w:rFonts w:ascii="Times New Roman" w:hAnsi="Times New Roman" w:cs="Times New Roman"/>
          <w:sz w:val="24"/>
        </w:rPr>
        <w:t>S</w:t>
      </w:r>
      <w:r w:rsidRPr="00432A9C">
        <w:rPr>
          <w:rFonts w:ascii="Times New Roman" w:hAnsi="Times New Roman" w:cs="Times New Roman"/>
          <w:sz w:val="24"/>
        </w:rPr>
        <w:t>oud</w:t>
      </w:r>
      <w:r w:rsidRPr="00651BE6">
        <w:rPr>
          <w:rFonts w:ascii="Times New Roman" w:hAnsi="Times New Roman" w:cs="Times New Roman"/>
          <w:sz w:val="24"/>
        </w:rPr>
        <w:t xml:space="preserve"> vymezoval šíři prostoru pro uvážení státu negativně tím, že stanovuje dohled Soudu nad proporcionalitou </w:t>
      </w:r>
      <w:r w:rsidRPr="00432A9C">
        <w:rPr>
          <w:rFonts w:ascii="Times New Roman" w:hAnsi="Times New Roman" w:cs="Times New Roman"/>
          <w:sz w:val="24"/>
        </w:rPr>
        <w:t>zásahu státu. Ani tak</w:t>
      </w:r>
      <w:r>
        <w:rPr>
          <w:rFonts w:ascii="Times New Roman" w:hAnsi="Times New Roman" w:cs="Times New Roman"/>
          <w:sz w:val="24"/>
        </w:rPr>
        <w:t xml:space="preserve"> ale </w:t>
      </w:r>
      <w:r w:rsidRPr="00651BE6">
        <w:rPr>
          <w:rFonts w:ascii="Times New Roman" w:hAnsi="Times New Roman" w:cs="Times New Roman"/>
          <w:sz w:val="24"/>
        </w:rPr>
        <w:t>Soud výslovně neříká, jak velký je prostor státu pro uvážení</w:t>
      </w:r>
      <w:r w:rsidR="00864A04">
        <w:rPr>
          <w:rFonts w:ascii="Times New Roman" w:hAnsi="Times New Roman" w:cs="Times New Roman"/>
          <w:sz w:val="24"/>
        </w:rPr>
        <w:t>.</w:t>
      </w:r>
    </w:p>
    <w:p w14:paraId="52A6152F" w14:textId="7ACAEEE1" w:rsidR="00E55062" w:rsidRPr="00651BE6" w:rsidRDefault="00E55062" w:rsidP="00E55062">
      <w:pPr>
        <w:spacing w:line="360" w:lineRule="auto"/>
        <w:ind w:firstLine="360"/>
        <w:jc w:val="both"/>
        <w:rPr>
          <w:rFonts w:ascii="Times New Roman" w:hAnsi="Times New Roman" w:cs="Times New Roman"/>
          <w:sz w:val="24"/>
        </w:rPr>
      </w:pPr>
      <w:r w:rsidRPr="00651BE6">
        <w:rPr>
          <w:rFonts w:ascii="Times New Roman" w:hAnsi="Times New Roman" w:cs="Times New Roman"/>
          <w:sz w:val="24"/>
        </w:rPr>
        <w:t>Všechny nedostatky rozhodnutí</w:t>
      </w:r>
      <w:r w:rsidR="00864A04">
        <w:rPr>
          <w:rFonts w:ascii="Times New Roman" w:hAnsi="Times New Roman" w:cs="Times New Roman"/>
          <w:sz w:val="24"/>
        </w:rPr>
        <w:t>,</w:t>
      </w:r>
      <w:r w:rsidRPr="00651BE6">
        <w:rPr>
          <w:rFonts w:ascii="Times New Roman" w:hAnsi="Times New Roman" w:cs="Times New Roman"/>
          <w:sz w:val="24"/>
        </w:rPr>
        <w:t xml:space="preserve"> včetně těch uvedených výše, snižují důvěru veřejnosti v rozhodovací proces Soudu. Jak je ale vidět, nedostatky vytýkané </w:t>
      </w:r>
      <w:r>
        <w:rPr>
          <w:rFonts w:ascii="Times New Roman" w:hAnsi="Times New Roman" w:cs="Times New Roman"/>
          <w:sz w:val="24"/>
        </w:rPr>
        <w:t>rozhodnutím</w:t>
      </w:r>
      <w:r w:rsidRPr="00651BE6">
        <w:rPr>
          <w:rFonts w:ascii="Times New Roman" w:hAnsi="Times New Roman" w:cs="Times New Roman"/>
          <w:sz w:val="24"/>
        </w:rPr>
        <w:t xml:space="preserve"> Soudu spojenými s doktrínou prostoru pro uvážení souvisí pouze se samotným užíváním doktríny Soudem. Sjednocením postupu všech soudců v případech, </w:t>
      </w:r>
      <w:r>
        <w:rPr>
          <w:rFonts w:ascii="Times New Roman" w:hAnsi="Times New Roman" w:cs="Times New Roman"/>
          <w:sz w:val="24"/>
        </w:rPr>
        <w:t>ve kterých</w:t>
      </w:r>
      <w:r w:rsidRPr="00651BE6">
        <w:rPr>
          <w:rFonts w:ascii="Times New Roman" w:hAnsi="Times New Roman" w:cs="Times New Roman"/>
          <w:sz w:val="24"/>
        </w:rPr>
        <w:t xml:space="preserve"> by se uvažovalo o</w:t>
      </w:r>
      <w:r w:rsidR="00864A04">
        <w:rPr>
          <w:rFonts w:ascii="Times New Roman" w:hAnsi="Times New Roman" w:cs="Times New Roman"/>
          <w:sz w:val="24"/>
        </w:rPr>
        <w:t> </w:t>
      </w:r>
      <w:r w:rsidRPr="00651BE6">
        <w:rPr>
          <w:rFonts w:ascii="Times New Roman" w:hAnsi="Times New Roman" w:cs="Times New Roman"/>
          <w:sz w:val="24"/>
        </w:rPr>
        <w:t>přiznání prostoru pro uvážení státu, by tedy mohlo tyto nedostatky vyřešit.</w:t>
      </w:r>
      <w:r>
        <w:rPr>
          <w:rFonts w:ascii="Times New Roman" w:hAnsi="Times New Roman" w:cs="Times New Roman"/>
          <w:sz w:val="24"/>
        </w:rPr>
        <w:t xml:space="preserve"> </w:t>
      </w:r>
    </w:p>
    <w:p w14:paraId="48878191" w14:textId="06DC4F46" w:rsidR="00E55062" w:rsidRPr="00651BE6" w:rsidRDefault="00EA2253" w:rsidP="00E55062">
      <w:pPr>
        <w:pStyle w:val="Nadpis2"/>
        <w:rPr>
          <w:rFonts w:cs="Times New Roman"/>
        </w:rPr>
      </w:pPr>
      <w:bookmarkStart w:id="110" w:name="_Toc3454717"/>
      <w:bookmarkStart w:id="111" w:name="_Toc536289159"/>
      <w:bookmarkStart w:id="112" w:name="_Toc169316"/>
      <w:r>
        <w:rPr>
          <w:rFonts w:cs="Times New Roman"/>
        </w:rPr>
        <w:t>Důvody širokého prostoru pro uvážení státu v oblasti svobody vyznání</w:t>
      </w:r>
      <w:bookmarkEnd w:id="110"/>
      <w:r>
        <w:rPr>
          <w:rFonts w:cs="Times New Roman"/>
        </w:rPr>
        <w:t xml:space="preserve"> </w:t>
      </w:r>
      <w:bookmarkEnd w:id="111"/>
      <w:bookmarkEnd w:id="112"/>
    </w:p>
    <w:p w14:paraId="11827B2F" w14:textId="4CD9E6E7" w:rsidR="00E55062" w:rsidRPr="00651BE6" w:rsidRDefault="00E55062" w:rsidP="00E55062">
      <w:pPr>
        <w:spacing w:after="0" w:line="360" w:lineRule="auto"/>
        <w:ind w:firstLine="357"/>
        <w:jc w:val="both"/>
        <w:rPr>
          <w:rFonts w:ascii="Times New Roman" w:hAnsi="Times New Roman" w:cs="Times New Roman"/>
          <w:sz w:val="24"/>
          <w:u w:val="single"/>
        </w:rPr>
      </w:pPr>
      <w:r w:rsidRPr="00426249">
        <w:rPr>
          <w:rFonts w:ascii="Times New Roman" w:hAnsi="Times New Roman" w:cs="Times New Roman"/>
          <w:sz w:val="24"/>
        </w:rPr>
        <w:t>V předchozích odstavcích jsem odpověděla na otázku, co je to doktrína prostoru státu pro uvážení a jak se projevuje. Vysvětlila jsem, že Soud rozlišuje úzký a široký rozsah prostoru pro uvážení, kterým je určována míra volnosti kterou stát disponuje při rozhodování jaké kroky má v daném případě podniknout</w:t>
      </w:r>
      <w:r w:rsidRPr="00651BE6">
        <w:rPr>
          <w:rFonts w:ascii="Times New Roman" w:hAnsi="Times New Roman" w:cs="Times New Roman"/>
          <w:sz w:val="24"/>
        </w:rPr>
        <w:t>. Pokud stát disponuje úzkým prostorem pro uvážení, podléhá rozhodnutí státu přísnému přezkumu ze strany Soudu, zda došlo k</w:t>
      </w:r>
      <w:r w:rsidR="001444C6">
        <w:rPr>
          <w:rFonts w:ascii="Times New Roman" w:hAnsi="Times New Roman" w:cs="Times New Roman"/>
          <w:sz w:val="24"/>
        </w:rPr>
        <w:t> </w:t>
      </w:r>
      <w:r w:rsidRPr="00651BE6">
        <w:rPr>
          <w:rFonts w:ascii="Times New Roman" w:hAnsi="Times New Roman" w:cs="Times New Roman"/>
          <w:sz w:val="24"/>
        </w:rPr>
        <w:t xml:space="preserve">porušení Úmluvy. Pokud stát rozhoduje v rámci širokého prostoru pro uvážení, je tento přezkum Soudu volnější. </w:t>
      </w:r>
    </w:p>
    <w:p w14:paraId="55BC75F1" w14:textId="19C0CD3A" w:rsidR="00E55062" w:rsidRPr="00651BE6" w:rsidRDefault="00E55062" w:rsidP="00E55062">
      <w:pPr>
        <w:spacing w:after="0" w:line="360" w:lineRule="auto"/>
        <w:ind w:firstLine="357"/>
        <w:jc w:val="both"/>
        <w:rPr>
          <w:rFonts w:ascii="Times New Roman" w:hAnsi="Times New Roman" w:cs="Times New Roman"/>
          <w:sz w:val="24"/>
        </w:rPr>
      </w:pPr>
      <w:r w:rsidRPr="00426249">
        <w:rPr>
          <w:rFonts w:ascii="Times New Roman" w:hAnsi="Times New Roman" w:cs="Times New Roman"/>
          <w:sz w:val="24"/>
        </w:rPr>
        <w:t>Pokud chci v závěru mé práce odpovědět na otázku, zda je důvodné ponechat státům široký prostor pro uvážení, musím se nejprve zabývat otázkou, z jakých důvodů Soud tuto volnost státům poskytuje</w:t>
      </w:r>
      <w:r w:rsidRPr="00651BE6">
        <w:rPr>
          <w:rFonts w:ascii="Times New Roman" w:hAnsi="Times New Roman" w:cs="Times New Roman"/>
          <w:sz w:val="24"/>
        </w:rPr>
        <w:t>. Vodítko</w:t>
      </w:r>
      <w:r>
        <w:rPr>
          <w:rFonts w:ascii="Times New Roman" w:hAnsi="Times New Roman" w:cs="Times New Roman"/>
          <w:sz w:val="24"/>
        </w:rPr>
        <w:t>,</w:t>
      </w:r>
      <w:r w:rsidRPr="00651BE6">
        <w:rPr>
          <w:rFonts w:ascii="Times New Roman" w:hAnsi="Times New Roman" w:cs="Times New Roman"/>
          <w:sz w:val="24"/>
        </w:rPr>
        <w:t xml:space="preserve"> v jakých případech bude pravděpodobně státu poskytnut širší prostor pro uvážení a kdy stát naopak nebude moci využít vlastní diskrece</w:t>
      </w:r>
      <w:r>
        <w:rPr>
          <w:rFonts w:ascii="Times New Roman" w:hAnsi="Times New Roman" w:cs="Times New Roman"/>
          <w:sz w:val="24"/>
        </w:rPr>
        <w:t>,</w:t>
      </w:r>
      <w:r w:rsidRPr="00651BE6">
        <w:rPr>
          <w:rFonts w:ascii="Times New Roman" w:hAnsi="Times New Roman" w:cs="Times New Roman"/>
          <w:sz w:val="24"/>
        </w:rPr>
        <w:t xml:space="preserve"> nám dává pouze judikatura Soudu. Z ní můžeme vyčíst, že Soud pravidelně přiznává státu široký prostor pro uvážení hned v několika oblastech. Děje se tak v případech veřejného ohrožení podle čl. 15 Úmluvy (i), ve věcech týkajících se národní bezpečnosti (</w:t>
      </w:r>
      <w:proofErr w:type="spellStart"/>
      <w:r w:rsidRPr="00651BE6">
        <w:rPr>
          <w:rFonts w:ascii="Times New Roman" w:hAnsi="Times New Roman" w:cs="Times New Roman"/>
          <w:sz w:val="24"/>
        </w:rPr>
        <w:t>ii</w:t>
      </w:r>
      <w:proofErr w:type="spellEnd"/>
      <w:r w:rsidRPr="00651BE6">
        <w:rPr>
          <w:rFonts w:ascii="Times New Roman" w:hAnsi="Times New Roman" w:cs="Times New Roman"/>
          <w:sz w:val="24"/>
        </w:rPr>
        <w:t>), pokud má být chráněna morálka podle č. 8</w:t>
      </w:r>
      <w:r w:rsidR="001444C6">
        <w:rPr>
          <w:rFonts w:ascii="Times New Roman" w:hAnsi="Times New Roman" w:cs="Times New Roman"/>
        </w:rPr>
        <w:t>–</w:t>
      </w:r>
      <w:r w:rsidRPr="00651BE6">
        <w:rPr>
          <w:rFonts w:ascii="Times New Roman" w:hAnsi="Times New Roman" w:cs="Times New Roman"/>
          <w:sz w:val="24"/>
        </w:rPr>
        <w:t>11 Úmluvy (</w:t>
      </w:r>
      <w:proofErr w:type="spellStart"/>
      <w:r w:rsidRPr="00651BE6">
        <w:rPr>
          <w:rFonts w:ascii="Times New Roman" w:hAnsi="Times New Roman" w:cs="Times New Roman"/>
          <w:sz w:val="24"/>
        </w:rPr>
        <w:t>iii</w:t>
      </w:r>
      <w:proofErr w:type="spellEnd"/>
      <w:r w:rsidRPr="00651BE6">
        <w:rPr>
          <w:rFonts w:ascii="Times New Roman" w:hAnsi="Times New Roman" w:cs="Times New Roman"/>
          <w:sz w:val="24"/>
        </w:rPr>
        <w:t>), při implementaci ekonomické a sociální politiky do legislativy státu (</w:t>
      </w:r>
      <w:proofErr w:type="spellStart"/>
      <w:r w:rsidRPr="00651BE6">
        <w:rPr>
          <w:rFonts w:ascii="Times New Roman" w:hAnsi="Times New Roman" w:cs="Times New Roman"/>
          <w:sz w:val="24"/>
        </w:rPr>
        <w:t>iv</w:t>
      </w:r>
      <w:proofErr w:type="spellEnd"/>
      <w:r w:rsidRPr="00651BE6">
        <w:rPr>
          <w:rFonts w:ascii="Times New Roman" w:hAnsi="Times New Roman" w:cs="Times New Roman"/>
          <w:sz w:val="24"/>
        </w:rPr>
        <w:t xml:space="preserve">), pokud neexistuje konsensus mezi členy Rady Evropy (v) a v situaci, </w:t>
      </w:r>
      <w:r>
        <w:rPr>
          <w:rFonts w:ascii="Times New Roman" w:hAnsi="Times New Roman" w:cs="Times New Roman"/>
          <w:sz w:val="24"/>
        </w:rPr>
        <w:t xml:space="preserve">ve které </w:t>
      </w:r>
      <w:r w:rsidRPr="00651BE6">
        <w:rPr>
          <w:rFonts w:ascii="Times New Roman" w:hAnsi="Times New Roman" w:cs="Times New Roman"/>
          <w:sz w:val="24"/>
        </w:rPr>
        <w:t>stát musí poměřovat protichůdná práva garantovaná Úmluvou (</w:t>
      </w:r>
      <w:proofErr w:type="spellStart"/>
      <w:r w:rsidRPr="00651BE6">
        <w:rPr>
          <w:rFonts w:ascii="Times New Roman" w:hAnsi="Times New Roman" w:cs="Times New Roman"/>
          <w:sz w:val="24"/>
        </w:rPr>
        <w:t>vi</w:t>
      </w:r>
      <w:proofErr w:type="spellEnd"/>
      <w:r w:rsidRPr="00651BE6">
        <w:rPr>
          <w:rFonts w:ascii="Times New Roman" w:hAnsi="Times New Roman" w:cs="Times New Roman"/>
          <w:sz w:val="24"/>
        </w:rPr>
        <w:t>).</w:t>
      </w:r>
      <w:r w:rsidRPr="00651BE6">
        <w:rPr>
          <w:rFonts w:ascii="Times New Roman" w:hAnsi="Times New Roman" w:cs="Times New Roman"/>
          <w:sz w:val="24"/>
          <w:vertAlign w:val="superscript"/>
        </w:rPr>
        <w:footnoteReference w:id="76"/>
      </w:r>
    </w:p>
    <w:p w14:paraId="3A057D69" w14:textId="77777777" w:rsidR="00E55062" w:rsidRPr="00651BE6" w:rsidRDefault="00E55062" w:rsidP="00E55062">
      <w:pPr>
        <w:spacing w:after="0" w:line="360" w:lineRule="auto"/>
        <w:jc w:val="both"/>
        <w:rPr>
          <w:rFonts w:ascii="Times New Roman" w:hAnsi="Times New Roman" w:cs="Times New Roman"/>
          <w:sz w:val="24"/>
        </w:rPr>
      </w:pPr>
      <w:r w:rsidRPr="00651BE6">
        <w:rPr>
          <w:rFonts w:ascii="Times New Roman" w:hAnsi="Times New Roman" w:cs="Times New Roman"/>
          <w:sz w:val="24"/>
        </w:rPr>
        <w:lastRenderedPageBreak/>
        <w:tab/>
        <w:t xml:space="preserve">Asi každý z těchto případů může za určitých okolností více či méně ovlivnit šíři prostoru pro uvážení ve věci svobody vyznání. </w:t>
      </w:r>
      <w:r>
        <w:rPr>
          <w:rFonts w:ascii="Times New Roman" w:hAnsi="Times New Roman" w:cs="Times New Roman"/>
          <w:sz w:val="24"/>
        </w:rPr>
        <w:t>Zdá se,</w:t>
      </w:r>
      <w:r w:rsidRPr="00651BE6">
        <w:rPr>
          <w:rFonts w:ascii="Times New Roman" w:hAnsi="Times New Roman" w:cs="Times New Roman"/>
          <w:sz w:val="24"/>
        </w:rPr>
        <w:t xml:space="preserve"> že nejčastějším důvodem pro volnou úvahu státu v oblasti svobody vyznání je chybějící konsensus mezi členy Rady Evropy o této otázce. Soudím tak z rozhodnutí Soudu v otázkách svobody vyznání, která jsem uvedla v</w:t>
      </w:r>
      <w:r>
        <w:rPr>
          <w:rFonts w:ascii="Times New Roman" w:hAnsi="Times New Roman" w:cs="Times New Roman"/>
          <w:sz w:val="24"/>
        </w:rPr>
        <w:t>e</w:t>
      </w:r>
      <w:r w:rsidRPr="00651BE6">
        <w:rPr>
          <w:rFonts w:ascii="Times New Roman" w:hAnsi="Times New Roman" w:cs="Times New Roman"/>
          <w:sz w:val="24"/>
        </w:rPr>
        <w:t> druhé kapitole. Je ale pravda, že ne ve všech z nich Soud konstatuje přímo, že stát má větší prostor pro volnou úvahu právě z důvodu nedostatku shody napříč členskými státy.</w:t>
      </w:r>
      <w:r w:rsidRPr="00651BE6">
        <w:rPr>
          <w:rFonts w:ascii="Times New Roman" w:hAnsi="Times New Roman" w:cs="Times New Roman"/>
          <w:sz w:val="24"/>
          <w:vertAlign w:val="superscript"/>
        </w:rPr>
        <w:footnoteReference w:id="77"/>
      </w:r>
    </w:p>
    <w:p w14:paraId="7FA8FD55" w14:textId="78DECA22" w:rsidR="00E55062" w:rsidRPr="00651BE6" w:rsidRDefault="00E55062" w:rsidP="00E55062">
      <w:pPr>
        <w:spacing w:after="0" w:line="360" w:lineRule="auto"/>
        <w:jc w:val="both"/>
        <w:rPr>
          <w:rFonts w:ascii="Times New Roman" w:hAnsi="Times New Roman" w:cs="Times New Roman"/>
          <w:sz w:val="24"/>
        </w:rPr>
      </w:pPr>
      <w:r w:rsidRPr="00651BE6">
        <w:rPr>
          <w:rFonts w:ascii="Times New Roman" w:hAnsi="Times New Roman" w:cs="Times New Roman"/>
          <w:sz w:val="24"/>
        </w:rPr>
        <w:tab/>
        <w:t>Konkrétně se chybějící shodou mezi státy Evropy v oblasti svobody vyznání zabývá Soud v případu S.A.S. proti Francii. Soud konstatuje, že v otázkách nošení šátku zahalující obličej mají členské státy malý společný základ. Zároveň připomíná, že i postoje k zavedení zákazu zahalování jsou v členských státech rozdílné. V některých státech se vedou debaty o</w:t>
      </w:r>
      <w:r w:rsidR="001444C6">
        <w:rPr>
          <w:rFonts w:ascii="Times New Roman" w:hAnsi="Times New Roman" w:cs="Times New Roman"/>
          <w:sz w:val="24"/>
        </w:rPr>
        <w:t> </w:t>
      </w:r>
      <w:r w:rsidRPr="00651BE6">
        <w:rPr>
          <w:rFonts w:ascii="Times New Roman" w:hAnsi="Times New Roman" w:cs="Times New Roman"/>
          <w:sz w:val="24"/>
        </w:rPr>
        <w:t>zavedení zákazu zahalování na jejich území, zatímco některé členské státy tento zákaz zavrhly. Nošení šátku zahalujících obličej navíc není problémem všech členských států, protože v některých státech je nošení takových oděvů neobvyklé. Podle Soudu může mít projev náboženského vyznání na veřejnosti různé následky v různých členských státech, a tedy i</w:t>
      </w:r>
      <w:r w:rsidR="001444C6">
        <w:rPr>
          <w:rFonts w:ascii="Times New Roman" w:hAnsi="Times New Roman" w:cs="Times New Roman"/>
          <w:sz w:val="24"/>
        </w:rPr>
        <w:t> </w:t>
      </w:r>
      <w:r w:rsidRPr="00651BE6">
        <w:rPr>
          <w:rFonts w:ascii="Times New Roman" w:hAnsi="Times New Roman" w:cs="Times New Roman"/>
          <w:sz w:val="24"/>
        </w:rPr>
        <w:t>pravidla regulující tuto oblast by zákonitě byla v každém členském státě různá.</w:t>
      </w:r>
      <w:r>
        <w:rPr>
          <w:rFonts w:ascii="Times New Roman" w:hAnsi="Times New Roman" w:cs="Times New Roman"/>
          <w:sz w:val="24"/>
        </w:rPr>
        <w:t xml:space="preserve"> </w:t>
      </w:r>
      <w:r w:rsidRPr="00651BE6">
        <w:rPr>
          <w:rFonts w:ascii="Times New Roman" w:hAnsi="Times New Roman" w:cs="Times New Roman"/>
          <w:sz w:val="24"/>
        </w:rPr>
        <w:t>Proto lze říci, že v Evropě neexistuje konsensus, zda by měl být zaveden zákaz nošení šátků zahalujících obličej na veřejnosti.</w:t>
      </w:r>
      <w:r w:rsidRPr="00651BE6">
        <w:rPr>
          <w:rFonts w:ascii="Times New Roman" w:hAnsi="Times New Roman" w:cs="Times New Roman"/>
          <w:sz w:val="24"/>
          <w:vertAlign w:val="superscript"/>
        </w:rPr>
        <w:footnoteReference w:id="78"/>
      </w:r>
    </w:p>
    <w:p w14:paraId="110B9E11" w14:textId="3864AA8F"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 xml:space="preserve">Také R. Barinka vnímá (ne)existenci evropského konsensu o určité právní otázce jako jeden z faktorů, který ovlivňuje míru posuzovací volnosti státu. Dle jeho vysvětlení: </w:t>
      </w:r>
      <w:r w:rsidRPr="00651BE6">
        <w:rPr>
          <w:rFonts w:ascii="Times New Roman" w:hAnsi="Times New Roman" w:cs="Times New Roman"/>
          <w:i/>
          <w:sz w:val="24"/>
        </w:rPr>
        <w:t>„podstatou tohoto přístupu je to, že v případě divergence národních praktik se Soud necítí být povolán k</w:t>
      </w:r>
      <w:r w:rsidR="001444C6">
        <w:rPr>
          <w:rFonts w:ascii="Times New Roman" w:hAnsi="Times New Roman" w:cs="Times New Roman"/>
          <w:i/>
          <w:sz w:val="24"/>
        </w:rPr>
        <w:t> </w:t>
      </w:r>
      <w:r w:rsidRPr="00651BE6">
        <w:rPr>
          <w:rFonts w:ascii="Times New Roman" w:hAnsi="Times New Roman" w:cs="Times New Roman"/>
          <w:i/>
          <w:sz w:val="24"/>
        </w:rPr>
        <w:t>tomu, aby vytvářel a smluvním stranám oktrojoval jednu jedinou, společnou modalitu výkladu Úmluvy. Tato jeho pozice je tedy pozicí vlastního sebeomezení. Naopak tam, kde právní úpravy většiny smluvních stran vykazují signifikantní podobnost, Soud zastává znatelně asertivnější postoj: využívaje společného evropského základu jako pomyslného štítu proti ostnům kritiky ze strany států v menšině za svůj aktivismus, neváhá státy s odlišnými, méně liberálními úpravami odsoudit za porušení Úmluvy“</w:t>
      </w:r>
      <w:r w:rsidRPr="00651BE6">
        <w:rPr>
          <w:rFonts w:ascii="Times New Roman" w:hAnsi="Times New Roman" w:cs="Times New Roman"/>
          <w:i/>
          <w:sz w:val="24"/>
          <w:vertAlign w:val="superscript"/>
        </w:rPr>
        <w:footnoteReference w:id="79"/>
      </w:r>
      <w:r w:rsidRPr="00651BE6">
        <w:rPr>
          <w:rFonts w:ascii="Times New Roman" w:hAnsi="Times New Roman" w:cs="Times New Roman"/>
          <w:sz w:val="24"/>
        </w:rPr>
        <w:t xml:space="preserve">. Toto vysvětlení, že by Soud neměl vnucovat všem státům stejnou cestu se zdá být rozumným. S ohledem na veškerou různorodost států, jejich kultur, tradic a náboženství se přiznání rozhodovací volnosti státu jeví jako ten správný postoj pro </w:t>
      </w:r>
      <w:r w:rsidRPr="00651BE6">
        <w:rPr>
          <w:rFonts w:ascii="Times New Roman" w:hAnsi="Times New Roman" w:cs="Times New Roman"/>
          <w:sz w:val="24"/>
        </w:rPr>
        <w:lastRenderedPageBreak/>
        <w:t xml:space="preserve">zachování této různorodosti. </w:t>
      </w:r>
      <w:r w:rsidRPr="00AA591D">
        <w:rPr>
          <w:rFonts w:ascii="Times New Roman" w:hAnsi="Times New Roman" w:cs="Times New Roman"/>
          <w:sz w:val="24"/>
        </w:rPr>
        <w:t>Podle mne ale</w:t>
      </w:r>
      <w:r w:rsidRPr="00651BE6">
        <w:rPr>
          <w:rFonts w:ascii="Times New Roman" w:hAnsi="Times New Roman" w:cs="Times New Roman"/>
          <w:sz w:val="24"/>
        </w:rPr>
        <w:t xml:space="preserve"> problém nastává, když už je této rozhodovací volnosti tolik, že začíná kolidovat se samotnou ochranou práv garantovaných Úmluvou. </w:t>
      </w:r>
    </w:p>
    <w:p w14:paraId="05BBB324" w14:textId="465E24A7" w:rsidR="00E55062" w:rsidRDefault="00E55062" w:rsidP="00E55062">
      <w:pPr>
        <w:spacing w:after="0" w:line="360" w:lineRule="auto"/>
        <w:ind w:firstLine="709"/>
        <w:jc w:val="both"/>
        <w:rPr>
          <w:rFonts w:ascii="Times New Roman" w:hAnsi="Times New Roman" w:cs="Times New Roman"/>
          <w:sz w:val="24"/>
        </w:rPr>
      </w:pPr>
      <w:r>
        <w:rPr>
          <w:rFonts w:ascii="Times New Roman" w:hAnsi="Times New Roman" w:cs="Times New Roman"/>
          <w:sz w:val="24"/>
        </w:rPr>
        <w:t>K</w:t>
      </w:r>
      <w:r w:rsidRPr="00651BE6">
        <w:rPr>
          <w:rFonts w:ascii="Times New Roman" w:hAnsi="Times New Roman" w:cs="Times New Roman"/>
          <w:sz w:val="24"/>
        </w:rPr>
        <w:t>ritických hlasů proti doktríně je mnoho. Právě o porušování mj. svobody vyznání širokým prostorem pro uvážení píše Aladağ Görentaş ve svém článku následující:</w:t>
      </w:r>
      <w:r w:rsidRPr="00651BE6">
        <w:rPr>
          <w:rFonts w:ascii="Times New Roman" w:hAnsi="Times New Roman" w:cs="Times New Roman"/>
          <w:i/>
          <w:sz w:val="24"/>
        </w:rPr>
        <w:t xml:space="preserve"> „Místo toho, aby Soud stanovil standardy aplikace práv garantovaných Úmluvou a dodatkovými protokoly, poskytuje státům široký prostor pro uvážení. Tím, že se Soud vyhýbá tomu, aby zasahoval ve věcech přímo souvisejících s veřejným zájmem států, údajně podporuje rozdílnost a snaží se sladit pojem lidských práv s pohledem „nezápadních“ členů Rady Evropy. Bohužel, tenká linie mezi vyhýbáním se zásahům do vnitřních záležitostí a přehlížením porušování lidských práv se každým dnem více a více rozmazává. Zhodnocení judikatury Soudu ukazuje že, Soud rozhoduje ve prospěch státu pomocí doktríny pro uvážení hlavně v případech svobody vyznání a svobody projevu. Kvůli tomu se tato práva stávají zranitelnými a jednotlivci</w:t>
      </w:r>
      <w:r w:rsidR="002C352C">
        <w:rPr>
          <w:rFonts w:ascii="Times New Roman" w:hAnsi="Times New Roman" w:cs="Times New Roman"/>
          <w:i/>
          <w:sz w:val="24"/>
        </w:rPr>
        <w:t>,</w:t>
      </w:r>
      <w:r w:rsidRPr="00651BE6">
        <w:rPr>
          <w:rFonts w:ascii="Times New Roman" w:hAnsi="Times New Roman" w:cs="Times New Roman"/>
          <w:i/>
          <w:sz w:val="24"/>
        </w:rPr>
        <w:t xml:space="preserve"> kteří hledají ochranu těchto práv</w:t>
      </w:r>
      <w:r w:rsidR="002C352C">
        <w:rPr>
          <w:rFonts w:ascii="Times New Roman" w:hAnsi="Times New Roman" w:cs="Times New Roman"/>
          <w:i/>
          <w:sz w:val="24"/>
        </w:rPr>
        <w:t>,</w:t>
      </w:r>
      <w:r w:rsidRPr="00651BE6">
        <w:rPr>
          <w:rFonts w:ascii="Times New Roman" w:hAnsi="Times New Roman" w:cs="Times New Roman"/>
          <w:i/>
          <w:sz w:val="24"/>
        </w:rPr>
        <w:t xml:space="preserve"> mohou být zneužíváni. Soud musí ihned opustit toto jasně politické užívání prostoru pro uvážení</w:t>
      </w:r>
      <w:r w:rsidR="002C352C">
        <w:rPr>
          <w:rFonts w:ascii="Times New Roman" w:hAnsi="Times New Roman" w:cs="Times New Roman"/>
          <w:i/>
          <w:sz w:val="24"/>
        </w:rPr>
        <w:t>,</w:t>
      </w:r>
      <w:r w:rsidRPr="00651BE6">
        <w:rPr>
          <w:rFonts w:ascii="Times New Roman" w:hAnsi="Times New Roman" w:cs="Times New Roman"/>
          <w:i/>
          <w:sz w:val="24"/>
        </w:rPr>
        <w:t xml:space="preserve"> nebo ho alespoň omezit stanovením pravidel jeho užívání.“</w:t>
      </w:r>
      <w:r w:rsidRPr="00651BE6">
        <w:rPr>
          <w:rFonts w:ascii="Times New Roman" w:hAnsi="Times New Roman" w:cs="Times New Roman"/>
          <w:sz w:val="24"/>
          <w:vertAlign w:val="superscript"/>
        </w:rPr>
        <w:footnoteReference w:id="80"/>
      </w:r>
    </w:p>
    <w:p w14:paraId="0CD43211" w14:textId="7F9FDD64"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Celá myšlenka Evropské úmluvy o ochraně lidských práv a základních svobod je založena na vytvoření minimálního standardu ochrany lidských práv. Úkolem Soudu poté je, aby tento minimální standard práv byl udržován a respektován ve všech státech Rady Evropy. Úmluva a Soud jsou tedy v roli jakéhosi „nadnárodního ochránce lidských práv“, který funguje nezávisle na státech. Je tedy nutné, aby užívání doktríny a určitá rozhodovací volnost států nebránila Soudu v plnění tohoto úkol</w:t>
      </w:r>
      <w:r w:rsidR="002C352C">
        <w:rPr>
          <w:rFonts w:ascii="Times New Roman" w:hAnsi="Times New Roman" w:cs="Times New Roman"/>
          <w:sz w:val="24"/>
        </w:rPr>
        <w:t>u.</w:t>
      </w:r>
      <w:r w:rsidR="002C352C" w:rsidRPr="00651BE6">
        <w:rPr>
          <w:rFonts w:ascii="Times New Roman" w:hAnsi="Times New Roman" w:cs="Times New Roman"/>
          <w:sz w:val="24"/>
        </w:rPr>
        <w:t xml:space="preserve"> </w:t>
      </w:r>
    </w:p>
    <w:p w14:paraId="43915C50" w14:textId="0E6A87EF"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Je nepochybné, že důvody pro určitou volnost státu při rozhodování otázek zahalování tu jsou</w:t>
      </w:r>
      <w:r w:rsidR="002C352C">
        <w:rPr>
          <w:rFonts w:ascii="Times New Roman" w:hAnsi="Times New Roman" w:cs="Times New Roman"/>
          <w:sz w:val="24"/>
        </w:rPr>
        <w:t>. J</w:t>
      </w:r>
      <w:r w:rsidRPr="00651BE6">
        <w:rPr>
          <w:rFonts w:ascii="Times New Roman" w:hAnsi="Times New Roman" w:cs="Times New Roman"/>
          <w:sz w:val="24"/>
        </w:rPr>
        <w:t>edním z hlavních důvodů</w:t>
      </w:r>
      <w:r>
        <w:rPr>
          <w:rFonts w:ascii="Times New Roman" w:hAnsi="Times New Roman" w:cs="Times New Roman"/>
          <w:sz w:val="24"/>
        </w:rPr>
        <w:t>,</w:t>
      </w:r>
      <w:r w:rsidRPr="00651BE6">
        <w:rPr>
          <w:rFonts w:ascii="Times New Roman" w:hAnsi="Times New Roman" w:cs="Times New Roman"/>
          <w:sz w:val="24"/>
        </w:rPr>
        <w:t xml:space="preserve"> proč je státům přiznáván v těchto otázkách široký prostor pro uvážení</w:t>
      </w:r>
      <w:r>
        <w:rPr>
          <w:rFonts w:ascii="Times New Roman" w:hAnsi="Times New Roman" w:cs="Times New Roman"/>
          <w:sz w:val="24"/>
        </w:rPr>
        <w:t>,</w:t>
      </w:r>
      <w:r w:rsidRPr="00651BE6">
        <w:rPr>
          <w:rFonts w:ascii="Times New Roman" w:hAnsi="Times New Roman" w:cs="Times New Roman"/>
          <w:sz w:val="24"/>
        </w:rPr>
        <w:t xml:space="preserve"> je neexistence </w:t>
      </w:r>
      <w:r w:rsidRPr="00300486">
        <w:rPr>
          <w:rFonts w:ascii="Times New Roman" w:hAnsi="Times New Roman" w:cs="Times New Roman"/>
          <w:sz w:val="24"/>
        </w:rPr>
        <w:t>konsensu</w:t>
      </w:r>
      <w:r w:rsidRPr="00651BE6">
        <w:rPr>
          <w:rFonts w:ascii="Times New Roman" w:hAnsi="Times New Roman" w:cs="Times New Roman"/>
          <w:sz w:val="24"/>
        </w:rPr>
        <w:t xml:space="preserve"> mezi členskými státy. Je nanejvýš rozumné, aby Soud nevnucoval všem státům jednotná pravidla vzhledem ke kulturním, náboženským a jiným </w:t>
      </w:r>
      <w:r w:rsidRPr="00651BE6">
        <w:rPr>
          <w:rFonts w:ascii="Times New Roman" w:hAnsi="Times New Roman" w:cs="Times New Roman"/>
          <w:sz w:val="24"/>
        </w:rPr>
        <w:lastRenderedPageBreak/>
        <w:t>rozdílnostem. I odůvodnění Soudu, že národní zákonodárce je v lepším postavení zhodnotit situaci ve svém státě a přijmout vhodná opatření</w:t>
      </w:r>
      <w:r>
        <w:rPr>
          <w:rFonts w:ascii="Times New Roman" w:hAnsi="Times New Roman" w:cs="Times New Roman"/>
          <w:sz w:val="24"/>
        </w:rPr>
        <w:t>,</w:t>
      </w:r>
      <w:r w:rsidRPr="00651BE6">
        <w:rPr>
          <w:rFonts w:ascii="Times New Roman" w:hAnsi="Times New Roman" w:cs="Times New Roman"/>
          <w:sz w:val="24"/>
        </w:rPr>
        <w:t xml:space="preserve"> je </w:t>
      </w:r>
      <w:r w:rsidRPr="00300486">
        <w:rPr>
          <w:rFonts w:ascii="Times New Roman" w:hAnsi="Times New Roman" w:cs="Times New Roman"/>
          <w:sz w:val="24"/>
        </w:rPr>
        <w:t>proto</w:t>
      </w:r>
      <w:r>
        <w:rPr>
          <w:rFonts w:ascii="Times New Roman" w:hAnsi="Times New Roman" w:cs="Times New Roman"/>
          <w:sz w:val="24"/>
        </w:rPr>
        <w:t xml:space="preserve"> </w:t>
      </w:r>
      <w:r w:rsidRPr="00651BE6">
        <w:rPr>
          <w:rFonts w:ascii="Times New Roman" w:hAnsi="Times New Roman" w:cs="Times New Roman"/>
          <w:sz w:val="24"/>
        </w:rPr>
        <w:t xml:space="preserve">opodstatněné. </w:t>
      </w:r>
    </w:p>
    <w:p w14:paraId="3A8F545C" w14:textId="00077822"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 xml:space="preserve">Přesto je ale nutné zajistit, aby taková rozhodovací volnost nezpochybňovala cíle Úmluvy. Jaká by taková „střední cesta“ měla být? Měl by například Soud v rámci vytváření minimálního standardu lidských práv určitý evropský konsensus vytvořit? Například vyslovit přípustnost nošení </w:t>
      </w:r>
      <w:proofErr w:type="spellStart"/>
      <w:r w:rsidRPr="00651BE6">
        <w:rPr>
          <w:rFonts w:ascii="Times New Roman" w:hAnsi="Times New Roman" w:cs="Times New Roman"/>
          <w:sz w:val="24"/>
        </w:rPr>
        <w:t>hidžábu</w:t>
      </w:r>
      <w:proofErr w:type="spellEnd"/>
      <w:r w:rsidRPr="00651BE6">
        <w:rPr>
          <w:rFonts w:ascii="Times New Roman" w:hAnsi="Times New Roman" w:cs="Times New Roman"/>
          <w:sz w:val="24"/>
        </w:rPr>
        <w:t xml:space="preserve"> na univerzitách, v soudních budovách a podobně s tím, že rozhodování dalších problematických otázek (např. nošení </w:t>
      </w:r>
      <w:proofErr w:type="spellStart"/>
      <w:r w:rsidRPr="00651BE6">
        <w:rPr>
          <w:rFonts w:ascii="Times New Roman" w:hAnsi="Times New Roman" w:cs="Times New Roman"/>
          <w:sz w:val="24"/>
        </w:rPr>
        <w:t>nikábu</w:t>
      </w:r>
      <w:proofErr w:type="spellEnd"/>
      <w:r w:rsidRPr="00651BE6">
        <w:rPr>
          <w:rFonts w:ascii="Times New Roman" w:hAnsi="Times New Roman" w:cs="Times New Roman"/>
          <w:sz w:val="24"/>
        </w:rPr>
        <w:t xml:space="preserve"> a burek na veřejnosti) by se již </w:t>
      </w:r>
      <w:r w:rsidR="00300486">
        <w:rPr>
          <w:rFonts w:ascii="Times New Roman" w:hAnsi="Times New Roman" w:cs="Times New Roman"/>
          <w:sz w:val="24"/>
        </w:rPr>
        <w:t>posuzovalo p</w:t>
      </w:r>
      <w:r w:rsidRPr="00651BE6">
        <w:rPr>
          <w:rFonts w:ascii="Times New Roman" w:hAnsi="Times New Roman" w:cs="Times New Roman"/>
          <w:sz w:val="24"/>
        </w:rPr>
        <w:t>řípad od případu s přihlédnutím ke konkrétním okolnostem případu?</w:t>
      </w:r>
    </w:p>
    <w:p w14:paraId="27A42B75" w14:textId="2C5650D4"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Takové „</w:t>
      </w:r>
      <w:r w:rsidRPr="00300486">
        <w:rPr>
          <w:rFonts w:ascii="Times New Roman" w:hAnsi="Times New Roman" w:cs="Times New Roman"/>
          <w:sz w:val="24"/>
        </w:rPr>
        <w:t>vytváření</w:t>
      </w:r>
      <w:r w:rsidRPr="00651BE6">
        <w:rPr>
          <w:rFonts w:ascii="Times New Roman" w:hAnsi="Times New Roman" w:cs="Times New Roman"/>
          <w:sz w:val="24"/>
        </w:rPr>
        <w:t xml:space="preserve">“ by dozajista bylo velmi kontroverzním krokem, neboť jde přímo proti základním myšlenkám diverzity států. Státy by se musely podrobit názoru Soudu v tak </w:t>
      </w:r>
      <w:r>
        <w:rPr>
          <w:rFonts w:ascii="Times New Roman" w:hAnsi="Times New Roman" w:cs="Times New Roman"/>
          <w:sz w:val="24"/>
        </w:rPr>
        <w:t>citlivé</w:t>
      </w:r>
      <w:r w:rsidRPr="00651BE6">
        <w:rPr>
          <w:rFonts w:ascii="Times New Roman" w:hAnsi="Times New Roman" w:cs="Times New Roman"/>
          <w:sz w:val="24"/>
        </w:rPr>
        <w:t xml:space="preserve"> otázce, kterou je svoboda náboženského vyznání, jinak by byly shledány odpovědnými za porušení Úmluvy. Pro mne jako občana země, kde se pouze zhruba 23 % občanů považuje za věřící</w:t>
      </w:r>
      <w:r>
        <w:rPr>
          <w:rFonts w:ascii="Times New Roman" w:hAnsi="Times New Roman" w:cs="Times New Roman"/>
          <w:sz w:val="24"/>
        </w:rPr>
        <w:t>,</w:t>
      </w:r>
      <w:r w:rsidRPr="00651BE6">
        <w:rPr>
          <w:rFonts w:ascii="Times New Roman" w:hAnsi="Times New Roman" w:cs="Times New Roman"/>
          <w:sz w:val="24"/>
        </w:rPr>
        <w:t xml:space="preserve"> není tak těžké si takový vývoj představit.</w:t>
      </w:r>
      <w:r w:rsidRPr="00651BE6">
        <w:rPr>
          <w:rFonts w:ascii="Times New Roman" w:hAnsi="Times New Roman" w:cs="Times New Roman"/>
          <w:sz w:val="24"/>
          <w:vertAlign w:val="superscript"/>
        </w:rPr>
        <w:footnoteReference w:id="81"/>
      </w:r>
      <w:r w:rsidRPr="00651BE6">
        <w:rPr>
          <w:rFonts w:ascii="Times New Roman" w:hAnsi="Times New Roman" w:cs="Times New Roman"/>
          <w:sz w:val="24"/>
        </w:rPr>
        <w:t xml:space="preserve"> Na druhou stranu další členské státy ne daleko od </w:t>
      </w:r>
      <w:r>
        <w:rPr>
          <w:rFonts w:ascii="Times New Roman" w:hAnsi="Times New Roman" w:cs="Times New Roman"/>
          <w:sz w:val="24"/>
        </w:rPr>
        <w:t>ČR</w:t>
      </w:r>
      <w:r w:rsidRPr="00651BE6">
        <w:rPr>
          <w:rFonts w:ascii="Times New Roman" w:hAnsi="Times New Roman" w:cs="Times New Roman"/>
          <w:sz w:val="24"/>
        </w:rPr>
        <w:t xml:space="preserve"> by mohly takový krok vnímat jako významný zásah do své suverenity. Těmito státy může být například Polsko, kde se 94 % obyvatel hlásí ke katolické církvi</w:t>
      </w:r>
      <w:r w:rsidRPr="00651BE6">
        <w:rPr>
          <w:rFonts w:ascii="Times New Roman" w:hAnsi="Times New Roman" w:cs="Times New Roman"/>
          <w:sz w:val="24"/>
          <w:vertAlign w:val="superscript"/>
        </w:rPr>
        <w:footnoteReference w:id="82"/>
      </w:r>
      <w:r w:rsidRPr="00651BE6">
        <w:rPr>
          <w:rFonts w:ascii="Times New Roman" w:hAnsi="Times New Roman" w:cs="Times New Roman"/>
          <w:sz w:val="24"/>
        </w:rPr>
        <w:t xml:space="preserve"> nebo Itálie se 71 % obyvatel</w:t>
      </w:r>
      <w:r>
        <w:rPr>
          <w:rFonts w:ascii="Times New Roman" w:hAnsi="Times New Roman" w:cs="Times New Roman"/>
          <w:sz w:val="24"/>
        </w:rPr>
        <w:t>i</w:t>
      </w:r>
      <w:r w:rsidRPr="00651BE6">
        <w:rPr>
          <w:rFonts w:ascii="Times New Roman" w:hAnsi="Times New Roman" w:cs="Times New Roman"/>
          <w:sz w:val="24"/>
        </w:rPr>
        <w:t xml:space="preserve"> hlásícími se ke křesťanství</w:t>
      </w:r>
      <w:r>
        <w:rPr>
          <w:rFonts w:ascii="Times New Roman" w:hAnsi="Times New Roman" w:cs="Times New Roman"/>
          <w:sz w:val="24"/>
        </w:rPr>
        <w:t>.</w:t>
      </w:r>
      <w:r w:rsidRPr="00651BE6">
        <w:rPr>
          <w:rFonts w:ascii="Times New Roman" w:hAnsi="Times New Roman" w:cs="Times New Roman"/>
          <w:sz w:val="24"/>
          <w:vertAlign w:val="superscript"/>
        </w:rPr>
        <w:footnoteReference w:id="83"/>
      </w:r>
      <w:r w:rsidRPr="00651BE6">
        <w:rPr>
          <w:rFonts w:ascii="Times New Roman" w:hAnsi="Times New Roman" w:cs="Times New Roman"/>
          <w:sz w:val="24"/>
        </w:rPr>
        <w:t xml:space="preserve"> Právě pro jeho kontroverznost si myslím, že takový krok nemá moc šancí na úspěch. Proto se přikláním k dalšímu řešení.</w:t>
      </w:r>
    </w:p>
    <w:p w14:paraId="6023FFC5" w14:textId="77777777"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Jak jsem již psala výše, doktríně, resp. jejímu užívání Soudem</w:t>
      </w:r>
      <w:r>
        <w:rPr>
          <w:rFonts w:ascii="Times New Roman" w:hAnsi="Times New Roman" w:cs="Times New Roman"/>
          <w:sz w:val="24"/>
        </w:rPr>
        <w:t>,</w:t>
      </w:r>
      <w:r w:rsidRPr="00651BE6">
        <w:rPr>
          <w:rFonts w:ascii="Times New Roman" w:hAnsi="Times New Roman" w:cs="Times New Roman"/>
          <w:sz w:val="24"/>
        </w:rPr>
        <w:t xml:space="preserve"> je vytýkána především její nepředvídatelnost a nedostatečné odůvodnění</w:t>
      </w:r>
      <w:r>
        <w:rPr>
          <w:rFonts w:ascii="Times New Roman" w:hAnsi="Times New Roman" w:cs="Times New Roman"/>
          <w:sz w:val="24"/>
        </w:rPr>
        <w:t>,</w:t>
      </w:r>
      <w:r w:rsidRPr="00651BE6">
        <w:rPr>
          <w:rFonts w:ascii="Times New Roman" w:hAnsi="Times New Roman" w:cs="Times New Roman"/>
          <w:sz w:val="24"/>
        </w:rPr>
        <w:t xml:space="preserve"> proč v konkrétním případě je na místě ponechat státu rozhodovací volnost. </w:t>
      </w:r>
    </w:p>
    <w:p w14:paraId="6018015B" w14:textId="2FA6EF13"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Nejsou stanovena žádná pravidla</w:t>
      </w:r>
      <w:r>
        <w:rPr>
          <w:rFonts w:ascii="Times New Roman" w:hAnsi="Times New Roman" w:cs="Times New Roman"/>
          <w:sz w:val="24"/>
        </w:rPr>
        <w:t>,</w:t>
      </w:r>
      <w:r w:rsidRPr="00651BE6">
        <w:rPr>
          <w:rFonts w:ascii="Times New Roman" w:hAnsi="Times New Roman" w:cs="Times New Roman"/>
          <w:sz w:val="24"/>
        </w:rPr>
        <w:t xml:space="preserve"> kdy Soud doktrínu použije a kdy naopak bude případ z jeho strany podroben přísnému přezkumu. To má vliv i na rozhodování o otázkách svobody vyznání a zahalování. Do dnešní doby se například předvídatelnost rozhodnutí Soudu v otázkách zahalování mohla projevit maximálně tak, že se očekával výsledek v neprospěch stěžovatelky.</w:t>
      </w:r>
      <w:r w:rsidRPr="00651BE6">
        <w:rPr>
          <w:rFonts w:ascii="Times New Roman" w:hAnsi="Times New Roman" w:cs="Times New Roman"/>
          <w:sz w:val="24"/>
          <w:vertAlign w:val="superscript"/>
        </w:rPr>
        <w:footnoteReference w:id="84"/>
      </w:r>
      <w:r w:rsidRPr="00651BE6">
        <w:rPr>
          <w:rFonts w:ascii="Times New Roman" w:hAnsi="Times New Roman" w:cs="Times New Roman"/>
          <w:sz w:val="24"/>
        </w:rPr>
        <w:t xml:space="preserve"> I proto to může vypadat, jako kdyby Soud takovéto otázky rozhodovat nechtěl a „schovával se“ za široký prostor pro uvážení, který přiznal státu. Myslím, že tou „střední cestou“</w:t>
      </w:r>
      <w:r>
        <w:rPr>
          <w:rFonts w:ascii="Times New Roman" w:hAnsi="Times New Roman" w:cs="Times New Roman"/>
          <w:sz w:val="24"/>
        </w:rPr>
        <w:t xml:space="preserve"> by mohlo být</w:t>
      </w:r>
      <w:r w:rsidRPr="00651BE6">
        <w:rPr>
          <w:rFonts w:ascii="Times New Roman" w:hAnsi="Times New Roman" w:cs="Times New Roman"/>
          <w:sz w:val="24"/>
        </w:rPr>
        <w:t xml:space="preserve"> vytvoření určitých pravidel pro Soud</w:t>
      </w:r>
      <w:r>
        <w:rPr>
          <w:rFonts w:ascii="Times New Roman" w:hAnsi="Times New Roman" w:cs="Times New Roman"/>
          <w:sz w:val="24"/>
        </w:rPr>
        <w:t>,</w:t>
      </w:r>
      <w:r w:rsidRPr="00651BE6">
        <w:rPr>
          <w:rFonts w:ascii="Times New Roman" w:hAnsi="Times New Roman" w:cs="Times New Roman"/>
          <w:sz w:val="24"/>
        </w:rPr>
        <w:t xml:space="preserve"> jak a kdy doktrínu používat. Soud by</w:t>
      </w:r>
      <w:r>
        <w:rPr>
          <w:rFonts w:ascii="Times New Roman" w:hAnsi="Times New Roman" w:cs="Times New Roman"/>
          <w:sz w:val="24"/>
        </w:rPr>
        <w:t xml:space="preserve"> </w:t>
      </w:r>
      <w:r w:rsidRPr="00651BE6">
        <w:rPr>
          <w:rFonts w:ascii="Times New Roman" w:hAnsi="Times New Roman" w:cs="Times New Roman"/>
          <w:sz w:val="24"/>
        </w:rPr>
        <w:t>mohl vytvořit pravidla</w:t>
      </w:r>
      <w:r>
        <w:rPr>
          <w:rFonts w:ascii="Times New Roman" w:hAnsi="Times New Roman" w:cs="Times New Roman"/>
          <w:sz w:val="24"/>
        </w:rPr>
        <w:t>,</w:t>
      </w:r>
      <w:r w:rsidRPr="00651BE6">
        <w:rPr>
          <w:rFonts w:ascii="Times New Roman" w:hAnsi="Times New Roman" w:cs="Times New Roman"/>
          <w:sz w:val="24"/>
        </w:rPr>
        <w:t xml:space="preserve"> která by stanovila podmínky</w:t>
      </w:r>
      <w:r>
        <w:rPr>
          <w:rFonts w:ascii="Times New Roman" w:hAnsi="Times New Roman" w:cs="Times New Roman"/>
          <w:sz w:val="24"/>
        </w:rPr>
        <w:t>,</w:t>
      </w:r>
      <w:r w:rsidRPr="00651BE6">
        <w:rPr>
          <w:rFonts w:ascii="Times New Roman" w:hAnsi="Times New Roman" w:cs="Times New Roman"/>
          <w:sz w:val="24"/>
        </w:rPr>
        <w:t xml:space="preserve"> za kterých Soud může přiznat státu </w:t>
      </w:r>
      <w:r w:rsidRPr="00651BE6">
        <w:rPr>
          <w:rFonts w:ascii="Times New Roman" w:hAnsi="Times New Roman" w:cs="Times New Roman"/>
          <w:sz w:val="24"/>
        </w:rPr>
        <w:lastRenderedPageBreak/>
        <w:t>prostor pro uvážení a pravidla</w:t>
      </w:r>
      <w:r>
        <w:rPr>
          <w:rFonts w:ascii="Times New Roman" w:hAnsi="Times New Roman" w:cs="Times New Roman"/>
          <w:sz w:val="24"/>
        </w:rPr>
        <w:t>,</w:t>
      </w:r>
      <w:r w:rsidRPr="00651BE6">
        <w:rPr>
          <w:rFonts w:ascii="Times New Roman" w:hAnsi="Times New Roman" w:cs="Times New Roman"/>
          <w:sz w:val="24"/>
        </w:rPr>
        <w:t xml:space="preserve"> která by určila, zda v daném případě má tento prostor být široký</w:t>
      </w:r>
      <w:r w:rsidR="002C352C">
        <w:rPr>
          <w:rFonts w:ascii="Times New Roman" w:hAnsi="Times New Roman" w:cs="Times New Roman"/>
          <w:sz w:val="24"/>
        </w:rPr>
        <w:t xml:space="preserve">, </w:t>
      </w:r>
      <w:r>
        <w:rPr>
          <w:rFonts w:ascii="Times New Roman" w:hAnsi="Times New Roman" w:cs="Times New Roman"/>
          <w:sz w:val="24"/>
        </w:rPr>
        <w:t>nebo</w:t>
      </w:r>
      <w:r w:rsidR="002C352C">
        <w:rPr>
          <w:rFonts w:ascii="Times New Roman" w:hAnsi="Times New Roman" w:cs="Times New Roman"/>
          <w:sz w:val="24"/>
        </w:rPr>
        <w:t xml:space="preserve"> </w:t>
      </w:r>
      <w:r w:rsidRPr="00651BE6">
        <w:rPr>
          <w:rFonts w:ascii="Times New Roman" w:hAnsi="Times New Roman" w:cs="Times New Roman"/>
          <w:sz w:val="24"/>
        </w:rPr>
        <w:t>úzký. Soud by pak v odůvodnění každého rozhodnutí zhodnotil, jaké podmínky naplněny byly a jaké nikoliv</w:t>
      </w:r>
      <w:r>
        <w:rPr>
          <w:rFonts w:ascii="Times New Roman" w:hAnsi="Times New Roman" w:cs="Times New Roman"/>
          <w:sz w:val="24"/>
        </w:rPr>
        <w:t>,</w:t>
      </w:r>
      <w:r w:rsidRPr="00651BE6">
        <w:rPr>
          <w:rFonts w:ascii="Times New Roman" w:hAnsi="Times New Roman" w:cs="Times New Roman"/>
          <w:sz w:val="24"/>
        </w:rPr>
        <w:t xml:space="preserve"> a jaký závěr ohledně užití doktríny z toho plyne, tedy zda má stát prostor pro volnou úvahu či nikoli</w:t>
      </w:r>
      <w:r>
        <w:rPr>
          <w:rFonts w:ascii="Times New Roman" w:hAnsi="Times New Roman" w:cs="Times New Roman"/>
          <w:sz w:val="24"/>
        </w:rPr>
        <w:t>,</w:t>
      </w:r>
      <w:r w:rsidRPr="00651BE6">
        <w:rPr>
          <w:rFonts w:ascii="Times New Roman" w:hAnsi="Times New Roman" w:cs="Times New Roman"/>
          <w:sz w:val="24"/>
        </w:rPr>
        <w:t xml:space="preserve"> a v jakém rozsahu tímto volným uvážením disponuje. Takové zhodnocení by se ničím nelišilo od postupu Soudu např. při užití tzv. pětistupňového testu</w:t>
      </w:r>
      <w:r>
        <w:rPr>
          <w:rFonts w:ascii="Times New Roman" w:hAnsi="Times New Roman" w:cs="Times New Roman"/>
          <w:sz w:val="24"/>
        </w:rPr>
        <w:t>,</w:t>
      </w:r>
      <w:r w:rsidRPr="00651BE6">
        <w:rPr>
          <w:rFonts w:ascii="Times New Roman" w:hAnsi="Times New Roman" w:cs="Times New Roman"/>
          <w:sz w:val="24"/>
        </w:rPr>
        <w:t xml:space="preserve"> který používá nyní.</w:t>
      </w:r>
    </w:p>
    <w:p w14:paraId="13F8E344" w14:textId="6854783F"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Stanovení těchto pravidel by sice, například od vytvoření určitého konsensu, ne</w:t>
      </w:r>
      <w:r w:rsidR="00300486">
        <w:rPr>
          <w:rFonts w:ascii="Times New Roman" w:hAnsi="Times New Roman" w:cs="Times New Roman"/>
          <w:sz w:val="24"/>
        </w:rPr>
        <w:t>určilo</w:t>
      </w:r>
      <w:r>
        <w:rPr>
          <w:rFonts w:ascii="Times New Roman" w:hAnsi="Times New Roman" w:cs="Times New Roman"/>
          <w:sz w:val="24"/>
        </w:rPr>
        <w:t>,</w:t>
      </w:r>
      <w:r w:rsidRPr="00651BE6">
        <w:rPr>
          <w:rFonts w:ascii="Times New Roman" w:hAnsi="Times New Roman" w:cs="Times New Roman"/>
          <w:sz w:val="24"/>
        </w:rPr>
        <w:t xml:space="preserve"> že alespoň některé projevy náboženství jsou přípustné (například již zmíněné hidžáby u soudu, na univerzitách apod.), ale přineslo by určitou jednotu a stálost do rozhodování Soudu. Vytvořením takovýchto pravidel postupu Soudu by byly i utišeny hlasy kritizující Soud za to, že se vyhýbá rozhodování otázek zahalování, protože by Soud transparentně postupoval podle předem daných pravidel. </w:t>
      </w:r>
    </w:p>
    <w:p w14:paraId="4E336E0F" w14:textId="77777777" w:rsidR="00E55062" w:rsidRPr="00651BE6" w:rsidRDefault="00E55062" w:rsidP="00E55062">
      <w:pPr>
        <w:spacing w:after="0" w:line="360" w:lineRule="auto"/>
        <w:ind w:firstLine="709"/>
        <w:jc w:val="both"/>
        <w:rPr>
          <w:rFonts w:ascii="Times New Roman" w:hAnsi="Times New Roman" w:cs="Times New Roman"/>
          <w:sz w:val="24"/>
        </w:rPr>
      </w:pPr>
      <w:r w:rsidRPr="00651BE6">
        <w:rPr>
          <w:rFonts w:ascii="Times New Roman" w:hAnsi="Times New Roman" w:cs="Times New Roman"/>
          <w:sz w:val="24"/>
        </w:rPr>
        <w:t xml:space="preserve"> </w:t>
      </w:r>
      <w:r w:rsidRPr="00AA591D">
        <w:rPr>
          <w:rFonts w:ascii="Times New Roman" w:hAnsi="Times New Roman" w:cs="Times New Roman"/>
          <w:sz w:val="24"/>
        </w:rPr>
        <w:t>Na závěr</w:t>
      </w:r>
      <w:r w:rsidRPr="00675FCE">
        <w:rPr>
          <w:rFonts w:ascii="Times New Roman" w:hAnsi="Times New Roman" w:cs="Times New Roman"/>
          <w:sz w:val="24"/>
        </w:rPr>
        <w:t xml:space="preserve"> chci zdůraznit, že v této podkapitole jsem se nesnažila najít takovou cestu která by vedla k obecné </w:t>
      </w:r>
      <w:r w:rsidRPr="00AA591D">
        <w:rPr>
          <w:rFonts w:ascii="Times New Roman" w:hAnsi="Times New Roman" w:cs="Times New Roman"/>
          <w:sz w:val="24"/>
        </w:rPr>
        <w:t>přípustnosti zahalování muslimek. Cílem bylo najít takovou cestu, aby Soud rozhodoval předvídatelně</w:t>
      </w:r>
      <w:r w:rsidRPr="00651BE6">
        <w:rPr>
          <w:rFonts w:ascii="Times New Roman" w:hAnsi="Times New Roman" w:cs="Times New Roman"/>
          <w:sz w:val="24"/>
        </w:rPr>
        <w:t>, se zvážením argumentů obou stran a tak, aby jeho rozhodnutí a užití doktríny bylo náležitě vysvětleno v odůvodnění tak, aby jeho rozhodování vzbuzovalo důvěru v užívání doktríny.</w:t>
      </w:r>
    </w:p>
    <w:p w14:paraId="261224CB" w14:textId="77777777" w:rsidR="00E55062" w:rsidRPr="00651BE6" w:rsidRDefault="00E55062" w:rsidP="00E55062">
      <w:pPr>
        <w:rPr>
          <w:rFonts w:ascii="Times New Roman" w:hAnsi="Times New Roman" w:cs="Times New Roman"/>
          <w:sz w:val="24"/>
        </w:rPr>
      </w:pPr>
      <w:r w:rsidRPr="00651BE6">
        <w:rPr>
          <w:rFonts w:ascii="Times New Roman" w:hAnsi="Times New Roman" w:cs="Times New Roman"/>
          <w:sz w:val="24"/>
        </w:rPr>
        <w:br w:type="page"/>
      </w:r>
    </w:p>
    <w:p w14:paraId="211A5671" w14:textId="77777777" w:rsidR="00E55062" w:rsidRPr="00651BE6" w:rsidRDefault="00E55062" w:rsidP="00E55062">
      <w:pPr>
        <w:pStyle w:val="Nadpis1"/>
        <w:numPr>
          <w:ilvl w:val="0"/>
          <w:numId w:val="0"/>
        </w:numPr>
        <w:ind w:left="431"/>
        <w:rPr>
          <w:rFonts w:cs="Times New Roman"/>
        </w:rPr>
      </w:pPr>
      <w:bookmarkStart w:id="116" w:name="_Toc536289160"/>
      <w:bookmarkStart w:id="117" w:name="_Toc169317"/>
      <w:bookmarkStart w:id="118" w:name="_Toc3454718"/>
      <w:r w:rsidRPr="00651BE6">
        <w:rPr>
          <w:rFonts w:cs="Times New Roman"/>
        </w:rPr>
        <w:lastRenderedPageBreak/>
        <w:t>Závěr</w:t>
      </w:r>
      <w:bookmarkEnd w:id="116"/>
      <w:bookmarkEnd w:id="117"/>
      <w:bookmarkEnd w:id="118"/>
    </w:p>
    <w:p w14:paraId="0A72E699" w14:textId="3B68E099"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 xml:space="preserve">Ve své diplomové práci s názvem </w:t>
      </w:r>
      <w:r w:rsidR="00300486">
        <w:rPr>
          <w:rFonts w:ascii="Times New Roman" w:hAnsi="Times New Roman" w:cs="Times New Roman"/>
          <w:sz w:val="24"/>
        </w:rPr>
        <w:t>„</w:t>
      </w:r>
      <w:r w:rsidRPr="00651BE6">
        <w:rPr>
          <w:rFonts w:ascii="Times New Roman" w:hAnsi="Times New Roman" w:cs="Times New Roman"/>
          <w:sz w:val="24"/>
        </w:rPr>
        <w:t>Svoboda vyznání se zaměřením na problematiku zahalování</w:t>
      </w:r>
      <w:r w:rsidR="00300486">
        <w:rPr>
          <w:rFonts w:ascii="Times New Roman" w:hAnsi="Times New Roman" w:cs="Times New Roman"/>
          <w:sz w:val="24"/>
        </w:rPr>
        <w:t>“</w:t>
      </w:r>
      <w:r w:rsidRPr="00651BE6">
        <w:rPr>
          <w:rFonts w:ascii="Times New Roman" w:hAnsi="Times New Roman" w:cs="Times New Roman"/>
          <w:sz w:val="24"/>
        </w:rPr>
        <w:t xml:space="preserve"> jsem se zaměřila na doktrínu pro uvážení a její aplikaci Soudem na případy, </w:t>
      </w:r>
      <w:r>
        <w:rPr>
          <w:rFonts w:ascii="Times New Roman" w:hAnsi="Times New Roman" w:cs="Times New Roman"/>
          <w:sz w:val="24"/>
        </w:rPr>
        <w:t>ve kterých</w:t>
      </w:r>
      <w:r w:rsidRPr="00651BE6">
        <w:rPr>
          <w:rFonts w:ascii="Times New Roman" w:hAnsi="Times New Roman" w:cs="Times New Roman"/>
          <w:sz w:val="24"/>
        </w:rPr>
        <w:t xml:space="preserve"> Soud rozhodoval o přípustnosti zahalování muslimských žen na veřejnosti. V práci jsem využívala především </w:t>
      </w:r>
      <w:r>
        <w:rPr>
          <w:rFonts w:ascii="Times New Roman" w:hAnsi="Times New Roman" w:cs="Times New Roman"/>
          <w:sz w:val="24"/>
        </w:rPr>
        <w:t>daná rozhodnutí</w:t>
      </w:r>
      <w:r w:rsidRPr="00651BE6">
        <w:rPr>
          <w:rFonts w:ascii="Times New Roman" w:hAnsi="Times New Roman" w:cs="Times New Roman"/>
          <w:sz w:val="24"/>
        </w:rPr>
        <w:t xml:space="preserve"> Soudu, jelikož pouze z jeho rozhodnutí lze vyčíst důvody užívání doktríny.</w:t>
      </w:r>
    </w:p>
    <w:p w14:paraId="7505423D" w14:textId="3B0989A7"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První kapitola je spíše popisného charakteru. Vysvětl</w:t>
      </w:r>
      <w:r>
        <w:rPr>
          <w:rFonts w:ascii="Times New Roman" w:hAnsi="Times New Roman" w:cs="Times New Roman"/>
          <w:sz w:val="24"/>
        </w:rPr>
        <w:t xml:space="preserve">ila jsem </w:t>
      </w:r>
      <w:r w:rsidRPr="00651BE6">
        <w:rPr>
          <w:rFonts w:ascii="Times New Roman" w:hAnsi="Times New Roman" w:cs="Times New Roman"/>
          <w:sz w:val="24"/>
        </w:rPr>
        <w:t>v ní, jaká práva jsou zaručena pod pojmem svoboda vyznání a z jakých národních i mezinárodních dokumentů tato svoboda plyne. Dále</w:t>
      </w:r>
      <w:r>
        <w:rPr>
          <w:rFonts w:ascii="Times New Roman" w:hAnsi="Times New Roman" w:cs="Times New Roman"/>
          <w:sz w:val="24"/>
        </w:rPr>
        <w:t xml:space="preserve"> jsem</w:t>
      </w:r>
      <w:r w:rsidRPr="00651BE6">
        <w:rPr>
          <w:rFonts w:ascii="Times New Roman" w:hAnsi="Times New Roman" w:cs="Times New Roman"/>
          <w:sz w:val="24"/>
        </w:rPr>
        <w:t xml:space="preserve"> se v kapitole na pozadí judikatury Soudu zabýv</w:t>
      </w:r>
      <w:r>
        <w:rPr>
          <w:rFonts w:ascii="Times New Roman" w:hAnsi="Times New Roman" w:cs="Times New Roman"/>
          <w:sz w:val="24"/>
        </w:rPr>
        <w:t>ala</w:t>
      </w:r>
      <w:r w:rsidRPr="00651BE6">
        <w:rPr>
          <w:rFonts w:ascii="Times New Roman" w:hAnsi="Times New Roman" w:cs="Times New Roman"/>
          <w:sz w:val="24"/>
        </w:rPr>
        <w:t xml:space="preserve"> tím, jaké jednání, kterým člověk projevuje své náboženství, příp. přesvědčení je považováno za projev svobody náboženského vyznání a požívá tak ochrany dle </w:t>
      </w:r>
      <w:r w:rsidRPr="00651BE6">
        <w:rPr>
          <w:rFonts w:ascii="Times New Roman" w:hAnsi="Times New Roman" w:cs="Times New Roman"/>
          <w:sz w:val="24"/>
          <w:szCs w:val="24"/>
        </w:rPr>
        <w:t>čl. 9 Úmluvy. V druhé kapitole</w:t>
      </w:r>
      <w:r>
        <w:rPr>
          <w:rFonts w:ascii="Times New Roman" w:hAnsi="Times New Roman" w:cs="Times New Roman"/>
          <w:sz w:val="24"/>
          <w:szCs w:val="24"/>
        </w:rPr>
        <w:t xml:space="preserve"> jsem</w:t>
      </w:r>
      <w:r w:rsidRPr="00651BE6">
        <w:rPr>
          <w:rFonts w:ascii="Times New Roman" w:hAnsi="Times New Roman" w:cs="Times New Roman"/>
          <w:sz w:val="24"/>
          <w:szCs w:val="24"/>
        </w:rPr>
        <w:t xml:space="preserve"> nejdříve teoreticky vymez</w:t>
      </w:r>
      <w:r>
        <w:rPr>
          <w:rFonts w:ascii="Times New Roman" w:hAnsi="Times New Roman" w:cs="Times New Roman"/>
          <w:sz w:val="24"/>
          <w:szCs w:val="24"/>
        </w:rPr>
        <w:t>ila</w:t>
      </w:r>
      <w:r w:rsidRPr="00651BE6">
        <w:rPr>
          <w:rFonts w:ascii="Times New Roman" w:hAnsi="Times New Roman" w:cs="Times New Roman"/>
          <w:sz w:val="24"/>
          <w:szCs w:val="24"/>
        </w:rPr>
        <w:t xml:space="preserve"> možnosti omezení práv a svobod garantovaných Úmluvou podle tzv. pětistupňového testu a poté na podkladu </w:t>
      </w:r>
      <w:r>
        <w:rPr>
          <w:rFonts w:ascii="Times New Roman" w:hAnsi="Times New Roman" w:cs="Times New Roman"/>
          <w:sz w:val="24"/>
        </w:rPr>
        <w:t>rozhodnutí</w:t>
      </w:r>
      <w:r w:rsidRPr="00651BE6">
        <w:rPr>
          <w:rFonts w:ascii="Times New Roman" w:hAnsi="Times New Roman" w:cs="Times New Roman"/>
          <w:sz w:val="24"/>
          <w:szCs w:val="24"/>
        </w:rPr>
        <w:t xml:space="preserve"> Soudu ve věcech zahalování rozebírám, jak Soud dodržuje jednotlivé kroky a v jaké fázi rozhodování přistupuje k použití doktríny prostoru pro uvážení. Poslední, třetí kapitola se pak věnuje čistě doktríně prostoru pro uvážení. Nejprve </w:t>
      </w:r>
      <w:r>
        <w:rPr>
          <w:rFonts w:ascii="Times New Roman" w:hAnsi="Times New Roman" w:cs="Times New Roman"/>
          <w:sz w:val="24"/>
          <w:szCs w:val="24"/>
        </w:rPr>
        <w:t xml:space="preserve">jsem </w:t>
      </w:r>
      <w:r w:rsidRPr="00651BE6">
        <w:rPr>
          <w:rFonts w:ascii="Times New Roman" w:hAnsi="Times New Roman" w:cs="Times New Roman"/>
          <w:sz w:val="24"/>
          <w:szCs w:val="24"/>
        </w:rPr>
        <w:t>vysvětl</w:t>
      </w:r>
      <w:r>
        <w:rPr>
          <w:rFonts w:ascii="Times New Roman" w:hAnsi="Times New Roman" w:cs="Times New Roman"/>
          <w:sz w:val="24"/>
          <w:szCs w:val="24"/>
        </w:rPr>
        <w:t>ila</w:t>
      </w:r>
      <w:r w:rsidR="002C352C">
        <w:rPr>
          <w:rFonts w:ascii="Times New Roman" w:hAnsi="Times New Roman" w:cs="Times New Roman"/>
          <w:sz w:val="24"/>
          <w:szCs w:val="24"/>
        </w:rPr>
        <w:t>,</w:t>
      </w:r>
      <w:r w:rsidRPr="00651BE6">
        <w:rPr>
          <w:rFonts w:ascii="Times New Roman" w:hAnsi="Times New Roman" w:cs="Times New Roman"/>
          <w:sz w:val="24"/>
          <w:szCs w:val="24"/>
        </w:rPr>
        <w:t xml:space="preserve"> co to je doktrína prostoru pro uvážení a v další části kapitoly </w:t>
      </w:r>
      <w:r>
        <w:rPr>
          <w:rFonts w:ascii="Times New Roman" w:hAnsi="Times New Roman" w:cs="Times New Roman"/>
          <w:sz w:val="24"/>
          <w:szCs w:val="24"/>
        </w:rPr>
        <w:t xml:space="preserve">jsem </w:t>
      </w:r>
      <w:proofErr w:type="gramStart"/>
      <w:r>
        <w:rPr>
          <w:rFonts w:ascii="Times New Roman" w:hAnsi="Times New Roman" w:cs="Times New Roman"/>
          <w:sz w:val="24"/>
          <w:szCs w:val="24"/>
        </w:rPr>
        <w:t xml:space="preserve">rozebrala </w:t>
      </w:r>
      <w:r w:rsidRPr="00651BE6">
        <w:rPr>
          <w:rFonts w:ascii="Times New Roman" w:hAnsi="Times New Roman" w:cs="Times New Roman"/>
          <w:sz w:val="24"/>
          <w:szCs w:val="24"/>
        </w:rPr>
        <w:t xml:space="preserve"> její</w:t>
      </w:r>
      <w:proofErr w:type="gramEnd"/>
      <w:r w:rsidRPr="00651BE6">
        <w:rPr>
          <w:rFonts w:ascii="Times New Roman" w:hAnsi="Times New Roman" w:cs="Times New Roman"/>
          <w:sz w:val="24"/>
          <w:szCs w:val="24"/>
        </w:rPr>
        <w:t xml:space="preserve"> užívání Soudem.</w:t>
      </w:r>
    </w:p>
    <w:p w14:paraId="65CB0303" w14:textId="29ACA610"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 xml:space="preserve">Hlavním cílem mé diplomové práce </w:t>
      </w:r>
      <w:r>
        <w:rPr>
          <w:rFonts w:ascii="Times New Roman" w:hAnsi="Times New Roman" w:cs="Times New Roman"/>
          <w:sz w:val="24"/>
        </w:rPr>
        <w:t xml:space="preserve">bylo </w:t>
      </w:r>
      <w:r w:rsidRPr="00651BE6">
        <w:rPr>
          <w:rFonts w:ascii="Times New Roman" w:hAnsi="Times New Roman" w:cs="Times New Roman"/>
          <w:sz w:val="24"/>
        </w:rPr>
        <w:t xml:space="preserve">najít odpověď na otázku, zda je důvodné, aby Soud poskytoval státům široký rozsah prostoru pro uvážení (margin of appreciation) při rozhodování o otázkách zahalování. Na začátku psaní mé práce jsem předpokládala, že po nastudování si relevantní judikatury a odborných publikací budu schopná dát na tuto otázku jednoznačnou odpověď. Místo toho jsem došla k závěru, že na tuto otázku nemohu odpovědět bezpodmínečným ano či ne. </w:t>
      </w:r>
    </w:p>
    <w:p w14:paraId="383F76D0" w14:textId="77777777" w:rsidR="00E55062" w:rsidRPr="00651BE6" w:rsidRDefault="00E55062" w:rsidP="00E55062">
      <w:pPr>
        <w:spacing w:after="0" w:line="360" w:lineRule="auto"/>
        <w:ind w:firstLine="357"/>
        <w:jc w:val="both"/>
        <w:rPr>
          <w:rFonts w:ascii="Times New Roman" w:hAnsi="Times New Roman" w:cs="Times New Roman"/>
          <w:sz w:val="24"/>
        </w:rPr>
      </w:pPr>
      <w:r w:rsidRPr="00651BE6">
        <w:rPr>
          <w:rFonts w:ascii="Times New Roman" w:hAnsi="Times New Roman" w:cs="Times New Roman"/>
          <w:sz w:val="24"/>
        </w:rPr>
        <w:t xml:space="preserve">V této diplomové práci jsem rozebrala rozhodnutí Soudu, která se týkala přípustnosti zahalování na veřejnosti. Chtěla jsem tak ukázat, jak je doktrína prostoru pro uvážení aplikována Soudem a jak ovlivňuje jeho rozhodování. Ukázalo se, že doktrína je Soudem v těchto otázkách užívána velice často a také ovlivňuje rozhodování Soudu. Soud při posuzování přípustnosti zásahu do práv stěžovatelek postupuje v souladu s tzv. pětistupňovým testem. Doktrínu ale často užívá, pokud má hodnotit, zda byl zásah „nezbytný v demokratické společnosti“. Právě v tomto pátém, posledním kroku Soud přiznává státu prostor pro volnou úvahu, zda bylo státem přijaté opatření nezbytné. </w:t>
      </w:r>
    </w:p>
    <w:p w14:paraId="75BDD28A" w14:textId="241B6E08" w:rsidR="00E55062" w:rsidRPr="00651BE6" w:rsidRDefault="00E55062" w:rsidP="00E55062">
      <w:pPr>
        <w:spacing w:after="0" w:line="360" w:lineRule="auto"/>
        <w:ind w:firstLine="357"/>
        <w:jc w:val="both"/>
        <w:rPr>
          <w:rFonts w:ascii="Times New Roman" w:hAnsi="Times New Roman" w:cs="Times New Roman"/>
          <w:sz w:val="24"/>
        </w:rPr>
      </w:pPr>
      <w:r w:rsidRPr="0099445E">
        <w:rPr>
          <w:rFonts w:ascii="Times New Roman" w:hAnsi="Times New Roman" w:cs="Times New Roman"/>
          <w:sz w:val="24"/>
        </w:rPr>
        <w:t>Dle mého</w:t>
      </w:r>
      <w:r w:rsidR="0099445E" w:rsidRPr="0099445E">
        <w:rPr>
          <w:rFonts w:ascii="Times New Roman" w:hAnsi="Times New Roman" w:cs="Times New Roman"/>
          <w:sz w:val="24"/>
        </w:rPr>
        <w:t xml:space="preserve"> názoru</w:t>
      </w:r>
      <w:r w:rsidRPr="0099445E">
        <w:rPr>
          <w:rFonts w:ascii="Times New Roman" w:hAnsi="Times New Roman" w:cs="Times New Roman"/>
          <w:sz w:val="24"/>
        </w:rPr>
        <w:t>, Soud</w:t>
      </w:r>
      <w:r w:rsidRPr="00651BE6">
        <w:rPr>
          <w:rFonts w:ascii="Times New Roman" w:hAnsi="Times New Roman" w:cs="Times New Roman"/>
          <w:sz w:val="24"/>
        </w:rPr>
        <w:t xml:space="preserve"> v těchto případech nedostatečně vysvětluje důvody, proč k doktríně </w:t>
      </w:r>
      <w:r w:rsidRPr="00241AD1">
        <w:rPr>
          <w:rFonts w:ascii="Times New Roman" w:hAnsi="Times New Roman" w:cs="Times New Roman"/>
          <w:sz w:val="24"/>
        </w:rPr>
        <w:t>přistupuje. Kvůli takovýmto</w:t>
      </w:r>
      <w:r w:rsidRPr="00651BE6">
        <w:rPr>
          <w:rFonts w:ascii="Times New Roman" w:hAnsi="Times New Roman" w:cs="Times New Roman"/>
          <w:sz w:val="24"/>
        </w:rPr>
        <w:t xml:space="preserve"> nedostatkům se pak celá doktrína může jevit jako pouhá výmluva, </w:t>
      </w:r>
      <w:r w:rsidRPr="00651BE6">
        <w:rPr>
          <w:rFonts w:ascii="Times New Roman" w:hAnsi="Times New Roman" w:cs="Times New Roman"/>
          <w:sz w:val="24"/>
        </w:rPr>
        <w:lastRenderedPageBreak/>
        <w:t>za kterou se Soud schovává, aby nemusel rozhodovat takto delikátní a kontroverzní případy. V mé diplomové práci jsem došla k závěru, že poskytnutí určitého prostoru pro uvážení má své opodstatnění.</w:t>
      </w:r>
      <w:r>
        <w:rPr>
          <w:rFonts w:ascii="Times New Roman" w:hAnsi="Times New Roman" w:cs="Times New Roman"/>
          <w:sz w:val="24"/>
        </w:rPr>
        <w:t xml:space="preserve"> </w:t>
      </w:r>
      <w:r w:rsidRPr="00651BE6">
        <w:rPr>
          <w:rFonts w:ascii="Times New Roman" w:hAnsi="Times New Roman" w:cs="Times New Roman"/>
          <w:sz w:val="24"/>
        </w:rPr>
        <w:t xml:space="preserve">Abych tedy přímo odpověděla na výzkumnou </w:t>
      </w:r>
      <w:r w:rsidRPr="00241AD1">
        <w:rPr>
          <w:rFonts w:ascii="Times New Roman" w:hAnsi="Times New Roman" w:cs="Times New Roman"/>
          <w:sz w:val="24"/>
        </w:rPr>
        <w:t>otázku své</w:t>
      </w:r>
      <w:r w:rsidRPr="00651BE6">
        <w:rPr>
          <w:rFonts w:ascii="Times New Roman" w:hAnsi="Times New Roman" w:cs="Times New Roman"/>
          <w:sz w:val="24"/>
        </w:rPr>
        <w:t xml:space="preserve"> práce, je důvodné státům v určitých případech ponechat široký prostor pro uvážení v otázkách svobody zahalování. Určitě ale nemohu říci, že je to důvodné ve všech případech, které Soud rozhoduje. Důvody pro široký prostor pro uvážení státu jsou, ale Soud by svůj přístup k jejímu užívání měl změnit. Stanovení určitých pravidel, která by nutila Soud se v každém konkrétním případě vypořádat s šíří tohoto prostoru a důvody proč ho státu udělit nebo naopak věc posoudit samostatně, by ale výrazně přispělo k větší důvěře v rozhodování Soudu o otázkách zahalování.</w:t>
      </w:r>
    </w:p>
    <w:p w14:paraId="43199782" w14:textId="77777777" w:rsidR="00DE3AB2" w:rsidRPr="00E10BE6" w:rsidRDefault="00DE3AB2">
      <w:pPr>
        <w:rPr>
          <w:rFonts w:ascii="Times New Roman" w:hAnsi="Times New Roman" w:cs="Times New Roman"/>
          <w:sz w:val="24"/>
        </w:rPr>
      </w:pPr>
      <w:r w:rsidRPr="00E10BE6">
        <w:rPr>
          <w:rFonts w:ascii="Times New Roman" w:hAnsi="Times New Roman" w:cs="Times New Roman"/>
          <w:sz w:val="24"/>
        </w:rPr>
        <w:br w:type="page"/>
      </w:r>
    </w:p>
    <w:p w14:paraId="279454A1" w14:textId="77777777" w:rsidR="00DE3AB2" w:rsidRPr="00E10BE6" w:rsidRDefault="00DE3AB2" w:rsidP="00DE3AB2">
      <w:pPr>
        <w:pStyle w:val="Nadpis1"/>
        <w:numPr>
          <w:ilvl w:val="0"/>
          <w:numId w:val="0"/>
        </w:numPr>
        <w:ind w:left="431"/>
      </w:pPr>
      <w:bookmarkStart w:id="119" w:name="_Toc3454719"/>
      <w:r w:rsidRPr="00E10BE6">
        <w:lastRenderedPageBreak/>
        <w:t>Seznam použitých zdrojů</w:t>
      </w:r>
      <w:bookmarkEnd w:id="119"/>
      <w:r w:rsidRPr="00E10BE6">
        <w:t xml:space="preserve"> </w:t>
      </w:r>
    </w:p>
    <w:p w14:paraId="007F6468" w14:textId="77777777" w:rsidR="00DE3AB2" w:rsidRPr="00E10BE6" w:rsidRDefault="00DE3AB2" w:rsidP="00DE3AB2">
      <w:pPr>
        <w:spacing w:after="0" w:line="360" w:lineRule="auto"/>
        <w:jc w:val="both"/>
        <w:rPr>
          <w:rFonts w:ascii="Times New Roman" w:hAnsi="Times New Roman" w:cs="Times New Roman"/>
          <w:b/>
          <w:sz w:val="24"/>
          <w:szCs w:val="24"/>
        </w:rPr>
      </w:pPr>
    </w:p>
    <w:p w14:paraId="323B9AEF" w14:textId="77777777" w:rsidR="00DE3AB2" w:rsidRPr="00E10BE6" w:rsidRDefault="00DE3AB2" w:rsidP="00DE3AB2">
      <w:pPr>
        <w:pStyle w:val="Nadpis2"/>
        <w:numPr>
          <w:ilvl w:val="0"/>
          <w:numId w:val="0"/>
        </w:numPr>
        <w:ind w:left="578"/>
      </w:pPr>
      <w:bookmarkStart w:id="120" w:name="_Toc3454720"/>
      <w:r w:rsidRPr="00E10BE6">
        <w:t>Monografie a komentáře</w:t>
      </w:r>
      <w:bookmarkEnd w:id="120"/>
    </w:p>
    <w:p w14:paraId="33B3A2A9"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BARTOŇ, M. a kolektiv. </w:t>
      </w:r>
      <w:r w:rsidRPr="00E10BE6">
        <w:rPr>
          <w:rFonts w:ascii="Times New Roman" w:hAnsi="Times New Roman" w:cs="Times New Roman"/>
          <w:i/>
          <w:sz w:val="24"/>
          <w:szCs w:val="24"/>
        </w:rPr>
        <w:t>Základní práva</w:t>
      </w:r>
      <w:r w:rsidRPr="00E10BE6">
        <w:rPr>
          <w:rFonts w:ascii="Times New Roman" w:hAnsi="Times New Roman" w:cs="Times New Roman"/>
          <w:sz w:val="24"/>
          <w:szCs w:val="24"/>
        </w:rPr>
        <w:t xml:space="preserve">. Praha: </w:t>
      </w:r>
      <w:proofErr w:type="spellStart"/>
      <w:r w:rsidRPr="00E10BE6">
        <w:rPr>
          <w:rFonts w:ascii="Times New Roman" w:hAnsi="Times New Roman" w:cs="Times New Roman"/>
          <w:sz w:val="24"/>
          <w:szCs w:val="24"/>
        </w:rPr>
        <w:t>Leges</w:t>
      </w:r>
      <w:proofErr w:type="spellEnd"/>
      <w:r w:rsidRPr="00E10BE6">
        <w:rPr>
          <w:rFonts w:ascii="Times New Roman" w:hAnsi="Times New Roman" w:cs="Times New Roman"/>
          <w:sz w:val="24"/>
          <w:szCs w:val="24"/>
        </w:rPr>
        <w:t>, 2016, 608 s.</w:t>
      </w:r>
    </w:p>
    <w:p w14:paraId="0D73F897" w14:textId="77777777" w:rsidR="00DE3AB2" w:rsidRPr="00E10BE6" w:rsidRDefault="00DE3AB2" w:rsidP="00C902B7">
      <w:pPr>
        <w:numPr>
          <w:ilvl w:val="0"/>
          <w:numId w:val="15"/>
        </w:numPr>
        <w:spacing w:after="0" w:line="360" w:lineRule="auto"/>
        <w:contextualSpacing/>
        <w:jc w:val="both"/>
        <w:rPr>
          <w:rFonts w:ascii="Times New Roman" w:eastAsia="Calibri" w:hAnsi="Times New Roman" w:cs="Times New Roman"/>
          <w:sz w:val="24"/>
          <w:szCs w:val="24"/>
        </w:rPr>
      </w:pPr>
      <w:r w:rsidRPr="00E10BE6">
        <w:rPr>
          <w:rFonts w:ascii="Times New Roman" w:eastAsia="Calibri" w:hAnsi="Times New Roman" w:cs="Times New Roman"/>
          <w:sz w:val="24"/>
          <w:szCs w:val="24"/>
        </w:rPr>
        <w:t xml:space="preserve">BOBEK Michal a kol. </w:t>
      </w:r>
      <w:r w:rsidRPr="00E10BE6">
        <w:rPr>
          <w:rFonts w:ascii="Times New Roman" w:eastAsia="Calibri" w:hAnsi="Times New Roman" w:cs="Times New Roman"/>
          <w:i/>
          <w:sz w:val="24"/>
          <w:szCs w:val="24"/>
        </w:rPr>
        <w:t xml:space="preserve">Evropská úmluva o lidských právech. </w:t>
      </w:r>
      <w:r w:rsidRPr="00E10BE6">
        <w:rPr>
          <w:rFonts w:ascii="Times New Roman" w:eastAsia="Calibri" w:hAnsi="Times New Roman" w:cs="Times New Roman"/>
          <w:sz w:val="24"/>
          <w:szCs w:val="24"/>
        </w:rPr>
        <w:t>Komentář. 1. vydání. Praha: C. H. Beck, 2012, 1660 s.</w:t>
      </w:r>
    </w:p>
    <w:p w14:paraId="351463C1" w14:textId="77777777" w:rsidR="00DE3AB2" w:rsidRPr="00E10BE6" w:rsidRDefault="00DE3AB2" w:rsidP="00C902B7">
      <w:pPr>
        <w:numPr>
          <w:ilvl w:val="0"/>
          <w:numId w:val="15"/>
        </w:numPr>
        <w:spacing w:after="0" w:line="360" w:lineRule="auto"/>
        <w:contextualSpacing/>
        <w:jc w:val="both"/>
        <w:rPr>
          <w:rFonts w:ascii="Times New Roman" w:eastAsia="Calibri" w:hAnsi="Times New Roman" w:cs="Times New Roman"/>
          <w:sz w:val="24"/>
          <w:szCs w:val="24"/>
        </w:rPr>
      </w:pPr>
      <w:r w:rsidRPr="00E10BE6">
        <w:rPr>
          <w:rFonts w:ascii="Times New Roman" w:eastAsia="Calibri" w:hAnsi="Times New Roman" w:cs="Times New Roman"/>
          <w:sz w:val="24"/>
          <w:szCs w:val="24"/>
        </w:rPr>
        <w:t xml:space="preserve">ČERNÁ, Dagmar. </w:t>
      </w:r>
      <w:r w:rsidRPr="00E10BE6">
        <w:rPr>
          <w:rFonts w:ascii="Times New Roman" w:eastAsia="Calibri" w:hAnsi="Times New Roman" w:cs="Times New Roman"/>
          <w:i/>
          <w:sz w:val="24"/>
          <w:szCs w:val="24"/>
        </w:rPr>
        <w:t xml:space="preserve">Standard lidských práv v Evropě. </w:t>
      </w:r>
      <w:r w:rsidRPr="00E10BE6">
        <w:rPr>
          <w:rFonts w:ascii="Times New Roman" w:eastAsia="Calibri" w:hAnsi="Times New Roman" w:cs="Times New Roman"/>
          <w:sz w:val="24"/>
          <w:szCs w:val="24"/>
        </w:rPr>
        <w:t>Praha: Univerzita Karlova, 2009, 161 s.</w:t>
      </w:r>
    </w:p>
    <w:p w14:paraId="6A43A95B" w14:textId="77777777" w:rsidR="00DE3AB2" w:rsidRPr="00E10BE6" w:rsidRDefault="00DE3AB2" w:rsidP="00C902B7">
      <w:pPr>
        <w:numPr>
          <w:ilvl w:val="0"/>
          <w:numId w:val="15"/>
        </w:numPr>
        <w:spacing w:after="0" w:line="360" w:lineRule="auto"/>
        <w:contextualSpacing/>
        <w:jc w:val="both"/>
        <w:rPr>
          <w:rFonts w:ascii="Times New Roman" w:eastAsia="Calibri" w:hAnsi="Times New Roman" w:cs="Times New Roman"/>
          <w:sz w:val="24"/>
          <w:szCs w:val="24"/>
        </w:rPr>
      </w:pPr>
      <w:r w:rsidRPr="00E10BE6">
        <w:rPr>
          <w:rFonts w:ascii="Times New Roman" w:hAnsi="Times New Roman" w:cs="Times New Roman"/>
          <w:sz w:val="24"/>
          <w:szCs w:val="24"/>
        </w:rPr>
        <w:t xml:space="preserve">KOPA, Martin. </w:t>
      </w:r>
      <w:r w:rsidRPr="00E10BE6">
        <w:rPr>
          <w:rFonts w:ascii="Times New Roman" w:hAnsi="Times New Roman" w:cs="Times New Roman"/>
          <w:i/>
          <w:sz w:val="24"/>
          <w:szCs w:val="24"/>
        </w:rPr>
        <w:t xml:space="preserve">Doktrína prostoru pro uvážení (margin of appreciation) v judikatuře Evropského soudu pro lidská práva. </w:t>
      </w:r>
      <w:r w:rsidRPr="00E10BE6">
        <w:rPr>
          <w:rFonts w:ascii="Times New Roman" w:hAnsi="Times New Roman" w:cs="Times New Roman"/>
          <w:sz w:val="24"/>
          <w:szCs w:val="24"/>
        </w:rPr>
        <w:t xml:space="preserve">Praha: </w:t>
      </w:r>
      <w:proofErr w:type="spellStart"/>
      <w:r w:rsidRPr="00E10BE6">
        <w:rPr>
          <w:rFonts w:ascii="Times New Roman" w:hAnsi="Times New Roman" w:cs="Times New Roman"/>
          <w:sz w:val="24"/>
          <w:szCs w:val="24"/>
        </w:rPr>
        <w:t>Leges</w:t>
      </w:r>
      <w:proofErr w:type="spellEnd"/>
      <w:r w:rsidRPr="00E10BE6">
        <w:rPr>
          <w:rFonts w:ascii="Times New Roman" w:hAnsi="Times New Roman" w:cs="Times New Roman"/>
          <w:sz w:val="24"/>
          <w:szCs w:val="24"/>
        </w:rPr>
        <w:t>, 2014, 208 s.</w:t>
      </w:r>
    </w:p>
    <w:p w14:paraId="40C50022" w14:textId="77777777" w:rsidR="00DE3AB2" w:rsidRPr="00E10BE6" w:rsidRDefault="00DE3AB2" w:rsidP="00C902B7">
      <w:pPr>
        <w:numPr>
          <w:ilvl w:val="0"/>
          <w:numId w:val="15"/>
        </w:numPr>
        <w:spacing w:after="0" w:line="360" w:lineRule="auto"/>
        <w:contextualSpacing/>
        <w:jc w:val="both"/>
        <w:rPr>
          <w:rFonts w:ascii="Times New Roman" w:eastAsia="Calibri" w:hAnsi="Times New Roman" w:cs="Times New Roman"/>
          <w:sz w:val="24"/>
          <w:szCs w:val="24"/>
        </w:rPr>
      </w:pPr>
      <w:r w:rsidRPr="00E10BE6">
        <w:rPr>
          <w:rFonts w:ascii="Times New Roman" w:hAnsi="Times New Roman" w:cs="Times New Roman"/>
          <w:sz w:val="24"/>
          <w:szCs w:val="24"/>
        </w:rPr>
        <w:t xml:space="preserve">ŠIŠKOVÁ, Naděžda. </w:t>
      </w:r>
      <w:r w:rsidRPr="00E10BE6">
        <w:rPr>
          <w:rFonts w:ascii="Times New Roman" w:hAnsi="Times New Roman" w:cs="Times New Roman"/>
          <w:i/>
          <w:sz w:val="24"/>
          <w:szCs w:val="24"/>
        </w:rPr>
        <w:t xml:space="preserve">Dimenze ochrany lidských práv v Evropské Unii. </w:t>
      </w:r>
      <w:r w:rsidRPr="00E10BE6">
        <w:rPr>
          <w:rFonts w:ascii="Times New Roman" w:hAnsi="Times New Roman" w:cs="Times New Roman"/>
          <w:sz w:val="24"/>
          <w:szCs w:val="24"/>
        </w:rPr>
        <w:t>2. vydání. Praha: Linde, 2008, 225 s.</w:t>
      </w:r>
    </w:p>
    <w:p w14:paraId="60A2E214"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SPRATEK, Daniel. </w:t>
      </w:r>
      <w:r w:rsidRPr="00E10BE6">
        <w:rPr>
          <w:rFonts w:ascii="Times New Roman" w:hAnsi="Times New Roman" w:cs="Times New Roman"/>
          <w:i/>
          <w:sz w:val="24"/>
          <w:szCs w:val="24"/>
        </w:rPr>
        <w:t>Evropská ochrana náboženské svobody</w:t>
      </w:r>
      <w:r w:rsidRPr="00E10BE6">
        <w:rPr>
          <w:rFonts w:ascii="Times New Roman" w:hAnsi="Times New Roman" w:cs="Times New Roman"/>
          <w:sz w:val="24"/>
          <w:szCs w:val="24"/>
        </w:rPr>
        <w:t>. Brno: L. Marek, 2008, 228 s.</w:t>
      </w:r>
    </w:p>
    <w:p w14:paraId="0CFEF3DB" w14:textId="4159D267" w:rsidR="00DE3AB2" w:rsidRPr="00241AD1"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WAGNEROVÁ, E., ŠIMÍČEK, V., LANGÁŠEK, T., POSPÍŠIL, I. a kol. </w:t>
      </w:r>
      <w:r w:rsidRPr="00E10BE6">
        <w:rPr>
          <w:rFonts w:ascii="Times New Roman" w:hAnsi="Times New Roman" w:cs="Times New Roman"/>
          <w:i/>
          <w:sz w:val="24"/>
          <w:szCs w:val="24"/>
        </w:rPr>
        <w:t>Listina základních práv a svobod</w:t>
      </w:r>
      <w:r w:rsidRPr="00E10BE6">
        <w:rPr>
          <w:rFonts w:ascii="Times New Roman" w:hAnsi="Times New Roman" w:cs="Times New Roman"/>
          <w:sz w:val="24"/>
          <w:szCs w:val="24"/>
        </w:rPr>
        <w:t xml:space="preserve">. Komentář. 1. vydání. Praha: </w:t>
      </w:r>
      <w:proofErr w:type="spellStart"/>
      <w:r w:rsidRPr="00E10BE6">
        <w:rPr>
          <w:rFonts w:ascii="Times New Roman" w:hAnsi="Times New Roman" w:cs="Times New Roman"/>
          <w:sz w:val="24"/>
          <w:szCs w:val="24"/>
        </w:rPr>
        <w:t>Wolters</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Kluwer</w:t>
      </w:r>
      <w:proofErr w:type="spellEnd"/>
      <w:r w:rsidRPr="00E10BE6">
        <w:rPr>
          <w:rFonts w:ascii="Times New Roman" w:hAnsi="Times New Roman" w:cs="Times New Roman"/>
          <w:sz w:val="24"/>
          <w:szCs w:val="24"/>
        </w:rPr>
        <w:t xml:space="preserve"> ČR, a.s., 2012, 931 s.</w:t>
      </w:r>
    </w:p>
    <w:p w14:paraId="2BDDE2F7" w14:textId="77777777" w:rsidR="00DE3AB2" w:rsidRPr="00E10BE6" w:rsidRDefault="00DE3AB2" w:rsidP="00DE3AB2">
      <w:pPr>
        <w:pStyle w:val="Nadpis2"/>
        <w:numPr>
          <w:ilvl w:val="0"/>
          <w:numId w:val="0"/>
        </w:numPr>
        <w:ind w:left="578"/>
      </w:pPr>
      <w:bookmarkStart w:id="121" w:name="_Toc3454721"/>
      <w:r w:rsidRPr="00E10BE6">
        <w:t>Odborné články</w:t>
      </w:r>
      <w:bookmarkEnd w:id="121"/>
    </w:p>
    <w:p w14:paraId="7A58DF5D" w14:textId="77777777" w:rsidR="00DE3AB2" w:rsidRPr="00E10BE6" w:rsidRDefault="00DE3AB2" w:rsidP="00C902B7">
      <w:pPr>
        <w:numPr>
          <w:ilvl w:val="0"/>
          <w:numId w:val="15"/>
        </w:numPr>
        <w:spacing w:after="0" w:line="360" w:lineRule="auto"/>
        <w:ind w:left="714" w:hanging="357"/>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ALADAĞ GÖRENTAŞ, </w:t>
      </w:r>
      <w:proofErr w:type="spellStart"/>
      <w:r w:rsidRPr="00E10BE6">
        <w:rPr>
          <w:rFonts w:ascii="Times New Roman" w:hAnsi="Times New Roman" w:cs="Times New Roman"/>
          <w:sz w:val="24"/>
          <w:szCs w:val="24"/>
        </w:rPr>
        <w:t>Itir</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Effects</w:t>
      </w:r>
      <w:proofErr w:type="spellEnd"/>
      <w:r w:rsidRPr="00E10BE6">
        <w:rPr>
          <w:rFonts w:ascii="Times New Roman" w:hAnsi="Times New Roman" w:cs="Times New Roman"/>
          <w:sz w:val="24"/>
          <w:szCs w:val="24"/>
        </w:rPr>
        <w:t xml:space="preserve"> of Margin of Appreciation </w:t>
      </w:r>
      <w:proofErr w:type="spellStart"/>
      <w:r w:rsidRPr="00E10BE6">
        <w:rPr>
          <w:rFonts w:ascii="Times New Roman" w:hAnsi="Times New Roman" w:cs="Times New Roman"/>
          <w:sz w:val="24"/>
          <w:szCs w:val="24"/>
        </w:rPr>
        <w:t>Doctrine</w:t>
      </w:r>
      <w:proofErr w:type="spellEnd"/>
      <w:r w:rsidRPr="00E10BE6">
        <w:rPr>
          <w:rFonts w:ascii="Times New Roman" w:hAnsi="Times New Roman" w:cs="Times New Roman"/>
          <w:sz w:val="24"/>
          <w:szCs w:val="24"/>
        </w:rPr>
        <w:t xml:space="preserve"> on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European</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Court</w:t>
      </w:r>
      <w:proofErr w:type="spellEnd"/>
      <w:r w:rsidRPr="00E10BE6">
        <w:rPr>
          <w:rFonts w:ascii="Times New Roman" w:hAnsi="Times New Roman" w:cs="Times New Roman"/>
          <w:sz w:val="24"/>
          <w:szCs w:val="24"/>
        </w:rPr>
        <w:t xml:space="preserve"> of Human Rights: </w:t>
      </w:r>
      <w:proofErr w:type="spellStart"/>
      <w:r w:rsidRPr="00E10BE6">
        <w:rPr>
          <w:rFonts w:ascii="Times New Roman" w:hAnsi="Times New Roman" w:cs="Times New Roman"/>
          <w:sz w:val="24"/>
          <w:szCs w:val="24"/>
        </w:rPr>
        <w:t>Upholding</w:t>
      </w:r>
      <w:proofErr w:type="spellEnd"/>
      <w:r w:rsidRPr="00E10BE6">
        <w:rPr>
          <w:rFonts w:ascii="Times New Roman" w:hAnsi="Times New Roman" w:cs="Times New Roman"/>
          <w:sz w:val="24"/>
          <w:szCs w:val="24"/>
        </w:rPr>
        <w:t xml:space="preserve"> Public Morality </w:t>
      </w:r>
      <w:proofErr w:type="spellStart"/>
      <w:r w:rsidRPr="00E10BE6">
        <w:rPr>
          <w:rFonts w:ascii="Times New Roman" w:hAnsi="Times New Roman" w:cs="Times New Roman"/>
          <w:sz w:val="24"/>
          <w:szCs w:val="24"/>
        </w:rPr>
        <w:t>over</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Fundamental</w:t>
      </w:r>
      <w:proofErr w:type="spellEnd"/>
      <w:r w:rsidRPr="00E10BE6">
        <w:rPr>
          <w:rFonts w:ascii="Times New Roman" w:hAnsi="Times New Roman" w:cs="Times New Roman"/>
          <w:sz w:val="24"/>
          <w:szCs w:val="24"/>
        </w:rPr>
        <w:t xml:space="preserve"> Rights. </w:t>
      </w:r>
      <w:proofErr w:type="spellStart"/>
      <w:r w:rsidRPr="00E10BE6">
        <w:rPr>
          <w:rFonts w:ascii="Times New Roman" w:hAnsi="Times New Roman" w:cs="Times New Roman"/>
          <w:i/>
          <w:sz w:val="24"/>
          <w:szCs w:val="24"/>
        </w:rPr>
        <w:t>Journal</w:t>
      </w:r>
      <w:proofErr w:type="spellEnd"/>
      <w:r w:rsidRPr="00E10BE6">
        <w:rPr>
          <w:rFonts w:ascii="Times New Roman" w:hAnsi="Times New Roman" w:cs="Times New Roman"/>
          <w:i/>
          <w:sz w:val="24"/>
          <w:szCs w:val="24"/>
        </w:rPr>
        <w:t xml:space="preserve"> of </w:t>
      </w:r>
      <w:proofErr w:type="spellStart"/>
      <w:r w:rsidRPr="00E10BE6">
        <w:rPr>
          <w:rFonts w:ascii="Times New Roman" w:hAnsi="Times New Roman" w:cs="Times New Roman"/>
          <w:i/>
          <w:sz w:val="24"/>
          <w:szCs w:val="24"/>
        </w:rPr>
        <w:t>Academic</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Inquiries</w:t>
      </w:r>
      <w:proofErr w:type="spellEnd"/>
      <w:r w:rsidRPr="00E10BE6">
        <w:rPr>
          <w:rFonts w:ascii="Times New Roman" w:hAnsi="Times New Roman" w:cs="Times New Roman"/>
          <w:sz w:val="24"/>
          <w:szCs w:val="24"/>
        </w:rPr>
        <w:t>, 2016, roč. 11, č. 2, s. 213.</w:t>
      </w:r>
    </w:p>
    <w:p w14:paraId="3E7DF77C" w14:textId="77777777" w:rsidR="00DE3AB2" w:rsidRPr="00E10BE6" w:rsidRDefault="00DE3AB2" w:rsidP="00C902B7">
      <w:pPr>
        <w:numPr>
          <w:ilvl w:val="0"/>
          <w:numId w:val="15"/>
        </w:numPr>
        <w:spacing w:after="0" w:line="360" w:lineRule="auto"/>
        <w:ind w:left="714" w:hanging="357"/>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GERARDS, </w:t>
      </w:r>
      <w:proofErr w:type="spellStart"/>
      <w:r w:rsidRPr="00E10BE6">
        <w:rPr>
          <w:rFonts w:ascii="Times New Roman" w:hAnsi="Times New Roman" w:cs="Times New Roman"/>
          <w:sz w:val="24"/>
          <w:szCs w:val="24"/>
        </w:rPr>
        <w:t>Janneke</w:t>
      </w:r>
      <w:proofErr w:type="spellEnd"/>
      <w:r w:rsidRPr="00E10BE6">
        <w:rPr>
          <w:rFonts w:ascii="Times New Roman" w:hAnsi="Times New Roman" w:cs="Times New Roman"/>
          <w:sz w:val="24"/>
          <w:szCs w:val="24"/>
        </w:rPr>
        <w:t xml:space="preserve">. Margin of Appreciation and </w:t>
      </w:r>
      <w:proofErr w:type="spellStart"/>
      <w:r w:rsidRPr="00E10BE6">
        <w:rPr>
          <w:rFonts w:ascii="Times New Roman" w:hAnsi="Times New Roman" w:cs="Times New Roman"/>
          <w:sz w:val="24"/>
          <w:szCs w:val="24"/>
        </w:rPr>
        <w:t>Incrementalism</w:t>
      </w:r>
      <w:proofErr w:type="spellEnd"/>
      <w:r w:rsidRPr="00E10BE6">
        <w:rPr>
          <w:rFonts w:ascii="Times New Roman" w:hAnsi="Times New Roman" w:cs="Times New Roman"/>
          <w:sz w:val="24"/>
          <w:szCs w:val="24"/>
        </w:rPr>
        <w:t xml:space="preserve"> in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Case Law of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European</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Court</w:t>
      </w:r>
      <w:proofErr w:type="spellEnd"/>
      <w:r w:rsidRPr="00E10BE6">
        <w:rPr>
          <w:rFonts w:ascii="Times New Roman" w:hAnsi="Times New Roman" w:cs="Times New Roman"/>
          <w:sz w:val="24"/>
          <w:szCs w:val="24"/>
        </w:rPr>
        <w:t xml:space="preserve"> of Human Rights. </w:t>
      </w:r>
      <w:r w:rsidRPr="00E10BE6">
        <w:rPr>
          <w:rFonts w:ascii="Times New Roman" w:hAnsi="Times New Roman" w:cs="Times New Roman"/>
          <w:i/>
          <w:sz w:val="24"/>
          <w:szCs w:val="24"/>
        </w:rPr>
        <w:t xml:space="preserve">Human Rights Law </w:t>
      </w:r>
      <w:proofErr w:type="spellStart"/>
      <w:r w:rsidRPr="00E10BE6">
        <w:rPr>
          <w:rFonts w:ascii="Times New Roman" w:hAnsi="Times New Roman" w:cs="Times New Roman"/>
          <w:i/>
          <w:sz w:val="24"/>
          <w:szCs w:val="24"/>
        </w:rPr>
        <w:t>Review</w:t>
      </w:r>
      <w:proofErr w:type="spellEnd"/>
      <w:r w:rsidRPr="00E10BE6">
        <w:rPr>
          <w:rFonts w:ascii="Times New Roman" w:hAnsi="Times New Roman" w:cs="Times New Roman"/>
          <w:sz w:val="24"/>
          <w:szCs w:val="24"/>
        </w:rPr>
        <w:t>, 2018, roč. 18, č. 3, s. 495-515.</w:t>
      </w:r>
    </w:p>
    <w:p w14:paraId="018C1DE7" w14:textId="1BE199F7" w:rsidR="00DE3AB2" w:rsidRPr="00E10BE6" w:rsidRDefault="00DE3AB2" w:rsidP="00C902B7">
      <w:pPr>
        <w:numPr>
          <w:ilvl w:val="0"/>
          <w:numId w:val="15"/>
        </w:numPr>
        <w:spacing w:after="0" w:line="360" w:lineRule="auto"/>
        <w:ind w:left="714" w:hanging="357"/>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KRATOCHVÍL, Jan.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Inflation</w:t>
      </w:r>
      <w:proofErr w:type="spellEnd"/>
      <w:r w:rsidRPr="00E10BE6">
        <w:rPr>
          <w:rFonts w:ascii="Times New Roman" w:hAnsi="Times New Roman" w:cs="Times New Roman"/>
          <w:sz w:val="24"/>
          <w:szCs w:val="24"/>
        </w:rPr>
        <w:t xml:space="preserve"> of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Margin of Appreciation by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European</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Court</w:t>
      </w:r>
      <w:proofErr w:type="spellEnd"/>
      <w:r w:rsidRPr="00E10BE6">
        <w:rPr>
          <w:rFonts w:ascii="Times New Roman" w:hAnsi="Times New Roman" w:cs="Times New Roman"/>
          <w:sz w:val="24"/>
          <w:szCs w:val="24"/>
        </w:rPr>
        <w:t xml:space="preserve"> of Human Rights. </w:t>
      </w:r>
      <w:proofErr w:type="spellStart"/>
      <w:r w:rsidRPr="00E10BE6">
        <w:rPr>
          <w:rFonts w:ascii="Times New Roman" w:hAnsi="Times New Roman" w:cs="Times New Roman"/>
          <w:i/>
          <w:sz w:val="24"/>
          <w:szCs w:val="24"/>
        </w:rPr>
        <w:t>Netherlands</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Quarterly</w:t>
      </w:r>
      <w:proofErr w:type="spellEnd"/>
      <w:r w:rsidRPr="00E10BE6">
        <w:rPr>
          <w:rFonts w:ascii="Times New Roman" w:hAnsi="Times New Roman" w:cs="Times New Roman"/>
          <w:i/>
          <w:sz w:val="24"/>
          <w:szCs w:val="24"/>
        </w:rPr>
        <w:t xml:space="preserve"> of Human Rights</w:t>
      </w:r>
      <w:r w:rsidRPr="00E10BE6">
        <w:rPr>
          <w:rFonts w:ascii="Times New Roman" w:hAnsi="Times New Roman" w:cs="Times New Roman"/>
          <w:sz w:val="24"/>
          <w:szCs w:val="24"/>
        </w:rPr>
        <w:t>, 2011, roč. 29, č. 3, s. 32</w:t>
      </w:r>
      <w:r w:rsidR="009337B0">
        <w:rPr>
          <w:rFonts w:ascii="Times New Roman" w:hAnsi="Times New Roman" w:cs="Times New Roman"/>
          <w:sz w:val="24"/>
          <w:szCs w:val="24"/>
        </w:rPr>
        <w:t>4-357</w:t>
      </w:r>
      <w:r w:rsidRPr="00E10BE6">
        <w:rPr>
          <w:rFonts w:ascii="Times New Roman" w:hAnsi="Times New Roman" w:cs="Times New Roman"/>
          <w:sz w:val="24"/>
          <w:szCs w:val="24"/>
        </w:rPr>
        <w:t>.</w:t>
      </w:r>
    </w:p>
    <w:p w14:paraId="7763CFD3" w14:textId="77777777" w:rsidR="00DE3AB2" w:rsidRPr="00E10BE6" w:rsidRDefault="00DE3AB2" w:rsidP="00C902B7">
      <w:pPr>
        <w:numPr>
          <w:ilvl w:val="0"/>
          <w:numId w:val="15"/>
        </w:numPr>
        <w:spacing w:after="0" w:line="360" w:lineRule="auto"/>
        <w:ind w:left="714" w:hanging="357"/>
        <w:contextualSpacing/>
        <w:jc w:val="both"/>
        <w:rPr>
          <w:rFonts w:ascii="Times New Roman" w:hAnsi="Times New Roman" w:cs="Times New Roman"/>
          <w:sz w:val="24"/>
          <w:szCs w:val="24"/>
        </w:rPr>
      </w:pPr>
      <w:proofErr w:type="spellStart"/>
      <w:r w:rsidRPr="00E10BE6">
        <w:rPr>
          <w:rFonts w:ascii="Times New Roman" w:hAnsi="Times New Roman" w:cs="Times New Roman"/>
          <w:sz w:val="24"/>
          <w:szCs w:val="24"/>
        </w:rPr>
        <w:t>McGOLDRICK</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Dominic</w:t>
      </w:r>
      <w:proofErr w:type="spellEnd"/>
      <w:r w:rsidRPr="00E10BE6">
        <w:rPr>
          <w:rFonts w:ascii="Times New Roman" w:hAnsi="Times New Roman" w:cs="Times New Roman"/>
          <w:sz w:val="24"/>
          <w:szCs w:val="24"/>
        </w:rPr>
        <w:t xml:space="preserve">. A </w:t>
      </w:r>
      <w:proofErr w:type="spellStart"/>
      <w:r w:rsidRPr="00E10BE6">
        <w:rPr>
          <w:rFonts w:ascii="Times New Roman" w:hAnsi="Times New Roman" w:cs="Times New Roman"/>
          <w:sz w:val="24"/>
          <w:szCs w:val="24"/>
        </w:rPr>
        <w:t>Defence</w:t>
      </w:r>
      <w:proofErr w:type="spellEnd"/>
      <w:r w:rsidRPr="00E10BE6">
        <w:rPr>
          <w:rFonts w:ascii="Times New Roman" w:hAnsi="Times New Roman" w:cs="Times New Roman"/>
          <w:sz w:val="24"/>
          <w:szCs w:val="24"/>
        </w:rPr>
        <w:t xml:space="preserve"> of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Margin of Appreciation and </w:t>
      </w:r>
      <w:proofErr w:type="spellStart"/>
      <w:r w:rsidRPr="00E10BE6">
        <w:rPr>
          <w:rFonts w:ascii="Times New Roman" w:hAnsi="Times New Roman" w:cs="Times New Roman"/>
          <w:sz w:val="24"/>
          <w:szCs w:val="24"/>
        </w:rPr>
        <w:t>an</w:t>
      </w:r>
      <w:proofErr w:type="spellEnd"/>
      <w:r w:rsidRPr="00E10BE6">
        <w:rPr>
          <w:rFonts w:ascii="Times New Roman" w:hAnsi="Times New Roman" w:cs="Times New Roman"/>
          <w:sz w:val="24"/>
          <w:szCs w:val="24"/>
        </w:rPr>
        <w:t xml:space="preserve"> Argument for </w:t>
      </w:r>
      <w:proofErr w:type="spellStart"/>
      <w:r w:rsidRPr="00E10BE6">
        <w:rPr>
          <w:rFonts w:ascii="Times New Roman" w:hAnsi="Times New Roman" w:cs="Times New Roman"/>
          <w:sz w:val="24"/>
          <w:szCs w:val="24"/>
        </w:rPr>
        <w:t>its</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Application</w:t>
      </w:r>
      <w:proofErr w:type="spellEnd"/>
      <w:r w:rsidRPr="00E10BE6">
        <w:rPr>
          <w:rFonts w:ascii="Times New Roman" w:hAnsi="Times New Roman" w:cs="Times New Roman"/>
          <w:sz w:val="24"/>
          <w:szCs w:val="24"/>
        </w:rPr>
        <w:t xml:space="preserve"> by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Human Rights </w:t>
      </w:r>
      <w:proofErr w:type="spellStart"/>
      <w:r w:rsidRPr="00E10BE6">
        <w:rPr>
          <w:rFonts w:ascii="Times New Roman" w:hAnsi="Times New Roman" w:cs="Times New Roman"/>
          <w:sz w:val="24"/>
          <w:szCs w:val="24"/>
        </w:rPr>
        <w:t>Committe</w:t>
      </w:r>
      <w:proofErr w:type="spellEnd"/>
      <w:r w:rsidRPr="00E10BE6">
        <w:rPr>
          <w:rFonts w:ascii="Times New Roman" w:hAnsi="Times New Roman" w:cs="Times New Roman"/>
          <w:sz w:val="24"/>
          <w:szCs w:val="24"/>
        </w:rPr>
        <w:t xml:space="preserve">. </w:t>
      </w:r>
      <w:r w:rsidRPr="00E10BE6">
        <w:rPr>
          <w:rFonts w:ascii="Times New Roman" w:hAnsi="Times New Roman" w:cs="Times New Roman"/>
          <w:i/>
          <w:sz w:val="24"/>
          <w:szCs w:val="24"/>
        </w:rPr>
        <w:t xml:space="preserve">International &amp; </w:t>
      </w:r>
      <w:proofErr w:type="spellStart"/>
      <w:r w:rsidRPr="00E10BE6">
        <w:rPr>
          <w:rFonts w:ascii="Times New Roman" w:hAnsi="Times New Roman" w:cs="Times New Roman"/>
          <w:i/>
          <w:sz w:val="24"/>
          <w:szCs w:val="24"/>
        </w:rPr>
        <w:t>Comparative</w:t>
      </w:r>
      <w:proofErr w:type="spellEnd"/>
      <w:r w:rsidRPr="00E10BE6">
        <w:rPr>
          <w:rFonts w:ascii="Times New Roman" w:hAnsi="Times New Roman" w:cs="Times New Roman"/>
          <w:i/>
          <w:sz w:val="24"/>
          <w:szCs w:val="24"/>
        </w:rPr>
        <w:t xml:space="preserve"> Law </w:t>
      </w:r>
      <w:proofErr w:type="spellStart"/>
      <w:r w:rsidRPr="00E10BE6">
        <w:rPr>
          <w:rFonts w:ascii="Times New Roman" w:hAnsi="Times New Roman" w:cs="Times New Roman"/>
          <w:i/>
          <w:sz w:val="24"/>
          <w:szCs w:val="24"/>
        </w:rPr>
        <w:t>Quarterly</w:t>
      </w:r>
      <w:proofErr w:type="spellEnd"/>
      <w:r w:rsidRPr="00E10BE6">
        <w:rPr>
          <w:rFonts w:ascii="Times New Roman" w:hAnsi="Times New Roman" w:cs="Times New Roman"/>
          <w:i/>
          <w:sz w:val="24"/>
          <w:szCs w:val="24"/>
        </w:rPr>
        <w:t xml:space="preserve">, </w:t>
      </w:r>
      <w:r w:rsidRPr="00E10BE6">
        <w:rPr>
          <w:rFonts w:ascii="Times New Roman" w:hAnsi="Times New Roman" w:cs="Times New Roman"/>
          <w:sz w:val="24"/>
          <w:szCs w:val="24"/>
        </w:rPr>
        <w:t>2016, roč. 65, č. 1, s. 23-25.</w:t>
      </w:r>
    </w:p>
    <w:p w14:paraId="4B28D899" w14:textId="77777777" w:rsidR="00DE3AB2" w:rsidRPr="00E10BE6" w:rsidRDefault="00DE3AB2" w:rsidP="00C902B7">
      <w:pPr>
        <w:numPr>
          <w:ilvl w:val="0"/>
          <w:numId w:val="15"/>
        </w:numPr>
        <w:spacing w:after="0" w:line="360" w:lineRule="auto"/>
        <w:ind w:left="714" w:hanging="357"/>
        <w:contextualSpacing/>
        <w:jc w:val="both"/>
        <w:rPr>
          <w:rFonts w:ascii="Times New Roman" w:eastAsia="Calibri" w:hAnsi="Times New Roman" w:cs="Times New Roman"/>
          <w:sz w:val="24"/>
          <w:szCs w:val="24"/>
        </w:rPr>
      </w:pPr>
      <w:r w:rsidRPr="00E10BE6">
        <w:rPr>
          <w:rFonts w:ascii="Times New Roman" w:eastAsia="Calibri" w:hAnsi="Times New Roman" w:cs="Times New Roman"/>
          <w:sz w:val="24"/>
          <w:szCs w:val="24"/>
        </w:rPr>
        <w:lastRenderedPageBreak/>
        <w:t xml:space="preserve">SMITH, Rhona. </w:t>
      </w:r>
      <w:r w:rsidRPr="00E10BE6">
        <w:rPr>
          <w:rFonts w:ascii="Times New Roman" w:eastAsia="Calibri" w:hAnsi="Times New Roman" w:cs="Times New Roman"/>
          <w:i/>
          <w:sz w:val="24"/>
          <w:szCs w:val="24"/>
        </w:rPr>
        <w:t>International Human Rights Law</w:t>
      </w:r>
      <w:r w:rsidRPr="00E10BE6">
        <w:rPr>
          <w:rFonts w:ascii="Times New Roman" w:eastAsia="Calibri" w:hAnsi="Times New Roman" w:cs="Times New Roman"/>
          <w:sz w:val="24"/>
          <w:szCs w:val="24"/>
        </w:rPr>
        <w:t>. 8. vydání</w:t>
      </w:r>
      <w:r w:rsidRPr="00E10BE6">
        <w:rPr>
          <w:rFonts w:ascii="Times New Roman" w:eastAsia="Calibri" w:hAnsi="Times New Roman" w:cs="Times New Roman"/>
          <w:i/>
          <w:sz w:val="24"/>
          <w:szCs w:val="24"/>
        </w:rPr>
        <w:t xml:space="preserve">. </w:t>
      </w:r>
      <w:r w:rsidRPr="00E10BE6">
        <w:rPr>
          <w:rFonts w:ascii="Times New Roman" w:eastAsia="Calibri" w:hAnsi="Times New Roman" w:cs="Times New Roman"/>
          <w:sz w:val="24"/>
          <w:szCs w:val="24"/>
        </w:rPr>
        <w:t>Oxford University Press, 2017, s. 40</w:t>
      </w:r>
    </w:p>
    <w:p w14:paraId="1BB3C6F1" w14:textId="32A03664" w:rsidR="00DE3AB2" w:rsidRPr="00241AD1" w:rsidRDefault="00DE3AB2" w:rsidP="00C902B7">
      <w:pPr>
        <w:numPr>
          <w:ilvl w:val="0"/>
          <w:numId w:val="15"/>
        </w:numPr>
        <w:spacing w:after="0" w:line="360" w:lineRule="auto"/>
        <w:ind w:left="714" w:hanging="357"/>
        <w:contextualSpacing/>
        <w:jc w:val="both"/>
        <w:rPr>
          <w:rFonts w:ascii="Times New Roman" w:hAnsi="Times New Roman" w:cs="Times New Roman"/>
          <w:b/>
          <w:sz w:val="24"/>
          <w:szCs w:val="24"/>
        </w:rPr>
      </w:pPr>
      <w:r w:rsidRPr="00E10BE6">
        <w:rPr>
          <w:rFonts w:ascii="Times New Roman" w:hAnsi="Times New Roman"/>
          <w:sz w:val="24"/>
          <w:szCs w:val="24"/>
        </w:rPr>
        <w:t xml:space="preserve">ŠIMÁK, Martin. Lidská práva – od historie do současnosti. </w:t>
      </w:r>
      <w:r w:rsidRPr="00E10BE6">
        <w:rPr>
          <w:rFonts w:ascii="Times New Roman" w:hAnsi="Times New Roman"/>
          <w:i/>
          <w:sz w:val="24"/>
          <w:szCs w:val="24"/>
        </w:rPr>
        <w:t xml:space="preserve">Kontakt, </w:t>
      </w:r>
      <w:r w:rsidRPr="00E10BE6">
        <w:rPr>
          <w:rFonts w:ascii="Times New Roman" w:hAnsi="Times New Roman"/>
          <w:sz w:val="24"/>
          <w:szCs w:val="24"/>
        </w:rPr>
        <w:t>2005, roč. 7, č. 1-2, s. 118</w:t>
      </w:r>
    </w:p>
    <w:p w14:paraId="5AE3BC54" w14:textId="77777777" w:rsidR="00DE3AB2" w:rsidRPr="00E10BE6" w:rsidRDefault="00DE3AB2" w:rsidP="00DE3AB2">
      <w:pPr>
        <w:pStyle w:val="Nadpis2"/>
        <w:numPr>
          <w:ilvl w:val="0"/>
          <w:numId w:val="0"/>
        </w:numPr>
        <w:ind w:left="578"/>
      </w:pPr>
      <w:bookmarkStart w:id="122" w:name="_Toc3454722"/>
      <w:r w:rsidRPr="00E10BE6">
        <w:t>Právní předpisy</w:t>
      </w:r>
      <w:bookmarkEnd w:id="122"/>
    </w:p>
    <w:p w14:paraId="6DBCC5DE"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Úmluva o ochraně lidských práv a základních svobod, publikovaná ve Sbírce zákonů jako sdělení federálního ministerstva zahraničních věcí č. 209/1992 Sb., o sjednání Úmluvy o ochraně lidských práv a základních svobod a Protokolů na tuto Úmluvu navazujících, ve znění pozdějších předpisů</w:t>
      </w:r>
    </w:p>
    <w:p w14:paraId="7DFFD04D"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Usnesení předsednictva ČNR č. 2/1993 Sb., o vyhlášení Listiny základních práv a svobod jako součásti ústavního pořádku České republiky, ve znění pozdějších předpisů</w:t>
      </w:r>
    </w:p>
    <w:p w14:paraId="59E72783"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Směrnice Rady 2000/78/ES ze dne 27. listopadu 2000, kterou se stanoví obecný rámec pro rovné zacházení v zaměstnání a povolání. </w:t>
      </w:r>
      <w:proofErr w:type="spellStart"/>
      <w:r w:rsidRPr="00E10BE6">
        <w:rPr>
          <w:rFonts w:ascii="Times New Roman" w:hAnsi="Times New Roman" w:cs="Times New Roman"/>
          <w:sz w:val="24"/>
          <w:szCs w:val="24"/>
        </w:rPr>
        <w:t>Úř.věst</w:t>
      </w:r>
      <w:proofErr w:type="spellEnd"/>
      <w:r w:rsidRPr="00E10BE6">
        <w:rPr>
          <w:rFonts w:ascii="Times New Roman" w:hAnsi="Times New Roman" w:cs="Times New Roman"/>
          <w:sz w:val="24"/>
          <w:szCs w:val="24"/>
        </w:rPr>
        <w:t>. L 303, 2. prosince 2000</w:t>
      </w:r>
    </w:p>
    <w:p w14:paraId="266891B3" w14:textId="0B430B7E" w:rsidR="00DA735D" w:rsidRPr="00DA735D" w:rsidRDefault="00DA735D" w:rsidP="00C902B7">
      <w:pPr>
        <w:numPr>
          <w:ilvl w:val="0"/>
          <w:numId w:val="15"/>
        </w:numPr>
        <w:spacing w:after="0" w:line="360" w:lineRule="auto"/>
        <w:contextualSpacing/>
        <w:jc w:val="both"/>
        <w:rPr>
          <w:rFonts w:ascii="Times New Roman" w:hAnsi="Times New Roman" w:cs="Times New Roman"/>
          <w:sz w:val="28"/>
          <w:szCs w:val="24"/>
        </w:rPr>
      </w:pPr>
      <w:r w:rsidRPr="00DA735D">
        <w:rPr>
          <w:rFonts w:ascii="Times New Roman" w:hAnsi="Times New Roman" w:cs="Times New Roman"/>
          <w:sz w:val="24"/>
        </w:rPr>
        <w:t>Listina základních práv Evropské unie, vyhlášena v Úředním věstníku Evropské unie pod č. 2007/C 303/01 dne 14. prosince 2007.</w:t>
      </w:r>
    </w:p>
    <w:p w14:paraId="2026D39E"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Protokol č. 15 k Evropské úmluvě o ochraně základních lidských práv a svobod, ze dne 24.6.2013</w:t>
      </w:r>
    </w:p>
    <w:p w14:paraId="34CAD852" w14:textId="1D1B0A26" w:rsidR="00DE3AB2" w:rsidRPr="00C902B7" w:rsidRDefault="00DE3AB2" w:rsidP="00DE3AB2">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Smlouva o Evropské unii vyhlášena v Úředním věstníku Evropské unie pod č. 202/C dne 7. června 2016</w:t>
      </w:r>
    </w:p>
    <w:p w14:paraId="64D99961" w14:textId="77777777" w:rsidR="00DE3AB2" w:rsidRPr="00E10BE6" w:rsidRDefault="00DE3AB2" w:rsidP="00DE3AB2">
      <w:pPr>
        <w:pStyle w:val="Nadpis2"/>
        <w:numPr>
          <w:ilvl w:val="0"/>
          <w:numId w:val="0"/>
        </w:numPr>
        <w:ind w:left="578"/>
      </w:pPr>
      <w:bookmarkStart w:id="123" w:name="_Toc3454723"/>
      <w:r w:rsidRPr="00E10BE6">
        <w:t>Judikatura</w:t>
      </w:r>
      <w:bookmarkEnd w:id="123"/>
    </w:p>
    <w:p w14:paraId="0ADE050B" w14:textId="66925D8E" w:rsidR="00DE3AB2" w:rsidRPr="00E10BE6" w:rsidRDefault="00514CDA"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rPr>
        <w:t>Rozhodnutí</w:t>
      </w:r>
      <w:r w:rsidR="00DE3AB2" w:rsidRPr="00E10BE6">
        <w:rPr>
          <w:rFonts w:ascii="Times New Roman" w:hAnsi="Times New Roman" w:cs="Times New Roman"/>
          <w:sz w:val="24"/>
          <w:szCs w:val="24"/>
        </w:rPr>
        <w:t xml:space="preserve"> ESLP ve věci </w:t>
      </w:r>
      <w:proofErr w:type="spellStart"/>
      <w:r w:rsidR="00DE3AB2" w:rsidRPr="00E10BE6">
        <w:rPr>
          <w:rFonts w:ascii="Times New Roman" w:hAnsi="Times New Roman" w:cs="Times New Roman"/>
          <w:sz w:val="24"/>
          <w:szCs w:val="24"/>
        </w:rPr>
        <w:t>Handyside</w:t>
      </w:r>
      <w:proofErr w:type="spellEnd"/>
      <w:r w:rsidR="00DE3AB2" w:rsidRPr="00E10BE6">
        <w:rPr>
          <w:rFonts w:ascii="Times New Roman" w:hAnsi="Times New Roman" w:cs="Times New Roman"/>
          <w:sz w:val="24"/>
          <w:szCs w:val="24"/>
        </w:rPr>
        <w:t xml:space="preserve"> proti Spojenému království ze dne 7. prosince 1976, stížnost č. 5493</w:t>
      </w:r>
    </w:p>
    <w:p w14:paraId="02743291"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Rozhodnutí ESLP ve věci Irsko proti Spojenému království, ze dne 18. ledna 1978, stížnost č. 5310/71</w:t>
      </w:r>
    </w:p>
    <w:p w14:paraId="3EC4A7A9"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Nález Ústavního soudu ze dne 2. června 1999, </w:t>
      </w:r>
      <w:proofErr w:type="spellStart"/>
      <w:r w:rsidRPr="00E10BE6">
        <w:rPr>
          <w:rFonts w:ascii="Times New Roman" w:hAnsi="Times New Roman"/>
          <w:sz w:val="24"/>
          <w:szCs w:val="24"/>
        </w:rPr>
        <w:t>sp</w:t>
      </w:r>
      <w:proofErr w:type="spellEnd"/>
      <w:r w:rsidRPr="00E10BE6">
        <w:rPr>
          <w:rFonts w:ascii="Times New Roman" w:hAnsi="Times New Roman"/>
          <w:sz w:val="24"/>
          <w:szCs w:val="24"/>
        </w:rPr>
        <w:t xml:space="preserve">. zn. </w:t>
      </w:r>
      <w:proofErr w:type="spellStart"/>
      <w:r w:rsidRPr="00E10BE6">
        <w:rPr>
          <w:rFonts w:ascii="Times New Roman" w:hAnsi="Times New Roman"/>
          <w:sz w:val="24"/>
          <w:szCs w:val="24"/>
        </w:rPr>
        <w:t>Pl</w:t>
      </w:r>
      <w:proofErr w:type="spellEnd"/>
      <w:r w:rsidRPr="00E10BE6">
        <w:rPr>
          <w:rFonts w:ascii="Times New Roman" w:hAnsi="Times New Roman"/>
          <w:sz w:val="24"/>
          <w:szCs w:val="24"/>
        </w:rPr>
        <w:t>. ÚS 18/98</w:t>
      </w:r>
    </w:p>
    <w:p w14:paraId="1960E713"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Rozhodnutí ESLP ve věci </w:t>
      </w:r>
      <w:proofErr w:type="spellStart"/>
      <w:r w:rsidRPr="00E10BE6">
        <w:rPr>
          <w:rFonts w:ascii="Times New Roman" w:hAnsi="Times New Roman"/>
          <w:sz w:val="24"/>
          <w:szCs w:val="24"/>
        </w:rPr>
        <w:t>Cha’are</w:t>
      </w:r>
      <w:proofErr w:type="spellEnd"/>
      <w:r w:rsidRPr="00E10BE6">
        <w:rPr>
          <w:rFonts w:ascii="Times New Roman" w:hAnsi="Times New Roman"/>
          <w:sz w:val="24"/>
          <w:szCs w:val="24"/>
        </w:rPr>
        <w:t xml:space="preserve"> </w:t>
      </w:r>
      <w:proofErr w:type="spellStart"/>
      <w:r w:rsidRPr="00E10BE6">
        <w:rPr>
          <w:rFonts w:ascii="Times New Roman" w:hAnsi="Times New Roman"/>
          <w:sz w:val="24"/>
          <w:szCs w:val="24"/>
        </w:rPr>
        <w:t>Shalom</w:t>
      </w:r>
      <w:proofErr w:type="spellEnd"/>
      <w:r w:rsidRPr="00E10BE6">
        <w:rPr>
          <w:rFonts w:ascii="Times New Roman" w:hAnsi="Times New Roman"/>
          <w:sz w:val="24"/>
          <w:szCs w:val="24"/>
        </w:rPr>
        <w:t xml:space="preserve"> Ve </w:t>
      </w:r>
      <w:proofErr w:type="spellStart"/>
      <w:r w:rsidRPr="00E10BE6">
        <w:rPr>
          <w:rFonts w:ascii="Times New Roman" w:hAnsi="Times New Roman"/>
          <w:sz w:val="24"/>
          <w:szCs w:val="24"/>
        </w:rPr>
        <w:t>Tsedek</w:t>
      </w:r>
      <w:proofErr w:type="spellEnd"/>
      <w:r w:rsidRPr="00E10BE6">
        <w:rPr>
          <w:rFonts w:ascii="Times New Roman" w:hAnsi="Times New Roman"/>
          <w:sz w:val="24"/>
          <w:szCs w:val="24"/>
        </w:rPr>
        <w:t xml:space="preserve"> proti Francii, ze dne 20. června 2000, stížnost č. 27417/95</w:t>
      </w:r>
    </w:p>
    <w:p w14:paraId="358D84DE"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Rozhodnutí ESLP ve věci </w:t>
      </w:r>
      <w:proofErr w:type="spellStart"/>
      <w:r w:rsidRPr="00E10BE6">
        <w:rPr>
          <w:rFonts w:ascii="Times New Roman" w:hAnsi="Times New Roman"/>
          <w:sz w:val="24"/>
          <w:szCs w:val="24"/>
        </w:rPr>
        <w:t>Dahlab</w:t>
      </w:r>
      <w:proofErr w:type="spellEnd"/>
      <w:r w:rsidRPr="00E10BE6">
        <w:rPr>
          <w:rFonts w:ascii="Times New Roman" w:hAnsi="Times New Roman"/>
          <w:sz w:val="24"/>
          <w:szCs w:val="24"/>
        </w:rPr>
        <w:t xml:space="preserve"> proti Švýcarsku, ze dne 15. února 2001, stížnost č. 42393/98</w:t>
      </w:r>
    </w:p>
    <w:p w14:paraId="112EFEA2"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Nález Ústavního soudu ze dne 27. listopadu 2002, </w:t>
      </w:r>
      <w:proofErr w:type="spellStart"/>
      <w:r w:rsidRPr="00E10BE6">
        <w:rPr>
          <w:rFonts w:ascii="Times New Roman" w:hAnsi="Times New Roman"/>
          <w:sz w:val="24"/>
          <w:szCs w:val="24"/>
        </w:rPr>
        <w:t>sp</w:t>
      </w:r>
      <w:proofErr w:type="spellEnd"/>
      <w:r w:rsidRPr="00E10BE6">
        <w:rPr>
          <w:rFonts w:ascii="Times New Roman" w:hAnsi="Times New Roman"/>
          <w:sz w:val="24"/>
          <w:szCs w:val="24"/>
        </w:rPr>
        <w:t xml:space="preserve">. zn. </w:t>
      </w:r>
      <w:proofErr w:type="spellStart"/>
      <w:r w:rsidRPr="00E10BE6">
        <w:rPr>
          <w:rFonts w:ascii="Times New Roman" w:hAnsi="Times New Roman"/>
          <w:sz w:val="24"/>
          <w:szCs w:val="24"/>
        </w:rPr>
        <w:t>Pl</w:t>
      </w:r>
      <w:proofErr w:type="spellEnd"/>
      <w:r w:rsidRPr="00E10BE6">
        <w:rPr>
          <w:rFonts w:ascii="Times New Roman" w:hAnsi="Times New Roman"/>
          <w:sz w:val="24"/>
          <w:szCs w:val="24"/>
        </w:rPr>
        <w:t>. ÚS 6/02.</w:t>
      </w:r>
    </w:p>
    <w:p w14:paraId="52EB595A"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Nález Ústavního soudu ze dne 15. listopadu 2006 </w:t>
      </w:r>
      <w:proofErr w:type="spellStart"/>
      <w:r w:rsidRPr="00E10BE6">
        <w:rPr>
          <w:rFonts w:ascii="Times New Roman" w:hAnsi="Times New Roman"/>
          <w:sz w:val="24"/>
          <w:szCs w:val="24"/>
        </w:rPr>
        <w:t>sp</w:t>
      </w:r>
      <w:proofErr w:type="spellEnd"/>
      <w:r w:rsidRPr="00E10BE6">
        <w:rPr>
          <w:rFonts w:ascii="Times New Roman" w:hAnsi="Times New Roman"/>
          <w:sz w:val="24"/>
          <w:szCs w:val="24"/>
        </w:rPr>
        <w:t>. zn. I. ÚS 310/05.</w:t>
      </w:r>
    </w:p>
    <w:p w14:paraId="29CFBCFF"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lastRenderedPageBreak/>
        <w:t xml:space="preserve">Rozhodnutí ESLP ve věci </w:t>
      </w:r>
      <w:proofErr w:type="spellStart"/>
      <w:r w:rsidRPr="00E10BE6">
        <w:rPr>
          <w:rFonts w:ascii="Times New Roman" w:hAnsi="Times New Roman"/>
          <w:sz w:val="24"/>
          <w:szCs w:val="24"/>
        </w:rPr>
        <w:t>Dogru</w:t>
      </w:r>
      <w:proofErr w:type="spellEnd"/>
      <w:r w:rsidRPr="00E10BE6">
        <w:rPr>
          <w:rFonts w:ascii="Times New Roman" w:hAnsi="Times New Roman"/>
          <w:sz w:val="24"/>
          <w:szCs w:val="24"/>
        </w:rPr>
        <w:t xml:space="preserve"> proti Francii, ze dne 4. prosince 2008, stížnost č. 27058/05</w:t>
      </w:r>
    </w:p>
    <w:p w14:paraId="21923A50"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eastAsia="Calibri" w:hAnsi="Times New Roman" w:cs="Times New Roman"/>
          <w:sz w:val="24"/>
          <w:szCs w:val="24"/>
        </w:rPr>
        <w:t xml:space="preserve">Rozhodnutí ESLP ve věci </w:t>
      </w:r>
      <w:proofErr w:type="spellStart"/>
      <w:r w:rsidRPr="00E10BE6">
        <w:rPr>
          <w:rFonts w:ascii="Times New Roman" w:eastAsia="Calibri" w:hAnsi="Times New Roman" w:cs="Times New Roman"/>
          <w:sz w:val="24"/>
          <w:szCs w:val="24"/>
        </w:rPr>
        <w:t>Sinan</w:t>
      </w:r>
      <w:proofErr w:type="spellEnd"/>
      <w:r w:rsidRPr="00E10BE6">
        <w:rPr>
          <w:rFonts w:ascii="Times New Roman" w:eastAsia="Calibri" w:hAnsi="Times New Roman" w:cs="Times New Roman"/>
          <w:sz w:val="24"/>
          <w:szCs w:val="24"/>
        </w:rPr>
        <w:t xml:space="preserve"> </w:t>
      </w:r>
      <w:proofErr w:type="spellStart"/>
      <w:r w:rsidRPr="00E10BE6">
        <w:rPr>
          <w:rFonts w:ascii="Times New Roman" w:eastAsia="Calibri" w:hAnsi="Times New Roman" w:cs="Times New Roman"/>
          <w:sz w:val="24"/>
          <w:szCs w:val="24"/>
        </w:rPr>
        <w:t>Işik</w:t>
      </w:r>
      <w:proofErr w:type="spellEnd"/>
      <w:r w:rsidRPr="00E10BE6">
        <w:rPr>
          <w:rFonts w:ascii="Times New Roman" w:eastAsia="Calibri" w:hAnsi="Times New Roman" w:cs="Times New Roman"/>
          <w:sz w:val="24"/>
          <w:szCs w:val="24"/>
        </w:rPr>
        <w:t xml:space="preserve"> proti Turecku ze dne 2. února 2010, stížnost č. 21924/05.</w:t>
      </w:r>
    </w:p>
    <w:p w14:paraId="01D3C0F8"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Nález Ústavního soudu ze dne 1. července 2010, </w:t>
      </w:r>
      <w:proofErr w:type="spellStart"/>
      <w:r w:rsidRPr="00E10BE6">
        <w:rPr>
          <w:rFonts w:ascii="Times New Roman" w:hAnsi="Times New Roman"/>
          <w:sz w:val="24"/>
          <w:szCs w:val="24"/>
        </w:rPr>
        <w:t>sp</w:t>
      </w:r>
      <w:proofErr w:type="spellEnd"/>
      <w:r w:rsidRPr="00E10BE6">
        <w:rPr>
          <w:rFonts w:ascii="Times New Roman" w:hAnsi="Times New Roman"/>
          <w:sz w:val="24"/>
          <w:szCs w:val="24"/>
        </w:rPr>
        <w:t xml:space="preserve">. zn. </w:t>
      </w:r>
      <w:proofErr w:type="spellStart"/>
      <w:r w:rsidRPr="00E10BE6">
        <w:rPr>
          <w:rFonts w:ascii="Times New Roman" w:hAnsi="Times New Roman"/>
          <w:sz w:val="24"/>
          <w:szCs w:val="24"/>
        </w:rPr>
        <w:t>Pl.ÚS</w:t>
      </w:r>
      <w:proofErr w:type="spellEnd"/>
      <w:r w:rsidRPr="00E10BE6">
        <w:rPr>
          <w:rFonts w:ascii="Times New Roman" w:hAnsi="Times New Roman"/>
          <w:sz w:val="24"/>
          <w:szCs w:val="24"/>
        </w:rPr>
        <w:t xml:space="preserve"> 9/07</w:t>
      </w:r>
    </w:p>
    <w:p w14:paraId="339E9C86"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Rozhodnutí ESLP ve věci S.A.S. proti Francii, ze dne 1. července 2014, stížnost č. 43835/11</w:t>
      </w:r>
    </w:p>
    <w:p w14:paraId="66E77D86" w14:textId="77777777" w:rsidR="00DE3AB2" w:rsidRPr="00E10BE6"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Rozsudek Soudního dvora ve věci </w:t>
      </w:r>
      <w:proofErr w:type="spellStart"/>
      <w:r w:rsidRPr="00E10BE6">
        <w:rPr>
          <w:rFonts w:ascii="Times New Roman" w:hAnsi="Times New Roman" w:cs="Times New Roman"/>
          <w:sz w:val="24"/>
          <w:szCs w:val="24"/>
        </w:rPr>
        <w:t>Achbita</w:t>
      </w:r>
      <w:proofErr w:type="spellEnd"/>
      <w:r w:rsidRPr="00E10BE6">
        <w:rPr>
          <w:rFonts w:ascii="Times New Roman" w:hAnsi="Times New Roman" w:cs="Times New Roman"/>
          <w:sz w:val="24"/>
          <w:szCs w:val="24"/>
        </w:rPr>
        <w:t xml:space="preserve"> proti G4S, ze dne 14. března 2017</w:t>
      </w:r>
    </w:p>
    <w:p w14:paraId="4FFC74E9" w14:textId="78BA898E" w:rsidR="00DE3AB2" w:rsidRPr="00C902B7" w:rsidRDefault="00DE3AB2" w:rsidP="00C902B7">
      <w:pPr>
        <w:numPr>
          <w:ilvl w:val="0"/>
          <w:numId w:val="15"/>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Rozhodnutí ESLP ve věci Lachiri proti Belgii, ze dne 18. září 2018, stížnost č. 3413/09</w:t>
      </w:r>
    </w:p>
    <w:p w14:paraId="231DE62A" w14:textId="77777777" w:rsidR="00DE3AB2" w:rsidRPr="00E10BE6" w:rsidRDefault="00DE3AB2" w:rsidP="00DE3AB2">
      <w:pPr>
        <w:pStyle w:val="Nadpis2"/>
        <w:numPr>
          <w:ilvl w:val="0"/>
          <w:numId w:val="0"/>
        </w:numPr>
        <w:ind w:left="578"/>
      </w:pPr>
      <w:bookmarkStart w:id="124" w:name="_Toc3454724"/>
      <w:r w:rsidRPr="00E10BE6">
        <w:t>Internetové zdroje</w:t>
      </w:r>
      <w:bookmarkEnd w:id="124"/>
    </w:p>
    <w:p w14:paraId="4D1392BA"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BARINKA, Roman. </w:t>
      </w:r>
      <w:r w:rsidRPr="00E10BE6">
        <w:rPr>
          <w:rFonts w:ascii="Times New Roman" w:hAnsi="Times New Roman" w:cs="Times New Roman"/>
          <w:i/>
          <w:sz w:val="24"/>
          <w:szCs w:val="24"/>
        </w:rPr>
        <w:t xml:space="preserve">Evropská úmluva o lidských právech a doktrína margin of appreciation </w:t>
      </w:r>
      <w:r w:rsidRPr="00E10BE6">
        <w:rPr>
          <w:rFonts w:ascii="Times New Roman" w:hAnsi="Times New Roman" w:cs="Times New Roman"/>
          <w:sz w:val="24"/>
          <w:szCs w:val="24"/>
        </w:rPr>
        <w:t>[online]. is.muni.cz, 21. srpna 2006 [cit. 19. listopadu 2018]. Dostupné na &lt;</w:t>
      </w:r>
      <w:hyperlink r:id="rId8" w:history="1">
        <w:r w:rsidRPr="00E10BE6">
          <w:rPr>
            <w:rFonts w:ascii="Times New Roman" w:hAnsi="Times New Roman" w:cs="Times New Roman"/>
            <w:color w:val="0563C1" w:themeColor="hyperlink"/>
            <w:sz w:val="24"/>
            <w:szCs w:val="24"/>
            <w:u w:val="single"/>
          </w:rPr>
          <w:t>https://is.muni.cz/th/faz5e/Evropska_umluva_o_lidskych_pravech_a_doktrina_margin_of_appreciation.pdf?so=nx</w:t>
        </w:r>
      </w:hyperlink>
      <w:r w:rsidRPr="00E10BE6">
        <w:rPr>
          <w:rFonts w:ascii="Times New Roman" w:hAnsi="Times New Roman" w:cs="Times New Roman"/>
          <w:sz w:val="24"/>
          <w:szCs w:val="24"/>
        </w:rPr>
        <w:t>&gt;.</w:t>
      </w:r>
    </w:p>
    <w:p w14:paraId="02F0CFA0"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BARTOŇ, Daniel. </w:t>
      </w:r>
      <w:r w:rsidRPr="00E10BE6">
        <w:rPr>
          <w:rFonts w:ascii="Times New Roman" w:hAnsi="Times New Roman" w:cs="Times New Roman"/>
          <w:i/>
          <w:sz w:val="24"/>
          <w:szCs w:val="24"/>
        </w:rPr>
        <w:t xml:space="preserve">Zákaz nošení náboženských symbolů na pracovišti dle Soudního dvora EU. </w:t>
      </w:r>
      <w:r w:rsidRPr="00E10BE6">
        <w:rPr>
          <w:rFonts w:ascii="Times New Roman" w:hAnsi="Times New Roman" w:cs="Times New Roman"/>
          <w:sz w:val="24"/>
          <w:szCs w:val="24"/>
        </w:rPr>
        <w:t>[online]. jinepravo.blogspot.com, 17. března 2017 [cit. 25. června 2018]. Dostupné na &lt;</w:t>
      </w:r>
      <w:hyperlink r:id="rId9" w:history="1">
        <w:r w:rsidRPr="00E10BE6">
          <w:rPr>
            <w:rFonts w:ascii="Times New Roman" w:hAnsi="Times New Roman" w:cs="Times New Roman"/>
            <w:color w:val="0563C1" w:themeColor="hyperlink"/>
            <w:sz w:val="24"/>
            <w:szCs w:val="24"/>
            <w:u w:val="single"/>
          </w:rPr>
          <w:t>http://jinepravo.blogspot.com/2017/03/zakaz-noseni-nabozenskych-symbolu-na.html</w:t>
        </w:r>
      </w:hyperlink>
      <w:r w:rsidRPr="00E10BE6">
        <w:rPr>
          <w:rFonts w:ascii="Times New Roman" w:hAnsi="Times New Roman" w:cs="Times New Roman"/>
          <w:sz w:val="24"/>
          <w:szCs w:val="24"/>
        </w:rPr>
        <w:t xml:space="preserve">&gt;. </w:t>
      </w:r>
    </w:p>
    <w:p w14:paraId="6B59EFBC" w14:textId="77777777" w:rsidR="00DE3AB2" w:rsidRPr="00E10BE6" w:rsidRDefault="00DE3AB2" w:rsidP="00C902B7">
      <w:pPr>
        <w:numPr>
          <w:ilvl w:val="0"/>
          <w:numId w:val="14"/>
        </w:numPr>
        <w:spacing w:after="0" w:line="360" w:lineRule="auto"/>
        <w:ind w:left="714" w:hanging="357"/>
        <w:jc w:val="both"/>
        <w:rPr>
          <w:rFonts w:ascii="Times New Roman" w:eastAsia="Calibri" w:hAnsi="Times New Roman" w:cs="Times New Roman"/>
          <w:sz w:val="24"/>
          <w:szCs w:val="24"/>
        </w:rPr>
      </w:pPr>
      <w:r w:rsidRPr="00E10BE6">
        <w:rPr>
          <w:rFonts w:ascii="Times New Roman" w:eastAsia="Calibri" w:hAnsi="Times New Roman" w:cs="Times New Roman"/>
          <w:sz w:val="24"/>
          <w:szCs w:val="24"/>
        </w:rPr>
        <w:t xml:space="preserve">BERRY, Stephanie. </w:t>
      </w:r>
      <w:r w:rsidRPr="00E10BE6">
        <w:rPr>
          <w:rFonts w:ascii="Times New Roman" w:eastAsia="Calibri" w:hAnsi="Times New Roman" w:cs="Times New Roman"/>
          <w:i/>
          <w:sz w:val="24"/>
          <w:szCs w:val="24"/>
        </w:rPr>
        <w:t xml:space="preserve">SAS </w:t>
      </w:r>
      <w:proofErr w:type="gramStart"/>
      <w:r w:rsidRPr="00E10BE6">
        <w:rPr>
          <w:rFonts w:ascii="Times New Roman" w:eastAsia="Calibri" w:hAnsi="Times New Roman" w:cs="Times New Roman"/>
          <w:i/>
          <w:sz w:val="24"/>
          <w:szCs w:val="24"/>
        </w:rPr>
        <w:t>v</w:t>
      </w:r>
      <w:proofErr w:type="gramEnd"/>
      <w:r w:rsidRPr="00E10BE6">
        <w:rPr>
          <w:rFonts w:ascii="Times New Roman" w:eastAsia="Calibri" w:hAnsi="Times New Roman" w:cs="Times New Roman"/>
          <w:i/>
          <w:sz w:val="24"/>
          <w:szCs w:val="24"/>
        </w:rPr>
        <w:t xml:space="preserve"> France: </w:t>
      </w:r>
      <w:proofErr w:type="spellStart"/>
      <w:r w:rsidRPr="00E10BE6">
        <w:rPr>
          <w:rFonts w:ascii="Times New Roman" w:eastAsia="Calibri" w:hAnsi="Times New Roman" w:cs="Times New Roman"/>
          <w:i/>
          <w:sz w:val="24"/>
          <w:szCs w:val="24"/>
        </w:rPr>
        <w:t>Does</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Anything</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Remain</w:t>
      </w:r>
      <w:proofErr w:type="spellEnd"/>
      <w:r w:rsidRPr="00E10BE6">
        <w:rPr>
          <w:rFonts w:ascii="Times New Roman" w:eastAsia="Calibri" w:hAnsi="Times New Roman" w:cs="Times New Roman"/>
          <w:i/>
          <w:sz w:val="24"/>
          <w:szCs w:val="24"/>
        </w:rPr>
        <w:t xml:space="preserve"> of </w:t>
      </w:r>
      <w:proofErr w:type="spellStart"/>
      <w:r w:rsidRPr="00E10BE6">
        <w:rPr>
          <w:rFonts w:ascii="Times New Roman" w:eastAsia="Calibri" w:hAnsi="Times New Roman" w:cs="Times New Roman"/>
          <w:i/>
          <w:sz w:val="24"/>
          <w:szCs w:val="24"/>
        </w:rPr>
        <w:t>the</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Right</w:t>
      </w:r>
      <w:proofErr w:type="spellEnd"/>
      <w:r w:rsidRPr="00E10BE6">
        <w:rPr>
          <w:rFonts w:ascii="Times New Roman" w:eastAsia="Calibri" w:hAnsi="Times New Roman" w:cs="Times New Roman"/>
          <w:i/>
          <w:sz w:val="24"/>
          <w:szCs w:val="24"/>
        </w:rPr>
        <w:t xml:space="preserve"> to Manifest Religion?</w:t>
      </w:r>
      <w:r w:rsidRPr="00E10BE6">
        <w:rPr>
          <w:rFonts w:ascii="Times New Roman" w:eastAsia="Calibri" w:hAnsi="Times New Roman" w:cs="Times New Roman"/>
          <w:sz w:val="24"/>
          <w:szCs w:val="24"/>
        </w:rPr>
        <w:t xml:space="preserve"> [online], ejiltalk.org, 2. července 2014 [cit. 24. června 2018]. Dostupné na &lt;</w:t>
      </w:r>
      <w:hyperlink r:id="rId10" w:history="1">
        <w:r w:rsidRPr="00E10BE6">
          <w:rPr>
            <w:rFonts w:ascii="Times New Roman" w:eastAsia="Calibri" w:hAnsi="Times New Roman" w:cs="Times New Roman"/>
            <w:color w:val="0563C1" w:themeColor="hyperlink"/>
            <w:sz w:val="24"/>
            <w:szCs w:val="24"/>
            <w:u w:val="single"/>
          </w:rPr>
          <w:t>https://www.ejiltalk.org/sas-v-france-does-anything-remain-of-the-right-to-manifest-religion/</w:t>
        </w:r>
      </w:hyperlink>
      <w:r w:rsidRPr="00E10BE6">
        <w:rPr>
          <w:rFonts w:ascii="Times New Roman" w:eastAsia="Calibri" w:hAnsi="Times New Roman" w:cs="Times New Roman"/>
          <w:sz w:val="24"/>
          <w:szCs w:val="24"/>
        </w:rPr>
        <w:t xml:space="preserve">&gt;. </w:t>
      </w:r>
    </w:p>
    <w:p w14:paraId="744EEB7E" w14:textId="77777777" w:rsidR="00DE3AB2" w:rsidRPr="00E10BE6" w:rsidRDefault="00DE3AB2" w:rsidP="00C902B7">
      <w:pPr>
        <w:numPr>
          <w:ilvl w:val="0"/>
          <w:numId w:val="14"/>
        </w:numPr>
        <w:spacing w:after="0" w:line="360" w:lineRule="auto"/>
        <w:ind w:left="714" w:hanging="357"/>
        <w:jc w:val="both"/>
        <w:rPr>
          <w:rFonts w:ascii="Times New Roman" w:eastAsia="Calibri" w:hAnsi="Times New Roman" w:cs="Times New Roman"/>
          <w:sz w:val="24"/>
          <w:szCs w:val="24"/>
        </w:rPr>
      </w:pPr>
      <w:r w:rsidRPr="00E10BE6">
        <w:rPr>
          <w:rFonts w:ascii="Times New Roman" w:eastAsia="Calibri" w:hAnsi="Times New Roman" w:cs="Times New Roman"/>
          <w:sz w:val="24"/>
          <w:szCs w:val="24"/>
        </w:rPr>
        <w:t xml:space="preserve">COX, Simon. </w:t>
      </w:r>
      <w:r w:rsidRPr="00E10BE6">
        <w:rPr>
          <w:rFonts w:ascii="Times New Roman" w:eastAsia="Calibri" w:hAnsi="Times New Roman" w:cs="Times New Roman"/>
          <w:i/>
          <w:sz w:val="24"/>
          <w:szCs w:val="24"/>
        </w:rPr>
        <w:t xml:space="preserve">Case </w:t>
      </w:r>
      <w:proofErr w:type="spellStart"/>
      <w:r w:rsidRPr="00E10BE6">
        <w:rPr>
          <w:rFonts w:ascii="Times New Roman" w:eastAsia="Calibri" w:hAnsi="Times New Roman" w:cs="Times New Roman"/>
          <w:i/>
          <w:sz w:val="24"/>
          <w:szCs w:val="24"/>
        </w:rPr>
        <w:t>Watch</w:t>
      </w:r>
      <w:proofErr w:type="spellEnd"/>
      <w:r w:rsidRPr="00E10BE6">
        <w:rPr>
          <w:rFonts w:ascii="Times New Roman" w:eastAsia="Calibri" w:hAnsi="Times New Roman" w:cs="Times New Roman"/>
          <w:i/>
          <w:sz w:val="24"/>
          <w:szCs w:val="24"/>
        </w:rPr>
        <w:t xml:space="preserve">: A Victory in </w:t>
      </w:r>
      <w:proofErr w:type="spellStart"/>
      <w:r w:rsidRPr="00E10BE6">
        <w:rPr>
          <w:rFonts w:ascii="Times New Roman" w:eastAsia="Calibri" w:hAnsi="Times New Roman" w:cs="Times New Roman"/>
          <w:i/>
          <w:sz w:val="24"/>
          <w:szCs w:val="24"/>
        </w:rPr>
        <w:t>Europe</w:t>
      </w:r>
      <w:proofErr w:type="spellEnd"/>
      <w:r w:rsidRPr="00E10BE6">
        <w:rPr>
          <w:rFonts w:ascii="Times New Roman" w:eastAsia="Calibri" w:hAnsi="Times New Roman" w:cs="Times New Roman"/>
          <w:i/>
          <w:sz w:val="24"/>
          <w:szCs w:val="24"/>
        </w:rPr>
        <w:t xml:space="preserve"> for </w:t>
      </w:r>
      <w:proofErr w:type="gramStart"/>
      <w:r w:rsidRPr="00E10BE6">
        <w:rPr>
          <w:rFonts w:ascii="Times New Roman" w:eastAsia="Calibri" w:hAnsi="Times New Roman" w:cs="Times New Roman"/>
          <w:i/>
          <w:sz w:val="24"/>
          <w:szCs w:val="24"/>
        </w:rPr>
        <w:t>Muslim</w:t>
      </w:r>
      <w:proofErr w:type="gram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Women’s</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Right</w:t>
      </w:r>
      <w:proofErr w:type="spellEnd"/>
      <w:r w:rsidRPr="00E10BE6">
        <w:rPr>
          <w:rFonts w:ascii="Times New Roman" w:eastAsia="Calibri" w:hAnsi="Times New Roman" w:cs="Times New Roman"/>
          <w:i/>
          <w:sz w:val="24"/>
          <w:szCs w:val="24"/>
        </w:rPr>
        <w:t xml:space="preserve"> to </w:t>
      </w:r>
      <w:proofErr w:type="spellStart"/>
      <w:r w:rsidRPr="00E10BE6">
        <w:rPr>
          <w:rFonts w:ascii="Times New Roman" w:eastAsia="Calibri" w:hAnsi="Times New Roman" w:cs="Times New Roman"/>
          <w:i/>
          <w:sz w:val="24"/>
          <w:szCs w:val="24"/>
        </w:rPr>
        <w:t>Wear</w:t>
      </w:r>
      <w:proofErr w:type="spellEnd"/>
      <w:r w:rsidRPr="00E10BE6">
        <w:rPr>
          <w:rFonts w:ascii="Times New Roman" w:eastAsia="Calibri" w:hAnsi="Times New Roman" w:cs="Times New Roman"/>
          <w:i/>
          <w:sz w:val="24"/>
          <w:szCs w:val="24"/>
        </w:rPr>
        <w:t xml:space="preserve"> a </w:t>
      </w:r>
      <w:proofErr w:type="spellStart"/>
      <w:r w:rsidRPr="00E10BE6">
        <w:rPr>
          <w:rFonts w:ascii="Times New Roman" w:eastAsia="Calibri" w:hAnsi="Times New Roman" w:cs="Times New Roman"/>
          <w:i/>
          <w:sz w:val="24"/>
          <w:szCs w:val="24"/>
        </w:rPr>
        <w:t>Headscarf</w:t>
      </w:r>
      <w:proofErr w:type="spellEnd"/>
      <w:r w:rsidRPr="00E10BE6">
        <w:rPr>
          <w:rFonts w:ascii="Times New Roman" w:eastAsia="Calibri" w:hAnsi="Times New Roman" w:cs="Times New Roman"/>
          <w:i/>
          <w:sz w:val="24"/>
          <w:szCs w:val="24"/>
        </w:rPr>
        <w:t xml:space="preserve"> </w:t>
      </w:r>
      <w:r w:rsidRPr="00E10BE6">
        <w:rPr>
          <w:rFonts w:ascii="Times New Roman" w:eastAsia="Calibri" w:hAnsi="Times New Roman" w:cs="Times New Roman"/>
          <w:sz w:val="24"/>
          <w:szCs w:val="24"/>
        </w:rPr>
        <w:t>[online]. opensocietyfoundations.org, 21. září 2018 [cit. 20. listopadu 2018]. Dostupné na &lt;</w:t>
      </w:r>
      <w:hyperlink r:id="rId11" w:history="1">
        <w:r w:rsidRPr="00E10BE6">
          <w:rPr>
            <w:rFonts w:ascii="Times New Roman" w:eastAsia="Calibri" w:hAnsi="Times New Roman" w:cs="Times New Roman"/>
            <w:color w:val="0563C1" w:themeColor="hyperlink"/>
            <w:sz w:val="24"/>
            <w:szCs w:val="24"/>
            <w:u w:val="single"/>
          </w:rPr>
          <w:t>https://www.opensocietyfoundations.org/voices/case-watch-victory-europe-muslim-women-s-right-wear-headscarf</w:t>
        </w:r>
      </w:hyperlink>
      <w:r w:rsidRPr="00E10BE6">
        <w:rPr>
          <w:rFonts w:ascii="Times New Roman" w:eastAsia="Calibri" w:hAnsi="Times New Roman" w:cs="Times New Roman"/>
          <w:sz w:val="24"/>
          <w:szCs w:val="24"/>
        </w:rPr>
        <w:t>&gt;.</w:t>
      </w:r>
    </w:p>
    <w:p w14:paraId="12AD3CC8" w14:textId="77777777" w:rsidR="00DE3AB2" w:rsidRPr="00E10BE6" w:rsidRDefault="00DE3AB2" w:rsidP="00C902B7">
      <w:pPr>
        <w:numPr>
          <w:ilvl w:val="0"/>
          <w:numId w:val="14"/>
        </w:numPr>
        <w:spacing w:after="0" w:line="360" w:lineRule="auto"/>
        <w:ind w:left="714" w:hanging="357"/>
        <w:contextualSpacing/>
        <w:jc w:val="both"/>
        <w:rPr>
          <w:rFonts w:ascii="Times New Roman" w:hAnsi="Times New Roman" w:cs="Times New Roman"/>
          <w:sz w:val="24"/>
          <w:szCs w:val="24"/>
        </w:rPr>
      </w:pPr>
      <w:r w:rsidRPr="00E10BE6">
        <w:rPr>
          <w:rFonts w:ascii="Times New Roman" w:eastAsia="Calibri" w:hAnsi="Times New Roman" w:cs="Times New Roman"/>
          <w:sz w:val="24"/>
          <w:szCs w:val="24"/>
        </w:rPr>
        <w:t xml:space="preserve">Grafický přehled ČTK [online]. ceskenoviny.cz, 14. března 2017 [cit. 24. června 2018]. Dostupné na &lt; </w:t>
      </w:r>
      <w:hyperlink r:id="rId12" w:history="1">
        <w:r w:rsidRPr="00E10BE6">
          <w:rPr>
            <w:rFonts w:ascii="Times New Roman" w:eastAsia="Calibri" w:hAnsi="Times New Roman" w:cs="Times New Roman"/>
            <w:color w:val="0563C1" w:themeColor="hyperlink"/>
            <w:sz w:val="24"/>
            <w:szCs w:val="24"/>
            <w:u w:val="single"/>
          </w:rPr>
          <w:t>http://www.ceskenoviny.cz/index_img.php?id=402718</w:t>
        </w:r>
      </w:hyperlink>
      <w:r w:rsidRPr="00E10BE6">
        <w:rPr>
          <w:rFonts w:ascii="Times New Roman" w:eastAsia="Calibri" w:hAnsi="Times New Roman" w:cs="Times New Roman"/>
          <w:sz w:val="24"/>
          <w:szCs w:val="24"/>
        </w:rPr>
        <w:t>&gt;.</w:t>
      </w:r>
    </w:p>
    <w:p w14:paraId="1B018FD0" w14:textId="77777777" w:rsidR="00DE3AB2" w:rsidRPr="00E10BE6" w:rsidRDefault="00DE3AB2" w:rsidP="00C902B7">
      <w:pPr>
        <w:numPr>
          <w:ilvl w:val="0"/>
          <w:numId w:val="14"/>
        </w:numPr>
        <w:spacing w:after="0" w:line="360" w:lineRule="auto"/>
        <w:ind w:left="714" w:hanging="357"/>
        <w:contextualSpacing/>
        <w:jc w:val="both"/>
        <w:rPr>
          <w:rFonts w:ascii="Times New Roman" w:hAnsi="Times New Roman"/>
          <w:color w:val="2E74B5" w:themeColor="accent5" w:themeShade="BF"/>
          <w:sz w:val="24"/>
          <w:szCs w:val="24"/>
        </w:rPr>
      </w:pPr>
      <w:r w:rsidRPr="00E10BE6">
        <w:rPr>
          <w:rFonts w:ascii="Times New Roman" w:hAnsi="Times New Roman"/>
          <w:sz w:val="24"/>
          <w:szCs w:val="24"/>
        </w:rPr>
        <w:t xml:space="preserve">HARRIS, </w:t>
      </w:r>
      <w:proofErr w:type="spellStart"/>
      <w:r w:rsidRPr="00E10BE6">
        <w:rPr>
          <w:rFonts w:ascii="Times New Roman" w:hAnsi="Times New Roman"/>
          <w:sz w:val="24"/>
          <w:szCs w:val="24"/>
        </w:rPr>
        <w:t>Chris</w:t>
      </w:r>
      <w:proofErr w:type="spellEnd"/>
      <w:r w:rsidRPr="00E10BE6">
        <w:rPr>
          <w:rFonts w:ascii="Times New Roman" w:hAnsi="Times New Roman"/>
          <w:sz w:val="24"/>
          <w:szCs w:val="24"/>
        </w:rPr>
        <w:t xml:space="preserve">. </w:t>
      </w:r>
      <w:proofErr w:type="spellStart"/>
      <w:r w:rsidRPr="00E10BE6">
        <w:rPr>
          <w:rFonts w:ascii="Times New Roman" w:hAnsi="Times New Roman"/>
          <w:i/>
          <w:sz w:val="24"/>
          <w:szCs w:val="24"/>
        </w:rPr>
        <w:t>Where</w:t>
      </w:r>
      <w:proofErr w:type="spellEnd"/>
      <w:r w:rsidRPr="00E10BE6">
        <w:rPr>
          <w:rFonts w:ascii="Times New Roman" w:hAnsi="Times New Roman"/>
          <w:i/>
          <w:sz w:val="24"/>
          <w:szCs w:val="24"/>
        </w:rPr>
        <w:t xml:space="preserve"> in </w:t>
      </w:r>
      <w:proofErr w:type="spellStart"/>
      <w:r w:rsidRPr="00E10BE6">
        <w:rPr>
          <w:rFonts w:ascii="Times New Roman" w:hAnsi="Times New Roman"/>
          <w:i/>
          <w:sz w:val="24"/>
          <w:szCs w:val="24"/>
        </w:rPr>
        <w:t>Europe</w:t>
      </w:r>
      <w:proofErr w:type="spellEnd"/>
      <w:r w:rsidRPr="00E10BE6">
        <w:rPr>
          <w:rFonts w:ascii="Times New Roman" w:hAnsi="Times New Roman"/>
          <w:i/>
          <w:sz w:val="24"/>
          <w:szCs w:val="24"/>
        </w:rPr>
        <w:t xml:space="preserve"> </w:t>
      </w:r>
      <w:proofErr w:type="spellStart"/>
      <w:r w:rsidRPr="00E10BE6">
        <w:rPr>
          <w:rFonts w:ascii="Times New Roman" w:hAnsi="Times New Roman"/>
          <w:i/>
          <w:sz w:val="24"/>
          <w:szCs w:val="24"/>
        </w:rPr>
        <w:t>is</w:t>
      </w:r>
      <w:proofErr w:type="spellEnd"/>
      <w:r w:rsidRPr="00E10BE6">
        <w:rPr>
          <w:rFonts w:ascii="Times New Roman" w:hAnsi="Times New Roman"/>
          <w:i/>
          <w:sz w:val="24"/>
          <w:szCs w:val="24"/>
        </w:rPr>
        <w:t xml:space="preserve"> </w:t>
      </w:r>
      <w:proofErr w:type="spellStart"/>
      <w:r w:rsidRPr="00E10BE6">
        <w:rPr>
          <w:rFonts w:ascii="Times New Roman" w:hAnsi="Times New Roman"/>
          <w:i/>
          <w:sz w:val="24"/>
          <w:szCs w:val="24"/>
        </w:rPr>
        <w:t>the</w:t>
      </w:r>
      <w:proofErr w:type="spellEnd"/>
      <w:r w:rsidRPr="00E10BE6">
        <w:rPr>
          <w:rFonts w:ascii="Times New Roman" w:hAnsi="Times New Roman"/>
          <w:i/>
          <w:sz w:val="24"/>
          <w:szCs w:val="24"/>
        </w:rPr>
        <w:t xml:space="preserve"> </w:t>
      </w:r>
      <w:proofErr w:type="spellStart"/>
      <w:r w:rsidRPr="00E10BE6">
        <w:rPr>
          <w:rFonts w:ascii="Times New Roman" w:hAnsi="Times New Roman"/>
          <w:i/>
          <w:sz w:val="24"/>
          <w:szCs w:val="24"/>
        </w:rPr>
        <w:t>Islamic</w:t>
      </w:r>
      <w:proofErr w:type="spellEnd"/>
      <w:r w:rsidRPr="00E10BE6">
        <w:rPr>
          <w:rFonts w:ascii="Times New Roman" w:hAnsi="Times New Roman"/>
          <w:i/>
          <w:sz w:val="24"/>
          <w:szCs w:val="24"/>
        </w:rPr>
        <w:t xml:space="preserve"> full-face </w:t>
      </w:r>
      <w:proofErr w:type="spellStart"/>
      <w:r w:rsidRPr="00E10BE6">
        <w:rPr>
          <w:rFonts w:ascii="Times New Roman" w:hAnsi="Times New Roman"/>
          <w:i/>
          <w:sz w:val="24"/>
          <w:szCs w:val="24"/>
        </w:rPr>
        <w:t>veil</w:t>
      </w:r>
      <w:proofErr w:type="spellEnd"/>
      <w:r w:rsidRPr="00E10BE6">
        <w:rPr>
          <w:rFonts w:ascii="Times New Roman" w:hAnsi="Times New Roman"/>
          <w:i/>
          <w:sz w:val="24"/>
          <w:szCs w:val="24"/>
        </w:rPr>
        <w:t xml:space="preserve"> </w:t>
      </w:r>
      <w:proofErr w:type="spellStart"/>
      <w:r w:rsidRPr="00E10BE6">
        <w:rPr>
          <w:rFonts w:ascii="Times New Roman" w:hAnsi="Times New Roman"/>
          <w:i/>
          <w:sz w:val="24"/>
          <w:szCs w:val="24"/>
        </w:rPr>
        <w:t>banned</w:t>
      </w:r>
      <w:proofErr w:type="spellEnd"/>
      <w:r w:rsidRPr="00E10BE6">
        <w:rPr>
          <w:rFonts w:ascii="Times New Roman" w:hAnsi="Times New Roman"/>
          <w:i/>
          <w:sz w:val="24"/>
          <w:szCs w:val="24"/>
        </w:rPr>
        <w:t>?</w:t>
      </w:r>
      <w:r w:rsidRPr="00E10BE6">
        <w:rPr>
          <w:rFonts w:ascii="Times New Roman" w:hAnsi="Times New Roman"/>
          <w:sz w:val="24"/>
          <w:szCs w:val="24"/>
        </w:rPr>
        <w:t xml:space="preserve"> [online]. uronews.com, 8. srpna [cit. 27. listopadu 2018]. Dostupné na </w:t>
      </w:r>
      <w:r w:rsidRPr="00E10BE6">
        <w:rPr>
          <w:rFonts w:ascii="Times New Roman" w:hAnsi="Times New Roman"/>
          <w:color w:val="2E74B5" w:themeColor="accent5" w:themeShade="BF"/>
          <w:sz w:val="24"/>
          <w:szCs w:val="24"/>
        </w:rPr>
        <w:t>&lt;</w:t>
      </w:r>
      <w:hyperlink r:id="rId13" w:history="1">
        <w:r w:rsidRPr="00E10BE6">
          <w:rPr>
            <w:rFonts w:ascii="Times New Roman" w:hAnsi="Times New Roman"/>
            <w:color w:val="2E74B5" w:themeColor="accent5" w:themeShade="BF"/>
            <w:sz w:val="24"/>
            <w:szCs w:val="24"/>
            <w:u w:val="single"/>
          </w:rPr>
          <w:t>https://www.euronews.com/2018/08/08/where-in-europe-is-the-islamic-full-face-veil-banned-</w:t>
        </w:r>
      </w:hyperlink>
      <w:r w:rsidRPr="00E10BE6">
        <w:rPr>
          <w:rFonts w:ascii="Times New Roman" w:hAnsi="Times New Roman"/>
          <w:color w:val="2E74B5" w:themeColor="accent5" w:themeShade="BF"/>
          <w:sz w:val="24"/>
          <w:szCs w:val="24"/>
        </w:rPr>
        <w:t>&gt;.</w:t>
      </w:r>
    </w:p>
    <w:p w14:paraId="25F6D929"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lastRenderedPageBreak/>
        <w:t xml:space="preserve">Margin of Appreciation: </w:t>
      </w:r>
      <w:proofErr w:type="spellStart"/>
      <w:r w:rsidRPr="00E10BE6">
        <w:rPr>
          <w:rFonts w:ascii="Times New Roman" w:hAnsi="Times New Roman" w:cs="Times New Roman"/>
          <w:sz w:val="24"/>
          <w:szCs w:val="24"/>
        </w:rPr>
        <w:t>An</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overview</w:t>
      </w:r>
      <w:proofErr w:type="spellEnd"/>
      <w:r w:rsidRPr="00E10BE6">
        <w:rPr>
          <w:rFonts w:ascii="Times New Roman" w:hAnsi="Times New Roman" w:cs="Times New Roman"/>
          <w:sz w:val="24"/>
          <w:szCs w:val="24"/>
        </w:rPr>
        <w:t xml:space="preserve"> of </w:t>
      </w:r>
      <w:proofErr w:type="spellStart"/>
      <w:r w:rsidRPr="00E10BE6">
        <w:rPr>
          <w:rFonts w:ascii="Times New Roman" w:hAnsi="Times New Roman" w:cs="Times New Roman"/>
          <w:sz w:val="24"/>
          <w:szCs w:val="24"/>
        </w:rPr>
        <w:t>the</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Strasbourg</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sz w:val="24"/>
          <w:szCs w:val="24"/>
        </w:rPr>
        <w:t>Court’s</w:t>
      </w:r>
      <w:proofErr w:type="spellEnd"/>
      <w:r w:rsidRPr="00E10BE6">
        <w:rPr>
          <w:rFonts w:ascii="Times New Roman" w:hAnsi="Times New Roman" w:cs="Times New Roman"/>
          <w:sz w:val="24"/>
          <w:szCs w:val="24"/>
        </w:rPr>
        <w:t xml:space="preserve"> margin of appreciation </w:t>
      </w:r>
      <w:proofErr w:type="spellStart"/>
      <w:r w:rsidRPr="00E10BE6">
        <w:rPr>
          <w:rFonts w:ascii="Times New Roman" w:hAnsi="Times New Roman" w:cs="Times New Roman"/>
          <w:sz w:val="24"/>
          <w:szCs w:val="24"/>
        </w:rPr>
        <w:t>doctrine</w:t>
      </w:r>
      <w:proofErr w:type="spellEnd"/>
      <w:r w:rsidRPr="00E10BE6">
        <w:rPr>
          <w:rFonts w:ascii="Times New Roman" w:hAnsi="Times New Roman" w:cs="Times New Roman"/>
          <w:sz w:val="24"/>
          <w:szCs w:val="24"/>
        </w:rPr>
        <w:t>. [online]. opensocietyfoundations.org, duben 2012 [citace 19. listopadu 2018]. Dostupné na &lt;</w:t>
      </w:r>
      <w:hyperlink r:id="rId14" w:history="1">
        <w:r w:rsidRPr="00E10BE6">
          <w:rPr>
            <w:rFonts w:ascii="Times New Roman" w:hAnsi="Times New Roman" w:cs="Times New Roman"/>
            <w:color w:val="0563C1" w:themeColor="hyperlink"/>
            <w:sz w:val="24"/>
            <w:szCs w:val="24"/>
            <w:u w:val="single"/>
          </w:rPr>
          <w:t>https://www.opensocietyfoundations.org/sites/default/files/echr-reform-margin-of-appreciation.pdf</w:t>
        </w:r>
      </w:hyperlink>
      <w:r w:rsidRPr="00E10BE6">
        <w:rPr>
          <w:rFonts w:ascii="Times New Roman" w:hAnsi="Times New Roman" w:cs="Times New Roman"/>
          <w:sz w:val="24"/>
          <w:szCs w:val="24"/>
        </w:rPr>
        <w:t>&gt;.</w:t>
      </w:r>
    </w:p>
    <w:p w14:paraId="09F5AF06"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eastAsia="Calibri" w:hAnsi="Times New Roman" w:cs="Times New Roman"/>
          <w:sz w:val="24"/>
          <w:szCs w:val="24"/>
        </w:rPr>
        <w:t xml:space="preserve">SANGHANI, </w:t>
      </w:r>
      <w:proofErr w:type="spellStart"/>
      <w:r w:rsidRPr="00E10BE6">
        <w:rPr>
          <w:rFonts w:ascii="Times New Roman" w:eastAsia="Calibri" w:hAnsi="Times New Roman" w:cs="Times New Roman"/>
          <w:sz w:val="24"/>
          <w:szCs w:val="24"/>
        </w:rPr>
        <w:t>Radhika</w:t>
      </w:r>
      <w:proofErr w:type="spellEnd"/>
      <w:r w:rsidRPr="00E10BE6">
        <w:rPr>
          <w:rFonts w:ascii="Times New Roman" w:eastAsia="Calibri" w:hAnsi="Times New Roman" w:cs="Times New Roman"/>
          <w:sz w:val="24"/>
          <w:szCs w:val="24"/>
        </w:rPr>
        <w:t xml:space="preserve">. </w:t>
      </w:r>
      <w:r w:rsidRPr="00E10BE6">
        <w:rPr>
          <w:rFonts w:ascii="Times New Roman" w:eastAsia="Calibri" w:hAnsi="Times New Roman" w:cs="Times New Roman"/>
          <w:i/>
          <w:sz w:val="24"/>
          <w:szCs w:val="24"/>
        </w:rPr>
        <w:t xml:space="preserve">Burka </w:t>
      </w:r>
      <w:proofErr w:type="spellStart"/>
      <w:r w:rsidRPr="00E10BE6">
        <w:rPr>
          <w:rFonts w:ascii="Times New Roman" w:eastAsia="Calibri" w:hAnsi="Times New Roman" w:cs="Times New Roman"/>
          <w:i/>
          <w:sz w:val="24"/>
          <w:szCs w:val="24"/>
        </w:rPr>
        <w:t>bans</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The</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countries</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where</w:t>
      </w:r>
      <w:proofErr w:type="spellEnd"/>
      <w:r w:rsidRPr="00E10BE6">
        <w:rPr>
          <w:rFonts w:ascii="Times New Roman" w:eastAsia="Calibri" w:hAnsi="Times New Roman" w:cs="Times New Roman"/>
          <w:i/>
          <w:sz w:val="24"/>
          <w:szCs w:val="24"/>
        </w:rPr>
        <w:t xml:space="preserve"> </w:t>
      </w:r>
      <w:proofErr w:type="gramStart"/>
      <w:r w:rsidRPr="00E10BE6">
        <w:rPr>
          <w:rFonts w:ascii="Times New Roman" w:eastAsia="Calibri" w:hAnsi="Times New Roman" w:cs="Times New Roman"/>
          <w:i/>
          <w:sz w:val="24"/>
          <w:szCs w:val="24"/>
        </w:rPr>
        <w:t>Muslim</w:t>
      </w:r>
      <w:proofErr w:type="gram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women</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can't</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wear</w:t>
      </w:r>
      <w:proofErr w:type="spellEnd"/>
      <w:r w:rsidRPr="00E10BE6">
        <w:rPr>
          <w:rFonts w:ascii="Times New Roman" w:eastAsia="Calibri" w:hAnsi="Times New Roman" w:cs="Times New Roman"/>
          <w:i/>
          <w:sz w:val="24"/>
          <w:szCs w:val="24"/>
        </w:rPr>
        <w:t xml:space="preserve"> </w:t>
      </w:r>
      <w:proofErr w:type="spellStart"/>
      <w:r w:rsidRPr="00E10BE6">
        <w:rPr>
          <w:rFonts w:ascii="Times New Roman" w:eastAsia="Calibri" w:hAnsi="Times New Roman" w:cs="Times New Roman"/>
          <w:i/>
          <w:sz w:val="24"/>
          <w:szCs w:val="24"/>
        </w:rPr>
        <w:t>veils</w:t>
      </w:r>
      <w:proofErr w:type="spellEnd"/>
      <w:r w:rsidRPr="00E10BE6">
        <w:rPr>
          <w:rFonts w:ascii="Times New Roman" w:eastAsia="Calibri" w:hAnsi="Times New Roman" w:cs="Times New Roman"/>
          <w:i/>
          <w:sz w:val="24"/>
          <w:szCs w:val="24"/>
        </w:rPr>
        <w:t xml:space="preserve"> </w:t>
      </w:r>
      <w:r w:rsidRPr="00E10BE6">
        <w:rPr>
          <w:rFonts w:ascii="Times New Roman" w:eastAsia="Calibri" w:hAnsi="Times New Roman" w:cs="Times New Roman"/>
          <w:sz w:val="24"/>
          <w:szCs w:val="24"/>
        </w:rPr>
        <w:t>[online]. telegraph.co.uk, 17. srpna 2017 [cit. 24. června 2018]. Dostupné na &lt; </w:t>
      </w:r>
      <w:hyperlink r:id="rId15" w:history="1">
        <w:r w:rsidRPr="00E10BE6">
          <w:rPr>
            <w:rFonts w:ascii="Times New Roman" w:eastAsia="Calibri" w:hAnsi="Times New Roman" w:cs="Times New Roman"/>
            <w:color w:val="0563C1" w:themeColor="hyperlink"/>
            <w:sz w:val="24"/>
            <w:szCs w:val="24"/>
            <w:u w:val="single"/>
          </w:rPr>
          <w:t>https://www.telegraph.co.uk/women/life/burka-bans-the-countries-where-muslim-women-cant-wear-veils</w:t>
        </w:r>
      </w:hyperlink>
      <w:r w:rsidRPr="00E10BE6">
        <w:rPr>
          <w:rFonts w:ascii="Times New Roman" w:eastAsia="Calibri" w:hAnsi="Times New Roman" w:cs="Times New Roman"/>
          <w:sz w:val="24"/>
          <w:szCs w:val="24"/>
        </w:rPr>
        <w:t>&gt;.</w:t>
      </w:r>
    </w:p>
    <w:p w14:paraId="31482457"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SAWE, Benjamin </w:t>
      </w:r>
      <w:proofErr w:type="spellStart"/>
      <w:r w:rsidRPr="00E10BE6">
        <w:rPr>
          <w:rFonts w:ascii="Times New Roman" w:hAnsi="Times New Roman" w:cs="Times New Roman"/>
          <w:sz w:val="24"/>
          <w:szCs w:val="24"/>
        </w:rPr>
        <w:t>Elisha</w:t>
      </w:r>
      <w:proofErr w:type="spellEnd"/>
      <w:r w:rsidRPr="00E10BE6">
        <w:rPr>
          <w:rFonts w:ascii="Times New Roman" w:hAnsi="Times New Roman" w:cs="Times New Roman"/>
          <w:sz w:val="24"/>
          <w:szCs w:val="24"/>
        </w:rPr>
        <w:t xml:space="preserve">. </w:t>
      </w:r>
      <w:r w:rsidRPr="00E10BE6">
        <w:rPr>
          <w:rFonts w:ascii="Times New Roman" w:hAnsi="Times New Roman" w:cs="Times New Roman"/>
          <w:i/>
          <w:sz w:val="24"/>
          <w:szCs w:val="24"/>
        </w:rPr>
        <w:t xml:space="preserve">Major </w:t>
      </w:r>
      <w:proofErr w:type="spellStart"/>
      <w:r w:rsidRPr="00E10BE6">
        <w:rPr>
          <w:rFonts w:ascii="Times New Roman" w:hAnsi="Times New Roman" w:cs="Times New Roman"/>
          <w:i/>
          <w:sz w:val="24"/>
          <w:szCs w:val="24"/>
        </w:rPr>
        <w:t>Religions</w:t>
      </w:r>
      <w:proofErr w:type="spellEnd"/>
      <w:r w:rsidRPr="00E10BE6">
        <w:rPr>
          <w:rFonts w:ascii="Times New Roman" w:hAnsi="Times New Roman" w:cs="Times New Roman"/>
          <w:i/>
          <w:sz w:val="24"/>
          <w:szCs w:val="24"/>
        </w:rPr>
        <w:t xml:space="preserve"> In </w:t>
      </w:r>
      <w:proofErr w:type="spellStart"/>
      <w:r w:rsidRPr="00E10BE6">
        <w:rPr>
          <w:rFonts w:ascii="Times New Roman" w:hAnsi="Times New Roman" w:cs="Times New Roman"/>
          <w:i/>
          <w:sz w:val="24"/>
          <w:szCs w:val="24"/>
        </w:rPr>
        <w:t>Poland</w:t>
      </w:r>
      <w:proofErr w:type="spellEnd"/>
      <w:r w:rsidRPr="00E10BE6">
        <w:rPr>
          <w:rFonts w:ascii="Times New Roman" w:hAnsi="Times New Roman" w:cs="Times New Roman"/>
          <w:sz w:val="24"/>
          <w:szCs w:val="24"/>
        </w:rPr>
        <w:t>. [online]. worldatlas.com, 18. července 2018 [cit. 22. listopadu 2018]. Dostupné na &lt;</w:t>
      </w:r>
      <w:hyperlink r:id="rId16" w:history="1">
        <w:r w:rsidRPr="00E10BE6">
          <w:rPr>
            <w:rFonts w:ascii="Times New Roman" w:hAnsi="Times New Roman" w:cs="Times New Roman"/>
            <w:color w:val="0563C1" w:themeColor="hyperlink"/>
            <w:sz w:val="24"/>
            <w:szCs w:val="24"/>
            <w:u w:val="single"/>
          </w:rPr>
          <w:t>https://www.worldatlas.com/articles/predominant-religious-beliefs-in-poland.html</w:t>
        </w:r>
      </w:hyperlink>
      <w:r w:rsidRPr="00E10BE6">
        <w:rPr>
          <w:rFonts w:ascii="Times New Roman" w:hAnsi="Times New Roman" w:cs="Times New Roman"/>
          <w:sz w:val="24"/>
          <w:szCs w:val="24"/>
        </w:rPr>
        <w:t>&gt;.</w:t>
      </w:r>
    </w:p>
    <w:p w14:paraId="37A6E90F"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SAWE, Benjamin </w:t>
      </w:r>
      <w:proofErr w:type="spellStart"/>
      <w:r w:rsidRPr="00E10BE6">
        <w:rPr>
          <w:rFonts w:ascii="Times New Roman" w:hAnsi="Times New Roman" w:cs="Times New Roman"/>
          <w:sz w:val="24"/>
          <w:szCs w:val="24"/>
        </w:rPr>
        <w:t>Elisha</w:t>
      </w:r>
      <w:proofErr w:type="spellEnd"/>
      <w:r w:rsidRPr="00E10BE6">
        <w:rPr>
          <w:rFonts w:ascii="Times New Roman" w:hAnsi="Times New Roman" w:cs="Times New Roman"/>
          <w:sz w:val="24"/>
          <w:szCs w:val="24"/>
        </w:rPr>
        <w:t xml:space="preserve">. </w:t>
      </w:r>
      <w:proofErr w:type="spellStart"/>
      <w:r w:rsidRPr="00E10BE6">
        <w:rPr>
          <w:rFonts w:ascii="Times New Roman" w:hAnsi="Times New Roman" w:cs="Times New Roman"/>
          <w:i/>
          <w:sz w:val="24"/>
          <w:szCs w:val="24"/>
        </w:rPr>
        <w:t>The</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Religious</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Demographics</w:t>
      </w:r>
      <w:proofErr w:type="spellEnd"/>
      <w:r w:rsidRPr="00E10BE6">
        <w:rPr>
          <w:rFonts w:ascii="Times New Roman" w:hAnsi="Times New Roman" w:cs="Times New Roman"/>
          <w:i/>
          <w:sz w:val="24"/>
          <w:szCs w:val="24"/>
        </w:rPr>
        <w:t xml:space="preserve"> Of Italy</w:t>
      </w:r>
      <w:r w:rsidRPr="00E10BE6">
        <w:rPr>
          <w:rFonts w:ascii="Times New Roman" w:hAnsi="Times New Roman" w:cs="Times New Roman"/>
          <w:sz w:val="24"/>
          <w:szCs w:val="24"/>
        </w:rPr>
        <w:t>. [online]. worldatlas.com, 25. dubna 2017 [cit. 22. listopadu 2018]. Dostupné na &lt;</w:t>
      </w:r>
      <w:hyperlink r:id="rId17" w:history="1">
        <w:r w:rsidRPr="00E10BE6">
          <w:rPr>
            <w:rFonts w:ascii="Times New Roman" w:hAnsi="Times New Roman" w:cs="Times New Roman"/>
            <w:color w:val="0563C1" w:themeColor="hyperlink"/>
            <w:sz w:val="24"/>
            <w:szCs w:val="24"/>
            <w:u w:val="single"/>
          </w:rPr>
          <w:t>https://www.worldatlas.com/articles/the-religious-demographics-of-italy.html</w:t>
        </w:r>
      </w:hyperlink>
      <w:r w:rsidRPr="00E10BE6">
        <w:rPr>
          <w:rFonts w:ascii="Times New Roman" w:hAnsi="Times New Roman" w:cs="Times New Roman"/>
          <w:sz w:val="24"/>
          <w:szCs w:val="24"/>
        </w:rPr>
        <w:t>&gt;.</w:t>
      </w:r>
    </w:p>
    <w:p w14:paraId="1947BAEB"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cs="Times New Roman"/>
          <w:sz w:val="24"/>
          <w:szCs w:val="24"/>
        </w:rPr>
        <w:t xml:space="preserve">SMITH, Oliver. </w:t>
      </w:r>
      <w:proofErr w:type="spellStart"/>
      <w:r w:rsidRPr="00E10BE6">
        <w:rPr>
          <w:rFonts w:ascii="Times New Roman" w:hAnsi="Times New Roman" w:cs="Times New Roman"/>
          <w:i/>
          <w:sz w:val="24"/>
          <w:szCs w:val="24"/>
        </w:rPr>
        <w:t>Mapped</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The</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world's</w:t>
      </w:r>
      <w:proofErr w:type="spellEnd"/>
      <w:r w:rsidRPr="00E10BE6">
        <w:rPr>
          <w:rFonts w:ascii="Times New Roman" w:hAnsi="Times New Roman" w:cs="Times New Roman"/>
          <w:i/>
          <w:sz w:val="24"/>
          <w:szCs w:val="24"/>
        </w:rPr>
        <w:t xml:space="preserve"> most (and least) </w:t>
      </w:r>
      <w:proofErr w:type="spellStart"/>
      <w:r w:rsidRPr="00E10BE6">
        <w:rPr>
          <w:rFonts w:ascii="Times New Roman" w:hAnsi="Times New Roman" w:cs="Times New Roman"/>
          <w:i/>
          <w:sz w:val="24"/>
          <w:szCs w:val="24"/>
        </w:rPr>
        <w:t>religious</w:t>
      </w:r>
      <w:proofErr w:type="spellEnd"/>
      <w:r w:rsidRPr="00E10BE6">
        <w:rPr>
          <w:rFonts w:ascii="Times New Roman" w:hAnsi="Times New Roman" w:cs="Times New Roman"/>
          <w:i/>
          <w:sz w:val="24"/>
          <w:szCs w:val="24"/>
        </w:rPr>
        <w:t xml:space="preserve"> </w:t>
      </w:r>
      <w:proofErr w:type="spellStart"/>
      <w:r w:rsidRPr="00E10BE6">
        <w:rPr>
          <w:rFonts w:ascii="Times New Roman" w:hAnsi="Times New Roman" w:cs="Times New Roman"/>
          <w:i/>
          <w:sz w:val="24"/>
          <w:szCs w:val="24"/>
        </w:rPr>
        <w:t>countries</w:t>
      </w:r>
      <w:proofErr w:type="spellEnd"/>
      <w:r w:rsidRPr="00E10BE6">
        <w:rPr>
          <w:rFonts w:ascii="Times New Roman" w:hAnsi="Times New Roman" w:cs="Times New Roman"/>
          <w:i/>
          <w:sz w:val="24"/>
          <w:szCs w:val="24"/>
        </w:rPr>
        <w:t xml:space="preserve">. </w:t>
      </w:r>
      <w:r w:rsidRPr="00E10BE6">
        <w:rPr>
          <w:rFonts w:ascii="Times New Roman" w:hAnsi="Times New Roman" w:cs="Times New Roman"/>
          <w:sz w:val="24"/>
          <w:szCs w:val="24"/>
        </w:rPr>
        <w:t>[online]. telegraph.co.uk, 14. ledna 2018 [cit. 22. listopadu 2018]. Dostupné na &lt;</w:t>
      </w:r>
      <w:hyperlink r:id="rId18" w:history="1">
        <w:r w:rsidRPr="00E10BE6">
          <w:rPr>
            <w:rFonts w:ascii="Times New Roman" w:hAnsi="Times New Roman" w:cs="Times New Roman"/>
            <w:color w:val="0563C1" w:themeColor="hyperlink"/>
            <w:sz w:val="24"/>
            <w:szCs w:val="24"/>
            <w:u w:val="single"/>
          </w:rPr>
          <w:t>https://www.telegraph.co.uk/travel/maps-and-graphics/most-religious-countries-in-the-world/</w:t>
        </w:r>
      </w:hyperlink>
      <w:r w:rsidRPr="00E10BE6">
        <w:rPr>
          <w:rFonts w:ascii="Times New Roman" w:hAnsi="Times New Roman" w:cs="Times New Roman"/>
          <w:sz w:val="24"/>
          <w:szCs w:val="24"/>
        </w:rPr>
        <w:t>&gt;.</w:t>
      </w:r>
    </w:p>
    <w:p w14:paraId="6FDA945F" w14:textId="77777777" w:rsidR="00DE3AB2" w:rsidRPr="00E10BE6" w:rsidRDefault="00DE3AB2" w:rsidP="00C902B7">
      <w:pPr>
        <w:numPr>
          <w:ilvl w:val="0"/>
          <w:numId w:val="14"/>
        </w:numPr>
        <w:spacing w:after="0" w:line="360" w:lineRule="auto"/>
        <w:contextualSpacing/>
        <w:jc w:val="both"/>
        <w:rPr>
          <w:rFonts w:ascii="Times New Roman" w:hAnsi="Times New Roman" w:cs="Times New Roman"/>
          <w:sz w:val="24"/>
          <w:szCs w:val="24"/>
        </w:rPr>
      </w:pPr>
      <w:r w:rsidRPr="00E10BE6">
        <w:rPr>
          <w:rFonts w:ascii="Times New Roman" w:hAnsi="Times New Roman"/>
          <w:sz w:val="24"/>
          <w:szCs w:val="24"/>
        </w:rPr>
        <w:t xml:space="preserve">Zprávy: plnění mezinárodních úmluv. </w:t>
      </w:r>
      <w:r w:rsidRPr="00E10BE6">
        <w:rPr>
          <w:rFonts w:ascii="Times New Roman" w:hAnsi="Times New Roman"/>
          <w:i/>
          <w:sz w:val="24"/>
          <w:szCs w:val="24"/>
        </w:rPr>
        <w:t xml:space="preserve">Mezinárodní pakt o občanských a politických právech </w:t>
      </w:r>
      <w:r w:rsidRPr="00E10BE6">
        <w:rPr>
          <w:rFonts w:ascii="Times New Roman" w:hAnsi="Times New Roman"/>
          <w:sz w:val="24"/>
          <w:szCs w:val="24"/>
        </w:rPr>
        <w:t>[online]</w:t>
      </w:r>
      <w:r w:rsidRPr="00E10BE6">
        <w:rPr>
          <w:rFonts w:ascii="Times New Roman" w:hAnsi="Times New Roman"/>
          <w:i/>
          <w:sz w:val="24"/>
          <w:szCs w:val="24"/>
        </w:rPr>
        <w:t xml:space="preserve">. </w:t>
      </w:r>
      <w:r w:rsidRPr="00E10BE6">
        <w:rPr>
          <w:rFonts w:ascii="Times New Roman" w:hAnsi="Times New Roman"/>
          <w:sz w:val="24"/>
          <w:szCs w:val="24"/>
        </w:rPr>
        <w:t>vlada.cz, 2. září 2011 [citace 31. ledna 2018]. Dostupné na</w:t>
      </w:r>
      <w:r w:rsidRPr="00E10BE6">
        <w:rPr>
          <w:rFonts w:ascii="Times New Roman" w:hAnsi="Times New Roman"/>
          <w:i/>
          <w:sz w:val="24"/>
          <w:szCs w:val="24"/>
        </w:rPr>
        <w:t xml:space="preserve"> </w:t>
      </w:r>
      <w:r w:rsidRPr="00E10BE6">
        <w:rPr>
          <w:rFonts w:ascii="Times New Roman" w:hAnsi="Times New Roman"/>
          <w:sz w:val="24"/>
          <w:szCs w:val="24"/>
        </w:rPr>
        <w:t>&lt;</w:t>
      </w:r>
      <w:hyperlink r:id="rId19" w:history="1">
        <w:r w:rsidRPr="00E10BE6">
          <w:rPr>
            <w:rFonts w:ascii="Times New Roman" w:hAnsi="Times New Roman"/>
            <w:color w:val="0563C1" w:themeColor="hyperlink"/>
            <w:sz w:val="24"/>
            <w:szCs w:val="24"/>
            <w:u w:val="single"/>
          </w:rPr>
          <w:t>https://www.vlada.cz/cz/ppov/rlp/dokumenty/zpravy-plneni-mezin-umluv/mezinarodni-pakt-o-obcanskych-a-politickych-pravech-19851/</w:t>
        </w:r>
      </w:hyperlink>
      <w:r w:rsidRPr="00E10BE6">
        <w:rPr>
          <w:rFonts w:ascii="Times New Roman" w:hAnsi="Times New Roman"/>
          <w:sz w:val="24"/>
          <w:szCs w:val="24"/>
        </w:rPr>
        <w:t>&gt;.</w:t>
      </w:r>
    </w:p>
    <w:p w14:paraId="2F7AF9E6" w14:textId="77777777" w:rsidR="00DE3AB2" w:rsidRPr="00E10BE6" w:rsidRDefault="00DE3AB2" w:rsidP="00DE3AB2">
      <w:pPr>
        <w:spacing w:after="0" w:line="360" w:lineRule="auto"/>
        <w:jc w:val="both"/>
        <w:rPr>
          <w:rFonts w:ascii="Times New Roman" w:hAnsi="Times New Roman" w:cs="Times New Roman"/>
          <w:b/>
          <w:sz w:val="24"/>
          <w:szCs w:val="24"/>
        </w:rPr>
      </w:pPr>
    </w:p>
    <w:p w14:paraId="1BD1A9EC" w14:textId="77777777" w:rsidR="00DE3AB2" w:rsidRPr="00E10BE6" w:rsidRDefault="00DE3AB2" w:rsidP="00DE3AB2">
      <w:pPr>
        <w:pStyle w:val="Nadpis2"/>
        <w:numPr>
          <w:ilvl w:val="0"/>
          <w:numId w:val="0"/>
        </w:numPr>
        <w:ind w:left="578"/>
      </w:pPr>
      <w:bookmarkStart w:id="125" w:name="_Toc3454725"/>
      <w:r w:rsidRPr="00E10BE6">
        <w:t>Ostatní zdroje</w:t>
      </w:r>
      <w:bookmarkEnd w:id="125"/>
    </w:p>
    <w:p w14:paraId="55709382" w14:textId="6C7308CD" w:rsidR="00DE3AB2" w:rsidRPr="00E10BE6" w:rsidRDefault="00DE3AB2" w:rsidP="00C902B7">
      <w:pPr>
        <w:numPr>
          <w:ilvl w:val="0"/>
          <w:numId w:val="15"/>
        </w:numPr>
        <w:spacing w:after="0" w:line="360" w:lineRule="auto"/>
        <w:contextualSpacing/>
        <w:jc w:val="both"/>
        <w:rPr>
          <w:rFonts w:ascii="Times New Roman" w:eastAsia="Calibri" w:hAnsi="Times New Roman" w:cs="Times New Roman"/>
          <w:sz w:val="24"/>
          <w:szCs w:val="24"/>
        </w:rPr>
      </w:pPr>
      <w:r w:rsidRPr="00E10BE6">
        <w:rPr>
          <w:rFonts w:ascii="Times New Roman" w:hAnsi="Times New Roman" w:cs="Times New Roman"/>
          <w:sz w:val="24"/>
          <w:szCs w:val="24"/>
        </w:rPr>
        <w:t xml:space="preserve">Částečně nesouhlasné stanovisko soudce De </w:t>
      </w:r>
      <w:proofErr w:type="spellStart"/>
      <w:r w:rsidRPr="00E10BE6">
        <w:rPr>
          <w:rFonts w:ascii="Times New Roman" w:hAnsi="Times New Roman" w:cs="Times New Roman"/>
          <w:sz w:val="24"/>
          <w:szCs w:val="24"/>
        </w:rPr>
        <w:t>Meyera</w:t>
      </w:r>
      <w:proofErr w:type="spellEnd"/>
      <w:r w:rsidRPr="00E10BE6">
        <w:rPr>
          <w:rFonts w:ascii="Times New Roman" w:hAnsi="Times New Roman" w:cs="Times New Roman"/>
          <w:sz w:val="24"/>
          <w:szCs w:val="24"/>
        </w:rPr>
        <w:t xml:space="preserve">. </w:t>
      </w:r>
      <w:r w:rsidR="00514CDA" w:rsidRPr="00E10BE6">
        <w:rPr>
          <w:rFonts w:ascii="Times New Roman" w:hAnsi="Times New Roman" w:cs="Times New Roman"/>
          <w:sz w:val="24"/>
        </w:rPr>
        <w:t>Rozhodnutí</w:t>
      </w:r>
      <w:r w:rsidRPr="00E10BE6">
        <w:rPr>
          <w:rFonts w:ascii="Times New Roman" w:hAnsi="Times New Roman" w:cs="Times New Roman"/>
          <w:sz w:val="24"/>
          <w:szCs w:val="24"/>
        </w:rPr>
        <w:t xml:space="preserve"> ESLP ve věci Z. proti Finsku ze dne 25.února 1997, stížnost č. 22009/93</w:t>
      </w:r>
    </w:p>
    <w:p w14:paraId="5AD7B4B9" w14:textId="77777777" w:rsidR="00DE3AB2" w:rsidRPr="00E10BE6" w:rsidRDefault="00DE3AB2" w:rsidP="00C902B7">
      <w:pPr>
        <w:numPr>
          <w:ilvl w:val="0"/>
          <w:numId w:val="15"/>
        </w:numPr>
        <w:spacing w:after="0" w:line="360" w:lineRule="auto"/>
        <w:ind w:left="714" w:hanging="357"/>
        <w:contextualSpacing/>
        <w:jc w:val="both"/>
        <w:rPr>
          <w:rFonts w:ascii="Times New Roman" w:eastAsia="Calibri" w:hAnsi="Times New Roman" w:cs="Times New Roman"/>
          <w:sz w:val="24"/>
          <w:szCs w:val="24"/>
        </w:rPr>
      </w:pPr>
      <w:r w:rsidRPr="00E10BE6">
        <w:rPr>
          <w:rFonts w:ascii="Times New Roman" w:eastAsia="Calibri" w:hAnsi="Times New Roman" w:cs="Times New Roman"/>
          <w:sz w:val="24"/>
          <w:szCs w:val="24"/>
        </w:rPr>
        <w:t xml:space="preserve">KRAUSE, Catarina, SCHEININ, Martin. </w:t>
      </w:r>
      <w:r w:rsidRPr="00E10BE6">
        <w:rPr>
          <w:rFonts w:ascii="Times New Roman" w:eastAsia="Calibri" w:hAnsi="Times New Roman" w:cs="Times New Roman"/>
          <w:i/>
          <w:sz w:val="24"/>
          <w:szCs w:val="24"/>
        </w:rPr>
        <w:t>International Protection of Human Rights: A Textbook</w:t>
      </w:r>
      <w:r w:rsidRPr="00E10BE6">
        <w:rPr>
          <w:rFonts w:ascii="Times New Roman" w:eastAsia="Calibri" w:hAnsi="Times New Roman" w:cs="Times New Roman"/>
          <w:sz w:val="24"/>
          <w:szCs w:val="24"/>
        </w:rPr>
        <w:t>.</w:t>
      </w:r>
      <w:r w:rsidRPr="00E10BE6">
        <w:rPr>
          <w:rFonts w:ascii="Calibri" w:eastAsia="Calibri" w:hAnsi="Calibri" w:cs="Times New Roman"/>
          <w:sz w:val="24"/>
          <w:szCs w:val="24"/>
        </w:rPr>
        <w:t xml:space="preserve"> </w:t>
      </w:r>
      <w:r w:rsidRPr="00E10BE6">
        <w:rPr>
          <w:rFonts w:ascii="Times New Roman" w:eastAsia="Calibri" w:hAnsi="Times New Roman" w:cs="Times New Roman"/>
          <w:sz w:val="24"/>
          <w:szCs w:val="24"/>
        </w:rPr>
        <w:t>Åbo Akademi University Institute for Human Rights, 2009, s. 63</w:t>
      </w:r>
    </w:p>
    <w:p w14:paraId="203CF686" w14:textId="77777777" w:rsidR="00DE3AB2" w:rsidRPr="00E10BE6" w:rsidRDefault="00DE3AB2" w:rsidP="00C902B7">
      <w:pPr>
        <w:numPr>
          <w:ilvl w:val="0"/>
          <w:numId w:val="15"/>
        </w:numPr>
        <w:spacing w:after="0" w:line="360" w:lineRule="auto"/>
        <w:ind w:left="714" w:hanging="357"/>
        <w:contextualSpacing/>
        <w:jc w:val="both"/>
        <w:rPr>
          <w:rFonts w:ascii="Times New Roman" w:eastAsia="Calibri" w:hAnsi="Times New Roman" w:cs="Times New Roman"/>
          <w:sz w:val="24"/>
          <w:szCs w:val="24"/>
        </w:rPr>
      </w:pPr>
      <w:r w:rsidRPr="00E10BE6">
        <w:rPr>
          <w:rFonts w:ascii="Times New Roman" w:hAnsi="Times New Roman"/>
          <w:sz w:val="24"/>
          <w:szCs w:val="24"/>
        </w:rPr>
        <w:t>Všeobecná deklarace lidských práv ze dne 10. prosince 1948</w:t>
      </w:r>
    </w:p>
    <w:p w14:paraId="5DCA39EF" w14:textId="77777777" w:rsidR="00DE3AB2" w:rsidRPr="00E10BE6" w:rsidRDefault="00DE3AB2" w:rsidP="00C902B7">
      <w:pPr>
        <w:numPr>
          <w:ilvl w:val="0"/>
          <w:numId w:val="15"/>
        </w:numPr>
        <w:spacing w:after="0" w:line="360" w:lineRule="auto"/>
        <w:ind w:left="714" w:hanging="357"/>
        <w:contextualSpacing/>
        <w:jc w:val="both"/>
        <w:rPr>
          <w:rFonts w:ascii="Times New Roman" w:eastAsia="Calibri" w:hAnsi="Times New Roman" w:cs="Times New Roman"/>
          <w:sz w:val="24"/>
          <w:szCs w:val="24"/>
        </w:rPr>
      </w:pPr>
      <w:r w:rsidRPr="00E10BE6">
        <w:rPr>
          <w:rFonts w:ascii="Times New Roman" w:hAnsi="Times New Roman" w:cs="Times New Roman"/>
          <w:sz w:val="24"/>
          <w:szCs w:val="24"/>
        </w:rPr>
        <w:t>Zpráva Evropské komise pro lidská práva ve věci Arrowsmith proti Spojenému království ze dne 12. října 1978, stížnost č. 7050/75.</w:t>
      </w:r>
    </w:p>
    <w:p w14:paraId="321D7C10" w14:textId="36165933" w:rsidR="00DE3AB2" w:rsidRPr="00E10BE6" w:rsidRDefault="00DF4FCA" w:rsidP="00EC75FD">
      <w:pPr>
        <w:pStyle w:val="Nadpis1"/>
        <w:numPr>
          <w:ilvl w:val="0"/>
          <w:numId w:val="0"/>
        </w:numPr>
        <w:spacing w:before="0" w:after="0"/>
        <w:ind w:left="431"/>
        <w:jc w:val="both"/>
      </w:pPr>
      <w:bookmarkStart w:id="126" w:name="_Toc3454726"/>
      <w:r w:rsidRPr="00E10BE6">
        <w:lastRenderedPageBreak/>
        <w:t>Shrnutí</w:t>
      </w:r>
      <w:bookmarkEnd w:id="126"/>
    </w:p>
    <w:p w14:paraId="223A69C4" w14:textId="58EFABF3" w:rsidR="00EC75FD" w:rsidRPr="00E10BE6" w:rsidRDefault="00EC75FD" w:rsidP="00EC75FD">
      <w:pPr>
        <w:spacing w:after="0" w:line="360" w:lineRule="auto"/>
        <w:ind w:firstLine="431"/>
        <w:jc w:val="both"/>
        <w:rPr>
          <w:rFonts w:ascii="Times New Roman" w:hAnsi="Times New Roman" w:cs="Times New Roman"/>
          <w:sz w:val="24"/>
        </w:rPr>
      </w:pPr>
      <w:r w:rsidRPr="00E10BE6">
        <w:rPr>
          <w:rFonts w:ascii="Times New Roman" w:hAnsi="Times New Roman" w:cs="Times New Roman"/>
          <w:sz w:val="24"/>
        </w:rPr>
        <w:t xml:space="preserve">Tato diplomová práce se zabývá svobodou vyznání se zaměřením na zahalování muslimských žen. Text práce je rozdělen do tří kapitol. První kapitola vymezuje svobodu vyznání a její právní zakotvení nejen ve vnitrostátních předpisech, ale i evropských a mezinárodních právních dokumentech. Druhá kapitola se zabývá omezitelností svobody vyznání. První polovina této kapitoly se zaměřuje na obecné omezení svobody vyznání podle tzv. pětistupňového testu a ve druhé polovině kapitoly se práce zaměřuje na omezení svobody vyznání v jednotlivých případech rozhodovaných Evropským soudem pro lidská práva. Ve třetí, poslední kapitole práce rozebírá pojem doktríny pro uvážení státu jako důležité </w:t>
      </w:r>
      <w:proofErr w:type="gramStart"/>
      <w:r w:rsidRPr="00E10BE6">
        <w:rPr>
          <w:rFonts w:ascii="Times New Roman" w:hAnsi="Times New Roman" w:cs="Times New Roman"/>
          <w:sz w:val="24"/>
        </w:rPr>
        <w:t>doktríny</w:t>
      </w:r>
      <w:proofErr w:type="gramEnd"/>
      <w:r w:rsidRPr="00E10BE6">
        <w:rPr>
          <w:rFonts w:ascii="Times New Roman" w:hAnsi="Times New Roman" w:cs="Times New Roman"/>
          <w:sz w:val="24"/>
        </w:rPr>
        <w:t xml:space="preserve"> která podstatným způsobem ovlivňuje rozhodování Soudu v otázkách svobody vyznání.</w:t>
      </w:r>
    </w:p>
    <w:p w14:paraId="7DA47A44" w14:textId="29F37F9C" w:rsidR="00EC75FD" w:rsidRPr="00E10BE6" w:rsidRDefault="00EC75FD" w:rsidP="00EC75FD">
      <w:pPr>
        <w:spacing w:after="0" w:line="360" w:lineRule="auto"/>
        <w:ind w:firstLine="431"/>
        <w:jc w:val="both"/>
        <w:rPr>
          <w:rFonts w:ascii="Times New Roman" w:hAnsi="Times New Roman" w:cs="Times New Roman"/>
          <w:sz w:val="24"/>
        </w:rPr>
      </w:pPr>
    </w:p>
    <w:p w14:paraId="7D7355B7" w14:textId="400A703D" w:rsidR="00EC75FD" w:rsidRPr="00E10BE6" w:rsidRDefault="00EC75FD" w:rsidP="00EC75FD">
      <w:pPr>
        <w:pStyle w:val="Nadpis1"/>
        <w:numPr>
          <w:ilvl w:val="0"/>
          <w:numId w:val="0"/>
        </w:numPr>
        <w:ind w:left="431"/>
      </w:pPr>
      <w:bookmarkStart w:id="127" w:name="_Toc3454727"/>
      <w:proofErr w:type="spellStart"/>
      <w:r w:rsidRPr="00E10BE6">
        <w:t>Abstract</w:t>
      </w:r>
      <w:bookmarkEnd w:id="127"/>
      <w:proofErr w:type="spellEnd"/>
    </w:p>
    <w:p w14:paraId="0667E1F8" w14:textId="415EE29F" w:rsidR="00EC75FD" w:rsidRPr="00E10BE6" w:rsidRDefault="00EC75FD" w:rsidP="00EC75FD">
      <w:pPr>
        <w:spacing w:after="0" w:line="360" w:lineRule="auto"/>
        <w:jc w:val="both"/>
        <w:rPr>
          <w:rFonts w:ascii="Times New Roman" w:hAnsi="Times New Roman" w:cs="Times New Roman"/>
          <w:sz w:val="24"/>
        </w:rPr>
      </w:pPr>
      <w:r w:rsidRPr="00E10BE6">
        <w:tab/>
      </w:r>
      <w:proofErr w:type="spellStart"/>
      <w:r w:rsidRPr="00E10BE6">
        <w:rPr>
          <w:rFonts w:ascii="Times New Roman" w:hAnsi="Times New Roman" w:cs="Times New Roman"/>
          <w:sz w:val="24"/>
        </w:rPr>
        <w:t>This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theses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is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focused</w:t>
      </w:r>
      <w:proofErr w:type="spellEnd"/>
      <w:r w:rsidRPr="00E10BE6">
        <w:rPr>
          <w:rFonts w:ascii="Times New Roman" w:hAnsi="Times New Roman" w:cs="Times New Roman"/>
          <w:sz w:val="24"/>
        </w:rPr>
        <w:t xml:space="preserve"> on </w:t>
      </w: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 </w:t>
      </w:r>
      <w:proofErr w:type="spellStart"/>
      <w:r w:rsidRPr="00E10BE6">
        <w:rPr>
          <w:rFonts w:ascii="Times New Roman" w:hAnsi="Times New Roman" w:cs="Times New Roman"/>
          <w:sz w:val="24"/>
        </w:rPr>
        <w:t>with</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regard</w:t>
      </w:r>
      <w:proofErr w:type="spellEnd"/>
      <w:r w:rsidRPr="00E10BE6">
        <w:rPr>
          <w:rFonts w:ascii="Times New Roman" w:hAnsi="Times New Roman" w:cs="Times New Roman"/>
          <w:sz w:val="24"/>
        </w:rPr>
        <w:t xml:space="preserve"> on muslim </w:t>
      </w:r>
      <w:proofErr w:type="spellStart"/>
      <w:r w:rsidRPr="00E10BE6">
        <w:rPr>
          <w:rFonts w:ascii="Times New Roman" w:hAnsi="Times New Roman" w:cs="Times New Roman"/>
          <w:sz w:val="24"/>
        </w:rPr>
        <w:t>covering</w:t>
      </w:r>
      <w:proofErr w:type="spellEnd"/>
      <w:r w:rsidRPr="00E10BE6">
        <w:rPr>
          <w:rFonts w:ascii="Times New Roman" w:hAnsi="Times New Roman" w:cs="Times New Roman"/>
          <w:sz w:val="24"/>
        </w:rPr>
        <w:t xml:space="preserve">. Thesis </w:t>
      </w:r>
      <w:proofErr w:type="spellStart"/>
      <w:r w:rsidRPr="00E10BE6">
        <w:rPr>
          <w:rFonts w:ascii="Times New Roman" w:hAnsi="Times New Roman" w:cs="Times New Roman"/>
          <w:sz w:val="24"/>
        </w:rPr>
        <w:t>is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divided</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into</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three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chapters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First</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chapter</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defines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 and </w:t>
      </w:r>
      <w:proofErr w:type="spellStart"/>
      <w:r w:rsidRPr="00E10BE6">
        <w:rPr>
          <w:rFonts w:ascii="Times New Roman" w:hAnsi="Times New Roman" w:cs="Times New Roman"/>
          <w:sz w:val="24"/>
        </w:rPr>
        <w:t>its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legal</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basis</w:t>
      </w:r>
      <w:proofErr w:type="spellEnd"/>
      <w:r w:rsidRPr="00E10BE6">
        <w:rPr>
          <w:rFonts w:ascii="Times New Roman" w:hAnsi="Times New Roman" w:cs="Times New Roman"/>
          <w:sz w:val="24"/>
        </w:rPr>
        <w:t xml:space="preserve"> not </w:t>
      </w:r>
      <w:proofErr w:type="spellStart"/>
      <w:r w:rsidRPr="00E10BE6">
        <w:rPr>
          <w:rFonts w:ascii="Times New Roman" w:hAnsi="Times New Roman" w:cs="Times New Roman"/>
          <w:sz w:val="24"/>
        </w:rPr>
        <w:t>only</w:t>
      </w:r>
      <w:proofErr w:type="spellEnd"/>
      <w:r w:rsidRPr="00E10BE6">
        <w:rPr>
          <w:rFonts w:ascii="Times New Roman" w:hAnsi="Times New Roman" w:cs="Times New Roman"/>
          <w:sz w:val="24"/>
        </w:rPr>
        <w:t xml:space="preserve"> in </w:t>
      </w:r>
      <w:proofErr w:type="spellStart"/>
      <w:r w:rsidRPr="00E10BE6">
        <w:rPr>
          <w:rFonts w:ascii="Times New Roman" w:hAnsi="Times New Roman" w:cs="Times New Roman"/>
          <w:sz w:val="24"/>
        </w:rPr>
        <w:t>national</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law</w:t>
      </w:r>
      <w:proofErr w:type="spellEnd"/>
      <w:r w:rsidRPr="00E10BE6">
        <w:rPr>
          <w:rFonts w:ascii="Times New Roman" w:hAnsi="Times New Roman" w:cs="Times New Roman"/>
          <w:sz w:val="24"/>
        </w:rPr>
        <w:t xml:space="preserve"> but </w:t>
      </w:r>
      <w:proofErr w:type="spellStart"/>
      <w:r w:rsidRPr="00E10BE6">
        <w:rPr>
          <w:rFonts w:ascii="Times New Roman" w:hAnsi="Times New Roman" w:cs="Times New Roman"/>
          <w:sz w:val="24"/>
        </w:rPr>
        <w:t>also</w:t>
      </w:r>
      <w:proofErr w:type="spellEnd"/>
      <w:r w:rsidRPr="00E10BE6">
        <w:rPr>
          <w:rFonts w:ascii="Times New Roman" w:hAnsi="Times New Roman" w:cs="Times New Roman"/>
          <w:sz w:val="24"/>
        </w:rPr>
        <w:t xml:space="preserve"> in </w:t>
      </w:r>
      <w:proofErr w:type="spellStart"/>
      <w:r w:rsidRPr="00E10BE6">
        <w:rPr>
          <w:rFonts w:ascii="Times New Roman" w:hAnsi="Times New Roman" w:cs="Times New Roman"/>
          <w:sz w:val="24"/>
        </w:rPr>
        <w:t>european</w:t>
      </w:r>
      <w:proofErr w:type="spellEnd"/>
      <w:r w:rsidRPr="00E10BE6">
        <w:rPr>
          <w:rFonts w:ascii="Times New Roman" w:hAnsi="Times New Roman" w:cs="Times New Roman"/>
          <w:sz w:val="24"/>
        </w:rPr>
        <w:t xml:space="preserve"> and </w:t>
      </w:r>
      <w:proofErr w:type="spellStart"/>
      <w:r w:rsidRPr="00E10BE6">
        <w:rPr>
          <w:rFonts w:ascii="Times New Roman" w:hAnsi="Times New Roman" w:cs="Times New Roman"/>
          <w:sz w:val="24"/>
        </w:rPr>
        <w:t>international</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legal</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documents</w:t>
      </w:r>
      <w:proofErr w:type="spellEnd"/>
      <w:r w:rsidRPr="00E10BE6">
        <w:rPr>
          <w:rFonts w:ascii="Times New Roman" w:hAnsi="Times New Roman" w:cs="Times New Roman"/>
          <w:sz w:val="24"/>
        </w:rPr>
        <w:t xml:space="preserve">. Second </w:t>
      </w:r>
      <w:proofErr w:type="spellStart"/>
      <w:r w:rsidRPr="00E10BE6">
        <w:rPr>
          <w:rFonts w:ascii="Times New Roman" w:hAnsi="Times New Roman" w:cs="Times New Roman"/>
          <w:sz w:val="24"/>
        </w:rPr>
        <w:t>chapter</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is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focused</w:t>
      </w:r>
      <w:proofErr w:type="spellEnd"/>
      <w:r w:rsidRPr="00E10BE6">
        <w:rPr>
          <w:rFonts w:ascii="Times New Roman" w:hAnsi="Times New Roman" w:cs="Times New Roman"/>
          <w:sz w:val="24"/>
        </w:rPr>
        <w:t xml:space="preserve"> on </w:t>
      </w:r>
      <w:proofErr w:type="spellStart"/>
      <w:r w:rsidRPr="00E10BE6">
        <w:rPr>
          <w:rFonts w:ascii="Times New Roman" w:hAnsi="Times New Roman" w:cs="Times New Roman"/>
          <w:sz w:val="24"/>
        </w:rPr>
        <w:t>limitations</w:t>
      </w:r>
      <w:proofErr w:type="spellEnd"/>
      <w:r w:rsidRPr="00E10BE6">
        <w:rPr>
          <w:rFonts w:ascii="Times New Roman" w:hAnsi="Times New Roman" w:cs="Times New Roman"/>
          <w:sz w:val="24"/>
        </w:rPr>
        <w:t xml:space="preserve"> of </w:t>
      </w: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 </w:t>
      </w:r>
      <w:proofErr w:type="spellStart"/>
      <w:r w:rsidRPr="00E10BE6">
        <w:rPr>
          <w:rFonts w:ascii="Times New Roman" w:hAnsi="Times New Roman" w:cs="Times New Roman"/>
          <w:sz w:val="24"/>
        </w:rPr>
        <w:t>First</w:t>
      </w:r>
      <w:proofErr w:type="spellEnd"/>
      <w:r w:rsidRPr="00E10BE6">
        <w:rPr>
          <w:rFonts w:ascii="Times New Roman" w:hAnsi="Times New Roman" w:cs="Times New Roman"/>
          <w:sz w:val="24"/>
        </w:rPr>
        <w:t xml:space="preserve"> part of </w:t>
      </w:r>
      <w:proofErr w:type="spellStart"/>
      <w:r w:rsidRPr="00E10BE6">
        <w:rPr>
          <w:rFonts w:ascii="Times New Roman" w:hAnsi="Times New Roman" w:cs="Times New Roman"/>
          <w:sz w:val="24"/>
        </w:rPr>
        <w:t>the</w:t>
      </w:r>
      <w:proofErr w:type="spellEnd"/>
      <w:r w:rsidRPr="00E10BE6">
        <w:rPr>
          <w:rFonts w:ascii="Times New Roman" w:hAnsi="Times New Roman" w:cs="Times New Roman"/>
          <w:sz w:val="24"/>
        </w:rPr>
        <w:t xml:space="preserve"> second </w:t>
      </w:r>
      <w:proofErr w:type="spellStart"/>
      <w:r w:rsidRPr="00E10BE6">
        <w:rPr>
          <w:rFonts w:ascii="Times New Roman" w:hAnsi="Times New Roman" w:cs="Times New Roman"/>
          <w:sz w:val="24"/>
        </w:rPr>
        <w:t>chapter</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deals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with</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general</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limitations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accordingly</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with</w:t>
      </w:r>
      <w:proofErr w:type="spellEnd"/>
      <w:r w:rsidRPr="00E10BE6">
        <w:rPr>
          <w:rFonts w:ascii="Times New Roman" w:hAnsi="Times New Roman" w:cs="Times New Roman"/>
          <w:sz w:val="24"/>
        </w:rPr>
        <w:t xml:space="preserve"> so-</w:t>
      </w:r>
      <w:proofErr w:type="spellStart"/>
      <w:r w:rsidRPr="00E10BE6">
        <w:rPr>
          <w:rFonts w:ascii="Times New Roman" w:hAnsi="Times New Roman" w:cs="Times New Roman"/>
          <w:sz w:val="24"/>
        </w:rPr>
        <w:t>called</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five</w:t>
      </w:r>
      <w:proofErr w:type="spellEnd"/>
      <w:r w:rsidRPr="00E10BE6">
        <w:rPr>
          <w:rFonts w:ascii="Times New Roman" w:hAnsi="Times New Roman" w:cs="Times New Roman"/>
          <w:sz w:val="24"/>
        </w:rPr>
        <w:t>-</w:t>
      </w:r>
      <w:proofErr w:type="spellStart"/>
      <w:r w:rsidRPr="00E10BE6">
        <w:rPr>
          <w:rFonts w:ascii="Times New Roman" w:hAnsi="Times New Roman" w:cs="Times New Roman"/>
          <w:sz w:val="24"/>
        </w:rPr>
        <w:t>steps</w:t>
      </w:r>
      <w:proofErr w:type="spellEnd"/>
      <w:r w:rsidRPr="00E10BE6">
        <w:rPr>
          <w:rFonts w:ascii="Times New Roman" w:hAnsi="Times New Roman" w:cs="Times New Roman"/>
          <w:sz w:val="24"/>
        </w:rPr>
        <w:t xml:space="preserve">-test and </w:t>
      </w:r>
      <w:proofErr w:type="spellStart"/>
      <w:r w:rsidRPr="00E10BE6">
        <w:rPr>
          <w:rFonts w:ascii="Times New Roman" w:hAnsi="Times New Roman" w:cs="Times New Roman"/>
          <w:sz w:val="24"/>
        </w:rPr>
        <w:t>the</w:t>
      </w:r>
      <w:proofErr w:type="spellEnd"/>
      <w:r w:rsidRPr="00E10BE6">
        <w:rPr>
          <w:rFonts w:ascii="Times New Roman" w:hAnsi="Times New Roman" w:cs="Times New Roman"/>
          <w:sz w:val="24"/>
        </w:rPr>
        <w:t xml:space="preserve"> second part of </w:t>
      </w:r>
      <w:proofErr w:type="spellStart"/>
      <w:r w:rsidRPr="00E10BE6">
        <w:rPr>
          <w:rFonts w:ascii="Times New Roman" w:hAnsi="Times New Roman" w:cs="Times New Roman"/>
          <w:sz w:val="24"/>
        </w:rPr>
        <w:t>the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chapter</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shows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concreate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limitations</w:t>
      </w:r>
      <w:proofErr w:type="spellEnd"/>
      <w:r w:rsidRPr="00E10BE6">
        <w:rPr>
          <w:rFonts w:ascii="Times New Roman" w:hAnsi="Times New Roman" w:cs="Times New Roman"/>
          <w:sz w:val="24"/>
        </w:rPr>
        <w:t xml:space="preserve"> of </w:t>
      </w: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 on </w:t>
      </w:r>
      <w:proofErr w:type="spellStart"/>
      <w:r w:rsidRPr="00E10BE6">
        <w:rPr>
          <w:rFonts w:ascii="Times New Roman" w:hAnsi="Times New Roman" w:cs="Times New Roman"/>
          <w:sz w:val="24"/>
        </w:rPr>
        <w:t>cases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decided</w:t>
      </w:r>
      <w:proofErr w:type="spellEnd"/>
      <w:r w:rsidRPr="00E10BE6">
        <w:rPr>
          <w:rFonts w:ascii="Times New Roman" w:hAnsi="Times New Roman" w:cs="Times New Roman"/>
          <w:sz w:val="24"/>
        </w:rPr>
        <w:t xml:space="preserve"> by </w:t>
      </w:r>
      <w:proofErr w:type="spellStart"/>
      <w:r w:rsidRPr="00E10BE6">
        <w:rPr>
          <w:rFonts w:ascii="Times New Roman" w:hAnsi="Times New Roman" w:cs="Times New Roman"/>
          <w:sz w:val="24"/>
        </w:rPr>
        <w:t>European</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Court</w:t>
      </w:r>
      <w:proofErr w:type="spellEnd"/>
      <w:r w:rsidRPr="00E10BE6">
        <w:rPr>
          <w:rFonts w:ascii="Times New Roman" w:hAnsi="Times New Roman" w:cs="Times New Roman"/>
          <w:sz w:val="24"/>
        </w:rPr>
        <w:t xml:space="preserve"> of Human Rights. </w:t>
      </w:r>
      <w:proofErr w:type="spellStart"/>
      <w:r w:rsidRPr="00E10BE6">
        <w:rPr>
          <w:rFonts w:ascii="Times New Roman" w:hAnsi="Times New Roman" w:cs="Times New Roman"/>
          <w:sz w:val="24"/>
        </w:rPr>
        <w:t>Third</w:t>
      </w:r>
      <w:proofErr w:type="spellEnd"/>
      <w:r w:rsidRPr="00E10BE6">
        <w:rPr>
          <w:rFonts w:ascii="Times New Roman" w:hAnsi="Times New Roman" w:cs="Times New Roman"/>
          <w:sz w:val="24"/>
        </w:rPr>
        <w:t xml:space="preserve"> and </w:t>
      </w:r>
      <w:proofErr w:type="spellStart"/>
      <w:r w:rsidRPr="00E10BE6">
        <w:rPr>
          <w:rFonts w:ascii="Times New Roman" w:hAnsi="Times New Roman" w:cs="Times New Roman"/>
          <w:sz w:val="24"/>
        </w:rPr>
        <w:t>the</w:t>
      </w:r>
      <w:proofErr w:type="spellEnd"/>
      <w:r w:rsidRPr="00E10BE6">
        <w:rPr>
          <w:rFonts w:ascii="Times New Roman" w:hAnsi="Times New Roman" w:cs="Times New Roman"/>
          <w:sz w:val="24"/>
        </w:rPr>
        <w:t xml:space="preserve"> last </w:t>
      </w:r>
      <w:proofErr w:type="spellStart"/>
      <w:r w:rsidRPr="00E10BE6">
        <w:rPr>
          <w:rFonts w:ascii="Times New Roman" w:hAnsi="Times New Roman" w:cs="Times New Roman"/>
          <w:sz w:val="24"/>
        </w:rPr>
        <w:t>chapter</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is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focused</w:t>
      </w:r>
      <w:proofErr w:type="spellEnd"/>
      <w:r w:rsidRPr="00E10BE6">
        <w:rPr>
          <w:rFonts w:ascii="Times New Roman" w:hAnsi="Times New Roman" w:cs="Times New Roman"/>
          <w:sz w:val="24"/>
        </w:rPr>
        <w:t xml:space="preserve"> on </w:t>
      </w:r>
      <w:proofErr w:type="spellStart"/>
      <w:r w:rsidRPr="00E10BE6">
        <w:rPr>
          <w:rFonts w:ascii="Times New Roman" w:hAnsi="Times New Roman" w:cs="Times New Roman"/>
          <w:sz w:val="24"/>
        </w:rPr>
        <w:t>the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doctrine</w:t>
      </w:r>
      <w:proofErr w:type="spellEnd"/>
      <w:r w:rsidRPr="00E10BE6">
        <w:rPr>
          <w:rFonts w:ascii="Times New Roman" w:hAnsi="Times New Roman" w:cs="Times New Roman"/>
          <w:sz w:val="24"/>
        </w:rPr>
        <w:t xml:space="preserve"> of margin of appreciation. </w:t>
      </w:r>
      <w:proofErr w:type="spellStart"/>
      <w:r w:rsidRPr="00E10BE6">
        <w:rPr>
          <w:rFonts w:ascii="Times New Roman" w:hAnsi="Times New Roman" w:cs="Times New Roman"/>
          <w:sz w:val="24"/>
        </w:rPr>
        <w:t>This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doctrine</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plays</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an</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important</w:t>
      </w:r>
      <w:proofErr w:type="spellEnd"/>
      <w:r w:rsidRPr="00E10BE6">
        <w:rPr>
          <w:rFonts w:ascii="Times New Roman" w:hAnsi="Times New Roman" w:cs="Times New Roman"/>
          <w:sz w:val="24"/>
        </w:rPr>
        <w:t xml:space="preserve"> role in </w:t>
      </w:r>
      <w:proofErr w:type="spellStart"/>
      <w:r w:rsidRPr="00E10BE6">
        <w:rPr>
          <w:rFonts w:ascii="Times New Roman" w:hAnsi="Times New Roman" w:cs="Times New Roman"/>
          <w:sz w:val="24"/>
        </w:rPr>
        <w:t>decision</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making</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process</w:t>
      </w:r>
      <w:proofErr w:type="spellEnd"/>
      <w:r w:rsidRPr="00E10BE6">
        <w:rPr>
          <w:rFonts w:ascii="Times New Roman" w:hAnsi="Times New Roman" w:cs="Times New Roman"/>
          <w:sz w:val="24"/>
        </w:rPr>
        <w:t xml:space="preserve"> made by </w:t>
      </w:r>
      <w:proofErr w:type="spellStart"/>
      <w:r w:rsidRPr="00E10BE6">
        <w:rPr>
          <w:rFonts w:ascii="Times New Roman" w:hAnsi="Times New Roman" w:cs="Times New Roman"/>
          <w:sz w:val="24"/>
        </w:rPr>
        <w:t>European</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Court</w:t>
      </w:r>
      <w:proofErr w:type="spellEnd"/>
      <w:r w:rsidRPr="00E10BE6">
        <w:rPr>
          <w:rFonts w:ascii="Times New Roman" w:hAnsi="Times New Roman" w:cs="Times New Roman"/>
          <w:sz w:val="24"/>
        </w:rPr>
        <w:t xml:space="preserve"> of Human Rights in </w:t>
      </w: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 </w:t>
      </w:r>
      <w:proofErr w:type="spellStart"/>
      <w:r w:rsidRPr="00E10BE6">
        <w:rPr>
          <w:rFonts w:ascii="Times New Roman" w:hAnsi="Times New Roman" w:cs="Times New Roman"/>
          <w:sz w:val="24"/>
        </w:rPr>
        <w:t>cases</w:t>
      </w:r>
      <w:proofErr w:type="spellEnd"/>
      <w:r w:rsidRPr="00E10BE6">
        <w:rPr>
          <w:rFonts w:ascii="Times New Roman" w:hAnsi="Times New Roman" w:cs="Times New Roman"/>
          <w:sz w:val="24"/>
        </w:rPr>
        <w:t>.</w:t>
      </w:r>
    </w:p>
    <w:p w14:paraId="7028C4AD" w14:textId="77777777" w:rsidR="00EC75FD" w:rsidRPr="00E10BE6" w:rsidRDefault="00EC75FD">
      <w:pPr>
        <w:rPr>
          <w:rFonts w:ascii="Times New Roman" w:hAnsi="Times New Roman" w:cs="Times New Roman"/>
          <w:sz w:val="24"/>
        </w:rPr>
      </w:pPr>
      <w:r w:rsidRPr="00E10BE6">
        <w:rPr>
          <w:rFonts w:ascii="Times New Roman" w:hAnsi="Times New Roman" w:cs="Times New Roman"/>
          <w:sz w:val="24"/>
        </w:rPr>
        <w:br w:type="page"/>
      </w:r>
    </w:p>
    <w:p w14:paraId="2B56F0C1" w14:textId="7C800A89" w:rsidR="00EC75FD" w:rsidRPr="00E10BE6" w:rsidRDefault="00EC75FD" w:rsidP="00EC75FD">
      <w:pPr>
        <w:pStyle w:val="Nadpis1"/>
        <w:numPr>
          <w:ilvl w:val="0"/>
          <w:numId w:val="0"/>
        </w:numPr>
        <w:ind w:left="431"/>
      </w:pPr>
      <w:bookmarkStart w:id="128" w:name="_Toc3454728"/>
      <w:r w:rsidRPr="00E10BE6">
        <w:lastRenderedPageBreak/>
        <w:t>Klíčová slova</w:t>
      </w:r>
      <w:bookmarkEnd w:id="128"/>
    </w:p>
    <w:p w14:paraId="57213117" w14:textId="31F2D683"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Svoboda vyznání</w:t>
      </w:r>
    </w:p>
    <w:p w14:paraId="3F98A3EB" w14:textId="6988F501"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Zahalování</w:t>
      </w:r>
    </w:p>
    <w:p w14:paraId="7CBC9519" w14:textId="77777777"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Doktrína prostoru pro uvážení</w:t>
      </w:r>
    </w:p>
    <w:p w14:paraId="2AD6A6AD" w14:textId="3D623CA0"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Omezení svobody vyznání</w:t>
      </w:r>
    </w:p>
    <w:p w14:paraId="49A2DB98" w14:textId="69B0CB27"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Evropský soud pro lidská práva</w:t>
      </w:r>
    </w:p>
    <w:p w14:paraId="3E6E86BD" w14:textId="62C018EA"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Muslimské šátky</w:t>
      </w:r>
    </w:p>
    <w:p w14:paraId="7E88AB29" w14:textId="5C1B4226" w:rsidR="00EC75FD" w:rsidRPr="00E10BE6" w:rsidRDefault="00EC75FD" w:rsidP="00EC75FD">
      <w:pPr>
        <w:rPr>
          <w:rFonts w:ascii="Times New Roman" w:hAnsi="Times New Roman" w:cs="Times New Roman"/>
          <w:sz w:val="24"/>
        </w:rPr>
      </w:pPr>
    </w:p>
    <w:p w14:paraId="680FDF50" w14:textId="5EA2DA94" w:rsidR="00EC75FD" w:rsidRPr="00E10BE6" w:rsidRDefault="00EC75FD" w:rsidP="00EC75FD">
      <w:pPr>
        <w:pStyle w:val="Nadpis1"/>
        <w:numPr>
          <w:ilvl w:val="0"/>
          <w:numId w:val="0"/>
        </w:numPr>
        <w:ind w:left="431"/>
      </w:pPr>
      <w:bookmarkStart w:id="129" w:name="_Toc3454729"/>
      <w:proofErr w:type="spellStart"/>
      <w:r w:rsidRPr="00E10BE6">
        <w:t>Key</w:t>
      </w:r>
      <w:proofErr w:type="spellEnd"/>
      <w:r w:rsidRPr="00E10BE6">
        <w:t xml:space="preserve"> </w:t>
      </w:r>
      <w:proofErr w:type="spellStart"/>
      <w:r w:rsidRPr="00E10BE6">
        <w:t>words</w:t>
      </w:r>
      <w:bookmarkEnd w:id="129"/>
      <w:proofErr w:type="spellEnd"/>
    </w:p>
    <w:p w14:paraId="28A851E2" w14:textId="44710430" w:rsidR="00EC75FD" w:rsidRPr="00E10BE6" w:rsidRDefault="00EC75FD" w:rsidP="00EC75FD">
      <w:pPr>
        <w:rPr>
          <w:rFonts w:ascii="Times New Roman" w:hAnsi="Times New Roman" w:cs="Times New Roman"/>
          <w:sz w:val="24"/>
        </w:rPr>
      </w:pP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w:t>
      </w:r>
    </w:p>
    <w:p w14:paraId="3EBA7E3A" w14:textId="64335BA2"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 xml:space="preserve">Muslim </w:t>
      </w:r>
      <w:proofErr w:type="spellStart"/>
      <w:r w:rsidRPr="00E10BE6">
        <w:rPr>
          <w:rFonts w:ascii="Times New Roman" w:hAnsi="Times New Roman" w:cs="Times New Roman"/>
          <w:sz w:val="24"/>
        </w:rPr>
        <w:t>covering</w:t>
      </w:r>
      <w:proofErr w:type="spellEnd"/>
    </w:p>
    <w:p w14:paraId="4BEBBA1A" w14:textId="75E56AF8"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Margin of appreciation</w:t>
      </w:r>
    </w:p>
    <w:p w14:paraId="1DA4E8CD" w14:textId="2EDA4764" w:rsidR="00EC75FD" w:rsidRPr="00E10BE6" w:rsidRDefault="00EC75FD" w:rsidP="00EC75FD">
      <w:pPr>
        <w:rPr>
          <w:rFonts w:ascii="Times New Roman" w:hAnsi="Times New Roman" w:cs="Times New Roman"/>
          <w:sz w:val="24"/>
        </w:rPr>
      </w:pPr>
      <w:proofErr w:type="spellStart"/>
      <w:r w:rsidRPr="00E10BE6">
        <w:rPr>
          <w:rFonts w:ascii="Times New Roman" w:hAnsi="Times New Roman" w:cs="Times New Roman"/>
          <w:sz w:val="24"/>
        </w:rPr>
        <w:t>Limitations</w:t>
      </w:r>
      <w:proofErr w:type="spellEnd"/>
      <w:r w:rsidRPr="00E10BE6">
        <w:rPr>
          <w:rFonts w:ascii="Times New Roman" w:hAnsi="Times New Roman" w:cs="Times New Roman"/>
          <w:sz w:val="24"/>
        </w:rPr>
        <w:t xml:space="preserve"> of </w:t>
      </w:r>
      <w:proofErr w:type="spellStart"/>
      <w:r w:rsidRPr="00E10BE6">
        <w:rPr>
          <w:rFonts w:ascii="Times New Roman" w:hAnsi="Times New Roman" w:cs="Times New Roman"/>
          <w:sz w:val="24"/>
        </w:rPr>
        <w:t>freedom</w:t>
      </w:r>
      <w:proofErr w:type="spellEnd"/>
      <w:r w:rsidRPr="00E10BE6">
        <w:rPr>
          <w:rFonts w:ascii="Times New Roman" w:hAnsi="Times New Roman" w:cs="Times New Roman"/>
          <w:sz w:val="24"/>
        </w:rPr>
        <w:t xml:space="preserve"> of religion</w:t>
      </w:r>
    </w:p>
    <w:p w14:paraId="46EC1989" w14:textId="3BF51A5B" w:rsidR="00EC75FD" w:rsidRPr="00E10BE6" w:rsidRDefault="00EC75FD" w:rsidP="00EC75FD">
      <w:pPr>
        <w:rPr>
          <w:rFonts w:ascii="Times New Roman" w:hAnsi="Times New Roman" w:cs="Times New Roman"/>
          <w:sz w:val="24"/>
        </w:rPr>
      </w:pPr>
      <w:proofErr w:type="spellStart"/>
      <w:r w:rsidRPr="00E10BE6">
        <w:rPr>
          <w:rFonts w:ascii="Times New Roman" w:hAnsi="Times New Roman" w:cs="Times New Roman"/>
          <w:sz w:val="24"/>
        </w:rPr>
        <w:t>European</w:t>
      </w:r>
      <w:proofErr w:type="spellEnd"/>
      <w:r w:rsidRPr="00E10BE6">
        <w:rPr>
          <w:rFonts w:ascii="Times New Roman" w:hAnsi="Times New Roman" w:cs="Times New Roman"/>
          <w:sz w:val="24"/>
        </w:rPr>
        <w:t xml:space="preserve"> </w:t>
      </w:r>
      <w:proofErr w:type="spellStart"/>
      <w:r w:rsidRPr="00E10BE6">
        <w:rPr>
          <w:rFonts w:ascii="Times New Roman" w:hAnsi="Times New Roman" w:cs="Times New Roman"/>
          <w:sz w:val="24"/>
        </w:rPr>
        <w:t>Court</w:t>
      </w:r>
      <w:proofErr w:type="spellEnd"/>
      <w:r w:rsidRPr="00E10BE6">
        <w:rPr>
          <w:rFonts w:ascii="Times New Roman" w:hAnsi="Times New Roman" w:cs="Times New Roman"/>
          <w:sz w:val="24"/>
        </w:rPr>
        <w:t xml:space="preserve"> of Human Rights</w:t>
      </w:r>
    </w:p>
    <w:p w14:paraId="4500EC93" w14:textId="6A67CBC8" w:rsidR="00EC75FD" w:rsidRPr="00E10BE6" w:rsidRDefault="00EC75FD" w:rsidP="00EC75FD">
      <w:pPr>
        <w:rPr>
          <w:rFonts w:ascii="Times New Roman" w:hAnsi="Times New Roman" w:cs="Times New Roman"/>
          <w:sz w:val="24"/>
        </w:rPr>
      </w:pPr>
      <w:r w:rsidRPr="00E10BE6">
        <w:rPr>
          <w:rFonts w:ascii="Times New Roman" w:hAnsi="Times New Roman" w:cs="Times New Roman"/>
          <w:sz w:val="24"/>
        </w:rPr>
        <w:t xml:space="preserve">Muslim </w:t>
      </w:r>
      <w:proofErr w:type="spellStart"/>
      <w:r w:rsidRPr="00E10BE6">
        <w:rPr>
          <w:rFonts w:ascii="Times New Roman" w:hAnsi="Times New Roman" w:cs="Times New Roman"/>
          <w:sz w:val="24"/>
        </w:rPr>
        <w:t>headscarf</w:t>
      </w:r>
      <w:proofErr w:type="spellEnd"/>
    </w:p>
    <w:p w14:paraId="625DB0A7" w14:textId="77777777" w:rsidR="00EC75FD" w:rsidRPr="00E10BE6" w:rsidRDefault="00EC75FD" w:rsidP="00EC75FD">
      <w:pPr>
        <w:rPr>
          <w:rFonts w:ascii="Times New Roman" w:hAnsi="Times New Roman" w:cs="Times New Roman"/>
          <w:sz w:val="24"/>
        </w:rPr>
      </w:pPr>
    </w:p>
    <w:p w14:paraId="6B80B6D7" w14:textId="43F33869" w:rsidR="00EC75FD" w:rsidRPr="00E10BE6" w:rsidRDefault="00EC75FD" w:rsidP="00EC75FD"/>
    <w:p w14:paraId="1268D7CA" w14:textId="77777777" w:rsidR="00DF4FCA" w:rsidRPr="00E10BE6" w:rsidRDefault="00DF4FCA" w:rsidP="00DF4FCA"/>
    <w:p w14:paraId="302D3D6B" w14:textId="77777777" w:rsidR="00DE3AB2" w:rsidRPr="00E10BE6" w:rsidRDefault="00DE3AB2" w:rsidP="00DE3AB2">
      <w:pPr>
        <w:spacing w:after="0" w:line="360" w:lineRule="auto"/>
        <w:jc w:val="both"/>
        <w:rPr>
          <w:rFonts w:ascii="Times New Roman" w:hAnsi="Times New Roman" w:cs="Times New Roman"/>
          <w:b/>
          <w:sz w:val="24"/>
          <w:szCs w:val="24"/>
        </w:rPr>
      </w:pPr>
    </w:p>
    <w:p w14:paraId="5299EFE9" w14:textId="77777777" w:rsidR="00DE3AB2" w:rsidRPr="00E10BE6" w:rsidRDefault="00DE3AB2" w:rsidP="00DE3AB2">
      <w:pPr>
        <w:spacing w:after="0" w:line="360" w:lineRule="auto"/>
        <w:jc w:val="both"/>
        <w:rPr>
          <w:rFonts w:ascii="Times New Roman" w:hAnsi="Times New Roman" w:cs="Times New Roman"/>
          <w:b/>
          <w:sz w:val="24"/>
          <w:szCs w:val="24"/>
        </w:rPr>
      </w:pPr>
    </w:p>
    <w:p w14:paraId="7695A6C4" w14:textId="77777777" w:rsidR="00DE3AB2" w:rsidRPr="00E10BE6" w:rsidRDefault="00DE3AB2" w:rsidP="00DE3AB2">
      <w:pPr>
        <w:spacing w:after="0" w:line="360" w:lineRule="auto"/>
        <w:jc w:val="both"/>
        <w:rPr>
          <w:rFonts w:ascii="Times New Roman" w:hAnsi="Times New Roman" w:cs="Times New Roman"/>
          <w:b/>
          <w:sz w:val="24"/>
          <w:szCs w:val="24"/>
        </w:rPr>
      </w:pPr>
    </w:p>
    <w:p w14:paraId="662BA756" w14:textId="77777777" w:rsidR="00DE3AB2" w:rsidRPr="00E10BE6" w:rsidRDefault="00DE3AB2" w:rsidP="00DE3AB2">
      <w:pPr>
        <w:spacing w:after="0" w:line="360" w:lineRule="auto"/>
        <w:jc w:val="both"/>
        <w:rPr>
          <w:rFonts w:ascii="Times New Roman" w:hAnsi="Times New Roman" w:cs="Times New Roman"/>
          <w:b/>
          <w:sz w:val="24"/>
          <w:szCs w:val="24"/>
        </w:rPr>
      </w:pPr>
    </w:p>
    <w:p w14:paraId="33BF6B14" w14:textId="77777777" w:rsidR="00DE3AB2" w:rsidRPr="00E10BE6" w:rsidRDefault="00DE3AB2" w:rsidP="00DE3AB2">
      <w:pPr>
        <w:spacing w:after="0" w:line="360" w:lineRule="auto"/>
        <w:jc w:val="both"/>
        <w:rPr>
          <w:rFonts w:ascii="Times New Roman" w:hAnsi="Times New Roman" w:cs="Times New Roman"/>
          <w:b/>
          <w:sz w:val="24"/>
          <w:szCs w:val="24"/>
        </w:rPr>
      </w:pPr>
    </w:p>
    <w:p w14:paraId="517BBA21" w14:textId="77777777" w:rsidR="00DE3AB2" w:rsidRPr="00E10BE6" w:rsidRDefault="00DE3AB2" w:rsidP="00DE3AB2">
      <w:pPr>
        <w:spacing w:after="0" w:line="360" w:lineRule="auto"/>
        <w:jc w:val="both"/>
        <w:rPr>
          <w:rFonts w:ascii="Times New Roman" w:hAnsi="Times New Roman" w:cs="Times New Roman"/>
          <w:b/>
          <w:sz w:val="24"/>
          <w:szCs w:val="24"/>
        </w:rPr>
      </w:pPr>
    </w:p>
    <w:p w14:paraId="12A051FE" w14:textId="77777777" w:rsidR="00DE3AB2" w:rsidRPr="00E10BE6" w:rsidRDefault="00DE3AB2" w:rsidP="00DE3AB2">
      <w:pPr>
        <w:spacing w:after="0" w:line="360" w:lineRule="auto"/>
        <w:jc w:val="both"/>
        <w:rPr>
          <w:rFonts w:ascii="Times New Roman" w:hAnsi="Times New Roman" w:cs="Times New Roman"/>
          <w:b/>
          <w:sz w:val="24"/>
          <w:szCs w:val="24"/>
        </w:rPr>
      </w:pPr>
    </w:p>
    <w:p w14:paraId="2B76341F" w14:textId="77777777" w:rsidR="00DE3AB2" w:rsidRPr="00E10BE6" w:rsidRDefault="00DE3AB2" w:rsidP="00DE3AB2">
      <w:pPr>
        <w:spacing w:line="360" w:lineRule="auto"/>
        <w:jc w:val="both"/>
        <w:rPr>
          <w:rFonts w:ascii="Times New Roman" w:hAnsi="Times New Roman" w:cs="Times New Roman"/>
          <w:b/>
          <w:sz w:val="24"/>
          <w:szCs w:val="24"/>
        </w:rPr>
      </w:pPr>
    </w:p>
    <w:p w14:paraId="352A9BB6" w14:textId="77777777" w:rsidR="00FB633A" w:rsidRPr="00E10BE6" w:rsidRDefault="00FB633A" w:rsidP="00C94F87">
      <w:pPr>
        <w:spacing w:line="360" w:lineRule="auto"/>
        <w:jc w:val="both"/>
        <w:rPr>
          <w:rFonts w:ascii="Times New Roman" w:hAnsi="Times New Roman" w:cs="Times New Roman"/>
          <w:sz w:val="24"/>
        </w:rPr>
      </w:pPr>
    </w:p>
    <w:sectPr w:rsidR="00FB633A" w:rsidRPr="00E10BE6" w:rsidSect="00C9127F">
      <w:footerReference w:type="default" r:id="rId20"/>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07C6" w14:textId="77777777" w:rsidR="00C83D5C" w:rsidRDefault="00C83D5C" w:rsidP="00B80776">
      <w:pPr>
        <w:spacing w:after="0" w:line="240" w:lineRule="auto"/>
      </w:pPr>
      <w:r>
        <w:separator/>
      </w:r>
    </w:p>
  </w:endnote>
  <w:endnote w:type="continuationSeparator" w:id="0">
    <w:p w14:paraId="1C3C093D" w14:textId="77777777" w:rsidR="00C83D5C" w:rsidRDefault="00C83D5C" w:rsidP="00B8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26302"/>
      <w:docPartObj>
        <w:docPartGallery w:val="Page Numbers (Bottom of Page)"/>
        <w:docPartUnique/>
      </w:docPartObj>
    </w:sdtPr>
    <w:sdtEndPr>
      <w:rPr>
        <w:rFonts w:ascii="Times New Roman" w:hAnsi="Times New Roman" w:cs="Times New Roman"/>
      </w:rPr>
    </w:sdtEndPr>
    <w:sdtContent>
      <w:p w14:paraId="7307DFF5" w14:textId="5FC8ED72" w:rsidR="007C7B7D" w:rsidRPr="007B5FBA" w:rsidRDefault="007C7B7D">
        <w:pPr>
          <w:pStyle w:val="Zpat"/>
          <w:jc w:val="center"/>
          <w:rPr>
            <w:rFonts w:ascii="Times New Roman" w:hAnsi="Times New Roman" w:cs="Times New Roman"/>
          </w:rPr>
        </w:pPr>
        <w:r w:rsidRPr="007B5FBA">
          <w:rPr>
            <w:rFonts w:ascii="Times New Roman" w:hAnsi="Times New Roman" w:cs="Times New Roman"/>
          </w:rPr>
          <w:fldChar w:fldCharType="begin"/>
        </w:r>
        <w:r w:rsidRPr="007B5FBA">
          <w:rPr>
            <w:rFonts w:ascii="Times New Roman" w:hAnsi="Times New Roman" w:cs="Times New Roman"/>
          </w:rPr>
          <w:instrText>PAGE   \* MERGEFORMAT</w:instrText>
        </w:r>
        <w:r w:rsidRPr="007B5FBA">
          <w:rPr>
            <w:rFonts w:ascii="Times New Roman" w:hAnsi="Times New Roman" w:cs="Times New Roman"/>
          </w:rPr>
          <w:fldChar w:fldCharType="separate"/>
        </w:r>
        <w:r w:rsidRPr="007B5FBA">
          <w:rPr>
            <w:rFonts w:ascii="Times New Roman" w:hAnsi="Times New Roman" w:cs="Times New Roman"/>
          </w:rPr>
          <w:t>2</w:t>
        </w:r>
        <w:r w:rsidRPr="007B5FBA">
          <w:rPr>
            <w:rFonts w:ascii="Times New Roman" w:hAnsi="Times New Roman" w:cs="Times New Roman"/>
          </w:rPr>
          <w:fldChar w:fldCharType="end"/>
        </w:r>
      </w:p>
    </w:sdtContent>
  </w:sdt>
  <w:p w14:paraId="4EEA91A5" w14:textId="77777777" w:rsidR="007C7B7D" w:rsidRDefault="007C7B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219B" w14:textId="77777777" w:rsidR="00C83D5C" w:rsidRDefault="00C83D5C" w:rsidP="00B80776">
      <w:pPr>
        <w:spacing w:after="0" w:line="240" w:lineRule="auto"/>
      </w:pPr>
      <w:r>
        <w:separator/>
      </w:r>
    </w:p>
  </w:footnote>
  <w:footnote w:type="continuationSeparator" w:id="0">
    <w:p w14:paraId="7B866AFC" w14:textId="77777777" w:rsidR="00C83D5C" w:rsidRDefault="00C83D5C" w:rsidP="00B80776">
      <w:pPr>
        <w:spacing w:after="0" w:line="240" w:lineRule="auto"/>
      </w:pPr>
      <w:r>
        <w:continuationSeparator/>
      </w:r>
    </w:p>
  </w:footnote>
  <w:footnote w:id="1">
    <w:p w14:paraId="3B7866B0" w14:textId="0685CDD0" w:rsidR="007C7B7D" w:rsidRPr="00FA5D3B" w:rsidRDefault="007C7B7D" w:rsidP="00FA5590">
      <w:pPr>
        <w:pStyle w:val="Textpoznpodarou"/>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HARRIS, Chris. </w:t>
      </w:r>
      <w:r w:rsidRPr="00FA5D3B">
        <w:rPr>
          <w:rFonts w:ascii="Times New Roman" w:hAnsi="Times New Roman" w:cs="Times New Roman"/>
          <w:i/>
        </w:rPr>
        <w:t>Where in Europe is the Islamic full-face veil banned?</w:t>
      </w:r>
      <w:r w:rsidRPr="00FA5D3B">
        <w:rPr>
          <w:rFonts w:ascii="Times New Roman" w:hAnsi="Times New Roman" w:cs="Times New Roman"/>
        </w:rPr>
        <w:t xml:space="preserve"> [online]. euronews.com, 8. srpna [cit. 27. listopadu 2018]. Dostupné na </w:t>
      </w:r>
      <w:hyperlink r:id="rId1" w:history="1">
        <w:r w:rsidRPr="00F20EFC">
          <w:rPr>
            <w:rStyle w:val="Hypertextovodkaz"/>
            <w:rFonts w:ascii="Times New Roman" w:hAnsi="Times New Roman" w:cs="Times New Roman"/>
          </w:rPr>
          <w:t>https://www.euronews.com/2018/08/08/where-in-europe-is-the-islamic-full-face-veil-banned-</w:t>
        </w:r>
      </w:hyperlink>
      <w:r w:rsidRPr="00FA5D3B">
        <w:rPr>
          <w:rFonts w:ascii="Times New Roman" w:hAnsi="Times New Roman" w:cs="Times New Roman"/>
        </w:rPr>
        <w:t>.</w:t>
      </w:r>
    </w:p>
  </w:footnote>
  <w:footnote w:id="2">
    <w:p w14:paraId="7F5F7918" w14:textId="56A7C359"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11" w:name="_Hlk506288141"/>
      <w:r w:rsidRPr="00FA5D3B">
        <w:rPr>
          <w:rFonts w:ascii="Times New Roman" w:hAnsi="Times New Roman" w:cs="Times New Roman"/>
        </w:rPr>
        <w:t xml:space="preserve">BARTOŇ, M. a kolektiv. </w:t>
      </w:r>
      <w:r w:rsidRPr="00FA5D3B">
        <w:rPr>
          <w:rFonts w:ascii="Times New Roman" w:hAnsi="Times New Roman" w:cs="Times New Roman"/>
          <w:i/>
        </w:rPr>
        <w:t>Základní práva</w:t>
      </w:r>
      <w:r w:rsidRPr="00FA5D3B">
        <w:rPr>
          <w:rFonts w:ascii="Times New Roman" w:hAnsi="Times New Roman" w:cs="Times New Roman"/>
        </w:rPr>
        <w:t>. Praha: Leges, 2016, s.330</w:t>
      </w:r>
      <w:bookmarkEnd w:id="11"/>
      <w:r>
        <w:rPr>
          <w:rFonts w:ascii="Times New Roman" w:hAnsi="Times New Roman" w:cs="Times New Roman"/>
        </w:rPr>
        <w:t>.</w:t>
      </w:r>
    </w:p>
  </w:footnote>
  <w:footnote w:id="3">
    <w:p w14:paraId="054BA3F9" w14:textId="1179EAAC"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Nález Ústavního soudu ze dne 27. listopadu 2002, sp. zn. Pl. ÚS 6/02.</w:t>
      </w:r>
    </w:p>
  </w:footnote>
  <w:footnote w:id="4">
    <w:p w14:paraId="1C95352B" w14:textId="3B386DF6"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Nález Ústavního soudu ze dne 2. června 1999, sp. zn. Pl. ÚS 18/98</w:t>
      </w:r>
      <w:r>
        <w:rPr>
          <w:rFonts w:ascii="Times New Roman" w:hAnsi="Times New Roman" w:cs="Times New Roman"/>
        </w:rPr>
        <w:t>.</w:t>
      </w:r>
    </w:p>
  </w:footnote>
  <w:footnote w:id="5">
    <w:p w14:paraId="7C81F93D" w14:textId="7DAB3365"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BOBEK, Michal. In KMEC, Jiří, KOSAŘ, David, KRATOCHVÍL, Jan, BOBEK, Michal. </w:t>
      </w:r>
      <w:r w:rsidRPr="00FA5D3B">
        <w:rPr>
          <w:rFonts w:ascii="Times New Roman" w:hAnsi="Times New Roman" w:cs="Times New Roman"/>
          <w:i/>
        </w:rPr>
        <w:t>Evropská úmluva o</w:t>
      </w:r>
      <w:r>
        <w:rPr>
          <w:rFonts w:ascii="Times New Roman" w:hAnsi="Times New Roman" w:cs="Times New Roman"/>
          <w:i/>
        </w:rPr>
        <w:t> </w:t>
      </w:r>
      <w:r w:rsidRPr="00FA5D3B">
        <w:rPr>
          <w:rFonts w:ascii="Times New Roman" w:hAnsi="Times New Roman" w:cs="Times New Roman"/>
          <w:i/>
        </w:rPr>
        <w:t>lidských právech. Komentář</w:t>
      </w:r>
      <w:r w:rsidRPr="00FA5D3B">
        <w:rPr>
          <w:rFonts w:ascii="Times New Roman" w:hAnsi="Times New Roman" w:cs="Times New Roman"/>
        </w:rPr>
        <w:t>. 1. vydání. Praha: C. H. Beck, 2012, s. 6</w:t>
      </w:r>
      <w:r>
        <w:rPr>
          <w:rFonts w:ascii="Times New Roman" w:hAnsi="Times New Roman" w:cs="Times New Roman"/>
        </w:rPr>
        <w:t>.</w:t>
      </w:r>
    </w:p>
  </w:footnote>
  <w:footnote w:id="6">
    <w:p w14:paraId="7A9F940E" w14:textId="5074DE64" w:rsidR="007C7B7D" w:rsidRPr="00B61503" w:rsidRDefault="007C7B7D" w:rsidP="00DA735D">
      <w:pPr>
        <w:pStyle w:val="Textpoznpodarou"/>
        <w:jc w:val="both"/>
        <w:rPr>
          <w:rFonts w:ascii="Times New Roman" w:hAnsi="Times New Roman" w:cs="Times New Roman"/>
        </w:rPr>
      </w:pPr>
      <w:r w:rsidRPr="00B61503">
        <w:rPr>
          <w:rStyle w:val="Znakapoznpodarou"/>
          <w:rFonts w:ascii="Times New Roman" w:hAnsi="Times New Roman" w:cs="Times New Roman"/>
        </w:rPr>
        <w:footnoteRef/>
      </w:r>
      <w:r w:rsidRPr="00B61503">
        <w:rPr>
          <w:rFonts w:ascii="Times New Roman" w:hAnsi="Times New Roman" w:cs="Times New Roman"/>
        </w:rPr>
        <w:t xml:space="preserve"> </w:t>
      </w:r>
      <w:bookmarkStart w:id="12" w:name="_Hlk517512568"/>
      <w:r w:rsidRPr="00B61503">
        <w:rPr>
          <w:rFonts w:ascii="Times New Roman" w:hAnsi="Times New Roman" w:cs="Times New Roman"/>
        </w:rPr>
        <w:t>Rozhodnutí ESLP ve věci Sinan Işik proti Turecku ze dne 2. února 2010, stížnost č. 21924/05, bod 42</w:t>
      </w:r>
      <w:bookmarkEnd w:id="12"/>
      <w:r w:rsidRPr="00B61503">
        <w:rPr>
          <w:rFonts w:ascii="Times New Roman" w:hAnsi="Times New Roman" w:cs="Times New Roman"/>
        </w:rPr>
        <w:t>.</w:t>
      </w:r>
    </w:p>
  </w:footnote>
  <w:footnote w:id="7">
    <w:p w14:paraId="504DE8FB" w14:textId="5D3DAFB2" w:rsidR="007C7B7D" w:rsidRPr="00B61503" w:rsidRDefault="007C7B7D" w:rsidP="00DA735D">
      <w:pPr>
        <w:pStyle w:val="Textpoznpodarou"/>
        <w:jc w:val="both"/>
        <w:rPr>
          <w:rFonts w:ascii="Times New Roman" w:hAnsi="Times New Roman" w:cs="Times New Roman"/>
        </w:rPr>
      </w:pPr>
      <w:r w:rsidRPr="00B61503">
        <w:rPr>
          <w:rStyle w:val="Znakapoznpodarou"/>
          <w:rFonts w:ascii="Times New Roman" w:hAnsi="Times New Roman" w:cs="Times New Roman"/>
        </w:rPr>
        <w:footnoteRef/>
      </w:r>
      <w:r w:rsidRPr="00B61503">
        <w:rPr>
          <w:rFonts w:ascii="Times New Roman" w:hAnsi="Times New Roman" w:cs="Times New Roman"/>
        </w:rPr>
        <w:t xml:space="preserve"> ŠIMÁK, Martin. Lidská práva – od historie do současnosti. </w:t>
      </w:r>
      <w:r w:rsidRPr="00B61503">
        <w:rPr>
          <w:rFonts w:ascii="Times New Roman" w:hAnsi="Times New Roman" w:cs="Times New Roman"/>
          <w:i/>
          <w:iCs/>
        </w:rPr>
        <w:t xml:space="preserve">Kontakt, </w:t>
      </w:r>
      <w:r w:rsidRPr="00B61503">
        <w:rPr>
          <w:rFonts w:ascii="Times New Roman" w:hAnsi="Times New Roman" w:cs="Times New Roman"/>
        </w:rPr>
        <w:t>2005, roč. 7, č. 1–2, s. 118.</w:t>
      </w:r>
    </w:p>
  </w:footnote>
  <w:footnote w:id="8">
    <w:p w14:paraId="22995ECE" w14:textId="2343A22B" w:rsidR="007C7B7D" w:rsidRPr="00B61503" w:rsidRDefault="007C7B7D" w:rsidP="00DA735D">
      <w:pPr>
        <w:pStyle w:val="Textpoznpodarou"/>
        <w:jc w:val="both"/>
        <w:rPr>
          <w:rFonts w:ascii="Times New Roman" w:hAnsi="Times New Roman" w:cs="Times New Roman"/>
        </w:rPr>
      </w:pPr>
      <w:r w:rsidRPr="00B61503">
        <w:rPr>
          <w:rStyle w:val="Znakapoznpodarou"/>
          <w:rFonts w:ascii="Times New Roman" w:hAnsi="Times New Roman" w:cs="Times New Roman"/>
        </w:rPr>
        <w:footnoteRef/>
      </w:r>
      <w:r w:rsidRPr="00B61503">
        <w:rPr>
          <w:rFonts w:ascii="Times New Roman" w:hAnsi="Times New Roman" w:cs="Times New Roman"/>
        </w:rPr>
        <w:t xml:space="preserve"> HANNUM, Hurst. In KRAUSE, Catarina, SCHEININ, Martin. </w:t>
      </w:r>
      <w:r w:rsidRPr="00B61503">
        <w:rPr>
          <w:rFonts w:ascii="Times New Roman" w:hAnsi="Times New Roman" w:cs="Times New Roman"/>
          <w:i/>
        </w:rPr>
        <w:t>International Protection of Human Rights: A Textbook</w:t>
      </w:r>
      <w:r w:rsidRPr="00B61503">
        <w:rPr>
          <w:rFonts w:ascii="Times New Roman" w:hAnsi="Times New Roman" w:cs="Times New Roman"/>
        </w:rPr>
        <w:t>. Åbo Akademi University Institute for Human Rights, 2009, s. 63.</w:t>
      </w:r>
    </w:p>
  </w:footnote>
  <w:footnote w:id="9">
    <w:p w14:paraId="4356097F" w14:textId="29D1C45E" w:rsidR="007C7B7D" w:rsidRPr="00B61503" w:rsidRDefault="007C7B7D" w:rsidP="00DA735D">
      <w:pPr>
        <w:pStyle w:val="Textpoznpodarou"/>
        <w:jc w:val="both"/>
        <w:rPr>
          <w:rFonts w:ascii="Times New Roman" w:hAnsi="Times New Roman" w:cs="Times New Roman"/>
        </w:rPr>
      </w:pPr>
      <w:r w:rsidRPr="00B61503">
        <w:rPr>
          <w:rStyle w:val="Znakapoznpodarou"/>
          <w:rFonts w:ascii="Times New Roman" w:hAnsi="Times New Roman" w:cs="Times New Roman"/>
        </w:rPr>
        <w:footnoteRef/>
      </w:r>
      <w:r w:rsidRPr="00B61503">
        <w:rPr>
          <w:rFonts w:ascii="Times New Roman" w:hAnsi="Times New Roman" w:cs="Times New Roman"/>
        </w:rPr>
        <w:t xml:space="preserve"> SMITH, Rhona. </w:t>
      </w:r>
      <w:r w:rsidRPr="00B61503">
        <w:rPr>
          <w:rFonts w:ascii="Times New Roman" w:hAnsi="Times New Roman" w:cs="Times New Roman"/>
          <w:i/>
        </w:rPr>
        <w:t>International Human Rights Law</w:t>
      </w:r>
      <w:r w:rsidRPr="00B61503">
        <w:rPr>
          <w:rFonts w:ascii="Times New Roman" w:hAnsi="Times New Roman" w:cs="Times New Roman"/>
        </w:rPr>
        <w:t>. 8. vydání</w:t>
      </w:r>
      <w:r w:rsidRPr="00B61503">
        <w:rPr>
          <w:rFonts w:ascii="Times New Roman" w:hAnsi="Times New Roman" w:cs="Times New Roman"/>
          <w:i/>
        </w:rPr>
        <w:t xml:space="preserve">. </w:t>
      </w:r>
      <w:r w:rsidRPr="00B61503">
        <w:rPr>
          <w:rFonts w:ascii="Times New Roman" w:hAnsi="Times New Roman" w:cs="Times New Roman"/>
        </w:rPr>
        <w:t>Oxford University Press, 2017, s. 40.</w:t>
      </w:r>
    </w:p>
  </w:footnote>
  <w:footnote w:id="10">
    <w:p w14:paraId="7B248924" w14:textId="3408CD51" w:rsidR="007C7B7D" w:rsidRPr="00FA5D3B" w:rsidRDefault="007C7B7D" w:rsidP="00DA735D">
      <w:pPr>
        <w:pStyle w:val="Textpoznpodarou"/>
        <w:jc w:val="both"/>
        <w:rPr>
          <w:rFonts w:ascii="Times New Roman" w:hAnsi="Times New Roman" w:cs="Times New Roman"/>
        </w:rPr>
      </w:pPr>
      <w:r w:rsidRPr="00B61503">
        <w:rPr>
          <w:rStyle w:val="Znakapoznpodarou"/>
          <w:rFonts w:ascii="Times New Roman" w:hAnsi="Times New Roman" w:cs="Times New Roman"/>
        </w:rPr>
        <w:footnoteRef/>
      </w:r>
      <w:r w:rsidRPr="00B61503">
        <w:rPr>
          <w:rFonts w:ascii="Times New Roman" w:hAnsi="Times New Roman" w:cs="Times New Roman"/>
        </w:rPr>
        <w:t xml:space="preserve"> Všeobecná deklarace lidských práv ze dne 10. prosince 1948, čl 18. Dostupné na </w:t>
      </w:r>
      <w:r w:rsidRPr="00B61503">
        <w:rPr>
          <w:rFonts w:ascii="Times New Roman" w:hAnsi="Times New Roman" w:cs="Times New Roman"/>
          <w:color w:val="5B9BD5" w:themeColor="accent5"/>
        </w:rPr>
        <w:t>&lt;</w:t>
      </w:r>
      <w:hyperlink r:id="rId2" w:history="1">
        <w:r w:rsidRPr="00B61503">
          <w:rPr>
            <w:rStyle w:val="Hypertextovodkaz"/>
            <w:rFonts w:ascii="Times New Roman" w:hAnsi="Times New Roman" w:cs="Times New Roman"/>
            <w:color w:val="5B9BD5" w:themeColor="accent5"/>
            <w:u w:val="none"/>
          </w:rPr>
          <w:t>https://childrenandarmedconflict.un.org/keydocuments/czech/universaldeclara1.html</w:t>
        </w:r>
      </w:hyperlink>
      <w:r w:rsidRPr="00B61503">
        <w:rPr>
          <w:rStyle w:val="Hypertextovodkaz"/>
          <w:rFonts w:ascii="Times New Roman" w:hAnsi="Times New Roman" w:cs="Times New Roman"/>
          <w:color w:val="5B9BD5" w:themeColor="accent5"/>
          <w:u w:val="none"/>
        </w:rPr>
        <w:t>&gt;.</w:t>
      </w:r>
    </w:p>
  </w:footnote>
  <w:footnote w:id="11">
    <w:p w14:paraId="5A891E0E" w14:textId="1CB6B93B" w:rsidR="007C7B7D" w:rsidRPr="00FA5D3B" w:rsidRDefault="007C7B7D" w:rsidP="00DA735D">
      <w:pPr>
        <w:pStyle w:val="Textpoznpodarou"/>
        <w:jc w:val="both"/>
        <w:rPr>
          <w:rFonts w:ascii="Times New Roman" w:hAnsi="Times New Roman" w:cs="Times New Roman"/>
          <w:i/>
        </w:rPr>
      </w:pPr>
      <w:r w:rsidRPr="00FA5D3B">
        <w:rPr>
          <w:rStyle w:val="Znakapoznpodarou"/>
          <w:rFonts w:ascii="Times New Roman" w:hAnsi="Times New Roman" w:cs="Times New Roman"/>
        </w:rPr>
        <w:footnoteRef/>
      </w:r>
      <w:r w:rsidRPr="00FA5D3B">
        <w:rPr>
          <w:rFonts w:ascii="Times New Roman" w:hAnsi="Times New Roman" w:cs="Times New Roman"/>
        </w:rPr>
        <w:t xml:space="preserve"> Zprávy: plnění mezinárodních úmluv. </w:t>
      </w:r>
      <w:r w:rsidRPr="00FA5D3B">
        <w:rPr>
          <w:rFonts w:ascii="Times New Roman" w:hAnsi="Times New Roman" w:cs="Times New Roman"/>
          <w:i/>
        </w:rPr>
        <w:t xml:space="preserve">Mezinárodní pakt o občanských a politických právech </w:t>
      </w:r>
      <w:r w:rsidRPr="00FA5D3B">
        <w:rPr>
          <w:rFonts w:ascii="Times New Roman" w:hAnsi="Times New Roman" w:cs="Times New Roman"/>
        </w:rPr>
        <w:t>[online]</w:t>
      </w:r>
      <w:r w:rsidRPr="00FA5D3B">
        <w:rPr>
          <w:rFonts w:ascii="Times New Roman" w:hAnsi="Times New Roman" w:cs="Times New Roman"/>
          <w:i/>
        </w:rPr>
        <w:t xml:space="preserve">. </w:t>
      </w:r>
      <w:r w:rsidRPr="00FA5D3B">
        <w:rPr>
          <w:rFonts w:ascii="Times New Roman" w:hAnsi="Times New Roman" w:cs="Times New Roman"/>
        </w:rPr>
        <w:t xml:space="preserve">vlada.cz, 2. září 2011 [citace 31. ledna 2018]. Dostupné na </w:t>
      </w:r>
      <w:hyperlink r:id="rId3" w:history="1">
        <w:r w:rsidRPr="00F20EFC">
          <w:rPr>
            <w:rStyle w:val="Hypertextovodkaz"/>
            <w:rFonts w:ascii="Times New Roman" w:hAnsi="Times New Roman" w:cs="Times New Roman"/>
          </w:rPr>
          <w:t>https://www.vlada.cz/cz/ppov/rlp/dokumenty/zpravy-plneni-mezin-umluv/mezinarodni-pakt-o-obcanskych-a-politickych-pravech-19851/</w:t>
        </w:r>
      </w:hyperlink>
      <w:r w:rsidRPr="00FA5D3B">
        <w:rPr>
          <w:rFonts w:ascii="Times New Roman" w:hAnsi="Times New Roman" w:cs="Times New Roman"/>
        </w:rPr>
        <w:t>.</w:t>
      </w:r>
    </w:p>
  </w:footnote>
  <w:footnote w:id="12">
    <w:p w14:paraId="497AA9A5" w14:textId="73F5EC97"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22" w:name="_Hlk507667681"/>
      <w:r w:rsidRPr="00FA5D3B">
        <w:rPr>
          <w:rFonts w:ascii="Times New Roman" w:hAnsi="Times New Roman" w:cs="Times New Roman"/>
        </w:rPr>
        <w:t xml:space="preserve">SPRATEK, Daniel. </w:t>
      </w:r>
      <w:r w:rsidRPr="00FA5D3B">
        <w:rPr>
          <w:rFonts w:ascii="Times New Roman" w:hAnsi="Times New Roman" w:cs="Times New Roman"/>
          <w:i/>
        </w:rPr>
        <w:t>Evropská ochrana náboženské svobody</w:t>
      </w:r>
      <w:r w:rsidRPr="00FA5D3B">
        <w:rPr>
          <w:rFonts w:ascii="Times New Roman" w:hAnsi="Times New Roman" w:cs="Times New Roman"/>
        </w:rPr>
        <w:t>. Brno: L. Marek, 2008, s. 59</w:t>
      </w:r>
      <w:bookmarkEnd w:id="22"/>
      <w:r>
        <w:rPr>
          <w:rFonts w:ascii="Times New Roman" w:hAnsi="Times New Roman" w:cs="Times New Roman"/>
        </w:rPr>
        <w:t>.</w:t>
      </w:r>
    </w:p>
  </w:footnote>
  <w:footnote w:id="13">
    <w:p w14:paraId="435FFEE8" w14:textId="27379CC6"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23" w:name="_Hlk507088562"/>
      <w:r w:rsidRPr="00FA5D3B">
        <w:rPr>
          <w:rFonts w:ascii="Times New Roman" w:hAnsi="Times New Roman" w:cs="Times New Roman"/>
        </w:rPr>
        <w:t xml:space="preserve">KMEC, Jiří. </w:t>
      </w:r>
      <w:bookmarkStart w:id="24" w:name="_Hlk507590516"/>
      <w:r w:rsidRPr="00FA5D3B">
        <w:rPr>
          <w:rFonts w:ascii="Times New Roman" w:hAnsi="Times New Roman" w:cs="Times New Roman"/>
        </w:rPr>
        <w:t xml:space="preserve">In KMEC, Jiří, KOSAŘ, David, KRATOCHVÍL, Jan, BOBEK, Michal. </w:t>
      </w:r>
      <w:r w:rsidRPr="00FA5D3B">
        <w:rPr>
          <w:rFonts w:ascii="Times New Roman" w:hAnsi="Times New Roman" w:cs="Times New Roman"/>
          <w:i/>
        </w:rPr>
        <w:t>Evropská úmluva o</w:t>
      </w:r>
      <w:r>
        <w:rPr>
          <w:rFonts w:ascii="Times New Roman" w:hAnsi="Times New Roman" w:cs="Times New Roman"/>
          <w:i/>
        </w:rPr>
        <w:t> </w:t>
      </w:r>
      <w:r w:rsidRPr="00FA5D3B">
        <w:rPr>
          <w:rFonts w:ascii="Times New Roman" w:hAnsi="Times New Roman" w:cs="Times New Roman"/>
          <w:i/>
        </w:rPr>
        <w:t>lidských právech. Komentář</w:t>
      </w:r>
      <w:r w:rsidRPr="00FA5D3B">
        <w:rPr>
          <w:rFonts w:ascii="Times New Roman" w:hAnsi="Times New Roman" w:cs="Times New Roman"/>
        </w:rPr>
        <w:t>. 1. vydání. Praha: C. H. Beck, 2012, s. 6</w:t>
      </w:r>
      <w:bookmarkEnd w:id="23"/>
      <w:r>
        <w:rPr>
          <w:rFonts w:ascii="Times New Roman" w:hAnsi="Times New Roman" w:cs="Times New Roman"/>
        </w:rPr>
        <w:t>.</w:t>
      </w:r>
    </w:p>
    <w:bookmarkEnd w:id="24"/>
  </w:footnote>
  <w:footnote w:id="14">
    <w:p w14:paraId="3E1EEA45" w14:textId="2815E2F8"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25" w:name="_Hlk507152830"/>
      <w:r w:rsidRPr="00FA5D3B">
        <w:rPr>
          <w:rFonts w:ascii="Times New Roman" w:hAnsi="Times New Roman" w:cs="Times New Roman"/>
        </w:rPr>
        <w:t xml:space="preserve">ČERNÁ, Dagmar. </w:t>
      </w:r>
      <w:r w:rsidRPr="00FA5D3B">
        <w:rPr>
          <w:rFonts w:ascii="Times New Roman" w:hAnsi="Times New Roman" w:cs="Times New Roman"/>
          <w:i/>
          <w:iCs/>
        </w:rPr>
        <w:t xml:space="preserve">Standard lidských práv v Evropě. </w:t>
      </w:r>
      <w:r w:rsidRPr="00FA5D3B">
        <w:rPr>
          <w:rFonts w:ascii="Times New Roman" w:hAnsi="Times New Roman" w:cs="Times New Roman"/>
        </w:rPr>
        <w:t>Praha: Univerzita Karlova, 2009, s. 10</w:t>
      </w:r>
      <w:r>
        <w:rPr>
          <w:rFonts w:ascii="Times New Roman" w:hAnsi="Times New Roman" w:cs="Times New Roman"/>
        </w:rPr>
        <w:t>–1</w:t>
      </w:r>
      <w:r w:rsidRPr="00FA5D3B">
        <w:rPr>
          <w:rFonts w:ascii="Times New Roman" w:hAnsi="Times New Roman" w:cs="Times New Roman"/>
        </w:rPr>
        <w:t>4</w:t>
      </w:r>
      <w:bookmarkEnd w:id="25"/>
      <w:r w:rsidRPr="00FA5D3B">
        <w:rPr>
          <w:rFonts w:ascii="Times New Roman" w:hAnsi="Times New Roman" w:cs="Times New Roman"/>
        </w:rPr>
        <w:t>.</w:t>
      </w:r>
    </w:p>
  </w:footnote>
  <w:footnote w:id="15">
    <w:p w14:paraId="27341463" w14:textId="0E764C27" w:rsidR="007C7B7D" w:rsidRPr="00FA5D3B" w:rsidRDefault="007C7B7D" w:rsidP="00DA735D">
      <w:pPr>
        <w:pStyle w:val="Textpoznpodarou"/>
        <w:jc w:val="both"/>
        <w:rPr>
          <w:rFonts w:ascii="Times New Roman" w:hAnsi="Times New Roman" w:cs="Times New Roman"/>
          <w:lang w:val="en-GB"/>
        </w:rPr>
      </w:pPr>
      <w:r w:rsidRPr="00FA5D3B">
        <w:rPr>
          <w:rStyle w:val="Znakapoznpodarou"/>
          <w:rFonts w:ascii="Times New Roman" w:hAnsi="Times New Roman" w:cs="Times New Roman"/>
        </w:rPr>
        <w:footnoteRef/>
      </w:r>
      <w:r w:rsidRPr="00FA5D3B">
        <w:rPr>
          <w:rFonts w:ascii="Times New Roman" w:hAnsi="Times New Roman" w:cs="Times New Roman"/>
        </w:rPr>
        <w:t xml:space="preserve"> Čl. 9 Evropské úmluvy o ochraně lidských práv:</w:t>
      </w:r>
      <w:r w:rsidRPr="00FA5D3B">
        <w:rPr>
          <w:rFonts w:ascii="Times New Roman" w:hAnsi="Times New Roman" w:cs="Times New Roman"/>
          <w:lang w:val="en-GB"/>
        </w:rPr>
        <w:b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1F971555" w14:textId="41E87211" w:rsidR="007C7B7D" w:rsidRPr="00FA5D3B" w:rsidRDefault="007C7B7D" w:rsidP="00DA735D">
      <w:pPr>
        <w:pStyle w:val="Textpoznpodarou"/>
        <w:jc w:val="both"/>
        <w:rPr>
          <w:rFonts w:ascii="Times New Roman" w:hAnsi="Times New Roman" w:cs="Times New Roman"/>
        </w:rPr>
      </w:pPr>
      <w:r w:rsidRPr="00FA5D3B">
        <w:rPr>
          <w:rFonts w:ascii="Times New Roman" w:hAnsi="Times New Roman" w:cs="Times New Roman"/>
          <w:lang w:val="en-GB"/>
        </w:rP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footnote>
  <w:footnote w:id="16">
    <w:p w14:paraId="1111E983" w14:textId="3E8DD3A8" w:rsidR="007C7B7D" w:rsidRPr="00FA5D3B" w:rsidRDefault="007C7B7D" w:rsidP="00DA735D">
      <w:pPr>
        <w:pStyle w:val="Textpoznpodarou"/>
        <w:jc w:val="both"/>
        <w:rPr>
          <w:rFonts w:ascii="Times New Roman" w:hAnsi="Times New Roman" w:cs="Times New Roman"/>
        </w:rPr>
      </w:pPr>
      <w:bookmarkStart w:id="26" w:name="_Hlk516502035"/>
      <w:r w:rsidRPr="00FA5D3B">
        <w:rPr>
          <w:rStyle w:val="Znakapoznpodarou"/>
          <w:rFonts w:ascii="Times New Roman" w:hAnsi="Times New Roman" w:cs="Times New Roman"/>
        </w:rPr>
        <w:footnoteRef/>
      </w:r>
      <w:r w:rsidRPr="00FA5D3B">
        <w:rPr>
          <w:rFonts w:ascii="Times New Roman" w:hAnsi="Times New Roman" w:cs="Times New Roman"/>
        </w:rPr>
        <w:t xml:space="preserve"> BOBEK, Michal. In KMEC, Jiří, KOSAŘ, David, KRATOCHVÍL, Jan, BOBEK, Michal. </w:t>
      </w:r>
      <w:r w:rsidRPr="00FA5D3B">
        <w:rPr>
          <w:rFonts w:ascii="Times New Roman" w:hAnsi="Times New Roman" w:cs="Times New Roman"/>
          <w:i/>
          <w:iCs/>
        </w:rPr>
        <w:t>Evropská úmluva o lidských právech. Komentář</w:t>
      </w:r>
      <w:r w:rsidRPr="00FA5D3B">
        <w:rPr>
          <w:rFonts w:ascii="Times New Roman" w:hAnsi="Times New Roman" w:cs="Times New Roman"/>
        </w:rPr>
        <w:t>. 1. vydání. Praha: C. H. Beck, 2012, s. 965</w:t>
      </w:r>
      <w:bookmarkEnd w:id="26"/>
      <w:r w:rsidRPr="00FA5D3B">
        <w:rPr>
          <w:rFonts w:ascii="Times New Roman" w:hAnsi="Times New Roman" w:cs="Times New Roman"/>
        </w:rPr>
        <w:t>.</w:t>
      </w:r>
    </w:p>
  </w:footnote>
  <w:footnote w:id="17">
    <w:p w14:paraId="5DC8DD41" w14:textId="068ED789"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ČERNÁ, Dagmar. </w:t>
      </w:r>
      <w:r w:rsidRPr="00FA5D3B">
        <w:rPr>
          <w:rFonts w:ascii="Times New Roman" w:hAnsi="Times New Roman" w:cs="Times New Roman"/>
          <w:i/>
          <w:iCs/>
        </w:rPr>
        <w:t xml:space="preserve">Standard lidských práv v Evropě. </w:t>
      </w:r>
      <w:r w:rsidRPr="00FA5D3B">
        <w:rPr>
          <w:rFonts w:ascii="Times New Roman" w:hAnsi="Times New Roman" w:cs="Times New Roman"/>
        </w:rPr>
        <w:t>Praha: Univerzita Karlova, 2009, s. 85–87.</w:t>
      </w:r>
    </w:p>
  </w:footnote>
  <w:footnote w:id="18">
    <w:p w14:paraId="4A87A078" w14:textId="6D5EEE3C"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Tamtéž.</w:t>
      </w:r>
    </w:p>
  </w:footnote>
  <w:footnote w:id="19">
    <w:p w14:paraId="763E08C2" w14:textId="1025AB79"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28" w:name="_Hlk3365271"/>
      <w:r w:rsidRPr="00FA5D3B">
        <w:rPr>
          <w:rFonts w:ascii="Times New Roman" w:hAnsi="Times New Roman" w:cs="Times New Roman"/>
        </w:rPr>
        <w:t>Listina základních práv Evropské unie, vyhlášena v Úředním věstníku Evropské unie pod č. 2007/C 303/01 dne 14. prosince 2007.</w:t>
      </w:r>
      <w:bookmarkEnd w:id="28"/>
    </w:p>
  </w:footnote>
  <w:footnote w:id="20">
    <w:p w14:paraId="0E1DF995" w14:textId="39AC4AD4"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29" w:name="_Hlk3365420"/>
      <w:r w:rsidRPr="00FA5D3B">
        <w:rPr>
          <w:rFonts w:ascii="Times New Roman" w:hAnsi="Times New Roman" w:cs="Times New Roman"/>
        </w:rPr>
        <w:t>Listina základních práv Evropské unie, vyhlášena v Úředním věstníku Evropské unie pod č. 2007/C 303/01 dne 14. prosince 2007.</w:t>
      </w:r>
      <w:bookmarkEnd w:id="29"/>
    </w:p>
  </w:footnote>
  <w:footnote w:id="21">
    <w:p w14:paraId="450253E1" w14:textId="385FCBA2"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HLAVA PRVNÍ, Čl. 2 Usnesení předsednictva ČNR č. 2/1993 Sb., o vyhlášení Listiny základních práv </w:t>
      </w:r>
      <w:r>
        <w:rPr>
          <w:rFonts w:ascii="Times New Roman" w:hAnsi="Times New Roman" w:cs="Times New Roman"/>
        </w:rPr>
        <w:t>a </w:t>
      </w:r>
      <w:r w:rsidRPr="00FA5D3B">
        <w:rPr>
          <w:rFonts w:ascii="Times New Roman" w:hAnsi="Times New Roman" w:cs="Times New Roman"/>
        </w:rPr>
        <w:t>svobod jako součásti ústavního pořádku České republiky, ve znění pozdějších předpisů.</w:t>
      </w:r>
    </w:p>
  </w:footnote>
  <w:footnote w:id="22">
    <w:p w14:paraId="0DB08971" w14:textId="68B34145"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WAGNEROVÁ, Eliška. In </w:t>
      </w:r>
      <w:bookmarkStart w:id="33" w:name="_Hlk506974265"/>
      <w:r w:rsidRPr="00FA5D3B">
        <w:rPr>
          <w:rFonts w:ascii="Times New Roman" w:hAnsi="Times New Roman" w:cs="Times New Roman"/>
        </w:rPr>
        <w:t xml:space="preserve">WAGNEROVÁ, Eliška, ŠIMÍČEK, Vojtěch, LANGÁŠEK, Tomáš, POSPÍŠIL, Ivo a kol. </w:t>
      </w:r>
      <w:r w:rsidRPr="00FA5D3B">
        <w:rPr>
          <w:rFonts w:ascii="Times New Roman" w:hAnsi="Times New Roman" w:cs="Times New Roman"/>
          <w:i/>
        </w:rPr>
        <w:t xml:space="preserve">Listina </w:t>
      </w:r>
      <w:bookmarkEnd w:id="33"/>
      <w:r w:rsidRPr="00FA5D3B">
        <w:rPr>
          <w:rFonts w:ascii="Times New Roman" w:hAnsi="Times New Roman" w:cs="Times New Roman"/>
          <w:i/>
        </w:rPr>
        <w:t xml:space="preserve">základních práv a svobod. Komentář. </w:t>
      </w:r>
      <w:r w:rsidRPr="00FA5D3B">
        <w:rPr>
          <w:rFonts w:ascii="Times New Roman" w:hAnsi="Times New Roman" w:cs="Times New Roman"/>
        </w:rPr>
        <w:t>Praha: Wolwers Kluwer ČR, a.s. 2012, s. 85.</w:t>
      </w:r>
    </w:p>
  </w:footnote>
  <w:footnote w:id="23">
    <w:p w14:paraId="4C2E5F1B" w14:textId="7553E221"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Článek 15, odstavec první, věta první Listiny: </w:t>
      </w:r>
      <w:r w:rsidRPr="00FA5D3B">
        <w:rPr>
          <w:rFonts w:ascii="Times New Roman" w:hAnsi="Times New Roman" w:cs="Times New Roman"/>
          <w:i/>
        </w:rPr>
        <w:t>„Svoboda myšlení, svědomí a náboženského vyznání je zaručena.“</w:t>
      </w:r>
    </w:p>
  </w:footnote>
  <w:footnote w:id="24">
    <w:p w14:paraId="799CF6A6" w14:textId="6BC8AEAA"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34" w:name="_Hlk506991683"/>
      <w:r w:rsidRPr="00FA5D3B">
        <w:rPr>
          <w:rFonts w:ascii="Times New Roman" w:hAnsi="Times New Roman" w:cs="Times New Roman"/>
        </w:rPr>
        <w:t xml:space="preserve">JÄGER, Petr. In WAGNEROVÁ, Eliška, ŠIMÍČEK, Vojtěch, LANGÁŠEK, Tomáš, POSPÍŠIL, Ivo a kol. </w:t>
      </w:r>
      <w:r w:rsidRPr="00FA5D3B">
        <w:rPr>
          <w:rFonts w:ascii="Times New Roman" w:hAnsi="Times New Roman" w:cs="Times New Roman"/>
          <w:i/>
        </w:rPr>
        <w:t xml:space="preserve">Listina …, </w:t>
      </w:r>
      <w:r w:rsidRPr="00FA5D3B">
        <w:rPr>
          <w:rFonts w:ascii="Times New Roman" w:hAnsi="Times New Roman" w:cs="Times New Roman"/>
        </w:rPr>
        <w:t>s. 371</w:t>
      </w:r>
    </w:p>
    <w:bookmarkEnd w:id="34"/>
  </w:footnote>
  <w:footnote w:id="25">
    <w:p w14:paraId="5AF477D0" w14:textId="3796BEF7"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Nález Ústavního soudu ze dne 1. července 2010, sp. zn. Pl.ÚS 9/07, bod 96</w:t>
      </w:r>
    </w:p>
  </w:footnote>
  <w:footnote w:id="26">
    <w:p w14:paraId="643B2592" w14:textId="4AD3FAC8"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JÄGER, Petr. In WAGNEROVÁ, Eliška, ŠIMÍČEK, Vojtěch, LANGÁŠEK, Tomáš, POSPÍŠIL, Ivo a kol. </w:t>
      </w:r>
      <w:r w:rsidRPr="00FA5D3B">
        <w:rPr>
          <w:rFonts w:ascii="Times New Roman" w:hAnsi="Times New Roman" w:cs="Times New Roman"/>
          <w:i/>
        </w:rPr>
        <w:t xml:space="preserve">Listina …, </w:t>
      </w:r>
      <w:r w:rsidRPr="00FA5D3B">
        <w:rPr>
          <w:rFonts w:ascii="Times New Roman" w:hAnsi="Times New Roman" w:cs="Times New Roman"/>
        </w:rPr>
        <w:t>s. 410–411</w:t>
      </w:r>
      <w:r>
        <w:rPr>
          <w:rFonts w:ascii="Times New Roman" w:hAnsi="Times New Roman" w:cs="Times New Roman"/>
        </w:rPr>
        <w:t>.</w:t>
      </w:r>
    </w:p>
  </w:footnote>
  <w:footnote w:id="27">
    <w:p w14:paraId="118FFC70" w14:textId="623A87D9" w:rsidR="007C7B7D" w:rsidRPr="00FA5D3B" w:rsidRDefault="007C7B7D" w:rsidP="00DA735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V prvním bodě tohoto testu si Soud pokládá otázku, zda daný případ spadá pod rozsah některého z článků Úmluvy, v otázkách svobody vyznání pak tedy otázku, zda případ spadá pod rozsah článku </w:t>
      </w:r>
      <w:r>
        <w:rPr>
          <w:rFonts w:ascii="Times New Roman" w:hAnsi="Times New Roman" w:cs="Times New Roman"/>
        </w:rPr>
        <w:t>9</w:t>
      </w:r>
      <w:r w:rsidRPr="00FA5D3B">
        <w:rPr>
          <w:rFonts w:ascii="Times New Roman" w:hAnsi="Times New Roman" w:cs="Times New Roman"/>
        </w:rPr>
        <w:t xml:space="preserve"> Úmluvy, viz kapitola 2.1.1.</w:t>
      </w:r>
    </w:p>
  </w:footnote>
  <w:footnote w:id="28">
    <w:p w14:paraId="04EA5065" w14:textId="0C76701F" w:rsidR="007C7B7D" w:rsidRPr="00FA5D3B" w:rsidRDefault="007C7B7D" w:rsidP="00576F46">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38" w:name="_Hlk507669377"/>
      <w:r w:rsidRPr="00FA5D3B">
        <w:rPr>
          <w:rFonts w:ascii="Times New Roman" w:hAnsi="Times New Roman" w:cs="Times New Roman"/>
        </w:rPr>
        <w:t xml:space="preserve">BOBEK, Michal. In KMEC, Jiří, KOSAŘ, David, KRATOCHVÍL, Jan, BOBEK, Michal. </w:t>
      </w:r>
      <w:r w:rsidRPr="00FA5D3B">
        <w:rPr>
          <w:rFonts w:ascii="Times New Roman" w:hAnsi="Times New Roman" w:cs="Times New Roman"/>
          <w:i/>
        </w:rPr>
        <w:t>Evropská úmluva o lidských právech. Komentář</w:t>
      </w:r>
      <w:r w:rsidRPr="00FA5D3B">
        <w:rPr>
          <w:rFonts w:ascii="Times New Roman" w:hAnsi="Times New Roman" w:cs="Times New Roman"/>
        </w:rPr>
        <w:t>. 1. vydání. Praha: C. H. Beck, 2012, s. 974.</w:t>
      </w:r>
    </w:p>
    <w:bookmarkEnd w:id="38"/>
  </w:footnote>
  <w:footnote w:id="29">
    <w:p w14:paraId="628FED92" w14:textId="699CFD92" w:rsidR="007C7B7D" w:rsidRPr="00FA5D3B" w:rsidRDefault="007C7B7D" w:rsidP="00576F46">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Zpráva Evropské komise pro lidská práva ve věci Arrowsmith proti Spojenému království ze dne 12. října 1978, stížnost č. 7050/75.</w:t>
      </w:r>
    </w:p>
  </w:footnote>
  <w:footnote w:id="30">
    <w:p w14:paraId="60E3723C" w14:textId="6C7184DD" w:rsidR="007C7B7D" w:rsidRPr="00FA5D3B" w:rsidRDefault="007C7B7D" w:rsidP="00576F46">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SPRATEK, Daniel. </w:t>
      </w:r>
      <w:r w:rsidRPr="00FA5D3B">
        <w:rPr>
          <w:rFonts w:ascii="Times New Roman" w:hAnsi="Times New Roman" w:cs="Times New Roman"/>
          <w:i/>
        </w:rPr>
        <w:t>Evropská ochrana náboženské svobody</w:t>
      </w:r>
      <w:r w:rsidRPr="00FA5D3B">
        <w:rPr>
          <w:rFonts w:ascii="Times New Roman" w:hAnsi="Times New Roman" w:cs="Times New Roman"/>
        </w:rPr>
        <w:t>. Brno: L. Marek, 2008, s. 90–93.</w:t>
      </w:r>
    </w:p>
  </w:footnote>
  <w:footnote w:id="31">
    <w:p w14:paraId="322A6ABD" w14:textId="4E2B4136" w:rsidR="007C7B7D" w:rsidRPr="00FA5D3B" w:rsidRDefault="007C7B7D" w:rsidP="00576F46">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bookmarkStart w:id="40" w:name="_Hlk2599814"/>
      <w:r w:rsidRPr="00FA5D3B">
        <w:rPr>
          <w:rFonts w:ascii="Times New Roman" w:hAnsi="Times New Roman" w:cs="Times New Roman"/>
        </w:rPr>
        <w:t xml:space="preserve"> Rozhodnutí </w:t>
      </w:r>
      <w:bookmarkEnd w:id="40"/>
      <w:r w:rsidRPr="00FA5D3B">
        <w:rPr>
          <w:rFonts w:ascii="Times New Roman" w:hAnsi="Times New Roman" w:cs="Times New Roman"/>
        </w:rPr>
        <w:t>ESLP ve věci Cha’are Shalom Ve Tsedek proti Francii, ze dne 20. června 2000, stížnost č. 27417/95.</w:t>
      </w:r>
    </w:p>
  </w:footnote>
  <w:footnote w:id="32">
    <w:p w14:paraId="6320FBA4" w14:textId="5F301845" w:rsidR="007C7B7D" w:rsidRPr="00FA5D3B" w:rsidRDefault="007C7B7D" w:rsidP="00700980">
      <w:pPr>
        <w:pStyle w:val="Textpoznpodarou"/>
        <w:jc w:val="both"/>
        <w:rPr>
          <w:rFonts w:ascii="Times New Roman" w:hAnsi="Times New Roman" w:cs="Times New Roman"/>
        </w:rPr>
      </w:pPr>
      <w:bookmarkStart w:id="47" w:name="_Hlk517105909"/>
      <w:r w:rsidRPr="00FA5D3B">
        <w:rPr>
          <w:rStyle w:val="Znakapoznpodarou"/>
          <w:rFonts w:ascii="Times New Roman" w:hAnsi="Times New Roman" w:cs="Times New Roman"/>
        </w:rPr>
        <w:footnoteRef/>
      </w:r>
      <w:r w:rsidRPr="00FA5D3B">
        <w:rPr>
          <w:rFonts w:ascii="Times New Roman" w:hAnsi="Times New Roman" w:cs="Times New Roman"/>
        </w:rPr>
        <w:t xml:space="preserve"> KOSAŘ, David. In KMEC, Jiří, KOSAŘ, David, KRATOCHVÍL, Jan, BOBEK, Michal. </w:t>
      </w:r>
      <w:r w:rsidRPr="00FA5D3B">
        <w:rPr>
          <w:rFonts w:ascii="Times New Roman" w:hAnsi="Times New Roman" w:cs="Times New Roman"/>
          <w:i/>
          <w:iCs/>
        </w:rPr>
        <w:t>Evropská úmluva o lidských právech</w:t>
      </w:r>
      <w:r w:rsidRPr="00FA5D3B">
        <w:rPr>
          <w:rFonts w:ascii="Times New Roman" w:hAnsi="Times New Roman" w:cs="Times New Roman"/>
        </w:rPr>
        <w:t>. Komentář. 1. vydání. Praha: C. H. Beck, 2012, s. 100</w:t>
      </w:r>
      <w:bookmarkEnd w:id="47"/>
      <w:r w:rsidRPr="00FA5D3B">
        <w:rPr>
          <w:rFonts w:ascii="Times New Roman" w:hAnsi="Times New Roman" w:cs="Times New Roman"/>
        </w:rPr>
        <w:t>.</w:t>
      </w:r>
    </w:p>
  </w:footnote>
  <w:footnote w:id="33">
    <w:p w14:paraId="0362B91E" w14:textId="48567C82" w:rsidR="007C7B7D" w:rsidRPr="00FA5D3B" w:rsidRDefault="007C7B7D" w:rsidP="0070098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w:t>
      </w:r>
      <w:bookmarkStart w:id="51" w:name="_Hlk520392682"/>
      <w:r w:rsidRPr="00FA5D3B">
        <w:rPr>
          <w:rFonts w:ascii="Times New Roman" w:hAnsi="Times New Roman" w:cs="Times New Roman"/>
        </w:rPr>
        <w:t xml:space="preserve">KOSAŘ, David. In KMEC, Jiří, KOSAŘ, David, KRATOCHVÍL, Jan, BOBEK, Michal. </w:t>
      </w:r>
      <w:r w:rsidRPr="00FA5D3B">
        <w:rPr>
          <w:rFonts w:ascii="Times New Roman" w:hAnsi="Times New Roman" w:cs="Times New Roman"/>
          <w:i/>
        </w:rPr>
        <w:t>Evropská úmluva o lidských právech</w:t>
      </w:r>
      <w:r w:rsidRPr="00FA5D3B">
        <w:rPr>
          <w:rFonts w:ascii="Times New Roman" w:hAnsi="Times New Roman" w:cs="Times New Roman"/>
        </w:rPr>
        <w:t>. Komentář. 1. vydání. Praha: C. H. Beck, 2012, s. 100</w:t>
      </w:r>
      <w:bookmarkEnd w:id="51"/>
      <w:r w:rsidRPr="00FA5D3B">
        <w:rPr>
          <w:rFonts w:ascii="Times New Roman" w:hAnsi="Times New Roman" w:cs="Times New Roman"/>
        </w:rPr>
        <w:t>.</w:t>
      </w:r>
    </w:p>
  </w:footnote>
  <w:footnote w:id="34">
    <w:p w14:paraId="34C0CA49" w14:textId="7471A801" w:rsidR="007C7B7D" w:rsidRPr="00FA5D3B" w:rsidRDefault="007C7B7D" w:rsidP="0070098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Viz kap. 1.3.</w:t>
      </w:r>
    </w:p>
  </w:footnote>
  <w:footnote w:id="35">
    <w:p w14:paraId="7D647502" w14:textId="77777777" w:rsidR="007C7B7D" w:rsidRPr="00FA5D3B" w:rsidRDefault="007C7B7D" w:rsidP="0070098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Tamtéž.</w:t>
      </w:r>
    </w:p>
  </w:footnote>
  <w:footnote w:id="36">
    <w:p w14:paraId="11E9C803" w14:textId="77777777" w:rsidR="007C7B7D" w:rsidRPr="00FA5D3B" w:rsidRDefault="007C7B7D" w:rsidP="0070098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Tamtéž, s. 104.</w:t>
      </w:r>
    </w:p>
  </w:footnote>
  <w:footnote w:id="37">
    <w:p w14:paraId="50AADF59" w14:textId="77777777" w:rsidR="007C7B7D" w:rsidRPr="00FA5D3B" w:rsidRDefault="007C7B7D" w:rsidP="0070098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Tamtéž, s. 110.</w:t>
      </w:r>
    </w:p>
  </w:footnote>
  <w:footnote w:id="38">
    <w:p w14:paraId="46474561" w14:textId="7D75B282" w:rsidR="007C7B7D" w:rsidRPr="00FA5D3B" w:rsidRDefault="007C7B7D" w:rsidP="0060704D">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KOSAŘ, David. In KMEC, Jiří, KOSAŘ, David, KRATOCHVÍL, Jan, BOBEK, Michal</w:t>
      </w:r>
      <w:r w:rsidRPr="00FA5D3B">
        <w:rPr>
          <w:rFonts w:ascii="Times New Roman" w:hAnsi="Times New Roman" w:cs="Times New Roman"/>
          <w:i/>
        </w:rPr>
        <w:t>. Evropská úmluva o lidských právech. Komentář</w:t>
      </w:r>
      <w:r w:rsidRPr="00FA5D3B">
        <w:rPr>
          <w:rFonts w:ascii="Times New Roman" w:hAnsi="Times New Roman" w:cs="Times New Roman"/>
        </w:rPr>
        <w:t>. 1. vydání. Praha: C. H. Beck, 2012, s. 100.</w:t>
      </w:r>
    </w:p>
  </w:footnote>
  <w:footnote w:id="39">
    <w:p w14:paraId="373D713B" w14:textId="77777777" w:rsidR="007C7B7D" w:rsidRPr="00FA5D3B" w:rsidRDefault="007C7B7D" w:rsidP="00D900E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Nález Ústavního soudu ze dne 15. listopadu 2006 sp. zn. I. ÚS 310/05.</w:t>
      </w:r>
    </w:p>
  </w:footnote>
  <w:footnote w:id="40">
    <w:p w14:paraId="4B2DB9DA" w14:textId="18EA1C45" w:rsidR="007C7B7D" w:rsidRPr="00FA5D3B" w:rsidRDefault="007C7B7D" w:rsidP="00D900E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Rozhodnutí ESLP ve věci Dahlab proti Švýcarsku, ze dne 15. února 2001, stížnost č. 42393/98.</w:t>
      </w:r>
    </w:p>
  </w:footnote>
  <w:footnote w:id="41">
    <w:p w14:paraId="343FBCBC" w14:textId="2A584E92" w:rsidR="007C7B7D" w:rsidRPr="00FA5D3B" w:rsidRDefault="007C7B7D" w:rsidP="00D900E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Čl. 6 PEA „The public education system shall ensure that the political and religious beliefs of pupils and parents are respected.“ (volně přeloženo: Veřejný vzdělávací systém zajišťuje respekt k politickým a náboženským názorům žáků a jejich rodičů.)</w:t>
      </w:r>
    </w:p>
  </w:footnote>
  <w:footnote w:id="42">
    <w:p w14:paraId="0C38384A" w14:textId="37AEC1F1" w:rsidR="007C7B7D" w:rsidRPr="00FA5D3B" w:rsidRDefault="007C7B7D" w:rsidP="00D900E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Čl. 120, odst. 2 PEA: „Civil servants must be lay persons, derogations from this provision shall be permitter only in respect of university teaching staff.“ (volně přeloženo: Civilní zaměstnanci jsou </w:t>
      </w:r>
      <w:r>
        <w:rPr>
          <w:rFonts w:ascii="Times New Roman" w:hAnsi="Times New Roman" w:cs="Times New Roman"/>
        </w:rPr>
        <w:t>neutrální</w:t>
      </w:r>
      <w:r w:rsidRPr="00FA5D3B">
        <w:rPr>
          <w:rFonts w:ascii="Times New Roman" w:hAnsi="Times New Roman" w:cs="Times New Roman"/>
        </w:rPr>
        <w:t>, odchýlit se od tohoto ustanovení je možno pouze v případě univerzitních vyučujících.)</w:t>
      </w:r>
    </w:p>
  </w:footnote>
  <w:footnote w:id="43">
    <w:p w14:paraId="63D42701" w14:textId="0BA84F50" w:rsidR="007C7B7D" w:rsidRPr="00FA5D3B" w:rsidRDefault="007C7B7D" w:rsidP="00D900E0">
      <w:pPr>
        <w:pStyle w:val="Textpoznpodarou"/>
        <w:jc w:val="both"/>
        <w:rPr>
          <w:rFonts w:ascii="Times New Roman" w:hAnsi="Times New Roman" w:cs="Times New Roman"/>
        </w:rPr>
      </w:pPr>
      <w:bookmarkStart w:id="74" w:name="_Hlk517531592"/>
      <w:r w:rsidRPr="00FA5D3B">
        <w:rPr>
          <w:rStyle w:val="Znakapoznpodarou"/>
          <w:rFonts w:ascii="Times New Roman" w:hAnsi="Times New Roman" w:cs="Times New Roman"/>
        </w:rPr>
        <w:footnoteRef/>
      </w:r>
      <w:bookmarkStart w:id="75" w:name="_Hlk3448639"/>
      <w:bookmarkStart w:id="76" w:name="_Hlk517600158"/>
      <w:r w:rsidRPr="00FA5D3B">
        <w:rPr>
          <w:rFonts w:ascii="Times New Roman" w:hAnsi="Times New Roman" w:cs="Times New Roman"/>
        </w:rPr>
        <w:t>Rozhodnutí ESLP ve věci Dogru proti Francii, ze dne 4. prosince 2008, stížnost č. 27058/05.</w:t>
      </w:r>
      <w:bookmarkEnd w:id="75"/>
    </w:p>
    <w:bookmarkEnd w:id="74"/>
    <w:bookmarkEnd w:id="76"/>
  </w:footnote>
  <w:footnote w:id="44">
    <w:p w14:paraId="324DEE93" w14:textId="30AEB4EF" w:rsidR="007C7B7D" w:rsidRDefault="007C7B7D" w:rsidP="00D900E0">
      <w:pPr>
        <w:pStyle w:val="Textpoznpodarou"/>
        <w:jc w:val="both"/>
      </w:pPr>
      <w:r>
        <w:rPr>
          <w:rStyle w:val="Znakapoznpodarou"/>
        </w:rPr>
        <w:footnoteRef/>
      </w:r>
      <w:r>
        <w:t xml:space="preserve"> </w:t>
      </w:r>
      <w:r w:rsidRPr="00FA5D3B">
        <w:rPr>
          <w:rFonts w:ascii="Times New Roman" w:hAnsi="Times New Roman" w:cs="Times New Roman"/>
        </w:rPr>
        <w:t>Rozhodnutí ESLP ve věci Dogru proti Francii, ze dne 4. prosince 2008, stížnost č. 27058/05</w:t>
      </w:r>
      <w:r>
        <w:rPr>
          <w:rFonts w:ascii="Times New Roman" w:hAnsi="Times New Roman" w:cs="Times New Roman"/>
        </w:rPr>
        <w:t>, bod 27.</w:t>
      </w:r>
    </w:p>
  </w:footnote>
  <w:footnote w:id="45">
    <w:p w14:paraId="5CE92D13" w14:textId="77777777" w:rsidR="007C7B7D" w:rsidRPr="00FA5D3B" w:rsidRDefault="007C7B7D" w:rsidP="00D900E0">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Balaklava je podobná lyžařské masce. Ta může zakrývat celý obličej mimo očí a úst nebo naopak může být vidět celý obličej, ale zakrývá vlasy, v závislosti na způsobu nošení.</w:t>
      </w:r>
    </w:p>
  </w:footnote>
  <w:footnote w:id="46">
    <w:p w14:paraId="78731854" w14:textId="4F9C5A8E" w:rsidR="007C7B7D" w:rsidRPr="0052341D" w:rsidRDefault="007C7B7D" w:rsidP="0052341D">
      <w:pPr>
        <w:pStyle w:val="Textpoznpodarou"/>
        <w:jc w:val="both"/>
        <w:rPr>
          <w:rFonts w:ascii="Times New Roman" w:hAnsi="Times New Roman" w:cs="Times New Roman"/>
        </w:rPr>
      </w:pPr>
      <w:r w:rsidRPr="0052341D">
        <w:rPr>
          <w:rStyle w:val="Znakapoznpodarou"/>
          <w:rFonts w:ascii="Times New Roman" w:hAnsi="Times New Roman" w:cs="Times New Roman"/>
        </w:rPr>
        <w:footnoteRef/>
      </w:r>
      <w:r w:rsidRPr="0052341D">
        <w:rPr>
          <w:rFonts w:ascii="Times New Roman" w:hAnsi="Times New Roman" w:cs="Times New Roman"/>
        </w:rPr>
        <w:t xml:space="preserve"> </w:t>
      </w:r>
      <w:bookmarkStart w:id="80" w:name="_Hlk530477389"/>
      <w:r w:rsidRPr="0052341D">
        <w:rPr>
          <w:rFonts w:ascii="Times New Roman" w:hAnsi="Times New Roman" w:cs="Times New Roman"/>
        </w:rPr>
        <w:t>Rozhodnutí ESLP ve věci S.A.S. proti Francii, ze dne 1. července 2014, stížnost č. 43835/11</w:t>
      </w:r>
      <w:bookmarkEnd w:id="80"/>
      <w:r w:rsidRPr="0052341D">
        <w:rPr>
          <w:rFonts w:ascii="Times New Roman" w:hAnsi="Times New Roman" w:cs="Times New Roman"/>
        </w:rPr>
        <w:t>.</w:t>
      </w:r>
    </w:p>
  </w:footnote>
  <w:footnote w:id="47">
    <w:p w14:paraId="727933F7" w14:textId="77777777" w:rsidR="007C7B7D" w:rsidRPr="0052341D" w:rsidRDefault="007C7B7D" w:rsidP="0052341D">
      <w:pPr>
        <w:pStyle w:val="Textpoznpodarou"/>
        <w:jc w:val="both"/>
        <w:rPr>
          <w:rFonts w:ascii="Times New Roman" w:hAnsi="Times New Roman" w:cs="Times New Roman"/>
        </w:rPr>
      </w:pPr>
      <w:r w:rsidRPr="0052341D">
        <w:rPr>
          <w:rStyle w:val="Znakapoznpodarou"/>
          <w:rFonts w:ascii="Times New Roman" w:hAnsi="Times New Roman" w:cs="Times New Roman"/>
        </w:rPr>
        <w:footnoteRef/>
      </w:r>
      <w:r w:rsidRPr="0052341D">
        <w:rPr>
          <w:rFonts w:ascii="Times New Roman" w:hAnsi="Times New Roman" w:cs="Times New Roman"/>
        </w:rPr>
        <w:t xml:space="preserve"> Názorné vysvětlení rozdílů mezi jednotlivými oděvy viz grafický přehled ČTK [online]. ceskenoviny.cz,</w:t>
      </w:r>
    </w:p>
    <w:p w14:paraId="2ECB88D6" w14:textId="68552E63" w:rsidR="007C7B7D" w:rsidRPr="0052341D" w:rsidRDefault="007C7B7D" w:rsidP="0052341D">
      <w:pPr>
        <w:pStyle w:val="Textpoznpodarou"/>
        <w:jc w:val="both"/>
        <w:rPr>
          <w:rFonts w:ascii="Times New Roman" w:hAnsi="Times New Roman" w:cs="Times New Roman"/>
        </w:rPr>
      </w:pPr>
      <w:r w:rsidRPr="0052341D">
        <w:rPr>
          <w:rFonts w:ascii="Times New Roman" w:hAnsi="Times New Roman" w:cs="Times New Roman"/>
        </w:rPr>
        <w:t xml:space="preserve">14. března 2017 [cit. 24. června 2018]. Dostupné na </w:t>
      </w:r>
      <w:r w:rsidRPr="0052341D">
        <w:rPr>
          <w:rFonts w:ascii="Times New Roman" w:eastAsia="Calibri" w:hAnsi="Times New Roman" w:cs="Times New Roman"/>
        </w:rPr>
        <w:t xml:space="preserve">&lt; </w:t>
      </w:r>
      <w:hyperlink r:id="rId4" w:history="1">
        <w:r w:rsidRPr="0052341D">
          <w:rPr>
            <w:rFonts w:ascii="Times New Roman" w:eastAsia="Calibri" w:hAnsi="Times New Roman" w:cs="Times New Roman"/>
            <w:color w:val="0563C1" w:themeColor="hyperlink"/>
            <w:u w:val="single"/>
          </w:rPr>
          <w:t>http://www.ceskenoviny.cz/index_img.php?id=402718</w:t>
        </w:r>
      </w:hyperlink>
      <w:r w:rsidRPr="0052341D">
        <w:rPr>
          <w:rFonts w:ascii="Times New Roman" w:eastAsia="Calibri" w:hAnsi="Times New Roman" w:cs="Times New Roman"/>
        </w:rPr>
        <w:t>&gt;.</w:t>
      </w:r>
    </w:p>
  </w:footnote>
  <w:footnote w:id="48">
    <w:p w14:paraId="1CD76076" w14:textId="3C22921C" w:rsidR="007C7B7D" w:rsidRPr="00FA5D3B" w:rsidRDefault="007C7B7D" w:rsidP="0052341D">
      <w:pPr>
        <w:pStyle w:val="Textpoznpodarou"/>
        <w:jc w:val="both"/>
        <w:rPr>
          <w:rFonts w:ascii="Times New Roman" w:hAnsi="Times New Roman" w:cs="Times New Roman"/>
        </w:rPr>
      </w:pPr>
      <w:r w:rsidRPr="0052341D">
        <w:rPr>
          <w:rStyle w:val="Znakapoznpodarou"/>
          <w:rFonts w:ascii="Times New Roman" w:hAnsi="Times New Roman" w:cs="Times New Roman"/>
        </w:rPr>
        <w:footnoteRef/>
      </w:r>
      <w:r w:rsidRPr="0052341D">
        <w:rPr>
          <w:rFonts w:ascii="Times New Roman" w:hAnsi="Times New Roman" w:cs="Times New Roman"/>
        </w:rPr>
        <w:t xml:space="preserve"> SANGHANI, Radhika. </w:t>
      </w:r>
      <w:r w:rsidRPr="0052341D">
        <w:rPr>
          <w:rFonts w:ascii="Times New Roman" w:hAnsi="Times New Roman" w:cs="Times New Roman"/>
          <w:i/>
        </w:rPr>
        <w:t xml:space="preserve">Burka bans: The countries where Muslim women can't wear veils </w:t>
      </w:r>
      <w:r w:rsidRPr="0052341D">
        <w:rPr>
          <w:rFonts w:ascii="Times New Roman" w:hAnsi="Times New Roman" w:cs="Times New Roman"/>
        </w:rPr>
        <w:t>[online]. telegraph.co.uk,</w:t>
      </w:r>
      <w:r>
        <w:rPr>
          <w:rFonts w:ascii="Times New Roman" w:hAnsi="Times New Roman" w:cs="Times New Roman"/>
        </w:rPr>
        <w:t xml:space="preserve"> </w:t>
      </w:r>
      <w:r w:rsidRPr="0052341D">
        <w:rPr>
          <w:rFonts w:ascii="Times New Roman" w:hAnsi="Times New Roman" w:cs="Times New Roman"/>
        </w:rPr>
        <w:t xml:space="preserve">17. srpna 2017 [cit. 24. června 2018]. </w:t>
      </w:r>
      <w:r w:rsidRPr="0052341D">
        <w:rPr>
          <w:rFonts w:ascii="Times New Roman" w:eastAsia="Calibri" w:hAnsi="Times New Roman" w:cs="Times New Roman"/>
        </w:rPr>
        <w:t>Dostupné na &lt; </w:t>
      </w:r>
      <w:hyperlink r:id="rId5" w:history="1">
        <w:r w:rsidRPr="0052341D">
          <w:rPr>
            <w:rFonts w:ascii="Times New Roman" w:eastAsia="Calibri" w:hAnsi="Times New Roman" w:cs="Times New Roman"/>
            <w:color w:val="0563C1" w:themeColor="hyperlink"/>
            <w:u w:val="single"/>
          </w:rPr>
          <w:t>https://www.telegraph.co.uk/women/life/burka-bans-the-countries-where-muslim-women-cant-wear-veils</w:t>
        </w:r>
      </w:hyperlink>
      <w:r w:rsidRPr="0052341D">
        <w:rPr>
          <w:rFonts w:ascii="Times New Roman" w:eastAsia="Calibri" w:hAnsi="Times New Roman" w:cs="Times New Roman"/>
        </w:rPr>
        <w:t>&gt;.</w:t>
      </w:r>
    </w:p>
  </w:footnote>
  <w:footnote w:id="49">
    <w:p w14:paraId="411C0FF3" w14:textId="77777777" w:rsidR="007C7B7D" w:rsidRPr="00D474EE" w:rsidRDefault="007C7B7D" w:rsidP="00D474EE">
      <w:pPr>
        <w:spacing w:after="0" w:line="240" w:lineRule="auto"/>
        <w:jc w:val="both"/>
        <w:rPr>
          <w:rFonts w:ascii="Times New Roman" w:eastAsia="Calibri" w:hAnsi="Times New Roman" w:cs="Times New Roman"/>
          <w:sz w:val="20"/>
          <w:szCs w:val="20"/>
        </w:rPr>
      </w:pPr>
      <w:r w:rsidRPr="00D474EE">
        <w:rPr>
          <w:rStyle w:val="Znakapoznpodarou"/>
          <w:rFonts w:ascii="Times New Roman" w:hAnsi="Times New Roman" w:cs="Times New Roman"/>
          <w:sz w:val="20"/>
          <w:szCs w:val="20"/>
        </w:rPr>
        <w:footnoteRef/>
      </w:r>
      <w:r w:rsidRPr="00D474EE">
        <w:rPr>
          <w:rFonts w:ascii="Times New Roman" w:hAnsi="Times New Roman" w:cs="Times New Roman"/>
          <w:sz w:val="20"/>
          <w:szCs w:val="20"/>
        </w:rPr>
        <w:t xml:space="preserve"> Přeloženo z anglického znění („</w:t>
      </w:r>
      <w:r w:rsidRPr="00D474EE">
        <w:rPr>
          <w:rFonts w:ascii="Times New Roman" w:hAnsi="Times New Roman" w:cs="Times New Roman"/>
          <w:sz w:val="20"/>
          <w:szCs w:val="20"/>
          <w:lang w:val="en-GB"/>
        </w:rPr>
        <w:t>However, the recognition of the concept of ‘living together’ as a justifiable ground for the restriction of the right to manifest religion is cause for concern. The concept, which does not find expression in the ECHR, has been prioritised above ‘concrete individual rights guaranteed by the Convention’ (para 2 dissenting opinion). This introduces the risk that the majority will be permitted to dictate that minorities assimilate in order to ‘live together’ instead of pursuing the more integrationist aims of ‘pluralism, tolerance and broadmindedness.</w:t>
      </w:r>
      <w:r w:rsidRPr="00D474EE">
        <w:rPr>
          <w:rFonts w:ascii="Times New Roman" w:hAnsi="Times New Roman" w:cs="Times New Roman"/>
          <w:sz w:val="20"/>
          <w:szCs w:val="20"/>
        </w:rPr>
        <w:t xml:space="preserve">’“) </w:t>
      </w:r>
      <w:r w:rsidRPr="00D474EE">
        <w:rPr>
          <w:rFonts w:ascii="Times New Roman" w:hAnsi="Times New Roman" w:cs="Times New Roman"/>
          <w:sz w:val="20"/>
          <w:szCs w:val="20"/>
        </w:rPr>
        <w:br/>
      </w:r>
      <w:r w:rsidRPr="00D474EE">
        <w:rPr>
          <w:rFonts w:ascii="Times New Roman" w:eastAsia="Calibri" w:hAnsi="Times New Roman" w:cs="Times New Roman"/>
          <w:sz w:val="20"/>
          <w:szCs w:val="20"/>
        </w:rPr>
        <w:t xml:space="preserve">BERRY, Stephanie. </w:t>
      </w:r>
      <w:r w:rsidRPr="00D474EE">
        <w:rPr>
          <w:rFonts w:ascii="Times New Roman" w:eastAsia="Calibri" w:hAnsi="Times New Roman" w:cs="Times New Roman"/>
          <w:i/>
          <w:sz w:val="20"/>
          <w:szCs w:val="20"/>
        </w:rPr>
        <w:t>SAS v France: Does Anything Remain of the Right to Manifest Religion?</w:t>
      </w:r>
      <w:r w:rsidRPr="00D474EE">
        <w:rPr>
          <w:rFonts w:ascii="Times New Roman" w:eastAsia="Calibri" w:hAnsi="Times New Roman" w:cs="Times New Roman"/>
          <w:sz w:val="20"/>
          <w:szCs w:val="20"/>
        </w:rPr>
        <w:t xml:space="preserve"> [online], ejiltalk.org, 2. července 2014 [cit. 24. června 2018]. Dostupné na &lt;</w:t>
      </w:r>
      <w:hyperlink r:id="rId6" w:history="1">
        <w:r w:rsidRPr="00D474EE">
          <w:rPr>
            <w:rFonts w:ascii="Times New Roman" w:eastAsia="Calibri" w:hAnsi="Times New Roman" w:cs="Times New Roman"/>
            <w:color w:val="0563C1" w:themeColor="hyperlink"/>
            <w:sz w:val="20"/>
            <w:szCs w:val="20"/>
            <w:u w:val="single"/>
          </w:rPr>
          <w:t>https://www.ejiltalk.org/sas-v-france-does-anything-remain-of-the-right-to-manifest-religion/</w:t>
        </w:r>
      </w:hyperlink>
      <w:r w:rsidRPr="00D474EE">
        <w:rPr>
          <w:rFonts w:ascii="Times New Roman" w:eastAsia="Calibri" w:hAnsi="Times New Roman" w:cs="Times New Roman"/>
          <w:sz w:val="20"/>
          <w:szCs w:val="20"/>
        </w:rPr>
        <w:t xml:space="preserve">&gt;. </w:t>
      </w:r>
    </w:p>
    <w:p w14:paraId="0D9C4E7C" w14:textId="0EE34D60" w:rsidR="007C7B7D" w:rsidRPr="00FA5D3B" w:rsidRDefault="007C7B7D" w:rsidP="00D474EE">
      <w:pPr>
        <w:pStyle w:val="Textpoznpodarou"/>
        <w:jc w:val="both"/>
        <w:rPr>
          <w:rFonts w:ascii="Times New Roman" w:hAnsi="Times New Roman" w:cs="Times New Roman"/>
        </w:rPr>
      </w:pPr>
    </w:p>
  </w:footnote>
  <w:footnote w:id="50">
    <w:p w14:paraId="1F6B6595" w14:textId="6195F65A" w:rsidR="007C7B7D" w:rsidRPr="00FA5D3B" w:rsidRDefault="007C7B7D" w:rsidP="00D474EE">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Rozhodnutí ESLP ve věci Lachiri proti Belgii, ze dne 18. září 2018, stížnost č. 3413/09</w:t>
      </w:r>
      <w:r>
        <w:rPr>
          <w:rFonts w:ascii="Times New Roman" w:hAnsi="Times New Roman" w:cs="Times New Roman"/>
        </w:rPr>
        <w:t>.</w:t>
      </w:r>
    </w:p>
  </w:footnote>
  <w:footnote w:id="51">
    <w:p w14:paraId="25E80B5C" w14:textId="22343613" w:rsidR="007C7B7D" w:rsidRPr="00FA5D3B" w:rsidRDefault="007C7B7D" w:rsidP="00D474EE">
      <w:pPr>
        <w:pStyle w:val="Textpoznpodarou"/>
        <w:jc w:val="both"/>
        <w:rPr>
          <w:rFonts w:ascii="Times New Roman" w:hAnsi="Times New Roman" w:cs="Times New Roman"/>
        </w:rPr>
      </w:pPr>
      <w:r w:rsidRPr="00FA5D3B">
        <w:rPr>
          <w:rStyle w:val="Znakapoznpodarou"/>
          <w:rFonts w:ascii="Times New Roman" w:hAnsi="Times New Roman" w:cs="Times New Roman"/>
        </w:rPr>
        <w:footnoteRef/>
      </w:r>
      <w:r w:rsidRPr="00FA5D3B">
        <w:rPr>
          <w:rFonts w:ascii="Times New Roman" w:hAnsi="Times New Roman" w:cs="Times New Roman"/>
        </w:rPr>
        <w:t xml:space="preserve"> COX, Simon. </w:t>
      </w:r>
      <w:r w:rsidRPr="00FA5D3B">
        <w:rPr>
          <w:rFonts w:ascii="Times New Roman" w:hAnsi="Times New Roman" w:cs="Times New Roman"/>
          <w:i/>
        </w:rPr>
        <w:t xml:space="preserve">Case Watch: A Victory in Europe for Muslim Women’s Right to Wear a Headscarf </w:t>
      </w:r>
      <w:r w:rsidRPr="00FA5D3B">
        <w:rPr>
          <w:rFonts w:ascii="Times New Roman" w:hAnsi="Times New Roman" w:cs="Times New Roman"/>
        </w:rPr>
        <w:t xml:space="preserve">[online]. opensocietyfoundations.org, 21. září 2018 [cit. 20. listopadu 2018]. Dostupné na </w:t>
      </w:r>
      <w:hyperlink r:id="rId7" w:history="1">
        <w:r w:rsidRPr="00375AF7">
          <w:rPr>
            <w:rStyle w:val="Hypertextovodkaz"/>
            <w:rFonts w:ascii="Times New Roman" w:hAnsi="Times New Roman" w:cs="Times New Roman"/>
          </w:rPr>
          <w:t>https://www.opensocietyfoundations.org/voices/case-watch-victory-europe-muslim-women-s-right-wear-headscarf</w:t>
        </w:r>
      </w:hyperlink>
      <w:r>
        <w:rPr>
          <w:rFonts w:ascii="Times New Roman" w:hAnsi="Times New Roman" w:cs="Times New Roman"/>
        </w:rPr>
        <w:t>.</w:t>
      </w:r>
    </w:p>
  </w:footnote>
  <w:footnote w:id="52">
    <w:p w14:paraId="7DFA32C0" w14:textId="3BF2768E" w:rsidR="007C7B7D" w:rsidRPr="003C6986" w:rsidRDefault="007C7B7D" w:rsidP="0063313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Konsolidované znění Smlouvy o Evropské unii, Úř.věst. C 202, 7. června 2016, čl. 19 odst. 3</w:t>
      </w:r>
      <w:r>
        <w:rPr>
          <w:rFonts w:ascii="Times New Roman" w:hAnsi="Times New Roman" w:cs="Times New Roman"/>
        </w:rPr>
        <w:t>.</w:t>
      </w:r>
    </w:p>
  </w:footnote>
  <w:footnote w:id="53">
    <w:p w14:paraId="0279EBAF" w14:textId="5FBB015F" w:rsidR="007C7B7D" w:rsidRPr="003C6986" w:rsidRDefault="007C7B7D" w:rsidP="0063313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ŠIŠKOVÁ, Naděžda. </w:t>
      </w:r>
      <w:r w:rsidRPr="003C6986">
        <w:rPr>
          <w:rFonts w:ascii="Times New Roman" w:hAnsi="Times New Roman" w:cs="Times New Roman"/>
          <w:i/>
        </w:rPr>
        <w:t xml:space="preserve">Dimenze ochrany lidských práv v Evropské Unii. </w:t>
      </w:r>
      <w:r w:rsidRPr="003C6986">
        <w:rPr>
          <w:rFonts w:ascii="Times New Roman" w:hAnsi="Times New Roman" w:cs="Times New Roman"/>
        </w:rPr>
        <w:t>2. vydání. Praha: Linde, 2008, s. 100</w:t>
      </w:r>
      <w:r>
        <w:rPr>
          <w:rFonts w:ascii="Times New Roman" w:hAnsi="Times New Roman" w:cs="Times New Roman"/>
        </w:rPr>
        <w:t>.</w:t>
      </w:r>
    </w:p>
  </w:footnote>
  <w:footnote w:id="54">
    <w:p w14:paraId="1A535CD6" w14:textId="243086E9" w:rsidR="007C7B7D" w:rsidRPr="003C6986" w:rsidRDefault="007C7B7D" w:rsidP="0063313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Rozsudek Soudního dvora ve věci Achbita proti G4S, ze dne 14. března 2017, stížnost č. C-157/15</w:t>
      </w:r>
      <w:r>
        <w:rPr>
          <w:rFonts w:ascii="Times New Roman" w:hAnsi="Times New Roman" w:cs="Times New Roman"/>
        </w:rPr>
        <w:t>.</w:t>
      </w:r>
    </w:p>
  </w:footnote>
  <w:footnote w:id="55">
    <w:p w14:paraId="0B1D436E" w14:textId="22D3B789" w:rsidR="007C7B7D" w:rsidRPr="003C6986" w:rsidRDefault="007C7B7D" w:rsidP="0063313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Směrnice Rady 2000/78/ES ze dne 27. listopadu 2000, kterou se stanoví obecný rámec pro rovné zacházení v zaměstnání a povolání. Úř.věst. L 303, 2. prosince 2000, str. 16</w:t>
      </w:r>
      <w:r>
        <w:rPr>
          <w:rFonts w:ascii="Times New Roman" w:hAnsi="Times New Roman" w:cs="Times New Roman"/>
        </w:rPr>
        <w:t>–</w:t>
      </w:r>
      <w:r w:rsidRPr="003C6986">
        <w:rPr>
          <w:rFonts w:ascii="Times New Roman" w:hAnsi="Times New Roman" w:cs="Times New Roman"/>
        </w:rPr>
        <w:t>22</w:t>
      </w:r>
      <w:r>
        <w:rPr>
          <w:rFonts w:ascii="Times New Roman" w:hAnsi="Times New Roman" w:cs="Times New Roman"/>
        </w:rPr>
        <w:t>.</w:t>
      </w:r>
    </w:p>
  </w:footnote>
  <w:footnote w:id="56">
    <w:p w14:paraId="36C18564" w14:textId="77777777" w:rsidR="007C7B7D" w:rsidRPr="009337B0" w:rsidRDefault="007C7B7D" w:rsidP="009337B0">
      <w:pPr>
        <w:spacing w:after="0" w:line="240" w:lineRule="auto"/>
        <w:contextualSpacing/>
        <w:jc w:val="both"/>
        <w:rPr>
          <w:rFonts w:ascii="Times New Roman" w:hAnsi="Times New Roman" w:cs="Times New Roman"/>
          <w:sz w:val="20"/>
          <w:szCs w:val="20"/>
        </w:rPr>
      </w:pPr>
      <w:r w:rsidRPr="009337B0">
        <w:rPr>
          <w:rStyle w:val="Znakapoznpodarou"/>
          <w:rFonts w:ascii="Times New Roman" w:hAnsi="Times New Roman" w:cs="Times New Roman"/>
          <w:sz w:val="20"/>
          <w:szCs w:val="20"/>
        </w:rPr>
        <w:footnoteRef/>
      </w:r>
      <w:r w:rsidRPr="009337B0">
        <w:rPr>
          <w:rFonts w:ascii="Times New Roman" w:hAnsi="Times New Roman" w:cs="Times New Roman"/>
          <w:sz w:val="20"/>
          <w:szCs w:val="20"/>
        </w:rPr>
        <w:t xml:space="preserve"> BARTOŇ, Daniel. </w:t>
      </w:r>
      <w:r w:rsidRPr="009337B0">
        <w:rPr>
          <w:rFonts w:ascii="Times New Roman" w:hAnsi="Times New Roman" w:cs="Times New Roman"/>
          <w:i/>
          <w:sz w:val="20"/>
          <w:szCs w:val="20"/>
        </w:rPr>
        <w:t xml:space="preserve">Zákaz nošení náboženských symbolů na pracovišti dle Soudního dvora EU. </w:t>
      </w:r>
      <w:r w:rsidRPr="009337B0">
        <w:rPr>
          <w:rFonts w:ascii="Times New Roman" w:hAnsi="Times New Roman" w:cs="Times New Roman"/>
          <w:sz w:val="20"/>
          <w:szCs w:val="20"/>
        </w:rPr>
        <w:t>[online]. jinepravo.blogspot.com, 17. března 2017 [cit. 25. června 2018]. Dostupné na &lt;</w:t>
      </w:r>
      <w:hyperlink r:id="rId8" w:history="1">
        <w:r w:rsidRPr="009337B0">
          <w:rPr>
            <w:rFonts w:ascii="Times New Roman" w:hAnsi="Times New Roman" w:cs="Times New Roman"/>
            <w:color w:val="0563C1" w:themeColor="hyperlink"/>
            <w:sz w:val="20"/>
            <w:szCs w:val="20"/>
            <w:u w:val="single"/>
          </w:rPr>
          <w:t>http://jinepravo.blogspot.com/2017/03/zakaz-noseni-nabozenskych-symbolu-na.html</w:t>
        </w:r>
      </w:hyperlink>
      <w:r w:rsidRPr="009337B0">
        <w:rPr>
          <w:rFonts w:ascii="Times New Roman" w:hAnsi="Times New Roman" w:cs="Times New Roman"/>
          <w:sz w:val="20"/>
          <w:szCs w:val="20"/>
        </w:rPr>
        <w:t xml:space="preserve">&gt;. </w:t>
      </w:r>
    </w:p>
    <w:p w14:paraId="7CB09A97" w14:textId="4355343B" w:rsidR="007C7B7D" w:rsidRPr="003C6986" w:rsidRDefault="007C7B7D" w:rsidP="00E55062">
      <w:pPr>
        <w:pStyle w:val="Textpoznpodarou"/>
        <w:rPr>
          <w:rFonts w:ascii="Times New Roman" w:hAnsi="Times New Roman" w:cs="Times New Roman"/>
        </w:rPr>
      </w:pPr>
    </w:p>
  </w:footnote>
  <w:footnote w:id="57">
    <w:p w14:paraId="1E278593" w14:textId="77777777"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w:t>
      </w:r>
      <w:bookmarkStart w:id="97" w:name="_Hlk530744807"/>
      <w:bookmarkStart w:id="98" w:name="_Hlk528228701"/>
      <w:r w:rsidRPr="003C6986">
        <w:rPr>
          <w:rFonts w:ascii="Times New Roman" w:hAnsi="Times New Roman" w:cs="Times New Roman"/>
        </w:rPr>
        <w:t xml:space="preserve">KRATOCHVÍL, Jan. The Inflation of the Margin of Appreciation by the European Court of Human Rights. </w:t>
      </w:r>
      <w:r w:rsidRPr="003C6986">
        <w:rPr>
          <w:rFonts w:ascii="Times New Roman" w:hAnsi="Times New Roman" w:cs="Times New Roman"/>
          <w:i/>
        </w:rPr>
        <w:t>Netherlands Quarterly of Human Rights</w:t>
      </w:r>
      <w:r w:rsidRPr="003C6986">
        <w:rPr>
          <w:rFonts w:ascii="Times New Roman" w:hAnsi="Times New Roman" w:cs="Times New Roman"/>
        </w:rPr>
        <w:t>, 2011, roč. 29, č. 3</w:t>
      </w:r>
      <w:bookmarkEnd w:id="97"/>
      <w:r w:rsidRPr="003C6986">
        <w:rPr>
          <w:rFonts w:ascii="Times New Roman" w:hAnsi="Times New Roman" w:cs="Times New Roman"/>
        </w:rPr>
        <w:t>, s. 325.</w:t>
      </w:r>
      <w:bookmarkEnd w:id="98"/>
    </w:p>
  </w:footnote>
  <w:footnote w:id="58">
    <w:p w14:paraId="6D3C0F79" w14:textId="76589984"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například viz. GERARDS, Janneke. Margin of Appreciation and Incrementalism in the Case Law of the European Court of Human Rights. Human Rights Law Review, 2018, roč. 18, č. 3, s. 495</w:t>
      </w:r>
      <w:r>
        <w:rPr>
          <w:rFonts w:ascii="Times New Roman" w:hAnsi="Times New Roman" w:cs="Times New Roman"/>
        </w:rPr>
        <w:t>–</w:t>
      </w:r>
      <w:r w:rsidRPr="003C6986">
        <w:rPr>
          <w:rFonts w:ascii="Times New Roman" w:hAnsi="Times New Roman" w:cs="Times New Roman"/>
        </w:rPr>
        <w:t>515.</w:t>
      </w:r>
    </w:p>
  </w:footnote>
  <w:footnote w:id="59">
    <w:p w14:paraId="342A8234" w14:textId="4571438D"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Částečně nesouhlasné stanovisko soudce De Meyera. Rozhodnutí ESLP ve věci Z. proti Finsku ze dne 25.</w:t>
      </w:r>
      <w:r>
        <w:rPr>
          <w:rFonts w:ascii="Times New Roman" w:hAnsi="Times New Roman" w:cs="Times New Roman"/>
        </w:rPr>
        <w:t> </w:t>
      </w:r>
      <w:r w:rsidRPr="003C6986">
        <w:rPr>
          <w:rFonts w:ascii="Times New Roman" w:hAnsi="Times New Roman" w:cs="Times New Roman"/>
        </w:rPr>
        <w:t>února 1997, stížnost č. 22009/93</w:t>
      </w:r>
      <w:r>
        <w:rPr>
          <w:rFonts w:ascii="Times New Roman" w:hAnsi="Times New Roman" w:cs="Times New Roman"/>
        </w:rPr>
        <w:t>.</w:t>
      </w:r>
    </w:p>
  </w:footnote>
  <w:footnote w:id="60">
    <w:p w14:paraId="5DD1D86F" w14:textId="3D87DA2D"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GERARDS, Janneke. Margin of Appreciation and Incrementalism in the Case Law of the European Court of Human Rights. </w:t>
      </w:r>
      <w:r w:rsidRPr="003C6986">
        <w:rPr>
          <w:rFonts w:ascii="Times New Roman" w:hAnsi="Times New Roman" w:cs="Times New Roman"/>
          <w:i/>
        </w:rPr>
        <w:t xml:space="preserve">Human Rights Law Review, </w:t>
      </w:r>
      <w:r w:rsidRPr="003C6986">
        <w:rPr>
          <w:rFonts w:ascii="Times New Roman" w:hAnsi="Times New Roman" w:cs="Times New Roman"/>
        </w:rPr>
        <w:t>2018, roč. 18, č. 3, s. 49</w:t>
      </w:r>
      <w:r>
        <w:rPr>
          <w:rFonts w:ascii="Times New Roman" w:hAnsi="Times New Roman" w:cs="Times New Roman"/>
        </w:rPr>
        <w:t>5</w:t>
      </w:r>
      <w:bookmarkStart w:id="102" w:name="_Hlk3029630"/>
      <w:r>
        <w:rPr>
          <w:rFonts w:ascii="Times New Roman" w:hAnsi="Times New Roman" w:cs="Times New Roman"/>
        </w:rPr>
        <w:t>–</w:t>
      </w:r>
      <w:bookmarkEnd w:id="102"/>
      <w:r w:rsidRPr="003C6986">
        <w:rPr>
          <w:rFonts w:ascii="Times New Roman" w:hAnsi="Times New Roman" w:cs="Times New Roman"/>
        </w:rPr>
        <w:t>515.</w:t>
      </w:r>
    </w:p>
  </w:footnote>
  <w:footnote w:id="61">
    <w:p w14:paraId="56690878" w14:textId="77777777" w:rsidR="007C7B7D" w:rsidRPr="003C6986" w:rsidRDefault="007C7B7D" w:rsidP="00432A9C">
      <w:pPr>
        <w:pStyle w:val="Textpoznpodarou"/>
        <w:jc w:val="both"/>
        <w:rPr>
          <w:rFonts w:ascii="Times New Roman" w:hAnsi="Times New Roman" w:cs="Times New Roman"/>
          <w:b/>
        </w:rPr>
      </w:pPr>
      <w:bookmarkStart w:id="103" w:name="_Hlk528314217"/>
      <w:r w:rsidRPr="003C6986">
        <w:rPr>
          <w:rStyle w:val="Znakapoznpodarou"/>
          <w:rFonts w:ascii="Times New Roman" w:hAnsi="Times New Roman" w:cs="Times New Roman"/>
          <w:b/>
        </w:rPr>
        <w:footnoteRef/>
      </w:r>
      <w:r w:rsidRPr="003C6986">
        <w:rPr>
          <w:rFonts w:ascii="Times New Roman" w:hAnsi="Times New Roman" w:cs="Times New Roman"/>
          <w:b/>
        </w:rPr>
        <w:t xml:space="preserve"> </w:t>
      </w:r>
      <w:bookmarkStart w:id="104" w:name="_Hlk531886082"/>
      <w:r w:rsidRPr="003C6986">
        <w:rPr>
          <w:rFonts w:ascii="Times New Roman" w:hAnsi="Times New Roman" w:cs="Times New Roman"/>
        </w:rPr>
        <w:t>KOPA, Martin.</w:t>
      </w:r>
      <w:bookmarkEnd w:id="103"/>
      <w:r w:rsidRPr="003C6986">
        <w:rPr>
          <w:rFonts w:ascii="Times New Roman" w:hAnsi="Times New Roman" w:cs="Times New Roman"/>
        </w:rPr>
        <w:t xml:space="preserve"> </w:t>
      </w:r>
      <w:r w:rsidRPr="003C6986">
        <w:rPr>
          <w:rFonts w:ascii="Times New Roman" w:hAnsi="Times New Roman" w:cs="Times New Roman"/>
          <w:i/>
        </w:rPr>
        <w:t xml:space="preserve">Doktrína prostoru pro uvážení (margin of appreciation) v judikatuře Evropského soudu pro lidská práva. </w:t>
      </w:r>
      <w:r w:rsidRPr="003C6986">
        <w:rPr>
          <w:rFonts w:ascii="Times New Roman" w:hAnsi="Times New Roman" w:cs="Times New Roman"/>
        </w:rPr>
        <w:t>Praha: Leges, 2014, s. 18.</w:t>
      </w:r>
      <w:bookmarkEnd w:id="104"/>
    </w:p>
  </w:footnote>
  <w:footnote w:id="62">
    <w:p w14:paraId="1676BDE3" w14:textId="77777777"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KRATOCHVÍL, Jan. In KMEC, KOSAŘ, KRATOCHVÍL, BOBEK, Michal. </w:t>
      </w:r>
      <w:r w:rsidRPr="003C6986">
        <w:rPr>
          <w:rFonts w:ascii="Times New Roman" w:hAnsi="Times New Roman" w:cs="Times New Roman"/>
          <w:i/>
        </w:rPr>
        <w:t>Evropská úmluva o lidských právech. Komentář</w:t>
      </w:r>
      <w:r w:rsidRPr="003C6986">
        <w:rPr>
          <w:rFonts w:ascii="Times New Roman" w:hAnsi="Times New Roman" w:cs="Times New Roman"/>
        </w:rPr>
        <w:t>. 1. vydání. Praha: C. H. Beck, 2012, s. 90 (Prostor pro uvážení (margin of appreciation, marge d’appréciation)).</w:t>
      </w:r>
    </w:p>
  </w:footnote>
  <w:footnote w:id="63">
    <w:p w14:paraId="645F5C38" w14:textId="65651EE4"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McGOLDRICK, Dominic. A Defence of the Margin of Appreciation and an Argument for its Application by the Human Rights Committe. </w:t>
      </w:r>
      <w:r w:rsidRPr="003C6986">
        <w:rPr>
          <w:rFonts w:ascii="Times New Roman" w:hAnsi="Times New Roman" w:cs="Times New Roman"/>
          <w:i/>
        </w:rPr>
        <w:t xml:space="preserve">International &amp; Comparative Law Quarterly, </w:t>
      </w:r>
      <w:r w:rsidRPr="003C6986">
        <w:rPr>
          <w:rFonts w:ascii="Times New Roman" w:hAnsi="Times New Roman" w:cs="Times New Roman"/>
        </w:rPr>
        <w:t>2016, roč. 65, č. 1, s. 23</w:t>
      </w:r>
      <w:r>
        <w:rPr>
          <w:rFonts w:ascii="Times New Roman" w:hAnsi="Times New Roman" w:cs="Times New Roman"/>
        </w:rPr>
        <w:t>–</w:t>
      </w:r>
      <w:r w:rsidRPr="003C6986">
        <w:rPr>
          <w:rFonts w:ascii="Times New Roman" w:hAnsi="Times New Roman" w:cs="Times New Roman"/>
        </w:rPr>
        <w:t>25.</w:t>
      </w:r>
    </w:p>
  </w:footnote>
  <w:footnote w:id="64">
    <w:p w14:paraId="3961B75F" w14:textId="77777777"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Rozhodnutí ESLP ve věci Irsko proti Spojenému království, ze dne 18. ledna 1978, stížnost č. 5310/71, bod 207.</w:t>
      </w:r>
    </w:p>
  </w:footnote>
  <w:footnote w:id="65">
    <w:p w14:paraId="74C487FB" w14:textId="77777777" w:rsidR="007C7B7D" w:rsidRPr="003C6986" w:rsidRDefault="007C7B7D" w:rsidP="00432A9C">
      <w:pPr>
        <w:pStyle w:val="Textpoznpodarou"/>
        <w:tabs>
          <w:tab w:val="left" w:pos="2475"/>
        </w:tabs>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w:t>
      </w:r>
      <w:bookmarkStart w:id="105" w:name="_Hlk526783256"/>
      <w:r w:rsidRPr="003C6986">
        <w:rPr>
          <w:rFonts w:ascii="Times New Roman" w:hAnsi="Times New Roman" w:cs="Times New Roman"/>
        </w:rPr>
        <w:t>Rozhodnutí ve věci Handyside proti Spojenému království ze dne 7. prosince 1976, stížnost č. 5493/72, bod 48.</w:t>
      </w:r>
      <w:bookmarkEnd w:id="105"/>
    </w:p>
  </w:footnote>
  <w:footnote w:id="66">
    <w:p w14:paraId="32A1AB89" w14:textId="0B361D00"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Dostupná na </w:t>
      </w:r>
      <w:hyperlink r:id="rId9" w:history="1">
        <w:r w:rsidRPr="00E75996">
          <w:rPr>
            <w:rStyle w:val="Hypertextovodkaz"/>
            <w:rFonts w:ascii="Times New Roman" w:hAnsi="Times New Roman" w:cs="Times New Roman"/>
          </w:rPr>
          <w:t>https://www.echr.coe.int/Documents/2012_Brighton_FinalDeclaration_ENG.pdf</w:t>
        </w:r>
      </w:hyperlink>
      <w:r w:rsidRPr="003C6986">
        <w:rPr>
          <w:rFonts w:ascii="Times New Roman" w:hAnsi="Times New Roman" w:cs="Times New Roman"/>
        </w:rPr>
        <w:t xml:space="preserve">. </w:t>
      </w:r>
    </w:p>
  </w:footnote>
  <w:footnote w:id="67">
    <w:p w14:paraId="7F3E6A47" w14:textId="32EC603F"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Přeloženo z anglického znění („The jurisprudence of the Court makes clear that the States Parties enjoy a</w:t>
      </w:r>
      <w:r>
        <w:rPr>
          <w:rFonts w:ascii="Times New Roman" w:hAnsi="Times New Roman" w:cs="Times New Roman"/>
        </w:rPr>
        <w:t> </w:t>
      </w:r>
      <w:r w:rsidRPr="003C6986">
        <w:rPr>
          <w:rFonts w:ascii="Times New Roman" w:hAnsi="Times New Roman" w:cs="Times New Roman"/>
        </w:rPr>
        <w:t>margin of appreciation in how they apply and implement the Convention, depending on the circumstances of the case and the Rights and freedoms engaged. This reflects that the Convention system is subsidiary to the safeguarding of human rights at national level and that national authorities are in principle better placed than an international court to evaluate local needs and conditions. The margin of appreciation goes hand in hand with supervision under the Convention system. In this respect, the role of the Court is to review whether decisions taken by national authorities are compatible with the Convention, having due regard to the State’s margin of appreciation.“)</w:t>
      </w:r>
    </w:p>
  </w:footnote>
  <w:footnote w:id="68">
    <w:p w14:paraId="188018E3" w14:textId="4FCAFE71"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Brightonská deklarace ze dne 19.</w:t>
      </w:r>
      <w:r>
        <w:rPr>
          <w:rFonts w:ascii="Times New Roman" w:hAnsi="Times New Roman" w:cs="Times New Roman"/>
        </w:rPr>
        <w:t>–</w:t>
      </w:r>
      <w:r w:rsidRPr="003C6986">
        <w:rPr>
          <w:rFonts w:ascii="Times New Roman" w:hAnsi="Times New Roman" w:cs="Times New Roman"/>
        </w:rPr>
        <w:t>20.4.2012, bod 12, písm</w:t>
      </w:r>
      <w:r>
        <w:rPr>
          <w:rFonts w:ascii="Times New Roman" w:hAnsi="Times New Roman" w:cs="Times New Roman"/>
        </w:rPr>
        <w:t xml:space="preserve">. </w:t>
      </w:r>
      <w:r w:rsidRPr="003C6986">
        <w:rPr>
          <w:rFonts w:ascii="Times New Roman" w:hAnsi="Times New Roman" w:cs="Times New Roman"/>
        </w:rPr>
        <w:t>a,</w:t>
      </w:r>
      <w:r>
        <w:rPr>
          <w:rFonts w:ascii="Times New Roman" w:hAnsi="Times New Roman" w:cs="Times New Roman"/>
        </w:rPr>
        <w:t xml:space="preserve"> </w:t>
      </w:r>
      <w:r w:rsidRPr="003C6986">
        <w:rPr>
          <w:rFonts w:ascii="Times New Roman" w:hAnsi="Times New Roman" w:cs="Times New Roman"/>
        </w:rPr>
        <w:t>b.</w:t>
      </w:r>
    </w:p>
  </w:footnote>
  <w:footnote w:id="69">
    <w:p w14:paraId="05476FF2" w14:textId="087EDA2B"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Protokol č. 15 k Evropské úmluvě o ochraně základních lidských práv a svobod, ze dne 24.6.2013. Dostupný na: </w:t>
      </w:r>
      <w:hyperlink r:id="rId10" w:history="1">
        <w:r w:rsidRPr="00432A9C">
          <w:rPr>
            <w:rStyle w:val="Hypertextovodkaz"/>
            <w:rFonts w:ascii="Times New Roman" w:hAnsi="Times New Roman" w:cs="Times New Roman"/>
            <w:color w:val="4472C4" w:themeColor="accent1"/>
          </w:rPr>
          <w:t>https://www.echr.coe.int/Pages/home.aspx?p=basictexts&amp;c</w:t>
        </w:r>
      </w:hyperlink>
      <w:r w:rsidRPr="00432A9C">
        <w:rPr>
          <w:rFonts w:ascii="Times New Roman" w:hAnsi="Times New Roman" w:cs="Times New Roman"/>
          <w:color w:val="4472C4" w:themeColor="accent1"/>
        </w:rPr>
        <w:t>.</w:t>
      </w:r>
      <w:r w:rsidRPr="003C6986">
        <w:rPr>
          <w:rFonts w:ascii="Times New Roman" w:hAnsi="Times New Roman" w:cs="Times New Roman"/>
        </w:rPr>
        <w:br/>
        <w:t>“Affirming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p>
  </w:footnote>
  <w:footnote w:id="70">
    <w:p w14:paraId="209E423A" w14:textId="69D329AC"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Aktuální informace o ratifikaci Protokolu č. 15 lze nalézt na internetových stránkách Rady Evropy, </w:t>
      </w:r>
      <w:hyperlink r:id="rId11" w:history="1">
        <w:r w:rsidRPr="00E75996">
          <w:rPr>
            <w:rStyle w:val="Hypertextovodkaz"/>
            <w:rFonts w:ascii="Times New Roman" w:hAnsi="Times New Roman" w:cs="Times New Roman"/>
          </w:rPr>
          <w:t>https://www.coe.int/en/web/conventions/full-list/-/conventions/treaty/213/signatures?p_auth=kEYqoouB</w:t>
        </w:r>
      </w:hyperlink>
      <w:r w:rsidRPr="003C6986">
        <w:rPr>
          <w:rFonts w:ascii="Times New Roman" w:hAnsi="Times New Roman" w:cs="Times New Roman"/>
        </w:rPr>
        <w:t xml:space="preserve">. </w:t>
      </w:r>
    </w:p>
  </w:footnote>
  <w:footnote w:id="71">
    <w:p w14:paraId="725F5E18" w14:textId="4C89126B"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w:t>
      </w:r>
      <w:bookmarkStart w:id="109" w:name="_Hlk530744867"/>
      <w:r w:rsidRPr="003C6986">
        <w:rPr>
          <w:rFonts w:ascii="Times New Roman" w:hAnsi="Times New Roman" w:cs="Times New Roman"/>
        </w:rPr>
        <w:t>GERARDS, Janneke. Margin of Appreciation and Incrementalism in the Case Law of the European Court of Human Rights. Human Rights Law Review, 2018, roč. 18, č. 3, s. 495</w:t>
      </w:r>
      <w:r>
        <w:rPr>
          <w:rFonts w:ascii="Times New Roman" w:hAnsi="Times New Roman" w:cs="Times New Roman"/>
        </w:rPr>
        <w:t>–</w:t>
      </w:r>
      <w:r w:rsidRPr="003C6986">
        <w:rPr>
          <w:rFonts w:ascii="Times New Roman" w:hAnsi="Times New Roman" w:cs="Times New Roman"/>
        </w:rPr>
        <w:t>515.</w:t>
      </w:r>
      <w:bookmarkEnd w:id="109"/>
    </w:p>
  </w:footnote>
  <w:footnote w:id="72">
    <w:p w14:paraId="4FA9B34E" w14:textId="78EFB332"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KRATOCHVÍL, Jan. The Inflation of the Margin of Appreciation by the European Court of Human Rights. </w:t>
      </w:r>
      <w:r w:rsidRPr="003C6986">
        <w:rPr>
          <w:rFonts w:ascii="Times New Roman" w:hAnsi="Times New Roman" w:cs="Times New Roman"/>
          <w:i/>
        </w:rPr>
        <w:t>Netherlands Quarterly of Human Rights</w:t>
      </w:r>
      <w:r w:rsidRPr="003C6986">
        <w:rPr>
          <w:rFonts w:ascii="Times New Roman" w:hAnsi="Times New Roman" w:cs="Times New Roman"/>
        </w:rPr>
        <w:t>, 2011, roč. 29, č. 3, s. 336</w:t>
      </w:r>
      <w:r>
        <w:rPr>
          <w:rFonts w:ascii="Times New Roman" w:hAnsi="Times New Roman" w:cs="Times New Roman"/>
        </w:rPr>
        <w:t>–</w:t>
      </w:r>
      <w:r w:rsidRPr="003C6986">
        <w:rPr>
          <w:rFonts w:ascii="Times New Roman" w:hAnsi="Times New Roman" w:cs="Times New Roman"/>
        </w:rPr>
        <w:t>343.</w:t>
      </w:r>
    </w:p>
  </w:footnote>
  <w:footnote w:id="73">
    <w:p w14:paraId="3C50A974" w14:textId="77777777"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KRATOCHVÍL, Jan. The Inflation of the Margin of Appreciation by the European Court of Human Rights. </w:t>
      </w:r>
      <w:r w:rsidRPr="003C6986">
        <w:rPr>
          <w:rFonts w:ascii="Times New Roman" w:hAnsi="Times New Roman" w:cs="Times New Roman"/>
          <w:i/>
        </w:rPr>
        <w:t>Netherlands Quarterly of Human Rights</w:t>
      </w:r>
      <w:r w:rsidRPr="003C6986">
        <w:rPr>
          <w:rFonts w:ascii="Times New Roman" w:hAnsi="Times New Roman" w:cs="Times New Roman"/>
        </w:rPr>
        <w:t>, 2011, roč. 29, č. 3, s. 334.</w:t>
      </w:r>
    </w:p>
  </w:footnote>
  <w:footnote w:id="74">
    <w:p w14:paraId="7D81931D" w14:textId="040624D2"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Částečně nesouhlasné stanovisko soudce De Meyera. Rozhodnutí ESLP ve věci Z. proti Finsku ze dne 25.února 1997, stížnost č. 22009/93. </w:t>
      </w:r>
      <w:r>
        <w:rPr>
          <w:rFonts w:ascii="Times New Roman" w:hAnsi="Times New Roman" w:cs="Times New Roman"/>
        </w:rPr>
        <w:t>„</w:t>
      </w:r>
      <w:r w:rsidRPr="003C6986">
        <w:rPr>
          <w:rFonts w:ascii="Times New Roman" w:hAnsi="Times New Roman" w:cs="Times New Roman"/>
        </w:rPr>
        <w:t>I believe that it is high time for the Court to banish that concept from its reasoning. It has already delayed too long in abandoning this hackneyed phrase and recanting the relativism it implies. It is possible to envisage a margin of appreciation in certain domains. It is, for example, entirely natural for a criminal court to determine sentence - within the range of penalties laid down by the legislature - according to its assessment of the seriousness of the case. But where human rights are concerned, there is no room for a</w:t>
      </w:r>
      <w:r>
        <w:rPr>
          <w:rFonts w:ascii="Times New Roman" w:hAnsi="Times New Roman" w:cs="Times New Roman"/>
        </w:rPr>
        <w:t> </w:t>
      </w:r>
      <w:r w:rsidRPr="003C6986">
        <w:rPr>
          <w:rFonts w:ascii="Times New Roman" w:hAnsi="Times New Roman" w:cs="Times New Roman"/>
        </w:rPr>
        <w:t>margin of appreciation which would enable the States to decide what is acceptable and what is not. On that subject the boundary not to be overstepped must be as clear and precise as possible. It is for the Court, not each State individually, to decide that issue, and the Court’s views must apply to everyone within the jurisdiction of each State. The empty phrases concerning the State’s margin of appreciation - repeated in the Court’s judgments for too long already - are unnecessary circumlocutions, serving only to indicate abstrusely that the States may do anything the Court does not consider incompatible with human rights. Such terminology, as wrong in principle as it is pointless in practice, should be abandoned without delay.“</w:t>
      </w:r>
    </w:p>
  </w:footnote>
  <w:footnote w:id="75">
    <w:p w14:paraId="6EF5C6C7" w14:textId="77777777" w:rsidR="007C7B7D" w:rsidRPr="003C6986" w:rsidRDefault="007C7B7D" w:rsidP="00432A9C">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Rozhodnutí ESLP ve věci Dahlab proti Švýcarsku, ze dne 15. února 2001, stížnost č. 42393/98.</w:t>
      </w:r>
    </w:p>
  </w:footnote>
  <w:footnote w:id="76">
    <w:p w14:paraId="37C38837" w14:textId="4669B0A0" w:rsidR="007C7B7D" w:rsidRDefault="007C7B7D" w:rsidP="00300486">
      <w:pPr>
        <w:spacing w:after="0" w:line="240" w:lineRule="auto"/>
        <w:jc w:val="both"/>
        <w:rPr>
          <w:rFonts w:ascii="Times New Roman" w:hAnsi="Times New Roman" w:cs="Times New Roman"/>
          <w:sz w:val="20"/>
          <w:szCs w:val="20"/>
        </w:rPr>
      </w:pPr>
      <w:r w:rsidRPr="003C6986">
        <w:rPr>
          <w:rStyle w:val="Znakapoznpodarou"/>
          <w:rFonts w:ascii="Times New Roman" w:hAnsi="Times New Roman" w:cs="Times New Roman"/>
          <w:sz w:val="20"/>
          <w:szCs w:val="20"/>
        </w:rPr>
        <w:footnoteRef/>
      </w:r>
      <w:r w:rsidRPr="003C6986">
        <w:rPr>
          <w:rFonts w:ascii="Times New Roman" w:hAnsi="Times New Roman" w:cs="Times New Roman"/>
          <w:sz w:val="20"/>
          <w:szCs w:val="20"/>
        </w:rPr>
        <w:t xml:space="preserve"> Margin of Appreciation: An overview of the Strasbourg Court’s margin of appreciation doctrine. [online]. opensocietyfoundations.org, duben 2012 [citace 19. listopadu 2018]. Dostupné na </w:t>
      </w:r>
    </w:p>
    <w:p w14:paraId="1E271DCF" w14:textId="19901645" w:rsidR="007C7B7D" w:rsidRPr="00EA2253" w:rsidRDefault="007C7B7D" w:rsidP="00300486">
      <w:pPr>
        <w:spacing w:after="0" w:line="240" w:lineRule="auto"/>
        <w:contextualSpacing/>
        <w:jc w:val="both"/>
        <w:rPr>
          <w:rFonts w:ascii="Times New Roman" w:hAnsi="Times New Roman" w:cs="Times New Roman"/>
          <w:sz w:val="24"/>
          <w:szCs w:val="24"/>
        </w:rPr>
      </w:pPr>
      <w:r w:rsidRPr="00EA2253">
        <w:rPr>
          <w:rFonts w:ascii="Times New Roman" w:hAnsi="Times New Roman" w:cs="Times New Roman"/>
          <w:sz w:val="20"/>
          <w:szCs w:val="24"/>
        </w:rPr>
        <w:t>&lt;</w:t>
      </w:r>
      <w:hyperlink r:id="rId12" w:history="1">
        <w:r w:rsidRPr="00EA2253">
          <w:rPr>
            <w:rFonts w:ascii="Times New Roman" w:hAnsi="Times New Roman" w:cs="Times New Roman"/>
            <w:color w:val="0563C1" w:themeColor="hyperlink"/>
            <w:sz w:val="20"/>
            <w:szCs w:val="24"/>
            <w:u w:val="single"/>
          </w:rPr>
          <w:t>https://www.opensocietyfoundations.org/sites/default/files/echr-reform-margin-of-appreciation.pdf</w:t>
        </w:r>
      </w:hyperlink>
      <w:r w:rsidRPr="00EA2253">
        <w:rPr>
          <w:rFonts w:ascii="Times New Roman" w:hAnsi="Times New Roman" w:cs="Times New Roman"/>
          <w:sz w:val="20"/>
          <w:szCs w:val="24"/>
        </w:rPr>
        <w:t>&gt;.</w:t>
      </w:r>
    </w:p>
  </w:footnote>
  <w:footnote w:id="77">
    <w:p w14:paraId="203762F0" w14:textId="77777777"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např. Rozhodnutí ESLP ve věci Dogru proti Francii, ze dne 4. prosince 2008, stížnost č. 27058/05, bod 72, kde Soud nechává státu prostor pro uvážení s ohledem na „křehké vztahy státu a církve“.</w:t>
      </w:r>
    </w:p>
  </w:footnote>
  <w:footnote w:id="78">
    <w:p w14:paraId="07DB5F1E" w14:textId="77777777"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Rozhodnutí ESLP ve věci S.A.S. proti Francii, ze dne 1. července 2014, stížnost č. 43835/11, bod 130, 156</w:t>
      </w:r>
    </w:p>
  </w:footnote>
  <w:footnote w:id="79">
    <w:p w14:paraId="05DCB1C8" w14:textId="7A43DB13"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BARINKA, Roman. </w:t>
      </w:r>
      <w:r w:rsidRPr="003C6986">
        <w:rPr>
          <w:rFonts w:ascii="Times New Roman" w:hAnsi="Times New Roman" w:cs="Times New Roman"/>
          <w:i/>
        </w:rPr>
        <w:t xml:space="preserve">Evropská úmluva o lidských právech a doktrína margin of appreciation </w:t>
      </w:r>
      <w:r w:rsidRPr="003C6986">
        <w:rPr>
          <w:rFonts w:ascii="Times New Roman" w:hAnsi="Times New Roman" w:cs="Times New Roman"/>
        </w:rPr>
        <w:t>[online]. is.muni.cz, 21. srpna 2006 [cit. 19. listopadu 2018], str. 161</w:t>
      </w:r>
      <w:r>
        <w:rPr>
          <w:rFonts w:ascii="Times New Roman" w:hAnsi="Times New Roman" w:cs="Times New Roman"/>
        </w:rPr>
        <w:t>–</w:t>
      </w:r>
      <w:r w:rsidRPr="003C6986">
        <w:rPr>
          <w:rFonts w:ascii="Times New Roman" w:hAnsi="Times New Roman" w:cs="Times New Roman"/>
        </w:rPr>
        <w:t>162. Dostupné na:</w:t>
      </w:r>
      <w:r>
        <w:rPr>
          <w:rFonts w:ascii="Times New Roman" w:hAnsi="Times New Roman" w:cs="Times New Roman"/>
        </w:rPr>
        <w:t xml:space="preserve"> </w:t>
      </w:r>
      <w:hyperlink r:id="rId13" w:history="1">
        <w:r w:rsidRPr="00E75996">
          <w:rPr>
            <w:rStyle w:val="Hypertextovodkaz"/>
            <w:rFonts w:ascii="Times New Roman" w:hAnsi="Times New Roman" w:cs="Times New Roman"/>
          </w:rPr>
          <w:t>https://is.muni.cz/th/faz5e/Evropska_umluva_o_lidskych_pravech_a_doktrina_margin_of_appreciation.pdf?so=nx</w:t>
        </w:r>
      </w:hyperlink>
      <w:r w:rsidRPr="003C6986">
        <w:rPr>
          <w:rFonts w:ascii="Times New Roman" w:hAnsi="Times New Roman" w:cs="Times New Roman"/>
        </w:rPr>
        <w:t xml:space="preserve">. </w:t>
      </w:r>
    </w:p>
  </w:footnote>
  <w:footnote w:id="80">
    <w:p w14:paraId="7E9CFBC0" w14:textId="77777777"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ALADAĞ GÖRENTAŞ, Itir. </w:t>
      </w:r>
      <w:r w:rsidRPr="003C6986">
        <w:rPr>
          <w:rFonts w:ascii="Times New Roman" w:hAnsi="Times New Roman" w:cs="Times New Roman"/>
          <w:lang w:val="en-GB"/>
        </w:rPr>
        <w:t xml:space="preserve">The Effects of Margin of Appreciation Doctrine on the European Court of Human Rights: Upholding Public Morality over Fundamental Rights. </w:t>
      </w:r>
      <w:r w:rsidRPr="003C6986">
        <w:rPr>
          <w:rFonts w:ascii="Times New Roman" w:hAnsi="Times New Roman" w:cs="Times New Roman"/>
          <w:i/>
          <w:lang w:val="en-GB"/>
        </w:rPr>
        <w:t>Journal of Academic Inquiries</w:t>
      </w:r>
      <w:r w:rsidRPr="003C6986">
        <w:rPr>
          <w:rFonts w:ascii="Times New Roman" w:hAnsi="Times New Roman" w:cs="Times New Roman"/>
          <w:lang w:val="en-GB"/>
        </w:rPr>
        <w:t xml:space="preserve">, </w:t>
      </w:r>
      <w:r w:rsidRPr="003C6986">
        <w:rPr>
          <w:rFonts w:ascii="Times New Roman" w:hAnsi="Times New Roman" w:cs="Times New Roman"/>
        </w:rPr>
        <w:t>2016, roč.</w:t>
      </w:r>
      <w:r w:rsidRPr="003C6986">
        <w:rPr>
          <w:rFonts w:ascii="Times New Roman" w:hAnsi="Times New Roman" w:cs="Times New Roman"/>
          <w:lang w:val="en-GB"/>
        </w:rPr>
        <w:t xml:space="preserve"> 11, č. 2, s. 213.</w:t>
      </w:r>
    </w:p>
    <w:p w14:paraId="6772FA7F" w14:textId="77777777" w:rsidR="007C7B7D" w:rsidRPr="003C6986" w:rsidRDefault="007C7B7D" w:rsidP="00300486">
      <w:pPr>
        <w:pStyle w:val="Textpoznpodarou"/>
        <w:jc w:val="both"/>
        <w:rPr>
          <w:rFonts w:ascii="Times New Roman" w:hAnsi="Times New Roman" w:cs="Times New Roman"/>
          <w:lang w:val="en-GB"/>
        </w:rPr>
      </w:pPr>
      <w:r w:rsidRPr="003C6986">
        <w:rPr>
          <w:rFonts w:ascii="Times New Roman" w:hAnsi="Times New Roman" w:cs="Times New Roman"/>
        </w:rPr>
        <w:t>„</w:t>
      </w:r>
      <w:r w:rsidRPr="003C6986">
        <w:rPr>
          <w:rFonts w:ascii="Times New Roman" w:hAnsi="Times New Roman" w:cs="Times New Roman"/>
          <w:lang w:val="en-GB"/>
        </w:rPr>
        <w:t>Instead of setting standards in application of the Rights guaranteed under the Convention and Additional Protocols, the ECtHR prefers to grant Contracting States a high margin of appreciation. By avoiding to intervene in matters directly related to public policy/ public interest of the States, the Court (so- called) support the diversity and reconcile the concept of human rights with “non- Western” members of the Council. Unfortunately, the thin red line between avoiding to intervene internal affairs and overlooking human rights violations becomes more blurred day by day. Evaluating the case- law, the Court rules in favor of the States by using the margin of appreciation, especially in cases about freedom of religion and freedom of expression. Accordingly, these rights become vulnerable, and individuals in need of protection from these points are forced towards possible exploitations. The Court must immediately leave the obviously political use of the margin of appreciation doctrine, or at least restrict it within a set of rules.”</w:t>
      </w:r>
    </w:p>
  </w:footnote>
  <w:footnote w:id="81">
    <w:p w14:paraId="4100BCD1" w14:textId="3F4A5DA7"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SMITH, Oliver. </w:t>
      </w:r>
      <w:r w:rsidRPr="003C6986">
        <w:rPr>
          <w:rFonts w:ascii="Times New Roman" w:hAnsi="Times New Roman" w:cs="Times New Roman"/>
          <w:i/>
        </w:rPr>
        <w:t>Mapped: The world's most (and least) religious countries</w:t>
      </w:r>
      <w:bookmarkStart w:id="113" w:name="_Hlk530669786"/>
      <w:r w:rsidRPr="003C6986">
        <w:rPr>
          <w:rFonts w:ascii="Times New Roman" w:hAnsi="Times New Roman" w:cs="Times New Roman"/>
          <w:i/>
        </w:rPr>
        <w:t xml:space="preserve">. </w:t>
      </w:r>
      <w:r w:rsidRPr="003C6986">
        <w:rPr>
          <w:rFonts w:ascii="Times New Roman" w:hAnsi="Times New Roman" w:cs="Times New Roman"/>
        </w:rPr>
        <w:t xml:space="preserve">[online]. </w:t>
      </w:r>
      <w:bookmarkEnd w:id="113"/>
      <w:r w:rsidRPr="003C6986">
        <w:rPr>
          <w:rFonts w:ascii="Times New Roman" w:hAnsi="Times New Roman" w:cs="Times New Roman"/>
        </w:rPr>
        <w:t xml:space="preserve">telegraph.co.uk, 14. ledna 2018 </w:t>
      </w:r>
      <w:bookmarkStart w:id="114" w:name="_Hlk530669835"/>
      <w:r w:rsidRPr="003C6986">
        <w:rPr>
          <w:rFonts w:ascii="Times New Roman" w:hAnsi="Times New Roman" w:cs="Times New Roman"/>
        </w:rPr>
        <w:t>[cit. 22. listopadu 2018]</w:t>
      </w:r>
      <w:bookmarkEnd w:id="114"/>
      <w:r w:rsidRPr="003C6986">
        <w:rPr>
          <w:rFonts w:ascii="Times New Roman" w:hAnsi="Times New Roman" w:cs="Times New Roman"/>
        </w:rPr>
        <w:t xml:space="preserve">. Dostupné na </w:t>
      </w:r>
      <w:hyperlink r:id="rId14" w:history="1">
        <w:r w:rsidRPr="00E75996">
          <w:rPr>
            <w:rStyle w:val="Hypertextovodkaz"/>
            <w:rFonts w:ascii="Times New Roman" w:hAnsi="Times New Roman" w:cs="Times New Roman"/>
          </w:rPr>
          <w:t>https://www.telegraph.co.uk/travel/maps-and-graphics/most-religious-countries-in-the-world/</w:t>
        </w:r>
      </w:hyperlink>
      <w:r w:rsidRPr="003C6986">
        <w:rPr>
          <w:rFonts w:ascii="Times New Roman" w:hAnsi="Times New Roman" w:cs="Times New Roman"/>
        </w:rPr>
        <w:t xml:space="preserve">. </w:t>
      </w:r>
    </w:p>
  </w:footnote>
  <w:footnote w:id="82">
    <w:p w14:paraId="5458803B" w14:textId="4A988A35"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w:t>
      </w:r>
      <w:bookmarkStart w:id="115" w:name="_Hlk530669959"/>
      <w:r w:rsidRPr="003C6986">
        <w:rPr>
          <w:rFonts w:ascii="Times New Roman" w:hAnsi="Times New Roman" w:cs="Times New Roman"/>
        </w:rPr>
        <w:t xml:space="preserve">SAWE, Benjamin Elisha. </w:t>
      </w:r>
      <w:r w:rsidRPr="003C6986">
        <w:rPr>
          <w:rFonts w:ascii="Times New Roman" w:hAnsi="Times New Roman" w:cs="Times New Roman"/>
          <w:i/>
        </w:rPr>
        <w:t>Major Religions In Poland</w:t>
      </w:r>
      <w:r w:rsidRPr="003C6986">
        <w:rPr>
          <w:rFonts w:ascii="Times New Roman" w:hAnsi="Times New Roman" w:cs="Times New Roman"/>
        </w:rPr>
        <w:t xml:space="preserve">. [online]. worldatlas.com, 18. července 2018 [cit. 22. listopadu 2018]. Dostupné na </w:t>
      </w:r>
      <w:bookmarkEnd w:id="115"/>
      <w:r>
        <w:rPr>
          <w:rStyle w:val="Hypertextovodkaz"/>
          <w:rFonts w:ascii="Times New Roman" w:hAnsi="Times New Roman" w:cs="Times New Roman"/>
          <w:color w:val="auto"/>
        </w:rPr>
        <w:fldChar w:fldCharType="begin"/>
      </w:r>
      <w:r>
        <w:rPr>
          <w:rStyle w:val="Hypertextovodkaz"/>
          <w:rFonts w:ascii="Times New Roman" w:hAnsi="Times New Roman" w:cs="Times New Roman"/>
          <w:color w:val="auto"/>
        </w:rPr>
        <w:instrText xml:space="preserve"> HYPERLINK "</w:instrText>
      </w:r>
      <w:r w:rsidRPr="002C352C">
        <w:rPr>
          <w:rStyle w:val="Hypertextovodkaz"/>
          <w:rFonts w:ascii="Times New Roman" w:hAnsi="Times New Roman" w:cs="Times New Roman"/>
          <w:color w:val="auto"/>
        </w:rPr>
        <w:instrText>https://www.worldatlas.com/articles/predominant-religious-beliefs-in-poland.html</w:instrText>
      </w:r>
      <w:r>
        <w:rPr>
          <w:rStyle w:val="Hypertextovodkaz"/>
          <w:rFonts w:ascii="Times New Roman" w:hAnsi="Times New Roman" w:cs="Times New Roman"/>
          <w:color w:val="auto"/>
        </w:rPr>
        <w:instrText xml:space="preserve">" </w:instrText>
      </w:r>
      <w:r>
        <w:rPr>
          <w:rStyle w:val="Hypertextovodkaz"/>
          <w:rFonts w:ascii="Times New Roman" w:hAnsi="Times New Roman" w:cs="Times New Roman"/>
          <w:color w:val="auto"/>
        </w:rPr>
        <w:fldChar w:fldCharType="separate"/>
      </w:r>
      <w:r w:rsidRPr="00E75996">
        <w:rPr>
          <w:rStyle w:val="Hypertextovodkaz"/>
          <w:rFonts w:ascii="Times New Roman" w:hAnsi="Times New Roman" w:cs="Times New Roman"/>
        </w:rPr>
        <w:t>https://www.worldatlas.com/articles/predominant-religious-beliefs-in-poland.html</w:t>
      </w:r>
      <w:r>
        <w:rPr>
          <w:rStyle w:val="Hypertextovodkaz"/>
          <w:rFonts w:ascii="Times New Roman" w:hAnsi="Times New Roman" w:cs="Times New Roman"/>
          <w:color w:val="auto"/>
        </w:rPr>
        <w:fldChar w:fldCharType="end"/>
      </w:r>
      <w:r w:rsidRPr="003C6986">
        <w:rPr>
          <w:rFonts w:ascii="Times New Roman" w:hAnsi="Times New Roman" w:cs="Times New Roman"/>
        </w:rPr>
        <w:t xml:space="preserve">. </w:t>
      </w:r>
    </w:p>
  </w:footnote>
  <w:footnote w:id="83">
    <w:p w14:paraId="623C3D42" w14:textId="734608E1"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SAWE, Benjamin Elisha. </w:t>
      </w:r>
      <w:r w:rsidRPr="003C6986">
        <w:rPr>
          <w:rFonts w:ascii="Times New Roman" w:hAnsi="Times New Roman" w:cs="Times New Roman"/>
          <w:i/>
        </w:rPr>
        <w:t>The Religious Demographics Of Italy</w:t>
      </w:r>
      <w:r w:rsidRPr="003C6986">
        <w:rPr>
          <w:rFonts w:ascii="Times New Roman" w:hAnsi="Times New Roman" w:cs="Times New Roman"/>
        </w:rPr>
        <w:t xml:space="preserve">. [online]. worldatlas.com, 25. dubna 2017 [cit. 22. listopadu 2018]. Dostupné na </w:t>
      </w:r>
      <w:hyperlink r:id="rId15" w:history="1">
        <w:r w:rsidRPr="00E75996">
          <w:rPr>
            <w:rStyle w:val="Hypertextovodkaz"/>
            <w:rFonts w:ascii="Times New Roman" w:hAnsi="Times New Roman" w:cs="Times New Roman"/>
          </w:rPr>
          <w:t>https://www.worldatlas.com/articles/the-religious-demographics-of-italy.html</w:t>
        </w:r>
      </w:hyperlink>
      <w:r w:rsidRPr="003C6986">
        <w:rPr>
          <w:rFonts w:ascii="Times New Roman" w:hAnsi="Times New Roman" w:cs="Times New Roman"/>
        </w:rPr>
        <w:t xml:space="preserve">. </w:t>
      </w:r>
    </w:p>
  </w:footnote>
  <w:footnote w:id="84">
    <w:p w14:paraId="3C070769" w14:textId="77777777" w:rsidR="007C7B7D" w:rsidRPr="003C6986" w:rsidRDefault="007C7B7D" w:rsidP="00300486">
      <w:pPr>
        <w:pStyle w:val="Textpoznpodarou"/>
        <w:jc w:val="both"/>
        <w:rPr>
          <w:rFonts w:ascii="Times New Roman" w:hAnsi="Times New Roman" w:cs="Times New Roman"/>
        </w:rPr>
      </w:pPr>
      <w:r w:rsidRPr="003C6986">
        <w:rPr>
          <w:rStyle w:val="Znakapoznpodarou"/>
          <w:rFonts w:ascii="Times New Roman" w:hAnsi="Times New Roman" w:cs="Times New Roman"/>
        </w:rPr>
        <w:footnoteRef/>
      </w:r>
      <w:r w:rsidRPr="003C6986">
        <w:rPr>
          <w:rFonts w:ascii="Times New Roman" w:hAnsi="Times New Roman" w:cs="Times New Roman"/>
        </w:rPr>
        <w:t xml:space="preserve"> I když nedávné rozhodnutí Soudu ve věci Lachiri proti Belgii, ze dne 18. září 2018, stížnost č. 3413/09 ukazuje, že i toto už možná přestává platit.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54D"/>
    <w:multiLevelType w:val="hybridMultilevel"/>
    <w:tmpl w:val="D3F862A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3B2535D"/>
    <w:multiLevelType w:val="hybridMultilevel"/>
    <w:tmpl w:val="93D848E2"/>
    <w:lvl w:ilvl="0" w:tplc="4524F9D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641F13"/>
    <w:multiLevelType w:val="hybridMultilevel"/>
    <w:tmpl w:val="A27C17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84E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5365DB"/>
    <w:multiLevelType w:val="hybridMultilevel"/>
    <w:tmpl w:val="7F34626E"/>
    <w:lvl w:ilvl="0" w:tplc="BED2F7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D96B7B"/>
    <w:multiLevelType w:val="hybridMultilevel"/>
    <w:tmpl w:val="B06CBD46"/>
    <w:lvl w:ilvl="0" w:tplc="E2289D00">
      <w:numFmt w:val="bullet"/>
      <w:lvlText w:val="-"/>
      <w:lvlJc w:val="left"/>
      <w:pPr>
        <w:ind w:left="1080" w:hanging="360"/>
      </w:pPr>
      <w:rPr>
        <w:rFonts w:ascii="Times New Roman" w:eastAsiaTheme="maj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6E6062"/>
    <w:multiLevelType w:val="hybridMultilevel"/>
    <w:tmpl w:val="98047C3C"/>
    <w:lvl w:ilvl="0" w:tplc="1E6203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F57A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6D4074"/>
    <w:multiLevelType w:val="hybridMultilevel"/>
    <w:tmpl w:val="A5E24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714058"/>
    <w:multiLevelType w:val="hybridMultilevel"/>
    <w:tmpl w:val="00FAE04C"/>
    <w:lvl w:ilvl="0" w:tplc="76D66870">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9B14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3749B0"/>
    <w:multiLevelType w:val="hybridMultilevel"/>
    <w:tmpl w:val="320E97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FAB7386"/>
    <w:multiLevelType w:val="hybridMultilevel"/>
    <w:tmpl w:val="C7B636AC"/>
    <w:lvl w:ilvl="0" w:tplc="E886F35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276BF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EB653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13"/>
  </w:num>
  <w:num w:numId="4">
    <w:abstractNumId w:val="4"/>
  </w:num>
  <w:num w:numId="5">
    <w:abstractNumId w:val="3"/>
  </w:num>
  <w:num w:numId="6">
    <w:abstractNumId w:val="7"/>
  </w:num>
  <w:num w:numId="7">
    <w:abstractNumId w:val="5"/>
  </w:num>
  <w:num w:numId="8">
    <w:abstractNumId w:val="6"/>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47"/>
    <w:rsid w:val="00002F30"/>
    <w:rsid w:val="000047BF"/>
    <w:rsid w:val="00007023"/>
    <w:rsid w:val="00021CBD"/>
    <w:rsid w:val="00023C9C"/>
    <w:rsid w:val="000257A6"/>
    <w:rsid w:val="000324DE"/>
    <w:rsid w:val="00036CB4"/>
    <w:rsid w:val="0004122C"/>
    <w:rsid w:val="00042756"/>
    <w:rsid w:val="0004581A"/>
    <w:rsid w:val="000500E9"/>
    <w:rsid w:val="00051F21"/>
    <w:rsid w:val="000555E5"/>
    <w:rsid w:val="00056D17"/>
    <w:rsid w:val="000631BC"/>
    <w:rsid w:val="0006519E"/>
    <w:rsid w:val="000700C7"/>
    <w:rsid w:val="00071C6A"/>
    <w:rsid w:val="00075E14"/>
    <w:rsid w:val="000818A9"/>
    <w:rsid w:val="00082773"/>
    <w:rsid w:val="000846D2"/>
    <w:rsid w:val="00091A92"/>
    <w:rsid w:val="00095B51"/>
    <w:rsid w:val="000A328A"/>
    <w:rsid w:val="000B1F14"/>
    <w:rsid w:val="000B4D28"/>
    <w:rsid w:val="000B57A8"/>
    <w:rsid w:val="000B5DEE"/>
    <w:rsid w:val="000B6B82"/>
    <w:rsid w:val="000B7C7F"/>
    <w:rsid w:val="000C1CB9"/>
    <w:rsid w:val="000C5813"/>
    <w:rsid w:val="000E16E6"/>
    <w:rsid w:val="000E2A3A"/>
    <w:rsid w:val="000F08D7"/>
    <w:rsid w:val="000F7357"/>
    <w:rsid w:val="000F7C0B"/>
    <w:rsid w:val="00101265"/>
    <w:rsid w:val="00102453"/>
    <w:rsid w:val="00104569"/>
    <w:rsid w:val="00106578"/>
    <w:rsid w:val="00107EE4"/>
    <w:rsid w:val="00115135"/>
    <w:rsid w:val="00122D6C"/>
    <w:rsid w:val="00131F3A"/>
    <w:rsid w:val="00135CCE"/>
    <w:rsid w:val="00144441"/>
    <w:rsid w:val="001444C6"/>
    <w:rsid w:val="001558F0"/>
    <w:rsid w:val="001572D1"/>
    <w:rsid w:val="00162F7F"/>
    <w:rsid w:val="00163CD5"/>
    <w:rsid w:val="00165C36"/>
    <w:rsid w:val="0017314E"/>
    <w:rsid w:val="00173462"/>
    <w:rsid w:val="00177301"/>
    <w:rsid w:val="001818A8"/>
    <w:rsid w:val="001820BF"/>
    <w:rsid w:val="001870D5"/>
    <w:rsid w:val="001970EF"/>
    <w:rsid w:val="00197D27"/>
    <w:rsid w:val="001A07BE"/>
    <w:rsid w:val="001A2607"/>
    <w:rsid w:val="001A313E"/>
    <w:rsid w:val="001A3FDE"/>
    <w:rsid w:val="001A4BAD"/>
    <w:rsid w:val="001A52FD"/>
    <w:rsid w:val="001C7EB8"/>
    <w:rsid w:val="001D2C80"/>
    <w:rsid w:val="001E20B3"/>
    <w:rsid w:val="001E733C"/>
    <w:rsid w:val="001F12A9"/>
    <w:rsid w:val="001F4287"/>
    <w:rsid w:val="001F56C3"/>
    <w:rsid w:val="001F78F9"/>
    <w:rsid w:val="002054ED"/>
    <w:rsid w:val="0020687F"/>
    <w:rsid w:val="002075DE"/>
    <w:rsid w:val="00210F0B"/>
    <w:rsid w:val="00214E68"/>
    <w:rsid w:val="00216736"/>
    <w:rsid w:val="002228C1"/>
    <w:rsid w:val="0022314E"/>
    <w:rsid w:val="00241AD1"/>
    <w:rsid w:val="00244903"/>
    <w:rsid w:val="00245512"/>
    <w:rsid w:val="00255E30"/>
    <w:rsid w:val="00256C0F"/>
    <w:rsid w:val="002620A1"/>
    <w:rsid w:val="002715DE"/>
    <w:rsid w:val="00272059"/>
    <w:rsid w:val="00273472"/>
    <w:rsid w:val="00280ADE"/>
    <w:rsid w:val="00285227"/>
    <w:rsid w:val="002958FA"/>
    <w:rsid w:val="00296DB7"/>
    <w:rsid w:val="00297D1B"/>
    <w:rsid w:val="002A0292"/>
    <w:rsid w:val="002A06B4"/>
    <w:rsid w:val="002A3738"/>
    <w:rsid w:val="002B014C"/>
    <w:rsid w:val="002B3147"/>
    <w:rsid w:val="002B5B93"/>
    <w:rsid w:val="002C352C"/>
    <w:rsid w:val="002C419E"/>
    <w:rsid w:val="002C656A"/>
    <w:rsid w:val="002D00DD"/>
    <w:rsid w:val="002D4100"/>
    <w:rsid w:val="002D4984"/>
    <w:rsid w:val="002E2B21"/>
    <w:rsid w:val="002E47D9"/>
    <w:rsid w:val="002F1D2E"/>
    <w:rsid w:val="00300486"/>
    <w:rsid w:val="00304E7B"/>
    <w:rsid w:val="00305005"/>
    <w:rsid w:val="0030507F"/>
    <w:rsid w:val="00305170"/>
    <w:rsid w:val="00332711"/>
    <w:rsid w:val="003446F6"/>
    <w:rsid w:val="0035791B"/>
    <w:rsid w:val="00360270"/>
    <w:rsid w:val="00363EFC"/>
    <w:rsid w:val="00371915"/>
    <w:rsid w:val="0037322C"/>
    <w:rsid w:val="00377F65"/>
    <w:rsid w:val="003906F7"/>
    <w:rsid w:val="0039556E"/>
    <w:rsid w:val="003A16AA"/>
    <w:rsid w:val="003C34C3"/>
    <w:rsid w:val="003C5DA7"/>
    <w:rsid w:val="003C6325"/>
    <w:rsid w:val="003D1170"/>
    <w:rsid w:val="003D5000"/>
    <w:rsid w:val="003D580A"/>
    <w:rsid w:val="003D5A01"/>
    <w:rsid w:val="003E3FE3"/>
    <w:rsid w:val="003F2AB3"/>
    <w:rsid w:val="003F38AB"/>
    <w:rsid w:val="00401EF6"/>
    <w:rsid w:val="004103DD"/>
    <w:rsid w:val="00411C39"/>
    <w:rsid w:val="004173C6"/>
    <w:rsid w:val="00426249"/>
    <w:rsid w:val="0042778B"/>
    <w:rsid w:val="00432A9C"/>
    <w:rsid w:val="004362BF"/>
    <w:rsid w:val="00441F2E"/>
    <w:rsid w:val="00445C6D"/>
    <w:rsid w:val="00451B07"/>
    <w:rsid w:val="00452E51"/>
    <w:rsid w:val="004543EC"/>
    <w:rsid w:val="00454545"/>
    <w:rsid w:val="00470292"/>
    <w:rsid w:val="004749DB"/>
    <w:rsid w:val="004830B1"/>
    <w:rsid w:val="00487575"/>
    <w:rsid w:val="00490BD9"/>
    <w:rsid w:val="0049315B"/>
    <w:rsid w:val="0049591F"/>
    <w:rsid w:val="00497936"/>
    <w:rsid w:val="004A19A5"/>
    <w:rsid w:val="004B3F6C"/>
    <w:rsid w:val="004C01E5"/>
    <w:rsid w:val="004C4349"/>
    <w:rsid w:val="004D03A5"/>
    <w:rsid w:val="004D1DC0"/>
    <w:rsid w:val="004D2A43"/>
    <w:rsid w:val="004D595C"/>
    <w:rsid w:val="004E6A0F"/>
    <w:rsid w:val="004F0478"/>
    <w:rsid w:val="004F36A5"/>
    <w:rsid w:val="004F6A12"/>
    <w:rsid w:val="00510810"/>
    <w:rsid w:val="00514CDA"/>
    <w:rsid w:val="0052071F"/>
    <w:rsid w:val="0052341D"/>
    <w:rsid w:val="00527CFC"/>
    <w:rsid w:val="005367E8"/>
    <w:rsid w:val="005369DE"/>
    <w:rsid w:val="00542D83"/>
    <w:rsid w:val="0054642A"/>
    <w:rsid w:val="00551EE9"/>
    <w:rsid w:val="00562C86"/>
    <w:rsid w:val="00563310"/>
    <w:rsid w:val="00576F46"/>
    <w:rsid w:val="005800A3"/>
    <w:rsid w:val="0058084A"/>
    <w:rsid w:val="0058341A"/>
    <w:rsid w:val="00585471"/>
    <w:rsid w:val="00586629"/>
    <w:rsid w:val="005908D9"/>
    <w:rsid w:val="005952DC"/>
    <w:rsid w:val="0059758D"/>
    <w:rsid w:val="005977AA"/>
    <w:rsid w:val="005A0937"/>
    <w:rsid w:val="005A1906"/>
    <w:rsid w:val="005B0F91"/>
    <w:rsid w:val="005B6092"/>
    <w:rsid w:val="005C229A"/>
    <w:rsid w:val="005D1BA7"/>
    <w:rsid w:val="005D334C"/>
    <w:rsid w:val="005D3606"/>
    <w:rsid w:val="005D5280"/>
    <w:rsid w:val="005D64DA"/>
    <w:rsid w:val="005E2C43"/>
    <w:rsid w:val="005F1D68"/>
    <w:rsid w:val="006002EB"/>
    <w:rsid w:val="0060554C"/>
    <w:rsid w:val="00606955"/>
    <w:rsid w:val="0060704D"/>
    <w:rsid w:val="00617761"/>
    <w:rsid w:val="00620B97"/>
    <w:rsid w:val="0062422E"/>
    <w:rsid w:val="006271C3"/>
    <w:rsid w:val="0063313C"/>
    <w:rsid w:val="00633DCA"/>
    <w:rsid w:val="0063684A"/>
    <w:rsid w:val="00640D48"/>
    <w:rsid w:val="00651BE6"/>
    <w:rsid w:val="006524BC"/>
    <w:rsid w:val="0065344F"/>
    <w:rsid w:val="006628FB"/>
    <w:rsid w:val="006759EA"/>
    <w:rsid w:val="00675FCE"/>
    <w:rsid w:val="0067702F"/>
    <w:rsid w:val="00682B2A"/>
    <w:rsid w:val="006866A0"/>
    <w:rsid w:val="006929BE"/>
    <w:rsid w:val="006955AD"/>
    <w:rsid w:val="00697CAE"/>
    <w:rsid w:val="006A3C69"/>
    <w:rsid w:val="006A7B23"/>
    <w:rsid w:val="006A7C81"/>
    <w:rsid w:val="006B6D6B"/>
    <w:rsid w:val="006C50C3"/>
    <w:rsid w:val="006C6EE1"/>
    <w:rsid w:val="006D186D"/>
    <w:rsid w:val="006D310F"/>
    <w:rsid w:val="006D5129"/>
    <w:rsid w:val="006E0483"/>
    <w:rsid w:val="006E0573"/>
    <w:rsid w:val="006E0EF5"/>
    <w:rsid w:val="006E66C4"/>
    <w:rsid w:val="006E6793"/>
    <w:rsid w:val="006E6FBE"/>
    <w:rsid w:val="006F17B2"/>
    <w:rsid w:val="006F5B49"/>
    <w:rsid w:val="00700448"/>
    <w:rsid w:val="00700980"/>
    <w:rsid w:val="007018A5"/>
    <w:rsid w:val="00710ED7"/>
    <w:rsid w:val="00716F1C"/>
    <w:rsid w:val="00721001"/>
    <w:rsid w:val="007257EC"/>
    <w:rsid w:val="00726BCA"/>
    <w:rsid w:val="00737613"/>
    <w:rsid w:val="00746BBD"/>
    <w:rsid w:val="00760D69"/>
    <w:rsid w:val="0076277E"/>
    <w:rsid w:val="00762793"/>
    <w:rsid w:val="0076472D"/>
    <w:rsid w:val="0077542D"/>
    <w:rsid w:val="007779B7"/>
    <w:rsid w:val="00781742"/>
    <w:rsid w:val="00785A8C"/>
    <w:rsid w:val="00785C33"/>
    <w:rsid w:val="00792105"/>
    <w:rsid w:val="007A0C6D"/>
    <w:rsid w:val="007A10BE"/>
    <w:rsid w:val="007A44C0"/>
    <w:rsid w:val="007B0047"/>
    <w:rsid w:val="007B00AD"/>
    <w:rsid w:val="007B398C"/>
    <w:rsid w:val="007B5FBA"/>
    <w:rsid w:val="007B7366"/>
    <w:rsid w:val="007C4933"/>
    <w:rsid w:val="007C7B7D"/>
    <w:rsid w:val="007E2DB0"/>
    <w:rsid w:val="007E70EB"/>
    <w:rsid w:val="007E7A63"/>
    <w:rsid w:val="007F1F1E"/>
    <w:rsid w:val="007F6957"/>
    <w:rsid w:val="0080088E"/>
    <w:rsid w:val="00802842"/>
    <w:rsid w:val="00806708"/>
    <w:rsid w:val="00815760"/>
    <w:rsid w:val="0082260E"/>
    <w:rsid w:val="00824FC3"/>
    <w:rsid w:val="00825299"/>
    <w:rsid w:val="00852433"/>
    <w:rsid w:val="0086261E"/>
    <w:rsid w:val="00864A04"/>
    <w:rsid w:val="00867ED1"/>
    <w:rsid w:val="00872F1D"/>
    <w:rsid w:val="00877032"/>
    <w:rsid w:val="00881240"/>
    <w:rsid w:val="00882895"/>
    <w:rsid w:val="00884DDE"/>
    <w:rsid w:val="0088631B"/>
    <w:rsid w:val="008869A1"/>
    <w:rsid w:val="008879F3"/>
    <w:rsid w:val="00890732"/>
    <w:rsid w:val="00894787"/>
    <w:rsid w:val="008B2C2A"/>
    <w:rsid w:val="008B3215"/>
    <w:rsid w:val="008B3D10"/>
    <w:rsid w:val="008B4A04"/>
    <w:rsid w:val="008B5F52"/>
    <w:rsid w:val="008C25ED"/>
    <w:rsid w:val="008D081E"/>
    <w:rsid w:val="008D7A56"/>
    <w:rsid w:val="008E165B"/>
    <w:rsid w:val="008E5FA1"/>
    <w:rsid w:val="008F235E"/>
    <w:rsid w:val="008F6BD4"/>
    <w:rsid w:val="008F6CF2"/>
    <w:rsid w:val="008F7747"/>
    <w:rsid w:val="009042D7"/>
    <w:rsid w:val="00913AD8"/>
    <w:rsid w:val="0091424F"/>
    <w:rsid w:val="0092125F"/>
    <w:rsid w:val="00923460"/>
    <w:rsid w:val="00924D9E"/>
    <w:rsid w:val="009337B0"/>
    <w:rsid w:val="00940299"/>
    <w:rsid w:val="0094110C"/>
    <w:rsid w:val="00960F51"/>
    <w:rsid w:val="00964D49"/>
    <w:rsid w:val="00974AD2"/>
    <w:rsid w:val="00981240"/>
    <w:rsid w:val="00983E21"/>
    <w:rsid w:val="0099336C"/>
    <w:rsid w:val="0099445E"/>
    <w:rsid w:val="00996E2C"/>
    <w:rsid w:val="009A09F6"/>
    <w:rsid w:val="009A0F9E"/>
    <w:rsid w:val="009A2F74"/>
    <w:rsid w:val="009A486A"/>
    <w:rsid w:val="009A7ED0"/>
    <w:rsid w:val="009B0DD1"/>
    <w:rsid w:val="009B189E"/>
    <w:rsid w:val="009B410F"/>
    <w:rsid w:val="009D4B73"/>
    <w:rsid w:val="009D4C07"/>
    <w:rsid w:val="009F1850"/>
    <w:rsid w:val="009F462B"/>
    <w:rsid w:val="00A01988"/>
    <w:rsid w:val="00A0649A"/>
    <w:rsid w:val="00A1441A"/>
    <w:rsid w:val="00A152C1"/>
    <w:rsid w:val="00A25D74"/>
    <w:rsid w:val="00A32932"/>
    <w:rsid w:val="00A3692C"/>
    <w:rsid w:val="00A54A20"/>
    <w:rsid w:val="00A57FF2"/>
    <w:rsid w:val="00A64A1F"/>
    <w:rsid w:val="00A75EF6"/>
    <w:rsid w:val="00A829A3"/>
    <w:rsid w:val="00A9312D"/>
    <w:rsid w:val="00A932A4"/>
    <w:rsid w:val="00A961D5"/>
    <w:rsid w:val="00A97491"/>
    <w:rsid w:val="00AA17AD"/>
    <w:rsid w:val="00AA51B9"/>
    <w:rsid w:val="00AA591D"/>
    <w:rsid w:val="00AA6D0F"/>
    <w:rsid w:val="00AB265F"/>
    <w:rsid w:val="00AB2DFA"/>
    <w:rsid w:val="00AB340B"/>
    <w:rsid w:val="00AB7B1E"/>
    <w:rsid w:val="00AC0D68"/>
    <w:rsid w:val="00AD2341"/>
    <w:rsid w:val="00AE6E52"/>
    <w:rsid w:val="00AF0CF3"/>
    <w:rsid w:val="00AF278F"/>
    <w:rsid w:val="00AF3370"/>
    <w:rsid w:val="00B0085F"/>
    <w:rsid w:val="00B01A12"/>
    <w:rsid w:val="00B07643"/>
    <w:rsid w:val="00B0781E"/>
    <w:rsid w:val="00B24152"/>
    <w:rsid w:val="00B31511"/>
    <w:rsid w:val="00B32A8E"/>
    <w:rsid w:val="00B338A0"/>
    <w:rsid w:val="00B44473"/>
    <w:rsid w:val="00B61503"/>
    <w:rsid w:val="00B66657"/>
    <w:rsid w:val="00B769A5"/>
    <w:rsid w:val="00B80080"/>
    <w:rsid w:val="00B80776"/>
    <w:rsid w:val="00B83382"/>
    <w:rsid w:val="00B8476C"/>
    <w:rsid w:val="00B86D2A"/>
    <w:rsid w:val="00B967BC"/>
    <w:rsid w:val="00B97C04"/>
    <w:rsid w:val="00BA0F1F"/>
    <w:rsid w:val="00BA63A1"/>
    <w:rsid w:val="00BA6E3B"/>
    <w:rsid w:val="00BC0865"/>
    <w:rsid w:val="00BC5FA0"/>
    <w:rsid w:val="00BC758E"/>
    <w:rsid w:val="00BD2F3F"/>
    <w:rsid w:val="00BE6EC8"/>
    <w:rsid w:val="00BF1742"/>
    <w:rsid w:val="00BF2F7F"/>
    <w:rsid w:val="00BF4407"/>
    <w:rsid w:val="00C00A0C"/>
    <w:rsid w:val="00C12141"/>
    <w:rsid w:val="00C13C15"/>
    <w:rsid w:val="00C171A8"/>
    <w:rsid w:val="00C30ECF"/>
    <w:rsid w:val="00C472B5"/>
    <w:rsid w:val="00C6395D"/>
    <w:rsid w:val="00C67DEE"/>
    <w:rsid w:val="00C71583"/>
    <w:rsid w:val="00C74D21"/>
    <w:rsid w:val="00C83D5C"/>
    <w:rsid w:val="00C8453B"/>
    <w:rsid w:val="00C86F78"/>
    <w:rsid w:val="00C8719E"/>
    <w:rsid w:val="00C87CD9"/>
    <w:rsid w:val="00C902B7"/>
    <w:rsid w:val="00C90C43"/>
    <w:rsid w:val="00C9127F"/>
    <w:rsid w:val="00C9248B"/>
    <w:rsid w:val="00C94F87"/>
    <w:rsid w:val="00CA0EF9"/>
    <w:rsid w:val="00CA53F3"/>
    <w:rsid w:val="00CA6D22"/>
    <w:rsid w:val="00CB3B69"/>
    <w:rsid w:val="00CC48C4"/>
    <w:rsid w:val="00CC4992"/>
    <w:rsid w:val="00CD1DA5"/>
    <w:rsid w:val="00CD5979"/>
    <w:rsid w:val="00CE27B1"/>
    <w:rsid w:val="00CE4894"/>
    <w:rsid w:val="00CE7A8B"/>
    <w:rsid w:val="00CF2B30"/>
    <w:rsid w:val="00CF4489"/>
    <w:rsid w:val="00CF6A2D"/>
    <w:rsid w:val="00CF7691"/>
    <w:rsid w:val="00D0584C"/>
    <w:rsid w:val="00D164FE"/>
    <w:rsid w:val="00D17327"/>
    <w:rsid w:val="00D2134B"/>
    <w:rsid w:val="00D31860"/>
    <w:rsid w:val="00D33C09"/>
    <w:rsid w:val="00D3635F"/>
    <w:rsid w:val="00D474EE"/>
    <w:rsid w:val="00D51364"/>
    <w:rsid w:val="00D518C6"/>
    <w:rsid w:val="00D52A38"/>
    <w:rsid w:val="00D63DA8"/>
    <w:rsid w:val="00D64AAB"/>
    <w:rsid w:val="00D65644"/>
    <w:rsid w:val="00D7441F"/>
    <w:rsid w:val="00D76746"/>
    <w:rsid w:val="00D8582D"/>
    <w:rsid w:val="00D900E0"/>
    <w:rsid w:val="00D92845"/>
    <w:rsid w:val="00D96DEE"/>
    <w:rsid w:val="00DA0200"/>
    <w:rsid w:val="00DA04BA"/>
    <w:rsid w:val="00DA3D3A"/>
    <w:rsid w:val="00DA5235"/>
    <w:rsid w:val="00DA735D"/>
    <w:rsid w:val="00DB2426"/>
    <w:rsid w:val="00DE3AB2"/>
    <w:rsid w:val="00DF01FA"/>
    <w:rsid w:val="00DF1198"/>
    <w:rsid w:val="00DF4FCA"/>
    <w:rsid w:val="00E10BE6"/>
    <w:rsid w:val="00E40937"/>
    <w:rsid w:val="00E55062"/>
    <w:rsid w:val="00E67EB7"/>
    <w:rsid w:val="00E74CBC"/>
    <w:rsid w:val="00E84258"/>
    <w:rsid w:val="00E8522B"/>
    <w:rsid w:val="00E93B47"/>
    <w:rsid w:val="00E94152"/>
    <w:rsid w:val="00EA2253"/>
    <w:rsid w:val="00EA5F2C"/>
    <w:rsid w:val="00EB1101"/>
    <w:rsid w:val="00EB3746"/>
    <w:rsid w:val="00EB46E7"/>
    <w:rsid w:val="00EC339C"/>
    <w:rsid w:val="00EC75FD"/>
    <w:rsid w:val="00ED56D4"/>
    <w:rsid w:val="00EE149D"/>
    <w:rsid w:val="00EF2B70"/>
    <w:rsid w:val="00EF7C1C"/>
    <w:rsid w:val="00F006FF"/>
    <w:rsid w:val="00F03C98"/>
    <w:rsid w:val="00F03D0D"/>
    <w:rsid w:val="00F0484E"/>
    <w:rsid w:val="00F07C9C"/>
    <w:rsid w:val="00F1322A"/>
    <w:rsid w:val="00F22065"/>
    <w:rsid w:val="00F25350"/>
    <w:rsid w:val="00F353FC"/>
    <w:rsid w:val="00F504EC"/>
    <w:rsid w:val="00F61551"/>
    <w:rsid w:val="00F65D76"/>
    <w:rsid w:val="00F70947"/>
    <w:rsid w:val="00F71987"/>
    <w:rsid w:val="00F72A96"/>
    <w:rsid w:val="00F7750C"/>
    <w:rsid w:val="00F80561"/>
    <w:rsid w:val="00F85909"/>
    <w:rsid w:val="00F86159"/>
    <w:rsid w:val="00FA41E1"/>
    <w:rsid w:val="00FA5590"/>
    <w:rsid w:val="00FA5D3B"/>
    <w:rsid w:val="00FB2240"/>
    <w:rsid w:val="00FB5F21"/>
    <w:rsid w:val="00FB6000"/>
    <w:rsid w:val="00FB633A"/>
    <w:rsid w:val="00FB6F53"/>
    <w:rsid w:val="00FC7E6A"/>
    <w:rsid w:val="00FE3B47"/>
    <w:rsid w:val="00FE5927"/>
    <w:rsid w:val="00FF1181"/>
    <w:rsid w:val="00FF6282"/>
    <w:rsid w:val="1E680229"/>
    <w:rsid w:val="708D7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D8A7"/>
  <w15:docId w15:val="{D1A18025-04B0-489B-8A79-1734D1AC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Diplomka"/>
    <w:basedOn w:val="Normln"/>
    <w:next w:val="Normln"/>
    <w:link w:val="Nadpis1Char"/>
    <w:uiPriority w:val="9"/>
    <w:qFormat/>
    <w:rsid w:val="0094110C"/>
    <w:pPr>
      <w:keepNext/>
      <w:keepLines/>
      <w:numPr>
        <w:numId w:val="3"/>
      </w:numPr>
      <w:spacing w:before="160" w:line="360" w:lineRule="auto"/>
      <w:ind w:left="431" w:hanging="431"/>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D33C09"/>
    <w:pPr>
      <w:keepNext/>
      <w:keepLines/>
      <w:numPr>
        <w:ilvl w:val="1"/>
        <w:numId w:val="3"/>
      </w:numPr>
      <w:spacing w:before="160" w:line="360" w:lineRule="auto"/>
      <w:ind w:left="578" w:hanging="578"/>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D33C09"/>
    <w:pPr>
      <w:keepNext/>
      <w:keepLines/>
      <w:numPr>
        <w:ilvl w:val="2"/>
        <w:numId w:val="3"/>
      </w:numPr>
      <w:spacing w:before="160" w:line="360" w:lineRule="auto"/>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FE3B4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E3B4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E3B4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E3B4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E3B4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E3B4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iplomka Char"/>
    <w:basedOn w:val="Standardnpsmoodstavce"/>
    <w:link w:val="Nadpis1"/>
    <w:uiPriority w:val="9"/>
    <w:rsid w:val="0094110C"/>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D33C09"/>
    <w:rPr>
      <w:rFonts w:ascii="Times New Roman" w:eastAsiaTheme="majorEastAsia" w:hAnsi="Times New Roman" w:cstheme="majorBidi"/>
      <w:b/>
      <w:sz w:val="28"/>
      <w:szCs w:val="26"/>
    </w:rPr>
  </w:style>
  <w:style w:type="paragraph" w:styleId="Odstavecseseznamem">
    <w:name w:val="List Paragraph"/>
    <w:basedOn w:val="Normln"/>
    <w:uiPriority w:val="34"/>
    <w:qFormat/>
    <w:rsid w:val="00FE3B47"/>
    <w:pPr>
      <w:ind w:left="720"/>
      <w:contextualSpacing/>
    </w:pPr>
  </w:style>
  <w:style w:type="character" w:customStyle="1" w:styleId="Nadpis3Char">
    <w:name w:val="Nadpis 3 Char"/>
    <w:basedOn w:val="Standardnpsmoodstavce"/>
    <w:link w:val="Nadpis3"/>
    <w:uiPriority w:val="9"/>
    <w:rsid w:val="00D33C09"/>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FE3B47"/>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E3B47"/>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E3B47"/>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E3B47"/>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E3B4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E3B47"/>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unhideWhenUsed/>
    <w:rsid w:val="00B8077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80776"/>
    <w:rPr>
      <w:sz w:val="20"/>
      <w:szCs w:val="20"/>
    </w:rPr>
  </w:style>
  <w:style w:type="character" w:styleId="Znakapoznpodarou">
    <w:name w:val="footnote reference"/>
    <w:basedOn w:val="Standardnpsmoodstavce"/>
    <w:uiPriority w:val="99"/>
    <w:semiHidden/>
    <w:unhideWhenUsed/>
    <w:rsid w:val="00B80776"/>
    <w:rPr>
      <w:vertAlign w:val="superscript"/>
    </w:rPr>
  </w:style>
  <w:style w:type="paragraph" w:styleId="Zhlav">
    <w:name w:val="header"/>
    <w:basedOn w:val="Normln"/>
    <w:link w:val="ZhlavChar"/>
    <w:uiPriority w:val="99"/>
    <w:unhideWhenUsed/>
    <w:rsid w:val="008626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261E"/>
  </w:style>
  <w:style w:type="paragraph" w:styleId="Zpat">
    <w:name w:val="footer"/>
    <w:basedOn w:val="Normln"/>
    <w:link w:val="ZpatChar"/>
    <w:uiPriority w:val="99"/>
    <w:unhideWhenUsed/>
    <w:rsid w:val="0086261E"/>
    <w:pPr>
      <w:tabs>
        <w:tab w:val="center" w:pos="4536"/>
        <w:tab w:val="right" w:pos="9072"/>
      </w:tabs>
      <w:spacing w:after="0" w:line="240" w:lineRule="auto"/>
    </w:pPr>
  </w:style>
  <w:style w:type="character" w:customStyle="1" w:styleId="ZpatChar">
    <w:name w:val="Zápatí Char"/>
    <w:basedOn w:val="Standardnpsmoodstavce"/>
    <w:link w:val="Zpat"/>
    <w:uiPriority w:val="99"/>
    <w:rsid w:val="0086261E"/>
  </w:style>
  <w:style w:type="character" w:styleId="Hypertextovodkaz">
    <w:name w:val="Hyperlink"/>
    <w:basedOn w:val="Standardnpsmoodstavce"/>
    <w:uiPriority w:val="99"/>
    <w:unhideWhenUsed/>
    <w:rsid w:val="005367E8"/>
    <w:rPr>
      <w:color w:val="0563C1" w:themeColor="hyperlink"/>
      <w:u w:val="single"/>
    </w:rPr>
  </w:style>
  <w:style w:type="character" w:customStyle="1" w:styleId="Nevyeenzmnka1">
    <w:name w:val="Nevyřešená zmínka1"/>
    <w:basedOn w:val="Standardnpsmoodstavce"/>
    <w:uiPriority w:val="99"/>
    <w:semiHidden/>
    <w:unhideWhenUsed/>
    <w:rsid w:val="005367E8"/>
    <w:rPr>
      <w:color w:val="808080"/>
      <w:shd w:val="clear" w:color="auto" w:fill="E6E6E6"/>
    </w:rPr>
  </w:style>
  <w:style w:type="character" w:styleId="Odkaznakoment">
    <w:name w:val="annotation reference"/>
    <w:basedOn w:val="Standardnpsmoodstavce"/>
    <w:uiPriority w:val="99"/>
    <w:semiHidden/>
    <w:unhideWhenUsed/>
    <w:rsid w:val="00CF2B30"/>
    <w:rPr>
      <w:sz w:val="16"/>
      <w:szCs w:val="16"/>
    </w:rPr>
  </w:style>
  <w:style w:type="paragraph" w:styleId="Textkomente">
    <w:name w:val="annotation text"/>
    <w:basedOn w:val="Normln"/>
    <w:link w:val="TextkomenteChar"/>
    <w:uiPriority w:val="99"/>
    <w:semiHidden/>
    <w:unhideWhenUsed/>
    <w:rsid w:val="00CF2B30"/>
    <w:pPr>
      <w:spacing w:line="240" w:lineRule="auto"/>
    </w:pPr>
    <w:rPr>
      <w:sz w:val="20"/>
      <w:szCs w:val="20"/>
    </w:rPr>
  </w:style>
  <w:style w:type="character" w:customStyle="1" w:styleId="TextkomenteChar">
    <w:name w:val="Text komentáře Char"/>
    <w:basedOn w:val="Standardnpsmoodstavce"/>
    <w:link w:val="Textkomente"/>
    <w:uiPriority w:val="99"/>
    <w:semiHidden/>
    <w:rsid w:val="00CF2B30"/>
    <w:rPr>
      <w:sz w:val="20"/>
      <w:szCs w:val="20"/>
    </w:rPr>
  </w:style>
  <w:style w:type="paragraph" w:styleId="Pedmtkomente">
    <w:name w:val="annotation subject"/>
    <w:basedOn w:val="Textkomente"/>
    <w:next w:val="Textkomente"/>
    <w:link w:val="PedmtkomenteChar"/>
    <w:uiPriority w:val="99"/>
    <w:semiHidden/>
    <w:unhideWhenUsed/>
    <w:rsid w:val="00CF2B30"/>
    <w:rPr>
      <w:b/>
      <w:bCs/>
    </w:rPr>
  </w:style>
  <w:style w:type="character" w:customStyle="1" w:styleId="PedmtkomenteChar">
    <w:name w:val="Předmět komentáře Char"/>
    <w:basedOn w:val="TextkomenteChar"/>
    <w:link w:val="Pedmtkomente"/>
    <w:uiPriority w:val="99"/>
    <w:semiHidden/>
    <w:rsid w:val="00CF2B30"/>
    <w:rPr>
      <w:b/>
      <w:bCs/>
      <w:sz w:val="20"/>
      <w:szCs w:val="20"/>
    </w:rPr>
  </w:style>
  <w:style w:type="paragraph" w:styleId="Textbubliny">
    <w:name w:val="Balloon Text"/>
    <w:basedOn w:val="Normln"/>
    <w:link w:val="TextbublinyChar"/>
    <w:uiPriority w:val="99"/>
    <w:semiHidden/>
    <w:unhideWhenUsed/>
    <w:rsid w:val="00CF2B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B30"/>
    <w:rPr>
      <w:rFonts w:ascii="Tahoma" w:hAnsi="Tahoma" w:cs="Tahoma"/>
      <w:sz w:val="16"/>
      <w:szCs w:val="16"/>
    </w:rPr>
  </w:style>
  <w:style w:type="character" w:styleId="Nevyeenzmnka">
    <w:name w:val="Unresolved Mention"/>
    <w:basedOn w:val="Standardnpsmoodstavce"/>
    <w:uiPriority w:val="99"/>
    <w:semiHidden/>
    <w:unhideWhenUsed/>
    <w:rsid w:val="002C656A"/>
    <w:rPr>
      <w:color w:val="808080"/>
      <w:shd w:val="clear" w:color="auto" w:fill="E6E6E6"/>
    </w:rPr>
  </w:style>
  <w:style w:type="character" w:styleId="Sledovanodkaz">
    <w:name w:val="FollowedHyperlink"/>
    <w:basedOn w:val="Standardnpsmoodstavce"/>
    <w:uiPriority w:val="99"/>
    <w:semiHidden/>
    <w:unhideWhenUsed/>
    <w:rsid w:val="00700448"/>
    <w:rPr>
      <w:color w:val="954F72" w:themeColor="followedHyperlink"/>
      <w:u w:val="single"/>
    </w:rPr>
  </w:style>
  <w:style w:type="paragraph" w:styleId="Nadpisobsahu">
    <w:name w:val="TOC Heading"/>
    <w:basedOn w:val="Nadpis1"/>
    <w:next w:val="Normln"/>
    <w:uiPriority w:val="39"/>
    <w:unhideWhenUsed/>
    <w:qFormat/>
    <w:rsid w:val="00FA5590"/>
    <w:pPr>
      <w:numPr>
        <w:numId w:val="0"/>
      </w:numPr>
      <w:spacing w:before="240" w:line="259" w:lineRule="auto"/>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FA5590"/>
    <w:pPr>
      <w:spacing w:after="100"/>
    </w:pPr>
  </w:style>
  <w:style w:type="paragraph" w:styleId="Obsah2">
    <w:name w:val="toc 2"/>
    <w:basedOn w:val="Normln"/>
    <w:next w:val="Normln"/>
    <w:autoRedefine/>
    <w:uiPriority w:val="39"/>
    <w:unhideWhenUsed/>
    <w:rsid w:val="00AF0CF3"/>
    <w:pPr>
      <w:tabs>
        <w:tab w:val="left" w:pos="880"/>
        <w:tab w:val="right" w:leader="dot" w:pos="9061"/>
      </w:tabs>
      <w:spacing w:after="100"/>
      <w:ind w:left="220"/>
    </w:pPr>
    <w:rPr>
      <w:rFonts w:ascii="Times New Roman" w:hAnsi="Times New Roman" w:cs="Times New Roman"/>
      <w:noProof/>
      <w:sz w:val="24"/>
    </w:rPr>
  </w:style>
  <w:style w:type="paragraph" w:styleId="Obsah3">
    <w:name w:val="toc 3"/>
    <w:basedOn w:val="Normln"/>
    <w:next w:val="Normln"/>
    <w:autoRedefine/>
    <w:uiPriority w:val="39"/>
    <w:unhideWhenUsed/>
    <w:rsid w:val="00FA5590"/>
    <w:pPr>
      <w:spacing w:after="100"/>
      <w:ind w:left="440"/>
    </w:pPr>
  </w:style>
  <w:style w:type="table" w:styleId="Mkatabulky">
    <w:name w:val="Table Grid"/>
    <w:basedOn w:val="Normlntabulka"/>
    <w:uiPriority w:val="39"/>
    <w:rsid w:val="00FA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318">
      <w:bodyDiv w:val="1"/>
      <w:marLeft w:val="0"/>
      <w:marRight w:val="0"/>
      <w:marTop w:val="0"/>
      <w:marBottom w:val="0"/>
      <w:divBdr>
        <w:top w:val="none" w:sz="0" w:space="0" w:color="auto"/>
        <w:left w:val="none" w:sz="0" w:space="0" w:color="auto"/>
        <w:bottom w:val="none" w:sz="0" w:space="0" w:color="auto"/>
        <w:right w:val="none" w:sz="0" w:space="0" w:color="auto"/>
      </w:divBdr>
    </w:div>
    <w:div w:id="1402020597">
      <w:bodyDiv w:val="1"/>
      <w:marLeft w:val="0"/>
      <w:marRight w:val="0"/>
      <w:marTop w:val="0"/>
      <w:marBottom w:val="0"/>
      <w:divBdr>
        <w:top w:val="none" w:sz="0" w:space="0" w:color="auto"/>
        <w:left w:val="none" w:sz="0" w:space="0" w:color="auto"/>
        <w:bottom w:val="none" w:sz="0" w:space="0" w:color="auto"/>
        <w:right w:val="none" w:sz="0" w:space="0" w:color="auto"/>
      </w:divBdr>
      <w:divsChild>
        <w:div w:id="475490971">
          <w:marLeft w:val="0"/>
          <w:marRight w:val="0"/>
          <w:marTop w:val="0"/>
          <w:marBottom w:val="0"/>
          <w:divBdr>
            <w:top w:val="none" w:sz="0" w:space="0" w:color="auto"/>
            <w:left w:val="none" w:sz="0" w:space="0" w:color="auto"/>
            <w:bottom w:val="none" w:sz="0" w:space="0" w:color="auto"/>
            <w:right w:val="none" w:sz="0" w:space="0" w:color="auto"/>
          </w:divBdr>
          <w:divsChild>
            <w:div w:id="1976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th/faz5e/Evropska_umluva_o_lidskych_pravech_a_doktrina_margin_of_appreciation.pdf?so=nx" TargetMode="External"/><Relationship Id="rId13" Type="http://schemas.openxmlformats.org/officeDocument/2006/relationships/hyperlink" Target="https://www.euronews.com/2018/08/08/where-in-europe-is-the-islamic-full-face-veil-banned-" TargetMode="External"/><Relationship Id="rId18" Type="http://schemas.openxmlformats.org/officeDocument/2006/relationships/hyperlink" Target="https://www.telegraph.co.uk/travel/maps-and-graphics/most-religious-countries-in-the-worl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skenoviny.cz/index_img.php?id=402718" TargetMode="External"/><Relationship Id="rId17" Type="http://schemas.openxmlformats.org/officeDocument/2006/relationships/hyperlink" Target="https://www.worldatlas.com/articles/the-religious-demographics-of-italy.html" TargetMode="External"/><Relationship Id="rId2" Type="http://schemas.openxmlformats.org/officeDocument/2006/relationships/numbering" Target="numbering.xml"/><Relationship Id="rId16" Type="http://schemas.openxmlformats.org/officeDocument/2006/relationships/hyperlink" Target="https://www.worldatlas.com/articles/predominant-religious-beliefs-in-polan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ocietyfoundations.org/voices/case-watch-victory-europe-muslim-women-s-right-wear-headscarf" TargetMode="External"/><Relationship Id="rId5" Type="http://schemas.openxmlformats.org/officeDocument/2006/relationships/webSettings" Target="webSettings.xml"/><Relationship Id="rId15" Type="http://schemas.openxmlformats.org/officeDocument/2006/relationships/hyperlink" Target="https://www.telegraph.co.uk/women/life/burka-bans-the-countries-where-muslim-women-cant-wear-veils" TargetMode="External"/><Relationship Id="rId10" Type="http://schemas.openxmlformats.org/officeDocument/2006/relationships/hyperlink" Target="https://www.ejiltalk.org/sas-v-france-does-anything-remain-of-the-right-to-manifest-religion/" TargetMode="External"/><Relationship Id="rId19" Type="http://schemas.openxmlformats.org/officeDocument/2006/relationships/hyperlink" Target="https://www.vlada.cz/cz/ppov/rlp/dokumenty/zpravy-plneni-mezin-umluv/mezinarodni-pakt-o-obcanskych-a-politickych-pravech-19851/" TargetMode="External"/><Relationship Id="rId4" Type="http://schemas.openxmlformats.org/officeDocument/2006/relationships/settings" Target="settings.xml"/><Relationship Id="rId9" Type="http://schemas.openxmlformats.org/officeDocument/2006/relationships/hyperlink" Target="http://jinepravo.blogspot.com/2017/03/zakaz-noseni-nabozenskych-symbolu-na.html" TargetMode="External"/><Relationship Id="rId14" Type="http://schemas.openxmlformats.org/officeDocument/2006/relationships/hyperlink" Target="https://www.opensocietyfoundations.org/sites/default/files/echr-reform-margin-of-appreciatio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inepravo.blogspot.com/2017/03/zakaz-noseni-nabozenskych-symbolu-na.html" TargetMode="External"/><Relationship Id="rId13" Type="http://schemas.openxmlformats.org/officeDocument/2006/relationships/hyperlink" Target="https://is.muni.cz/th/faz5e/Evropska_umluva_o_lidskych_pravech_a_doktrina_margin_of_appreciation.pdf?so=nx" TargetMode="External"/><Relationship Id="rId3" Type="http://schemas.openxmlformats.org/officeDocument/2006/relationships/hyperlink" Target="https://www.vlada.cz/cz/ppov/rlp/dokumenty/zpravy-plneni-mezin-umluv/mezinarodni-pakt-o-obcanskych-a-politickych-pravech-19851/" TargetMode="External"/><Relationship Id="rId7" Type="http://schemas.openxmlformats.org/officeDocument/2006/relationships/hyperlink" Target="https://www.opensocietyfoundations.org/voices/case-watch-victory-europe-muslim-women-s-right-wear-headscarf" TargetMode="External"/><Relationship Id="rId12" Type="http://schemas.openxmlformats.org/officeDocument/2006/relationships/hyperlink" Target="https://www.opensocietyfoundations.org/sites/default/files/echr-reform-margin-of-appreciation.pdf" TargetMode="External"/><Relationship Id="rId2" Type="http://schemas.openxmlformats.org/officeDocument/2006/relationships/hyperlink" Target="https://childrenandarmedconflict.un.org/keydocuments/czech/universaldeclara1.html" TargetMode="External"/><Relationship Id="rId1" Type="http://schemas.openxmlformats.org/officeDocument/2006/relationships/hyperlink" Target="https://www.euronews.com/2018/08/08/where-in-europe-is-the-islamic-full-face-veil-banned-" TargetMode="External"/><Relationship Id="rId6" Type="http://schemas.openxmlformats.org/officeDocument/2006/relationships/hyperlink" Target="https://www.ejiltalk.org/sas-v-france-does-anything-remain-of-the-right-to-manifest-religion/" TargetMode="External"/><Relationship Id="rId11" Type="http://schemas.openxmlformats.org/officeDocument/2006/relationships/hyperlink" Target="https://www.coe.int/en/web/conventions/full-list/-/conventions/treaty/213/signatures?p_auth=kEYqoouB" TargetMode="External"/><Relationship Id="rId5" Type="http://schemas.openxmlformats.org/officeDocument/2006/relationships/hyperlink" Target="https://www.telegraph.co.uk/women/life/burka-bans-the-countries-where-muslim-women-cant-wear-veils" TargetMode="External"/><Relationship Id="rId15" Type="http://schemas.openxmlformats.org/officeDocument/2006/relationships/hyperlink" Target="https://www.worldatlas.com/articles/the-religious-demographics-of-italy.html" TargetMode="External"/><Relationship Id="rId10" Type="http://schemas.openxmlformats.org/officeDocument/2006/relationships/hyperlink" Target="https://www.echr.coe.int/Pages/home.aspx?p=basictexts&amp;c" TargetMode="External"/><Relationship Id="rId4" Type="http://schemas.openxmlformats.org/officeDocument/2006/relationships/hyperlink" Target="http://www.ceskenoviny.cz/index_img.php?id=402718" TargetMode="External"/><Relationship Id="rId9" Type="http://schemas.openxmlformats.org/officeDocument/2006/relationships/hyperlink" Target="https://www.echr.coe.int/Documents/2012_Brighton_FinalDeclaration_ENG.pdf" TargetMode="External"/><Relationship Id="rId14" Type="http://schemas.openxmlformats.org/officeDocument/2006/relationships/hyperlink" Target="https://www.telegraph.co.uk/travel/maps-and-graphics/most-religious-countries-in-the-worl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6115-B050-4C8B-9C11-83329F4F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Pages>
  <Words>12918</Words>
  <Characters>76221</Characters>
  <Application>Microsoft Office Word</Application>
  <DocSecurity>0</DocSecurity>
  <Lines>635</Lines>
  <Paragraphs>177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Mikysková</dc:creator>
  <cp:lastModifiedBy>Eliška Mikysková</cp:lastModifiedBy>
  <cp:revision>8</cp:revision>
  <cp:lastPrinted>2019-03-15T07:58:00Z</cp:lastPrinted>
  <dcterms:created xsi:type="dcterms:W3CDTF">2019-03-13T10:12:00Z</dcterms:created>
  <dcterms:modified xsi:type="dcterms:W3CDTF">2019-03-17T13:42:00Z</dcterms:modified>
</cp:coreProperties>
</file>